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6" w:type="pct"/>
        <w:jc w:val="right"/>
        <w:tblLayout w:type="fixed"/>
        <w:tblLook w:val="0000" w:firstRow="0" w:lastRow="0" w:firstColumn="0" w:lastColumn="0" w:noHBand="0" w:noVBand="0"/>
      </w:tblPr>
      <w:tblGrid>
        <w:gridCol w:w="1528"/>
        <w:gridCol w:w="558"/>
        <w:gridCol w:w="418"/>
        <w:gridCol w:w="837"/>
        <w:gridCol w:w="837"/>
        <w:gridCol w:w="3171"/>
        <w:gridCol w:w="699"/>
        <w:gridCol w:w="1763"/>
      </w:tblGrid>
      <w:tr w:rsidR="001977B2" w:rsidRPr="00C72827" w14:paraId="0B86A76A" w14:textId="77777777" w:rsidTr="001977B2">
        <w:trPr>
          <w:cantSplit/>
          <w:trHeight w:val="1247"/>
          <w:jc w:val="right"/>
        </w:trPr>
        <w:tc>
          <w:tcPr>
            <w:tcW w:w="1528" w:type="dxa"/>
          </w:tcPr>
          <w:p w14:paraId="644BC857" w14:textId="77777777" w:rsidR="001977B2" w:rsidRPr="00C72827" w:rsidRDefault="001977B2" w:rsidP="001977B2">
            <w:pPr>
              <w:keepNext/>
              <w:tabs>
                <w:tab w:val="left" w:pos="1560"/>
                <w:tab w:val="left" w:pos="1814"/>
                <w:tab w:val="left" w:pos="2381"/>
                <w:tab w:val="left" w:pos="2948"/>
                <w:tab w:val="left" w:pos="3515"/>
              </w:tabs>
              <w:spacing w:before="40" w:line="240" w:lineRule="auto"/>
              <w:ind w:left="-113" w:right="-113"/>
              <w:outlineLvl w:val="1"/>
              <w:rPr>
                <w:rFonts w:eastAsia="Times New Roman"/>
                <w:sz w:val="27"/>
                <w:szCs w:val="27"/>
                <w:lang w:val="es-ES"/>
              </w:rPr>
            </w:pPr>
            <w:r w:rsidRPr="00C72827">
              <w:rPr>
                <w:rFonts w:ascii="Arial" w:eastAsia="Times New Roman" w:hAnsi="Arial" w:cs="Arial"/>
                <w:b/>
                <w:sz w:val="27"/>
                <w:szCs w:val="27"/>
                <w:lang w:val="es-ES"/>
              </w:rPr>
              <w:t>NACIONES UNIDAS</w:t>
            </w:r>
          </w:p>
        </w:tc>
        <w:tc>
          <w:tcPr>
            <w:tcW w:w="976" w:type="dxa"/>
            <w:gridSpan w:val="2"/>
            <w:tcBorders>
              <w:left w:val="nil"/>
            </w:tcBorders>
            <w:vAlign w:val="center"/>
          </w:tcPr>
          <w:p w14:paraId="4A51A632" w14:textId="77777777" w:rsidR="001977B2" w:rsidRPr="00C72827" w:rsidRDefault="001977B2" w:rsidP="001977B2">
            <w:pPr>
              <w:tabs>
                <w:tab w:val="left" w:pos="1247"/>
                <w:tab w:val="left" w:pos="1814"/>
                <w:tab w:val="left" w:pos="2381"/>
                <w:tab w:val="left" w:pos="2948"/>
                <w:tab w:val="left" w:pos="3515"/>
              </w:tabs>
              <w:spacing w:line="240" w:lineRule="auto"/>
              <w:ind w:left="-57"/>
              <w:jc w:val="center"/>
              <w:rPr>
                <w:rFonts w:eastAsia="Times New Roman"/>
                <w:sz w:val="20"/>
                <w:lang w:val="es-ES"/>
              </w:rPr>
            </w:pPr>
            <w:r w:rsidRPr="00C72827">
              <w:rPr>
                <w:rFonts w:eastAsia="Times New Roman"/>
                <w:noProof/>
                <w:sz w:val="20"/>
                <w:lang w:val="es-ES" w:eastAsia="es-ES"/>
              </w:rPr>
              <w:drawing>
                <wp:inline distT="0" distB="0" distL="0" distR="0" wp14:anchorId="74384B67" wp14:editId="2EB19E10">
                  <wp:extent cx="553297" cy="552450"/>
                  <wp:effectExtent l="0" t="0" r="5715" b="6350"/>
                  <wp:docPr id="5" name="Picture 5"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37" w:type="dxa"/>
            <w:tcBorders>
              <w:left w:val="nil"/>
            </w:tcBorders>
            <w:vAlign w:val="center"/>
          </w:tcPr>
          <w:p w14:paraId="396197EB" w14:textId="77777777" w:rsidR="001977B2" w:rsidRPr="00C72827" w:rsidRDefault="001977B2" w:rsidP="001977B2">
            <w:pPr>
              <w:tabs>
                <w:tab w:val="left" w:pos="1247"/>
                <w:tab w:val="left" w:pos="1814"/>
                <w:tab w:val="left" w:pos="2450"/>
                <w:tab w:val="left" w:pos="2948"/>
                <w:tab w:val="left" w:pos="3515"/>
              </w:tabs>
              <w:spacing w:line="240" w:lineRule="auto"/>
              <w:ind w:left="-170" w:right="-170"/>
              <w:jc w:val="center"/>
              <w:rPr>
                <w:rFonts w:eastAsia="Times New Roman"/>
                <w:sz w:val="20"/>
                <w:lang w:val="es-ES"/>
              </w:rPr>
            </w:pPr>
            <w:r w:rsidRPr="00C72827">
              <w:rPr>
                <w:lang w:val="es-ES"/>
              </w:rPr>
              <w:object w:dxaOrig="12002" w:dyaOrig="8999" w14:anchorId="7033C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12" o:title="" croptop="5897f" cropbottom="39980f" cropleft="24092f" cropright="26812f"/>
                </v:shape>
                <o:OLEObject Type="Embed" ProgID="PBrush" ShapeID="_x0000_i1025" DrawAspect="Content" ObjectID="_1614540396" r:id="rId13"/>
              </w:object>
            </w:r>
          </w:p>
        </w:tc>
        <w:tc>
          <w:tcPr>
            <w:tcW w:w="837" w:type="dxa"/>
            <w:tcBorders>
              <w:left w:val="nil"/>
            </w:tcBorders>
            <w:vAlign w:val="center"/>
          </w:tcPr>
          <w:p w14:paraId="700DDE59" w14:textId="77777777" w:rsidR="001977B2" w:rsidRPr="00C72827" w:rsidRDefault="001977B2" w:rsidP="001977B2">
            <w:pPr>
              <w:tabs>
                <w:tab w:val="left" w:pos="1247"/>
                <w:tab w:val="left" w:pos="1814"/>
                <w:tab w:val="left" w:pos="2381"/>
                <w:tab w:val="left" w:pos="2948"/>
                <w:tab w:val="left" w:pos="3515"/>
              </w:tabs>
              <w:spacing w:line="240" w:lineRule="auto"/>
              <w:ind w:left="-142"/>
              <w:jc w:val="center"/>
              <w:rPr>
                <w:rFonts w:eastAsia="Times New Roman"/>
                <w:sz w:val="20"/>
                <w:lang w:val="es-ES"/>
              </w:rPr>
            </w:pPr>
            <w:r w:rsidRPr="00C72827">
              <w:rPr>
                <w:rFonts w:eastAsia="Times New Roman"/>
                <w:noProof/>
                <w:sz w:val="20"/>
                <w:lang w:val="es-ES" w:eastAsia="es-ES"/>
              </w:rPr>
              <w:drawing>
                <wp:inline distT="0" distB="0" distL="0" distR="0" wp14:anchorId="6F099829" wp14:editId="5E1F609E">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171" w:type="dxa"/>
            <w:tcBorders>
              <w:left w:val="nil"/>
            </w:tcBorders>
            <w:vAlign w:val="center"/>
          </w:tcPr>
          <w:p w14:paraId="5F17DD36" w14:textId="77777777" w:rsidR="001977B2" w:rsidRPr="00C72827" w:rsidRDefault="001977B2" w:rsidP="001977B2">
            <w:pPr>
              <w:tabs>
                <w:tab w:val="left" w:pos="1247"/>
                <w:tab w:val="left" w:pos="1814"/>
                <w:tab w:val="left" w:pos="2450"/>
                <w:tab w:val="left" w:pos="2948"/>
                <w:tab w:val="left" w:pos="3515"/>
              </w:tabs>
              <w:spacing w:line="240" w:lineRule="auto"/>
              <w:ind w:left="-57" w:right="-142"/>
              <w:rPr>
                <w:rFonts w:eastAsia="Times New Roman"/>
                <w:sz w:val="20"/>
                <w:lang w:val="es-ES"/>
              </w:rPr>
            </w:pPr>
            <w:r w:rsidRPr="00C72827">
              <w:rPr>
                <w:rFonts w:eastAsia="Times New Roman"/>
                <w:lang w:val="es-ES"/>
              </w:rPr>
              <w:object w:dxaOrig="3720" w:dyaOrig="810" w14:anchorId="0DF75385">
                <v:shape id="_x0000_i1026" type="#_x0000_t75" style="width:157.5pt;height:30pt" o:ole="">
                  <v:imagedata r:id="rId15" o:title=""/>
                </v:shape>
                <o:OLEObject Type="Embed" ProgID="PBrush" ShapeID="_x0000_i1026" DrawAspect="Content" ObjectID="_1614540397" r:id="rId16"/>
              </w:object>
            </w:r>
          </w:p>
        </w:tc>
        <w:tc>
          <w:tcPr>
            <w:tcW w:w="699" w:type="dxa"/>
            <w:tcBorders>
              <w:left w:val="nil"/>
            </w:tcBorders>
            <w:vAlign w:val="center"/>
          </w:tcPr>
          <w:p w14:paraId="318E5B93" w14:textId="77777777" w:rsidR="001977B2" w:rsidRPr="00C72827" w:rsidRDefault="001977B2" w:rsidP="001977B2">
            <w:pPr>
              <w:tabs>
                <w:tab w:val="left" w:pos="1247"/>
                <w:tab w:val="left" w:pos="1814"/>
                <w:tab w:val="left" w:pos="2381"/>
                <w:tab w:val="left" w:pos="2948"/>
                <w:tab w:val="left" w:pos="3515"/>
              </w:tabs>
              <w:spacing w:line="240" w:lineRule="auto"/>
              <w:ind w:left="-154" w:right="-142"/>
              <w:jc w:val="center"/>
              <w:rPr>
                <w:rFonts w:eastAsia="Times New Roman"/>
                <w:sz w:val="20"/>
                <w:lang w:val="es-ES"/>
              </w:rPr>
            </w:pPr>
            <w:r w:rsidRPr="00C72827">
              <w:rPr>
                <w:noProof/>
                <w:lang w:val="es-ES" w:eastAsia="es-ES"/>
              </w:rPr>
              <w:drawing>
                <wp:inline distT="0" distB="0" distL="0" distR="0" wp14:anchorId="74CA73D3" wp14:editId="15CA4B1C">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5047" cy="630092"/>
                          </a:xfrm>
                          <a:prstGeom prst="rect">
                            <a:avLst/>
                          </a:prstGeom>
                        </pic:spPr>
                      </pic:pic>
                    </a:graphicData>
                  </a:graphic>
                </wp:inline>
              </w:drawing>
            </w:r>
          </w:p>
        </w:tc>
        <w:tc>
          <w:tcPr>
            <w:tcW w:w="1763" w:type="dxa"/>
          </w:tcPr>
          <w:p w14:paraId="3D5BF304" w14:textId="77777777" w:rsidR="001977B2" w:rsidRPr="00C72827" w:rsidRDefault="001977B2" w:rsidP="001977B2">
            <w:pPr>
              <w:keepNext/>
              <w:tabs>
                <w:tab w:val="left" w:pos="1814"/>
                <w:tab w:val="left" w:pos="2381"/>
                <w:tab w:val="left" w:pos="2948"/>
                <w:tab w:val="left" w:pos="3515"/>
              </w:tabs>
              <w:spacing w:before="40" w:line="240" w:lineRule="auto"/>
              <w:ind w:left="-151"/>
              <w:jc w:val="right"/>
              <w:outlineLvl w:val="1"/>
              <w:rPr>
                <w:rFonts w:ascii="Arial" w:eastAsia="Times New Roman" w:hAnsi="Arial"/>
                <w:b/>
                <w:sz w:val="64"/>
                <w:szCs w:val="24"/>
                <w:lang w:val="es-ES"/>
              </w:rPr>
            </w:pPr>
            <w:r w:rsidRPr="00C72827">
              <w:rPr>
                <w:rFonts w:ascii="Arial" w:eastAsia="Times New Roman" w:hAnsi="Arial" w:cs="Arial"/>
                <w:b/>
                <w:sz w:val="64"/>
                <w:szCs w:val="64"/>
                <w:lang w:val="es-ES"/>
              </w:rPr>
              <w:t>BES</w:t>
            </w:r>
          </w:p>
        </w:tc>
      </w:tr>
      <w:tr w:rsidR="001977B2" w:rsidRPr="00C72827" w14:paraId="2ED291F1" w14:textId="77777777" w:rsidTr="001977B2">
        <w:trPr>
          <w:cantSplit/>
          <w:trHeight w:val="60"/>
          <w:jc w:val="right"/>
        </w:trPr>
        <w:tc>
          <w:tcPr>
            <w:tcW w:w="1528" w:type="dxa"/>
            <w:tcBorders>
              <w:bottom w:val="single" w:sz="2" w:space="0" w:color="auto"/>
            </w:tcBorders>
          </w:tcPr>
          <w:p w14:paraId="47D14182" w14:textId="77777777" w:rsidR="001977B2" w:rsidRPr="00C72827" w:rsidRDefault="001977B2" w:rsidP="001977B2">
            <w:pPr>
              <w:tabs>
                <w:tab w:val="left" w:pos="1247"/>
                <w:tab w:val="left" w:pos="1814"/>
                <w:tab w:val="left" w:pos="2381"/>
                <w:tab w:val="left" w:pos="2948"/>
                <w:tab w:val="left" w:pos="3515"/>
              </w:tabs>
              <w:spacing w:after="0" w:line="240" w:lineRule="auto"/>
              <w:rPr>
                <w:rFonts w:eastAsia="Times New Roman"/>
                <w:sz w:val="20"/>
                <w:lang w:val="es-ES"/>
              </w:rPr>
            </w:pPr>
          </w:p>
        </w:tc>
        <w:tc>
          <w:tcPr>
            <w:tcW w:w="5821" w:type="dxa"/>
            <w:gridSpan w:val="5"/>
            <w:tcBorders>
              <w:bottom w:val="single" w:sz="2" w:space="0" w:color="auto"/>
            </w:tcBorders>
          </w:tcPr>
          <w:p w14:paraId="41CAF450" w14:textId="77777777" w:rsidR="001977B2" w:rsidRPr="00C72827" w:rsidRDefault="001977B2" w:rsidP="001977B2">
            <w:pPr>
              <w:tabs>
                <w:tab w:val="left" w:pos="1247"/>
                <w:tab w:val="left" w:pos="1814"/>
                <w:tab w:val="left" w:pos="2381"/>
                <w:tab w:val="left" w:pos="2948"/>
                <w:tab w:val="left" w:pos="3515"/>
              </w:tabs>
              <w:spacing w:after="0" w:line="240" w:lineRule="auto"/>
              <w:rPr>
                <w:rFonts w:ascii="Univers" w:eastAsia="Times New Roman" w:hAnsi="Univers"/>
                <w:b/>
                <w:sz w:val="24"/>
                <w:lang w:val="es-ES"/>
              </w:rPr>
            </w:pPr>
          </w:p>
        </w:tc>
        <w:tc>
          <w:tcPr>
            <w:tcW w:w="2462" w:type="dxa"/>
            <w:gridSpan w:val="2"/>
            <w:tcBorders>
              <w:bottom w:val="single" w:sz="2" w:space="0" w:color="auto"/>
            </w:tcBorders>
          </w:tcPr>
          <w:p w14:paraId="220B83F8" w14:textId="081D99A4" w:rsidR="001977B2" w:rsidRPr="001977B2" w:rsidRDefault="001977B2" w:rsidP="001977B2">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
              </w:rPr>
            </w:pPr>
            <w:r w:rsidRPr="001977B2">
              <w:rPr>
                <w:rFonts w:ascii="Times New Roman" w:hAnsi="Times New Roman"/>
                <w:b/>
                <w:sz w:val="24"/>
                <w:szCs w:val="24"/>
              </w:rPr>
              <w:t>IPBES</w:t>
            </w:r>
            <w:r w:rsidRPr="001977B2">
              <w:rPr>
                <w:rFonts w:ascii="Times New Roman" w:hAnsi="Times New Roman"/>
                <w:sz w:val="20"/>
                <w:szCs w:val="20"/>
              </w:rPr>
              <w:t>/7/8</w:t>
            </w:r>
          </w:p>
        </w:tc>
      </w:tr>
      <w:tr w:rsidR="001977B2" w:rsidRPr="001977B2" w14:paraId="1CB7470E" w14:textId="77777777" w:rsidTr="001977B2">
        <w:trPr>
          <w:cantSplit/>
          <w:trHeight w:val="1433"/>
          <w:jc w:val="right"/>
        </w:trPr>
        <w:tc>
          <w:tcPr>
            <w:tcW w:w="2086" w:type="dxa"/>
            <w:gridSpan w:val="2"/>
            <w:tcBorders>
              <w:top w:val="single" w:sz="2" w:space="0" w:color="auto"/>
              <w:bottom w:val="single" w:sz="24" w:space="0" w:color="auto"/>
            </w:tcBorders>
          </w:tcPr>
          <w:p w14:paraId="5F35A403" w14:textId="77777777" w:rsidR="001977B2" w:rsidRPr="00C72827" w:rsidRDefault="001977B2" w:rsidP="001977B2">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
              </w:rPr>
            </w:pPr>
            <w:r w:rsidRPr="00C72827">
              <w:rPr>
                <w:rFonts w:ascii="Arial" w:hAnsi="Arial" w:cs="Arial"/>
                <w:b/>
                <w:noProof/>
                <w:sz w:val="28"/>
                <w:szCs w:val="28"/>
                <w:lang w:val="es-ES" w:eastAsia="es-ES"/>
              </w:rPr>
              <w:drawing>
                <wp:inline distT="0" distB="0" distL="0" distR="0" wp14:anchorId="0CB0228E" wp14:editId="5C2A499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263" w:type="dxa"/>
            <w:gridSpan w:val="4"/>
            <w:tcBorders>
              <w:top w:val="single" w:sz="2" w:space="0" w:color="auto"/>
              <w:bottom w:val="single" w:sz="24" w:space="0" w:color="auto"/>
            </w:tcBorders>
          </w:tcPr>
          <w:p w14:paraId="27E202A6" w14:textId="77777777" w:rsidR="001977B2" w:rsidRPr="00C72827" w:rsidRDefault="001977B2" w:rsidP="001977B2">
            <w:pPr>
              <w:tabs>
                <w:tab w:val="left" w:pos="1247"/>
                <w:tab w:val="left" w:pos="1814"/>
                <w:tab w:val="left" w:pos="2381"/>
                <w:tab w:val="left" w:pos="2948"/>
                <w:tab w:val="left" w:pos="3515"/>
              </w:tabs>
              <w:spacing w:before="360" w:line="240" w:lineRule="auto"/>
              <w:rPr>
                <w:rFonts w:ascii="Arial" w:eastAsia="Times New Roman" w:hAnsi="Arial" w:cs="Arial"/>
                <w:b/>
                <w:sz w:val="28"/>
                <w:szCs w:val="28"/>
                <w:lang w:val="es-ES"/>
              </w:rPr>
            </w:pPr>
            <w:r w:rsidRPr="00C72827">
              <w:rPr>
                <w:rFonts w:ascii="Arial" w:eastAsia="Times New Roman" w:hAnsi="Arial" w:cs="Arial"/>
                <w:b/>
                <w:sz w:val="28"/>
                <w:szCs w:val="28"/>
                <w:lang w:val="es-ES"/>
              </w:rPr>
              <w:t>Plataforma Intergubernamental Científico</w:t>
            </w:r>
            <w:r w:rsidRPr="00C72827">
              <w:rPr>
                <w:rFonts w:ascii="Arial" w:eastAsia="Times New Roman" w:hAnsi="Arial" w:cs="Arial"/>
                <w:b/>
                <w:sz w:val="28"/>
                <w:szCs w:val="28"/>
                <w:lang w:val="es-ES"/>
              </w:rPr>
              <w:noBreakHyphen/>
              <w:t>normativa sobre Diversidad Biológica y Servicios de los Ecosistemas</w:t>
            </w:r>
          </w:p>
        </w:tc>
        <w:tc>
          <w:tcPr>
            <w:tcW w:w="2462" w:type="dxa"/>
            <w:gridSpan w:val="2"/>
            <w:tcBorders>
              <w:top w:val="single" w:sz="2" w:space="0" w:color="auto"/>
              <w:bottom w:val="single" w:sz="24" w:space="0" w:color="auto"/>
            </w:tcBorders>
          </w:tcPr>
          <w:p w14:paraId="31173CF5" w14:textId="3BFDC004" w:rsidR="001977B2" w:rsidRPr="001977B2" w:rsidRDefault="001977B2" w:rsidP="001977B2">
            <w:pPr>
              <w:pStyle w:val="Normal-pool"/>
              <w:spacing w:before="120"/>
              <w:rPr>
                <w:lang w:val="es-ES"/>
              </w:rPr>
            </w:pPr>
            <w:proofErr w:type="spellStart"/>
            <w:r w:rsidRPr="001977B2">
              <w:rPr>
                <w:lang w:val="es-ES"/>
              </w:rPr>
              <w:t>Distr</w:t>
            </w:r>
            <w:proofErr w:type="spellEnd"/>
            <w:r w:rsidRPr="001977B2">
              <w:rPr>
                <w:lang w:val="es-ES"/>
              </w:rPr>
              <w:t xml:space="preserve">. general </w:t>
            </w:r>
            <w:r w:rsidRPr="001977B2">
              <w:rPr>
                <w:lang w:val="es-ES"/>
              </w:rPr>
              <w:br/>
              <w:t>5 de marzo d</w:t>
            </w:r>
            <w:r>
              <w:rPr>
                <w:lang w:val="es-ES"/>
              </w:rPr>
              <w:t>e 2019</w:t>
            </w:r>
          </w:p>
          <w:p w14:paraId="6D9F8B7E" w14:textId="48FF2A8E" w:rsidR="001977B2" w:rsidRPr="001977B2" w:rsidRDefault="001977B2" w:rsidP="001977B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US"/>
              </w:rPr>
            </w:pPr>
            <w:proofErr w:type="spellStart"/>
            <w:r w:rsidRPr="001977B2">
              <w:rPr>
                <w:rFonts w:ascii="Times New Roman" w:hAnsi="Times New Roman"/>
                <w:sz w:val="20"/>
                <w:szCs w:val="20"/>
                <w:lang w:val="en-US"/>
              </w:rPr>
              <w:t>Español</w:t>
            </w:r>
            <w:proofErr w:type="spellEnd"/>
            <w:r w:rsidRPr="001977B2">
              <w:rPr>
                <w:rFonts w:ascii="Times New Roman" w:hAnsi="Times New Roman"/>
                <w:sz w:val="20"/>
                <w:szCs w:val="20"/>
                <w:lang w:val="en-US"/>
              </w:rPr>
              <w:br/>
              <w:t xml:space="preserve">Original: </w:t>
            </w:r>
            <w:proofErr w:type="spellStart"/>
            <w:r w:rsidRPr="001977B2">
              <w:rPr>
                <w:rFonts w:ascii="Times New Roman" w:hAnsi="Times New Roman"/>
                <w:sz w:val="20"/>
                <w:szCs w:val="20"/>
                <w:lang w:val="en-US"/>
              </w:rPr>
              <w:t>inglés</w:t>
            </w:r>
            <w:proofErr w:type="spellEnd"/>
          </w:p>
        </w:tc>
      </w:tr>
    </w:tbl>
    <w:p w14:paraId="3E2D9550" w14:textId="77777777" w:rsidR="001977B2" w:rsidRPr="00C72827" w:rsidRDefault="001977B2" w:rsidP="001977B2">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C72827">
        <w:rPr>
          <w:lang w:val="es-ES"/>
        </w:rPr>
        <w:t>Plenario de la Plataforma Intergubernamental Científico-normativa</w:t>
      </w:r>
      <w:r w:rsidRPr="00C72827">
        <w:rPr>
          <w:lang w:val="es-ES"/>
        </w:rPr>
        <w:br/>
        <w:t>sobre Diversidad Biológica y Servicios de los Ecosistemas</w:t>
      </w:r>
    </w:p>
    <w:p w14:paraId="75C604DC" w14:textId="77777777" w:rsidR="001977B2" w:rsidRPr="00C72827" w:rsidRDefault="001977B2" w:rsidP="001977B2">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C72827">
        <w:rPr>
          <w:bCs/>
          <w:lang w:val="es-ES"/>
        </w:rPr>
        <w:t xml:space="preserve">Séptimo </w:t>
      </w:r>
      <w:r w:rsidRPr="00C72827">
        <w:rPr>
          <w:lang w:val="es-ES"/>
        </w:rPr>
        <w:t>período</w:t>
      </w:r>
      <w:r w:rsidRPr="00C72827">
        <w:rPr>
          <w:bCs/>
          <w:lang w:val="es-ES"/>
        </w:rPr>
        <w:t xml:space="preserve"> de sesiones</w:t>
      </w:r>
    </w:p>
    <w:p w14:paraId="09997F89" w14:textId="28BA86F2" w:rsidR="00955E83" w:rsidRPr="001977B2" w:rsidRDefault="001977B2" w:rsidP="001977B2">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C72827">
        <w:rPr>
          <w:b w:val="0"/>
          <w:lang w:val="es-ES"/>
        </w:rPr>
        <w:t>París, 29 de abril a 4 de mayo de 2019</w:t>
      </w:r>
    </w:p>
    <w:p w14:paraId="60BE5F4B" w14:textId="77777777" w:rsidR="00955E83" w:rsidRPr="001977B2" w:rsidRDefault="00955E83" w:rsidP="001977B2">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1977B2">
        <w:rPr>
          <w:b w:val="0"/>
          <w:lang w:val="es-ES"/>
        </w:rPr>
        <w:t>Tema 2 c) del programa provisional</w:t>
      </w:r>
      <w:r w:rsidRPr="001977B2">
        <w:rPr>
          <w:b w:val="0"/>
          <w:lang w:val="es-ES"/>
        </w:rPr>
        <w:footnoteReference w:customMarkFollows="1" w:id="1"/>
        <w:t>*</w:t>
      </w:r>
    </w:p>
    <w:p w14:paraId="025AA6C1" w14:textId="77777777" w:rsidR="00DA4671" w:rsidRPr="001977B2" w:rsidRDefault="00FD2053" w:rsidP="001977B2">
      <w:pPr>
        <w:pStyle w:val="AATitle"/>
        <w:keepNext w:val="0"/>
        <w:keepLines w:val="0"/>
        <w:tabs>
          <w:tab w:val="clear" w:pos="1247"/>
          <w:tab w:val="clear" w:pos="1814"/>
          <w:tab w:val="clear" w:pos="2381"/>
          <w:tab w:val="clear" w:pos="2948"/>
          <w:tab w:val="clear" w:pos="3515"/>
          <w:tab w:val="clear" w:pos="4082"/>
        </w:tabs>
        <w:spacing w:before="120"/>
        <w:ind w:left="-181" w:right="3402"/>
        <w:rPr>
          <w:lang w:val="es-ES"/>
        </w:rPr>
      </w:pPr>
      <w:r w:rsidRPr="001977B2">
        <w:rPr>
          <w:lang w:val="es-ES"/>
        </w:rPr>
        <w:t>Cuestiones de organización: elección de miembros de la Mesa</w:t>
      </w:r>
    </w:p>
    <w:p w14:paraId="6ABBD9CE" w14:textId="77777777" w:rsidR="002C1316" w:rsidRPr="0073311E" w:rsidRDefault="00C459DD" w:rsidP="00EA2D0F">
      <w:pPr>
        <w:pStyle w:val="BBTitle"/>
        <w:rPr>
          <w:lang w:val="es-ES_tradnl"/>
        </w:rPr>
      </w:pPr>
      <w:r>
        <w:rPr>
          <w:bCs/>
          <w:lang w:val="es-ES"/>
        </w:rPr>
        <w:t>Elección de miembros de la Mesa</w:t>
      </w:r>
    </w:p>
    <w:p w14:paraId="439FADAC" w14:textId="77777777" w:rsidR="002C1316" w:rsidRDefault="002C1316" w:rsidP="002C1316">
      <w:pPr>
        <w:pStyle w:val="CH2"/>
      </w:pPr>
      <w:r>
        <w:rPr>
          <w:lang w:val="es-ES"/>
        </w:rPr>
        <w:tab/>
      </w:r>
      <w:r>
        <w:rPr>
          <w:lang w:val="es-ES"/>
        </w:rPr>
        <w:tab/>
      </w:r>
      <w:r>
        <w:rPr>
          <w:bCs/>
          <w:lang w:val="es-ES"/>
        </w:rPr>
        <w:t>Nota de la Secretaría</w:t>
      </w:r>
    </w:p>
    <w:p w14:paraId="5FD6774C" w14:textId="6E546F08" w:rsidR="002E2371" w:rsidRPr="0073311E" w:rsidRDefault="0077501D" w:rsidP="00D307E8">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En su séptimo período de </w:t>
      </w:r>
      <w:r w:rsidR="0073311E">
        <w:rPr>
          <w:lang w:val="es-ES"/>
        </w:rPr>
        <w:t>sesiones se</w:t>
      </w:r>
      <w:r>
        <w:rPr>
          <w:lang w:val="es-ES"/>
        </w:rPr>
        <w:t xml:space="preserve"> invitará al Plenario de la Plataforma Intergubernamental Científico-normativa sobre Diversidad Biológica y Servicios de los </w:t>
      </w:r>
      <w:r w:rsidR="0073311E">
        <w:rPr>
          <w:lang w:val="es-ES"/>
        </w:rPr>
        <w:t>Ecosistemas a</w:t>
      </w:r>
      <w:r>
        <w:rPr>
          <w:lang w:val="es-ES"/>
        </w:rPr>
        <w:t xml:space="preserve"> elegir a los nuevos miembros de la Mesa. En su cuarto período de sesiones, celebrado en Kuala Lumpur en febrero de</w:t>
      </w:r>
      <w:r w:rsidR="001977B2">
        <w:rPr>
          <w:lang w:val="es-ES"/>
        </w:rPr>
        <w:t> </w:t>
      </w:r>
      <w:r>
        <w:rPr>
          <w:lang w:val="es-ES"/>
        </w:rPr>
        <w:t xml:space="preserve">2016, el Plenario eligió a 10 miembros de la Mesa de conformidad con </w:t>
      </w:r>
      <w:r w:rsidR="0073311E">
        <w:rPr>
          <w:lang w:val="es-ES"/>
        </w:rPr>
        <w:t>su</w:t>
      </w:r>
      <w:r>
        <w:rPr>
          <w:lang w:val="es-ES"/>
        </w:rPr>
        <w:t xml:space="preserve"> reglamento, aprobado en la decisión IPBES-1/1 y enmendado en la decisión IPBES-2/1. El mandato de esos miembros llegará a su fin en la clausura del séptimo período de sesiones del Plenario. </w:t>
      </w:r>
    </w:p>
    <w:p w14:paraId="41AB9A51" w14:textId="7083107F" w:rsidR="00A16DD3" w:rsidRPr="0073311E" w:rsidRDefault="000A146D"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En el sexto período de sesiones del Plenario, la Sra. Ana María Hernández (Colombia) fue</w:t>
      </w:r>
      <w:r w:rsidR="00617147">
        <w:rPr>
          <w:lang w:val="es-ES"/>
        </w:rPr>
        <w:t> </w:t>
      </w:r>
      <w:r>
        <w:rPr>
          <w:lang w:val="es-ES"/>
        </w:rPr>
        <w:t xml:space="preserve">elegida para </w:t>
      </w:r>
      <w:r w:rsidR="0073311E">
        <w:rPr>
          <w:lang w:val="es-ES"/>
        </w:rPr>
        <w:t>cumplir</w:t>
      </w:r>
      <w:r>
        <w:rPr>
          <w:lang w:val="es-ES"/>
        </w:rPr>
        <w:t xml:space="preserve"> el resto del mandato en sustitución de un miembro de la región de América</w:t>
      </w:r>
      <w:r w:rsidR="00617147">
        <w:rPr>
          <w:lang w:val="es-ES"/>
        </w:rPr>
        <w:t> </w:t>
      </w:r>
      <w:r>
        <w:rPr>
          <w:lang w:val="es-ES"/>
        </w:rPr>
        <w:t xml:space="preserve">Latina y el </w:t>
      </w:r>
      <w:r w:rsidR="0073311E">
        <w:rPr>
          <w:lang w:val="es-ES"/>
        </w:rPr>
        <w:t>Caribe</w:t>
      </w:r>
      <w:r>
        <w:rPr>
          <w:lang w:val="es-ES"/>
        </w:rPr>
        <w:t xml:space="preserve"> que había dimitido. </w:t>
      </w:r>
    </w:p>
    <w:p w14:paraId="6F4BEAFE" w14:textId="415F4CB1" w:rsidR="00137C36" w:rsidRPr="0073311E" w:rsidRDefault="002E2371"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Como se estipula en el artículo 15 del reglamento del Plenario de la IPBES, la Mesa del Plenario, que estará integrada por </w:t>
      </w:r>
      <w:r w:rsidR="0073311E">
        <w:rPr>
          <w:lang w:val="es-ES"/>
        </w:rPr>
        <w:t>un</w:t>
      </w:r>
      <w:r>
        <w:rPr>
          <w:lang w:val="es-ES"/>
        </w:rPr>
        <w:t xml:space="preserve"> </w:t>
      </w:r>
      <w:r w:rsidR="0073311E">
        <w:rPr>
          <w:lang w:val="es-ES"/>
        </w:rPr>
        <w:t>presidente</w:t>
      </w:r>
      <w:r>
        <w:rPr>
          <w:lang w:val="es-ES"/>
        </w:rPr>
        <w:t xml:space="preserve">, cuatro </w:t>
      </w:r>
      <w:r w:rsidR="0073311E">
        <w:rPr>
          <w:lang w:val="es-ES"/>
        </w:rPr>
        <w:t>vicepresidentes</w:t>
      </w:r>
      <w:r>
        <w:rPr>
          <w:lang w:val="es-ES"/>
        </w:rPr>
        <w:t xml:space="preserve"> y cinco miembros adicionales,</w:t>
      </w:r>
      <w:r w:rsidR="001977B2">
        <w:rPr>
          <w:lang w:val="es-ES"/>
        </w:rPr>
        <w:t> </w:t>
      </w:r>
      <w:r w:rsidR="00617147">
        <w:rPr>
          <w:lang w:val="es-ES"/>
        </w:rPr>
        <w:t>se elige</w:t>
      </w:r>
      <w:r>
        <w:rPr>
          <w:lang w:val="es-ES"/>
        </w:rPr>
        <w:t xml:space="preserve"> de entre los miembros de la Plataforma. Cada una de las cinco regiones de</w:t>
      </w:r>
      <w:r w:rsidR="00617147">
        <w:rPr>
          <w:lang w:val="es-ES"/>
        </w:rPr>
        <w:t> </w:t>
      </w:r>
      <w:r>
        <w:rPr>
          <w:lang w:val="es-ES"/>
        </w:rPr>
        <w:t>las</w:t>
      </w:r>
      <w:r w:rsidR="001977B2">
        <w:rPr>
          <w:lang w:val="es-ES"/>
        </w:rPr>
        <w:t> </w:t>
      </w:r>
      <w:r>
        <w:rPr>
          <w:lang w:val="es-ES"/>
        </w:rPr>
        <w:t>Naciones</w:t>
      </w:r>
      <w:r w:rsidR="001977B2">
        <w:rPr>
          <w:lang w:val="es-ES"/>
        </w:rPr>
        <w:t> </w:t>
      </w:r>
      <w:r>
        <w:rPr>
          <w:lang w:val="es-ES"/>
        </w:rPr>
        <w:t>Unidas está representada por dos miembros en la Mesa, que se elegirán teniendo en</w:t>
      </w:r>
      <w:r w:rsidR="00617147">
        <w:rPr>
          <w:lang w:val="es-ES"/>
        </w:rPr>
        <w:t> </w:t>
      </w:r>
      <w:r>
        <w:rPr>
          <w:lang w:val="es-ES"/>
        </w:rPr>
        <w:t>cuenta</w:t>
      </w:r>
      <w:r w:rsidR="001977B2">
        <w:rPr>
          <w:lang w:val="es-ES"/>
        </w:rPr>
        <w:t> </w:t>
      </w:r>
      <w:r>
        <w:rPr>
          <w:lang w:val="es-ES"/>
        </w:rPr>
        <w:t>el</w:t>
      </w:r>
      <w:r w:rsidR="001977B2">
        <w:rPr>
          <w:lang w:val="es-ES"/>
        </w:rPr>
        <w:t> </w:t>
      </w:r>
      <w:r>
        <w:rPr>
          <w:lang w:val="es-ES"/>
        </w:rPr>
        <w:t xml:space="preserve">principio de representación geográfica equitativa. </w:t>
      </w:r>
    </w:p>
    <w:p w14:paraId="4E82FCBF" w14:textId="7B3399D2" w:rsidR="00137C36" w:rsidRPr="0073311E" w:rsidRDefault="00AC74BB"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El artículo 15 dispone asimismo que el Presidente y los cuatro Vicepresidentes, uno de los</w:t>
      </w:r>
      <w:r w:rsidR="00D64394">
        <w:rPr>
          <w:lang w:val="es-ES"/>
        </w:rPr>
        <w:t> </w:t>
      </w:r>
      <w:r>
        <w:rPr>
          <w:lang w:val="es-ES"/>
        </w:rPr>
        <w:t>cuales desempeña las funciones de Relator, serán elegidos teniendo debidamente en cuenta su</w:t>
      </w:r>
      <w:r w:rsidR="00D64394">
        <w:rPr>
          <w:lang w:val="es-ES"/>
        </w:rPr>
        <w:t> </w:t>
      </w:r>
      <w:r>
        <w:rPr>
          <w:lang w:val="es-ES"/>
        </w:rPr>
        <w:t>experiencia científica y técnica y procederán de cada una de las cinco regiones de las Naciones</w:t>
      </w:r>
      <w:r w:rsidR="00D64394">
        <w:rPr>
          <w:lang w:val="es-ES"/>
        </w:rPr>
        <w:t> </w:t>
      </w:r>
      <w:r>
        <w:rPr>
          <w:lang w:val="es-ES"/>
        </w:rPr>
        <w:t xml:space="preserve">Unidas. De conformidad con el artículo 22, todos los candidatos a </w:t>
      </w:r>
      <w:r w:rsidR="0073311E">
        <w:rPr>
          <w:lang w:val="es-ES"/>
        </w:rPr>
        <w:t>p</w:t>
      </w:r>
      <w:r>
        <w:rPr>
          <w:lang w:val="es-ES"/>
        </w:rPr>
        <w:t xml:space="preserve">residente y </w:t>
      </w:r>
      <w:r w:rsidR="0073311E">
        <w:rPr>
          <w:lang w:val="es-ES"/>
        </w:rPr>
        <w:t>v</w:t>
      </w:r>
      <w:r>
        <w:rPr>
          <w:lang w:val="es-ES"/>
        </w:rPr>
        <w:t xml:space="preserve">icepresidentes deben tener la experiencia pertinente conforme a lo dispuesto en las directrices convenidas. Las funciones, los principios operativos y los acuerdos institucionales de la Plataforma, que figuran en el apéndice I de la resolución que la establece (UNEP/IPBES.MI/2/9, anexo I) proporcionan las siguientes orientaciones para la presentación de candidaturas y la selección del </w:t>
      </w:r>
      <w:r w:rsidR="0073311E">
        <w:rPr>
          <w:lang w:val="es-ES"/>
        </w:rPr>
        <w:t>p</w:t>
      </w:r>
      <w:r>
        <w:rPr>
          <w:lang w:val="es-ES"/>
        </w:rPr>
        <w:t xml:space="preserve">residente y los </w:t>
      </w:r>
      <w:r w:rsidR="0073311E">
        <w:rPr>
          <w:lang w:val="es-ES"/>
        </w:rPr>
        <w:t>v</w:t>
      </w:r>
      <w:r>
        <w:rPr>
          <w:lang w:val="es-ES"/>
        </w:rPr>
        <w:t xml:space="preserve">icepresidentes: </w:t>
      </w:r>
    </w:p>
    <w:p w14:paraId="12270993" w14:textId="77777777" w:rsidR="00137C36" w:rsidRPr="0073311E" w:rsidRDefault="0073311E"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a)</w:t>
      </w:r>
      <w:r>
        <w:rPr>
          <w:lang w:val="es-ES"/>
        </w:rPr>
        <w:tab/>
      </w:r>
      <w:r w:rsidR="00137C36">
        <w:rPr>
          <w:lang w:val="es-ES"/>
        </w:rPr>
        <w:t>Capacidad para desempeñar las funciones acordadas de president</w:t>
      </w:r>
      <w:r>
        <w:rPr>
          <w:lang w:val="es-ES"/>
        </w:rPr>
        <w:t>e</w:t>
      </w:r>
      <w:r w:rsidR="00137C36">
        <w:rPr>
          <w:lang w:val="es-ES"/>
        </w:rPr>
        <w:t xml:space="preserve"> y vicepresidentes; </w:t>
      </w:r>
    </w:p>
    <w:p w14:paraId="7EA70C3D" w14:textId="4424DC04" w:rsidR="00D64394" w:rsidRDefault="0073311E"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Pr>
          <w:lang w:val="es-ES"/>
        </w:rPr>
        <w:t>b)</w:t>
      </w:r>
      <w:r>
        <w:rPr>
          <w:lang w:val="es-ES"/>
        </w:rPr>
        <w:tab/>
      </w:r>
      <w:r w:rsidR="00137C36">
        <w:rPr>
          <w:lang w:val="es-ES"/>
        </w:rPr>
        <w:t xml:space="preserve">Conocimientos científicos especializados en diversidad biológica y servicios de los ecosistemas, teniendo debidamente en cuenta las ciencias naturales y sociales en las especializaciones de los funcionarios del Plenario; </w:t>
      </w:r>
    </w:p>
    <w:p w14:paraId="5519618A" w14:textId="77777777" w:rsidR="00D64394" w:rsidRDefault="00D64394">
      <w:pPr>
        <w:spacing w:after="0" w:line="240" w:lineRule="auto"/>
        <w:rPr>
          <w:rFonts w:ascii="Times New Roman" w:eastAsia="Times New Roman" w:hAnsi="Times New Roman"/>
          <w:sz w:val="20"/>
          <w:szCs w:val="20"/>
          <w:lang w:val="es-ES"/>
        </w:rPr>
      </w:pPr>
      <w:r>
        <w:rPr>
          <w:lang w:val="es-ES"/>
        </w:rPr>
        <w:br w:type="page"/>
      </w:r>
    </w:p>
    <w:p w14:paraId="698D7712" w14:textId="77777777" w:rsidR="00137C36" w:rsidRPr="0073311E" w:rsidRDefault="0073311E"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lastRenderedPageBreak/>
        <w:t>c)</w:t>
      </w:r>
      <w:r>
        <w:rPr>
          <w:lang w:val="es-ES"/>
        </w:rPr>
        <w:tab/>
      </w:r>
      <w:r w:rsidR="00137C36">
        <w:rPr>
          <w:lang w:val="es-ES"/>
        </w:rPr>
        <w:t xml:space="preserve">Conocimientos especializados científicos, técnicos o normativos y conocimiento de los principales elementos del programa de trabajo de la IPBES; </w:t>
      </w:r>
    </w:p>
    <w:p w14:paraId="731DD191" w14:textId="77777777" w:rsidR="00137C36" w:rsidRPr="0073311E" w:rsidRDefault="0073311E"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d)</w:t>
      </w:r>
      <w:r>
        <w:rPr>
          <w:lang w:val="es-ES"/>
        </w:rPr>
        <w:tab/>
      </w:r>
      <w:r w:rsidR="00137C36">
        <w:rPr>
          <w:lang w:val="es-ES"/>
        </w:rPr>
        <w:t xml:space="preserve">Experiencia en comunicar, promover e incorporar la ciencia a los procesos de elaboración de políticas; </w:t>
      </w:r>
    </w:p>
    <w:p w14:paraId="59FD9452" w14:textId="28052150" w:rsidR="00137C36" w:rsidRPr="0073311E" w:rsidRDefault="0073311E"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e)</w:t>
      </w:r>
      <w:r>
        <w:rPr>
          <w:lang w:val="es-ES"/>
        </w:rPr>
        <w:tab/>
      </w:r>
      <w:r w:rsidR="00137C36">
        <w:rPr>
          <w:lang w:val="es-ES"/>
        </w:rPr>
        <w:t>Capacidad para dirigir procesos internacionales científicos y normativos y participar</w:t>
      </w:r>
      <w:r w:rsidR="001977B2">
        <w:rPr>
          <w:lang w:val="es-ES"/>
        </w:rPr>
        <w:t> </w:t>
      </w:r>
      <w:r w:rsidR="00137C36">
        <w:rPr>
          <w:lang w:val="es-ES"/>
        </w:rPr>
        <w:t>en</w:t>
      </w:r>
      <w:r w:rsidR="001977B2">
        <w:rPr>
          <w:lang w:val="es-ES"/>
        </w:rPr>
        <w:t> </w:t>
      </w:r>
      <w:r w:rsidR="00137C36">
        <w:rPr>
          <w:lang w:val="es-ES"/>
        </w:rPr>
        <w:t>ellos.</w:t>
      </w:r>
    </w:p>
    <w:p w14:paraId="702FF650" w14:textId="5A991E47" w:rsidR="00137C36" w:rsidRPr="0073311E" w:rsidRDefault="00137C36" w:rsidP="000C3245">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También es preciso tomar en consideración en los procesos de presentación de candidaturas y</w:t>
      </w:r>
      <w:r w:rsidR="00D64394">
        <w:rPr>
          <w:lang w:val="es-ES"/>
        </w:rPr>
        <w:t> </w:t>
      </w:r>
      <w:r>
        <w:rPr>
          <w:lang w:val="es-ES"/>
        </w:rPr>
        <w:t>selección, hasta qué punto las capacidades del presidente y los vicepresidentes se complementan entre sí.</w:t>
      </w:r>
    </w:p>
    <w:p w14:paraId="7B0943CF" w14:textId="77777777" w:rsidR="005A13D4" w:rsidRPr="0073311E" w:rsidRDefault="005A13D4"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color w:val="000000"/>
          <w:lang w:val="es-ES_tradnl"/>
        </w:rPr>
      </w:pPr>
      <w:r>
        <w:rPr>
          <w:lang w:val="es-ES"/>
        </w:rPr>
        <w:t>Las funciones de la Presidencia son las establecidas en el reglamento del Plenario de la IPBES. En el párrafo 1 del artículo 17 se establece que, además de ejercer las atribuciones que le confieren otras disposiciones del Reglamento, el Presidente:</w:t>
      </w:r>
    </w:p>
    <w:p w14:paraId="2D7B5A01" w14:textId="77777777" w:rsidR="005A13D4" w:rsidRPr="00542AD3"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a)</w:t>
      </w:r>
      <w:r>
        <w:rPr>
          <w:lang w:val="es-ES"/>
        </w:rPr>
        <w:tab/>
      </w:r>
      <w:r w:rsidR="005A13D4">
        <w:rPr>
          <w:lang w:val="es-ES"/>
        </w:rPr>
        <w:t xml:space="preserve">Representa a la Plataforma; </w:t>
      </w:r>
    </w:p>
    <w:p w14:paraId="7038B14D" w14:textId="00BF16D4"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b)</w:t>
      </w:r>
      <w:r>
        <w:rPr>
          <w:lang w:val="es-ES"/>
        </w:rPr>
        <w:tab/>
      </w:r>
      <w:r w:rsidR="005A13D4">
        <w:rPr>
          <w:lang w:val="es-ES"/>
        </w:rPr>
        <w:t>Declara la apertura y clausura de los per</w:t>
      </w:r>
      <w:r w:rsidR="00D64394">
        <w:rPr>
          <w:lang w:val="es-ES"/>
        </w:rPr>
        <w:t>í</w:t>
      </w:r>
      <w:r w:rsidR="005A13D4">
        <w:rPr>
          <w:lang w:val="es-ES"/>
        </w:rPr>
        <w:t xml:space="preserve">odos de sesiones; </w:t>
      </w:r>
    </w:p>
    <w:p w14:paraId="49F6C81D" w14:textId="77777777"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c)</w:t>
      </w:r>
      <w:r>
        <w:rPr>
          <w:lang w:val="es-ES"/>
        </w:rPr>
        <w:tab/>
      </w:r>
      <w:r w:rsidR="005A13D4">
        <w:rPr>
          <w:lang w:val="es-ES"/>
        </w:rPr>
        <w:t>Preside las sesiones del Plenario y las reuniones de la Mesa;</w:t>
      </w:r>
    </w:p>
    <w:p w14:paraId="1B67E52B" w14:textId="77777777"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d)</w:t>
      </w:r>
      <w:r>
        <w:rPr>
          <w:lang w:val="es-ES"/>
        </w:rPr>
        <w:tab/>
      </w:r>
      <w:r w:rsidR="005A13D4">
        <w:rPr>
          <w:lang w:val="es-ES"/>
        </w:rPr>
        <w:t xml:space="preserve">Vela por que se aplique el reglamento de conformidad con las definiciones, funciones y principios operativos de la Plataforma; </w:t>
      </w:r>
    </w:p>
    <w:p w14:paraId="7BCF53EC" w14:textId="77777777"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e)</w:t>
      </w:r>
      <w:r>
        <w:rPr>
          <w:lang w:val="es-ES"/>
        </w:rPr>
        <w:tab/>
      </w:r>
      <w:r w:rsidR="005A13D4">
        <w:rPr>
          <w:lang w:val="es-ES"/>
        </w:rPr>
        <w:t xml:space="preserve">Concede la palabra a los participantes; </w:t>
      </w:r>
    </w:p>
    <w:p w14:paraId="5BD37281" w14:textId="77777777"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f)</w:t>
      </w:r>
      <w:r>
        <w:rPr>
          <w:lang w:val="es-ES"/>
        </w:rPr>
        <w:tab/>
      </w:r>
      <w:r w:rsidR="005A13D4">
        <w:rPr>
          <w:lang w:val="es-ES"/>
        </w:rPr>
        <w:t xml:space="preserve">Aplica el procedimiento de adopción de decisiones establecido en el artículo 36; </w:t>
      </w:r>
    </w:p>
    <w:p w14:paraId="59DC9CBF" w14:textId="77777777"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g)</w:t>
      </w:r>
      <w:r>
        <w:rPr>
          <w:lang w:val="es-ES"/>
        </w:rPr>
        <w:tab/>
      </w:r>
      <w:r w:rsidR="005A13D4">
        <w:rPr>
          <w:lang w:val="es-ES"/>
        </w:rPr>
        <w:t xml:space="preserve">Resuelve las cuestiones de orden; </w:t>
      </w:r>
    </w:p>
    <w:p w14:paraId="7F763C13" w14:textId="77777777" w:rsidR="005A13D4" w:rsidRPr="0073311E" w:rsidRDefault="00542AD3" w:rsidP="001977B2">
      <w:pPr>
        <w:pStyle w:val="Normalnumber"/>
        <w:numPr>
          <w:ilvl w:val="0"/>
          <w:numId w:val="0"/>
        </w:numPr>
        <w:tabs>
          <w:tab w:val="clear" w:pos="1247"/>
          <w:tab w:val="clear" w:pos="1814"/>
          <w:tab w:val="clear" w:pos="2381"/>
          <w:tab w:val="clear" w:pos="2948"/>
          <w:tab w:val="clear" w:pos="3515"/>
          <w:tab w:val="clear" w:pos="4082"/>
        </w:tabs>
        <w:ind w:left="1247" w:firstLine="624"/>
        <w:rPr>
          <w:lang w:val="es-ES_tradnl"/>
        </w:rPr>
      </w:pPr>
      <w:r>
        <w:rPr>
          <w:lang w:val="es-ES"/>
        </w:rPr>
        <w:t>h)</w:t>
      </w:r>
      <w:r>
        <w:rPr>
          <w:lang w:val="es-ES"/>
        </w:rPr>
        <w:tab/>
      </w:r>
      <w:r w:rsidR="005A13D4">
        <w:rPr>
          <w:lang w:val="es-ES"/>
        </w:rPr>
        <w:t xml:space="preserve">Con sujeción </w:t>
      </w:r>
      <w:r w:rsidR="0073311E">
        <w:rPr>
          <w:lang w:val="es-ES"/>
        </w:rPr>
        <w:t>a las</w:t>
      </w:r>
      <w:r w:rsidR="005A13D4">
        <w:rPr>
          <w:lang w:val="es-ES"/>
        </w:rPr>
        <w:t xml:space="preserve"> disposiciones del reglamento, ejerce pleno control sobre las actuaciones y mantiene el orden. </w:t>
      </w:r>
    </w:p>
    <w:p w14:paraId="75EBAC4B" w14:textId="77777777" w:rsidR="00FF0933" w:rsidRPr="0073311E" w:rsidRDefault="00FF0933"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color w:val="000000"/>
          <w:lang w:val="es-ES_tradnl"/>
        </w:rPr>
      </w:pPr>
      <w:r>
        <w:rPr>
          <w:lang w:val="es-ES"/>
        </w:rPr>
        <w:t xml:space="preserve">Con respecto a la elección de la Presidencia, el párrafo 3 del artículo 15 establece que la Presidencia de la Mesa se rotará entre las cinco regiones de las Naciones Unidas cada tres años sin que exista la posibilidad de reelección. En el sexto período de sesiones del Plenario, </w:t>
      </w:r>
      <w:r w:rsidR="0073311E">
        <w:rPr>
          <w:lang w:val="es-ES"/>
        </w:rPr>
        <w:t>el Presidente</w:t>
      </w:r>
      <w:r>
        <w:rPr>
          <w:lang w:val="es-ES"/>
        </w:rPr>
        <w:t xml:space="preserve"> celebró consultas oficiosas sobre la cuestión de la rotación. Al rendir informe al Plenario sobre los resultados de esas consultas, el Presidente dijo que todos los grupos regionales habían reafirmado la aplicabilidad del artículo 15 del reglamento de los períodos de sesiones del Plenario, que incluía la disposición de que la Presidencia de la Mesa se rotaría entre las cinco regiones de las Naciones Unidas cada tres años sin que existiese la posibilidad de reelegir a un miembro como </w:t>
      </w:r>
      <w:r w:rsidR="00542AD3">
        <w:rPr>
          <w:lang w:val="es-ES"/>
        </w:rPr>
        <w:t>P</w:t>
      </w:r>
      <w:r>
        <w:rPr>
          <w:lang w:val="es-ES"/>
        </w:rPr>
        <w:t xml:space="preserve">residente. Si bien todas las regiones habían reconocido que la aplicación del artículo relativo a la rotación significaría que el próximo </w:t>
      </w:r>
      <w:r w:rsidR="00542AD3">
        <w:rPr>
          <w:lang w:val="es-ES"/>
        </w:rPr>
        <w:t>P</w:t>
      </w:r>
      <w:r w:rsidR="0073311E">
        <w:rPr>
          <w:lang w:val="es-ES"/>
        </w:rPr>
        <w:t>residente</w:t>
      </w:r>
      <w:r>
        <w:rPr>
          <w:lang w:val="es-ES"/>
        </w:rPr>
        <w:t xml:space="preserve"> del Plenario provendría de la región de África, la región de Europa Oriental o la región de América Latina y el Caribe, no se había logrado consenso acerca de si el Plenario debería adoptar una decisión acerca de la secuencia en la que las regiones asumirían la </w:t>
      </w:r>
      <w:r w:rsidR="00542AD3">
        <w:rPr>
          <w:lang w:val="es-ES"/>
        </w:rPr>
        <w:t>P</w:t>
      </w:r>
      <w:r>
        <w:rPr>
          <w:lang w:val="es-ES"/>
        </w:rPr>
        <w:t>residencia. Por tanto, el Plenario convino en seguir aplicando el artículo 15 y reflejar ese acuerdo en el informe del período de sesiones (IPBES/6/15, párr. 18).</w:t>
      </w:r>
    </w:p>
    <w:p w14:paraId="6D3DC223" w14:textId="77777777" w:rsidR="00137C36" w:rsidRPr="0073311E" w:rsidRDefault="005F6108" w:rsidP="00D307E8">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De conformidad con el artículo 15, los cinco nuevos miembros de la Mesa deberán desempeñar las funciones administrativas pertinentes. </w:t>
      </w:r>
    </w:p>
    <w:p w14:paraId="754DB385" w14:textId="77777777" w:rsidR="00137C36" w:rsidRPr="0073311E" w:rsidRDefault="00137C36"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Cada uno de los miembros de la Mesa es elegido por un mandato de tres años, con la posibilidad de reelección para un mandato consecutivo. </w:t>
      </w:r>
    </w:p>
    <w:p w14:paraId="40ECEA6E" w14:textId="6F7ABBCE" w:rsidR="00137C36" w:rsidRPr="0073311E" w:rsidRDefault="00137C36"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De conformidad con el artículo 22 del reglamento, </w:t>
      </w:r>
      <w:r w:rsidR="0073311E">
        <w:rPr>
          <w:lang w:val="es-ES"/>
        </w:rPr>
        <w:t>la Secretaría</w:t>
      </w:r>
      <w:r>
        <w:rPr>
          <w:lang w:val="es-ES"/>
        </w:rPr>
        <w:t xml:space="preserve"> de la IPBES, por conducto de la notificación EM/2018/19 </w:t>
      </w:r>
      <w:r w:rsidR="00D64394">
        <w:rPr>
          <w:lang w:val="es-ES"/>
        </w:rPr>
        <w:t>,</w:t>
      </w:r>
      <w:r>
        <w:rPr>
          <w:lang w:val="es-ES"/>
        </w:rPr>
        <w:t>de 12 de septiembre de 2018, invitó a los miembros de la Plataforma a que presentasen sus candidaturas por escrito y los currículos de los candidatos antes del 4 de enero de</w:t>
      </w:r>
      <w:r w:rsidR="00D64394">
        <w:rPr>
          <w:lang w:val="es-ES"/>
        </w:rPr>
        <w:t> </w:t>
      </w:r>
      <w:r>
        <w:rPr>
          <w:lang w:val="es-ES"/>
        </w:rPr>
        <w:t xml:space="preserve">2019. Los nombres de los candidatos y sus currículos pueden consultarse en el sitio web de la IPBES en www.ipbes.net/nominations/bureau/ipbes7 </w:t>
      </w:r>
      <w:r w:rsidR="00D64394">
        <w:rPr>
          <w:lang w:val="es-ES"/>
        </w:rPr>
        <w:t xml:space="preserve">y en el </w:t>
      </w:r>
      <w:r w:rsidR="0073311E">
        <w:rPr>
          <w:lang w:val="es-ES"/>
        </w:rPr>
        <w:t>documento</w:t>
      </w:r>
      <w:r>
        <w:rPr>
          <w:lang w:val="es-ES"/>
        </w:rPr>
        <w:t xml:space="preserve"> IPBES/7/INF/3.</w:t>
      </w:r>
    </w:p>
    <w:p w14:paraId="5BEA5434" w14:textId="77777777" w:rsidR="00955E83" w:rsidRPr="0073311E" w:rsidRDefault="00955E83"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Se invitará al Comité sobre Conflicto de Intereses a examinar los formularios de declaración de conflicto de intereses de los nominados para su elección como miembros de la Mesa de la IPBES a fin de determinar que reúnen las condiciones para ser elegidos de conformidad con el artículo 3 de la política sobre conflicto de intereses y los procedimientos aprobados por el Plenario en su tercer período de sesiones en la decisión IPBES-3/3. El Comité abordará la cuestión en su informe, que será presentado al Plenario al menos cuatro semanas antes del inicio del séptimo período de sesiones. </w:t>
      </w:r>
    </w:p>
    <w:p w14:paraId="47AD2B5A" w14:textId="77777777" w:rsidR="007538EE" w:rsidRPr="0073311E" w:rsidRDefault="00137C36"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lastRenderedPageBreak/>
        <w:t xml:space="preserve">Los candidatos a miembros de la Mesa serán propuestos por las regiones para su posterior elección por el Plenario. De conformidad con el artículo 21 del reglamento del Plenario, los miembros de la Mesa serán elegidos por el Plenario por consenso, a menos que este decida otra cosa. </w:t>
      </w:r>
    </w:p>
    <w:p w14:paraId="5964FB14" w14:textId="77777777" w:rsidR="00FF0933" w:rsidRPr="0073311E" w:rsidRDefault="00FF0933"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lang w:val="es-ES_tradnl"/>
        </w:rPr>
      </w:pPr>
      <w:r>
        <w:rPr>
          <w:lang w:val="es-ES"/>
        </w:rPr>
        <w:t xml:space="preserve">De conformidad con el párrafo 4 del artículo 15, cada región podrá designar suplentes, que tendrán que ser aprobados por el Plenario, para que representen a la región en una reunión de la Mesa cuando el </w:t>
      </w:r>
      <w:r w:rsidR="0073311E">
        <w:rPr>
          <w:lang w:val="es-ES"/>
        </w:rPr>
        <w:t>miembro o</w:t>
      </w:r>
      <w:r>
        <w:rPr>
          <w:lang w:val="es-ES"/>
        </w:rPr>
        <w:t xml:space="preserve"> los miembros de la Mesa no pueda(n) asistir. </w:t>
      </w:r>
    </w:p>
    <w:p w14:paraId="120110E0" w14:textId="77777777" w:rsidR="00D307E8" w:rsidRPr="0073311E" w:rsidRDefault="00D307E8" w:rsidP="00D307E8">
      <w:pPr>
        <w:pStyle w:val="Normal-pool"/>
        <w:rPr>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9"/>
        <w:gridCol w:w="1899"/>
        <w:gridCol w:w="1899"/>
        <w:gridCol w:w="1900"/>
      </w:tblGrid>
      <w:tr w:rsidR="00B61D82" w:rsidRPr="0073311E" w14:paraId="3F0594F4" w14:textId="77777777" w:rsidTr="00FF0933">
        <w:tc>
          <w:tcPr>
            <w:tcW w:w="1899" w:type="dxa"/>
          </w:tcPr>
          <w:p w14:paraId="4DF11659" w14:textId="77777777" w:rsidR="00B61D82" w:rsidRPr="0073311E" w:rsidRDefault="00B61D82">
            <w:pPr>
              <w:pStyle w:val="Normal-pool"/>
              <w:spacing w:before="520"/>
              <w:rPr>
                <w:lang w:val="es-ES_tradnl"/>
              </w:rPr>
            </w:pPr>
          </w:p>
        </w:tc>
        <w:tc>
          <w:tcPr>
            <w:tcW w:w="1899" w:type="dxa"/>
          </w:tcPr>
          <w:p w14:paraId="34F33E48" w14:textId="77777777" w:rsidR="00B61D82" w:rsidRPr="0073311E" w:rsidRDefault="00B61D82">
            <w:pPr>
              <w:pStyle w:val="Normal-pool"/>
              <w:spacing w:before="520"/>
              <w:rPr>
                <w:lang w:val="es-ES_tradnl"/>
              </w:rPr>
            </w:pPr>
          </w:p>
        </w:tc>
        <w:tc>
          <w:tcPr>
            <w:tcW w:w="1899" w:type="dxa"/>
            <w:tcBorders>
              <w:top w:val="nil"/>
              <w:left w:val="nil"/>
              <w:bottom w:val="single" w:sz="4" w:space="0" w:color="auto"/>
              <w:right w:val="nil"/>
            </w:tcBorders>
          </w:tcPr>
          <w:p w14:paraId="72A923D9" w14:textId="77777777" w:rsidR="00B61D82" w:rsidRPr="0073311E" w:rsidRDefault="00B61D82">
            <w:pPr>
              <w:pStyle w:val="Normal-pool"/>
              <w:spacing w:before="520"/>
              <w:rPr>
                <w:lang w:val="es-ES_tradnl"/>
              </w:rPr>
            </w:pPr>
          </w:p>
        </w:tc>
        <w:tc>
          <w:tcPr>
            <w:tcW w:w="1899" w:type="dxa"/>
          </w:tcPr>
          <w:p w14:paraId="5DD137E9" w14:textId="77777777" w:rsidR="00B61D82" w:rsidRPr="0073311E" w:rsidRDefault="00B61D82">
            <w:pPr>
              <w:pStyle w:val="Normal-pool"/>
              <w:spacing w:before="520"/>
              <w:rPr>
                <w:lang w:val="es-ES_tradnl"/>
              </w:rPr>
            </w:pPr>
          </w:p>
        </w:tc>
        <w:tc>
          <w:tcPr>
            <w:tcW w:w="1900" w:type="dxa"/>
          </w:tcPr>
          <w:p w14:paraId="3E5ADE0E" w14:textId="77777777" w:rsidR="00B61D82" w:rsidRPr="0073311E" w:rsidRDefault="00B61D82">
            <w:pPr>
              <w:pStyle w:val="Normal-pool"/>
              <w:spacing w:before="520"/>
              <w:rPr>
                <w:lang w:val="es-ES_tradnl"/>
              </w:rPr>
            </w:pPr>
          </w:p>
        </w:tc>
      </w:tr>
    </w:tbl>
    <w:p w14:paraId="5430349F" w14:textId="77777777" w:rsidR="00396929" w:rsidRPr="0073311E" w:rsidRDefault="00396929" w:rsidP="00EA2D0F">
      <w:pPr>
        <w:pStyle w:val="Normal-pool"/>
        <w:rPr>
          <w:lang w:val="es-ES_tradnl"/>
        </w:rPr>
      </w:pPr>
    </w:p>
    <w:sectPr w:rsidR="00396929" w:rsidRPr="0073311E" w:rsidSect="006E6722">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1927" w14:textId="77777777" w:rsidR="007D4D34" w:rsidRDefault="007D4D34">
      <w:r>
        <w:separator/>
      </w:r>
    </w:p>
  </w:endnote>
  <w:endnote w:type="continuationSeparator" w:id="0">
    <w:p w14:paraId="0A7DC7C7" w14:textId="77777777" w:rsidR="007D4D34" w:rsidRDefault="007D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921D" w14:textId="77777777" w:rsidR="00123699" w:rsidRPr="00EA2D0F" w:rsidRDefault="00123699" w:rsidP="00EA2D0F">
    <w:pPr>
      <w:pStyle w:val="Normal-pool"/>
    </w:pPr>
    <w:r w:rsidRPr="00EA2D0F">
      <w:rPr>
        <w:rStyle w:val="PageNumber"/>
        <w:sz w:val="20"/>
      </w:rPr>
      <w:fldChar w:fldCharType="begin"/>
    </w:r>
    <w:r w:rsidRPr="00EA2D0F">
      <w:rPr>
        <w:rStyle w:val="PageNumber"/>
        <w:sz w:val="20"/>
      </w:rPr>
      <w:instrText xml:space="preserve"> PAGE </w:instrText>
    </w:r>
    <w:r w:rsidRPr="00EA2D0F">
      <w:rPr>
        <w:rStyle w:val="PageNumber"/>
        <w:sz w:val="20"/>
      </w:rPr>
      <w:fldChar w:fldCharType="separate"/>
    </w:r>
    <w:r w:rsidR="003628D3">
      <w:rPr>
        <w:rStyle w:val="PageNumber"/>
        <w:noProof/>
        <w:sz w:val="20"/>
      </w:rPr>
      <w:t>2</w:t>
    </w:r>
    <w:r w:rsidRPr="00EA2D0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BA15" w14:textId="7777777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C7FD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2AF2" w14:textId="7CA2FD9E" w:rsidR="005F06C5" w:rsidRDefault="00EA2D0F" w:rsidP="005F06C5">
    <w:pPr>
      <w:pStyle w:val="Normal-pool"/>
      <w:tabs>
        <w:tab w:val="clear" w:pos="1247"/>
        <w:tab w:val="clear" w:pos="1814"/>
        <w:tab w:val="clear" w:pos="2381"/>
        <w:tab w:val="clear" w:pos="2948"/>
        <w:tab w:val="clear" w:pos="3515"/>
        <w:tab w:val="clear" w:pos="4082"/>
        <w:tab w:val="left" w:pos="624"/>
      </w:tabs>
      <w:spacing w:before="60" w:after="120"/>
    </w:pPr>
    <w:r>
      <w:t>K180399</w:t>
    </w:r>
    <w:r w:rsidR="00D64394">
      <w:t>3</w:t>
    </w:r>
    <w:r>
      <w:tab/>
    </w:r>
    <w:r w:rsidR="00D307E8">
      <w:t>1</w:t>
    </w:r>
    <w:r w:rsidR="00D64394">
      <w:t>5</w:t>
    </w:r>
    <w:r w:rsidR="00D307E8">
      <w:t>0</w:t>
    </w:r>
    <w:r w:rsidR="00D64394">
      <w:t>3</w:t>
    </w:r>
    <w:r w:rsidR="00D307E8">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457E" w14:textId="77777777" w:rsidR="007D4D34" w:rsidRPr="00D307E8" w:rsidRDefault="007D4D34" w:rsidP="001977B2">
      <w:pPr>
        <w:pStyle w:val="NormalNonumber"/>
        <w:tabs>
          <w:tab w:val="clear" w:pos="1247"/>
          <w:tab w:val="clear" w:pos="1814"/>
          <w:tab w:val="clear" w:pos="2381"/>
          <w:tab w:val="clear" w:pos="2948"/>
          <w:tab w:val="clear" w:pos="3515"/>
          <w:tab w:val="clear" w:pos="4082"/>
          <w:tab w:val="left" w:pos="624"/>
        </w:tabs>
        <w:spacing w:before="20" w:after="40"/>
        <w:ind w:left="624"/>
        <w:rPr>
          <w:sz w:val="18"/>
          <w:szCs w:val="18"/>
        </w:rPr>
      </w:pPr>
      <w:r w:rsidRPr="00D307E8">
        <w:rPr>
          <w:sz w:val="18"/>
          <w:szCs w:val="18"/>
        </w:rPr>
        <w:separator/>
      </w:r>
    </w:p>
  </w:footnote>
  <w:footnote w:type="continuationSeparator" w:id="0">
    <w:p w14:paraId="5E9DF94E" w14:textId="77777777" w:rsidR="007D4D34" w:rsidRDefault="007D4D34">
      <w:r>
        <w:continuationSeparator/>
      </w:r>
    </w:p>
  </w:footnote>
  <w:footnote w:id="1">
    <w:p w14:paraId="638E6902" w14:textId="65F43D83" w:rsidR="00955E83" w:rsidRPr="001977B2" w:rsidRDefault="00955E83" w:rsidP="00D307E8">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1977B2">
        <w:rPr>
          <w:sz w:val="18"/>
          <w:szCs w:val="18"/>
          <w:lang w:val="es-ES"/>
        </w:rPr>
        <w:t>* IPBES/7/1.</w:t>
      </w:r>
      <w:r w:rsidR="001977B2" w:rsidRPr="001977B2">
        <w:rPr>
          <w:sz w:val="18"/>
          <w:szCs w:val="18"/>
          <w:lang w:val="es-ES"/>
        </w:rPr>
        <w:t>/Rev.1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770F" w14:textId="1B39C1AE" w:rsidR="00123699" w:rsidRPr="008520C8" w:rsidRDefault="002E2371" w:rsidP="008520C8">
    <w:pPr>
      <w:pStyle w:val="Header"/>
      <w:rPr>
        <w:rFonts w:ascii="Times New Roman" w:hAnsi="Times New Roman"/>
      </w:rPr>
    </w:pPr>
    <w:r>
      <w:rPr>
        <w:rFonts w:ascii="Times New Roman" w:hAnsi="Times New Roman"/>
      </w:rPr>
      <w:t>IPBES/7/8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FD84" w14:textId="6213D264" w:rsidR="00123699" w:rsidRPr="008520C8" w:rsidRDefault="008520C8" w:rsidP="008520C8">
    <w:pPr>
      <w:pStyle w:val="Header"/>
      <w:jc w:val="right"/>
      <w:rPr>
        <w:rFonts w:ascii="Times New Roman" w:hAnsi="Times New Roman"/>
      </w:rPr>
    </w:pPr>
    <w:r w:rsidRPr="008520C8">
      <w:rPr>
        <w:rFonts w:ascii="Times New Roman" w:hAnsi="Times New Roman"/>
      </w:rPr>
      <w:t>IPBES/7/</w:t>
    </w:r>
    <w:r w:rsidR="00DB6065">
      <w:rPr>
        <w:rFonts w:ascii="Times New Roman" w:hAnsi="Times New Roman"/>
      </w:rPr>
      <w:t>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139E" w14:textId="7D606706" w:rsidR="00D307E8" w:rsidRPr="001977B2" w:rsidRDefault="00D307E8" w:rsidP="001977B2">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 w15:restartNumberingAfterBreak="0">
    <w:nsid w:val="349B52BD"/>
    <w:multiLevelType w:val="hybridMultilevel"/>
    <w:tmpl w:val="B90ED3F4"/>
    <w:lvl w:ilvl="0" w:tplc="FF98245C">
      <w:start w:val="1"/>
      <w:numFmt w:val="lowerLetter"/>
      <w:lvlText w:val="(%1)"/>
      <w:lvlJc w:val="left"/>
      <w:pPr>
        <w:ind w:left="26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1"/>
  </w:num>
  <w:num w:numId="3">
    <w:abstractNumId w:val="4"/>
  </w:num>
  <w:num w:numId="4">
    <w:abstractNumId w:val="5"/>
    <w:lvlOverride w:ilvl="0">
      <w:lvl w:ilvl="0">
        <w:start w:val="1"/>
        <w:numFmt w:val="decimal"/>
        <w:pStyle w:val="Normalnumber"/>
        <w:lvlText w:val="%1."/>
        <w:lvlJc w:val="left"/>
        <w:pPr>
          <w:tabs>
            <w:tab w:val="num" w:pos="1134"/>
          </w:tabs>
          <w:ind w:left="1247" w:firstLine="0"/>
        </w:pPr>
        <w:rPr>
          <w:rFonts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0"/>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4">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5"/>
    <w:lvlOverride w:ilvl="0">
      <w:lvl w:ilvl="0">
        <w:start w:val="1"/>
        <w:numFmt w:val="decimal"/>
        <w:pStyle w:val="Normalnumber"/>
        <w:lvlText w:val="%1."/>
        <w:lvlJc w:val="left"/>
        <w:pPr>
          <w:tabs>
            <w:tab w:val="num" w:pos="1134"/>
          </w:tabs>
          <w:ind w:left="1247" w:firstLine="0"/>
        </w:pPr>
        <w:rPr>
          <w:rFonts w:hint="default"/>
        </w:rPr>
      </w:lvl>
    </w:lvlOverride>
  </w:num>
  <w:num w:numId="30">
    <w:abstractNumId w:val="5"/>
    <w:lvlOverride w:ilvl="0">
      <w:lvl w:ilvl="0">
        <w:start w:val="1"/>
        <w:numFmt w:val="decimal"/>
        <w:pStyle w:val="Normalnumber"/>
        <w:lvlText w:val="%1."/>
        <w:lvlJc w:val="left"/>
        <w:pPr>
          <w:tabs>
            <w:tab w:val="num" w:pos="1134"/>
          </w:tabs>
          <w:ind w:left="1247" w:firstLine="0"/>
        </w:pPr>
        <w:rPr>
          <w:rFonts w:hint="default"/>
        </w:rPr>
      </w:lvl>
    </w:lvlOverride>
  </w:num>
  <w:num w:numId="31">
    <w:abstractNumId w:val="5"/>
    <w:lvlOverride w:ilvl="0">
      <w:lvl w:ilvl="0">
        <w:start w:val="1"/>
        <w:numFmt w:val="decimal"/>
        <w:pStyle w:val="Normalnumber"/>
        <w:lvlText w:val="%1."/>
        <w:lvlJc w:val="left"/>
        <w:pPr>
          <w:tabs>
            <w:tab w:val="num" w:pos="1134"/>
          </w:tabs>
          <w:ind w:left="1247" w:firstLine="0"/>
        </w:pPr>
        <w:rPr>
          <w:rFonts w:hint="default"/>
        </w:rPr>
      </w:lvl>
    </w:lvlOverride>
  </w:num>
  <w:num w:numId="32">
    <w:abstractNumId w:val="5"/>
    <w:lvlOverride w:ilvl="0">
      <w:lvl w:ilvl="0">
        <w:start w:val="1"/>
        <w:numFmt w:val="decimal"/>
        <w:pStyle w:val="Normalnumber"/>
        <w:lvlText w:val="%1."/>
        <w:lvlJc w:val="left"/>
        <w:pPr>
          <w:tabs>
            <w:tab w:val="num" w:pos="1134"/>
          </w:tabs>
          <w:ind w:left="1247" w:firstLine="0"/>
        </w:pPr>
        <w:rPr>
          <w:rFonts w:hint="default"/>
        </w:rPr>
      </w:lvl>
    </w:lvlOverride>
  </w:num>
  <w:num w:numId="33">
    <w:abstractNumId w:val="5"/>
    <w:lvlOverride w:ilvl="0">
      <w:lvl w:ilvl="0">
        <w:start w:val="1"/>
        <w:numFmt w:val="decimal"/>
        <w:pStyle w:val="Normalnumber"/>
        <w:lvlText w:val="%1."/>
        <w:lvlJc w:val="left"/>
        <w:pPr>
          <w:tabs>
            <w:tab w:val="num" w:pos="1134"/>
          </w:tabs>
          <w:ind w:left="1247" w:firstLine="0"/>
        </w:pPr>
        <w:rPr>
          <w:rFonts w:hint="default"/>
        </w:rPr>
      </w:lvl>
    </w:lvlOverride>
  </w:num>
  <w:num w:numId="34">
    <w:abstractNumId w:val="5"/>
    <w:lvlOverride w:ilvl="0">
      <w:lvl w:ilvl="0">
        <w:start w:val="1"/>
        <w:numFmt w:val="decimal"/>
        <w:pStyle w:val="Normalnumber"/>
        <w:lvlText w:val="%1."/>
        <w:lvlJc w:val="left"/>
        <w:pPr>
          <w:tabs>
            <w:tab w:val="num" w:pos="1134"/>
          </w:tabs>
          <w:ind w:left="1247" w:firstLine="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1076"/>
    <w:rsid w:val="000247B0"/>
    <w:rsid w:val="00026997"/>
    <w:rsid w:val="00033E0B"/>
    <w:rsid w:val="00035EDE"/>
    <w:rsid w:val="000509B4"/>
    <w:rsid w:val="0006035B"/>
    <w:rsid w:val="00065148"/>
    <w:rsid w:val="00071886"/>
    <w:rsid w:val="000742BC"/>
    <w:rsid w:val="00082A0C"/>
    <w:rsid w:val="00083504"/>
    <w:rsid w:val="0009640C"/>
    <w:rsid w:val="000A146D"/>
    <w:rsid w:val="000B22A2"/>
    <w:rsid w:val="000C2A52"/>
    <w:rsid w:val="000C3245"/>
    <w:rsid w:val="000D33C0"/>
    <w:rsid w:val="000D6941"/>
    <w:rsid w:val="000F63F8"/>
    <w:rsid w:val="00111D18"/>
    <w:rsid w:val="001202E3"/>
    <w:rsid w:val="00123699"/>
    <w:rsid w:val="0013059D"/>
    <w:rsid w:val="00137C36"/>
    <w:rsid w:val="00141A55"/>
    <w:rsid w:val="001446A3"/>
    <w:rsid w:val="00155395"/>
    <w:rsid w:val="00160D74"/>
    <w:rsid w:val="00167D02"/>
    <w:rsid w:val="00181EC8"/>
    <w:rsid w:val="00184349"/>
    <w:rsid w:val="00195F33"/>
    <w:rsid w:val="001977B2"/>
    <w:rsid w:val="001A1536"/>
    <w:rsid w:val="001B1617"/>
    <w:rsid w:val="001B504B"/>
    <w:rsid w:val="001D3874"/>
    <w:rsid w:val="001D7E75"/>
    <w:rsid w:val="001E56D2"/>
    <w:rsid w:val="001E7D56"/>
    <w:rsid w:val="001F244B"/>
    <w:rsid w:val="001F6875"/>
    <w:rsid w:val="001F75DE"/>
    <w:rsid w:val="00200D58"/>
    <w:rsid w:val="002013BE"/>
    <w:rsid w:val="002030D2"/>
    <w:rsid w:val="002063A4"/>
    <w:rsid w:val="0021145B"/>
    <w:rsid w:val="00220760"/>
    <w:rsid w:val="00233E13"/>
    <w:rsid w:val="00243D36"/>
    <w:rsid w:val="00247707"/>
    <w:rsid w:val="0026018E"/>
    <w:rsid w:val="002815BB"/>
    <w:rsid w:val="00286740"/>
    <w:rsid w:val="002874CC"/>
    <w:rsid w:val="002929D8"/>
    <w:rsid w:val="002A237D"/>
    <w:rsid w:val="002A4C53"/>
    <w:rsid w:val="002B0672"/>
    <w:rsid w:val="002B247F"/>
    <w:rsid w:val="002B27F6"/>
    <w:rsid w:val="002C1316"/>
    <w:rsid w:val="002C145D"/>
    <w:rsid w:val="002C2C3E"/>
    <w:rsid w:val="002C533E"/>
    <w:rsid w:val="002D027F"/>
    <w:rsid w:val="002D6B7C"/>
    <w:rsid w:val="002D7A85"/>
    <w:rsid w:val="002D7B60"/>
    <w:rsid w:val="002E2371"/>
    <w:rsid w:val="002F4761"/>
    <w:rsid w:val="002F5C79"/>
    <w:rsid w:val="003019E2"/>
    <w:rsid w:val="00303337"/>
    <w:rsid w:val="00306862"/>
    <w:rsid w:val="0031413F"/>
    <w:rsid w:val="003148BB"/>
    <w:rsid w:val="00317976"/>
    <w:rsid w:val="003277D3"/>
    <w:rsid w:val="00345569"/>
    <w:rsid w:val="00355EA9"/>
    <w:rsid w:val="003578DE"/>
    <w:rsid w:val="003628D3"/>
    <w:rsid w:val="00396257"/>
    <w:rsid w:val="00396929"/>
    <w:rsid w:val="00397EB8"/>
    <w:rsid w:val="003A4FD0"/>
    <w:rsid w:val="003A69D1"/>
    <w:rsid w:val="003A7705"/>
    <w:rsid w:val="003A77F1"/>
    <w:rsid w:val="003B1545"/>
    <w:rsid w:val="003C409D"/>
    <w:rsid w:val="003C5BA6"/>
    <w:rsid w:val="003C6ABD"/>
    <w:rsid w:val="003E567D"/>
    <w:rsid w:val="003F0E85"/>
    <w:rsid w:val="00410C55"/>
    <w:rsid w:val="00413ADD"/>
    <w:rsid w:val="00416854"/>
    <w:rsid w:val="00417725"/>
    <w:rsid w:val="00437F26"/>
    <w:rsid w:val="00444097"/>
    <w:rsid w:val="00445487"/>
    <w:rsid w:val="00454769"/>
    <w:rsid w:val="00466991"/>
    <w:rsid w:val="0047064C"/>
    <w:rsid w:val="00471270"/>
    <w:rsid w:val="004A345B"/>
    <w:rsid w:val="004A42E1"/>
    <w:rsid w:val="004B162C"/>
    <w:rsid w:val="004C3DBE"/>
    <w:rsid w:val="004C5C96"/>
    <w:rsid w:val="004D06A4"/>
    <w:rsid w:val="004F1A81"/>
    <w:rsid w:val="0051220F"/>
    <w:rsid w:val="005218D9"/>
    <w:rsid w:val="0053499A"/>
    <w:rsid w:val="00536186"/>
    <w:rsid w:val="00542913"/>
    <w:rsid w:val="00542AD3"/>
    <w:rsid w:val="00544CBB"/>
    <w:rsid w:val="0057315F"/>
    <w:rsid w:val="00576104"/>
    <w:rsid w:val="005A13D4"/>
    <w:rsid w:val="005A1727"/>
    <w:rsid w:val="005A4A3B"/>
    <w:rsid w:val="005C67C8"/>
    <w:rsid w:val="005C7FD0"/>
    <w:rsid w:val="005D0249"/>
    <w:rsid w:val="005D6E8C"/>
    <w:rsid w:val="005E775D"/>
    <w:rsid w:val="005F06C5"/>
    <w:rsid w:val="005F100C"/>
    <w:rsid w:val="005F6108"/>
    <w:rsid w:val="005F68DA"/>
    <w:rsid w:val="0060773B"/>
    <w:rsid w:val="006157B5"/>
    <w:rsid w:val="00617147"/>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76F2"/>
    <w:rsid w:val="006C10B1"/>
    <w:rsid w:val="006D7EFB"/>
    <w:rsid w:val="006E199C"/>
    <w:rsid w:val="006E6672"/>
    <w:rsid w:val="006E6722"/>
    <w:rsid w:val="006F403C"/>
    <w:rsid w:val="007027B9"/>
    <w:rsid w:val="00715E88"/>
    <w:rsid w:val="0073311E"/>
    <w:rsid w:val="00734CAA"/>
    <w:rsid w:val="007476C3"/>
    <w:rsid w:val="007538EE"/>
    <w:rsid w:val="0075533C"/>
    <w:rsid w:val="00757581"/>
    <w:rsid w:val="007611A0"/>
    <w:rsid w:val="00764A22"/>
    <w:rsid w:val="0077501D"/>
    <w:rsid w:val="00796D3F"/>
    <w:rsid w:val="007A1683"/>
    <w:rsid w:val="007A5C12"/>
    <w:rsid w:val="007A7CB0"/>
    <w:rsid w:val="007B68A3"/>
    <w:rsid w:val="007C2541"/>
    <w:rsid w:val="007D4D34"/>
    <w:rsid w:val="007D66A8"/>
    <w:rsid w:val="007E003F"/>
    <w:rsid w:val="0080636D"/>
    <w:rsid w:val="0081058C"/>
    <w:rsid w:val="008164F2"/>
    <w:rsid w:val="00821395"/>
    <w:rsid w:val="00830E26"/>
    <w:rsid w:val="00843576"/>
    <w:rsid w:val="00843B64"/>
    <w:rsid w:val="008478FC"/>
    <w:rsid w:val="008520C8"/>
    <w:rsid w:val="008600C8"/>
    <w:rsid w:val="00867BFF"/>
    <w:rsid w:val="0088480A"/>
    <w:rsid w:val="0088757A"/>
    <w:rsid w:val="008957DD"/>
    <w:rsid w:val="00897D98"/>
    <w:rsid w:val="008A6DF2"/>
    <w:rsid w:val="008A7807"/>
    <w:rsid w:val="008B4CC9"/>
    <w:rsid w:val="008B59D1"/>
    <w:rsid w:val="008D7C99"/>
    <w:rsid w:val="008E0FCB"/>
    <w:rsid w:val="0092178C"/>
    <w:rsid w:val="00930B88"/>
    <w:rsid w:val="00940DCC"/>
    <w:rsid w:val="0094179A"/>
    <w:rsid w:val="0094459E"/>
    <w:rsid w:val="00944DBC"/>
    <w:rsid w:val="00950977"/>
    <w:rsid w:val="00951A7B"/>
    <w:rsid w:val="00955E83"/>
    <w:rsid w:val="009564A6"/>
    <w:rsid w:val="009604C2"/>
    <w:rsid w:val="00967621"/>
    <w:rsid w:val="00967E6A"/>
    <w:rsid w:val="009B4A0F"/>
    <w:rsid w:val="009C11D2"/>
    <w:rsid w:val="009C6C70"/>
    <w:rsid w:val="009D0B63"/>
    <w:rsid w:val="009E307E"/>
    <w:rsid w:val="00A07870"/>
    <w:rsid w:val="00A07F19"/>
    <w:rsid w:val="00A1348D"/>
    <w:rsid w:val="00A16DD3"/>
    <w:rsid w:val="00A232EE"/>
    <w:rsid w:val="00A4175F"/>
    <w:rsid w:val="00A44411"/>
    <w:rsid w:val="00A469FA"/>
    <w:rsid w:val="00A55B01"/>
    <w:rsid w:val="00A56B5B"/>
    <w:rsid w:val="00A603FF"/>
    <w:rsid w:val="00A60D1F"/>
    <w:rsid w:val="00A653CB"/>
    <w:rsid w:val="00A657DD"/>
    <w:rsid w:val="00A666A6"/>
    <w:rsid w:val="00A675FD"/>
    <w:rsid w:val="00A72437"/>
    <w:rsid w:val="00A73C3E"/>
    <w:rsid w:val="00A80611"/>
    <w:rsid w:val="00AB5340"/>
    <w:rsid w:val="00AC0A89"/>
    <w:rsid w:val="00AC74BB"/>
    <w:rsid w:val="00AC7C96"/>
    <w:rsid w:val="00AE237D"/>
    <w:rsid w:val="00AE502A"/>
    <w:rsid w:val="00AF127B"/>
    <w:rsid w:val="00AF7C07"/>
    <w:rsid w:val="00B1147B"/>
    <w:rsid w:val="00B22C93"/>
    <w:rsid w:val="00B27589"/>
    <w:rsid w:val="00B405B7"/>
    <w:rsid w:val="00B52222"/>
    <w:rsid w:val="00B54FE7"/>
    <w:rsid w:val="00B61D82"/>
    <w:rsid w:val="00B66901"/>
    <w:rsid w:val="00B71E6D"/>
    <w:rsid w:val="00B72070"/>
    <w:rsid w:val="00B779E1"/>
    <w:rsid w:val="00B91EE1"/>
    <w:rsid w:val="00BA0090"/>
    <w:rsid w:val="00BA04E5"/>
    <w:rsid w:val="00BA1A67"/>
    <w:rsid w:val="00BE1EBD"/>
    <w:rsid w:val="00BE5B5F"/>
    <w:rsid w:val="00C26F55"/>
    <w:rsid w:val="00C30C63"/>
    <w:rsid w:val="00C31F7F"/>
    <w:rsid w:val="00C36B8B"/>
    <w:rsid w:val="00C415C1"/>
    <w:rsid w:val="00C42D05"/>
    <w:rsid w:val="00C459DD"/>
    <w:rsid w:val="00C47DBF"/>
    <w:rsid w:val="00C552FF"/>
    <w:rsid w:val="00C558DA"/>
    <w:rsid w:val="00C55AF3"/>
    <w:rsid w:val="00C84759"/>
    <w:rsid w:val="00CA22CD"/>
    <w:rsid w:val="00CA6C7F"/>
    <w:rsid w:val="00CA780F"/>
    <w:rsid w:val="00CB385F"/>
    <w:rsid w:val="00CC10A6"/>
    <w:rsid w:val="00CD5EB8"/>
    <w:rsid w:val="00CD7044"/>
    <w:rsid w:val="00CE08B9"/>
    <w:rsid w:val="00CE404F"/>
    <w:rsid w:val="00CE524C"/>
    <w:rsid w:val="00CF141F"/>
    <w:rsid w:val="00CF4777"/>
    <w:rsid w:val="00D067BB"/>
    <w:rsid w:val="00D1352A"/>
    <w:rsid w:val="00D169AF"/>
    <w:rsid w:val="00D25249"/>
    <w:rsid w:val="00D307E8"/>
    <w:rsid w:val="00D32708"/>
    <w:rsid w:val="00D44172"/>
    <w:rsid w:val="00D63B8C"/>
    <w:rsid w:val="00D64394"/>
    <w:rsid w:val="00D739CC"/>
    <w:rsid w:val="00D8093D"/>
    <w:rsid w:val="00D8108C"/>
    <w:rsid w:val="00D842AE"/>
    <w:rsid w:val="00D9211C"/>
    <w:rsid w:val="00D92DE0"/>
    <w:rsid w:val="00D92FEF"/>
    <w:rsid w:val="00D93A0F"/>
    <w:rsid w:val="00D93BFF"/>
    <w:rsid w:val="00D94D36"/>
    <w:rsid w:val="00DA1BCA"/>
    <w:rsid w:val="00DA3EA9"/>
    <w:rsid w:val="00DA4671"/>
    <w:rsid w:val="00DB6065"/>
    <w:rsid w:val="00DC1A57"/>
    <w:rsid w:val="00DC1B35"/>
    <w:rsid w:val="00DC46FF"/>
    <w:rsid w:val="00DC5254"/>
    <w:rsid w:val="00DD1A4F"/>
    <w:rsid w:val="00DD3107"/>
    <w:rsid w:val="00DD7C2C"/>
    <w:rsid w:val="00DF17EE"/>
    <w:rsid w:val="00DF1E4C"/>
    <w:rsid w:val="00E06797"/>
    <w:rsid w:val="00E07703"/>
    <w:rsid w:val="00E1265B"/>
    <w:rsid w:val="00E13B48"/>
    <w:rsid w:val="00E1404F"/>
    <w:rsid w:val="00E21C83"/>
    <w:rsid w:val="00E24ADA"/>
    <w:rsid w:val="00E31636"/>
    <w:rsid w:val="00E32F59"/>
    <w:rsid w:val="00E46D9A"/>
    <w:rsid w:val="00E565FF"/>
    <w:rsid w:val="00E6359E"/>
    <w:rsid w:val="00E65388"/>
    <w:rsid w:val="00E85B7D"/>
    <w:rsid w:val="00E9121B"/>
    <w:rsid w:val="00E92894"/>
    <w:rsid w:val="00EA0AE2"/>
    <w:rsid w:val="00EA2D0F"/>
    <w:rsid w:val="00EA39E5"/>
    <w:rsid w:val="00EC5A46"/>
    <w:rsid w:val="00EC63E2"/>
    <w:rsid w:val="00EF22B3"/>
    <w:rsid w:val="00F03B69"/>
    <w:rsid w:val="00F044AD"/>
    <w:rsid w:val="00F07A50"/>
    <w:rsid w:val="00F113DA"/>
    <w:rsid w:val="00F277EB"/>
    <w:rsid w:val="00F27BB1"/>
    <w:rsid w:val="00F37DC8"/>
    <w:rsid w:val="00F439B3"/>
    <w:rsid w:val="00F56735"/>
    <w:rsid w:val="00F61341"/>
    <w:rsid w:val="00F650C3"/>
    <w:rsid w:val="00F65D85"/>
    <w:rsid w:val="00F8091E"/>
    <w:rsid w:val="00F8615C"/>
    <w:rsid w:val="00F874E0"/>
    <w:rsid w:val="00F969E5"/>
    <w:rsid w:val="00FA6BB0"/>
    <w:rsid w:val="00FB6300"/>
    <w:rsid w:val="00FC0D95"/>
    <w:rsid w:val="00FD2053"/>
    <w:rsid w:val="00FD5860"/>
    <w:rsid w:val="00FD7A9F"/>
    <w:rsid w:val="00FE186C"/>
    <w:rsid w:val="00FE352D"/>
    <w:rsid w:val="00FE40EB"/>
    <w:rsid w:val="00FE4D02"/>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8B867"/>
  <w15:chartTrackingRefBased/>
  <w15:docId w15:val="{4EA51368-057E-6D47-A56E-4D33155C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s-ES_tradnl"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5E83"/>
    <w:pPr>
      <w:autoSpaceDE w:val="0"/>
      <w:autoSpaceDN w:val="0"/>
      <w:adjustRightInd w:val="0"/>
    </w:pPr>
    <w:rPr>
      <w:color w:val="000000"/>
      <w:sz w:val="24"/>
      <w:szCs w:val="24"/>
    </w:rPr>
  </w:style>
  <w:style w:type="paragraph" w:styleId="Revision">
    <w:name w:val="Revision"/>
    <w:hidden/>
    <w:uiPriority w:val="99"/>
    <w:semiHidden/>
    <w:rsid w:val="000C3245"/>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4856122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B2A7-0C69-4A4E-81CA-562979E4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903CB-44CD-4799-B5CA-1967522D8F13}">
  <ds:schemaRefs>
    <ds:schemaRef ds:uri="http://schemas.microsoft.com/office/2006/documentManagement/types"/>
    <ds:schemaRef ds:uri="3c98c9ce-31e5-4a64-a655-42d13d8fa14b"/>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4e874372-ff28-4c18-a137-f1ec3c937b3c"/>
    <ds:schemaRef ds:uri="http://purl.org/dc/dcmitype/"/>
  </ds:schemaRefs>
</ds:datastoreItem>
</file>

<file path=customXml/itemProps3.xml><?xml version="1.0" encoding="utf-8"?>
<ds:datastoreItem xmlns:ds="http://schemas.openxmlformats.org/officeDocument/2006/customXml" ds:itemID="{3007B9AF-BE44-4803-91A5-55DA8EDB17AA}">
  <ds:schemaRefs>
    <ds:schemaRef ds:uri="http://schemas.microsoft.com/sharepoint/v3/contenttype/forms"/>
  </ds:schemaRefs>
</ds:datastoreItem>
</file>

<file path=customXml/itemProps4.xml><?xml version="1.0" encoding="utf-8"?>
<ds:datastoreItem xmlns:ds="http://schemas.openxmlformats.org/officeDocument/2006/customXml" ds:itemID="{44523FFD-DFA5-4754-B2D6-A7169E56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3</cp:revision>
  <cp:lastPrinted>2019-01-18T06:32:00Z</cp:lastPrinted>
  <dcterms:created xsi:type="dcterms:W3CDTF">2019-03-19T14:05:00Z</dcterms:created>
  <dcterms:modified xsi:type="dcterms:W3CDTF">2019-03-19T21:40:00Z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3/6/2019 6:59:56 AM</vt:lpwstr>
  </property>
  <property fmtid="{D5CDD505-2E9C-101B-9397-08002B2CF9AE}" pid="5" name="OriginalDocID">
    <vt:lpwstr>cc3519d2-e2ac-4613-800e-413a40faefbe</vt:lpwstr>
  </property>
  <property fmtid="{D5CDD505-2E9C-101B-9397-08002B2CF9AE}" pid="6" name="ContentTypeId">
    <vt:lpwstr>0x010100A93145753B523F4A8341B4F287D94C5D</vt:lpwstr>
  </property>
</Properties>
</file>