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F2B9" w14:textId="77777777" w:rsidR="00B27589" w:rsidRPr="00AD134F" w:rsidRDefault="00B27589" w:rsidP="00396929">
      <w:pPr>
        <w:pStyle w:val="Normal-pool"/>
      </w:pPr>
    </w:p>
    <w:tbl>
      <w:tblPr>
        <w:tblW w:w="5000" w:type="pct"/>
        <w:jc w:val="right"/>
        <w:tblLayout w:type="fixed"/>
        <w:tblLook w:val="0000" w:firstRow="0" w:lastRow="0" w:firstColumn="0" w:lastColumn="0" w:noHBand="0" w:noVBand="0"/>
      </w:tblPr>
      <w:tblGrid>
        <w:gridCol w:w="1490"/>
        <w:gridCol w:w="474"/>
        <w:gridCol w:w="497"/>
        <w:gridCol w:w="835"/>
        <w:gridCol w:w="972"/>
        <w:gridCol w:w="2346"/>
        <w:gridCol w:w="697"/>
        <w:gridCol w:w="560"/>
        <w:gridCol w:w="1625"/>
      </w:tblGrid>
      <w:tr w:rsidR="00396929" w:rsidRPr="00D24464" w14:paraId="03107217" w14:textId="77777777" w:rsidTr="005F5951">
        <w:trPr>
          <w:cantSplit/>
          <w:trHeight w:val="1079"/>
          <w:jc w:val="right"/>
        </w:trPr>
        <w:tc>
          <w:tcPr>
            <w:tcW w:w="1545" w:type="dxa"/>
          </w:tcPr>
          <w:p w14:paraId="43289B2B" w14:textId="77777777" w:rsidR="00396929" w:rsidRPr="00AD134F" w:rsidRDefault="00396929" w:rsidP="007F363F">
            <w:pPr>
              <w:pStyle w:val="Normal-pool"/>
              <w:rPr>
                <w:rFonts w:ascii="Arial" w:hAnsi="Arial" w:cs="Arial"/>
                <w:b/>
                <w:sz w:val="27"/>
                <w:szCs w:val="27"/>
              </w:rPr>
            </w:pPr>
            <w:r w:rsidRPr="00AD134F">
              <w:rPr>
                <w:rFonts w:ascii="Arial" w:hAnsi="Arial" w:cs="Arial"/>
                <w:b/>
                <w:noProof/>
                <w:sz w:val="27"/>
                <w:szCs w:val="27"/>
              </w:rPr>
              <w:t xml:space="preserve">UNITED </w:t>
            </w:r>
            <w:r w:rsidRPr="00AD134F">
              <w:rPr>
                <w:rFonts w:ascii="Arial" w:hAnsi="Arial" w:cs="Arial"/>
                <w:b/>
                <w:noProof/>
                <w:sz w:val="27"/>
                <w:szCs w:val="27"/>
              </w:rPr>
              <w:br/>
              <w:t>NATIONS</w:t>
            </w:r>
          </w:p>
        </w:tc>
        <w:tc>
          <w:tcPr>
            <w:tcW w:w="1004" w:type="dxa"/>
            <w:gridSpan w:val="2"/>
            <w:tcBorders>
              <w:left w:val="nil"/>
            </w:tcBorders>
            <w:vAlign w:val="center"/>
          </w:tcPr>
          <w:p w14:paraId="07D5930C" w14:textId="77777777" w:rsidR="00396929" w:rsidRPr="00AD134F" w:rsidRDefault="00396929" w:rsidP="007F363F">
            <w:pPr>
              <w:pStyle w:val="Normal-pool"/>
              <w:ind w:left="-108"/>
              <w:jc w:val="both"/>
            </w:pPr>
            <w:r w:rsidRPr="00EA5DB3">
              <w:rPr>
                <w:noProof/>
                <w:lang w:val="en-US" w:eastAsia="zh-CN"/>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61" w:type="dxa"/>
            <w:tcBorders>
              <w:left w:val="nil"/>
            </w:tcBorders>
            <w:vAlign w:val="center"/>
          </w:tcPr>
          <w:p w14:paraId="2776DF58" w14:textId="77777777" w:rsidR="00396929" w:rsidRPr="00AD134F" w:rsidRDefault="00396929" w:rsidP="007F363F">
            <w:pPr>
              <w:pStyle w:val="Normal-pool"/>
              <w:ind w:left="-108"/>
            </w:pPr>
            <w:r w:rsidRPr="00EA5DB3">
              <w:rPr>
                <w:noProof/>
                <w:lang w:val="en-US" w:eastAsia="zh-CN"/>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1004" w:type="dxa"/>
            <w:tcBorders>
              <w:left w:val="nil"/>
            </w:tcBorders>
            <w:vAlign w:val="center"/>
          </w:tcPr>
          <w:p w14:paraId="1662FE59" w14:textId="77777777" w:rsidR="00396929" w:rsidRPr="00AD134F" w:rsidRDefault="00396929" w:rsidP="007F363F">
            <w:pPr>
              <w:pStyle w:val="Normal-pool"/>
              <w:ind w:left="-108"/>
            </w:pPr>
            <w:r w:rsidRPr="00EA5DB3">
              <w:rPr>
                <w:noProof/>
                <w:lang w:val="en-US" w:eastAsia="zh-CN"/>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39" w:type="dxa"/>
            <w:tcBorders>
              <w:left w:val="nil"/>
            </w:tcBorders>
            <w:vAlign w:val="center"/>
          </w:tcPr>
          <w:p w14:paraId="6EC46BD4" w14:textId="77777777" w:rsidR="00396929" w:rsidRPr="00AD134F" w:rsidRDefault="00396929" w:rsidP="007F363F">
            <w:pPr>
              <w:pStyle w:val="Normal-pool"/>
              <w:ind w:left="-108"/>
            </w:pPr>
            <w:r w:rsidRPr="00EA5DB3">
              <w:rPr>
                <w:noProof/>
                <w:lang w:val="en-US" w:eastAsia="zh-CN"/>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17" w:type="dxa"/>
            <w:tcBorders>
              <w:left w:val="nil"/>
              <w:right w:val="nil"/>
            </w:tcBorders>
          </w:tcPr>
          <w:p w14:paraId="00699982" w14:textId="77777777" w:rsidR="00396929" w:rsidRPr="00AD134F" w:rsidRDefault="00396929" w:rsidP="007F363F">
            <w:pPr>
              <w:pStyle w:val="Normal-pool"/>
            </w:pPr>
            <w:r w:rsidRPr="00EA5DB3">
              <w:rPr>
                <w:noProof/>
                <w:lang w:val="en-US" w:eastAsia="zh-CN"/>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74" w:type="dxa"/>
            <w:tcBorders>
              <w:left w:val="nil"/>
            </w:tcBorders>
            <w:vAlign w:val="center"/>
          </w:tcPr>
          <w:p w14:paraId="6E32BC82" w14:textId="77777777" w:rsidR="00396929" w:rsidRPr="00AD134F" w:rsidRDefault="00396929" w:rsidP="007F363F">
            <w:pPr>
              <w:pStyle w:val="Normal-pool"/>
            </w:pPr>
          </w:p>
        </w:tc>
        <w:tc>
          <w:tcPr>
            <w:tcW w:w="1686" w:type="dxa"/>
          </w:tcPr>
          <w:p w14:paraId="2B76AE7B" w14:textId="77777777" w:rsidR="00396929" w:rsidRPr="00AD134F" w:rsidRDefault="00396929" w:rsidP="007F363F">
            <w:pPr>
              <w:pStyle w:val="Normal-pool"/>
              <w:rPr>
                <w:rFonts w:ascii="Arial" w:hAnsi="Arial" w:cs="Arial"/>
                <w:b/>
                <w:sz w:val="64"/>
                <w:szCs w:val="64"/>
              </w:rPr>
            </w:pPr>
            <w:r w:rsidRPr="00AD134F">
              <w:rPr>
                <w:rFonts w:ascii="Arial" w:hAnsi="Arial" w:cs="Arial"/>
                <w:b/>
                <w:sz w:val="64"/>
                <w:szCs w:val="64"/>
              </w:rPr>
              <w:t>BES</w:t>
            </w:r>
          </w:p>
        </w:tc>
      </w:tr>
      <w:tr w:rsidR="00396929" w:rsidRPr="00D24464" w14:paraId="1E9A5538" w14:textId="77777777" w:rsidTr="005F5951">
        <w:trPr>
          <w:cantSplit/>
          <w:trHeight w:val="282"/>
          <w:jc w:val="right"/>
        </w:trPr>
        <w:tc>
          <w:tcPr>
            <w:tcW w:w="1545" w:type="dxa"/>
            <w:tcBorders>
              <w:bottom w:val="single" w:sz="2" w:space="0" w:color="auto"/>
            </w:tcBorders>
          </w:tcPr>
          <w:p w14:paraId="28F581D2" w14:textId="77777777" w:rsidR="00396929" w:rsidRPr="00AD134F" w:rsidRDefault="00396929" w:rsidP="007F363F">
            <w:pPr>
              <w:pStyle w:val="Normal-pool"/>
              <w:rPr>
                <w:noProof/>
              </w:rPr>
            </w:pPr>
          </w:p>
        </w:tc>
        <w:tc>
          <w:tcPr>
            <w:tcW w:w="6025" w:type="dxa"/>
            <w:gridSpan w:val="6"/>
            <w:tcBorders>
              <w:bottom w:val="single" w:sz="2" w:space="0" w:color="auto"/>
            </w:tcBorders>
          </w:tcPr>
          <w:p w14:paraId="6D82283C" w14:textId="77777777" w:rsidR="00396929" w:rsidRPr="00AD134F" w:rsidRDefault="00396929" w:rsidP="007F363F">
            <w:pPr>
              <w:pStyle w:val="Normal-pool"/>
              <w:rPr>
                <w:sz w:val="24"/>
                <w:szCs w:val="24"/>
              </w:rPr>
            </w:pPr>
          </w:p>
        </w:tc>
        <w:tc>
          <w:tcPr>
            <w:tcW w:w="2260" w:type="dxa"/>
            <w:gridSpan w:val="2"/>
            <w:tcBorders>
              <w:bottom w:val="single" w:sz="2" w:space="0" w:color="auto"/>
            </w:tcBorders>
          </w:tcPr>
          <w:p w14:paraId="354E7990" w14:textId="11F89881" w:rsidR="00396929" w:rsidRPr="00AD134F" w:rsidRDefault="00396929" w:rsidP="007F363F">
            <w:pPr>
              <w:pStyle w:val="Normal-pool"/>
              <w:rPr>
                <w:sz w:val="24"/>
                <w:szCs w:val="24"/>
              </w:rPr>
            </w:pPr>
            <w:r w:rsidRPr="00AD134F">
              <w:rPr>
                <w:b/>
                <w:sz w:val="24"/>
                <w:szCs w:val="24"/>
              </w:rPr>
              <w:t>IPBES</w:t>
            </w:r>
            <w:r w:rsidRPr="00AD134F">
              <w:t>/</w:t>
            </w:r>
            <w:r w:rsidR="005F06C5" w:rsidRPr="00AD134F">
              <w:t>7</w:t>
            </w:r>
            <w:r w:rsidRPr="00AD134F">
              <w:t>/</w:t>
            </w:r>
            <w:r w:rsidR="009D05D9" w:rsidRPr="00AD134F">
              <w:t>1/Add.2</w:t>
            </w:r>
          </w:p>
        </w:tc>
      </w:tr>
      <w:tr w:rsidR="00396929" w:rsidRPr="00D24464" w14:paraId="44558741" w14:textId="77777777" w:rsidTr="005F5951">
        <w:trPr>
          <w:cantSplit/>
          <w:trHeight w:val="1433"/>
          <w:jc w:val="right"/>
        </w:trPr>
        <w:tc>
          <w:tcPr>
            <w:tcW w:w="2034" w:type="dxa"/>
            <w:gridSpan w:val="2"/>
            <w:tcBorders>
              <w:top w:val="single" w:sz="2" w:space="0" w:color="auto"/>
              <w:bottom w:val="single" w:sz="24" w:space="0" w:color="auto"/>
            </w:tcBorders>
          </w:tcPr>
          <w:p w14:paraId="21C3F8E6" w14:textId="77777777" w:rsidR="00396929" w:rsidRPr="00AD134F" w:rsidRDefault="00396929" w:rsidP="007F363F">
            <w:pPr>
              <w:pStyle w:val="Normal-pool"/>
              <w:spacing w:before="240" w:after="240"/>
              <w:rPr>
                <w:sz w:val="28"/>
                <w:szCs w:val="28"/>
              </w:rPr>
            </w:pPr>
            <w:r w:rsidRPr="00EA5DB3">
              <w:rPr>
                <w:noProof/>
                <w:sz w:val="28"/>
                <w:szCs w:val="28"/>
                <w:lang w:val="en-US" w:eastAsia="zh-CN"/>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536" w:type="dxa"/>
            <w:gridSpan w:val="5"/>
            <w:tcBorders>
              <w:top w:val="single" w:sz="2" w:space="0" w:color="auto"/>
              <w:bottom w:val="single" w:sz="24" w:space="0" w:color="auto"/>
            </w:tcBorders>
          </w:tcPr>
          <w:p w14:paraId="763041D4" w14:textId="77777777" w:rsidR="00396929" w:rsidRPr="00AD134F" w:rsidRDefault="00396929" w:rsidP="007F363F">
            <w:pPr>
              <w:pStyle w:val="Normal-pool"/>
              <w:spacing w:before="120" w:after="240"/>
              <w:rPr>
                <w:rFonts w:ascii="Arial" w:hAnsi="Arial" w:cs="Arial"/>
                <w:b/>
              </w:rPr>
            </w:pPr>
            <w:r w:rsidRPr="00AD134F">
              <w:rPr>
                <w:rFonts w:ascii="Arial" w:hAnsi="Arial" w:cs="Arial"/>
                <w:b/>
                <w:sz w:val="28"/>
                <w:szCs w:val="28"/>
              </w:rPr>
              <w:t>Intergovernmental Science-Policy Platform on Biodiversity and Ecosystem Services</w:t>
            </w:r>
          </w:p>
        </w:tc>
        <w:tc>
          <w:tcPr>
            <w:tcW w:w="2260" w:type="dxa"/>
            <w:gridSpan w:val="2"/>
            <w:tcBorders>
              <w:top w:val="single" w:sz="2" w:space="0" w:color="auto"/>
              <w:bottom w:val="single" w:sz="24" w:space="0" w:color="auto"/>
            </w:tcBorders>
          </w:tcPr>
          <w:p w14:paraId="345A5DA6" w14:textId="7471FC8E" w:rsidR="00396929" w:rsidRPr="00AD134F" w:rsidRDefault="00396929" w:rsidP="00471270">
            <w:pPr>
              <w:pStyle w:val="Normal-pool"/>
              <w:spacing w:before="120"/>
            </w:pPr>
            <w:r w:rsidRPr="00AD134F">
              <w:t>Distr.: General</w:t>
            </w:r>
            <w:r w:rsidR="005F06C5" w:rsidRPr="00AD134F">
              <w:t xml:space="preserve"> </w:t>
            </w:r>
            <w:r w:rsidRPr="00AD134F">
              <w:br/>
            </w:r>
            <w:r w:rsidR="006A5EF5" w:rsidRPr="00AD134F">
              <w:t>11</w:t>
            </w:r>
            <w:r w:rsidR="00AF45DB" w:rsidRPr="00AD134F">
              <w:t xml:space="preserve"> February 2019</w:t>
            </w:r>
          </w:p>
          <w:p w14:paraId="09C7780F" w14:textId="77777777" w:rsidR="00396929" w:rsidRPr="00AD134F" w:rsidRDefault="00396929" w:rsidP="00471270">
            <w:pPr>
              <w:pStyle w:val="Normal-pool"/>
              <w:spacing w:before="120"/>
            </w:pPr>
            <w:r w:rsidRPr="00AD134F">
              <w:t>Original: English</w:t>
            </w:r>
          </w:p>
        </w:tc>
      </w:tr>
    </w:tbl>
    <w:p w14:paraId="2DC42FB8" w14:textId="77777777" w:rsidR="005F5951" w:rsidRPr="00AD134F" w:rsidRDefault="005F5951" w:rsidP="005F5951">
      <w:pPr>
        <w:pStyle w:val="AATitle"/>
      </w:pPr>
      <w:r w:rsidRPr="00AD134F">
        <w:t>Plenary of the Intergovernmental Science-Policy</w:t>
      </w:r>
    </w:p>
    <w:p w14:paraId="5A677857" w14:textId="77777777" w:rsidR="005F5951" w:rsidRPr="00AD134F" w:rsidRDefault="005F5951" w:rsidP="005F5951">
      <w:pPr>
        <w:pStyle w:val="AATitle"/>
      </w:pPr>
      <w:r w:rsidRPr="00AD134F">
        <w:t>Platform on Biodiversity and Ecosystem Services</w:t>
      </w:r>
    </w:p>
    <w:p w14:paraId="4E807AEB" w14:textId="77777777" w:rsidR="005F5951" w:rsidRPr="00AD134F" w:rsidRDefault="005F5951" w:rsidP="005F5951">
      <w:pPr>
        <w:pStyle w:val="AATitle"/>
      </w:pPr>
      <w:r w:rsidRPr="00AD134F">
        <w:t>Seventh session</w:t>
      </w:r>
    </w:p>
    <w:p w14:paraId="31F876FE" w14:textId="77777777" w:rsidR="005F5951" w:rsidRPr="00AD134F" w:rsidRDefault="005F5951" w:rsidP="005F5951">
      <w:pPr>
        <w:pStyle w:val="AATitle"/>
        <w:rPr>
          <w:b w:val="0"/>
        </w:rPr>
      </w:pPr>
      <w:r w:rsidRPr="00AD134F">
        <w:rPr>
          <w:b w:val="0"/>
          <w:lang w:eastAsia="ja-JP"/>
        </w:rPr>
        <w:t>Paris, 29 April–4 May 2019</w:t>
      </w:r>
    </w:p>
    <w:p w14:paraId="23F9BE26" w14:textId="288E4206" w:rsidR="005F5951" w:rsidRPr="00AD134F" w:rsidRDefault="009D05D9" w:rsidP="005F5951">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sidRPr="00AD134F">
        <w:rPr>
          <w:rFonts w:ascii="Times New Roman" w:eastAsia="Times New Roman" w:hAnsi="Times New Roman"/>
          <w:sz w:val="20"/>
          <w:szCs w:val="20"/>
          <w:lang w:val="en-GB"/>
        </w:rPr>
        <w:t>Item 12</w:t>
      </w:r>
      <w:r w:rsidR="005F5951" w:rsidRPr="00AD134F">
        <w:rPr>
          <w:rFonts w:ascii="Times New Roman" w:eastAsia="Times New Roman" w:hAnsi="Times New Roman"/>
          <w:sz w:val="20"/>
          <w:szCs w:val="20"/>
          <w:lang w:val="en-GB"/>
        </w:rPr>
        <w:t xml:space="preserve"> of the provisional agenda</w:t>
      </w:r>
      <w:r w:rsidR="005F5951" w:rsidRPr="00AD134F">
        <w:rPr>
          <w:rFonts w:ascii="Times New Roman" w:eastAsia="Times New Roman" w:hAnsi="Times New Roman"/>
          <w:sz w:val="20"/>
          <w:szCs w:val="18"/>
          <w:lang w:val="en-GB"/>
        </w:rPr>
        <w:footnoteReference w:customMarkFollows="1" w:id="1"/>
        <w:t>*</w:t>
      </w:r>
    </w:p>
    <w:p w14:paraId="53C75232" w14:textId="4808F385" w:rsidR="00F56735" w:rsidRPr="00AD134F" w:rsidRDefault="009D05D9" w:rsidP="00D24464">
      <w:pPr>
        <w:pStyle w:val="AATitle2"/>
        <w:spacing w:before="60"/>
      </w:pPr>
      <w:r w:rsidRPr="00AD134F">
        <w:t>Adoption of the decisions and report of the session</w:t>
      </w:r>
    </w:p>
    <w:p w14:paraId="76D222E2" w14:textId="70C78A4B" w:rsidR="00BF5164" w:rsidRPr="00AD134F" w:rsidRDefault="00BF5164" w:rsidP="00BF5164">
      <w:pPr>
        <w:pStyle w:val="BBTitle"/>
      </w:pPr>
      <w:r w:rsidRPr="00AD134F">
        <w:t xml:space="preserve">Draft decisions for the seventh session of the Plenary of the Intergovernmental Science-Policy Platform on Biodiversity and Ecosystem Services </w:t>
      </w:r>
    </w:p>
    <w:p w14:paraId="76912352" w14:textId="77777777" w:rsidR="00BF5164" w:rsidRPr="00AD134F" w:rsidRDefault="00BF5164" w:rsidP="00BF5164">
      <w:pPr>
        <w:pStyle w:val="CH2"/>
      </w:pPr>
      <w:r w:rsidRPr="00AD134F">
        <w:tab/>
      </w:r>
      <w:r w:rsidRPr="00AD134F">
        <w:tab/>
        <w:t>Note by the Secretariat</w:t>
      </w:r>
    </w:p>
    <w:p w14:paraId="3904FE4B" w14:textId="77777777" w:rsidR="00BF5164" w:rsidRPr="00AD134F" w:rsidRDefault="00BF5164" w:rsidP="00BF5164">
      <w:pPr>
        <w:pStyle w:val="CH1"/>
      </w:pPr>
      <w:r w:rsidRPr="00AD134F">
        <w:tab/>
      </w:r>
      <w:r w:rsidRPr="00AD134F">
        <w:tab/>
        <w:t>Introduction</w:t>
      </w:r>
    </w:p>
    <w:p w14:paraId="0F9C66AE" w14:textId="3AC522F3" w:rsidR="00BF5164" w:rsidRPr="00AD134F" w:rsidRDefault="00BF5164" w:rsidP="00BF5164">
      <w:pPr>
        <w:pStyle w:val="Normalnumber"/>
        <w:numPr>
          <w:ilvl w:val="0"/>
          <w:numId w:val="9"/>
        </w:numPr>
        <w:tabs>
          <w:tab w:val="clear" w:pos="1247"/>
          <w:tab w:val="clear" w:pos="1814"/>
          <w:tab w:val="clear" w:pos="2381"/>
          <w:tab w:val="clear" w:pos="2948"/>
          <w:tab w:val="clear" w:pos="3515"/>
          <w:tab w:val="clear" w:pos="4082"/>
          <w:tab w:val="left" w:pos="624"/>
        </w:tabs>
        <w:ind w:left="1247" w:firstLine="0"/>
      </w:pPr>
      <w:r w:rsidRPr="00AD134F">
        <w:t xml:space="preserve">The present note sets out draft decisions for consideration by the Plenary of the Intergovernmental Science-Policy Platform on Biodiversity and Ecosystem Services (IPBES) at its seventh session. It was prepared by the Executive Secretary to assist the Plenary in the development of decisions for adoption on the items on the agenda for the session. The draft decisions follow the structure of the decisions adopted by the Plenary at its previous sessions. The note indicates the item of the provisional agenda (IPBES/7/1) under which each draft decision is expected to be considered. </w:t>
      </w:r>
    </w:p>
    <w:p w14:paraId="4119147D" w14:textId="10FA4A0F" w:rsidR="009835EB" w:rsidRPr="00D24464" w:rsidRDefault="009835EB" w:rsidP="009835EB">
      <w:pPr>
        <w:pStyle w:val="CH1"/>
      </w:pPr>
      <w:r w:rsidRPr="00AD134F">
        <w:tab/>
        <w:t>I.</w:t>
      </w:r>
      <w:r w:rsidRPr="00AD134F">
        <w:tab/>
        <w:t xml:space="preserve">Draft decision: </w:t>
      </w:r>
      <w:r w:rsidR="00505887" w:rsidRPr="00AD134F">
        <w:t xml:space="preserve">Review of the </w:t>
      </w:r>
      <w:r w:rsidR="00222A88" w:rsidRPr="00222A88">
        <w:t>Intergovernmental Science-Policy Platform on Biod</w:t>
      </w:r>
      <w:r w:rsidR="00222A88">
        <w:t>iversity and Ecosystem Services</w:t>
      </w:r>
      <w:r w:rsidR="00505887" w:rsidRPr="00AD134F">
        <w:t xml:space="preserve"> at the conclusion of its first work programme</w:t>
      </w:r>
    </w:p>
    <w:p w14:paraId="402AE94E" w14:textId="797707DD" w:rsidR="00505887" w:rsidRPr="00AD134F" w:rsidRDefault="00505887" w:rsidP="00BA544F">
      <w:pPr>
        <w:pStyle w:val="Normalnumber"/>
        <w:numPr>
          <w:ilvl w:val="0"/>
          <w:numId w:val="9"/>
        </w:numPr>
        <w:tabs>
          <w:tab w:val="clear" w:pos="1247"/>
          <w:tab w:val="clear" w:pos="1814"/>
          <w:tab w:val="clear" w:pos="2381"/>
          <w:tab w:val="clear" w:pos="2948"/>
          <w:tab w:val="clear" w:pos="3515"/>
          <w:tab w:val="clear" w:pos="4082"/>
          <w:tab w:val="left" w:pos="624"/>
        </w:tabs>
        <w:ind w:left="1247" w:firstLine="0"/>
      </w:pPr>
      <w:r w:rsidRPr="00AD134F">
        <w:t xml:space="preserve">The Plenary may wish to consider the following draft decision on the review of </w:t>
      </w:r>
      <w:r w:rsidR="00222A88">
        <w:t>IPBES</w:t>
      </w:r>
      <w:r w:rsidRPr="00AD134F">
        <w:t xml:space="preserve"> at the conclusion of its first work programme under item 8 of the provisional agenda: </w:t>
      </w:r>
    </w:p>
    <w:p w14:paraId="30CF0D2F" w14:textId="78796E61" w:rsidR="009835EB" w:rsidRPr="00AD134F" w:rsidRDefault="009835EB" w:rsidP="009835EB">
      <w:pPr>
        <w:pStyle w:val="Normal-pool"/>
        <w:tabs>
          <w:tab w:val="clear" w:pos="1247"/>
          <w:tab w:val="clear" w:pos="1814"/>
          <w:tab w:val="clear" w:pos="2381"/>
          <w:tab w:val="clear" w:pos="2948"/>
          <w:tab w:val="clear" w:pos="3515"/>
          <w:tab w:val="clear" w:pos="4082"/>
          <w:tab w:val="left" w:pos="624"/>
        </w:tabs>
        <w:spacing w:after="120"/>
        <w:ind w:left="1871" w:firstLine="624"/>
        <w:rPr>
          <w:i/>
        </w:rPr>
      </w:pPr>
      <w:r w:rsidRPr="00AD134F">
        <w:rPr>
          <w:i/>
        </w:rPr>
        <w:t xml:space="preserve">The Plenary, </w:t>
      </w:r>
    </w:p>
    <w:p w14:paraId="5A7AB54B" w14:textId="66759DF2" w:rsidR="00A871D2" w:rsidRPr="00AD134F" w:rsidRDefault="00A871D2" w:rsidP="00A871D2">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i/>
        </w:rPr>
        <w:t xml:space="preserve">Welcoming </w:t>
      </w:r>
      <w:r w:rsidRPr="00AD134F">
        <w:t xml:space="preserve">the report of the Executive Secretary on the implementation of the first work programme of the </w:t>
      </w:r>
      <w:r w:rsidR="00222A88" w:rsidRPr="00222A88">
        <w:rPr>
          <w:lang w:val="en-US"/>
        </w:rPr>
        <w:t>Intergovernmental Science-Policy Platform on Biod</w:t>
      </w:r>
      <w:r w:rsidR="00222A88">
        <w:rPr>
          <w:lang w:val="en-US"/>
        </w:rPr>
        <w:t>iversity and Ecosystem Services</w:t>
      </w:r>
      <w:r w:rsidRPr="00AD134F">
        <w:t>,</w:t>
      </w:r>
      <w:r w:rsidRPr="00AD134F">
        <w:rPr>
          <w:rStyle w:val="FootnoteReference"/>
        </w:rPr>
        <w:footnoteReference w:id="2"/>
      </w:r>
    </w:p>
    <w:p w14:paraId="658C8297" w14:textId="45D9CFEC" w:rsidR="00A871D2" w:rsidRPr="00AD134F" w:rsidRDefault="00A871D2" w:rsidP="00A871D2">
      <w:pPr>
        <w:pStyle w:val="Normal-pool"/>
        <w:tabs>
          <w:tab w:val="clear" w:pos="1247"/>
          <w:tab w:val="clear" w:pos="1814"/>
          <w:tab w:val="clear" w:pos="2381"/>
          <w:tab w:val="clear" w:pos="2948"/>
          <w:tab w:val="clear" w:pos="3515"/>
          <w:tab w:val="clear" w:pos="4082"/>
          <w:tab w:val="left" w:pos="624"/>
        </w:tabs>
        <w:spacing w:after="120"/>
        <w:ind w:left="1871" w:firstLine="624"/>
        <w:rPr>
          <w:i/>
        </w:rPr>
      </w:pPr>
      <w:r w:rsidRPr="00AD134F">
        <w:rPr>
          <w:i/>
        </w:rPr>
        <w:t xml:space="preserve">Acknowledging with appreciation </w:t>
      </w:r>
      <w:r w:rsidRPr="00AD134F">
        <w:t>the outstanding contributions made by all experts involved in the implementation of the first work programme of the Platform</w:t>
      </w:r>
      <w:r w:rsidR="00222A88">
        <w:t>,</w:t>
      </w:r>
      <w:r w:rsidRPr="00AD134F">
        <w:t xml:space="preserve"> and thanking them </w:t>
      </w:r>
      <w:r w:rsidR="0052505E" w:rsidRPr="00AD134F">
        <w:t xml:space="preserve">and their institutions </w:t>
      </w:r>
      <w:r w:rsidRPr="00AD134F">
        <w:t>for their unwavering commitment thereto,</w:t>
      </w:r>
      <w:r w:rsidRPr="00AD134F">
        <w:rPr>
          <w:i/>
        </w:rPr>
        <w:t xml:space="preserve"> </w:t>
      </w:r>
    </w:p>
    <w:p w14:paraId="7BBEAE9A" w14:textId="4EB8B231" w:rsidR="00F2205C" w:rsidRPr="00AD134F" w:rsidRDefault="00F2205C" w:rsidP="009835EB">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i/>
        </w:rPr>
        <w:t xml:space="preserve">Recalling </w:t>
      </w:r>
      <w:r w:rsidRPr="00AD134F">
        <w:t xml:space="preserve">its decision </w:t>
      </w:r>
      <w:bookmarkStart w:id="0" w:name="_GoBack"/>
      <w:bookmarkEnd w:id="0"/>
      <w:r w:rsidRPr="00AD134F">
        <w:t>IPBES-5/2,</w:t>
      </w:r>
      <w:r w:rsidRPr="00AD134F">
        <w:rPr>
          <w:i/>
        </w:rPr>
        <w:t xml:space="preserve"> </w:t>
      </w:r>
      <w:r w:rsidRPr="00AD134F">
        <w:t xml:space="preserve">in which it </w:t>
      </w:r>
      <w:r w:rsidR="008F12AA" w:rsidRPr="00AD134F">
        <w:t xml:space="preserve">approved </w:t>
      </w:r>
      <w:r w:rsidRPr="00AD134F">
        <w:t xml:space="preserve">the terms of reference for the review of the Platform at the conclusion of its first work programme, </w:t>
      </w:r>
    </w:p>
    <w:p w14:paraId="20845018" w14:textId="75C9220B" w:rsidR="00BF2A3F" w:rsidRPr="00AD134F" w:rsidRDefault="00F2205C" w:rsidP="009835EB">
      <w:pPr>
        <w:pStyle w:val="Normal-pool"/>
        <w:tabs>
          <w:tab w:val="clear" w:pos="1247"/>
          <w:tab w:val="clear" w:pos="1814"/>
          <w:tab w:val="clear" w:pos="2381"/>
          <w:tab w:val="clear" w:pos="2948"/>
          <w:tab w:val="clear" w:pos="3515"/>
          <w:tab w:val="clear" w:pos="4082"/>
          <w:tab w:val="left" w:pos="624"/>
        </w:tabs>
        <w:spacing w:after="120"/>
        <w:ind w:left="1871" w:firstLine="624"/>
        <w:rPr>
          <w:i/>
        </w:rPr>
      </w:pPr>
      <w:r w:rsidRPr="00AD134F">
        <w:rPr>
          <w:i/>
        </w:rPr>
        <w:lastRenderedPageBreak/>
        <w:t>Also r</w:t>
      </w:r>
      <w:r w:rsidR="00BF2A3F" w:rsidRPr="00AD134F">
        <w:rPr>
          <w:i/>
        </w:rPr>
        <w:t xml:space="preserve">ecalling </w:t>
      </w:r>
      <w:r w:rsidRPr="00AD134F">
        <w:t>its</w:t>
      </w:r>
      <w:r w:rsidRPr="00AD134F">
        <w:rPr>
          <w:i/>
        </w:rPr>
        <w:t xml:space="preserve"> </w:t>
      </w:r>
      <w:r w:rsidR="00BF2A3F" w:rsidRPr="00AD134F">
        <w:t>decision IPBES-6/1, section VIII, in which it took note of the report prepared by the internal review team,</w:t>
      </w:r>
      <w:r w:rsidRPr="00AD134F">
        <w:rPr>
          <w:rStyle w:val="FootnoteReference"/>
        </w:rPr>
        <w:footnoteReference w:id="3"/>
      </w:r>
      <w:r w:rsidR="00BF2A3F" w:rsidRPr="00AD134F">
        <w:rPr>
          <w:i/>
        </w:rPr>
        <w:t xml:space="preserve"> </w:t>
      </w:r>
    </w:p>
    <w:p w14:paraId="1CFD7ED9" w14:textId="638B15FD" w:rsidR="00BF2A3F" w:rsidRPr="00AD134F" w:rsidRDefault="00F2205C" w:rsidP="009835EB">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t>1.</w:t>
      </w:r>
      <w:r w:rsidRPr="00AD134F">
        <w:rPr>
          <w:i/>
        </w:rPr>
        <w:tab/>
      </w:r>
      <w:r w:rsidR="005051D4">
        <w:rPr>
          <w:i/>
        </w:rPr>
        <w:t>Takes note of</w:t>
      </w:r>
      <w:r w:rsidR="009835EB" w:rsidRPr="00AD134F">
        <w:t xml:space="preserve"> the </w:t>
      </w:r>
      <w:r w:rsidR="00BF2A3F" w:rsidRPr="00AD134F">
        <w:t>activities undertaken to implement the recommendations from the report prepare</w:t>
      </w:r>
      <w:r w:rsidR="004D464D" w:rsidRPr="00AD134F">
        <w:t>d by the internal review team;</w:t>
      </w:r>
      <w:r w:rsidR="008C04CE" w:rsidRPr="00AD134F">
        <w:rPr>
          <w:rStyle w:val="FootnoteReference"/>
        </w:rPr>
        <w:footnoteReference w:id="4"/>
      </w:r>
      <w:r w:rsidR="00BF2A3F" w:rsidRPr="00AD134F">
        <w:t xml:space="preserve"> </w:t>
      </w:r>
    </w:p>
    <w:p w14:paraId="006EE253" w14:textId="7B71E37F" w:rsidR="00F43E61" w:rsidRPr="00AD134F" w:rsidRDefault="004D464D" w:rsidP="00F43E61">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t>2.</w:t>
      </w:r>
      <w:r w:rsidRPr="00AD134F">
        <w:rPr>
          <w:i/>
        </w:rPr>
        <w:tab/>
      </w:r>
      <w:r w:rsidR="005051D4" w:rsidRPr="004476E3">
        <w:rPr>
          <w:i/>
          <w:iCs/>
        </w:rPr>
        <w:t>Welcomes</w:t>
      </w:r>
      <w:r w:rsidRPr="00AD134F">
        <w:t xml:space="preserve"> the report on the review of the Platform at the conclusion of its first work programme by the review panel,</w:t>
      </w:r>
      <w:r w:rsidRPr="00AD134F">
        <w:rPr>
          <w:rStyle w:val="FootnoteReference"/>
        </w:rPr>
        <w:footnoteReference w:id="5"/>
      </w:r>
      <w:r w:rsidRPr="00AD134F">
        <w:t xml:space="preserve"> </w:t>
      </w:r>
    </w:p>
    <w:p w14:paraId="5767DFA4" w14:textId="4537B3C5" w:rsidR="00804735" w:rsidRPr="00AD134F" w:rsidRDefault="00F43E61" w:rsidP="005051D4">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t>3.</w:t>
      </w:r>
      <w:r w:rsidRPr="00AD134F">
        <w:tab/>
      </w:r>
      <w:r w:rsidR="005051D4">
        <w:rPr>
          <w:i/>
        </w:rPr>
        <w:t>Also welcomes</w:t>
      </w:r>
      <w:r w:rsidRPr="00AD134F">
        <w:t xml:space="preserve"> </w:t>
      </w:r>
      <w:r w:rsidR="004D464D" w:rsidRPr="00AD134F">
        <w:t>the response by the Multidisciplinary Expert Panel and the Bureau</w:t>
      </w:r>
      <w:r w:rsidR="004D464D" w:rsidRPr="00AD134F">
        <w:rPr>
          <w:rStyle w:val="FootnoteReference"/>
        </w:rPr>
        <w:footnoteReference w:id="6"/>
      </w:r>
      <w:r w:rsidR="004D464D" w:rsidRPr="00AD134F">
        <w:t xml:space="preserve"> and the response by the Executive Secretary</w:t>
      </w:r>
      <w:r w:rsidR="004605C2" w:rsidRPr="00AD134F">
        <w:rPr>
          <w:rStyle w:val="FootnoteReference"/>
        </w:rPr>
        <w:footnoteReference w:id="7"/>
      </w:r>
      <w:r w:rsidR="004D464D" w:rsidRPr="00AD134F">
        <w:t xml:space="preserve"> to the report</w:t>
      </w:r>
      <w:r w:rsidR="00620AC9" w:rsidRPr="00AD134F">
        <w:t xml:space="preserve"> referred to in paragraph 2 above</w:t>
      </w:r>
      <w:r w:rsidR="004D464D" w:rsidRPr="00AD134F">
        <w:t xml:space="preserve">; </w:t>
      </w:r>
    </w:p>
    <w:p w14:paraId="65507310" w14:textId="45F9926C" w:rsidR="00804735" w:rsidRPr="00AD134F" w:rsidRDefault="005051D4" w:rsidP="009835EB">
      <w:pPr>
        <w:pStyle w:val="Normal-pool"/>
        <w:tabs>
          <w:tab w:val="clear" w:pos="1247"/>
          <w:tab w:val="clear" w:pos="1814"/>
          <w:tab w:val="clear" w:pos="2381"/>
          <w:tab w:val="clear" w:pos="2948"/>
          <w:tab w:val="clear" w:pos="3515"/>
          <w:tab w:val="clear" w:pos="4082"/>
          <w:tab w:val="left" w:pos="624"/>
        </w:tabs>
        <w:spacing w:after="120"/>
        <w:ind w:left="1871" w:firstLine="624"/>
      </w:pPr>
      <w:r>
        <w:t>4</w:t>
      </w:r>
      <w:r w:rsidR="00804735" w:rsidRPr="00AD134F">
        <w:t>.</w:t>
      </w:r>
      <w:r w:rsidR="00804735" w:rsidRPr="00AD134F">
        <w:tab/>
      </w:r>
      <w:r w:rsidR="00804735" w:rsidRPr="00AD134F">
        <w:rPr>
          <w:i/>
        </w:rPr>
        <w:t>Requests</w:t>
      </w:r>
      <w:r w:rsidR="00804735" w:rsidRPr="00AD134F">
        <w:t xml:space="preserve"> the Bureau, the Multidisciplinary Expert Panel and the Executive Secretary, as appropriate, to take the recommendations </w:t>
      </w:r>
      <w:r>
        <w:t>made by the review panel</w:t>
      </w:r>
      <w:r>
        <w:rPr>
          <w:rStyle w:val="FootnoteReference"/>
        </w:rPr>
        <w:footnoteReference w:id="8"/>
      </w:r>
      <w:r>
        <w:t xml:space="preserve"> </w:t>
      </w:r>
      <w:r w:rsidR="00804735" w:rsidRPr="00AD134F">
        <w:t xml:space="preserve">into account in the implementation of the work programme of the Platform up to 2030 and to </w:t>
      </w:r>
      <w:r w:rsidR="00B41E57" w:rsidRPr="00AD134F">
        <w:t>inform</w:t>
      </w:r>
      <w:r w:rsidR="00804735" w:rsidRPr="00AD134F">
        <w:t xml:space="preserve"> the Plenary at its </w:t>
      </w:r>
      <w:r w:rsidR="000E2993" w:rsidRPr="00AD134F">
        <w:t>eight</w:t>
      </w:r>
      <w:r w:rsidR="00804735" w:rsidRPr="00AD134F">
        <w:t>h session</w:t>
      </w:r>
      <w:r w:rsidR="00160131" w:rsidRPr="00AD134F">
        <w:t xml:space="preserve"> on </w:t>
      </w:r>
      <w:r w:rsidR="009002CD">
        <w:t xml:space="preserve">the </w:t>
      </w:r>
      <w:r w:rsidR="00160131" w:rsidRPr="00AD134F">
        <w:t xml:space="preserve">progress </w:t>
      </w:r>
      <w:r w:rsidR="00B41E57" w:rsidRPr="00AD134F">
        <w:t>made</w:t>
      </w:r>
      <w:r w:rsidR="00804735" w:rsidRPr="00AD134F">
        <w:t>.</w:t>
      </w:r>
    </w:p>
    <w:p w14:paraId="7E1BD61B" w14:textId="6C1C577F" w:rsidR="00BF5164" w:rsidRPr="00AD134F" w:rsidRDefault="00BF5164" w:rsidP="00BF5164">
      <w:pPr>
        <w:pStyle w:val="CH1"/>
      </w:pPr>
      <w:r w:rsidRPr="00AD134F">
        <w:tab/>
        <w:t>I</w:t>
      </w:r>
      <w:r w:rsidR="009835EB" w:rsidRPr="00AD134F">
        <w:t>I</w:t>
      </w:r>
      <w:r w:rsidRPr="00AD134F">
        <w:t>.</w:t>
      </w:r>
      <w:r w:rsidRPr="00AD134F">
        <w:tab/>
        <w:t xml:space="preserve">Draft decision: </w:t>
      </w:r>
      <w:r w:rsidR="009835EB" w:rsidRPr="00AD134F">
        <w:t>W</w:t>
      </w:r>
      <w:r w:rsidR="00531035" w:rsidRPr="00AD134F">
        <w:t xml:space="preserve">ork programme of the </w:t>
      </w:r>
      <w:r w:rsidR="0095524F" w:rsidRPr="0095524F">
        <w:rPr>
          <w:lang w:val="en-US"/>
        </w:rPr>
        <w:t>Intergovernmental Science-Policy Platform on Biodiversity and Ecosystem Services</w:t>
      </w:r>
      <w:r w:rsidR="00531035" w:rsidRPr="00AD134F">
        <w:t xml:space="preserve"> up to 2030</w:t>
      </w:r>
    </w:p>
    <w:p w14:paraId="4AB2AF9F" w14:textId="064DEF9F" w:rsidR="00BA544F" w:rsidRPr="00AD134F" w:rsidRDefault="00BA544F" w:rsidP="00BA544F">
      <w:pPr>
        <w:pStyle w:val="Normalnumber"/>
        <w:numPr>
          <w:ilvl w:val="0"/>
          <w:numId w:val="9"/>
        </w:numPr>
        <w:tabs>
          <w:tab w:val="clear" w:pos="1247"/>
          <w:tab w:val="clear" w:pos="1814"/>
          <w:tab w:val="clear" w:pos="2381"/>
          <w:tab w:val="clear" w:pos="2948"/>
          <w:tab w:val="clear" w:pos="3515"/>
          <w:tab w:val="clear" w:pos="4082"/>
          <w:tab w:val="left" w:pos="624"/>
        </w:tabs>
        <w:ind w:left="1247" w:firstLine="0"/>
      </w:pPr>
      <w:r w:rsidRPr="00AD134F">
        <w:t xml:space="preserve">The Plenary may wish to consider the following draft decision on the </w:t>
      </w:r>
      <w:r w:rsidR="00DF06E7" w:rsidRPr="00AD134F">
        <w:t xml:space="preserve">work programme </w:t>
      </w:r>
      <w:r w:rsidRPr="00AD134F">
        <w:t xml:space="preserve">of the Platform </w:t>
      </w:r>
      <w:r w:rsidR="00DF06E7" w:rsidRPr="00AD134F">
        <w:t xml:space="preserve">up to 2030 </w:t>
      </w:r>
      <w:r w:rsidR="009F48B7" w:rsidRPr="00AD134F">
        <w:t>under item 9 of</w:t>
      </w:r>
      <w:r w:rsidRPr="00AD134F">
        <w:t xml:space="preserve"> the provisional agenda: </w:t>
      </w:r>
    </w:p>
    <w:p w14:paraId="343E570F" w14:textId="2FDF73C7" w:rsidR="00BF5164" w:rsidRPr="00AD134F" w:rsidRDefault="00BF5164" w:rsidP="00BF5164">
      <w:pPr>
        <w:pStyle w:val="Normal-pool"/>
        <w:tabs>
          <w:tab w:val="clear" w:pos="1247"/>
          <w:tab w:val="clear" w:pos="1814"/>
          <w:tab w:val="clear" w:pos="2381"/>
          <w:tab w:val="clear" w:pos="2948"/>
          <w:tab w:val="clear" w:pos="3515"/>
          <w:tab w:val="clear" w:pos="4082"/>
          <w:tab w:val="left" w:pos="624"/>
        </w:tabs>
        <w:spacing w:after="120"/>
        <w:ind w:left="1871" w:firstLine="624"/>
        <w:rPr>
          <w:i/>
        </w:rPr>
      </w:pPr>
      <w:r w:rsidRPr="00AD134F">
        <w:rPr>
          <w:i/>
        </w:rPr>
        <w:t xml:space="preserve">The Plenary, </w:t>
      </w:r>
    </w:p>
    <w:p w14:paraId="2A6956F6" w14:textId="534D7AB3" w:rsidR="00697CFF" w:rsidRPr="00AD134F" w:rsidRDefault="00697CFF" w:rsidP="00BF5164">
      <w:pPr>
        <w:pStyle w:val="Normal-pool"/>
        <w:tabs>
          <w:tab w:val="clear" w:pos="1247"/>
          <w:tab w:val="clear" w:pos="1814"/>
          <w:tab w:val="clear" w:pos="2381"/>
          <w:tab w:val="clear" w:pos="2948"/>
          <w:tab w:val="clear" w:pos="3515"/>
          <w:tab w:val="clear" w:pos="4082"/>
          <w:tab w:val="left" w:pos="624"/>
        </w:tabs>
        <w:spacing w:after="120"/>
        <w:ind w:left="1871" w:firstLine="624"/>
        <w:rPr>
          <w:i/>
        </w:rPr>
      </w:pPr>
      <w:r w:rsidRPr="00AD134F">
        <w:rPr>
          <w:i/>
        </w:rPr>
        <w:t xml:space="preserve">Recalling </w:t>
      </w:r>
      <w:r w:rsidRPr="00AD134F">
        <w:t xml:space="preserve">its decisions </w:t>
      </w:r>
      <w:r w:rsidRPr="00044F9A">
        <w:t>IPBES-5/3 and IPBES-6/2,</w:t>
      </w:r>
      <w:r w:rsidRPr="00AD134F">
        <w:rPr>
          <w:i/>
        </w:rPr>
        <w:t xml:space="preserve"> </w:t>
      </w:r>
    </w:p>
    <w:p w14:paraId="0F98262A" w14:textId="551D5892" w:rsidR="00D6538E" w:rsidRPr="00AD134F" w:rsidRDefault="00587BF9" w:rsidP="00BF5164">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i/>
        </w:rPr>
        <w:t xml:space="preserve">Acknowledging with appreciation </w:t>
      </w:r>
      <w:r w:rsidR="00BF5164" w:rsidRPr="00AD134F">
        <w:t xml:space="preserve">the </w:t>
      </w:r>
      <w:r w:rsidR="00D6538E" w:rsidRPr="00AD134F">
        <w:t xml:space="preserve">efforts of the Bureau and the Multidisciplinary Expert Panel and the contributions by members and stakeholders of the </w:t>
      </w:r>
      <w:r w:rsidR="0095524F" w:rsidRPr="0095524F">
        <w:rPr>
          <w:lang w:val="en-US"/>
        </w:rPr>
        <w:t>Intergovernmental Science-Policy Platform on Biod</w:t>
      </w:r>
      <w:r w:rsidR="0095524F">
        <w:rPr>
          <w:lang w:val="en-US"/>
        </w:rPr>
        <w:t>iversity and Ecosystem Services</w:t>
      </w:r>
      <w:r w:rsidR="00D6538E" w:rsidRPr="00AD134F">
        <w:t xml:space="preserve"> in the development of the work programme of the Platform up to 2030, </w:t>
      </w:r>
    </w:p>
    <w:p w14:paraId="765F6C98" w14:textId="61DBC263" w:rsidR="00D6538E" w:rsidRPr="00AD134F" w:rsidRDefault="00D6538E" w:rsidP="00BF5164">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i/>
        </w:rPr>
        <w:t xml:space="preserve">Welcoming </w:t>
      </w:r>
      <w:r w:rsidRPr="00AD134F">
        <w:t xml:space="preserve">the requests, inputs and suggestions </w:t>
      </w:r>
      <w:r w:rsidR="002068E6" w:rsidRPr="00AD134F">
        <w:t>on short-term priorities and longer</w:t>
      </w:r>
      <w:r w:rsidR="006A5EF5" w:rsidRPr="00AD134F">
        <w:noBreakHyphen/>
      </w:r>
      <w:r w:rsidR="002068E6" w:rsidRPr="00AD134F">
        <w:t>term strategic needs</w:t>
      </w:r>
      <w:r w:rsidR="008C4FF0" w:rsidRPr="00AD134F">
        <w:t xml:space="preserve">, including those submitted by </w:t>
      </w:r>
      <w:r w:rsidR="00F42829" w:rsidRPr="00AD134F">
        <w:t xml:space="preserve">the relevant bodies of </w:t>
      </w:r>
      <w:r w:rsidR="008C4FF0" w:rsidRPr="00AD134F">
        <w:t>multilateral environmental agreements related to biodiversity and ecosystem services,</w:t>
      </w:r>
    </w:p>
    <w:p w14:paraId="052DC393" w14:textId="4D23157F" w:rsidR="007C1847" w:rsidRPr="00AD134F" w:rsidRDefault="007C1847" w:rsidP="00BF5164">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i/>
          <w:iCs/>
        </w:rPr>
        <w:t xml:space="preserve">Taking note </w:t>
      </w:r>
      <w:r w:rsidRPr="00AD134F">
        <w:t>of the report</w:t>
      </w:r>
      <w:r w:rsidRPr="00AD134F">
        <w:rPr>
          <w:sz w:val="13"/>
          <w:szCs w:val="13"/>
        </w:rPr>
        <w:t xml:space="preserve"> </w:t>
      </w:r>
      <w:r w:rsidR="00697CFF" w:rsidRPr="00AD134F">
        <w:t>by the Multidisciplinary Expert Panel and the Bureau</w:t>
      </w:r>
      <w:r w:rsidR="00427750" w:rsidRPr="00AD134F">
        <w:rPr>
          <w:rStyle w:val="FootnoteReference"/>
        </w:rPr>
        <w:footnoteReference w:id="9"/>
      </w:r>
      <w:r w:rsidR="00697CFF" w:rsidRPr="00AD134F">
        <w:t xml:space="preserve"> </w:t>
      </w:r>
      <w:r w:rsidRPr="00AD134F">
        <w:t>containing a prioritized list of requests</w:t>
      </w:r>
      <w:r w:rsidR="00697CFF" w:rsidRPr="00AD134F">
        <w:t>, inputs and suggestions</w:t>
      </w:r>
      <w:r w:rsidRPr="00AD134F">
        <w:t xml:space="preserve"> </w:t>
      </w:r>
      <w:r w:rsidR="00697CFF" w:rsidRPr="00AD134F">
        <w:t>prepared in line with decision IPBES-6/2 and</w:t>
      </w:r>
      <w:r w:rsidRPr="00AD134F">
        <w:t xml:space="preserve"> </w:t>
      </w:r>
      <w:r w:rsidR="00697CFF" w:rsidRPr="00AD134F">
        <w:t>the procedure for receiving and prioritizing requests put to the Platform set out in decision IPBES-1/3</w:t>
      </w:r>
      <w:r w:rsidRPr="00AD134F">
        <w:t>,</w:t>
      </w:r>
    </w:p>
    <w:p w14:paraId="06C98530" w14:textId="46BD38A4" w:rsidR="0073164F" w:rsidRPr="00AD134F" w:rsidRDefault="0073164F" w:rsidP="0073164F">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t>1.</w:t>
      </w:r>
      <w:r w:rsidRPr="00AD134F">
        <w:rPr>
          <w:i/>
        </w:rPr>
        <w:tab/>
      </w:r>
      <w:r w:rsidRPr="00AD134F">
        <w:rPr>
          <w:i/>
          <w:iCs/>
        </w:rPr>
        <w:t xml:space="preserve">Adopts </w:t>
      </w:r>
      <w:r w:rsidRPr="00AD134F">
        <w:t>the work programme of the Platform for the period up to 2030 set out in annex</w:t>
      </w:r>
      <w:r w:rsidR="003F3D2A" w:rsidRPr="00AD134F">
        <w:t xml:space="preserve"> </w:t>
      </w:r>
      <w:r w:rsidR="00587BF9" w:rsidRPr="00AD134F">
        <w:t>[   ]</w:t>
      </w:r>
      <w:r w:rsidR="00425AD2" w:rsidRPr="00425AD2">
        <w:t xml:space="preserve"> to the present decision;</w:t>
      </w:r>
      <w:r w:rsidR="00587BF9" w:rsidRPr="00AD134F">
        <w:rPr>
          <w:rStyle w:val="FootnoteReference"/>
        </w:rPr>
        <w:footnoteReference w:id="10"/>
      </w:r>
      <w:r w:rsidRPr="00AD134F">
        <w:t xml:space="preserve"> </w:t>
      </w:r>
    </w:p>
    <w:p w14:paraId="48AC0B32" w14:textId="7C4AB030" w:rsidR="0073164F" w:rsidRPr="00AD134F" w:rsidRDefault="0073164F" w:rsidP="0073164F">
      <w:pPr>
        <w:pStyle w:val="Normal-pool"/>
        <w:tabs>
          <w:tab w:val="clear" w:pos="1247"/>
          <w:tab w:val="clear" w:pos="1814"/>
          <w:tab w:val="clear" w:pos="2381"/>
          <w:tab w:val="clear" w:pos="2948"/>
          <w:tab w:val="clear" w:pos="3515"/>
          <w:tab w:val="clear" w:pos="4082"/>
          <w:tab w:val="left" w:pos="624"/>
        </w:tabs>
        <w:spacing w:after="120"/>
        <w:ind w:left="1871" w:firstLine="624"/>
        <w:rPr>
          <w:i/>
        </w:rPr>
      </w:pPr>
      <w:r w:rsidRPr="00D24464">
        <w:rPr>
          <w:iCs/>
        </w:rPr>
        <w:t>2.</w:t>
      </w:r>
      <w:r w:rsidRPr="00AD134F">
        <w:rPr>
          <w:i/>
          <w:iCs/>
        </w:rPr>
        <w:tab/>
        <w:t xml:space="preserve">Decides </w:t>
      </w:r>
      <w:r w:rsidRPr="00AD134F">
        <w:rPr>
          <w:iCs/>
        </w:rPr>
        <w:t xml:space="preserve">to launch </w:t>
      </w:r>
      <w:r w:rsidR="00DF1707" w:rsidRPr="00AD134F">
        <w:rPr>
          <w:iCs/>
        </w:rPr>
        <w:t>two</w:t>
      </w:r>
      <w:r w:rsidRPr="00AD134F">
        <w:rPr>
          <w:iCs/>
        </w:rPr>
        <w:t xml:space="preserve"> call</w:t>
      </w:r>
      <w:r w:rsidR="00DF1707" w:rsidRPr="00AD134F">
        <w:rPr>
          <w:iCs/>
        </w:rPr>
        <w:t>s</w:t>
      </w:r>
      <w:r w:rsidRPr="00AD134F">
        <w:rPr>
          <w:iCs/>
        </w:rPr>
        <w:t xml:space="preserve"> for further requests, inputs and suggestions </w:t>
      </w:r>
      <w:r w:rsidR="004825C2">
        <w:rPr>
          <w:iCs/>
        </w:rPr>
        <w:t>regarding</w:t>
      </w:r>
      <w:r w:rsidRPr="00AD134F">
        <w:rPr>
          <w:iCs/>
        </w:rPr>
        <w:t xml:space="preserve"> the work programme</w:t>
      </w:r>
      <w:r w:rsidR="00EC1F94" w:rsidRPr="00AD134F">
        <w:rPr>
          <w:iCs/>
        </w:rPr>
        <w:t>, one</w:t>
      </w:r>
      <w:r w:rsidRPr="00AD134F">
        <w:rPr>
          <w:iCs/>
        </w:rPr>
        <w:t xml:space="preserve"> in time for their consi</w:t>
      </w:r>
      <w:r w:rsidR="003D07BE" w:rsidRPr="00AD134F">
        <w:rPr>
          <w:iCs/>
        </w:rPr>
        <w:t xml:space="preserve">deration by the Plenary </w:t>
      </w:r>
      <w:r w:rsidR="00427750" w:rsidRPr="00AD134F">
        <w:rPr>
          <w:iCs/>
        </w:rPr>
        <w:t>at its tenth</w:t>
      </w:r>
      <w:r w:rsidR="003D07BE" w:rsidRPr="00AD134F">
        <w:rPr>
          <w:iCs/>
        </w:rPr>
        <w:t xml:space="preserve"> session</w:t>
      </w:r>
      <w:r w:rsidR="00EC1F94" w:rsidRPr="00AD134F">
        <w:rPr>
          <w:iCs/>
        </w:rPr>
        <w:t xml:space="preserve"> and </w:t>
      </w:r>
      <w:r w:rsidR="004825C2">
        <w:rPr>
          <w:iCs/>
        </w:rPr>
        <w:t>the other</w:t>
      </w:r>
      <w:r w:rsidR="00BA415E" w:rsidRPr="00AD134F">
        <w:rPr>
          <w:iCs/>
        </w:rPr>
        <w:t xml:space="preserve"> </w:t>
      </w:r>
      <w:r w:rsidR="00EC1F94" w:rsidRPr="00AD134F">
        <w:rPr>
          <w:iCs/>
        </w:rPr>
        <w:t xml:space="preserve">in time for their consideration by the Plenary </w:t>
      </w:r>
      <w:r w:rsidR="00FB2D6A">
        <w:rPr>
          <w:iCs/>
        </w:rPr>
        <w:t>during</w:t>
      </w:r>
      <w:r w:rsidR="00BA415E" w:rsidRPr="00AD134F">
        <w:rPr>
          <w:iCs/>
        </w:rPr>
        <w:t xml:space="preserve"> </w:t>
      </w:r>
      <w:r w:rsidR="00044F9A">
        <w:rPr>
          <w:iCs/>
        </w:rPr>
        <w:t xml:space="preserve">the </w:t>
      </w:r>
      <w:r w:rsidR="00BA415E" w:rsidRPr="00AD134F">
        <w:rPr>
          <w:iCs/>
        </w:rPr>
        <w:t xml:space="preserve">mid-term </w:t>
      </w:r>
      <w:r w:rsidR="00044F9A">
        <w:rPr>
          <w:iCs/>
        </w:rPr>
        <w:t xml:space="preserve">phase </w:t>
      </w:r>
      <w:r w:rsidR="00BA415E" w:rsidRPr="00AD134F">
        <w:rPr>
          <w:iCs/>
        </w:rPr>
        <w:t>of the work programme</w:t>
      </w:r>
      <w:r w:rsidR="003D07BE" w:rsidRPr="00AD134F">
        <w:rPr>
          <w:iCs/>
        </w:rPr>
        <w:t>;</w:t>
      </w:r>
      <w:r w:rsidR="003D07BE" w:rsidRPr="00AD134F">
        <w:rPr>
          <w:i/>
          <w:iCs/>
        </w:rPr>
        <w:t xml:space="preserve"> </w:t>
      </w:r>
    </w:p>
    <w:p w14:paraId="2B6B084A" w14:textId="77777777" w:rsidR="00BF5164" w:rsidRPr="00AD134F" w:rsidRDefault="00BF5164" w:rsidP="003D07BE">
      <w:pPr>
        <w:pStyle w:val="Normal-pool"/>
        <w:keepNext/>
        <w:keepLines/>
        <w:spacing w:before="240" w:after="120"/>
        <w:ind w:left="1886"/>
        <w:jc w:val="center"/>
        <w:rPr>
          <w:b/>
        </w:rPr>
      </w:pPr>
      <w:r w:rsidRPr="00AD134F">
        <w:rPr>
          <w:b/>
        </w:rPr>
        <w:t>I</w:t>
      </w:r>
    </w:p>
    <w:p w14:paraId="4429D56D" w14:textId="6E619DA3" w:rsidR="00BF5164" w:rsidRPr="00AD134F" w:rsidRDefault="00BF5164" w:rsidP="003D07BE">
      <w:pPr>
        <w:pStyle w:val="Normal-pool"/>
        <w:keepNext/>
        <w:keepLines/>
        <w:spacing w:after="120"/>
        <w:ind w:left="1890"/>
        <w:jc w:val="center"/>
        <w:rPr>
          <w:b/>
        </w:rPr>
      </w:pPr>
      <w:r w:rsidRPr="00AD134F">
        <w:rPr>
          <w:b/>
        </w:rPr>
        <w:t>Implementation of the work programme of the Platform</w:t>
      </w:r>
      <w:r w:rsidR="003D07BE" w:rsidRPr="00AD134F">
        <w:rPr>
          <w:b/>
        </w:rPr>
        <w:t xml:space="preserve"> up to 2030</w:t>
      </w:r>
    </w:p>
    <w:p w14:paraId="100B68E1" w14:textId="58561BF2" w:rsidR="003D07BE" w:rsidRPr="00AD134F" w:rsidRDefault="003D07BE" w:rsidP="003D07BE">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t>1</w:t>
      </w:r>
      <w:r w:rsidRPr="00AD134F">
        <w:rPr>
          <w:i/>
        </w:rPr>
        <w:t>.</w:t>
      </w:r>
      <w:r w:rsidRPr="00AD134F">
        <w:rPr>
          <w:i/>
        </w:rPr>
        <w:tab/>
        <w:t>Decides</w:t>
      </w:r>
      <w:r w:rsidRPr="00AD134F">
        <w:t xml:space="preserve"> to proceed with the implementation of the work programme in accordance with the approved budget set out in decision IPBES</w:t>
      </w:r>
      <w:r w:rsidRPr="00AD134F">
        <w:noBreakHyphen/>
        <w:t>7</w:t>
      </w:r>
      <w:r w:rsidR="00856260" w:rsidRPr="00AD134F">
        <w:t>/[   ];</w:t>
      </w:r>
    </w:p>
    <w:p w14:paraId="1718E6BF" w14:textId="58C27AD2" w:rsidR="00856260" w:rsidRPr="00AD134F" w:rsidRDefault="00856260" w:rsidP="003D07BE">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lastRenderedPageBreak/>
        <w:t>2.</w:t>
      </w:r>
      <w:r w:rsidRPr="00AD134F">
        <w:tab/>
      </w:r>
      <w:r w:rsidRPr="00AD134F">
        <w:rPr>
          <w:i/>
        </w:rPr>
        <w:t>Requests</w:t>
      </w:r>
      <w:r w:rsidRPr="00AD134F">
        <w:t xml:space="preserve"> the Executive Secretary to provide a report on progress in the implementation of the work programme </w:t>
      </w:r>
      <w:r w:rsidR="007D35CB" w:rsidRPr="00AD134F">
        <w:t>in line with the present</w:t>
      </w:r>
      <w:r w:rsidRPr="00AD134F">
        <w:t xml:space="preserve"> decision to the Plenary at its eighth session. </w:t>
      </w:r>
    </w:p>
    <w:p w14:paraId="3ABB069E" w14:textId="77777777" w:rsidR="00427750" w:rsidRPr="00AD134F" w:rsidRDefault="00427750" w:rsidP="00427750">
      <w:pPr>
        <w:pStyle w:val="Normal-pool"/>
        <w:keepNext/>
        <w:keepLines/>
        <w:spacing w:before="240" w:after="120"/>
        <w:ind w:left="1890"/>
        <w:jc w:val="center"/>
        <w:rPr>
          <w:b/>
        </w:rPr>
      </w:pPr>
      <w:r w:rsidRPr="00AD134F">
        <w:rPr>
          <w:b/>
        </w:rPr>
        <w:t>II</w:t>
      </w:r>
    </w:p>
    <w:p w14:paraId="33F9A5A7" w14:textId="24773A81" w:rsidR="00427750" w:rsidRPr="00AD134F" w:rsidRDefault="00427750" w:rsidP="00427750">
      <w:pPr>
        <w:pStyle w:val="Normal-pool"/>
        <w:keepNext/>
        <w:keepLines/>
        <w:tabs>
          <w:tab w:val="clear" w:pos="1247"/>
          <w:tab w:val="left" w:pos="1890"/>
        </w:tabs>
        <w:spacing w:after="120"/>
        <w:ind w:left="1800"/>
        <w:jc w:val="center"/>
        <w:rPr>
          <w:b/>
        </w:rPr>
      </w:pPr>
      <w:r w:rsidRPr="00AD134F">
        <w:rPr>
          <w:b/>
        </w:rPr>
        <w:t>Assessing knowledge</w:t>
      </w:r>
    </w:p>
    <w:p w14:paraId="0B54D1BC" w14:textId="567F7221" w:rsidR="00427750" w:rsidRPr="00AD134F" w:rsidRDefault="00427750" w:rsidP="00427750">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rPr>
      </w:pPr>
      <w:r w:rsidRPr="00AD134F">
        <w:rPr>
          <w:rFonts w:eastAsia="Calibri"/>
        </w:rPr>
        <w:t>1.</w:t>
      </w:r>
      <w:r w:rsidRPr="00AD134F">
        <w:rPr>
          <w:rFonts w:eastAsia="Calibri"/>
          <w:i/>
        </w:rPr>
        <w:tab/>
        <w:t>Approves</w:t>
      </w:r>
      <w:r w:rsidRPr="00AD134F">
        <w:rPr>
          <w:rFonts w:eastAsia="Calibri"/>
        </w:rPr>
        <w:t xml:space="preserve"> the summary for policymakers of the global assessment of biodiversity and ecosystem services</w:t>
      </w:r>
      <w:r w:rsidRPr="00AD134F">
        <w:rPr>
          <w:rStyle w:val="FootnoteReference"/>
          <w:rFonts w:eastAsia="Calibri"/>
        </w:rPr>
        <w:footnoteReference w:id="11"/>
      </w:r>
      <w:r w:rsidRPr="00AD134F">
        <w:rPr>
          <w:rFonts w:eastAsia="Calibri"/>
        </w:rPr>
        <w:t xml:space="preserve"> and accepts the chapters of the assessment</w:t>
      </w:r>
      <w:r w:rsidR="004825C2">
        <w:rPr>
          <w:rFonts w:eastAsia="Calibri"/>
        </w:rPr>
        <w:t>,</w:t>
      </w:r>
      <w:r w:rsidRPr="00AD134F">
        <w:rPr>
          <w:rFonts w:eastAsia="Calibri"/>
        </w:rPr>
        <w:t xml:space="preserve"> including their executive summaries;</w:t>
      </w:r>
      <w:r w:rsidRPr="00AD134F">
        <w:rPr>
          <w:rFonts w:eastAsia="Calibri"/>
          <w:szCs w:val="18"/>
          <w:vertAlign w:val="superscript"/>
        </w:rPr>
        <w:footnoteReference w:id="12"/>
      </w:r>
    </w:p>
    <w:p w14:paraId="4FFED983" w14:textId="5840E17D" w:rsidR="00427750" w:rsidRPr="00AD134F" w:rsidRDefault="00427750" w:rsidP="00427750">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rPr>
      </w:pPr>
      <w:r w:rsidRPr="00AD134F">
        <w:rPr>
          <w:rFonts w:eastAsia="Calibri"/>
        </w:rPr>
        <w:t>2.</w:t>
      </w:r>
      <w:r w:rsidRPr="00AD134F">
        <w:rPr>
          <w:rFonts w:eastAsia="Calibri"/>
          <w:i/>
        </w:rPr>
        <w:tab/>
      </w:r>
      <w:bookmarkStart w:id="1" w:name="_Hlk500170660"/>
      <w:r w:rsidRPr="00AD134F">
        <w:rPr>
          <w:rFonts w:eastAsia="Calibri"/>
          <w:i/>
        </w:rPr>
        <w:t>Also approves</w:t>
      </w:r>
      <w:r w:rsidRPr="00AD134F">
        <w:rPr>
          <w:rFonts w:eastAsia="Calibri"/>
        </w:rPr>
        <w:t xml:space="preserve"> </w:t>
      </w:r>
      <w:r w:rsidR="001D24F1" w:rsidRPr="00AD134F">
        <w:rPr>
          <w:rFonts w:eastAsia="Calibri"/>
        </w:rPr>
        <w:t>a scoping process for a thematic</w:t>
      </w:r>
      <w:r w:rsidRPr="00AD134F">
        <w:rPr>
          <w:rFonts w:eastAsia="Calibri"/>
        </w:rPr>
        <w:t xml:space="preserve"> assessment </w:t>
      </w:r>
      <w:r w:rsidR="001D24F1" w:rsidRPr="00AD134F">
        <w:rPr>
          <w:rFonts w:eastAsia="Calibri"/>
        </w:rPr>
        <w:t xml:space="preserve">of </w:t>
      </w:r>
      <w:r w:rsidR="00966FB6">
        <w:rPr>
          <w:rFonts w:eastAsia="Calibri"/>
        </w:rPr>
        <w:t xml:space="preserve">the </w:t>
      </w:r>
      <w:r w:rsidR="001D24F1" w:rsidRPr="00AD134F">
        <w:rPr>
          <w:rFonts w:eastAsia="Calibri"/>
        </w:rPr>
        <w:t xml:space="preserve">interlinkages </w:t>
      </w:r>
      <w:r w:rsidR="00966FB6">
        <w:rPr>
          <w:rFonts w:eastAsia="Calibri"/>
        </w:rPr>
        <w:t>among</w:t>
      </w:r>
      <w:r w:rsidR="001D24F1" w:rsidRPr="00AD134F">
        <w:rPr>
          <w:rFonts w:eastAsia="Calibri"/>
        </w:rPr>
        <w:t xml:space="preserve"> biodiversity, water, food and health, </w:t>
      </w:r>
      <w:r w:rsidRPr="00AD134F">
        <w:rPr>
          <w:rFonts w:eastAsia="Calibri"/>
        </w:rPr>
        <w:t>for consideration by the Plenary at its eighth session, in accordance with the procedures for the preparation of the Platform deliverables</w:t>
      </w:r>
      <w:r w:rsidRPr="00AD134F">
        <w:rPr>
          <w:rStyle w:val="FootnoteReference"/>
          <w:rFonts w:eastAsia="Calibri"/>
        </w:rPr>
        <w:footnoteReference w:id="13"/>
      </w:r>
      <w:r w:rsidRPr="00AD134F">
        <w:rPr>
          <w:rFonts w:eastAsia="Calibri"/>
        </w:rPr>
        <w:t xml:space="preserve"> and based on the initial scoping report for the assessment</w:t>
      </w:r>
      <w:r w:rsidR="00301AC6">
        <w:rPr>
          <w:rFonts w:eastAsia="Calibri"/>
        </w:rPr>
        <w:t>,</w:t>
      </w:r>
      <w:r w:rsidRPr="00AD134F">
        <w:rPr>
          <w:rStyle w:val="FootnoteReference"/>
          <w:rFonts w:eastAsia="Calibri"/>
        </w:rPr>
        <w:footnoteReference w:id="14"/>
      </w:r>
      <w:r w:rsidRPr="00AD134F">
        <w:rPr>
          <w:rFonts w:eastAsia="Calibri"/>
        </w:rPr>
        <w:t xml:space="preserve"> </w:t>
      </w:r>
      <w:r w:rsidR="001D24F1" w:rsidRPr="00AD134F">
        <w:rPr>
          <w:rFonts w:eastAsia="Calibri"/>
        </w:rPr>
        <w:t xml:space="preserve">and decides to consider conducting the assessment over a period of four years, </w:t>
      </w:r>
      <w:r w:rsidR="00BC557F" w:rsidRPr="00AD134F">
        <w:rPr>
          <w:rFonts w:eastAsia="Calibri"/>
        </w:rPr>
        <w:t xml:space="preserve">which </w:t>
      </w:r>
      <w:r w:rsidR="00AF45DB" w:rsidRPr="00AD134F">
        <w:rPr>
          <w:rFonts w:eastAsia="Calibri"/>
        </w:rPr>
        <w:t xml:space="preserve">would </w:t>
      </w:r>
      <w:r w:rsidR="001D24F1" w:rsidRPr="00AD134F">
        <w:rPr>
          <w:rFonts w:eastAsia="Calibri"/>
        </w:rPr>
        <w:t>includ</w:t>
      </w:r>
      <w:r w:rsidR="00AF45DB" w:rsidRPr="00AD134F">
        <w:rPr>
          <w:rFonts w:eastAsia="Calibri"/>
        </w:rPr>
        <w:t>e</w:t>
      </w:r>
      <w:r w:rsidR="001A7AD8" w:rsidRPr="00AD134F">
        <w:rPr>
          <w:rFonts w:eastAsia="Calibri"/>
        </w:rPr>
        <w:t>, on an exceptional basis,</w:t>
      </w:r>
      <w:r w:rsidR="001D24F1" w:rsidRPr="00AD134F">
        <w:rPr>
          <w:rFonts w:eastAsia="Calibri"/>
        </w:rPr>
        <w:t xml:space="preserve"> a</w:t>
      </w:r>
      <w:r w:rsidR="00E5286C" w:rsidRPr="00AD134F">
        <w:rPr>
          <w:rFonts w:eastAsia="Calibri"/>
        </w:rPr>
        <w:t>n additional</w:t>
      </w:r>
      <w:r w:rsidR="001D24F1" w:rsidRPr="00AD134F">
        <w:rPr>
          <w:rFonts w:eastAsia="Calibri"/>
        </w:rPr>
        <w:t xml:space="preserve"> review</w:t>
      </w:r>
      <w:r w:rsidR="001A7AD8" w:rsidRPr="00AD134F">
        <w:rPr>
          <w:rFonts w:eastAsia="Calibri"/>
        </w:rPr>
        <w:t xml:space="preserve"> of a draft of the </w:t>
      </w:r>
      <w:r w:rsidR="00E5286C" w:rsidRPr="00AD134F">
        <w:rPr>
          <w:rFonts w:eastAsia="Calibri"/>
        </w:rPr>
        <w:t xml:space="preserve">summary for policymakers </w:t>
      </w:r>
      <w:r w:rsidR="001A7AD8" w:rsidRPr="00AD134F">
        <w:rPr>
          <w:rFonts w:eastAsia="Calibri"/>
        </w:rPr>
        <w:t>by Governments and experts</w:t>
      </w:r>
      <w:r w:rsidR="00E5286C" w:rsidRPr="00AD134F">
        <w:rPr>
          <w:rFonts w:eastAsia="Calibri"/>
        </w:rPr>
        <w:t xml:space="preserve"> </w:t>
      </w:r>
      <w:r w:rsidR="006872D4" w:rsidRPr="00AD134F">
        <w:rPr>
          <w:rFonts w:eastAsia="Calibri"/>
        </w:rPr>
        <w:t>preceding</w:t>
      </w:r>
      <w:r w:rsidR="00E5286C" w:rsidRPr="00AD134F">
        <w:rPr>
          <w:rFonts w:eastAsia="Calibri"/>
        </w:rPr>
        <w:t xml:space="preserve"> a final </w:t>
      </w:r>
      <w:r w:rsidR="00301AC6">
        <w:rPr>
          <w:rFonts w:eastAsia="Calibri"/>
        </w:rPr>
        <w:t xml:space="preserve">review by </w:t>
      </w:r>
      <w:r w:rsidR="00E5286C" w:rsidRPr="00AD134F">
        <w:rPr>
          <w:rFonts w:eastAsia="Calibri"/>
        </w:rPr>
        <w:t>Government</w:t>
      </w:r>
      <w:r w:rsidR="00301AC6">
        <w:rPr>
          <w:rFonts w:eastAsia="Calibri"/>
        </w:rPr>
        <w:t>s</w:t>
      </w:r>
      <w:r w:rsidR="00E5286C" w:rsidRPr="00AD134F">
        <w:rPr>
          <w:rFonts w:eastAsia="Calibri"/>
        </w:rPr>
        <w:t xml:space="preserve"> of the summary for policymakers</w:t>
      </w:r>
      <w:r w:rsidR="001D24F1" w:rsidRPr="00AD134F">
        <w:rPr>
          <w:rFonts w:eastAsia="Calibri"/>
        </w:rPr>
        <w:t>;</w:t>
      </w:r>
    </w:p>
    <w:p w14:paraId="2BC752F5" w14:textId="369B68D6" w:rsidR="00427750" w:rsidRPr="00AD134F" w:rsidRDefault="00427750" w:rsidP="00427750">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rFonts w:eastAsia="Calibri"/>
        </w:rPr>
        <w:t>3.</w:t>
      </w:r>
      <w:r w:rsidRPr="00AD134F">
        <w:rPr>
          <w:rFonts w:eastAsia="Calibri"/>
          <w:i/>
        </w:rPr>
        <w:tab/>
      </w:r>
      <w:r w:rsidR="00102F0E" w:rsidRPr="00AD134F">
        <w:rPr>
          <w:rFonts w:eastAsia="Calibri"/>
          <w:i/>
        </w:rPr>
        <w:t>Further</w:t>
      </w:r>
      <w:r w:rsidRPr="00AD134F">
        <w:rPr>
          <w:rFonts w:eastAsia="Calibri"/>
          <w:i/>
        </w:rPr>
        <w:t xml:space="preserve"> approves</w:t>
      </w:r>
      <w:r w:rsidRPr="00AD134F">
        <w:rPr>
          <w:rFonts w:eastAsia="Calibri"/>
        </w:rPr>
        <w:t xml:space="preserve"> a scoping process for</w:t>
      </w:r>
      <w:r w:rsidR="001D24F1" w:rsidRPr="00AD134F">
        <w:rPr>
          <w:rFonts w:eastAsia="Calibri"/>
        </w:rPr>
        <w:t xml:space="preserve"> a</w:t>
      </w:r>
      <w:r w:rsidRPr="00AD134F">
        <w:rPr>
          <w:rFonts w:eastAsia="Calibri"/>
        </w:rPr>
        <w:t xml:space="preserve"> </w:t>
      </w:r>
      <w:r w:rsidR="001D24F1" w:rsidRPr="00AD134F">
        <w:rPr>
          <w:rFonts w:eastAsiaTheme="majorEastAsia"/>
        </w:rPr>
        <w:t>methodological assessment of the impact and dependence of business</w:t>
      </w:r>
      <w:r w:rsidR="001D24F1" w:rsidRPr="00AD134F">
        <w:rPr>
          <w:rFonts w:eastAsia="Calibri"/>
        </w:rPr>
        <w:t xml:space="preserve"> on biodiversity and </w:t>
      </w:r>
      <w:r w:rsidR="00464AA3" w:rsidRPr="00AD134F">
        <w:rPr>
          <w:rFonts w:eastAsia="Calibri"/>
        </w:rPr>
        <w:t>nature’s contributions to people</w:t>
      </w:r>
      <w:r w:rsidR="001D24F1" w:rsidRPr="00AD134F">
        <w:rPr>
          <w:rFonts w:eastAsia="Calibri"/>
        </w:rPr>
        <w:t xml:space="preserve">, </w:t>
      </w:r>
      <w:r w:rsidRPr="00AD134F">
        <w:rPr>
          <w:rFonts w:eastAsia="Calibri"/>
        </w:rPr>
        <w:t>for consideration by the Plenary at its eighth session, in accordance with the procedures for the preparation of the Platform deliverables</w:t>
      </w:r>
      <w:r w:rsidRPr="00AD134F">
        <w:rPr>
          <w:rStyle w:val="FootnoteReference"/>
          <w:rFonts w:eastAsia="Calibri"/>
        </w:rPr>
        <w:footnoteReference w:id="15"/>
      </w:r>
      <w:r w:rsidRPr="00AD134F">
        <w:rPr>
          <w:rFonts w:eastAsia="Calibri"/>
        </w:rPr>
        <w:t xml:space="preserve"> and based on the initial scoping report for the assessment</w:t>
      </w:r>
      <w:r w:rsidR="007F363F">
        <w:rPr>
          <w:rFonts w:eastAsia="Calibri"/>
        </w:rPr>
        <w:t>,</w:t>
      </w:r>
      <w:r w:rsidRPr="00AD134F">
        <w:rPr>
          <w:rStyle w:val="FootnoteReference"/>
          <w:rFonts w:eastAsia="Calibri"/>
        </w:rPr>
        <w:footnoteReference w:id="16"/>
      </w:r>
      <w:r w:rsidR="00452379" w:rsidRPr="00AD134F">
        <w:rPr>
          <w:rFonts w:eastAsia="Calibri"/>
        </w:rPr>
        <w:t xml:space="preserve"> and decides to consider conducting the assessment over a period of two years</w:t>
      </w:r>
      <w:r w:rsidRPr="00AD134F">
        <w:rPr>
          <w:rFonts w:eastAsia="Calibri"/>
        </w:rPr>
        <w:t xml:space="preserve"> </w:t>
      </w:r>
      <w:r w:rsidR="009838A8" w:rsidRPr="00AD134F">
        <w:rPr>
          <w:rFonts w:eastAsia="Calibri"/>
        </w:rPr>
        <w:t>following a fast-track approach</w:t>
      </w:r>
      <w:r w:rsidR="001D24F1" w:rsidRPr="00AD134F">
        <w:rPr>
          <w:rFonts w:eastAsia="Calibri"/>
        </w:rPr>
        <w:t>;</w:t>
      </w:r>
      <w:r w:rsidR="009838A8" w:rsidRPr="00AD134F">
        <w:rPr>
          <w:rStyle w:val="FootnoteReference"/>
          <w:rFonts w:eastAsia="Calibri"/>
        </w:rPr>
        <w:footnoteReference w:id="17"/>
      </w:r>
    </w:p>
    <w:bookmarkEnd w:id="1"/>
    <w:p w14:paraId="7EEB439D" w14:textId="3E2FD03A" w:rsidR="00427750" w:rsidRPr="00AD134F" w:rsidRDefault="00102F0E" w:rsidP="00427750">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rPr>
      </w:pPr>
      <w:r w:rsidRPr="00AD134F">
        <w:rPr>
          <w:rFonts w:eastAsia="Calibri"/>
        </w:rPr>
        <w:t>4</w:t>
      </w:r>
      <w:r w:rsidR="00427750" w:rsidRPr="00AD134F">
        <w:rPr>
          <w:rFonts w:eastAsia="Calibri"/>
        </w:rPr>
        <w:t>.</w:t>
      </w:r>
      <w:r w:rsidR="00427750" w:rsidRPr="00AD134F">
        <w:rPr>
          <w:rFonts w:eastAsia="Calibri"/>
          <w:i/>
        </w:rPr>
        <w:tab/>
        <w:t>Agrees</w:t>
      </w:r>
      <w:r w:rsidR="00427750" w:rsidRPr="00AD134F">
        <w:rPr>
          <w:rFonts w:eastAsia="Calibri"/>
        </w:rPr>
        <w:t xml:space="preserve"> to the preparation of a </w:t>
      </w:r>
      <w:r w:rsidR="00E53B39">
        <w:rPr>
          <w:rFonts w:eastAsia="Calibri"/>
        </w:rPr>
        <w:t xml:space="preserve">joint </w:t>
      </w:r>
      <w:r w:rsidR="00427750" w:rsidRPr="00AD134F">
        <w:rPr>
          <w:rFonts w:eastAsia="Calibri"/>
        </w:rPr>
        <w:t xml:space="preserve">technical paper </w:t>
      </w:r>
      <w:r w:rsidR="00E53B39">
        <w:rPr>
          <w:rFonts w:eastAsia="Calibri"/>
        </w:rPr>
        <w:t xml:space="preserve">with the Intergovernmental Panel on Climate Change </w:t>
      </w:r>
      <w:r w:rsidR="00427750" w:rsidRPr="00AD134F">
        <w:rPr>
          <w:rFonts w:eastAsia="Calibri"/>
        </w:rPr>
        <w:t xml:space="preserve">on </w:t>
      </w:r>
      <w:r w:rsidR="00427750" w:rsidRPr="00AD134F">
        <w:rPr>
          <w:rFonts w:eastAsiaTheme="majorEastAsia"/>
        </w:rPr>
        <w:t>biodiversity and climate change</w:t>
      </w:r>
      <w:r w:rsidR="008F12AA" w:rsidRPr="00AD134F">
        <w:rPr>
          <w:rFonts w:eastAsiaTheme="majorEastAsia"/>
        </w:rPr>
        <w:t xml:space="preserve">, </w:t>
      </w:r>
      <w:r w:rsidR="008F12AA" w:rsidRPr="00AD134F">
        <w:rPr>
          <w:rFonts w:eastAsia="Calibri"/>
        </w:rPr>
        <w:t xml:space="preserve">based on </w:t>
      </w:r>
      <w:r w:rsidR="008F12AA" w:rsidRPr="00AD134F">
        <w:t>the regional assessments and the global assessment of biodiversity and ecosystem services and the assessment of land degradation and restoration</w:t>
      </w:r>
      <w:r w:rsidR="00422969">
        <w:t>,</w:t>
      </w:r>
      <w:r w:rsidR="008F12AA" w:rsidRPr="00AD134F">
        <w:t xml:space="preserve"> as well as relevant completed assessments of the Intergovernmental Panel</w:t>
      </w:r>
      <w:r w:rsidR="00BF3BD1" w:rsidRPr="00AD134F">
        <w:t xml:space="preserve"> on Climate Change</w:t>
      </w:r>
      <w:r w:rsidR="00BA415E" w:rsidRPr="00AD134F">
        <w:rPr>
          <w:rFonts w:eastAsia="Calibri"/>
        </w:rPr>
        <w:t xml:space="preserve">, including </w:t>
      </w:r>
      <w:r w:rsidR="00BA415E" w:rsidRPr="00AD134F">
        <w:t>the special report on the impact of global warming of 1.5</w:t>
      </w:r>
      <w:r w:rsidR="00BA415E" w:rsidRPr="00AD134F">
        <w:rPr>
          <w:vertAlign w:val="superscript"/>
        </w:rPr>
        <w:t>o</w:t>
      </w:r>
      <w:r w:rsidR="00BA415E" w:rsidRPr="00AD134F">
        <w:t xml:space="preserve">C above pre-industrial levels and related global greenhouse gas emission pathways, </w:t>
      </w:r>
      <w:r w:rsidR="00422969">
        <w:t>its</w:t>
      </w:r>
      <w:r w:rsidR="00BA415E" w:rsidRPr="00AD134F">
        <w:t xml:space="preserve"> fifth </w:t>
      </w:r>
      <w:r w:rsidR="00422969">
        <w:t>a</w:t>
      </w:r>
      <w:r w:rsidR="00BA415E" w:rsidRPr="00AD134F">
        <w:t xml:space="preserve">ssessment </w:t>
      </w:r>
      <w:r w:rsidR="00422969">
        <w:t>r</w:t>
      </w:r>
      <w:r w:rsidR="00BA415E" w:rsidRPr="00AD134F">
        <w:t>eport, including the reports by the three working groups of the Panel, and the special report on climate change, desertification, land degradation, sustainable land management, food security and greenhouse gas fluxes in terrestrial ecosystems</w:t>
      </w:r>
      <w:r w:rsidR="00BA415E" w:rsidRPr="00AD134F">
        <w:rPr>
          <w:rFonts w:eastAsia="Calibri"/>
        </w:rPr>
        <w:t xml:space="preserve">, </w:t>
      </w:r>
      <w:r w:rsidR="00427750" w:rsidRPr="00AD134F">
        <w:rPr>
          <w:rFonts w:eastAsia="Calibri"/>
        </w:rPr>
        <w:t>in accordance with the clearance processes for technical papers as set out in the procedures for the preparation of Platform deliverables</w:t>
      </w:r>
      <w:r w:rsidR="00422969">
        <w:rPr>
          <w:rFonts w:eastAsia="Calibri"/>
        </w:rPr>
        <w:t>,</w:t>
      </w:r>
      <w:r w:rsidR="00427750" w:rsidRPr="00AD134F">
        <w:rPr>
          <w:rStyle w:val="FootnoteReference"/>
          <w:rFonts w:eastAsia="Calibri"/>
        </w:rPr>
        <w:footnoteReference w:id="18"/>
      </w:r>
      <w:r w:rsidR="00427750" w:rsidRPr="00AD134F">
        <w:rPr>
          <w:rFonts w:eastAsia="Calibri"/>
        </w:rPr>
        <w:t xml:space="preserve"> and based on the concept note for the technical paper</w:t>
      </w:r>
      <w:r w:rsidR="00966FB6">
        <w:rPr>
          <w:rFonts w:eastAsia="Calibri"/>
        </w:rPr>
        <w:t>;</w:t>
      </w:r>
      <w:r w:rsidR="00427750" w:rsidRPr="00AD134F">
        <w:rPr>
          <w:rStyle w:val="FootnoteReference"/>
          <w:rFonts w:eastAsia="Calibri"/>
        </w:rPr>
        <w:footnoteReference w:id="19"/>
      </w:r>
    </w:p>
    <w:p w14:paraId="14E6F471" w14:textId="6071F0DC" w:rsidR="0058412E" w:rsidRPr="00AD134F" w:rsidRDefault="00102F0E" w:rsidP="00427750">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rFonts w:eastAsia="Calibri"/>
        </w:rPr>
        <w:t>5</w:t>
      </w:r>
      <w:r w:rsidR="00427750" w:rsidRPr="00AD134F">
        <w:rPr>
          <w:rFonts w:eastAsia="Calibri"/>
        </w:rPr>
        <w:t>.</w:t>
      </w:r>
      <w:r w:rsidR="00427750" w:rsidRPr="00AD134F">
        <w:rPr>
          <w:rFonts w:eastAsia="Calibri"/>
        </w:rPr>
        <w:tab/>
      </w:r>
      <w:r w:rsidR="00427750" w:rsidRPr="00AD134F">
        <w:rPr>
          <w:rFonts w:eastAsia="Calibri"/>
          <w:i/>
        </w:rPr>
        <w:t>Invites</w:t>
      </w:r>
      <w:r w:rsidR="00427750" w:rsidRPr="00AD134F">
        <w:rPr>
          <w:rFonts w:eastAsia="Calibri"/>
        </w:rPr>
        <w:t xml:space="preserve"> the Intergovernmental Panel on Climate Change to </w:t>
      </w:r>
      <w:r w:rsidR="0058412E" w:rsidRPr="00AD134F">
        <w:rPr>
          <w:rFonts w:eastAsia="Calibri"/>
        </w:rPr>
        <w:t xml:space="preserve">consider </w:t>
      </w:r>
      <w:r w:rsidR="00427750" w:rsidRPr="00AD134F">
        <w:rPr>
          <w:rFonts w:eastAsia="Calibri"/>
        </w:rPr>
        <w:t>endors</w:t>
      </w:r>
      <w:r w:rsidR="0058412E" w:rsidRPr="00AD134F">
        <w:rPr>
          <w:rFonts w:eastAsia="Calibri"/>
        </w:rPr>
        <w:t>ing</w:t>
      </w:r>
      <w:r w:rsidR="00427750" w:rsidRPr="00AD134F">
        <w:rPr>
          <w:rFonts w:eastAsia="Calibri"/>
        </w:rPr>
        <w:t xml:space="preserve"> the preparation of the technical paper as a joint technical paper</w:t>
      </w:r>
      <w:r w:rsidR="00BC2AC6" w:rsidRPr="00AD134F">
        <w:rPr>
          <w:rFonts w:eastAsia="Calibri"/>
        </w:rPr>
        <w:t xml:space="preserve"> of the Panel and the Platform</w:t>
      </w:r>
      <w:r w:rsidR="0058412E" w:rsidRPr="00AD134F">
        <w:t>;</w:t>
      </w:r>
    </w:p>
    <w:p w14:paraId="228DD3C0" w14:textId="3F1ADE01" w:rsidR="00427750" w:rsidRPr="00AD134F" w:rsidRDefault="0058412E" w:rsidP="00427750">
      <w:pPr>
        <w:pStyle w:val="Normal-pool"/>
        <w:tabs>
          <w:tab w:val="clear" w:pos="1247"/>
          <w:tab w:val="clear" w:pos="1814"/>
          <w:tab w:val="clear" w:pos="2381"/>
          <w:tab w:val="clear" w:pos="2948"/>
          <w:tab w:val="clear" w:pos="3515"/>
          <w:tab w:val="clear" w:pos="4082"/>
          <w:tab w:val="left" w:pos="624"/>
        </w:tabs>
        <w:spacing w:after="120"/>
        <w:ind w:left="1871" w:firstLine="624"/>
        <w:rPr>
          <w:rFonts w:eastAsia="Calibri"/>
        </w:rPr>
      </w:pPr>
      <w:r w:rsidRPr="00AD134F">
        <w:rPr>
          <w:rFonts w:eastAsia="Calibri"/>
        </w:rPr>
        <w:t>6</w:t>
      </w:r>
      <w:r w:rsidRPr="00AD134F">
        <w:t>.</w:t>
      </w:r>
      <w:r w:rsidRPr="00AD134F">
        <w:tab/>
      </w:r>
      <w:r w:rsidRPr="00AD134F">
        <w:rPr>
          <w:i/>
        </w:rPr>
        <w:t>Requests</w:t>
      </w:r>
      <w:r w:rsidRPr="00AD134F">
        <w:t xml:space="preserve"> the Chair of the Platform and the Executive Secretary to liaise with the Chair and Secretary of the Intergovernmental Panel on Climate Change with a view to </w:t>
      </w:r>
      <w:r w:rsidR="00E56599" w:rsidRPr="00AD134F">
        <w:t>developing</w:t>
      </w:r>
      <w:r w:rsidRPr="00AD134F">
        <w:t xml:space="preserve"> the appropriate modalities for the joint preparation of the technical paper </w:t>
      </w:r>
      <w:r w:rsidR="00BA415E" w:rsidRPr="00AD134F">
        <w:rPr>
          <w:rFonts w:eastAsia="Calibri"/>
        </w:rPr>
        <w:t>in accordance with</w:t>
      </w:r>
      <w:r w:rsidR="005A1DA0" w:rsidRPr="00AD134F">
        <w:rPr>
          <w:rFonts w:eastAsia="Calibri"/>
        </w:rPr>
        <w:t xml:space="preserve"> the </w:t>
      </w:r>
      <w:r w:rsidR="008F12AA" w:rsidRPr="00AD134F">
        <w:rPr>
          <w:rFonts w:eastAsia="Calibri"/>
        </w:rPr>
        <w:t xml:space="preserve">applicable provisions of the </w:t>
      </w:r>
      <w:r w:rsidR="005A1DA0" w:rsidRPr="00AD134F">
        <w:rPr>
          <w:rFonts w:eastAsia="Calibri"/>
        </w:rPr>
        <w:t>Panel and the Platform</w:t>
      </w:r>
      <w:r w:rsidR="00BC2AC6" w:rsidRPr="00AD134F">
        <w:rPr>
          <w:rFonts w:eastAsia="Calibri"/>
        </w:rPr>
        <w:t>;</w:t>
      </w:r>
      <w:r w:rsidR="008F12AA" w:rsidRPr="00AD134F">
        <w:rPr>
          <w:rStyle w:val="FootnoteReference"/>
          <w:rFonts w:eastAsia="Calibri"/>
        </w:rPr>
        <w:footnoteReference w:id="20"/>
      </w:r>
    </w:p>
    <w:p w14:paraId="75077907" w14:textId="12731506" w:rsidR="00427750" w:rsidRPr="00AD134F" w:rsidRDefault="0082184C" w:rsidP="001D24F1">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Pr>
          <w:rFonts w:eastAsia="Calibri"/>
        </w:rPr>
        <w:t>7</w:t>
      </w:r>
      <w:r w:rsidR="00427750" w:rsidRPr="00AD134F">
        <w:rPr>
          <w:rFonts w:eastAsia="Calibri"/>
        </w:rPr>
        <w:t>.</w:t>
      </w:r>
      <w:r w:rsidR="00427750" w:rsidRPr="00AD134F">
        <w:rPr>
          <w:rFonts w:eastAsia="Calibri"/>
          <w:i/>
        </w:rPr>
        <w:tab/>
        <w:t xml:space="preserve">Requests </w:t>
      </w:r>
      <w:r w:rsidR="00427750" w:rsidRPr="00AD134F">
        <w:rPr>
          <w:rFonts w:eastAsia="Calibri"/>
        </w:rPr>
        <w:t xml:space="preserve">the Executive Secretary to </w:t>
      </w:r>
      <w:r w:rsidR="00614A6B" w:rsidRPr="00AD134F">
        <w:rPr>
          <w:rFonts w:eastAsia="Calibri"/>
        </w:rPr>
        <w:t>regularly</w:t>
      </w:r>
      <w:r w:rsidR="00427750" w:rsidRPr="00AD134F">
        <w:rPr>
          <w:rFonts w:eastAsia="Calibri"/>
        </w:rPr>
        <w:t xml:space="preserve"> update the guide </w:t>
      </w:r>
      <w:r w:rsidR="004B01C6">
        <w:rPr>
          <w:rFonts w:eastAsia="Calibri"/>
        </w:rPr>
        <w:t>on the production of</w:t>
      </w:r>
      <w:r w:rsidR="00427750" w:rsidRPr="00AD134F">
        <w:rPr>
          <w:rFonts w:eastAsia="Calibri"/>
        </w:rPr>
        <w:t xml:space="preserve"> assessments,</w:t>
      </w:r>
      <w:r w:rsidR="00427750" w:rsidRPr="00AD134F">
        <w:rPr>
          <w:rStyle w:val="FootnoteReference"/>
          <w:rFonts w:eastAsia="Calibri"/>
        </w:rPr>
        <w:footnoteReference w:id="21"/>
      </w:r>
      <w:r w:rsidR="00427750" w:rsidRPr="00AD134F">
        <w:rPr>
          <w:rFonts w:eastAsia="Calibri"/>
        </w:rPr>
        <w:t xml:space="preserve"> taking into account the work of the task forces and expert groups of the Platform.</w:t>
      </w:r>
    </w:p>
    <w:p w14:paraId="561D32B9" w14:textId="07A96312" w:rsidR="00BF5164" w:rsidRPr="00AD134F" w:rsidRDefault="00BF5164" w:rsidP="003D07BE">
      <w:pPr>
        <w:pStyle w:val="Normal-pool"/>
        <w:keepNext/>
        <w:keepLines/>
        <w:spacing w:before="240" w:after="120"/>
        <w:ind w:left="1890"/>
        <w:jc w:val="center"/>
        <w:rPr>
          <w:b/>
        </w:rPr>
      </w:pPr>
      <w:r w:rsidRPr="00AD134F">
        <w:rPr>
          <w:b/>
        </w:rPr>
        <w:lastRenderedPageBreak/>
        <w:t>I</w:t>
      </w:r>
      <w:r w:rsidR="00427750" w:rsidRPr="00AD134F">
        <w:rPr>
          <w:b/>
        </w:rPr>
        <w:t>I</w:t>
      </w:r>
      <w:r w:rsidRPr="00AD134F">
        <w:rPr>
          <w:b/>
        </w:rPr>
        <w:t>I</w:t>
      </w:r>
    </w:p>
    <w:p w14:paraId="392FD6BF" w14:textId="5FD24510" w:rsidR="00BF5164" w:rsidRPr="00AD134F" w:rsidRDefault="00D16972" w:rsidP="003D07BE">
      <w:pPr>
        <w:pStyle w:val="Normal-pool"/>
        <w:keepNext/>
        <w:keepLines/>
        <w:spacing w:after="120"/>
        <w:ind w:left="1890"/>
        <w:jc w:val="center"/>
        <w:rPr>
          <w:b/>
        </w:rPr>
      </w:pPr>
      <w:r w:rsidRPr="00AD134F">
        <w:rPr>
          <w:b/>
        </w:rPr>
        <w:t>Building capacity</w:t>
      </w:r>
    </w:p>
    <w:p w14:paraId="5E45DD46" w14:textId="5D2965CD" w:rsidR="00067F83" w:rsidRPr="00AD134F" w:rsidRDefault="00BF5164" w:rsidP="00E53B39">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color w:val="000000"/>
        </w:rPr>
        <w:tab/>
        <w:t>1.</w:t>
      </w:r>
      <w:r w:rsidRPr="00AD134F">
        <w:rPr>
          <w:color w:val="000000"/>
        </w:rPr>
        <w:tab/>
      </w:r>
      <w:r w:rsidR="00E53B39" w:rsidRPr="00E53B39">
        <w:rPr>
          <w:i/>
          <w:color w:val="000000"/>
          <w:lang w:val="en-US"/>
        </w:rPr>
        <w:t>Recalls</w:t>
      </w:r>
      <w:r w:rsidR="00E53B39" w:rsidRPr="00E53B39">
        <w:rPr>
          <w:color w:val="000000"/>
          <w:lang w:val="en-US"/>
        </w:rPr>
        <w:t xml:space="preserve"> the establishment of the task force on capacity-building in section I, paragraph 1 of decision IPBES-2/5, and extends the mandate of the task force </w:t>
      </w:r>
      <w:r w:rsidR="005B6C5B" w:rsidRPr="00AD134F">
        <w:t>for the</w:t>
      </w:r>
      <w:r w:rsidR="00D16972" w:rsidRPr="00AD134F">
        <w:t xml:space="preserve"> implementation of deliverable</w:t>
      </w:r>
      <w:r w:rsidR="00BC6284" w:rsidRPr="00AD134F">
        <w:t>s</w:t>
      </w:r>
      <w:r w:rsidR="00D16972" w:rsidRPr="00AD134F">
        <w:t xml:space="preserve"> 2</w:t>
      </w:r>
      <w:r w:rsidR="009D0735">
        <w:t xml:space="preserve"> </w:t>
      </w:r>
      <w:r w:rsidR="00C34C8C">
        <w:t>(</w:t>
      </w:r>
      <w:r w:rsidR="00BC6284" w:rsidRPr="00AD134F">
        <w:t>a</w:t>
      </w:r>
      <w:r w:rsidR="00C34C8C">
        <w:t>)</w:t>
      </w:r>
      <w:r w:rsidR="00BC6284" w:rsidRPr="00AD134F">
        <w:t>, 2</w:t>
      </w:r>
      <w:r w:rsidR="009D0735">
        <w:t xml:space="preserve"> </w:t>
      </w:r>
      <w:r w:rsidR="00C34C8C">
        <w:t>(</w:t>
      </w:r>
      <w:r w:rsidR="00BC6284" w:rsidRPr="00AD134F">
        <w:t>b</w:t>
      </w:r>
      <w:r w:rsidR="00C34C8C">
        <w:t>)</w:t>
      </w:r>
      <w:r w:rsidR="00BC6284" w:rsidRPr="00AD134F">
        <w:t xml:space="preserve"> and 2</w:t>
      </w:r>
      <w:r w:rsidR="009D0735">
        <w:t xml:space="preserve"> </w:t>
      </w:r>
      <w:r w:rsidR="00C34C8C">
        <w:t>(</w:t>
      </w:r>
      <w:r w:rsidR="00BC6284" w:rsidRPr="00AD134F">
        <w:t>c</w:t>
      </w:r>
      <w:r w:rsidR="00C34C8C">
        <w:t>)</w:t>
      </w:r>
      <w:r w:rsidR="005B6C5B" w:rsidRPr="00AD134F">
        <w:t xml:space="preserve"> of the work programme</w:t>
      </w:r>
      <w:r w:rsidR="00067F83" w:rsidRPr="00AD134F">
        <w:t xml:space="preserve"> of the Platform up to 2030</w:t>
      </w:r>
      <w:r w:rsidR="005B6C5B" w:rsidRPr="00AD134F">
        <w:t xml:space="preserve"> in accordance with </w:t>
      </w:r>
      <w:r w:rsidR="00374A50" w:rsidRPr="00AD134F">
        <w:t>the</w:t>
      </w:r>
      <w:r w:rsidR="005B6C5B" w:rsidRPr="00AD134F">
        <w:t xml:space="preserve"> </w:t>
      </w:r>
      <w:r w:rsidR="00E53B39">
        <w:t xml:space="preserve">revised </w:t>
      </w:r>
      <w:r w:rsidR="005B6C5B" w:rsidRPr="00AD134F">
        <w:t>terms of reference set out in annex [</w:t>
      </w:r>
      <w:r w:rsidR="00067F83" w:rsidRPr="00AD134F">
        <w:t>   </w:t>
      </w:r>
      <w:r w:rsidR="005B6C5B" w:rsidRPr="00AD134F">
        <w:t>]</w:t>
      </w:r>
      <w:r w:rsidR="004B01C6">
        <w:t xml:space="preserve"> </w:t>
      </w:r>
      <w:r w:rsidR="004B01C6" w:rsidRPr="004B01C6">
        <w:t>to the present decision</w:t>
      </w:r>
      <w:r w:rsidR="00425AD2">
        <w:t>,</w:t>
      </w:r>
      <w:r w:rsidR="005B6C5B" w:rsidRPr="00AD134F">
        <w:rPr>
          <w:rStyle w:val="FootnoteReference"/>
        </w:rPr>
        <w:footnoteReference w:id="22"/>
      </w:r>
      <w:r w:rsidR="005B6C5B" w:rsidRPr="00AD134F">
        <w:t xml:space="preserve"> and requests the Bureau and the Panel, through the Platform’s secretariat, to constitute the task force in accordance with the terms of reference;</w:t>
      </w:r>
    </w:p>
    <w:p w14:paraId="061E6A0F" w14:textId="6E23A6F9" w:rsidR="00067F83" w:rsidRPr="00AD134F" w:rsidRDefault="00B27C52" w:rsidP="00BF5164">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2</w:t>
      </w:r>
      <w:r w:rsidR="00BF5164" w:rsidRPr="00AD134F">
        <w:rPr>
          <w:color w:val="000000"/>
        </w:rPr>
        <w:t>.</w:t>
      </w:r>
      <w:r w:rsidR="00BF5164" w:rsidRPr="00AD134F">
        <w:rPr>
          <w:color w:val="000000"/>
        </w:rPr>
        <w:tab/>
      </w:r>
      <w:r w:rsidR="00067F83" w:rsidRPr="00AD134F">
        <w:rPr>
          <w:i/>
          <w:color w:val="000000"/>
        </w:rPr>
        <w:t xml:space="preserve">Decides </w:t>
      </w:r>
      <w:r w:rsidR="00067F83" w:rsidRPr="00AD134F">
        <w:rPr>
          <w:color w:val="000000"/>
        </w:rPr>
        <w:t xml:space="preserve">to review the mandate </w:t>
      </w:r>
      <w:r w:rsidR="00353C6C" w:rsidRPr="00AD134F">
        <w:rPr>
          <w:color w:val="000000"/>
        </w:rPr>
        <w:t xml:space="preserve">and terms of reference of the task force at its </w:t>
      </w:r>
      <w:r w:rsidR="004B01C6">
        <w:rPr>
          <w:color w:val="000000"/>
        </w:rPr>
        <w:t>tenth</w:t>
      </w:r>
      <w:r w:rsidR="00353C6C" w:rsidRPr="00AD134F">
        <w:rPr>
          <w:color w:val="000000"/>
        </w:rPr>
        <w:t xml:space="preserve"> </w:t>
      </w:r>
      <w:r w:rsidR="006872D4" w:rsidRPr="00AD134F">
        <w:rPr>
          <w:color w:val="000000"/>
        </w:rPr>
        <w:t>session</w:t>
      </w:r>
      <w:r w:rsidR="00353C6C" w:rsidRPr="00AD134F">
        <w:rPr>
          <w:color w:val="000000"/>
        </w:rPr>
        <w:t xml:space="preserve">; </w:t>
      </w:r>
    </w:p>
    <w:p w14:paraId="673847D2" w14:textId="68C99F55" w:rsidR="00F760C4" w:rsidRPr="00AD134F" w:rsidRDefault="00067F83" w:rsidP="00BF5164">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3.</w:t>
      </w:r>
      <w:r w:rsidRPr="00AD134F">
        <w:rPr>
          <w:color w:val="000000"/>
        </w:rPr>
        <w:tab/>
      </w:r>
      <w:r w:rsidR="00D16972" w:rsidRPr="00AD134F">
        <w:rPr>
          <w:i/>
          <w:color w:val="000000"/>
        </w:rPr>
        <w:t>Notes</w:t>
      </w:r>
      <w:r w:rsidR="00225B5B" w:rsidRPr="00AD134F">
        <w:rPr>
          <w:color w:val="000000"/>
        </w:rPr>
        <w:t xml:space="preserve"> the </w:t>
      </w:r>
      <w:r w:rsidR="00AF45DB" w:rsidRPr="00AD134F">
        <w:rPr>
          <w:color w:val="000000"/>
        </w:rPr>
        <w:t>next steps for</w:t>
      </w:r>
      <w:r w:rsidR="00225B5B" w:rsidRPr="00AD134F">
        <w:rPr>
          <w:color w:val="000000"/>
        </w:rPr>
        <w:t xml:space="preserve"> the task force </w:t>
      </w:r>
      <w:r w:rsidR="00307B54">
        <w:rPr>
          <w:color w:val="000000"/>
        </w:rPr>
        <w:t xml:space="preserve">on building capacity </w:t>
      </w:r>
      <w:r w:rsidR="00225B5B" w:rsidRPr="00AD134F">
        <w:rPr>
          <w:color w:val="000000"/>
        </w:rPr>
        <w:t>for 2019 and 2020</w:t>
      </w:r>
      <w:r w:rsidR="004B01C6">
        <w:rPr>
          <w:color w:val="000000"/>
        </w:rPr>
        <w:t>.</w:t>
      </w:r>
      <w:r w:rsidR="0029520E" w:rsidRPr="00AD134F">
        <w:rPr>
          <w:rStyle w:val="FootnoteReference"/>
        </w:rPr>
        <w:footnoteReference w:id="23"/>
      </w:r>
    </w:p>
    <w:p w14:paraId="688E8504" w14:textId="2926E562" w:rsidR="00BF5164" w:rsidRPr="00AD134F" w:rsidRDefault="00427750" w:rsidP="00724BF9">
      <w:pPr>
        <w:pStyle w:val="Normal-pool"/>
        <w:keepNext/>
        <w:keepLines/>
        <w:spacing w:before="240" w:after="120"/>
        <w:ind w:left="1890"/>
        <w:jc w:val="center"/>
        <w:rPr>
          <w:b/>
        </w:rPr>
      </w:pPr>
      <w:r w:rsidRPr="00AD134F">
        <w:rPr>
          <w:b/>
        </w:rPr>
        <w:t>IV</w:t>
      </w:r>
    </w:p>
    <w:p w14:paraId="3E91CFB8" w14:textId="099E6BCD" w:rsidR="00BF5164" w:rsidRPr="00AD134F" w:rsidRDefault="00427750" w:rsidP="003D07BE">
      <w:pPr>
        <w:pStyle w:val="Normal-pool"/>
        <w:keepNext/>
        <w:keepLines/>
        <w:spacing w:after="120"/>
        <w:ind w:left="1800"/>
        <w:jc w:val="center"/>
        <w:rPr>
          <w:b/>
        </w:rPr>
      </w:pPr>
      <w:r w:rsidRPr="00AD134F">
        <w:rPr>
          <w:b/>
        </w:rPr>
        <w:t>Strengthening the k</w:t>
      </w:r>
      <w:r w:rsidR="00BF5164" w:rsidRPr="00AD134F">
        <w:rPr>
          <w:b/>
        </w:rPr>
        <w:t>nowledge foundations</w:t>
      </w:r>
    </w:p>
    <w:p w14:paraId="60CD1F0D" w14:textId="088C221F" w:rsidR="00B27C52" w:rsidRPr="00AD134F" w:rsidRDefault="00B27C52" w:rsidP="00E53B39">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bookmarkStart w:id="2" w:name="_Hlk500240677"/>
      <w:r w:rsidRPr="00AD134F">
        <w:rPr>
          <w:color w:val="000000"/>
        </w:rPr>
        <w:tab/>
        <w:t>1.</w:t>
      </w:r>
      <w:r w:rsidRPr="00AD134F">
        <w:rPr>
          <w:color w:val="000000"/>
        </w:rPr>
        <w:tab/>
      </w:r>
      <w:r w:rsidR="00E53B39" w:rsidRPr="00E53B39">
        <w:rPr>
          <w:i/>
          <w:color w:val="000000"/>
          <w:lang w:val="en-US"/>
        </w:rPr>
        <w:t>Recalls</w:t>
      </w:r>
      <w:r w:rsidR="00E53B39" w:rsidRPr="00E53B39">
        <w:rPr>
          <w:color w:val="000000"/>
          <w:lang w:val="en-US"/>
        </w:rPr>
        <w:t xml:space="preserve"> the establishment of the task force on knowledge and data in section II, paragraph 2 of decision IPBES-2/5, and extends the mandate of the task force </w:t>
      </w:r>
      <w:r w:rsidRPr="00AD134F">
        <w:t>for the</w:t>
      </w:r>
      <w:r w:rsidR="001D24F1" w:rsidRPr="00AD134F">
        <w:t xml:space="preserve"> implementation of deliverable 3</w:t>
      </w:r>
      <w:r w:rsidR="009D0735">
        <w:t xml:space="preserve"> </w:t>
      </w:r>
      <w:r w:rsidR="00C34C8C">
        <w:t>(</w:t>
      </w:r>
      <w:r w:rsidR="001D24F1" w:rsidRPr="00AD134F">
        <w:t>a</w:t>
      </w:r>
      <w:r w:rsidR="00C34C8C">
        <w:t>)</w:t>
      </w:r>
      <w:r w:rsidRPr="00AD134F">
        <w:t xml:space="preserve"> of the work programme </w:t>
      </w:r>
      <w:r w:rsidR="00E871EF" w:rsidRPr="00AD134F">
        <w:t xml:space="preserve">of the Platform up to 2030 </w:t>
      </w:r>
      <w:r w:rsidRPr="00AD134F">
        <w:t xml:space="preserve">in accordance with the </w:t>
      </w:r>
      <w:r w:rsidR="00E53B39">
        <w:t xml:space="preserve">revised </w:t>
      </w:r>
      <w:r w:rsidRPr="00AD134F">
        <w:t>terms of reference set out in annex [</w:t>
      </w:r>
      <w:r w:rsidR="00E871EF" w:rsidRPr="00AD134F">
        <w:t>   </w:t>
      </w:r>
      <w:r w:rsidRPr="00AD134F">
        <w:t>]</w:t>
      </w:r>
      <w:r w:rsidR="00425AD2" w:rsidRPr="00425AD2">
        <w:t xml:space="preserve"> to the present decision</w:t>
      </w:r>
      <w:r w:rsidR="00425AD2">
        <w:t>,</w:t>
      </w:r>
      <w:r w:rsidRPr="00AD134F">
        <w:rPr>
          <w:rStyle w:val="FootnoteReference"/>
        </w:rPr>
        <w:footnoteReference w:id="24"/>
      </w:r>
      <w:r w:rsidRPr="00AD134F">
        <w:t xml:space="preserve"> and requests the Bureau and the Panel, through the Platform’s secretariat, to constitute the task force in accordance with the terms of reference;</w:t>
      </w:r>
    </w:p>
    <w:p w14:paraId="2D2D8625" w14:textId="480A846F" w:rsidR="000B16F8" w:rsidRPr="00AD134F" w:rsidRDefault="00B27C52" w:rsidP="00E53B39">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color w:val="000000"/>
        </w:rPr>
        <w:tab/>
      </w:r>
      <w:r w:rsidR="003C5625" w:rsidRPr="00AD134F">
        <w:rPr>
          <w:color w:val="000000"/>
        </w:rPr>
        <w:t>2</w:t>
      </w:r>
      <w:r w:rsidRPr="00AD134F">
        <w:rPr>
          <w:color w:val="000000"/>
        </w:rPr>
        <w:t>.</w:t>
      </w:r>
      <w:r w:rsidRPr="00AD134F">
        <w:rPr>
          <w:color w:val="000000"/>
        </w:rPr>
        <w:tab/>
      </w:r>
      <w:r w:rsidR="00E53B39" w:rsidRPr="00E53B39">
        <w:rPr>
          <w:i/>
          <w:color w:val="000000"/>
          <w:lang w:val="en-US"/>
        </w:rPr>
        <w:t>Recalls</w:t>
      </w:r>
      <w:r w:rsidR="00E53B39" w:rsidRPr="00E53B39">
        <w:rPr>
          <w:color w:val="000000"/>
          <w:lang w:val="en-US"/>
        </w:rPr>
        <w:t xml:space="preserve"> the establishment of the task force on indigenous and local knowledge systems in section II, paragraph 1 of decision IPBES-2/5, and extends the mandate of the task force </w:t>
      </w:r>
      <w:r w:rsidRPr="00AD134F">
        <w:t>for the</w:t>
      </w:r>
      <w:r w:rsidR="001D24F1" w:rsidRPr="00AD134F">
        <w:t xml:space="preserve"> implementation of deliverable 3</w:t>
      </w:r>
      <w:r w:rsidR="009D0735">
        <w:t xml:space="preserve"> </w:t>
      </w:r>
      <w:r w:rsidR="00425AD2">
        <w:t>(</w:t>
      </w:r>
      <w:r w:rsidR="001D24F1" w:rsidRPr="00AD134F">
        <w:t>b</w:t>
      </w:r>
      <w:r w:rsidR="00425AD2">
        <w:t>)</w:t>
      </w:r>
      <w:r w:rsidR="001D24F1" w:rsidRPr="00AD134F">
        <w:t xml:space="preserve"> </w:t>
      </w:r>
      <w:r w:rsidRPr="00AD134F">
        <w:t>of the work programme</w:t>
      </w:r>
      <w:r w:rsidR="00E871EF" w:rsidRPr="00AD134F">
        <w:t xml:space="preserve"> of the Platform up to 2030</w:t>
      </w:r>
      <w:r w:rsidRPr="00AD134F">
        <w:t xml:space="preserve"> in accordance with the </w:t>
      </w:r>
      <w:r w:rsidR="00E53B39">
        <w:t xml:space="preserve">revised </w:t>
      </w:r>
      <w:r w:rsidRPr="00AD134F">
        <w:t>terms of reference set out in annex [</w:t>
      </w:r>
      <w:r w:rsidR="00E871EF" w:rsidRPr="00AD134F">
        <w:t>   ]</w:t>
      </w:r>
      <w:r w:rsidR="00425AD2" w:rsidRPr="00425AD2">
        <w:rPr>
          <w:rFonts w:ascii="Calibri" w:eastAsia="MS Mincho" w:hAnsi="Calibri"/>
          <w:sz w:val="22"/>
          <w:szCs w:val="22"/>
          <w:lang w:val="en-US"/>
        </w:rPr>
        <w:t xml:space="preserve"> </w:t>
      </w:r>
      <w:r w:rsidR="00425AD2" w:rsidRPr="00425AD2">
        <w:rPr>
          <w:lang w:val="en-US"/>
        </w:rPr>
        <w:t>to the present decision</w:t>
      </w:r>
      <w:r w:rsidR="00425AD2">
        <w:rPr>
          <w:lang w:val="en-US"/>
        </w:rPr>
        <w:t>,</w:t>
      </w:r>
      <w:r w:rsidRPr="00AD134F">
        <w:rPr>
          <w:rStyle w:val="FootnoteReference"/>
        </w:rPr>
        <w:footnoteReference w:id="25"/>
      </w:r>
      <w:r w:rsidRPr="00AD134F">
        <w:t xml:space="preserve"> and requests the Bureau and the Panel, through the Platform’s secretariat, to constitute the task force in accordance with the terms of reference;</w:t>
      </w:r>
    </w:p>
    <w:p w14:paraId="63F7D38F" w14:textId="090C67FF" w:rsidR="00E871EF" w:rsidRPr="00AD134F" w:rsidRDefault="001D24F1" w:rsidP="00E871EF">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3</w:t>
      </w:r>
      <w:r w:rsidR="00B27C52" w:rsidRPr="00AD134F">
        <w:rPr>
          <w:color w:val="000000"/>
        </w:rPr>
        <w:t>.</w:t>
      </w:r>
      <w:r w:rsidR="00B27C52" w:rsidRPr="00AD134F">
        <w:rPr>
          <w:color w:val="000000"/>
        </w:rPr>
        <w:tab/>
      </w:r>
      <w:r w:rsidR="00E871EF" w:rsidRPr="00AD134F">
        <w:rPr>
          <w:i/>
          <w:color w:val="000000"/>
        </w:rPr>
        <w:t xml:space="preserve">Decides </w:t>
      </w:r>
      <w:r w:rsidR="00E871EF" w:rsidRPr="00AD134F">
        <w:rPr>
          <w:color w:val="000000"/>
        </w:rPr>
        <w:t xml:space="preserve">to review the mandates and terms of reference of the task force on knowledge and data and </w:t>
      </w:r>
      <w:r w:rsidR="005B069A" w:rsidRPr="00AD134F">
        <w:rPr>
          <w:color w:val="000000"/>
        </w:rPr>
        <w:t xml:space="preserve">of </w:t>
      </w:r>
      <w:r w:rsidR="00E871EF" w:rsidRPr="00AD134F">
        <w:rPr>
          <w:color w:val="000000"/>
        </w:rPr>
        <w:t xml:space="preserve">the task force on indigenous and local knowledge at its </w:t>
      </w:r>
      <w:r w:rsidR="00EE5139">
        <w:rPr>
          <w:color w:val="000000"/>
        </w:rPr>
        <w:t>tenth</w:t>
      </w:r>
      <w:r w:rsidR="00E871EF" w:rsidRPr="00AD134F">
        <w:rPr>
          <w:color w:val="000000"/>
        </w:rPr>
        <w:t xml:space="preserve"> </w:t>
      </w:r>
      <w:r w:rsidR="006872D4" w:rsidRPr="00AD134F">
        <w:rPr>
          <w:color w:val="000000"/>
        </w:rPr>
        <w:t>session</w:t>
      </w:r>
      <w:r w:rsidR="00E871EF" w:rsidRPr="00AD134F">
        <w:rPr>
          <w:color w:val="000000"/>
        </w:rPr>
        <w:t xml:space="preserve">; </w:t>
      </w:r>
    </w:p>
    <w:p w14:paraId="3AA858DC" w14:textId="3BFE4D9F" w:rsidR="00B27C52" w:rsidRPr="00AD134F" w:rsidRDefault="00E871EF" w:rsidP="00054A63">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4.</w:t>
      </w:r>
      <w:r w:rsidRPr="00AD134F">
        <w:rPr>
          <w:color w:val="000000"/>
        </w:rPr>
        <w:tab/>
      </w:r>
      <w:r w:rsidR="003C5625" w:rsidRPr="00AD134F">
        <w:rPr>
          <w:i/>
          <w:color w:val="000000"/>
        </w:rPr>
        <w:t>Notes</w:t>
      </w:r>
      <w:r w:rsidR="00B27C52" w:rsidRPr="00AD134F">
        <w:rPr>
          <w:color w:val="000000"/>
        </w:rPr>
        <w:t xml:space="preserve"> the </w:t>
      </w:r>
      <w:r w:rsidR="00AF45DB" w:rsidRPr="00AD134F">
        <w:rPr>
          <w:color w:val="000000"/>
        </w:rPr>
        <w:t xml:space="preserve">next steps for </w:t>
      </w:r>
      <w:r w:rsidR="003C5625" w:rsidRPr="00AD134F">
        <w:rPr>
          <w:color w:val="000000"/>
        </w:rPr>
        <w:t xml:space="preserve">the </w:t>
      </w:r>
      <w:r w:rsidR="00B27C52" w:rsidRPr="00AD134F">
        <w:rPr>
          <w:color w:val="000000"/>
        </w:rPr>
        <w:t>task force on</w:t>
      </w:r>
      <w:r w:rsidR="003C5625" w:rsidRPr="00AD134F">
        <w:rPr>
          <w:color w:val="000000"/>
        </w:rPr>
        <w:t xml:space="preserve"> knowledge and data</w:t>
      </w:r>
      <w:r w:rsidR="003C5625" w:rsidRPr="00AD134F">
        <w:rPr>
          <w:rStyle w:val="FootnoteReference"/>
        </w:rPr>
        <w:footnoteReference w:id="26"/>
      </w:r>
      <w:r w:rsidR="001D24F1" w:rsidRPr="00AD134F">
        <w:rPr>
          <w:color w:val="000000"/>
        </w:rPr>
        <w:t xml:space="preserve"> and</w:t>
      </w:r>
      <w:r w:rsidR="003C5625" w:rsidRPr="00AD134F">
        <w:rPr>
          <w:color w:val="000000"/>
        </w:rPr>
        <w:t xml:space="preserve"> </w:t>
      </w:r>
      <w:r w:rsidR="00307B54">
        <w:rPr>
          <w:color w:val="000000"/>
        </w:rPr>
        <w:t xml:space="preserve">the task force </w:t>
      </w:r>
      <w:r w:rsidR="003C5625" w:rsidRPr="00AD134F">
        <w:rPr>
          <w:color w:val="000000"/>
        </w:rPr>
        <w:t>on indigenous and local knowledge</w:t>
      </w:r>
      <w:r w:rsidR="003C5625" w:rsidRPr="00AD134F">
        <w:rPr>
          <w:rStyle w:val="FootnoteReference"/>
        </w:rPr>
        <w:footnoteReference w:id="27"/>
      </w:r>
      <w:r w:rsidR="003C5625" w:rsidRPr="00AD134F">
        <w:rPr>
          <w:color w:val="000000"/>
        </w:rPr>
        <w:t xml:space="preserve"> </w:t>
      </w:r>
      <w:r w:rsidR="00BB2244" w:rsidRPr="00AD134F">
        <w:rPr>
          <w:color w:val="000000"/>
        </w:rPr>
        <w:t>for 2019 and 2020</w:t>
      </w:r>
      <w:r w:rsidR="00054A63" w:rsidRPr="00AD134F">
        <w:rPr>
          <w:color w:val="000000"/>
        </w:rPr>
        <w:t>.</w:t>
      </w:r>
    </w:p>
    <w:bookmarkEnd w:id="2"/>
    <w:p w14:paraId="08306201" w14:textId="152332EE" w:rsidR="00BF5164" w:rsidRPr="00AD134F" w:rsidRDefault="00B27C52" w:rsidP="008E5B8B">
      <w:pPr>
        <w:pStyle w:val="Normal-pool"/>
        <w:keepNext/>
        <w:keepLines/>
        <w:spacing w:before="240" w:after="120"/>
        <w:ind w:left="1886"/>
        <w:jc w:val="center"/>
        <w:rPr>
          <w:b/>
        </w:rPr>
      </w:pPr>
      <w:r w:rsidRPr="00AD134F">
        <w:rPr>
          <w:b/>
        </w:rPr>
        <w:t>V</w:t>
      </w:r>
    </w:p>
    <w:p w14:paraId="432C7BC8" w14:textId="1D9A4688" w:rsidR="00BF5164" w:rsidRPr="00AD134F" w:rsidRDefault="009B2F72" w:rsidP="008E5B8B">
      <w:pPr>
        <w:pStyle w:val="Normal-pool"/>
        <w:keepNext/>
        <w:spacing w:after="120"/>
        <w:ind w:left="1886"/>
        <w:jc w:val="center"/>
        <w:rPr>
          <w:b/>
        </w:rPr>
      </w:pPr>
      <w:r w:rsidRPr="00AD134F">
        <w:rPr>
          <w:b/>
        </w:rPr>
        <w:t xml:space="preserve">Supporting policy </w:t>
      </w:r>
    </w:p>
    <w:p w14:paraId="3DC59B29" w14:textId="488D1049" w:rsidR="00724BF9" w:rsidRPr="00AD134F" w:rsidRDefault="00724BF9" w:rsidP="00724BF9">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color w:val="000000"/>
        </w:rPr>
        <w:tab/>
        <w:t>1.</w:t>
      </w:r>
      <w:r w:rsidRPr="00AD134F">
        <w:rPr>
          <w:color w:val="000000"/>
        </w:rPr>
        <w:tab/>
      </w:r>
      <w:r w:rsidRPr="00AD134F">
        <w:rPr>
          <w:i/>
          <w:iCs/>
        </w:rPr>
        <w:t xml:space="preserve">Establishes </w:t>
      </w:r>
      <w:r w:rsidRPr="00AD134F">
        <w:t xml:space="preserve">a task force on </w:t>
      </w:r>
      <w:r w:rsidR="009B2F72" w:rsidRPr="00AD134F">
        <w:t>policy</w:t>
      </w:r>
      <w:r w:rsidR="008B1E5C" w:rsidRPr="00AD134F">
        <w:t xml:space="preserve"> tools and methodologies for</w:t>
      </w:r>
      <w:r w:rsidRPr="00AD134F">
        <w:t xml:space="preserve"> the implementation of delivera</w:t>
      </w:r>
      <w:r w:rsidR="001D24F1" w:rsidRPr="00AD134F">
        <w:t>ble 4</w:t>
      </w:r>
      <w:r w:rsidR="009D0735">
        <w:t xml:space="preserve"> </w:t>
      </w:r>
      <w:r w:rsidR="000E6508">
        <w:t>(</w:t>
      </w:r>
      <w:r w:rsidR="001D24F1" w:rsidRPr="00AD134F">
        <w:t>a</w:t>
      </w:r>
      <w:r w:rsidR="000E6508">
        <w:t>)</w:t>
      </w:r>
      <w:r w:rsidR="001D24F1" w:rsidRPr="00AD134F">
        <w:t xml:space="preserve"> </w:t>
      </w:r>
      <w:r w:rsidRPr="00AD134F">
        <w:t>of the work programme</w:t>
      </w:r>
      <w:r w:rsidR="008B1E5C" w:rsidRPr="00AD134F">
        <w:t xml:space="preserve"> of the Platform up to </w:t>
      </w:r>
      <w:r w:rsidR="0044037F" w:rsidRPr="00AD134F">
        <w:t>2030 in</w:t>
      </w:r>
      <w:r w:rsidRPr="00AD134F">
        <w:t xml:space="preserve"> accordance with the terms of reference set out in annex [</w:t>
      </w:r>
      <w:r w:rsidR="008B1E5C" w:rsidRPr="00AD134F">
        <w:t>   </w:t>
      </w:r>
      <w:r w:rsidRPr="00AD134F">
        <w:t>]</w:t>
      </w:r>
      <w:r w:rsidR="000E6508" w:rsidRPr="000E6508">
        <w:rPr>
          <w:rFonts w:ascii="Calibri" w:eastAsia="MS Mincho" w:hAnsi="Calibri"/>
          <w:sz w:val="22"/>
          <w:szCs w:val="22"/>
          <w:lang w:val="en-US"/>
        </w:rPr>
        <w:t xml:space="preserve"> </w:t>
      </w:r>
      <w:r w:rsidR="000E6508" w:rsidRPr="000E6508">
        <w:rPr>
          <w:lang w:val="en-US"/>
        </w:rPr>
        <w:t>to the present decision</w:t>
      </w:r>
      <w:r w:rsidR="000E6508">
        <w:rPr>
          <w:lang w:val="en-US"/>
        </w:rPr>
        <w:t>,</w:t>
      </w:r>
      <w:r w:rsidRPr="00AD134F">
        <w:rPr>
          <w:rStyle w:val="FootnoteReference"/>
        </w:rPr>
        <w:footnoteReference w:id="28"/>
      </w:r>
      <w:r w:rsidRPr="00AD134F">
        <w:t xml:space="preserve"> and requests the Bureau and the Panel, through the Platform’s secretariat, to constitute the task force in accordance with the terms of reference;</w:t>
      </w:r>
    </w:p>
    <w:p w14:paraId="73395B05" w14:textId="59D77EF1" w:rsidR="001D24F1" w:rsidRPr="00AD134F" w:rsidRDefault="001D24F1" w:rsidP="00724BF9">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2.</w:t>
      </w:r>
      <w:r w:rsidRPr="00AD134F">
        <w:rPr>
          <w:color w:val="000000"/>
        </w:rPr>
        <w:tab/>
      </w:r>
      <w:r w:rsidRPr="00AD134F">
        <w:rPr>
          <w:i/>
          <w:iCs/>
        </w:rPr>
        <w:t xml:space="preserve">Establishes </w:t>
      </w:r>
      <w:r w:rsidRPr="00AD134F">
        <w:t>a task force on scenarios and models for the implementation of deliverable 4</w:t>
      </w:r>
      <w:r w:rsidR="009D0735">
        <w:t xml:space="preserve"> </w:t>
      </w:r>
      <w:r w:rsidR="000E6508">
        <w:t>(</w:t>
      </w:r>
      <w:r w:rsidRPr="00AD134F">
        <w:t>b</w:t>
      </w:r>
      <w:r w:rsidR="000E6508">
        <w:t>)</w:t>
      </w:r>
      <w:r w:rsidRPr="00AD134F">
        <w:t xml:space="preserve"> of the work programme</w:t>
      </w:r>
      <w:r w:rsidR="008B1E5C" w:rsidRPr="00AD134F">
        <w:t xml:space="preserve"> of the Platform up to </w:t>
      </w:r>
      <w:r w:rsidR="0044037F" w:rsidRPr="00AD134F">
        <w:t>2030 in</w:t>
      </w:r>
      <w:r w:rsidRPr="00AD134F">
        <w:t xml:space="preserve"> accordance with the</w:t>
      </w:r>
      <w:r w:rsidR="00BE3F24" w:rsidRPr="00AD134F">
        <w:t xml:space="preserve"> </w:t>
      </w:r>
      <w:r w:rsidRPr="00AD134F">
        <w:t>terms of reference set out in annex [</w:t>
      </w:r>
      <w:r w:rsidR="008B1E5C" w:rsidRPr="00AD134F">
        <w:t>   </w:t>
      </w:r>
      <w:r w:rsidRPr="00AD134F">
        <w:t>]</w:t>
      </w:r>
      <w:r w:rsidR="00454775" w:rsidRPr="00454775">
        <w:rPr>
          <w:rFonts w:ascii="Calibri" w:eastAsia="MS Mincho" w:hAnsi="Calibri"/>
          <w:sz w:val="22"/>
          <w:szCs w:val="22"/>
          <w:lang w:val="en-US"/>
        </w:rPr>
        <w:t xml:space="preserve"> </w:t>
      </w:r>
      <w:r w:rsidR="00454775" w:rsidRPr="00454775">
        <w:rPr>
          <w:lang w:val="en-US"/>
        </w:rPr>
        <w:t>to the present decision</w:t>
      </w:r>
      <w:r w:rsidR="00454775">
        <w:rPr>
          <w:lang w:val="en-US"/>
        </w:rPr>
        <w:t>,</w:t>
      </w:r>
      <w:r w:rsidRPr="00AD134F">
        <w:rPr>
          <w:rStyle w:val="FootnoteReference"/>
        </w:rPr>
        <w:footnoteReference w:id="29"/>
      </w:r>
      <w:r w:rsidRPr="00AD134F">
        <w:t xml:space="preserve"> and requests the Bureau and the Panel, through the Platform’s secretariat, to constitute the task force in accordance with the terms of reference;</w:t>
      </w:r>
    </w:p>
    <w:p w14:paraId="0F387DEB" w14:textId="680BF15D" w:rsidR="008B1E5C" w:rsidRPr="00AD134F" w:rsidRDefault="001D24F1" w:rsidP="008B1E5C">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lastRenderedPageBreak/>
        <w:t>3.</w:t>
      </w:r>
      <w:r w:rsidR="00724BF9" w:rsidRPr="00AD134F">
        <w:rPr>
          <w:color w:val="000000"/>
        </w:rPr>
        <w:tab/>
      </w:r>
      <w:r w:rsidR="008B1E5C" w:rsidRPr="00AD134F">
        <w:rPr>
          <w:i/>
          <w:color w:val="000000"/>
        </w:rPr>
        <w:t xml:space="preserve">Decides </w:t>
      </w:r>
      <w:r w:rsidR="008B1E5C" w:rsidRPr="00AD134F">
        <w:rPr>
          <w:color w:val="000000"/>
        </w:rPr>
        <w:t xml:space="preserve">to review the mandates and terms of reference of the task force on </w:t>
      </w:r>
      <w:r w:rsidR="001E0CFF" w:rsidRPr="00AD134F">
        <w:rPr>
          <w:color w:val="000000"/>
        </w:rPr>
        <w:t>policy tools and methodologies</w:t>
      </w:r>
      <w:r w:rsidR="008B1E5C" w:rsidRPr="00AD134F">
        <w:rPr>
          <w:color w:val="000000"/>
        </w:rPr>
        <w:t xml:space="preserve"> and the task force on </w:t>
      </w:r>
      <w:r w:rsidR="001E0CFF" w:rsidRPr="00AD134F">
        <w:rPr>
          <w:color w:val="000000"/>
        </w:rPr>
        <w:t>scenarios and models</w:t>
      </w:r>
      <w:r w:rsidR="008B1E5C" w:rsidRPr="00AD134F">
        <w:rPr>
          <w:color w:val="000000"/>
        </w:rPr>
        <w:t xml:space="preserve"> at its </w:t>
      </w:r>
      <w:r w:rsidR="00454775">
        <w:rPr>
          <w:color w:val="000000"/>
        </w:rPr>
        <w:t>tenth</w:t>
      </w:r>
      <w:r w:rsidR="008B1E5C" w:rsidRPr="00AD134F">
        <w:rPr>
          <w:color w:val="000000"/>
        </w:rPr>
        <w:t xml:space="preserve"> </w:t>
      </w:r>
      <w:r w:rsidR="006872D4" w:rsidRPr="00AD134F">
        <w:rPr>
          <w:color w:val="000000"/>
        </w:rPr>
        <w:t>session</w:t>
      </w:r>
      <w:r w:rsidR="008B1E5C" w:rsidRPr="00AD134F">
        <w:rPr>
          <w:color w:val="000000"/>
        </w:rPr>
        <w:t xml:space="preserve">; </w:t>
      </w:r>
    </w:p>
    <w:p w14:paraId="60DE3A66" w14:textId="5838273A" w:rsidR="00724BF9" w:rsidRPr="00AD134F" w:rsidRDefault="008B1E5C" w:rsidP="00724BF9">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4</w:t>
      </w:r>
      <w:r w:rsidR="00D5235E" w:rsidRPr="00AD134F">
        <w:rPr>
          <w:color w:val="000000"/>
        </w:rPr>
        <w:t>.</w:t>
      </w:r>
      <w:r w:rsidR="00D5235E" w:rsidRPr="00AD134F">
        <w:rPr>
          <w:color w:val="000000"/>
        </w:rPr>
        <w:tab/>
      </w:r>
      <w:r w:rsidR="003C5625" w:rsidRPr="00AD134F">
        <w:rPr>
          <w:i/>
          <w:color w:val="000000"/>
        </w:rPr>
        <w:t>Notes</w:t>
      </w:r>
      <w:r w:rsidR="00724BF9" w:rsidRPr="00AD134F">
        <w:rPr>
          <w:color w:val="000000"/>
        </w:rPr>
        <w:t xml:space="preserve"> the </w:t>
      </w:r>
      <w:r w:rsidR="00464AA3" w:rsidRPr="00AD134F">
        <w:rPr>
          <w:color w:val="000000"/>
        </w:rPr>
        <w:t>next steps</w:t>
      </w:r>
      <w:r w:rsidR="00AF45DB" w:rsidRPr="00AD134F">
        <w:rPr>
          <w:color w:val="000000"/>
        </w:rPr>
        <w:t xml:space="preserve"> for</w:t>
      </w:r>
      <w:r w:rsidR="00724BF9" w:rsidRPr="00AD134F">
        <w:rPr>
          <w:color w:val="000000"/>
        </w:rPr>
        <w:t xml:space="preserve"> the task force </w:t>
      </w:r>
      <w:r w:rsidR="001D24F1" w:rsidRPr="00AD134F">
        <w:rPr>
          <w:color w:val="000000"/>
        </w:rPr>
        <w:t xml:space="preserve">on policy </w:t>
      </w:r>
      <w:r w:rsidR="005051D4">
        <w:rPr>
          <w:color w:val="000000"/>
        </w:rPr>
        <w:t>tools</w:t>
      </w:r>
      <w:r w:rsidR="001D24F1" w:rsidRPr="00AD134F">
        <w:rPr>
          <w:color w:val="000000"/>
        </w:rPr>
        <w:t xml:space="preserve"> and </w:t>
      </w:r>
      <w:r w:rsidR="005051D4">
        <w:rPr>
          <w:color w:val="000000"/>
        </w:rPr>
        <w:t>methodologies</w:t>
      </w:r>
      <w:r w:rsidR="001D24F1" w:rsidRPr="00AD134F">
        <w:rPr>
          <w:rStyle w:val="FootnoteReference"/>
        </w:rPr>
        <w:footnoteReference w:id="30"/>
      </w:r>
      <w:r w:rsidR="001D24F1" w:rsidRPr="00AD134F">
        <w:rPr>
          <w:color w:val="000000"/>
        </w:rPr>
        <w:t xml:space="preserve"> and </w:t>
      </w:r>
      <w:r w:rsidR="00307B54">
        <w:rPr>
          <w:color w:val="000000"/>
        </w:rPr>
        <w:t xml:space="preserve">the task force </w:t>
      </w:r>
      <w:r w:rsidR="001D24F1" w:rsidRPr="00AD134F">
        <w:rPr>
          <w:color w:val="000000"/>
        </w:rPr>
        <w:t>on scenarios and models</w:t>
      </w:r>
      <w:r w:rsidR="001D24F1" w:rsidRPr="00AD134F">
        <w:rPr>
          <w:rStyle w:val="FootnoteReference"/>
        </w:rPr>
        <w:footnoteReference w:id="31"/>
      </w:r>
      <w:r w:rsidR="001D24F1" w:rsidRPr="00AD134F">
        <w:rPr>
          <w:color w:val="000000"/>
        </w:rPr>
        <w:t xml:space="preserve"> </w:t>
      </w:r>
      <w:r w:rsidR="00724BF9" w:rsidRPr="00AD134F">
        <w:rPr>
          <w:color w:val="000000"/>
        </w:rPr>
        <w:t>for 2019 and 2020</w:t>
      </w:r>
      <w:r w:rsidR="001D24F1" w:rsidRPr="00AD134F">
        <w:rPr>
          <w:color w:val="000000"/>
        </w:rPr>
        <w:t>.</w:t>
      </w:r>
    </w:p>
    <w:p w14:paraId="27338F57" w14:textId="77F3A1F7" w:rsidR="00BF5164" w:rsidRPr="00AD134F" w:rsidRDefault="00B27C52" w:rsidP="00724BF9">
      <w:pPr>
        <w:pStyle w:val="Normal-pool"/>
        <w:keepNext/>
        <w:keepLines/>
        <w:spacing w:before="240" w:after="120"/>
        <w:ind w:left="1890"/>
        <w:jc w:val="center"/>
        <w:rPr>
          <w:b/>
        </w:rPr>
      </w:pPr>
      <w:r w:rsidRPr="00AD134F">
        <w:rPr>
          <w:b/>
        </w:rPr>
        <w:t>VI</w:t>
      </w:r>
    </w:p>
    <w:p w14:paraId="000ECB22" w14:textId="2D1F441C" w:rsidR="00BF5164" w:rsidRPr="00AD134F" w:rsidRDefault="0065180F" w:rsidP="00724BF9">
      <w:pPr>
        <w:pStyle w:val="Normal-pool"/>
        <w:keepNext/>
        <w:keepLines/>
        <w:spacing w:after="120"/>
        <w:ind w:left="1800"/>
        <w:jc w:val="center"/>
        <w:rPr>
          <w:b/>
        </w:rPr>
      </w:pPr>
      <w:r w:rsidRPr="00AD134F">
        <w:rPr>
          <w:b/>
        </w:rPr>
        <w:t>R</w:t>
      </w:r>
      <w:r w:rsidR="00427750" w:rsidRPr="00AD134F">
        <w:rPr>
          <w:b/>
        </w:rPr>
        <w:t>eviewing effectiveness</w:t>
      </w:r>
    </w:p>
    <w:p w14:paraId="5293989D" w14:textId="259E9281" w:rsidR="00BF5164" w:rsidRPr="00AD134F" w:rsidRDefault="00BF5164" w:rsidP="00BF5164">
      <w:pPr>
        <w:pStyle w:val="Normal-pool"/>
        <w:keepNext/>
        <w:keepLines/>
        <w:spacing w:after="120"/>
        <w:ind w:left="1871" w:firstLine="624"/>
        <w:rPr>
          <w:iCs/>
          <w:color w:val="000000"/>
        </w:rPr>
      </w:pPr>
      <w:r w:rsidRPr="00AD134F">
        <w:rPr>
          <w:i/>
          <w:iCs/>
          <w:color w:val="000000"/>
        </w:rPr>
        <w:t xml:space="preserve">Recalling </w:t>
      </w:r>
      <w:r w:rsidR="005157DA" w:rsidRPr="00AD134F">
        <w:rPr>
          <w:iCs/>
          <w:color w:val="000000"/>
        </w:rPr>
        <w:t>that one of the operating principles of the Platform states that the Platform’s efficiency and effectiveness will be independently reviewed and evaluated on a periodic basis as decided by the Plenary, with adjustments to be made as necessary,</w:t>
      </w:r>
      <w:r w:rsidR="005157DA" w:rsidRPr="00AD134F">
        <w:rPr>
          <w:rStyle w:val="FootnoteReference"/>
          <w:iCs/>
        </w:rPr>
        <w:footnoteReference w:id="32"/>
      </w:r>
      <w:r w:rsidR="005157DA" w:rsidRPr="00AD134F">
        <w:rPr>
          <w:iCs/>
          <w:color w:val="000000"/>
        </w:rPr>
        <w:t xml:space="preserve"> </w:t>
      </w:r>
    </w:p>
    <w:p w14:paraId="44B0E1BE" w14:textId="2338B573" w:rsidR="005157DA" w:rsidRPr="00AD134F" w:rsidRDefault="005157DA" w:rsidP="005157DA">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color w:val="000000"/>
        </w:rPr>
        <w:tab/>
        <w:t>1.</w:t>
      </w:r>
      <w:r w:rsidRPr="00AD134F">
        <w:rPr>
          <w:color w:val="000000"/>
        </w:rPr>
        <w:tab/>
      </w:r>
      <w:r w:rsidRPr="00AD134F">
        <w:rPr>
          <w:i/>
          <w:iCs/>
        </w:rPr>
        <w:t xml:space="preserve">Requests </w:t>
      </w:r>
      <w:r w:rsidRPr="00AD134F">
        <w:t xml:space="preserve">the Executive Secretary to seek </w:t>
      </w:r>
      <w:r w:rsidR="00023238">
        <w:t xml:space="preserve">the </w:t>
      </w:r>
      <w:r w:rsidRPr="00AD134F">
        <w:t>views of members and stakeholders of the Platform on the process of reviewing the Platform at the closure of its first work programme;</w:t>
      </w:r>
    </w:p>
    <w:p w14:paraId="5A9E23D8" w14:textId="2D377293" w:rsidR="005157DA" w:rsidRPr="00AD134F" w:rsidRDefault="005157DA" w:rsidP="005157DA">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rPr>
          <w:i/>
          <w:iCs/>
        </w:rPr>
        <w:t>2.</w:t>
      </w:r>
      <w:r w:rsidRPr="00AD134F">
        <w:rPr>
          <w:i/>
          <w:iCs/>
        </w:rPr>
        <w:tab/>
      </w:r>
      <w:r w:rsidR="001E0CFF" w:rsidRPr="00AD134F">
        <w:rPr>
          <w:i/>
          <w:iCs/>
        </w:rPr>
        <w:t>R</w:t>
      </w:r>
      <w:r w:rsidRPr="00AD134F">
        <w:rPr>
          <w:i/>
          <w:iCs/>
        </w:rPr>
        <w:t xml:space="preserve">equests </w:t>
      </w:r>
      <w:r w:rsidRPr="00AD134F">
        <w:rPr>
          <w:iCs/>
        </w:rPr>
        <w:t xml:space="preserve">the Bureau and the Multidisciplinary Expert Panel to review the process of </w:t>
      </w:r>
      <w:r w:rsidRPr="00AD134F">
        <w:t xml:space="preserve">reviewing the Platform at the closure of its first work programme, taking into account the views expressed by members and stakeholders of the Platform in response to the process </w:t>
      </w:r>
      <w:r w:rsidR="000B2BB7">
        <w:t>referred to</w:t>
      </w:r>
      <w:r w:rsidRPr="00AD134F">
        <w:t xml:space="preserve"> in paragraph 1</w:t>
      </w:r>
      <w:r w:rsidR="009D0735">
        <w:t xml:space="preserve"> of the present section</w:t>
      </w:r>
      <w:r w:rsidRPr="00AD134F">
        <w:t xml:space="preserve">; </w:t>
      </w:r>
    </w:p>
    <w:p w14:paraId="4F673033" w14:textId="1549AFD8" w:rsidR="005157DA" w:rsidRPr="00AD134F" w:rsidRDefault="005157DA" w:rsidP="005157DA">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iCs/>
        </w:rPr>
        <w:t>3.</w:t>
      </w:r>
      <w:r w:rsidRPr="00AD134F">
        <w:rPr>
          <w:i/>
          <w:iCs/>
        </w:rPr>
        <w:tab/>
        <w:t xml:space="preserve">Further requests </w:t>
      </w:r>
      <w:r w:rsidRPr="00AD134F">
        <w:rPr>
          <w:iCs/>
        </w:rPr>
        <w:t xml:space="preserve">the Bureau and the Multidisciplinary Expert Panel </w:t>
      </w:r>
      <w:r w:rsidRPr="00AD134F">
        <w:t xml:space="preserve">to prepare draft terms of reference for a </w:t>
      </w:r>
      <w:r w:rsidR="001E0CFF" w:rsidRPr="00AD134F">
        <w:t xml:space="preserve">mid-term </w:t>
      </w:r>
      <w:r w:rsidRPr="00AD134F">
        <w:t xml:space="preserve">review of the Platform, for consideration by the Plenary at its ninth session. </w:t>
      </w:r>
    </w:p>
    <w:p w14:paraId="75255F83" w14:textId="3597BE46" w:rsidR="00BF5164" w:rsidRPr="00AD134F" w:rsidRDefault="00B27C52" w:rsidP="00724BF9">
      <w:pPr>
        <w:pStyle w:val="Normal-pool"/>
        <w:keepNext/>
        <w:keepLines/>
        <w:spacing w:before="240" w:after="120"/>
        <w:ind w:left="1886"/>
        <w:jc w:val="center"/>
        <w:rPr>
          <w:b/>
        </w:rPr>
      </w:pPr>
      <w:r w:rsidRPr="00AD134F">
        <w:rPr>
          <w:b/>
        </w:rPr>
        <w:t>VII</w:t>
      </w:r>
    </w:p>
    <w:p w14:paraId="35CE1CC7" w14:textId="77777777" w:rsidR="00BF5164" w:rsidRPr="00AD134F" w:rsidRDefault="00BF5164" w:rsidP="00724BF9">
      <w:pPr>
        <w:pStyle w:val="Normal-pool"/>
        <w:keepNext/>
        <w:keepLines/>
        <w:spacing w:after="120"/>
        <w:ind w:left="1886"/>
        <w:jc w:val="center"/>
        <w:rPr>
          <w:b/>
        </w:rPr>
      </w:pPr>
      <w:r w:rsidRPr="00AD134F">
        <w:rPr>
          <w:b/>
        </w:rPr>
        <w:t>Technical support for the work programme</w:t>
      </w:r>
    </w:p>
    <w:p w14:paraId="3F32BF42" w14:textId="58004861" w:rsidR="00BF5164" w:rsidRPr="00AD134F" w:rsidRDefault="00BF5164" w:rsidP="00BF5164">
      <w:pPr>
        <w:pStyle w:val="Normal-pool"/>
        <w:spacing w:after="120"/>
        <w:ind w:left="1871" w:firstLine="624"/>
      </w:pPr>
      <w:r w:rsidRPr="00AD134F">
        <w:rPr>
          <w:i/>
          <w:iCs/>
        </w:rPr>
        <w:t xml:space="preserve">Requests </w:t>
      </w:r>
      <w:r w:rsidRPr="00AD134F">
        <w:t xml:space="preserve">the secretariat, in consultation with the Bureau and in accordance with the approved budget set out </w:t>
      </w:r>
      <w:r w:rsidR="005157DA" w:rsidRPr="00AD134F">
        <w:t>in the annex to decision IPBES-7</w:t>
      </w:r>
      <w:r w:rsidRPr="00AD134F">
        <w:t xml:space="preserve">/[   ], to establish the institutional arrangements necessary to operationalize the technical support required for the work programme. </w:t>
      </w:r>
    </w:p>
    <w:p w14:paraId="56BE2A57" w14:textId="73226602" w:rsidR="00BF5164" w:rsidRPr="00AD134F" w:rsidRDefault="00BF5164" w:rsidP="00BF5164">
      <w:pPr>
        <w:pStyle w:val="CH1"/>
        <w:rPr>
          <w:sz w:val="20"/>
          <w:szCs w:val="20"/>
        </w:rPr>
      </w:pPr>
      <w:r w:rsidRPr="00AD134F">
        <w:rPr>
          <w:color w:val="000000"/>
        </w:rPr>
        <w:t xml:space="preserve"> </w:t>
      </w:r>
      <w:r w:rsidRPr="00AD134F">
        <w:tab/>
        <w:t>II</w:t>
      </w:r>
      <w:r w:rsidR="0044037F" w:rsidRPr="00AD134F">
        <w:t>I</w:t>
      </w:r>
      <w:r w:rsidRPr="00AD134F">
        <w:t>.</w:t>
      </w:r>
      <w:r w:rsidRPr="00AD134F">
        <w:tab/>
        <w:t>Draft decision: Financial and budgetary arrangements</w:t>
      </w:r>
    </w:p>
    <w:p w14:paraId="586B2D03" w14:textId="1F33F9B8" w:rsidR="00BF5164" w:rsidRPr="00AD134F" w:rsidRDefault="00BF5164" w:rsidP="00BF5164">
      <w:pPr>
        <w:pStyle w:val="Normalnumber"/>
        <w:numPr>
          <w:ilvl w:val="0"/>
          <w:numId w:val="9"/>
        </w:numPr>
        <w:tabs>
          <w:tab w:val="clear" w:pos="1247"/>
          <w:tab w:val="clear" w:pos="1814"/>
          <w:tab w:val="clear" w:pos="2381"/>
          <w:tab w:val="clear" w:pos="2948"/>
          <w:tab w:val="clear" w:pos="3515"/>
          <w:tab w:val="clear" w:pos="4082"/>
          <w:tab w:val="left" w:pos="624"/>
        </w:tabs>
        <w:ind w:left="1247" w:firstLine="0"/>
      </w:pPr>
      <w:r w:rsidRPr="00AD134F">
        <w:t xml:space="preserve">The Plenary may wish to consider the following draft decision on financial and budgetary arrangements under item </w:t>
      </w:r>
      <w:r w:rsidR="00447958" w:rsidRPr="00AD134F">
        <w:t xml:space="preserve">7 </w:t>
      </w:r>
      <w:r w:rsidRPr="00AD134F">
        <w:t xml:space="preserve">of the provisional agenda: </w:t>
      </w:r>
    </w:p>
    <w:p w14:paraId="22AAAB07" w14:textId="77777777" w:rsidR="00BF5164" w:rsidRPr="00AD134F" w:rsidRDefault="00BF5164" w:rsidP="00BF5164">
      <w:pPr>
        <w:pStyle w:val="Normal-pool"/>
        <w:keepNext/>
        <w:tabs>
          <w:tab w:val="clear" w:pos="1247"/>
          <w:tab w:val="clear" w:pos="1814"/>
          <w:tab w:val="clear" w:pos="2381"/>
          <w:tab w:val="clear" w:pos="2948"/>
          <w:tab w:val="clear" w:pos="3515"/>
          <w:tab w:val="left" w:pos="624"/>
        </w:tabs>
        <w:spacing w:after="120"/>
        <w:ind w:left="1871" w:firstLine="624"/>
        <w:rPr>
          <w:i/>
        </w:rPr>
      </w:pPr>
      <w:r w:rsidRPr="00AD134F">
        <w:rPr>
          <w:i/>
        </w:rPr>
        <w:t xml:space="preserve">The Plenary, </w:t>
      </w:r>
    </w:p>
    <w:p w14:paraId="086FE458" w14:textId="0C231EB6" w:rsidR="00BF5164" w:rsidRPr="00AD134F" w:rsidRDefault="00BF5164" w:rsidP="00BF5164">
      <w:pPr>
        <w:pStyle w:val="Normal-pool"/>
        <w:keepNext/>
        <w:tabs>
          <w:tab w:val="clear" w:pos="1247"/>
          <w:tab w:val="clear" w:pos="1814"/>
          <w:tab w:val="clear" w:pos="2381"/>
          <w:tab w:val="clear" w:pos="2948"/>
          <w:tab w:val="clear" w:pos="3515"/>
          <w:tab w:val="clear" w:pos="4082"/>
          <w:tab w:val="left" w:pos="624"/>
        </w:tabs>
        <w:spacing w:after="120"/>
        <w:ind w:left="1871" w:firstLine="624"/>
      </w:pPr>
      <w:bookmarkStart w:id="3" w:name="_Hlk535846233"/>
      <w:r w:rsidRPr="00AD134F">
        <w:rPr>
          <w:i/>
        </w:rPr>
        <w:t>Welcoming</w:t>
      </w:r>
      <w:r w:rsidRPr="00AD134F">
        <w:t xml:space="preserve"> the cash and in-kind contributions received since the </w:t>
      </w:r>
      <w:r w:rsidR="00062068" w:rsidRPr="00AD134F">
        <w:t>six</w:t>
      </w:r>
      <w:r w:rsidRPr="00AD134F">
        <w:t xml:space="preserve">th session of the Plenary of the Intergovernmental Science-Policy Platform on Biodiversity and Ecosystem Services, </w:t>
      </w:r>
    </w:p>
    <w:p w14:paraId="4797AB4E" w14:textId="7892F3D0" w:rsidR="00BF5164" w:rsidRPr="00AD134F" w:rsidRDefault="00316C93" w:rsidP="00BF5164">
      <w:pPr>
        <w:pStyle w:val="Normal-pool"/>
        <w:tabs>
          <w:tab w:val="clear" w:pos="1247"/>
          <w:tab w:val="clear" w:pos="1814"/>
          <w:tab w:val="clear" w:pos="2381"/>
          <w:tab w:val="clear" w:pos="2948"/>
          <w:tab w:val="clear" w:pos="3515"/>
          <w:tab w:val="clear" w:pos="4082"/>
          <w:tab w:val="left" w:pos="624"/>
        </w:tabs>
        <w:spacing w:after="120"/>
        <w:ind w:left="1871" w:firstLine="624"/>
      </w:pPr>
      <w:r w:rsidRPr="00D24464">
        <w:rPr>
          <w:i/>
        </w:rPr>
        <w:t>Noting</w:t>
      </w:r>
      <w:r w:rsidR="00BF5164" w:rsidRPr="00AD134F">
        <w:t xml:space="preserve"> the status of cash and in-kind contributions received to date,</w:t>
      </w:r>
      <w:r>
        <w:t xml:space="preserve"> </w:t>
      </w:r>
      <w:r w:rsidRPr="00316C93">
        <w:rPr>
          <w:lang w:val="en-US"/>
        </w:rPr>
        <w:t>as listed in tables [   ], [   ] and [   ] set out in the annex to the present decision,</w:t>
      </w:r>
      <w:r w:rsidR="00BF5164" w:rsidRPr="00AD134F">
        <w:rPr>
          <w:szCs w:val="18"/>
          <w:vertAlign w:val="superscript"/>
        </w:rPr>
        <w:footnoteReference w:id="33"/>
      </w:r>
      <w:r w:rsidR="00BF5164" w:rsidRPr="00AD134F">
        <w:t xml:space="preserve"> </w:t>
      </w:r>
    </w:p>
    <w:p w14:paraId="2093B70A" w14:textId="341FF384" w:rsidR="00BF5164" w:rsidRPr="00AD134F" w:rsidRDefault="00316C93" w:rsidP="00BF5164">
      <w:pPr>
        <w:pStyle w:val="Normal-pool"/>
        <w:tabs>
          <w:tab w:val="clear" w:pos="1247"/>
          <w:tab w:val="clear" w:pos="1814"/>
          <w:tab w:val="clear" w:pos="2381"/>
          <w:tab w:val="clear" w:pos="2948"/>
          <w:tab w:val="clear" w:pos="3515"/>
          <w:tab w:val="clear" w:pos="4082"/>
          <w:tab w:val="left" w:pos="624"/>
        </w:tabs>
        <w:spacing w:after="120"/>
        <w:ind w:left="1871" w:firstLine="624"/>
      </w:pPr>
      <w:r>
        <w:rPr>
          <w:i/>
        </w:rPr>
        <w:t>Noting</w:t>
      </w:r>
      <w:r w:rsidR="00BF5164" w:rsidRPr="00AD134F">
        <w:rPr>
          <w:i/>
        </w:rPr>
        <w:t xml:space="preserve"> also</w:t>
      </w:r>
      <w:r w:rsidR="00BF5164" w:rsidRPr="00AD134F">
        <w:t xml:space="preserve"> the pledges</w:t>
      </w:r>
      <w:r w:rsidR="002B4A6A" w:rsidRPr="00AD134F">
        <w:t xml:space="preserve"> made for the period beyond 2018</w:t>
      </w:r>
      <w:r w:rsidR="00BF5164" w:rsidRPr="00AD134F">
        <w:t xml:space="preserve">, </w:t>
      </w:r>
    </w:p>
    <w:p w14:paraId="5DE1BD18" w14:textId="28FC3644" w:rsidR="00BF5164" w:rsidRPr="00AD134F" w:rsidRDefault="00316C93" w:rsidP="00BF5164">
      <w:pPr>
        <w:pStyle w:val="Normal-pool"/>
        <w:tabs>
          <w:tab w:val="clear" w:pos="1247"/>
          <w:tab w:val="clear" w:pos="1814"/>
          <w:tab w:val="clear" w:pos="2381"/>
          <w:tab w:val="clear" w:pos="2948"/>
          <w:tab w:val="clear" w:pos="3515"/>
          <w:tab w:val="clear" w:pos="4082"/>
          <w:tab w:val="left" w:pos="624"/>
        </w:tabs>
        <w:spacing w:after="120"/>
        <w:ind w:left="1871" w:firstLine="624"/>
      </w:pPr>
      <w:r>
        <w:rPr>
          <w:i/>
        </w:rPr>
        <w:t>Noting</w:t>
      </w:r>
      <w:r w:rsidR="00BF5164" w:rsidRPr="00AD134F">
        <w:rPr>
          <w:i/>
        </w:rPr>
        <w:t xml:space="preserve"> further</w:t>
      </w:r>
      <w:r w:rsidR="00BF5164" w:rsidRPr="00AD134F">
        <w:t xml:space="preserve"> the status of e</w:t>
      </w:r>
      <w:r w:rsidR="002B4A6A" w:rsidRPr="00AD134F">
        <w:t>xpenditures in the biennium 2017–2018</w:t>
      </w:r>
      <w:r w:rsidR="00BF5164" w:rsidRPr="00AD134F">
        <w:t>,</w:t>
      </w:r>
      <w:r w:rsidRPr="00316C93">
        <w:rPr>
          <w:rFonts w:ascii="Calibri" w:eastAsia="MS Mincho" w:hAnsi="Calibri"/>
          <w:sz w:val="22"/>
          <w:szCs w:val="22"/>
          <w:lang w:val="en-US"/>
        </w:rPr>
        <w:t xml:space="preserve"> </w:t>
      </w:r>
      <w:r w:rsidRPr="00316C93">
        <w:rPr>
          <w:lang w:val="en-US"/>
        </w:rPr>
        <w:t>as listed in tables [   ] and [   ] set out in the annex to the present decision,</w:t>
      </w:r>
      <w:r w:rsidR="00BF5164" w:rsidRPr="00AD134F">
        <w:rPr>
          <w:szCs w:val="18"/>
          <w:vertAlign w:val="superscript"/>
        </w:rPr>
        <w:footnoteReference w:id="34"/>
      </w:r>
      <w:r w:rsidR="00BF5164" w:rsidRPr="00AD134F">
        <w:t xml:space="preserve"> as well as the level of savings achieved during the biennium, </w:t>
      </w:r>
    </w:p>
    <w:p w14:paraId="38201FFB" w14:textId="77777777" w:rsidR="00BF5164" w:rsidRPr="00AD134F" w:rsidRDefault="00BF5164" w:rsidP="00BF5164">
      <w:pPr>
        <w:pStyle w:val="Normal-pool"/>
        <w:tabs>
          <w:tab w:val="clear" w:pos="1247"/>
          <w:tab w:val="clear" w:pos="1814"/>
          <w:tab w:val="clear" w:pos="2381"/>
          <w:tab w:val="clear" w:pos="2948"/>
          <w:tab w:val="clear" w:pos="3515"/>
          <w:tab w:val="clear" w:pos="4082"/>
          <w:tab w:val="left" w:pos="624"/>
        </w:tabs>
        <w:spacing w:after="120"/>
        <w:ind w:left="1871" w:firstLine="624"/>
      </w:pPr>
      <w:r w:rsidRPr="00AD134F">
        <w:t>1.</w:t>
      </w:r>
      <w:r w:rsidRPr="00AD134F">
        <w:tab/>
      </w:r>
      <w:r w:rsidRPr="00AD134F">
        <w:rPr>
          <w:i/>
          <w:iCs/>
        </w:rPr>
        <w:t xml:space="preserve">Invites </w:t>
      </w:r>
      <w:r w:rsidRPr="00AD134F">
        <w:t>pledges and contributions to the trust fund of the Platform, as well as in</w:t>
      </w:r>
      <w:r w:rsidRPr="00AD134F">
        <w:noBreakHyphen/>
        <w:t xml:space="preserve">kind contributions, from Governments, United Nations bodies, the Global Environment Facility, other intergovernmental organizations, stakeholders and others in a position to do so, including regional economic integration organizations, the private sector and foundations, to support the work of the Platform; </w:t>
      </w:r>
    </w:p>
    <w:p w14:paraId="4377A6FE" w14:textId="1957E79E" w:rsidR="00BF5164" w:rsidRPr="00AD134F" w:rsidRDefault="00BF5164" w:rsidP="00BF5164">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lastRenderedPageBreak/>
        <w:tab/>
        <w:t>2.</w:t>
      </w:r>
      <w:r w:rsidRPr="00AD134F">
        <w:rPr>
          <w:color w:val="000000"/>
        </w:rPr>
        <w:tab/>
      </w:r>
      <w:r w:rsidRPr="00AD134F">
        <w:rPr>
          <w:i/>
          <w:iCs/>
          <w:color w:val="000000"/>
        </w:rPr>
        <w:t xml:space="preserve">Requests </w:t>
      </w:r>
      <w:r w:rsidRPr="00AD134F">
        <w:rPr>
          <w:color w:val="000000"/>
        </w:rPr>
        <w:t xml:space="preserve">the Executive Secretary, under the guidance of the Bureau, to report to the Plenary at its </w:t>
      </w:r>
      <w:r w:rsidR="002B4A6A" w:rsidRPr="00AD134F">
        <w:rPr>
          <w:color w:val="000000"/>
        </w:rPr>
        <w:t>eigh</w:t>
      </w:r>
      <w:r w:rsidRPr="00AD134F">
        <w:rPr>
          <w:color w:val="000000"/>
        </w:rPr>
        <w:t>th session on ex</w:t>
      </w:r>
      <w:r w:rsidR="002B4A6A" w:rsidRPr="00AD134F">
        <w:rPr>
          <w:color w:val="000000"/>
        </w:rPr>
        <w:t>penditures for the biennium 2018</w:t>
      </w:r>
      <w:r w:rsidR="007B6BA3" w:rsidRPr="00AD134F">
        <w:rPr>
          <w:color w:val="000000"/>
        </w:rPr>
        <w:t>–2019 and on activities related to fundraising</w:t>
      </w:r>
      <w:r w:rsidRPr="00AD134F">
        <w:rPr>
          <w:color w:val="000000"/>
        </w:rPr>
        <w:t xml:space="preserve">; </w:t>
      </w:r>
    </w:p>
    <w:p w14:paraId="604E2AB3" w14:textId="3F12799B" w:rsidR="00BF5164" w:rsidRPr="00AD134F" w:rsidRDefault="00BF5164" w:rsidP="00BF5164">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ab/>
        <w:t>3.</w:t>
      </w:r>
      <w:r w:rsidRPr="00AD134F">
        <w:rPr>
          <w:color w:val="000000"/>
        </w:rPr>
        <w:tab/>
      </w:r>
      <w:r w:rsidRPr="00AD134F">
        <w:rPr>
          <w:i/>
          <w:iCs/>
          <w:color w:val="000000"/>
        </w:rPr>
        <w:t xml:space="preserve">Adopts </w:t>
      </w:r>
      <w:r w:rsidR="007B6BA3" w:rsidRPr="00AD134F">
        <w:rPr>
          <w:color w:val="000000"/>
        </w:rPr>
        <w:t>the revised budget for 2019</w:t>
      </w:r>
      <w:r w:rsidRPr="00AD134F">
        <w:rPr>
          <w:color w:val="000000"/>
        </w:rPr>
        <w:t>,</w:t>
      </w:r>
      <w:r w:rsidRPr="00AD134F">
        <w:rPr>
          <w:szCs w:val="18"/>
          <w:vertAlign w:val="superscript"/>
        </w:rPr>
        <w:footnoteReference w:id="35"/>
      </w:r>
      <w:r w:rsidRPr="00AD134F">
        <w:rPr>
          <w:color w:val="000000"/>
        </w:rPr>
        <w:t xml:space="preserve"> amounting to $[   ], as set out in table </w:t>
      </w:r>
      <w:r w:rsidR="003E2B1C" w:rsidRPr="00D24464">
        <w:t>[   ]</w:t>
      </w:r>
      <w:r w:rsidRPr="00AD134F">
        <w:rPr>
          <w:color w:val="000000"/>
        </w:rPr>
        <w:t xml:space="preserve"> of the annex to the present decision; </w:t>
      </w:r>
    </w:p>
    <w:p w14:paraId="31C8F95C" w14:textId="4418302A" w:rsidR="00BF5164" w:rsidRPr="00AD134F" w:rsidRDefault="00BF5164" w:rsidP="00BF5164">
      <w:pPr>
        <w:pStyle w:val="Normal-pool"/>
        <w:tabs>
          <w:tab w:val="clear" w:pos="1247"/>
          <w:tab w:val="clear" w:pos="1814"/>
          <w:tab w:val="clear" w:pos="2381"/>
          <w:tab w:val="clear" w:pos="2948"/>
          <w:tab w:val="clear" w:pos="3515"/>
          <w:tab w:val="clear" w:pos="4082"/>
          <w:tab w:val="left" w:pos="624"/>
        </w:tabs>
        <w:spacing w:after="120"/>
        <w:ind w:left="1871" w:firstLine="624"/>
        <w:rPr>
          <w:color w:val="000000"/>
        </w:rPr>
      </w:pPr>
      <w:r w:rsidRPr="00AD134F">
        <w:rPr>
          <w:color w:val="000000"/>
        </w:rPr>
        <w:tab/>
        <w:t>4.</w:t>
      </w:r>
      <w:r w:rsidRPr="00AD134F">
        <w:rPr>
          <w:color w:val="000000"/>
        </w:rPr>
        <w:tab/>
      </w:r>
      <w:r w:rsidRPr="00AD134F">
        <w:rPr>
          <w:i/>
          <w:iCs/>
          <w:color w:val="000000"/>
        </w:rPr>
        <w:t xml:space="preserve">Also adopts </w:t>
      </w:r>
      <w:r w:rsidRPr="00AD134F">
        <w:rPr>
          <w:color w:val="000000"/>
        </w:rPr>
        <w:t xml:space="preserve">the </w:t>
      </w:r>
      <w:r w:rsidR="007B6BA3" w:rsidRPr="00AD134F">
        <w:rPr>
          <w:color w:val="000000"/>
        </w:rPr>
        <w:t xml:space="preserve">provisional budget for </w:t>
      </w:r>
      <w:r w:rsidR="007314B6" w:rsidRPr="00AD134F">
        <w:rPr>
          <w:color w:val="000000"/>
        </w:rPr>
        <w:t>202</w:t>
      </w:r>
      <w:r w:rsidR="00276ACE" w:rsidRPr="00AD134F">
        <w:rPr>
          <w:color w:val="000000"/>
        </w:rPr>
        <w:t>0</w:t>
      </w:r>
      <w:r w:rsidRPr="00AD134F">
        <w:rPr>
          <w:color w:val="000000"/>
        </w:rPr>
        <w:t>,</w:t>
      </w:r>
      <w:r w:rsidRPr="00AD134F">
        <w:rPr>
          <w:szCs w:val="18"/>
          <w:vertAlign w:val="superscript"/>
        </w:rPr>
        <w:footnoteReference w:id="36"/>
      </w:r>
      <w:r w:rsidRPr="00AD134F">
        <w:rPr>
          <w:color w:val="000000"/>
        </w:rPr>
        <w:t xml:space="preserve"> amounting to $[   ], as set out in table </w:t>
      </w:r>
      <w:r w:rsidR="003E2B1C" w:rsidRPr="00D24464">
        <w:t>[   ]</w:t>
      </w:r>
      <w:r w:rsidRPr="00AD134F">
        <w:rPr>
          <w:color w:val="000000"/>
        </w:rPr>
        <w:t xml:space="preserve"> of the annex to the present decision. </w:t>
      </w:r>
    </w:p>
    <w:bookmarkEnd w:id="3"/>
    <w:p w14:paraId="0612FA38" w14:textId="36CCC481" w:rsidR="00BF5164" w:rsidRPr="00AD134F" w:rsidRDefault="00BF5164" w:rsidP="00BF5164">
      <w:pPr>
        <w:pStyle w:val="CH1"/>
      </w:pPr>
      <w:r w:rsidRPr="00AD134F">
        <w:tab/>
        <w:t>I</w:t>
      </w:r>
      <w:r w:rsidR="0044037F" w:rsidRPr="00AD134F">
        <w:t>V</w:t>
      </w:r>
      <w:r w:rsidRPr="00AD134F">
        <w:t>.</w:t>
      </w:r>
      <w:r w:rsidRPr="00AD134F">
        <w:tab/>
        <w:t xml:space="preserve">Draft decision: </w:t>
      </w:r>
      <w:r w:rsidR="00AE5432" w:rsidRPr="00AD134F">
        <w:rPr>
          <w:color w:val="000000"/>
        </w:rPr>
        <w:t>Organization of the Plenary and dates and venues of future sessions of the Plenary</w:t>
      </w:r>
    </w:p>
    <w:p w14:paraId="2115E7E0" w14:textId="1D5465E4" w:rsidR="00BF5164" w:rsidRPr="00AD134F" w:rsidRDefault="00BF5164" w:rsidP="00BF5164">
      <w:pPr>
        <w:pStyle w:val="Normalnumber"/>
        <w:numPr>
          <w:ilvl w:val="0"/>
          <w:numId w:val="9"/>
        </w:numPr>
        <w:tabs>
          <w:tab w:val="clear" w:pos="1247"/>
          <w:tab w:val="clear" w:pos="1814"/>
          <w:tab w:val="clear" w:pos="2381"/>
          <w:tab w:val="clear" w:pos="2948"/>
          <w:tab w:val="clear" w:pos="3515"/>
          <w:tab w:val="clear" w:pos="4082"/>
          <w:tab w:val="left" w:pos="624"/>
        </w:tabs>
        <w:ind w:left="1247" w:firstLine="0"/>
        <w:rPr>
          <w:color w:val="000000"/>
        </w:rPr>
      </w:pPr>
      <w:r w:rsidRPr="00AD134F">
        <w:rPr>
          <w:color w:val="000000"/>
        </w:rPr>
        <w:t xml:space="preserve">The </w:t>
      </w:r>
      <w:r w:rsidRPr="00AD134F">
        <w:t>Plenary</w:t>
      </w:r>
      <w:r w:rsidRPr="00AD134F">
        <w:rPr>
          <w:color w:val="000000"/>
        </w:rPr>
        <w:t xml:space="preserve"> may wish to consider the follow</w:t>
      </w:r>
      <w:r w:rsidR="00AE5432" w:rsidRPr="00AD134F">
        <w:rPr>
          <w:color w:val="000000"/>
        </w:rPr>
        <w:t xml:space="preserve">ing draft decision </w:t>
      </w:r>
      <w:r w:rsidR="00735C1A">
        <w:rPr>
          <w:color w:val="000000"/>
        </w:rPr>
        <w:t xml:space="preserve">on the </w:t>
      </w:r>
      <w:r w:rsidR="00735C1A" w:rsidRPr="00735C1A">
        <w:rPr>
          <w:color w:val="000000"/>
          <w:lang w:val="en-US"/>
        </w:rPr>
        <w:t xml:space="preserve">organization of the Plenary and dates and venues of future sessions of the Plenary </w:t>
      </w:r>
      <w:r w:rsidR="00AE5432" w:rsidRPr="00AD134F">
        <w:rPr>
          <w:color w:val="000000"/>
        </w:rPr>
        <w:t>under item 10</w:t>
      </w:r>
      <w:r w:rsidR="00735C1A">
        <w:rPr>
          <w:color w:val="000000"/>
        </w:rPr>
        <w:t xml:space="preserve"> of the provisional agenda</w:t>
      </w:r>
      <w:r w:rsidRPr="00AD134F">
        <w:rPr>
          <w:color w:val="000000"/>
        </w:rPr>
        <w:t xml:space="preserve">: </w:t>
      </w:r>
    </w:p>
    <w:p w14:paraId="606D3252" w14:textId="77777777" w:rsidR="00BF5164" w:rsidRPr="00AD134F" w:rsidRDefault="00BF5164" w:rsidP="00BF5164">
      <w:pPr>
        <w:pStyle w:val="Normal-pool"/>
        <w:tabs>
          <w:tab w:val="clear" w:pos="1247"/>
          <w:tab w:val="clear" w:pos="1814"/>
          <w:tab w:val="clear" w:pos="2381"/>
          <w:tab w:val="clear" w:pos="2948"/>
          <w:tab w:val="clear" w:pos="3515"/>
          <w:tab w:val="left" w:pos="624"/>
        </w:tabs>
        <w:spacing w:after="100"/>
        <w:ind w:left="1871" w:firstLine="624"/>
        <w:rPr>
          <w:i/>
        </w:rPr>
      </w:pPr>
      <w:r w:rsidRPr="00AD134F">
        <w:rPr>
          <w:i/>
        </w:rPr>
        <w:t xml:space="preserve">The Plenary, </w:t>
      </w:r>
    </w:p>
    <w:p w14:paraId="2B0EB954" w14:textId="38C13C41" w:rsidR="005B6FDF" w:rsidRPr="00AD134F" w:rsidRDefault="00BF5164" w:rsidP="005B6FDF">
      <w:pPr>
        <w:pStyle w:val="Normal-pool"/>
        <w:numPr>
          <w:ilvl w:val="0"/>
          <w:numId w:val="11"/>
        </w:numPr>
        <w:tabs>
          <w:tab w:val="clear" w:pos="1247"/>
          <w:tab w:val="clear" w:pos="1814"/>
          <w:tab w:val="clear" w:pos="2381"/>
          <w:tab w:val="clear" w:pos="2948"/>
          <w:tab w:val="clear" w:pos="3515"/>
          <w:tab w:val="clear" w:pos="4082"/>
          <w:tab w:val="left" w:pos="624"/>
        </w:tabs>
        <w:spacing w:after="100"/>
        <w:rPr>
          <w:color w:val="000000"/>
        </w:rPr>
      </w:pPr>
      <w:r w:rsidRPr="00AD134F">
        <w:rPr>
          <w:i/>
          <w:iCs/>
          <w:color w:val="000000"/>
        </w:rPr>
        <w:t xml:space="preserve">Decides </w:t>
      </w:r>
      <w:r w:rsidRPr="00AD134F">
        <w:rPr>
          <w:color w:val="000000"/>
        </w:rPr>
        <w:t>t</w:t>
      </w:r>
      <w:r w:rsidR="005B6FDF" w:rsidRPr="00AD134F">
        <w:rPr>
          <w:color w:val="000000"/>
        </w:rPr>
        <w:t>hat the eighth session of the Plenary will be held from [</w:t>
      </w:r>
      <w:r w:rsidR="003A3A78">
        <w:rPr>
          <w:color w:val="000000"/>
        </w:rPr>
        <w:t xml:space="preserve"> </w:t>
      </w:r>
      <w:r w:rsidR="00735C1A">
        <w:rPr>
          <w:color w:val="000000"/>
        </w:rPr>
        <w:t xml:space="preserve"> </w:t>
      </w:r>
      <w:r w:rsidR="003A3A78">
        <w:rPr>
          <w:color w:val="000000"/>
        </w:rPr>
        <w:t xml:space="preserve"> </w:t>
      </w:r>
      <w:r w:rsidR="005B6FDF" w:rsidRPr="00AD134F">
        <w:rPr>
          <w:color w:val="000000"/>
        </w:rPr>
        <w:t>] to [</w:t>
      </w:r>
      <w:r w:rsidR="00735C1A">
        <w:rPr>
          <w:color w:val="000000"/>
        </w:rPr>
        <w:t xml:space="preserve"> </w:t>
      </w:r>
      <w:r w:rsidR="003A3A78">
        <w:rPr>
          <w:color w:val="000000"/>
        </w:rPr>
        <w:t xml:space="preserve">  </w:t>
      </w:r>
      <w:r w:rsidR="005B6FDF" w:rsidRPr="00AD134F">
        <w:rPr>
          <w:color w:val="000000"/>
        </w:rPr>
        <w:t>]</w:t>
      </w:r>
      <w:r w:rsidR="00307B54">
        <w:rPr>
          <w:color w:val="000000"/>
        </w:rPr>
        <w:t xml:space="preserve"> 2020;</w:t>
      </w:r>
      <w:r w:rsidR="005B6FDF" w:rsidRPr="00AD134F">
        <w:rPr>
          <w:rStyle w:val="FootnoteReference"/>
        </w:rPr>
        <w:footnoteReference w:id="37"/>
      </w:r>
    </w:p>
    <w:p w14:paraId="6AE0EB93" w14:textId="0CDF9AC4" w:rsidR="005B6FDF" w:rsidRPr="00AD134F" w:rsidRDefault="005B6FDF" w:rsidP="005B6FDF">
      <w:pPr>
        <w:pStyle w:val="Normal-pool"/>
        <w:tabs>
          <w:tab w:val="clear" w:pos="1247"/>
          <w:tab w:val="clear" w:pos="1814"/>
          <w:tab w:val="clear" w:pos="2381"/>
          <w:tab w:val="clear" w:pos="2948"/>
          <w:tab w:val="clear" w:pos="3515"/>
          <w:tab w:val="clear" w:pos="4082"/>
          <w:tab w:val="left" w:pos="624"/>
        </w:tabs>
        <w:spacing w:after="100"/>
        <w:ind w:left="1871" w:firstLine="624"/>
      </w:pPr>
      <w:r w:rsidRPr="00AD134F">
        <w:rPr>
          <w:i/>
          <w:iCs/>
          <w:color w:val="000000"/>
        </w:rPr>
        <w:tab/>
      </w:r>
      <w:r w:rsidRPr="00AD134F">
        <w:rPr>
          <w:iCs/>
          <w:color w:val="000000"/>
        </w:rPr>
        <w:t>2</w:t>
      </w:r>
      <w:r w:rsidRPr="00AD134F">
        <w:rPr>
          <w:i/>
          <w:iCs/>
          <w:color w:val="000000"/>
        </w:rPr>
        <w:t>.</w:t>
      </w:r>
      <w:r w:rsidRPr="00AD134F">
        <w:rPr>
          <w:i/>
          <w:iCs/>
          <w:color w:val="000000"/>
        </w:rPr>
        <w:tab/>
      </w:r>
      <w:r w:rsidR="00736720" w:rsidRPr="00AD134F">
        <w:rPr>
          <w:i/>
          <w:iCs/>
          <w:color w:val="000000"/>
        </w:rPr>
        <w:t>Also d</w:t>
      </w:r>
      <w:r w:rsidRPr="00AD134F">
        <w:rPr>
          <w:i/>
          <w:iCs/>
          <w:color w:val="000000"/>
        </w:rPr>
        <w:t xml:space="preserve">ecides </w:t>
      </w:r>
      <w:r w:rsidRPr="00AD134F">
        <w:rPr>
          <w:color w:val="000000"/>
        </w:rPr>
        <w:t>t</w:t>
      </w:r>
      <w:r w:rsidRPr="00AD134F">
        <w:t>o accept with appreciation the offer by the Government of [</w:t>
      </w:r>
      <w:r w:rsidR="00735C1A">
        <w:t xml:space="preserve"> </w:t>
      </w:r>
      <w:r w:rsidR="003A3A78">
        <w:t xml:space="preserve">  </w:t>
      </w:r>
      <w:r w:rsidRPr="00AD134F">
        <w:t>] to host the eighth session of the Plenary in [</w:t>
      </w:r>
      <w:r w:rsidR="003A3A78">
        <w:t xml:space="preserve">  </w:t>
      </w:r>
      <w:r w:rsidR="00735C1A">
        <w:t xml:space="preserve"> </w:t>
      </w:r>
      <w:r w:rsidRPr="00AD134F">
        <w:t>], subject to the successful conclusion of a host country agreement;</w:t>
      </w:r>
    </w:p>
    <w:p w14:paraId="549CB76E" w14:textId="19D1FD94" w:rsidR="00BF5164" w:rsidRPr="00AD134F" w:rsidRDefault="005B6FDF" w:rsidP="00BF5164">
      <w:pPr>
        <w:pStyle w:val="Normal-pool"/>
        <w:tabs>
          <w:tab w:val="clear" w:pos="1247"/>
          <w:tab w:val="clear" w:pos="1814"/>
          <w:tab w:val="clear" w:pos="2381"/>
          <w:tab w:val="clear" w:pos="2948"/>
          <w:tab w:val="clear" w:pos="3515"/>
          <w:tab w:val="clear" w:pos="4082"/>
          <w:tab w:val="left" w:pos="624"/>
        </w:tabs>
        <w:spacing w:after="100"/>
        <w:ind w:left="1871" w:firstLine="624"/>
        <w:rPr>
          <w:color w:val="000000"/>
        </w:rPr>
      </w:pPr>
      <w:r w:rsidRPr="00AD134F">
        <w:rPr>
          <w:color w:val="000000"/>
        </w:rPr>
        <w:t>3</w:t>
      </w:r>
      <w:r w:rsidR="00BF5164" w:rsidRPr="00AD134F">
        <w:rPr>
          <w:color w:val="000000"/>
        </w:rPr>
        <w:t>.</w:t>
      </w:r>
      <w:r w:rsidR="00BF5164" w:rsidRPr="00AD134F">
        <w:rPr>
          <w:color w:val="000000"/>
        </w:rPr>
        <w:tab/>
      </w:r>
      <w:r w:rsidR="00BF5164" w:rsidRPr="00AD134F">
        <w:rPr>
          <w:i/>
          <w:color w:val="000000"/>
        </w:rPr>
        <w:t>Requests</w:t>
      </w:r>
      <w:r w:rsidR="00BF5164" w:rsidRPr="00AD134F">
        <w:rPr>
          <w:color w:val="000000"/>
        </w:rPr>
        <w:t xml:space="preserve"> the Executive Secretary to hold consultations with the Government of [</w:t>
      </w:r>
      <w:r w:rsidR="00735C1A">
        <w:rPr>
          <w:color w:val="000000"/>
        </w:rPr>
        <w:t xml:space="preserve"> </w:t>
      </w:r>
      <w:r w:rsidR="009D0735">
        <w:rPr>
          <w:color w:val="000000"/>
        </w:rPr>
        <w:t xml:space="preserve">  </w:t>
      </w:r>
      <w:r w:rsidR="00BF5164" w:rsidRPr="00AD134F">
        <w:rPr>
          <w:color w:val="000000"/>
        </w:rPr>
        <w:t xml:space="preserve">] to negotiate a host country agreement, in conformity with General Assembly resolution 40/243 and in compliance with the provisions of United Nations administrative instruction ST/AI/342, with a view to concluding and signing the host country agreement as soon as possible, to organize the </w:t>
      </w:r>
      <w:r w:rsidRPr="00AD134F">
        <w:rPr>
          <w:color w:val="000000"/>
        </w:rPr>
        <w:t>eigh</w:t>
      </w:r>
      <w:r w:rsidR="00BF5164" w:rsidRPr="00AD134F">
        <w:rPr>
          <w:color w:val="000000"/>
        </w:rPr>
        <w:t xml:space="preserve">th session of the Plenary in close collaboration with the host country and to invite the members and observers of the </w:t>
      </w:r>
      <w:r w:rsidR="0095524F" w:rsidRPr="0095524F">
        <w:rPr>
          <w:color w:val="000000"/>
          <w:lang w:val="en-US"/>
        </w:rPr>
        <w:t>Intergovernmental Science-Policy Platform on Biod</w:t>
      </w:r>
      <w:r w:rsidR="0095524F">
        <w:rPr>
          <w:color w:val="000000"/>
          <w:lang w:val="en-US"/>
        </w:rPr>
        <w:t>iversity and Ecosystem Services</w:t>
      </w:r>
      <w:r w:rsidR="00BF5164" w:rsidRPr="00AD134F">
        <w:rPr>
          <w:color w:val="000000"/>
        </w:rPr>
        <w:t xml:space="preserve"> to participate in the session;</w:t>
      </w:r>
    </w:p>
    <w:p w14:paraId="1B35D18D" w14:textId="77A81A96" w:rsidR="00BF5164" w:rsidRPr="00AD134F" w:rsidRDefault="005B6FDF" w:rsidP="00BF5164">
      <w:pPr>
        <w:pStyle w:val="Normal-pool"/>
        <w:tabs>
          <w:tab w:val="clear" w:pos="1247"/>
          <w:tab w:val="clear" w:pos="1814"/>
          <w:tab w:val="clear" w:pos="2381"/>
          <w:tab w:val="clear" w:pos="2948"/>
          <w:tab w:val="clear" w:pos="3515"/>
          <w:tab w:val="clear" w:pos="4082"/>
          <w:tab w:val="left" w:pos="624"/>
        </w:tabs>
        <w:spacing w:after="100"/>
        <w:ind w:left="1871" w:firstLine="624"/>
      </w:pPr>
      <w:r w:rsidRPr="00AD134F">
        <w:rPr>
          <w:color w:val="000000"/>
        </w:rPr>
        <w:t>4</w:t>
      </w:r>
      <w:r w:rsidR="00BF5164" w:rsidRPr="00AD134F">
        <w:rPr>
          <w:color w:val="000000"/>
        </w:rPr>
        <w:t>.</w:t>
      </w:r>
      <w:r w:rsidR="00BF5164" w:rsidRPr="00AD134F">
        <w:rPr>
          <w:color w:val="000000"/>
        </w:rPr>
        <w:tab/>
      </w:r>
      <w:r w:rsidR="00BF5164" w:rsidRPr="00AD134F">
        <w:rPr>
          <w:i/>
        </w:rPr>
        <w:t>Invites</w:t>
      </w:r>
      <w:r w:rsidR="00BF5164" w:rsidRPr="00AD134F">
        <w:t xml:space="preserve"> members in a position to do so to consider hosting the </w:t>
      </w:r>
      <w:r w:rsidRPr="00AD134F">
        <w:t>nin</w:t>
      </w:r>
      <w:r w:rsidR="00BF5164" w:rsidRPr="00AD134F">
        <w:t>th session of the Plenary, which is</w:t>
      </w:r>
      <w:r w:rsidRPr="00AD134F">
        <w:t xml:space="preserve"> scheduled to take place in 2021</w:t>
      </w:r>
      <w:r w:rsidR="00BF5164" w:rsidRPr="00AD134F">
        <w:t>;</w:t>
      </w:r>
    </w:p>
    <w:p w14:paraId="7AB4D8D9" w14:textId="5562C9E7" w:rsidR="00BF5164" w:rsidRPr="00AD134F" w:rsidRDefault="00736720" w:rsidP="00BF5164">
      <w:pPr>
        <w:pStyle w:val="Normal-pool"/>
        <w:tabs>
          <w:tab w:val="clear" w:pos="1247"/>
          <w:tab w:val="clear" w:pos="1814"/>
          <w:tab w:val="clear" w:pos="2381"/>
          <w:tab w:val="clear" w:pos="2948"/>
          <w:tab w:val="clear" w:pos="3515"/>
          <w:tab w:val="clear" w:pos="4082"/>
          <w:tab w:val="left" w:pos="624"/>
        </w:tabs>
        <w:spacing w:after="100"/>
        <w:ind w:left="1871" w:firstLine="624"/>
        <w:rPr>
          <w:color w:val="000000"/>
        </w:rPr>
      </w:pPr>
      <w:r w:rsidRPr="00AD134F">
        <w:rPr>
          <w:color w:val="000000"/>
        </w:rPr>
        <w:t>5</w:t>
      </w:r>
      <w:r w:rsidR="00BF5164" w:rsidRPr="00AD134F">
        <w:rPr>
          <w:color w:val="000000"/>
        </w:rPr>
        <w:t>.</w:t>
      </w:r>
      <w:r w:rsidR="00BF5164" w:rsidRPr="00AD134F">
        <w:rPr>
          <w:color w:val="000000"/>
        </w:rPr>
        <w:tab/>
      </w:r>
      <w:r w:rsidRPr="00AD134F">
        <w:rPr>
          <w:i/>
          <w:color w:val="000000"/>
        </w:rPr>
        <w:t>Requests</w:t>
      </w:r>
      <w:r w:rsidR="00BF5164" w:rsidRPr="00AD134F">
        <w:rPr>
          <w:color w:val="000000"/>
        </w:rPr>
        <w:t xml:space="preserve"> the Executive Secretary, under the guidance of the Bureau, to consult members of the Platform that may, during the period leading up to the </w:t>
      </w:r>
      <w:r w:rsidRPr="00AD134F">
        <w:rPr>
          <w:color w:val="000000"/>
        </w:rPr>
        <w:t>eigh</w:t>
      </w:r>
      <w:r w:rsidR="00BF5164" w:rsidRPr="00AD134F">
        <w:rPr>
          <w:color w:val="000000"/>
        </w:rPr>
        <w:t xml:space="preserve">th session of the Plenary, offer to host the </w:t>
      </w:r>
      <w:r w:rsidRPr="00AD134F">
        <w:rPr>
          <w:color w:val="000000"/>
        </w:rPr>
        <w:t>nin</w:t>
      </w:r>
      <w:r w:rsidR="00BF5164" w:rsidRPr="00AD134F">
        <w:rPr>
          <w:color w:val="000000"/>
        </w:rPr>
        <w:t>th session of the Plenary;</w:t>
      </w:r>
    </w:p>
    <w:p w14:paraId="0DFB7492" w14:textId="3529E439" w:rsidR="00B75C90" w:rsidRPr="00AD134F" w:rsidRDefault="00736720" w:rsidP="00B75C90">
      <w:pPr>
        <w:pStyle w:val="Normal-pool"/>
        <w:tabs>
          <w:tab w:val="clear" w:pos="1247"/>
          <w:tab w:val="clear" w:pos="1814"/>
          <w:tab w:val="clear" w:pos="2381"/>
          <w:tab w:val="clear" w:pos="2948"/>
          <w:tab w:val="clear" w:pos="3515"/>
          <w:tab w:val="clear" w:pos="4082"/>
          <w:tab w:val="left" w:pos="624"/>
        </w:tabs>
        <w:spacing w:after="100"/>
        <w:ind w:left="1871" w:firstLine="624"/>
        <w:rPr>
          <w:color w:val="000000"/>
        </w:rPr>
      </w:pPr>
      <w:r w:rsidRPr="00AD134F">
        <w:rPr>
          <w:color w:val="000000"/>
        </w:rPr>
        <w:t>6.</w:t>
      </w:r>
      <w:r w:rsidR="00BF5164" w:rsidRPr="00AD134F">
        <w:rPr>
          <w:color w:val="000000"/>
        </w:rPr>
        <w:tab/>
      </w:r>
      <w:r w:rsidRPr="00AD134F">
        <w:rPr>
          <w:i/>
          <w:color w:val="000000"/>
        </w:rPr>
        <w:t>Also</w:t>
      </w:r>
      <w:r w:rsidR="00BF5164" w:rsidRPr="00AD134F">
        <w:rPr>
          <w:i/>
          <w:color w:val="000000"/>
        </w:rPr>
        <w:t xml:space="preserve"> requests</w:t>
      </w:r>
      <w:r w:rsidR="00BF5164" w:rsidRPr="00AD134F">
        <w:rPr>
          <w:color w:val="000000"/>
        </w:rPr>
        <w:t xml:space="preserve"> the Executive Secretary to report to the Plenary at its </w:t>
      </w:r>
      <w:r w:rsidRPr="00AD134F">
        <w:rPr>
          <w:color w:val="000000"/>
        </w:rPr>
        <w:t>eigh</w:t>
      </w:r>
      <w:r w:rsidR="00BF5164" w:rsidRPr="00AD134F">
        <w:rPr>
          <w:color w:val="000000"/>
        </w:rPr>
        <w:t xml:space="preserve">th session on progress </w:t>
      </w:r>
      <w:r w:rsidR="004C4CEF">
        <w:rPr>
          <w:color w:val="000000"/>
        </w:rPr>
        <w:t xml:space="preserve">made </w:t>
      </w:r>
      <w:r w:rsidR="00BF5164" w:rsidRPr="00AD134F">
        <w:rPr>
          <w:color w:val="000000"/>
        </w:rPr>
        <w:t>in the consultati</w:t>
      </w:r>
      <w:r w:rsidRPr="00AD134F">
        <w:rPr>
          <w:color w:val="000000"/>
        </w:rPr>
        <w:t>ons referred to in paragraph 5</w:t>
      </w:r>
      <w:r w:rsidR="00BF5164" w:rsidRPr="00AD134F">
        <w:rPr>
          <w:color w:val="000000"/>
        </w:rPr>
        <w:t xml:space="preserve"> above, with a view to the adoption by the Plenary at that session of a decision on the date and venue of its </w:t>
      </w:r>
      <w:r w:rsidRPr="00AD134F">
        <w:rPr>
          <w:color w:val="000000"/>
        </w:rPr>
        <w:t>nin</w:t>
      </w:r>
      <w:r w:rsidR="00BF5164" w:rsidRPr="00AD134F">
        <w:rPr>
          <w:color w:val="000000"/>
        </w:rPr>
        <w:t>th session;</w:t>
      </w:r>
    </w:p>
    <w:p w14:paraId="66B055F2" w14:textId="7C738E69" w:rsidR="00B75C90" w:rsidRPr="00AD134F" w:rsidRDefault="00BF5164" w:rsidP="00BF5164">
      <w:pPr>
        <w:pStyle w:val="Normal-pool"/>
        <w:tabs>
          <w:tab w:val="clear" w:pos="1247"/>
          <w:tab w:val="clear" w:pos="1814"/>
          <w:tab w:val="clear" w:pos="2381"/>
          <w:tab w:val="clear" w:pos="2948"/>
          <w:tab w:val="clear" w:pos="3515"/>
          <w:tab w:val="clear" w:pos="4082"/>
          <w:tab w:val="left" w:pos="624"/>
        </w:tabs>
        <w:spacing w:after="100"/>
        <w:ind w:left="1871" w:firstLine="624"/>
        <w:rPr>
          <w:color w:val="000000"/>
        </w:rPr>
      </w:pPr>
      <w:r w:rsidRPr="00AD134F">
        <w:rPr>
          <w:color w:val="000000"/>
        </w:rPr>
        <w:tab/>
      </w:r>
      <w:r w:rsidR="00B75C90" w:rsidRPr="00AD134F">
        <w:rPr>
          <w:color w:val="000000"/>
        </w:rPr>
        <w:t>7</w:t>
      </w:r>
      <w:r w:rsidRPr="00AD134F">
        <w:rPr>
          <w:color w:val="000000"/>
        </w:rPr>
        <w:t>.</w:t>
      </w:r>
      <w:r w:rsidRPr="00AD134F">
        <w:rPr>
          <w:color w:val="000000"/>
        </w:rPr>
        <w:tab/>
      </w:r>
      <w:r w:rsidRPr="00AD134F">
        <w:rPr>
          <w:i/>
          <w:color w:val="000000"/>
        </w:rPr>
        <w:t>Takes note</w:t>
      </w:r>
      <w:r w:rsidRPr="00AD134F">
        <w:rPr>
          <w:color w:val="000000"/>
        </w:rPr>
        <w:t xml:space="preserve"> of the draft </w:t>
      </w:r>
      <w:r w:rsidR="009D0735">
        <w:rPr>
          <w:color w:val="000000"/>
        </w:rPr>
        <w:t>provisional</w:t>
      </w:r>
      <w:r w:rsidRPr="00AD134F">
        <w:rPr>
          <w:color w:val="000000"/>
        </w:rPr>
        <w:t xml:space="preserve"> agenda for the </w:t>
      </w:r>
      <w:r w:rsidR="00736720" w:rsidRPr="00AD134F">
        <w:rPr>
          <w:color w:val="000000"/>
        </w:rPr>
        <w:t>eigh</w:t>
      </w:r>
      <w:r w:rsidRPr="00AD134F">
        <w:rPr>
          <w:color w:val="000000"/>
        </w:rPr>
        <w:t>th session of the Plenary</w:t>
      </w:r>
      <w:r w:rsidR="004C4CEF" w:rsidRPr="004C4CEF">
        <w:rPr>
          <w:rFonts w:ascii="Calibri" w:eastAsia="MS Mincho" w:hAnsi="Calibri"/>
          <w:color w:val="000000"/>
          <w:sz w:val="22"/>
          <w:szCs w:val="22"/>
          <w:lang w:val="en-US"/>
        </w:rPr>
        <w:t xml:space="preserve"> </w:t>
      </w:r>
      <w:r w:rsidR="004C4CEF" w:rsidRPr="004C4CEF">
        <w:rPr>
          <w:color w:val="000000"/>
          <w:lang w:val="en-US"/>
        </w:rPr>
        <w:t>set out in the annex to the present decision;</w:t>
      </w:r>
      <w:r w:rsidRPr="00AD134F">
        <w:rPr>
          <w:szCs w:val="18"/>
          <w:vertAlign w:val="superscript"/>
        </w:rPr>
        <w:footnoteReference w:id="38"/>
      </w:r>
      <w:r w:rsidR="00B75C90" w:rsidRPr="00AD134F">
        <w:rPr>
          <w:color w:val="000000"/>
        </w:rPr>
        <w:t xml:space="preserve"> </w:t>
      </w:r>
    </w:p>
    <w:p w14:paraId="797F224B" w14:textId="77777777" w:rsidR="00B75C90" w:rsidRPr="00AD134F" w:rsidRDefault="00B75C90" w:rsidP="00D24464">
      <w:pPr>
        <w:pStyle w:val="Normal-pool"/>
        <w:keepNext/>
        <w:keepLines/>
        <w:tabs>
          <w:tab w:val="clear" w:pos="1247"/>
          <w:tab w:val="clear" w:pos="1814"/>
          <w:tab w:val="clear" w:pos="2381"/>
          <w:tab w:val="clear" w:pos="2948"/>
          <w:tab w:val="clear" w:pos="3515"/>
          <w:tab w:val="clear" w:pos="4082"/>
          <w:tab w:val="left" w:pos="624"/>
        </w:tabs>
        <w:spacing w:after="100"/>
        <w:ind w:left="1871" w:firstLine="624"/>
        <w:rPr>
          <w:color w:val="000000"/>
        </w:rPr>
      </w:pPr>
      <w:r w:rsidRPr="00AD134F">
        <w:rPr>
          <w:color w:val="000000"/>
        </w:rPr>
        <w:t>8.</w:t>
      </w:r>
      <w:r w:rsidRPr="00AD134F">
        <w:rPr>
          <w:color w:val="000000"/>
        </w:rPr>
        <w:tab/>
      </w:r>
      <w:r w:rsidRPr="00AD134F">
        <w:rPr>
          <w:i/>
          <w:color w:val="000000"/>
        </w:rPr>
        <w:t>R</w:t>
      </w:r>
      <w:r w:rsidR="00BF5164" w:rsidRPr="00AD134F">
        <w:rPr>
          <w:i/>
          <w:color w:val="000000"/>
        </w:rPr>
        <w:t>equests</w:t>
      </w:r>
      <w:r w:rsidR="00BF5164" w:rsidRPr="00AD134F">
        <w:rPr>
          <w:color w:val="000000"/>
        </w:rPr>
        <w:t xml:space="preserve"> the Executive Secretary to </w:t>
      </w:r>
      <w:r w:rsidRPr="00AD134F">
        <w:rPr>
          <w:color w:val="000000"/>
        </w:rPr>
        <w:t xml:space="preserve">invite members and observers that are allowed enhanced participation in accordance with decision IPBES-5/4, to provide, by 1 July 2019, written comments on the proposed organization of work of the eighth session of the Plenary; </w:t>
      </w:r>
    </w:p>
    <w:p w14:paraId="2347FEAD" w14:textId="30087E7E" w:rsidR="00396929" w:rsidRDefault="00B75C90" w:rsidP="00B75C90">
      <w:pPr>
        <w:pStyle w:val="Normal-pool"/>
        <w:tabs>
          <w:tab w:val="clear" w:pos="1247"/>
          <w:tab w:val="clear" w:pos="1814"/>
          <w:tab w:val="clear" w:pos="2381"/>
          <w:tab w:val="clear" w:pos="2948"/>
          <w:tab w:val="clear" w:pos="3515"/>
          <w:tab w:val="clear" w:pos="4082"/>
          <w:tab w:val="left" w:pos="624"/>
        </w:tabs>
        <w:spacing w:after="100"/>
        <w:ind w:left="1871" w:firstLine="624"/>
        <w:rPr>
          <w:color w:val="000000"/>
        </w:rPr>
      </w:pPr>
      <w:r w:rsidRPr="00AD134F">
        <w:rPr>
          <w:color w:val="000000"/>
        </w:rPr>
        <w:t>9.</w:t>
      </w:r>
      <w:r w:rsidRPr="00AD134F">
        <w:rPr>
          <w:color w:val="000000"/>
        </w:rPr>
        <w:tab/>
      </w:r>
      <w:r w:rsidRPr="00AD134F">
        <w:rPr>
          <w:i/>
          <w:color w:val="000000"/>
        </w:rPr>
        <w:t>Also requests</w:t>
      </w:r>
      <w:r w:rsidRPr="00AD134F">
        <w:rPr>
          <w:color w:val="000000"/>
        </w:rPr>
        <w:t xml:space="preserve"> the Executive Secretary to finalize the proposed organization of work for the</w:t>
      </w:r>
      <w:r w:rsidR="00AE5432" w:rsidRPr="00AD134F">
        <w:rPr>
          <w:color w:val="000000"/>
        </w:rPr>
        <w:t xml:space="preserve"> eighth</w:t>
      </w:r>
      <w:r w:rsidRPr="00AD134F">
        <w:rPr>
          <w:color w:val="000000"/>
        </w:rPr>
        <w:t xml:space="preserve"> session</w:t>
      </w:r>
      <w:r w:rsidR="00AE5432" w:rsidRPr="00AD134F">
        <w:rPr>
          <w:color w:val="000000"/>
        </w:rPr>
        <w:t xml:space="preserve"> of the Plenary</w:t>
      </w:r>
      <w:r w:rsidRPr="00AD134F">
        <w:rPr>
          <w:color w:val="000000"/>
        </w:rPr>
        <w:t xml:space="preserve"> in line with comments received at the seventh session of the Plenary and written comments received in response to the invitation referred to in paragraph 8 of the present decision.</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8"/>
        <w:gridCol w:w="1899"/>
        <w:gridCol w:w="1900"/>
        <w:gridCol w:w="1900"/>
      </w:tblGrid>
      <w:tr w:rsidR="00AD134F" w:rsidRPr="00D24464" w14:paraId="1DA5394B" w14:textId="77777777" w:rsidTr="00D24464">
        <w:tc>
          <w:tcPr>
            <w:tcW w:w="1899" w:type="dxa"/>
          </w:tcPr>
          <w:p w14:paraId="634EEDB8" w14:textId="77777777" w:rsidR="00AD134F" w:rsidRPr="00D24464" w:rsidRDefault="00AD134F" w:rsidP="00D24464">
            <w:pPr>
              <w:pStyle w:val="Normal-pool"/>
              <w:spacing w:before="0" w:after="0"/>
            </w:pPr>
          </w:p>
        </w:tc>
        <w:tc>
          <w:tcPr>
            <w:tcW w:w="1898" w:type="dxa"/>
          </w:tcPr>
          <w:p w14:paraId="66028AB3" w14:textId="77777777" w:rsidR="00AD134F" w:rsidRPr="00D24464" w:rsidRDefault="00AD134F" w:rsidP="00D24464">
            <w:pPr>
              <w:pStyle w:val="Normal-pool"/>
              <w:spacing w:before="0" w:after="0"/>
            </w:pPr>
          </w:p>
        </w:tc>
        <w:tc>
          <w:tcPr>
            <w:tcW w:w="1899" w:type="dxa"/>
            <w:tcBorders>
              <w:bottom w:val="single" w:sz="4" w:space="0" w:color="auto"/>
            </w:tcBorders>
          </w:tcPr>
          <w:p w14:paraId="0A8FF396" w14:textId="77777777" w:rsidR="00AD134F" w:rsidRPr="00D24464" w:rsidRDefault="00AD134F" w:rsidP="00D24464">
            <w:pPr>
              <w:pStyle w:val="Normal-pool"/>
              <w:spacing w:before="0" w:after="0"/>
            </w:pPr>
          </w:p>
        </w:tc>
        <w:tc>
          <w:tcPr>
            <w:tcW w:w="1900" w:type="dxa"/>
          </w:tcPr>
          <w:p w14:paraId="4F806CF3" w14:textId="77777777" w:rsidR="00AD134F" w:rsidRPr="00D24464" w:rsidRDefault="00AD134F" w:rsidP="00D24464">
            <w:pPr>
              <w:pStyle w:val="Normal-pool"/>
              <w:spacing w:before="0" w:after="0"/>
            </w:pPr>
          </w:p>
        </w:tc>
        <w:tc>
          <w:tcPr>
            <w:tcW w:w="1900" w:type="dxa"/>
          </w:tcPr>
          <w:p w14:paraId="0CE08D9B" w14:textId="77777777" w:rsidR="00AD134F" w:rsidRPr="00D24464" w:rsidRDefault="00AD134F" w:rsidP="00D24464">
            <w:pPr>
              <w:pStyle w:val="Normal-pool"/>
              <w:spacing w:before="0" w:after="0"/>
            </w:pPr>
          </w:p>
        </w:tc>
      </w:tr>
    </w:tbl>
    <w:p w14:paraId="7139A1B1" w14:textId="77777777" w:rsidR="00AD134F" w:rsidRPr="00D24464" w:rsidRDefault="00AD134F" w:rsidP="00D24464">
      <w:pPr>
        <w:pStyle w:val="Normal-pool"/>
        <w:rPr>
          <w:sz w:val="4"/>
          <w:szCs w:val="4"/>
        </w:rPr>
      </w:pPr>
    </w:p>
    <w:sectPr w:rsidR="00AD134F" w:rsidRPr="00D24464" w:rsidSect="00BF5164">
      <w:headerReference w:type="even" r:id="rId14"/>
      <w:headerReference w:type="default" r:id="rId15"/>
      <w:footerReference w:type="even" r:id="rId16"/>
      <w:footerReference w:type="default" r:id="rId17"/>
      <w:headerReference w:type="first" r:id="rId18"/>
      <w:footerReference w:type="first" r:id="rId1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8FAB4" w14:textId="77777777" w:rsidR="00531E10" w:rsidRDefault="00531E10">
      <w:r>
        <w:separator/>
      </w:r>
    </w:p>
  </w:endnote>
  <w:endnote w:type="continuationSeparator" w:id="0">
    <w:p w14:paraId="3BEA1259" w14:textId="77777777" w:rsidR="00531E10" w:rsidRDefault="0053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B577" w14:textId="157BFE07" w:rsidR="007F363F" w:rsidRPr="00D24464" w:rsidRDefault="007F363F" w:rsidP="00D24464">
    <w:pPr>
      <w:pStyle w:val="Footer"/>
      <w:rPr>
        <w:rFonts w:ascii="Times New Roman" w:hAnsi="Times New Roman"/>
      </w:rPr>
    </w:pPr>
    <w:r w:rsidRPr="00D24464">
      <w:rPr>
        <w:rStyle w:val="PageNumber"/>
      </w:rPr>
      <w:fldChar w:fldCharType="begin"/>
    </w:r>
    <w:r w:rsidRPr="00D24464">
      <w:rPr>
        <w:rStyle w:val="PageNumber"/>
      </w:rPr>
      <w:instrText xml:space="preserve"> PAGE </w:instrText>
    </w:r>
    <w:r w:rsidRPr="00D24464">
      <w:rPr>
        <w:rStyle w:val="PageNumber"/>
      </w:rPr>
      <w:fldChar w:fldCharType="separate"/>
    </w:r>
    <w:r w:rsidR="0082184C">
      <w:rPr>
        <w:rStyle w:val="PageNumber"/>
        <w:noProof/>
      </w:rPr>
      <w:t>4</w:t>
    </w:r>
    <w:r w:rsidRPr="00D2446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27A5" w14:textId="170AF582" w:rsidR="007F363F" w:rsidRPr="00D24464" w:rsidRDefault="007F363F" w:rsidP="00D24464">
    <w:pPr>
      <w:pStyle w:val="Footer"/>
      <w:jc w:val="right"/>
      <w:rPr>
        <w:rFonts w:ascii="Times New Roman" w:hAnsi="Times New Roman"/>
      </w:rPr>
    </w:pPr>
    <w:r w:rsidRPr="00D24464">
      <w:rPr>
        <w:rStyle w:val="PageNumber"/>
      </w:rPr>
      <w:fldChar w:fldCharType="begin"/>
    </w:r>
    <w:r w:rsidRPr="00D24464">
      <w:rPr>
        <w:rStyle w:val="PageNumber"/>
      </w:rPr>
      <w:instrText xml:space="preserve"> PAGE </w:instrText>
    </w:r>
    <w:r w:rsidRPr="00D24464">
      <w:rPr>
        <w:rStyle w:val="PageNumber"/>
      </w:rPr>
      <w:fldChar w:fldCharType="separate"/>
    </w:r>
    <w:r w:rsidR="0082184C">
      <w:rPr>
        <w:rStyle w:val="PageNumber"/>
        <w:noProof/>
      </w:rPr>
      <w:t>3</w:t>
    </w:r>
    <w:r w:rsidRPr="00D2446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364CE304" w:rsidR="007F363F" w:rsidRDefault="007F363F" w:rsidP="005F06C5">
    <w:pPr>
      <w:pStyle w:val="Normal-pool"/>
      <w:tabs>
        <w:tab w:val="clear" w:pos="1247"/>
        <w:tab w:val="clear" w:pos="1814"/>
        <w:tab w:val="clear" w:pos="2381"/>
        <w:tab w:val="clear" w:pos="2948"/>
        <w:tab w:val="clear" w:pos="3515"/>
        <w:tab w:val="clear" w:pos="4082"/>
        <w:tab w:val="left" w:pos="624"/>
      </w:tabs>
      <w:spacing w:before="60" w:after="120"/>
    </w:pPr>
    <w:r>
      <w:t>K1900332</w:t>
    </w:r>
    <w:r>
      <w:tab/>
    </w:r>
    <w:r w:rsidR="00BB5B0D">
      <w:t>1903</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3901D" w14:textId="77777777" w:rsidR="00531E10" w:rsidRDefault="00531E10" w:rsidP="00D24464">
      <w:pPr>
        <w:pStyle w:val="Normal-pool"/>
        <w:spacing w:after="120"/>
        <w:ind w:left="624"/>
      </w:pPr>
      <w:r>
        <w:separator/>
      </w:r>
    </w:p>
  </w:footnote>
  <w:footnote w:type="continuationSeparator" w:id="0">
    <w:p w14:paraId="7833B82C" w14:textId="77777777" w:rsidR="00531E10" w:rsidRDefault="00531E10">
      <w:r>
        <w:continuationSeparator/>
      </w:r>
    </w:p>
  </w:footnote>
  <w:footnote w:id="1">
    <w:p w14:paraId="11BE1130" w14:textId="77777777" w:rsidR="007F363F" w:rsidRPr="00D24464" w:rsidRDefault="007F363F" w:rsidP="005F5951">
      <w:pPr>
        <w:pStyle w:val="NormalNonumber"/>
        <w:tabs>
          <w:tab w:val="left" w:pos="624"/>
        </w:tabs>
        <w:spacing w:before="20" w:after="40"/>
        <w:rPr>
          <w:sz w:val="18"/>
          <w:szCs w:val="18"/>
          <w:lang w:val="fr-FR"/>
        </w:rPr>
      </w:pPr>
      <w:r w:rsidRPr="00D24464">
        <w:rPr>
          <w:rStyle w:val="FootnoteReference"/>
          <w:sz w:val="18"/>
          <w:vertAlign w:val="baseline"/>
          <w:lang w:val="fr-FR"/>
        </w:rPr>
        <w:t>*</w:t>
      </w:r>
      <w:r w:rsidRPr="00D24464">
        <w:rPr>
          <w:sz w:val="18"/>
          <w:szCs w:val="18"/>
          <w:lang w:val="fr-FR"/>
        </w:rPr>
        <w:t xml:space="preserve"> IPBES/7/1.</w:t>
      </w:r>
    </w:p>
  </w:footnote>
  <w:footnote w:id="2">
    <w:p w14:paraId="57415564" w14:textId="7318167E" w:rsidR="007F363F" w:rsidRPr="00D24464" w:rsidRDefault="007F363F">
      <w:pPr>
        <w:pStyle w:val="FootnoteText"/>
        <w:rPr>
          <w:szCs w:val="18"/>
        </w:rPr>
      </w:pPr>
      <w:r w:rsidRPr="00D24464">
        <w:rPr>
          <w:rStyle w:val="FootnoteReference"/>
          <w:sz w:val="18"/>
        </w:rPr>
        <w:footnoteRef/>
      </w:r>
      <w:r w:rsidRPr="00D24464">
        <w:rPr>
          <w:szCs w:val="18"/>
        </w:rPr>
        <w:t xml:space="preserve"> IPBES/7/2.</w:t>
      </w:r>
    </w:p>
  </w:footnote>
  <w:footnote w:id="3">
    <w:p w14:paraId="402BE7EC" w14:textId="66647997" w:rsidR="007F363F" w:rsidRPr="00D24464" w:rsidRDefault="007F363F" w:rsidP="00D24464">
      <w:pPr>
        <w:pStyle w:val="FootnoteText"/>
        <w:tabs>
          <w:tab w:val="clear" w:pos="1247"/>
          <w:tab w:val="clear" w:pos="1814"/>
          <w:tab w:val="clear" w:pos="2381"/>
          <w:tab w:val="clear" w:pos="2948"/>
          <w:tab w:val="clear" w:pos="3515"/>
          <w:tab w:val="clear" w:pos="4082"/>
        </w:tabs>
        <w:rPr>
          <w:szCs w:val="18"/>
        </w:rPr>
      </w:pPr>
      <w:r w:rsidRPr="00D24464">
        <w:rPr>
          <w:rStyle w:val="FootnoteReference"/>
          <w:sz w:val="18"/>
        </w:rPr>
        <w:footnoteRef/>
      </w:r>
      <w:r w:rsidRPr="00D24464">
        <w:rPr>
          <w:szCs w:val="18"/>
        </w:rPr>
        <w:t xml:space="preserve"> IPBES/6/INF/32.</w:t>
      </w:r>
    </w:p>
  </w:footnote>
  <w:footnote w:id="4">
    <w:p w14:paraId="14BAFC6B" w14:textId="63AA13BA" w:rsidR="007F363F" w:rsidRPr="00D24464" w:rsidRDefault="007F363F" w:rsidP="00D24464">
      <w:pPr>
        <w:pStyle w:val="FootnoteText"/>
        <w:tabs>
          <w:tab w:val="clear" w:pos="1247"/>
          <w:tab w:val="clear" w:pos="1814"/>
          <w:tab w:val="clear" w:pos="2381"/>
          <w:tab w:val="clear" w:pos="2948"/>
          <w:tab w:val="clear" w:pos="3515"/>
          <w:tab w:val="clear" w:pos="4082"/>
        </w:tabs>
        <w:rPr>
          <w:szCs w:val="18"/>
        </w:rPr>
      </w:pPr>
      <w:r w:rsidRPr="00D24464">
        <w:rPr>
          <w:rStyle w:val="FootnoteReference"/>
          <w:sz w:val="18"/>
        </w:rPr>
        <w:footnoteRef/>
      </w:r>
      <w:r w:rsidRPr="00D24464">
        <w:rPr>
          <w:szCs w:val="18"/>
        </w:rPr>
        <w:t xml:space="preserve"> IPBES/7/INF/17.</w:t>
      </w:r>
    </w:p>
  </w:footnote>
  <w:footnote w:id="5">
    <w:p w14:paraId="66DF3FF6" w14:textId="1170642D" w:rsidR="007F363F" w:rsidRPr="00D24464" w:rsidRDefault="007F363F" w:rsidP="00D24464">
      <w:pPr>
        <w:pStyle w:val="FootnoteText"/>
        <w:tabs>
          <w:tab w:val="clear" w:pos="1247"/>
          <w:tab w:val="clear" w:pos="1814"/>
          <w:tab w:val="clear" w:pos="2381"/>
          <w:tab w:val="clear" w:pos="2948"/>
          <w:tab w:val="clear" w:pos="3515"/>
          <w:tab w:val="clear" w:pos="4082"/>
        </w:tabs>
        <w:rPr>
          <w:szCs w:val="18"/>
        </w:rPr>
      </w:pPr>
      <w:r w:rsidRPr="00D24464">
        <w:rPr>
          <w:rStyle w:val="FootnoteReference"/>
          <w:sz w:val="18"/>
        </w:rPr>
        <w:footnoteRef/>
      </w:r>
      <w:r w:rsidRPr="00D24464">
        <w:rPr>
          <w:szCs w:val="18"/>
        </w:rPr>
        <w:t xml:space="preserve"> IPBES/7/INF/18.</w:t>
      </w:r>
    </w:p>
  </w:footnote>
  <w:footnote w:id="6">
    <w:p w14:paraId="40C745B5" w14:textId="2A971CC8" w:rsidR="007F363F" w:rsidRPr="00D24464" w:rsidRDefault="007F363F" w:rsidP="00D24464">
      <w:pPr>
        <w:pStyle w:val="FootnoteText"/>
        <w:tabs>
          <w:tab w:val="clear" w:pos="1247"/>
          <w:tab w:val="clear" w:pos="1814"/>
          <w:tab w:val="clear" w:pos="2381"/>
          <w:tab w:val="clear" w:pos="2948"/>
          <w:tab w:val="clear" w:pos="3515"/>
          <w:tab w:val="clear" w:pos="4082"/>
        </w:tabs>
        <w:rPr>
          <w:szCs w:val="18"/>
          <w:lang w:val="de-DE"/>
        </w:rPr>
      </w:pPr>
      <w:r w:rsidRPr="00D24464">
        <w:rPr>
          <w:rStyle w:val="FootnoteReference"/>
          <w:sz w:val="18"/>
        </w:rPr>
        <w:footnoteRef/>
      </w:r>
      <w:r w:rsidRPr="00D24464">
        <w:rPr>
          <w:szCs w:val="18"/>
        </w:rPr>
        <w:t xml:space="preserve"> </w:t>
      </w:r>
      <w:r w:rsidRPr="00D24464">
        <w:rPr>
          <w:szCs w:val="18"/>
          <w:lang w:val="de-DE"/>
        </w:rPr>
        <w:t>IPBES/7/INF/19.</w:t>
      </w:r>
    </w:p>
  </w:footnote>
  <w:footnote w:id="7">
    <w:p w14:paraId="7A884AC6" w14:textId="7B7FC65D" w:rsidR="007F363F" w:rsidRPr="00D24464" w:rsidRDefault="007F363F" w:rsidP="00D24464">
      <w:pPr>
        <w:pStyle w:val="FootnoteText"/>
        <w:tabs>
          <w:tab w:val="clear" w:pos="1247"/>
          <w:tab w:val="clear" w:pos="1814"/>
          <w:tab w:val="clear" w:pos="2381"/>
          <w:tab w:val="clear" w:pos="2948"/>
          <w:tab w:val="clear" w:pos="3515"/>
          <w:tab w:val="clear" w:pos="4082"/>
        </w:tabs>
        <w:rPr>
          <w:szCs w:val="18"/>
          <w:lang w:val="de-DE"/>
        </w:rPr>
      </w:pPr>
      <w:r w:rsidRPr="00D24464">
        <w:rPr>
          <w:rStyle w:val="FootnoteReference"/>
          <w:sz w:val="18"/>
        </w:rPr>
        <w:footnoteRef/>
      </w:r>
      <w:r w:rsidRPr="00D24464">
        <w:rPr>
          <w:szCs w:val="18"/>
        </w:rPr>
        <w:t xml:space="preserve"> IPBES/7/INF/20.</w:t>
      </w:r>
    </w:p>
  </w:footnote>
  <w:footnote w:id="8">
    <w:p w14:paraId="1E718193" w14:textId="75560FAB" w:rsidR="005051D4" w:rsidRPr="004476E3" w:rsidRDefault="005051D4">
      <w:pPr>
        <w:pStyle w:val="FootnoteText"/>
        <w:rPr>
          <w:lang w:val="en-US"/>
        </w:rPr>
      </w:pPr>
      <w:r>
        <w:rPr>
          <w:rStyle w:val="FootnoteReference"/>
        </w:rPr>
        <w:footnoteRef/>
      </w:r>
      <w:r>
        <w:t xml:space="preserve"> </w:t>
      </w:r>
      <w:proofErr w:type="spellStart"/>
      <w:r>
        <w:t>See</w:t>
      </w:r>
      <w:proofErr w:type="spellEnd"/>
      <w:r>
        <w:t xml:space="preserve"> IPBES/7/5.</w:t>
      </w:r>
    </w:p>
  </w:footnote>
  <w:footnote w:id="9">
    <w:p w14:paraId="55FC7DE1" w14:textId="1637CCB3" w:rsidR="007F363F" w:rsidRPr="00D24464" w:rsidRDefault="007F363F" w:rsidP="00D24464">
      <w:pPr>
        <w:pStyle w:val="FootnoteText"/>
        <w:tabs>
          <w:tab w:val="clear" w:pos="1247"/>
          <w:tab w:val="clear" w:pos="1814"/>
          <w:tab w:val="clear" w:pos="2381"/>
          <w:tab w:val="clear" w:pos="2948"/>
          <w:tab w:val="clear" w:pos="3515"/>
          <w:tab w:val="clear" w:pos="4082"/>
        </w:tabs>
        <w:rPr>
          <w:szCs w:val="18"/>
          <w:lang w:val="en-US"/>
        </w:rPr>
      </w:pPr>
      <w:r w:rsidRPr="00D24464">
        <w:rPr>
          <w:rStyle w:val="FootnoteReference"/>
          <w:sz w:val="18"/>
        </w:rPr>
        <w:footnoteRef/>
      </w:r>
      <w:r w:rsidRPr="00D24464">
        <w:rPr>
          <w:szCs w:val="18"/>
          <w:lang w:val="en-US"/>
        </w:rPr>
        <w:t xml:space="preserve"> IPBES/7/6/Add.1.</w:t>
      </w:r>
    </w:p>
  </w:footnote>
  <w:footnote w:id="10">
    <w:p w14:paraId="61C27197" w14:textId="7D4A5FF8" w:rsidR="007F363F" w:rsidRPr="00D24464" w:rsidRDefault="007F363F" w:rsidP="00D24464">
      <w:pPr>
        <w:pStyle w:val="FootnoteText"/>
        <w:tabs>
          <w:tab w:val="clear" w:pos="1247"/>
          <w:tab w:val="clear" w:pos="1814"/>
          <w:tab w:val="clear" w:pos="2381"/>
          <w:tab w:val="clear" w:pos="2948"/>
          <w:tab w:val="clear" w:pos="3515"/>
          <w:tab w:val="clear" w:pos="4082"/>
        </w:tabs>
        <w:rPr>
          <w:szCs w:val="18"/>
          <w:lang w:val="en-US"/>
        </w:rPr>
      </w:pPr>
      <w:r w:rsidRPr="00D24464">
        <w:rPr>
          <w:rStyle w:val="FootnoteReference"/>
          <w:sz w:val="18"/>
        </w:rPr>
        <w:footnoteRef/>
      </w:r>
      <w:r w:rsidRPr="00D24464">
        <w:rPr>
          <w:szCs w:val="18"/>
          <w:lang w:val="en-US"/>
        </w:rPr>
        <w:t xml:space="preserve"> The draft text of the work </w:t>
      </w:r>
      <w:proofErr w:type="spellStart"/>
      <w:r w:rsidRPr="00D24464">
        <w:rPr>
          <w:szCs w:val="18"/>
          <w:lang w:val="en-US"/>
        </w:rPr>
        <w:t>programme</w:t>
      </w:r>
      <w:proofErr w:type="spellEnd"/>
      <w:r w:rsidRPr="00D24464">
        <w:rPr>
          <w:szCs w:val="18"/>
          <w:lang w:val="en-US"/>
        </w:rPr>
        <w:t xml:space="preserve"> is set out in the annex to IPBES/7/6.</w:t>
      </w:r>
    </w:p>
  </w:footnote>
  <w:footnote w:id="11">
    <w:p w14:paraId="664F0AF2" w14:textId="14B68992" w:rsidR="007F363F" w:rsidRPr="00D24464" w:rsidRDefault="007F363F" w:rsidP="00427750">
      <w:pPr>
        <w:pStyle w:val="FootnoteText"/>
        <w:rPr>
          <w:szCs w:val="18"/>
          <w:lang w:val="en-GB"/>
        </w:rPr>
      </w:pPr>
      <w:r w:rsidRPr="00D24464">
        <w:rPr>
          <w:rStyle w:val="FootnoteReference"/>
          <w:sz w:val="18"/>
          <w:lang w:val="en-GB"/>
        </w:rPr>
        <w:footnoteRef/>
      </w:r>
      <w:r w:rsidRPr="00D24464">
        <w:rPr>
          <w:szCs w:val="18"/>
          <w:lang w:val="en-GB"/>
        </w:rPr>
        <w:t xml:space="preserve"> IPBES/7/10/Add.1. The draft text of the summary for policymakers is set out in the annex to document IPBES/7/3.</w:t>
      </w:r>
    </w:p>
  </w:footnote>
  <w:footnote w:id="12">
    <w:p w14:paraId="0163C84D" w14:textId="04F22932" w:rsidR="007F363F" w:rsidRPr="00D24464" w:rsidRDefault="007F363F" w:rsidP="00427750">
      <w:pPr>
        <w:pStyle w:val="FootnoteText"/>
        <w:tabs>
          <w:tab w:val="left" w:pos="624"/>
        </w:tabs>
        <w:rPr>
          <w:szCs w:val="18"/>
          <w:lang w:val="en-GB"/>
        </w:rPr>
      </w:pPr>
      <w:r w:rsidRPr="00D24464">
        <w:rPr>
          <w:rStyle w:val="FootnoteReference"/>
          <w:sz w:val="18"/>
          <w:lang w:val="en-GB"/>
        </w:rPr>
        <w:footnoteRef/>
      </w:r>
      <w:r w:rsidRPr="00D24464">
        <w:rPr>
          <w:szCs w:val="18"/>
          <w:lang w:val="en-GB"/>
        </w:rPr>
        <w:t xml:space="preserve"> See IPBES/7/INF/1/Rev.1, which will include the individual chapters and their executive summaries, reflecting the summary for policymakers as approved.</w:t>
      </w:r>
    </w:p>
  </w:footnote>
  <w:footnote w:id="13">
    <w:p w14:paraId="6C07D20A" w14:textId="39C8729E" w:rsidR="007F363F" w:rsidRPr="00D24464" w:rsidRDefault="007F363F" w:rsidP="00427750">
      <w:pPr>
        <w:pStyle w:val="FootnoteText"/>
        <w:rPr>
          <w:szCs w:val="18"/>
          <w:lang w:val="en-GB"/>
        </w:rPr>
      </w:pPr>
      <w:r w:rsidRPr="00D24464">
        <w:rPr>
          <w:rStyle w:val="FootnoteReference"/>
          <w:sz w:val="18"/>
          <w:lang w:val="en-GB"/>
        </w:rPr>
        <w:footnoteRef/>
      </w:r>
      <w:r w:rsidRPr="00D24464">
        <w:rPr>
          <w:szCs w:val="18"/>
          <w:lang w:val="en-GB"/>
        </w:rPr>
        <w:t xml:space="preserve"> See decision IPBES-3/3, annex I, section 3.4.</w:t>
      </w:r>
    </w:p>
  </w:footnote>
  <w:footnote w:id="14">
    <w:p w14:paraId="0311BFF3" w14:textId="40351A34" w:rsidR="007F363F" w:rsidRPr="00D24464" w:rsidRDefault="007F363F" w:rsidP="00427750">
      <w:pPr>
        <w:pStyle w:val="FootnoteText"/>
        <w:rPr>
          <w:szCs w:val="18"/>
          <w:lang w:val="en-GB"/>
        </w:rPr>
      </w:pPr>
      <w:r w:rsidRPr="00D24464">
        <w:rPr>
          <w:rStyle w:val="FootnoteReference"/>
          <w:sz w:val="18"/>
          <w:lang w:val="en-GB"/>
        </w:rPr>
        <w:footnoteRef/>
      </w:r>
      <w:r w:rsidRPr="00D24464">
        <w:rPr>
          <w:szCs w:val="18"/>
          <w:lang w:val="en-GB"/>
        </w:rPr>
        <w:t xml:space="preserve"> IPBES/7/6, appendix II, section I. </w:t>
      </w:r>
    </w:p>
  </w:footnote>
  <w:footnote w:id="15">
    <w:p w14:paraId="7FE487E2" w14:textId="59E1E34D" w:rsidR="007F363F" w:rsidRPr="00D24464" w:rsidRDefault="007F363F" w:rsidP="00427750">
      <w:pPr>
        <w:pStyle w:val="FootnoteText"/>
        <w:rPr>
          <w:szCs w:val="18"/>
          <w:lang w:val="en-GB"/>
        </w:rPr>
      </w:pPr>
      <w:r w:rsidRPr="00D24464">
        <w:rPr>
          <w:rStyle w:val="FootnoteReference"/>
          <w:sz w:val="18"/>
          <w:lang w:val="en-GB"/>
        </w:rPr>
        <w:footnoteRef/>
      </w:r>
      <w:r w:rsidRPr="00D24464">
        <w:rPr>
          <w:szCs w:val="18"/>
          <w:lang w:val="en-GB"/>
        </w:rPr>
        <w:t xml:space="preserve"> See decision IPBES-3/3, annex I, section 3.4.</w:t>
      </w:r>
    </w:p>
  </w:footnote>
  <w:footnote w:id="16">
    <w:p w14:paraId="7D3DD67E" w14:textId="10D777F3" w:rsidR="007F363F" w:rsidRPr="00D24464" w:rsidRDefault="007F363F" w:rsidP="00427750">
      <w:pPr>
        <w:pStyle w:val="FootnoteText"/>
        <w:rPr>
          <w:szCs w:val="18"/>
          <w:lang w:val="en-GB"/>
        </w:rPr>
      </w:pPr>
      <w:r w:rsidRPr="00D24464">
        <w:rPr>
          <w:rStyle w:val="FootnoteReference"/>
          <w:sz w:val="18"/>
          <w:lang w:val="en-GB"/>
        </w:rPr>
        <w:footnoteRef/>
      </w:r>
      <w:r w:rsidRPr="00D24464">
        <w:rPr>
          <w:szCs w:val="18"/>
          <w:lang w:val="en-GB"/>
        </w:rPr>
        <w:t xml:space="preserve"> IPBES/7/6, appendix II, section IV. </w:t>
      </w:r>
    </w:p>
  </w:footnote>
  <w:footnote w:id="17">
    <w:p w14:paraId="2D0808E8" w14:textId="49D9DAE3" w:rsidR="007F363F" w:rsidRPr="00D24464" w:rsidRDefault="007F363F">
      <w:pPr>
        <w:pStyle w:val="FootnoteText"/>
        <w:rPr>
          <w:szCs w:val="18"/>
          <w:lang w:val="en-GB"/>
        </w:rPr>
      </w:pPr>
      <w:r w:rsidRPr="00D24464">
        <w:rPr>
          <w:rStyle w:val="FootnoteReference"/>
          <w:sz w:val="18"/>
          <w:lang w:val="en-GB"/>
        </w:rPr>
        <w:footnoteRef/>
      </w:r>
      <w:r w:rsidRPr="00D24464">
        <w:rPr>
          <w:szCs w:val="18"/>
          <w:lang w:val="en-GB"/>
        </w:rPr>
        <w:t xml:space="preserve"> See decision IPBES-3/3, annex I, section 3.2.</w:t>
      </w:r>
    </w:p>
  </w:footnote>
  <w:footnote w:id="18">
    <w:p w14:paraId="5AFD8519" w14:textId="54DC3337" w:rsidR="007F363F" w:rsidRPr="00D24464" w:rsidRDefault="007F363F" w:rsidP="00427750">
      <w:pPr>
        <w:pStyle w:val="FootnoteText"/>
        <w:rPr>
          <w:szCs w:val="18"/>
          <w:lang w:val="en-GB"/>
        </w:rPr>
      </w:pPr>
      <w:r w:rsidRPr="00D24464">
        <w:rPr>
          <w:rStyle w:val="FootnoteReference"/>
          <w:sz w:val="18"/>
          <w:lang w:val="en-GB"/>
        </w:rPr>
        <w:footnoteRef/>
      </w:r>
      <w:r w:rsidRPr="00D24464">
        <w:rPr>
          <w:szCs w:val="18"/>
          <w:lang w:val="en-GB"/>
        </w:rPr>
        <w:t xml:space="preserve"> Decision IPBES-3/3, </w:t>
      </w:r>
      <w:r w:rsidR="00783263">
        <w:rPr>
          <w:szCs w:val="18"/>
          <w:lang w:val="en-GB"/>
        </w:rPr>
        <w:t xml:space="preserve">annex I, </w:t>
      </w:r>
      <w:r w:rsidRPr="00D24464">
        <w:rPr>
          <w:szCs w:val="18"/>
          <w:lang w:val="en-GB"/>
        </w:rPr>
        <w:t xml:space="preserve">section 4. </w:t>
      </w:r>
    </w:p>
  </w:footnote>
  <w:footnote w:id="19">
    <w:p w14:paraId="4AE7F649" w14:textId="124BECDB" w:rsidR="007F363F" w:rsidRPr="00D24464" w:rsidRDefault="007F363F" w:rsidP="00427750">
      <w:pPr>
        <w:pStyle w:val="FootnoteText"/>
        <w:rPr>
          <w:szCs w:val="18"/>
          <w:lang w:val="en-GB"/>
        </w:rPr>
      </w:pPr>
      <w:r w:rsidRPr="00D24464">
        <w:rPr>
          <w:rStyle w:val="FootnoteReference"/>
          <w:sz w:val="18"/>
          <w:lang w:val="en-GB"/>
        </w:rPr>
        <w:footnoteRef/>
      </w:r>
      <w:r w:rsidRPr="00D24464">
        <w:rPr>
          <w:szCs w:val="18"/>
          <w:lang w:val="en-GB"/>
        </w:rPr>
        <w:t xml:space="preserve"> IPBES/7/6, appendix II, section II. </w:t>
      </w:r>
    </w:p>
  </w:footnote>
  <w:footnote w:id="20">
    <w:p w14:paraId="2E426C48" w14:textId="02FA5FB0" w:rsidR="007F363F" w:rsidRPr="00D24464" w:rsidRDefault="007F363F" w:rsidP="00D24464">
      <w:pPr>
        <w:pStyle w:val="FootnoteText"/>
        <w:tabs>
          <w:tab w:val="clear" w:pos="1247"/>
          <w:tab w:val="clear" w:pos="1814"/>
          <w:tab w:val="clear" w:pos="2381"/>
          <w:tab w:val="clear" w:pos="2948"/>
          <w:tab w:val="clear" w:pos="3515"/>
          <w:tab w:val="clear" w:pos="4082"/>
        </w:tabs>
        <w:rPr>
          <w:szCs w:val="18"/>
          <w:lang w:val="en-GB"/>
        </w:rPr>
      </w:pPr>
      <w:r w:rsidRPr="00D24464">
        <w:rPr>
          <w:rStyle w:val="FootnoteReference"/>
          <w:sz w:val="18"/>
          <w:lang w:val="en-GB"/>
        </w:rPr>
        <w:footnoteRef/>
      </w:r>
      <w:r w:rsidRPr="00D24464">
        <w:rPr>
          <w:szCs w:val="18"/>
          <w:lang w:val="en-GB"/>
        </w:rPr>
        <w:t xml:space="preserve"> Decision IPBES-3/3, annex I, section 4. </w:t>
      </w:r>
    </w:p>
  </w:footnote>
  <w:footnote w:id="21">
    <w:p w14:paraId="17872B6E" w14:textId="74D370A0" w:rsidR="007F363F" w:rsidRPr="00D24464" w:rsidRDefault="007F363F" w:rsidP="00D24464">
      <w:pPr>
        <w:pStyle w:val="FootnoteText"/>
        <w:tabs>
          <w:tab w:val="clear" w:pos="1247"/>
          <w:tab w:val="clear" w:pos="1814"/>
          <w:tab w:val="clear" w:pos="2381"/>
          <w:tab w:val="clear" w:pos="2948"/>
          <w:tab w:val="clear" w:pos="3515"/>
          <w:tab w:val="clear" w:pos="4082"/>
        </w:tabs>
        <w:rPr>
          <w:szCs w:val="18"/>
          <w:lang w:val="en-US"/>
        </w:rPr>
      </w:pPr>
      <w:r w:rsidRPr="00D24464">
        <w:rPr>
          <w:rStyle w:val="FootnoteReference"/>
          <w:sz w:val="18"/>
        </w:rPr>
        <w:footnoteRef/>
      </w:r>
      <w:r w:rsidRPr="00D24464">
        <w:rPr>
          <w:szCs w:val="18"/>
          <w:lang w:val="en-US"/>
        </w:rPr>
        <w:t xml:space="preserve"> Available at </w:t>
      </w:r>
      <w:hyperlink r:id="rId1" w:history="1">
        <w:r w:rsidRPr="00D24464" w:rsidDel="004B01C6">
          <w:rPr>
            <w:rStyle w:val="Hyperlink"/>
            <w:sz w:val="18"/>
            <w:szCs w:val="18"/>
            <w:lang w:val="en-US"/>
          </w:rPr>
          <w:t>https://</w:t>
        </w:r>
        <w:r w:rsidRPr="00D24464">
          <w:rPr>
            <w:rStyle w:val="Hyperlink"/>
            <w:sz w:val="18"/>
            <w:szCs w:val="18"/>
            <w:lang w:val="en-US"/>
          </w:rPr>
          <w:t>www.ipbes.net/guide-production-assessments</w:t>
        </w:r>
      </w:hyperlink>
      <w:r w:rsidRPr="00D24464">
        <w:rPr>
          <w:szCs w:val="18"/>
          <w:lang w:val="en-US"/>
        </w:rPr>
        <w:t xml:space="preserve">.  </w:t>
      </w:r>
    </w:p>
  </w:footnote>
  <w:footnote w:id="22">
    <w:p w14:paraId="6EAE46C9" w14:textId="5ADA79E1" w:rsidR="007F363F" w:rsidRPr="00D24464" w:rsidRDefault="007F363F" w:rsidP="00D24464">
      <w:pPr>
        <w:pStyle w:val="FootnoteText"/>
        <w:tabs>
          <w:tab w:val="clear" w:pos="1247"/>
          <w:tab w:val="clear" w:pos="1814"/>
          <w:tab w:val="clear" w:pos="2381"/>
          <w:tab w:val="clear" w:pos="2948"/>
          <w:tab w:val="clear" w:pos="3515"/>
          <w:tab w:val="clear" w:pos="4082"/>
        </w:tabs>
        <w:rPr>
          <w:szCs w:val="18"/>
          <w:lang w:val="en-US"/>
        </w:rPr>
      </w:pPr>
      <w:r w:rsidRPr="00D24464">
        <w:rPr>
          <w:rStyle w:val="FootnoteReference"/>
          <w:sz w:val="18"/>
        </w:rPr>
        <w:footnoteRef/>
      </w:r>
      <w:r w:rsidRPr="00D24464">
        <w:rPr>
          <w:szCs w:val="18"/>
          <w:lang w:val="en-US"/>
        </w:rPr>
        <w:t xml:space="preserve"> The draft text of the terms of reference is set out in document IPBES/7/6, appendix I, section II. </w:t>
      </w:r>
    </w:p>
  </w:footnote>
  <w:footnote w:id="23">
    <w:p w14:paraId="6984F3DD" w14:textId="31667942" w:rsidR="007F363F" w:rsidRPr="00D24464" w:rsidRDefault="007F363F" w:rsidP="00D24464">
      <w:pPr>
        <w:pStyle w:val="FootnoteText"/>
        <w:tabs>
          <w:tab w:val="clear" w:pos="1247"/>
          <w:tab w:val="clear" w:pos="1814"/>
          <w:tab w:val="clear" w:pos="2381"/>
          <w:tab w:val="clear" w:pos="2948"/>
          <w:tab w:val="clear" w:pos="3515"/>
          <w:tab w:val="clear" w:pos="4082"/>
        </w:tabs>
        <w:rPr>
          <w:szCs w:val="18"/>
          <w:lang w:val="en-US"/>
        </w:rPr>
      </w:pPr>
      <w:r w:rsidRPr="00D24464">
        <w:rPr>
          <w:rStyle w:val="FootnoteReference"/>
          <w:sz w:val="18"/>
        </w:rPr>
        <w:footnoteRef/>
      </w:r>
      <w:r w:rsidRPr="00D24464">
        <w:rPr>
          <w:szCs w:val="18"/>
          <w:lang w:val="en-US"/>
        </w:rPr>
        <w:t xml:space="preserve"> IPBES/7/INF/7, section [   ].</w:t>
      </w:r>
    </w:p>
  </w:footnote>
  <w:footnote w:id="24">
    <w:p w14:paraId="365B7AB9" w14:textId="0A828A7A" w:rsidR="007F363F" w:rsidRPr="00D24464" w:rsidRDefault="007F363F" w:rsidP="00D24464">
      <w:pPr>
        <w:pStyle w:val="FootnoteText"/>
        <w:tabs>
          <w:tab w:val="clear" w:pos="1247"/>
          <w:tab w:val="clear" w:pos="1814"/>
          <w:tab w:val="clear" w:pos="2381"/>
          <w:tab w:val="clear" w:pos="2948"/>
          <w:tab w:val="clear" w:pos="3515"/>
          <w:tab w:val="clear" w:pos="4082"/>
        </w:tabs>
        <w:rPr>
          <w:szCs w:val="18"/>
          <w:lang w:val="en-US"/>
        </w:rPr>
      </w:pPr>
      <w:r w:rsidRPr="00D24464">
        <w:rPr>
          <w:rStyle w:val="FootnoteReference"/>
          <w:sz w:val="18"/>
        </w:rPr>
        <w:footnoteRef/>
      </w:r>
      <w:r w:rsidRPr="00D24464">
        <w:rPr>
          <w:szCs w:val="18"/>
          <w:lang w:val="en-US"/>
        </w:rPr>
        <w:t xml:space="preserve"> The draft text of the terms of reference is set out in document IPBES/7/6, appendix I, section III. </w:t>
      </w:r>
    </w:p>
  </w:footnote>
  <w:footnote w:id="25">
    <w:p w14:paraId="7833053B" w14:textId="4D0726B6" w:rsidR="007F363F" w:rsidRPr="00D24464" w:rsidRDefault="007F363F" w:rsidP="00D24464">
      <w:pPr>
        <w:pStyle w:val="FootnoteText"/>
        <w:tabs>
          <w:tab w:val="clear" w:pos="1247"/>
          <w:tab w:val="clear" w:pos="1814"/>
          <w:tab w:val="clear" w:pos="2381"/>
          <w:tab w:val="clear" w:pos="2948"/>
          <w:tab w:val="clear" w:pos="3515"/>
          <w:tab w:val="clear" w:pos="4082"/>
        </w:tabs>
        <w:rPr>
          <w:szCs w:val="18"/>
          <w:lang w:val="en-US"/>
        </w:rPr>
      </w:pPr>
      <w:r w:rsidRPr="00D24464">
        <w:rPr>
          <w:rStyle w:val="FootnoteReference"/>
          <w:sz w:val="18"/>
        </w:rPr>
        <w:footnoteRef/>
      </w:r>
      <w:r w:rsidRPr="00D24464">
        <w:rPr>
          <w:szCs w:val="18"/>
          <w:lang w:val="en-US"/>
        </w:rPr>
        <w:t xml:space="preserve"> The draft text of the terms of reference is set out in document IPBES/7/6, appendix I, section IV. </w:t>
      </w:r>
    </w:p>
  </w:footnote>
  <w:footnote w:id="26">
    <w:p w14:paraId="79F37BF4" w14:textId="3F87E5F1" w:rsidR="007F363F" w:rsidRPr="00D24464" w:rsidRDefault="007F363F" w:rsidP="00D24464">
      <w:pPr>
        <w:pStyle w:val="FootnoteText"/>
        <w:tabs>
          <w:tab w:val="clear" w:pos="1247"/>
          <w:tab w:val="clear" w:pos="1814"/>
          <w:tab w:val="clear" w:pos="2381"/>
          <w:tab w:val="clear" w:pos="2948"/>
          <w:tab w:val="clear" w:pos="3515"/>
          <w:tab w:val="clear" w:pos="4082"/>
        </w:tabs>
        <w:rPr>
          <w:szCs w:val="18"/>
          <w:lang w:val="en-US"/>
        </w:rPr>
      </w:pPr>
      <w:r w:rsidRPr="00D24464">
        <w:rPr>
          <w:rStyle w:val="FootnoteReference"/>
          <w:sz w:val="18"/>
        </w:rPr>
        <w:footnoteRef/>
      </w:r>
      <w:r w:rsidRPr="00D24464">
        <w:rPr>
          <w:szCs w:val="18"/>
          <w:lang w:val="en-US"/>
        </w:rPr>
        <w:t xml:space="preserve"> IPBES/7/INF/9, section [   ].</w:t>
      </w:r>
    </w:p>
  </w:footnote>
  <w:footnote w:id="27">
    <w:p w14:paraId="259F6594" w14:textId="5B8D24A4" w:rsidR="007F363F" w:rsidRPr="00D24464" w:rsidRDefault="007F363F" w:rsidP="00D24464">
      <w:pPr>
        <w:pStyle w:val="FootnoteText"/>
        <w:tabs>
          <w:tab w:val="clear" w:pos="1247"/>
          <w:tab w:val="clear" w:pos="1814"/>
          <w:tab w:val="clear" w:pos="2381"/>
          <w:tab w:val="clear" w:pos="2948"/>
          <w:tab w:val="clear" w:pos="3515"/>
          <w:tab w:val="clear" w:pos="4082"/>
        </w:tabs>
        <w:rPr>
          <w:szCs w:val="18"/>
          <w:lang w:val="en-US"/>
        </w:rPr>
      </w:pPr>
      <w:r w:rsidRPr="00D24464">
        <w:rPr>
          <w:rStyle w:val="FootnoteReference"/>
          <w:sz w:val="18"/>
        </w:rPr>
        <w:footnoteRef/>
      </w:r>
      <w:r w:rsidRPr="00D24464">
        <w:rPr>
          <w:szCs w:val="18"/>
          <w:lang w:val="en-US"/>
        </w:rPr>
        <w:t xml:space="preserve"> IPBES/7/INF/8, section [   ].</w:t>
      </w:r>
    </w:p>
  </w:footnote>
  <w:footnote w:id="28">
    <w:p w14:paraId="48735856" w14:textId="2664FD65" w:rsidR="007F363F" w:rsidRPr="00D24464" w:rsidRDefault="007F363F" w:rsidP="00D24464">
      <w:pPr>
        <w:pStyle w:val="FootnoteText"/>
        <w:tabs>
          <w:tab w:val="clear" w:pos="1247"/>
          <w:tab w:val="clear" w:pos="1814"/>
          <w:tab w:val="clear" w:pos="2381"/>
          <w:tab w:val="clear" w:pos="2948"/>
          <w:tab w:val="clear" w:pos="3515"/>
          <w:tab w:val="clear" w:pos="4082"/>
        </w:tabs>
        <w:rPr>
          <w:szCs w:val="18"/>
          <w:lang w:val="en-US"/>
        </w:rPr>
      </w:pPr>
      <w:r w:rsidRPr="00D24464">
        <w:rPr>
          <w:rStyle w:val="FootnoteReference"/>
          <w:sz w:val="18"/>
        </w:rPr>
        <w:footnoteRef/>
      </w:r>
      <w:r w:rsidRPr="00D24464">
        <w:rPr>
          <w:szCs w:val="18"/>
          <w:lang w:val="en-US"/>
        </w:rPr>
        <w:t xml:space="preserve"> The draft text of the terms of reference is set out in document IPBES/7/6, appendix I, section VI. </w:t>
      </w:r>
    </w:p>
  </w:footnote>
  <w:footnote w:id="29">
    <w:p w14:paraId="4AA2531F" w14:textId="0B59C70A" w:rsidR="007F363F" w:rsidRPr="00D24464" w:rsidRDefault="007F363F" w:rsidP="001D24F1">
      <w:pPr>
        <w:pStyle w:val="FootnoteText"/>
        <w:rPr>
          <w:szCs w:val="18"/>
          <w:lang w:val="en-US"/>
        </w:rPr>
      </w:pPr>
      <w:r w:rsidRPr="00D24464">
        <w:rPr>
          <w:rStyle w:val="FootnoteReference"/>
          <w:sz w:val="18"/>
        </w:rPr>
        <w:footnoteRef/>
      </w:r>
      <w:r w:rsidRPr="00D24464">
        <w:rPr>
          <w:szCs w:val="18"/>
          <w:lang w:val="en-US"/>
        </w:rPr>
        <w:t xml:space="preserve"> The draft text of the terms of reference is set out in document IPBES/7/6, appendix I, section V. </w:t>
      </w:r>
    </w:p>
  </w:footnote>
  <w:footnote w:id="30">
    <w:p w14:paraId="3A3C28C8" w14:textId="4BE08638" w:rsidR="007F363F" w:rsidRPr="00D24464" w:rsidRDefault="007F363F" w:rsidP="001D24F1">
      <w:pPr>
        <w:pStyle w:val="FootnoteText"/>
        <w:rPr>
          <w:szCs w:val="18"/>
          <w:lang w:val="en-US"/>
        </w:rPr>
      </w:pPr>
      <w:r w:rsidRPr="00D24464">
        <w:rPr>
          <w:rStyle w:val="FootnoteReference"/>
          <w:sz w:val="18"/>
        </w:rPr>
        <w:footnoteRef/>
      </w:r>
      <w:r w:rsidRPr="00D24464">
        <w:rPr>
          <w:szCs w:val="18"/>
          <w:lang w:val="en-US"/>
        </w:rPr>
        <w:t xml:space="preserve"> IPBES/7/INF/13, section [   ].</w:t>
      </w:r>
    </w:p>
  </w:footnote>
  <w:footnote w:id="31">
    <w:p w14:paraId="01C78500" w14:textId="7F89F3AC" w:rsidR="007F363F" w:rsidRPr="00D24464" w:rsidRDefault="007F363F" w:rsidP="001D24F1">
      <w:pPr>
        <w:pStyle w:val="FootnoteText"/>
        <w:rPr>
          <w:szCs w:val="18"/>
          <w:lang w:val="en-US"/>
        </w:rPr>
      </w:pPr>
      <w:r w:rsidRPr="00D24464">
        <w:rPr>
          <w:rStyle w:val="FootnoteReference"/>
          <w:sz w:val="18"/>
        </w:rPr>
        <w:footnoteRef/>
      </w:r>
      <w:r w:rsidRPr="00D24464">
        <w:rPr>
          <w:szCs w:val="18"/>
          <w:lang w:val="en-US"/>
        </w:rPr>
        <w:t xml:space="preserve"> IPBES/7/INF/11, section [   ].</w:t>
      </w:r>
    </w:p>
  </w:footnote>
  <w:footnote w:id="32">
    <w:p w14:paraId="26E227A4" w14:textId="76F59CF1" w:rsidR="007F363F" w:rsidRPr="00D24464" w:rsidRDefault="007F363F">
      <w:pPr>
        <w:pStyle w:val="FootnoteText"/>
        <w:rPr>
          <w:szCs w:val="18"/>
          <w:lang w:val="en-US"/>
        </w:rPr>
      </w:pPr>
      <w:r w:rsidRPr="00D24464">
        <w:rPr>
          <w:rStyle w:val="FootnoteReference"/>
          <w:sz w:val="18"/>
        </w:rPr>
        <w:footnoteRef/>
      </w:r>
      <w:r w:rsidRPr="00D24464">
        <w:rPr>
          <w:szCs w:val="18"/>
          <w:lang w:val="en-US"/>
        </w:rPr>
        <w:t xml:space="preserve"> See UNEP/IPBES.MI/2/9, annex I, appendix I, section II.</w:t>
      </w:r>
    </w:p>
  </w:footnote>
  <w:footnote w:id="33">
    <w:p w14:paraId="039580F0" w14:textId="1B0574BC" w:rsidR="007F363F" w:rsidRPr="00D24464" w:rsidRDefault="007F363F" w:rsidP="00BF5164">
      <w:pPr>
        <w:pStyle w:val="FootnoteText"/>
        <w:tabs>
          <w:tab w:val="left" w:pos="624"/>
        </w:tabs>
        <w:rPr>
          <w:szCs w:val="18"/>
          <w:lang w:val="en-US"/>
        </w:rPr>
      </w:pPr>
      <w:r w:rsidRPr="00D24464">
        <w:rPr>
          <w:rStyle w:val="FootnoteReference"/>
          <w:sz w:val="18"/>
        </w:rPr>
        <w:footnoteRef/>
      </w:r>
      <w:r w:rsidRPr="00D24464">
        <w:rPr>
          <w:szCs w:val="18"/>
          <w:lang w:val="en-US"/>
        </w:rPr>
        <w:t xml:space="preserve"> Draft versions of tables 1, 2 and 3 are set out in document IPBES/7/4. </w:t>
      </w:r>
    </w:p>
  </w:footnote>
  <w:footnote w:id="34">
    <w:p w14:paraId="1980269F" w14:textId="5400F4FD" w:rsidR="007F363F" w:rsidRPr="00E44BC9" w:rsidRDefault="007F363F" w:rsidP="00BF5164">
      <w:pPr>
        <w:pStyle w:val="FootnoteText"/>
        <w:tabs>
          <w:tab w:val="left" w:pos="624"/>
        </w:tabs>
        <w:rPr>
          <w:szCs w:val="18"/>
          <w:lang w:val="en-US"/>
        </w:rPr>
      </w:pPr>
      <w:r w:rsidRPr="00834CCA">
        <w:rPr>
          <w:rStyle w:val="FootnoteReference"/>
          <w:sz w:val="18"/>
        </w:rPr>
        <w:footnoteRef/>
      </w:r>
      <w:r w:rsidRPr="00834CCA">
        <w:rPr>
          <w:szCs w:val="18"/>
          <w:lang w:val="en-US"/>
        </w:rPr>
        <w:t xml:space="preserve"> </w:t>
      </w:r>
      <w:r w:rsidRPr="00E44BC9">
        <w:rPr>
          <w:szCs w:val="18"/>
          <w:lang w:val="en-US"/>
        </w:rPr>
        <w:t xml:space="preserve">Draft </w:t>
      </w:r>
      <w:r>
        <w:rPr>
          <w:szCs w:val="18"/>
          <w:lang w:val="en-US"/>
        </w:rPr>
        <w:t>versions of</w:t>
      </w:r>
      <w:r w:rsidRPr="00E44BC9">
        <w:rPr>
          <w:szCs w:val="18"/>
          <w:lang w:val="en-US"/>
        </w:rPr>
        <w:t xml:space="preserve"> tables 5 and 6 </w:t>
      </w:r>
      <w:r>
        <w:rPr>
          <w:szCs w:val="18"/>
          <w:lang w:val="en-US"/>
        </w:rPr>
        <w:t>are set out in</w:t>
      </w:r>
      <w:r w:rsidRPr="00E44BC9">
        <w:rPr>
          <w:szCs w:val="18"/>
          <w:lang w:val="en-US"/>
        </w:rPr>
        <w:t xml:space="preserve"> document IPBES/7/4.</w:t>
      </w:r>
    </w:p>
  </w:footnote>
  <w:footnote w:id="35">
    <w:p w14:paraId="64565469" w14:textId="67425447" w:rsidR="007F363F" w:rsidRPr="00E44BC9" w:rsidRDefault="007F363F" w:rsidP="00BF5164">
      <w:pPr>
        <w:pStyle w:val="FootnoteText"/>
        <w:tabs>
          <w:tab w:val="left" w:pos="624"/>
        </w:tabs>
        <w:rPr>
          <w:szCs w:val="18"/>
          <w:lang w:val="en-US"/>
        </w:rPr>
      </w:pPr>
      <w:r w:rsidRPr="00E44BC9">
        <w:rPr>
          <w:rStyle w:val="FootnoteReference"/>
          <w:sz w:val="18"/>
        </w:rPr>
        <w:footnoteRef/>
      </w:r>
      <w:r w:rsidRPr="00E44BC9">
        <w:rPr>
          <w:szCs w:val="18"/>
          <w:lang w:val="en-US"/>
        </w:rPr>
        <w:t xml:space="preserve"> The draft revised budget for 2019 is set out in table 7 of document IPBES/7/4.</w:t>
      </w:r>
    </w:p>
  </w:footnote>
  <w:footnote w:id="36">
    <w:p w14:paraId="5EF13841" w14:textId="04E126A1" w:rsidR="007F363F" w:rsidRPr="00834CCA" w:rsidRDefault="007F363F" w:rsidP="00BF5164">
      <w:pPr>
        <w:pStyle w:val="FootnoteText"/>
        <w:tabs>
          <w:tab w:val="left" w:pos="624"/>
        </w:tabs>
        <w:rPr>
          <w:szCs w:val="18"/>
          <w:lang w:val="en-US"/>
        </w:rPr>
      </w:pPr>
      <w:r w:rsidRPr="00E44BC9">
        <w:rPr>
          <w:rStyle w:val="FootnoteReference"/>
          <w:sz w:val="18"/>
        </w:rPr>
        <w:footnoteRef/>
      </w:r>
      <w:r w:rsidRPr="00E44BC9">
        <w:rPr>
          <w:szCs w:val="18"/>
          <w:lang w:val="en-US"/>
        </w:rPr>
        <w:t xml:space="preserve"> The draft provisional budget for 2020 is set out in ta</w:t>
      </w:r>
      <w:r>
        <w:rPr>
          <w:szCs w:val="18"/>
          <w:lang w:val="en-US"/>
        </w:rPr>
        <w:t xml:space="preserve">ble 9 </w:t>
      </w:r>
      <w:r w:rsidRPr="00E44BC9">
        <w:rPr>
          <w:szCs w:val="18"/>
          <w:lang w:val="en-US"/>
        </w:rPr>
        <w:t>of document IPBES/7/4.</w:t>
      </w:r>
    </w:p>
  </w:footnote>
  <w:footnote w:id="37">
    <w:p w14:paraId="48E1FF91" w14:textId="43C373AA" w:rsidR="007F363F" w:rsidRPr="00CC5C50" w:rsidRDefault="007F363F">
      <w:pPr>
        <w:pStyle w:val="FootnoteText"/>
        <w:rPr>
          <w:lang w:val="en-US"/>
        </w:rPr>
      </w:pPr>
      <w:r w:rsidRPr="00E51609">
        <w:rPr>
          <w:rStyle w:val="FootnoteReference"/>
          <w:sz w:val="18"/>
        </w:rPr>
        <w:footnoteRef/>
      </w:r>
      <w:r w:rsidRPr="00E51609">
        <w:rPr>
          <w:szCs w:val="18"/>
          <w:lang w:val="en-US"/>
        </w:rPr>
        <w:t xml:space="preserve"> </w:t>
      </w:r>
      <w:r w:rsidRPr="00735C1A">
        <w:rPr>
          <w:lang w:val="en-US"/>
        </w:rPr>
        <w:t>The eighth session will be held in June or July 2020 if hosted by a member of IPBES, or in August or September 2020 if hosted by the secretariat in Bonn.</w:t>
      </w:r>
    </w:p>
  </w:footnote>
  <w:footnote w:id="38">
    <w:p w14:paraId="37741B90" w14:textId="3C390DDC" w:rsidR="007F363F" w:rsidRPr="00834CCA" w:rsidRDefault="007F363F" w:rsidP="00BF5164">
      <w:pPr>
        <w:pStyle w:val="FootnoteText"/>
        <w:tabs>
          <w:tab w:val="left" w:pos="624"/>
        </w:tabs>
        <w:rPr>
          <w:szCs w:val="18"/>
          <w:lang w:val="en-US"/>
        </w:rPr>
      </w:pPr>
      <w:r w:rsidRPr="00834CCA">
        <w:rPr>
          <w:rStyle w:val="FootnoteReference"/>
          <w:sz w:val="18"/>
        </w:rPr>
        <w:footnoteRef/>
      </w:r>
      <w:r w:rsidRPr="00834CCA">
        <w:rPr>
          <w:szCs w:val="18"/>
          <w:lang w:val="en-US"/>
        </w:rPr>
        <w:t xml:space="preserve"> The draft </w:t>
      </w:r>
      <w:r w:rsidR="00D13D34">
        <w:rPr>
          <w:szCs w:val="18"/>
          <w:lang w:val="en-US"/>
        </w:rPr>
        <w:t>provisional</w:t>
      </w:r>
      <w:r w:rsidRPr="00834CCA">
        <w:rPr>
          <w:szCs w:val="18"/>
          <w:lang w:val="en-US"/>
        </w:rPr>
        <w:t xml:space="preserve"> agenda is </w:t>
      </w:r>
      <w:r w:rsidR="00D13D34">
        <w:rPr>
          <w:szCs w:val="18"/>
          <w:lang w:val="en-US"/>
        </w:rPr>
        <w:t xml:space="preserve">also </w:t>
      </w:r>
      <w:r w:rsidRPr="00834CCA">
        <w:rPr>
          <w:szCs w:val="18"/>
          <w:lang w:val="en-US"/>
        </w:rPr>
        <w:t>set ou</w:t>
      </w:r>
      <w:r>
        <w:rPr>
          <w:szCs w:val="18"/>
          <w:lang w:val="en-US"/>
        </w:rPr>
        <w:t>t in annex I to document IPBES/7/7</w:t>
      </w:r>
      <w:r w:rsidRPr="00834CCA">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1E7C" w14:textId="7B540E79" w:rsidR="007F363F" w:rsidRPr="00D24464" w:rsidRDefault="004F18CF" w:rsidP="00D24464">
    <w:pPr>
      <w:pStyle w:val="Header"/>
      <w:rPr>
        <w:rFonts w:ascii="Times New Roman" w:hAnsi="Times New Roman"/>
      </w:rPr>
    </w:pPr>
    <w:r>
      <w:rPr>
        <w:noProof/>
      </w:rPr>
      <w:pict w14:anchorId="63101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999094" o:spid="_x0000_s6146" type="#_x0000_t136" style="position:absolute;margin-left:0;margin-top:0;width:520.65pt;height:148.75pt;rotation:315;z-index:-251655168;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007F363F" w:rsidRPr="00D24464">
      <w:rPr>
        <w:rFonts w:ascii="Times New Roman" w:hAnsi="Times New Roman"/>
      </w:rPr>
      <w:t>IPBES/7/1/Add.2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9669" w14:textId="5717F187" w:rsidR="007F363F" w:rsidRPr="00E079E4" w:rsidRDefault="004F18CF" w:rsidP="00E079E4">
    <w:pPr>
      <w:pStyle w:val="Header"/>
      <w:jc w:val="right"/>
      <w:rPr>
        <w:rFonts w:ascii="Times New Roman" w:hAnsi="Times New Roman"/>
      </w:rPr>
    </w:pPr>
    <w:r>
      <w:rPr>
        <w:noProof/>
      </w:rPr>
      <w:pict w14:anchorId="7AEFA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999095" o:spid="_x0000_s6147" type="#_x0000_t136" style="position:absolute;left:0;text-align:left;margin-left:0;margin-top:0;width:520.65pt;height:148.75pt;rotation:315;z-index:-251653120;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r w:rsidR="007F363F">
      <w:tab/>
    </w:r>
    <w:r w:rsidR="007F363F">
      <w:rPr>
        <w:rFonts w:ascii="Times New Roman" w:hAnsi="Times New Roman"/>
      </w:rPr>
      <w:t>IPBES/7/1/Add.2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62EE" w14:textId="711E1C40" w:rsidR="007F363F" w:rsidRPr="00916333" w:rsidRDefault="004F18CF" w:rsidP="00E079E4">
    <w:pPr>
      <w:pStyle w:val="Normal-pool"/>
      <w:jc w:val="right"/>
      <w:rPr>
        <w:b/>
      </w:rPr>
    </w:pPr>
    <w:r>
      <w:rPr>
        <w:noProof/>
      </w:rPr>
      <w:pict w14:anchorId="662D4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999093" o:spid="_x0000_s6145" type="#_x0000_t136" style="position:absolute;left:0;text-align:left;margin-left:0;margin-top:0;width:520.65pt;height:148.75pt;rotation:315;z-index:-251657216;mso-position-horizontal:center;mso-position-horizontal-relative:margin;mso-position-vertical:center;mso-position-vertical-relative:margin" o:allowincell="f" fillcolor="#a5a5a5 [2092]" stroked="f">
          <v:fill opacity=".5"/>
          <v:textpath style="font-family:&quot;Times New Roman&quot;;font-size:1pt" string="ADVA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643E"/>
    <w:multiLevelType w:val="hybridMultilevel"/>
    <w:tmpl w:val="C268C8A6"/>
    <w:lvl w:ilvl="0" w:tplc="8DCC61BE">
      <w:start w:val="1"/>
      <w:numFmt w:val="decimal"/>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742D7"/>
    <w:multiLevelType w:val="hybridMultilevel"/>
    <w:tmpl w:val="EB4A1D0C"/>
    <w:lvl w:ilvl="0" w:tplc="0A10489C">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6" w15:restartNumberingAfterBreak="0">
    <w:nsid w:val="260E19E4"/>
    <w:multiLevelType w:val="hybridMultilevel"/>
    <w:tmpl w:val="0F881770"/>
    <w:lvl w:ilvl="0" w:tplc="82D6D08C">
      <w:start w:val="1"/>
      <w:numFmt w:val="upperRoman"/>
      <w:lvlText w:val="%1."/>
      <w:lvlJc w:val="left"/>
      <w:pPr>
        <w:ind w:left="1215" w:hanging="855"/>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abstractNum w:abstractNumId="11" w15:restartNumberingAfterBreak="0">
    <w:nsid w:val="7432711C"/>
    <w:multiLevelType w:val="hybridMultilevel"/>
    <w:tmpl w:val="71B80DD8"/>
    <w:lvl w:ilvl="0" w:tplc="01F676D0">
      <w:start w:val="1"/>
      <w:numFmt w:val="decimal"/>
      <w:lvlText w:val="%1."/>
      <w:lvlJc w:val="left"/>
      <w:pPr>
        <w:ind w:left="3125" w:hanging="630"/>
      </w:pPr>
      <w:rPr>
        <w:rFonts w:hint="default"/>
        <w:color w:val="00000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num w:numId="1">
    <w:abstractNumId w:val="8"/>
  </w:num>
  <w:num w:numId="2">
    <w:abstractNumId w:val="4"/>
  </w:num>
  <w:num w:numId="3">
    <w:abstractNumId w:val="7"/>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10"/>
  </w:num>
  <w:num w:numId="12">
    <w:abstractNumId w:val="0"/>
    <w:lvlOverride w:ilvl="0">
      <w:startOverride w:val="1"/>
    </w:lvlOverride>
  </w:num>
  <w:num w:numId="13">
    <w:abstractNumId w:val="1"/>
  </w:num>
  <w:num w:numId="14">
    <w:abstractNumId w:val="6"/>
  </w:num>
  <w:num w:numId="15">
    <w:abstractNumId w:val="8"/>
  </w:num>
  <w:num w:numId="16">
    <w:abstractNumId w:val="8"/>
  </w:num>
  <w:num w:numId="17">
    <w:abstractNumId w:val="0"/>
    <w:lvlOverride w:ilvl="0">
      <w:startOverride w:val="1"/>
    </w:lvlOverride>
  </w:num>
  <w:num w:numId="18">
    <w:abstractNumId w:val="8"/>
  </w:num>
  <w:num w:numId="19">
    <w:abstractNumId w:val="8"/>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de-DE"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3238"/>
    <w:rsid w:val="000247B0"/>
    <w:rsid w:val="000248F9"/>
    <w:rsid w:val="00026997"/>
    <w:rsid w:val="000338CD"/>
    <w:rsid w:val="00033E0B"/>
    <w:rsid w:val="00034BD7"/>
    <w:rsid w:val="00035EDE"/>
    <w:rsid w:val="00044F9A"/>
    <w:rsid w:val="000509B4"/>
    <w:rsid w:val="00054A63"/>
    <w:rsid w:val="0006035B"/>
    <w:rsid w:val="00062068"/>
    <w:rsid w:val="00065148"/>
    <w:rsid w:val="00067F83"/>
    <w:rsid w:val="00071886"/>
    <w:rsid w:val="000742BC"/>
    <w:rsid w:val="00082A0C"/>
    <w:rsid w:val="00083504"/>
    <w:rsid w:val="0009640C"/>
    <w:rsid w:val="000A146D"/>
    <w:rsid w:val="000A62B6"/>
    <w:rsid w:val="000B16F8"/>
    <w:rsid w:val="000B22A2"/>
    <w:rsid w:val="000B2BB7"/>
    <w:rsid w:val="000C2A52"/>
    <w:rsid w:val="000D33C0"/>
    <w:rsid w:val="000D6941"/>
    <w:rsid w:val="000E2993"/>
    <w:rsid w:val="000E6508"/>
    <w:rsid w:val="000E7379"/>
    <w:rsid w:val="000F05ED"/>
    <w:rsid w:val="000F6CAB"/>
    <w:rsid w:val="00102F0E"/>
    <w:rsid w:val="0011302E"/>
    <w:rsid w:val="00113A58"/>
    <w:rsid w:val="001202E3"/>
    <w:rsid w:val="00123699"/>
    <w:rsid w:val="0013059D"/>
    <w:rsid w:val="00141A55"/>
    <w:rsid w:val="001446A3"/>
    <w:rsid w:val="00145B3A"/>
    <w:rsid w:val="00155395"/>
    <w:rsid w:val="00160131"/>
    <w:rsid w:val="00160D74"/>
    <w:rsid w:val="00167D02"/>
    <w:rsid w:val="001718F5"/>
    <w:rsid w:val="00181EC8"/>
    <w:rsid w:val="00184349"/>
    <w:rsid w:val="00195F33"/>
    <w:rsid w:val="001A1536"/>
    <w:rsid w:val="001A3E2A"/>
    <w:rsid w:val="001A7AD8"/>
    <w:rsid w:val="001B1617"/>
    <w:rsid w:val="001B504B"/>
    <w:rsid w:val="001D24F1"/>
    <w:rsid w:val="001D3874"/>
    <w:rsid w:val="001D7E75"/>
    <w:rsid w:val="001E0CFF"/>
    <w:rsid w:val="001E56D2"/>
    <w:rsid w:val="001E7D56"/>
    <w:rsid w:val="001F03BD"/>
    <w:rsid w:val="001F03C6"/>
    <w:rsid w:val="001F75DE"/>
    <w:rsid w:val="00200D58"/>
    <w:rsid w:val="002013BE"/>
    <w:rsid w:val="002030D2"/>
    <w:rsid w:val="002063A4"/>
    <w:rsid w:val="002068E6"/>
    <w:rsid w:val="002077CC"/>
    <w:rsid w:val="0021051B"/>
    <w:rsid w:val="0021145B"/>
    <w:rsid w:val="00215F50"/>
    <w:rsid w:val="00222A88"/>
    <w:rsid w:val="00225B5B"/>
    <w:rsid w:val="00243D36"/>
    <w:rsid w:val="00247707"/>
    <w:rsid w:val="00247975"/>
    <w:rsid w:val="0026018E"/>
    <w:rsid w:val="00265972"/>
    <w:rsid w:val="00276ACE"/>
    <w:rsid w:val="00286740"/>
    <w:rsid w:val="002874CC"/>
    <w:rsid w:val="0029022D"/>
    <w:rsid w:val="002929D8"/>
    <w:rsid w:val="0029520E"/>
    <w:rsid w:val="002A0344"/>
    <w:rsid w:val="002A237D"/>
    <w:rsid w:val="002A4C53"/>
    <w:rsid w:val="002A74D2"/>
    <w:rsid w:val="002B0672"/>
    <w:rsid w:val="002B247F"/>
    <w:rsid w:val="002B27F6"/>
    <w:rsid w:val="002B4A6A"/>
    <w:rsid w:val="002C1316"/>
    <w:rsid w:val="002C145D"/>
    <w:rsid w:val="002C2C3E"/>
    <w:rsid w:val="002C533E"/>
    <w:rsid w:val="002D027F"/>
    <w:rsid w:val="002D7A85"/>
    <w:rsid w:val="002D7B60"/>
    <w:rsid w:val="002E0703"/>
    <w:rsid w:val="002E2371"/>
    <w:rsid w:val="002F091F"/>
    <w:rsid w:val="002F38D3"/>
    <w:rsid w:val="002F4761"/>
    <w:rsid w:val="002F5C79"/>
    <w:rsid w:val="002F752D"/>
    <w:rsid w:val="002F7B89"/>
    <w:rsid w:val="003019E2"/>
    <w:rsid w:val="00301AC6"/>
    <w:rsid w:val="00303337"/>
    <w:rsid w:val="00306862"/>
    <w:rsid w:val="00307B54"/>
    <w:rsid w:val="0031413F"/>
    <w:rsid w:val="003148BB"/>
    <w:rsid w:val="00316C93"/>
    <w:rsid w:val="00317976"/>
    <w:rsid w:val="0032474A"/>
    <w:rsid w:val="003278D7"/>
    <w:rsid w:val="003316E9"/>
    <w:rsid w:val="00353C6C"/>
    <w:rsid w:val="00353F5A"/>
    <w:rsid w:val="00355EA9"/>
    <w:rsid w:val="003578DE"/>
    <w:rsid w:val="00365B86"/>
    <w:rsid w:val="00371C7C"/>
    <w:rsid w:val="00374A50"/>
    <w:rsid w:val="0039167F"/>
    <w:rsid w:val="00393ED9"/>
    <w:rsid w:val="00394C47"/>
    <w:rsid w:val="00396257"/>
    <w:rsid w:val="00396929"/>
    <w:rsid w:val="00397EB8"/>
    <w:rsid w:val="003A3A78"/>
    <w:rsid w:val="003A4FD0"/>
    <w:rsid w:val="003A69D1"/>
    <w:rsid w:val="003A7705"/>
    <w:rsid w:val="003A77F1"/>
    <w:rsid w:val="003B1545"/>
    <w:rsid w:val="003B1565"/>
    <w:rsid w:val="003C409D"/>
    <w:rsid w:val="003C4115"/>
    <w:rsid w:val="003C5625"/>
    <w:rsid w:val="003C5BA6"/>
    <w:rsid w:val="003C6ABD"/>
    <w:rsid w:val="003D07BE"/>
    <w:rsid w:val="003E2B1C"/>
    <w:rsid w:val="003E56A3"/>
    <w:rsid w:val="003F0E85"/>
    <w:rsid w:val="003F3D2A"/>
    <w:rsid w:val="00406B94"/>
    <w:rsid w:val="00407256"/>
    <w:rsid w:val="00410C55"/>
    <w:rsid w:val="00416854"/>
    <w:rsid w:val="00417725"/>
    <w:rsid w:val="00422969"/>
    <w:rsid w:val="00424622"/>
    <w:rsid w:val="00425AD2"/>
    <w:rsid w:val="00425C30"/>
    <w:rsid w:val="00427750"/>
    <w:rsid w:val="00435C4D"/>
    <w:rsid w:val="00437F26"/>
    <w:rsid w:val="0044037F"/>
    <w:rsid w:val="00442814"/>
    <w:rsid w:val="00444097"/>
    <w:rsid w:val="00445487"/>
    <w:rsid w:val="004476E3"/>
    <w:rsid w:val="00447958"/>
    <w:rsid w:val="00452379"/>
    <w:rsid w:val="00454769"/>
    <w:rsid w:val="00454775"/>
    <w:rsid w:val="004605C2"/>
    <w:rsid w:val="00464AA3"/>
    <w:rsid w:val="00466991"/>
    <w:rsid w:val="0047064C"/>
    <w:rsid w:val="00471270"/>
    <w:rsid w:val="00473F49"/>
    <w:rsid w:val="004825C2"/>
    <w:rsid w:val="00484B3D"/>
    <w:rsid w:val="0048524F"/>
    <w:rsid w:val="004A345B"/>
    <w:rsid w:val="004A42E1"/>
    <w:rsid w:val="004B01C6"/>
    <w:rsid w:val="004B162C"/>
    <w:rsid w:val="004C2516"/>
    <w:rsid w:val="004C3DBE"/>
    <w:rsid w:val="004C4CEF"/>
    <w:rsid w:val="004C5C96"/>
    <w:rsid w:val="004D06A4"/>
    <w:rsid w:val="004D464D"/>
    <w:rsid w:val="004E6E8D"/>
    <w:rsid w:val="004F18CF"/>
    <w:rsid w:val="004F1A81"/>
    <w:rsid w:val="004F22D2"/>
    <w:rsid w:val="00503845"/>
    <w:rsid w:val="005051D4"/>
    <w:rsid w:val="00505887"/>
    <w:rsid w:val="0051220F"/>
    <w:rsid w:val="005157DA"/>
    <w:rsid w:val="00516A1A"/>
    <w:rsid w:val="005218D9"/>
    <w:rsid w:val="0052505E"/>
    <w:rsid w:val="00526396"/>
    <w:rsid w:val="00531035"/>
    <w:rsid w:val="00531E10"/>
    <w:rsid w:val="005330C6"/>
    <w:rsid w:val="00536186"/>
    <w:rsid w:val="00544CBB"/>
    <w:rsid w:val="005504C9"/>
    <w:rsid w:val="0055551F"/>
    <w:rsid w:val="0057315F"/>
    <w:rsid w:val="005737D6"/>
    <w:rsid w:val="00576104"/>
    <w:rsid w:val="0058412E"/>
    <w:rsid w:val="00587BF9"/>
    <w:rsid w:val="0059365C"/>
    <w:rsid w:val="005A0282"/>
    <w:rsid w:val="005A1727"/>
    <w:rsid w:val="005A1DA0"/>
    <w:rsid w:val="005B0484"/>
    <w:rsid w:val="005B069A"/>
    <w:rsid w:val="005B6C5B"/>
    <w:rsid w:val="005B6FDF"/>
    <w:rsid w:val="005C67C8"/>
    <w:rsid w:val="005D0249"/>
    <w:rsid w:val="005D6C61"/>
    <w:rsid w:val="005D6E8C"/>
    <w:rsid w:val="005E0D67"/>
    <w:rsid w:val="005E4547"/>
    <w:rsid w:val="005E6219"/>
    <w:rsid w:val="005E775D"/>
    <w:rsid w:val="005F06C5"/>
    <w:rsid w:val="005F100C"/>
    <w:rsid w:val="005F5951"/>
    <w:rsid w:val="005F68DA"/>
    <w:rsid w:val="0060773B"/>
    <w:rsid w:val="00614A6B"/>
    <w:rsid w:val="006157B5"/>
    <w:rsid w:val="00616223"/>
    <w:rsid w:val="00620AC9"/>
    <w:rsid w:val="00621514"/>
    <w:rsid w:val="00621A37"/>
    <w:rsid w:val="00626FC6"/>
    <w:rsid w:val="006303B4"/>
    <w:rsid w:val="00633D3D"/>
    <w:rsid w:val="00636812"/>
    <w:rsid w:val="00641703"/>
    <w:rsid w:val="006431A6"/>
    <w:rsid w:val="006459F6"/>
    <w:rsid w:val="006501AD"/>
    <w:rsid w:val="0065180F"/>
    <w:rsid w:val="00651BFA"/>
    <w:rsid w:val="00653AFE"/>
    <w:rsid w:val="00654475"/>
    <w:rsid w:val="00661A50"/>
    <w:rsid w:val="00665A4B"/>
    <w:rsid w:val="00674D0B"/>
    <w:rsid w:val="00676210"/>
    <w:rsid w:val="00684982"/>
    <w:rsid w:val="006872D4"/>
    <w:rsid w:val="00692E2A"/>
    <w:rsid w:val="00697CFF"/>
    <w:rsid w:val="006A5EF5"/>
    <w:rsid w:val="006A76F2"/>
    <w:rsid w:val="006C10B1"/>
    <w:rsid w:val="006C338C"/>
    <w:rsid w:val="006D79D4"/>
    <w:rsid w:val="006D7EFB"/>
    <w:rsid w:val="006E6672"/>
    <w:rsid w:val="006E6722"/>
    <w:rsid w:val="006E7664"/>
    <w:rsid w:val="006F6509"/>
    <w:rsid w:val="007027B9"/>
    <w:rsid w:val="00715E88"/>
    <w:rsid w:val="00724BF9"/>
    <w:rsid w:val="00726B26"/>
    <w:rsid w:val="007314B6"/>
    <w:rsid w:val="0073164F"/>
    <w:rsid w:val="00734CAA"/>
    <w:rsid w:val="00735C1A"/>
    <w:rsid w:val="00736720"/>
    <w:rsid w:val="007476C3"/>
    <w:rsid w:val="007538EE"/>
    <w:rsid w:val="0075533C"/>
    <w:rsid w:val="00757581"/>
    <w:rsid w:val="007611A0"/>
    <w:rsid w:val="00764A22"/>
    <w:rsid w:val="00783263"/>
    <w:rsid w:val="00792AF5"/>
    <w:rsid w:val="00796D3F"/>
    <w:rsid w:val="007A1683"/>
    <w:rsid w:val="007A34E0"/>
    <w:rsid w:val="007A4D07"/>
    <w:rsid w:val="007A5C12"/>
    <w:rsid w:val="007A6264"/>
    <w:rsid w:val="007A7CB0"/>
    <w:rsid w:val="007B68A3"/>
    <w:rsid w:val="007B6BA3"/>
    <w:rsid w:val="007C1847"/>
    <w:rsid w:val="007C240C"/>
    <w:rsid w:val="007C2541"/>
    <w:rsid w:val="007C30A1"/>
    <w:rsid w:val="007C59ED"/>
    <w:rsid w:val="007D24C6"/>
    <w:rsid w:val="007D35CB"/>
    <w:rsid w:val="007D66A8"/>
    <w:rsid w:val="007E003F"/>
    <w:rsid w:val="007E70ED"/>
    <w:rsid w:val="007F363F"/>
    <w:rsid w:val="007F77DC"/>
    <w:rsid w:val="00804735"/>
    <w:rsid w:val="0081058C"/>
    <w:rsid w:val="008164F2"/>
    <w:rsid w:val="00821395"/>
    <w:rsid w:val="0082184C"/>
    <w:rsid w:val="00830E26"/>
    <w:rsid w:val="00837899"/>
    <w:rsid w:val="00843576"/>
    <w:rsid w:val="00843B64"/>
    <w:rsid w:val="008478FC"/>
    <w:rsid w:val="008520C8"/>
    <w:rsid w:val="00856260"/>
    <w:rsid w:val="00861DBB"/>
    <w:rsid w:val="00865D59"/>
    <w:rsid w:val="00867BFF"/>
    <w:rsid w:val="0088480A"/>
    <w:rsid w:val="0088757A"/>
    <w:rsid w:val="008911C7"/>
    <w:rsid w:val="00893DD6"/>
    <w:rsid w:val="008957DD"/>
    <w:rsid w:val="00897D98"/>
    <w:rsid w:val="008A3132"/>
    <w:rsid w:val="008A31B7"/>
    <w:rsid w:val="008A6DF2"/>
    <w:rsid w:val="008A7807"/>
    <w:rsid w:val="008B1E5C"/>
    <w:rsid w:val="008B4CC9"/>
    <w:rsid w:val="008C04CE"/>
    <w:rsid w:val="008C4FF0"/>
    <w:rsid w:val="008D7C99"/>
    <w:rsid w:val="008E0FCB"/>
    <w:rsid w:val="008E2E8D"/>
    <w:rsid w:val="008E5B8B"/>
    <w:rsid w:val="008F12AA"/>
    <w:rsid w:val="009002CD"/>
    <w:rsid w:val="0091544D"/>
    <w:rsid w:val="00916333"/>
    <w:rsid w:val="0092178C"/>
    <w:rsid w:val="00930B88"/>
    <w:rsid w:val="00931715"/>
    <w:rsid w:val="00940DCC"/>
    <w:rsid w:val="0094179A"/>
    <w:rsid w:val="00943115"/>
    <w:rsid w:val="0094459E"/>
    <w:rsid w:val="00944DBC"/>
    <w:rsid w:val="00950977"/>
    <w:rsid w:val="00951A7B"/>
    <w:rsid w:val="0095524F"/>
    <w:rsid w:val="009564A6"/>
    <w:rsid w:val="00966FB6"/>
    <w:rsid w:val="00967621"/>
    <w:rsid w:val="00967E6A"/>
    <w:rsid w:val="009835EB"/>
    <w:rsid w:val="009838A8"/>
    <w:rsid w:val="00987577"/>
    <w:rsid w:val="009948E2"/>
    <w:rsid w:val="009A3549"/>
    <w:rsid w:val="009B2F72"/>
    <w:rsid w:val="009B4A0F"/>
    <w:rsid w:val="009C11D2"/>
    <w:rsid w:val="009C45E9"/>
    <w:rsid w:val="009C6C70"/>
    <w:rsid w:val="009D05D9"/>
    <w:rsid w:val="009D0735"/>
    <w:rsid w:val="009D0B63"/>
    <w:rsid w:val="009D0D9F"/>
    <w:rsid w:val="009D2233"/>
    <w:rsid w:val="009E307E"/>
    <w:rsid w:val="009F48B7"/>
    <w:rsid w:val="00A07870"/>
    <w:rsid w:val="00A07A1C"/>
    <w:rsid w:val="00A07F19"/>
    <w:rsid w:val="00A1348D"/>
    <w:rsid w:val="00A16DD3"/>
    <w:rsid w:val="00A232EE"/>
    <w:rsid w:val="00A24F33"/>
    <w:rsid w:val="00A4175F"/>
    <w:rsid w:val="00A44411"/>
    <w:rsid w:val="00A45F6C"/>
    <w:rsid w:val="00A469FA"/>
    <w:rsid w:val="00A55B01"/>
    <w:rsid w:val="00A56B5B"/>
    <w:rsid w:val="00A603FF"/>
    <w:rsid w:val="00A60D1F"/>
    <w:rsid w:val="00A653CB"/>
    <w:rsid w:val="00A657DD"/>
    <w:rsid w:val="00A666A6"/>
    <w:rsid w:val="00A675FD"/>
    <w:rsid w:val="00A70F0D"/>
    <w:rsid w:val="00A71118"/>
    <w:rsid w:val="00A72437"/>
    <w:rsid w:val="00A73C3E"/>
    <w:rsid w:val="00A80611"/>
    <w:rsid w:val="00A871D2"/>
    <w:rsid w:val="00AB5340"/>
    <w:rsid w:val="00AC0A89"/>
    <w:rsid w:val="00AC7C96"/>
    <w:rsid w:val="00AD134F"/>
    <w:rsid w:val="00AD2539"/>
    <w:rsid w:val="00AD308F"/>
    <w:rsid w:val="00AD5088"/>
    <w:rsid w:val="00AE237D"/>
    <w:rsid w:val="00AE502A"/>
    <w:rsid w:val="00AE5432"/>
    <w:rsid w:val="00AF127B"/>
    <w:rsid w:val="00AF45DB"/>
    <w:rsid w:val="00AF6AF6"/>
    <w:rsid w:val="00AF7C07"/>
    <w:rsid w:val="00B1147B"/>
    <w:rsid w:val="00B22C93"/>
    <w:rsid w:val="00B27589"/>
    <w:rsid w:val="00B27C52"/>
    <w:rsid w:val="00B405B7"/>
    <w:rsid w:val="00B41E57"/>
    <w:rsid w:val="00B4543E"/>
    <w:rsid w:val="00B52222"/>
    <w:rsid w:val="00B546BE"/>
    <w:rsid w:val="00B54FE7"/>
    <w:rsid w:val="00B61D82"/>
    <w:rsid w:val="00B66901"/>
    <w:rsid w:val="00B71E6D"/>
    <w:rsid w:val="00B72070"/>
    <w:rsid w:val="00B74EC0"/>
    <w:rsid w:val="00B75C90"/>
    <w:rsid w:val="00B779E1"/>
    <w:rsid w:val="00B807D5"/>
    <w:rsid w:val="00B815C6"/>
    <w:rsid w:val="00B91EE1"/>
    <w:rsid w:val="00BA0090"/>
    <w:rsid w:val="00BA04E5"/>
    <w:rsid w:val="00BA1A67"/>
    <w:rsid w:val="00BA415E"/>
    <w:rsid w:val="00BA544F"/>
    <w:rsid w:val="00BB2244"/>
    <w:rsid w:val="00BB5B0D"/>
    <w:rsid w:val="00BC2AC6"/>
    <w:rsid w:val="00BC5241"/>
    <w:rsid w:val="00BC557F"/>
    <w:rsid w:val="00BC6284"/>
    <w:rsid w:val="00BE3F24"/>
    <w:rsid w:val="00BE5B5F"/>
    <w:rsid w:val="00BF2A3F"/>
    <w:rsid w:val="00BF3BD1"/>
    <w:rsid w:val="00BF5164"/>
    <w:rsid w:val="00C0283B"/>
    <w:rsid w:val="00C055EF"/>
    <w:rsid w:val="00C0741B"/>
    <w:rsid w:val="00C26F55"/>
    <w:rsid w:val="00C30C63"/>
    <w:rsid w:val="00C33528"/>
    <w:rsid w:val="00C338F1"/>
    <w:rsid w:val="00C34C8C"/>
    <w:rsid w:val="00C36B8B"/>
    <w:rsid w:val="00C415C1"/>
    <w:rsid w:val="00C459DD"/>
    <w:rsid w:val="00C47DBF"/>
    <w:rsid w:val="00C500D8"/>
    <w:rsid w:val="00C51721"/>
    <w:rsid w:val="00C53D29"/>
    <w:rsid w:val="00C552FF"/>
    <w:rsid w:val="00C558DA"/>
    <w:rsid w:val="00C55AF3"/>
    <w:rsid w:val="00C65A94"/>
    <w:rsid w:val="00C67029"/>
    <w:rsid w:val="00C7309E"/>
    <w:rsid w:val="00C73D1A"/>
    <w:rsid w:val="00C803F5"/>
    <w:rsid w:val="00C84759"/>
    <w:rsid w:val="00C91870"/>
    <w:rsid w:val="00CA22CD"/>
    <w:rsid w:val="00CA5ACD"/>
    <w:rsid w:val="00CA6C7F"/>
    <w:rsid w:val="00CB27F9"/>
    <w:rsid w:val="00CB734F"/>
    <w:rsid w:val="00CC0879"/>
    <w:rsid w:val="00CC10A6"/>
    <w:rsid w:val="00CC5C50"/>
    <w:rsid w:val="00CD5EB8"/>
    <w:rsid w:val="00CD7044"/>
    <w:rsid w:val="00CE08B9"/>
    <w:rsid w:val="00CE2BC6"/>
    <w:rsid w:val="00CE404F"/>
    <w:rsid w:val="00CE524C"/>
    <w:rsid w:val="00CF141F"/>
    <w:rsid w:val="00CF28D8"/>
    <w:rsid w:val="00CF4777"/>
    <w:rsid w:val="00CF50D2"/>
    <w:rsid w:val="00D03B69"/>
    <w:rsid w:val="00D067BB"/>
    <w:rsid w:val="00D1352A"/>
    <w:rsid w:val="00D13D34"/>
    <w:rsid w:val="00D16972"/>
    <w:rsid w:val="00D169AF"/>
    <w:rsid w:val="00D24464"/>
    <w:rsid w:val="00D25249"/>
    <w:rsid w:val="00D44172"/>
    <w:rsid w:val="00D458E0"/>
    <w:rsid w:val="00D5235E"/>
    <w:rsid w:val="00D63B8C"/>
    <w:rsid w:val="00D6538E"/>
    <w:rsid w:val="00D739CC"/>
    <w:rsid w:val="00D8093D"/>
    <w:rsid w:val="00D8108C"/>
    <w:rsid w:val="00D842AE"/>
    <w:rsid w:val="00D9211C"/>
    <w:rsid w:val="00D92DE0"/>
    <w:rsid w:val="00D92FEF"/>
    <w:rsid w:val="00D93A0F"/>
    <w:rsid w:val="00D93BFF"/>
    <w:rsid w:val="00D9570B"/>
    <w:rsid w:val="00DA1BCA"/>
    <w:rsid w:val="00DA3EA9"/>
    <w:rsid w:val="00DC1A57"/>
    <w:rsid w:val="00DC3FF6"/>
    <w:rsid w:val="00DC46FF"/>
    <w:rsid w:val="00DC5254"/>
    <w:rsid w:val="00DD1A4F"/>
    <w:rsid w:val="00DD3107"/>
    <w:rsid w:val="00DD7C2C"/>
    <w:rsid w:val="00DE689F"/>
    <w:rsid w:val="00DF06E7"/>
    <w:rsid w:val="00DF1707"/>
    <w:rsid w:val="00DF17EE"/>
    <w:rsid w:val="00DF1E4C"/>
    <w:rsid w:val="00E0588E"/>
    <w:rsid w:val="00E06797"/>
    <w:rsid w:val="00E07703"/>
    <w:rsid w:val="00E079E4"/>
    <w:rsid w:val="00E1265B"/>
    <w:rsid w:val="00E13B48"/>
    <w:rsid w:val="00E1404F"/>
    <w:rsid w:val="00E141DA"/>
    <w:rsid w:val="00E213CF"/>
    <w:rsid w:val="00E21C83"/>
    <w:rsid w:val="00E24ADA"/>
    <w:rsid w:val="00E32F59"/>
    <w:rsid w:val="00E33B73"/>
    <w:rsid w:val="00E44BC9"/>
    <w:rsid w:val="00E46D9A"/>
    <w:rsid w:val="00E505C4"/>
    <w:rsid w:val="00E51609"/>
    <w:rsid w:val="00E5286C"/>
    <w:rsid w:val="00E53B39"/>
    <w:rsid w:val="00E56599"/>
    <w:rsid w:val="00E565FF"/>
    <w:rsid w:val="00E6359E"/>
    <w:rsid w:val="00E65388"/>
    <w:rsid w:val="00E85B7D"/>
    <w:rsid w:val="00E871EF"/>
    <w:rsid w:val="00E9121B"/>
    <w:rsid w:val="00E92894"/>
    <w:rsid w:val="00E93BA7"/>
    <w:rsid w:val="00E94CE0"/>
    <w:rsid w:val="00EA0AE2"/>
    <w:rsid w:val="00EA39E5"/>
    <w:rsid w:val="00EA5DB3"/>
    <w:rsid w:val="00EC1F94"/>
    <w:rsid w:val="00EC5A46"/>
    <w:rsid w:val="00EC63E2"/>
    <w:rsid w:val="00ED74D2"/>
    <w:rsid w:val="00EE5139"/>
    <w:rsid w:val="00EF1F1E"/>
    <w:rsid w:val="00EF22B3"/>
    <w:rsid w:val="00F03B69"/>
    <w:rsid w:val="00F07A50"/>
    <w:rsid w:val="00F11274"/>
    <w:rsid w:val="00F113DA"/>
    <w:rsid w:val="00F2205C"/>
    <w:rsid w:val="00F277EB"/>
    <w:rsid w:val="00F37DC8"/>
    <w:rsid w:val="00F40E2A"/>
    <w:rsid w:val="00F42829"/>
    <w:rsid w:val="00F42968"/>
    <w:rsid w:val="00F439B3"/>
    <w:rsid w:val="00F43E61"/>
    <w:rsid w:val="00F56735"/>
    <w:rsid w:val="00F61341"/>
    <w:rsid w:val="00F650C3"/>
    <w:rsid w:val="00F65D85"/>
    <w:rsid w:val="00F73C9D"/>
    <w:rsid w:val="00F760C4"/>
    <w:rsid w:val="00F8091E"/>
    <w:rsid w:val="00F8615C"/>
    <w:rsid w:val="00F874E0"/>
    <w:rsid w:val="00F9475E"/>
    <w:rsid w:val="00F969E5"/>
    <w:rsid w:val="00FA6BB0"/>
    <w:rsid w:val="00FB1D82"/>
    <w:rsid w:val="00FB2D6A"/>
    <w:rsid w:val="00FC0D95"/>
    <w:rsid w:val="00FD1919"/>
    <w:rsid w:val="00FD5860"/>
    <w:rsid w:val="00FD7A9F"/>
    <w:rsid w:val="00FE2C1C"/>
    <w:rsid w:val="00FE352D"/>
    <w:rsid w:val="00FE40EB"/>
    <w:rsid w:val="00FE4D02"/>
    <w:rsid w:val="00FE7D62"/>
    <w:rsid w:val="00FF0933"/>
    <w:rsid w:val="00FF3819"/>
    <w:rsid w:val="00FF7E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ocId w14:val="6CB9D583"/>
  <w15:docId w15:val="{1177E002-67AC-4F62-BA95-B86D21E5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B61D82"/>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rsid w:val="00B61D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Revision">
    <w:name w:val="Revision"/>
    <w:hidden/>
    <w:uiPriority w:val="99"/>
    <w:semiHidden/>
    <w:rsid w:val="009D2233"/>
    <w:rPr>
      <w:rFonts w:ascii="Calibri" w:eastAsia="MS Mincho"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529">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15958958">
      <w:bodyDiv w:val="1"/>
      <w:marLeft w:val="0"/>
      <w:marRight w:val="0"/>
      <w:marTop w:val="0"/>
      <w:marBottom w:val="0"/>
      <w:divBdr>
        <w:top w:val="none" w:sz="0" w:space="0" w:color="auto"/>
        <w:left w:val="none" w:sz="0" w:space="0" w:color="auto"/>
        <w:bottom w:val="none" w:sz="0" w:space="0" w:color="auto"/>
        <w:right w:val="none" w:sz="0" w:space="0" w:color="auto"/>
      </w:divBdr>
    </w:div>
    <w:div w:id="35003747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46315777">
      <w:bodyDiv w:val="1"/>
      <w:marLeft w:val="0"/>
      <w:marRight w:val="0"/>
      <w:marTop w:val="0"/>
      <w:marBottom w:val="0"/>
      <w:divBdr>
        <w:top w:val="none" w:sz="0" w:space="0" w:color="auto"/>
        <w:left w:val="none" w:sz="0" w:space="0" w:color="auto"/>
        <w:bottom w:val="none" w:sz="0" w:space="0" w:color="auto"/>
        <w:right w:val="none" w:sz="0" w:space="0" w:color="auto"/>
      </w:divBdr>
    </w:div>
    <w:div w:id="461849131">
      <w:bodyDiv w:val="1"/>
      <w:marLeft w:val="0"/>
      <w:marRight w:val="0"/>
      <w:marTop w:val="0"/>
      <w:marBottom w:val="0"/>
      <w:divBdr>
        <w:top w:val="none" w:sz="0" w:space="0" w:color="auto"/>
        <w:left w:val="none" w:sz="0" w:space="0" w:color="auto"/>
        <w:bottom w:val="none" w:sz="0" w:space="0" w:color="auto"/>
        <w:right w:val="none" w:sz="0" w:space="0" w:color="auto"/>
      </w:divBdr>
    </w:div>
    <w:div w:id="492724391">
      <w:bodyDiv w:val="1"/>
      <w:marLeft w:val="0"/>
      <w:marRight w:val="0"/>
      <w:marTop w:val="0"/>
      <w:marBottom w:val="0"/>
      <w:divBdr>
        <w:top w:val="none" w:sz="0" w:space="0" w:color="auto"/>
        <w:left w:val="none" w:sz="0" w:space="0" w:color="auto"/>
        <w:bottom w:val="none" w:sz="0" w:space="0" w:color="auto"/>
        <w:right w:val="none" w:sz="0" w:space="0" w:color="auto"/>
      </w:divBdr>
    </w:div>
    <w:div w:id="520558216">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589240855">
      <w:bodyDiv w:val="1"/>
      <w:marLeft w:val="0"/>
      <w:marRight w:val="0"/>
      <w:marTop w:val="0"/>
      <w:marBottom w:val="0"/>
      <w:divBdr>
        <w:top w:val="none" w:sz="0" w:space="0" w:color="auto"/>
        <w:left w:val="none" w:sz="0" w:space="0" w:color="auto"/>
        <w:bottom w:val="none" w:sz="0" w:space="0" w:color="auto"/>
        <w:right w:val="none" w:sz="0" w:space="0" w:color="auto"/>
      </w:divBdr>
    </w:div>
    <w:div w:id="591201987">
      <w:bodyDiv w:val="1"/>
      <w:marLeft w:val="0"/>
      <w:marRight w:val="0"/>
      <w:marTop w:val="0"/>
      <w:marBottom w:val="0"/>
      <w:divBdr>
        <w:top w:val="none" w:sz="0" w:space="0" w:color="auto"/>
        <w:left w:val="none" w:sz="0" w:space="0" w:color="auto"/>
        <w:bottom w:val="none" w:sz="0" w:space="0" w:color="auto"/>
        <w:right w:val="none" w:sz="0" w:space="0" w:color="auto"/>
      </w:divBdr>
    </w:div>
    <w:div w:id="724335475">
      <w:bodyDiv w:val="1"/>
      <w:marLeft w:val="0"/>
      <w:marRight w:val="0"/>
      <w:marTop w:val="0"/>
      <w:marBottom w:val="0"/>
      <w:divBdr>
        <w:top w:val="none" w:sz="0" w:space="0" w:color="auto"/>
        <w:left w:val="none" w:sz="0" w:space="0" w:color="auto"/>
        <w:bottom w:val="none" w:sz="0" w:space="0" w:color="auto"/>
        <w:right w:val="none" w:sz="0" w:space="0" w:color="auto"/>
      </w:divBdr>
    </w:div>
    <w:div w:id="8218515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751416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9182806">
      <w:bodyDiv w:val="1"/>
      <w:marLeft w:val="0"/>
      <w:marRight w:val="0"/>
      <w:marTop w:val="0"/>
      <w:marBottom w:val="0"/>
      <w:divBdr>
        <w:top w:val="none" w:sz="0" w:space="0" w:color="auto"/>
        <w:left w:val="none" w:sz="0" w:space="0" w:color="auto"/>
        <w:bottom w:val="none" w:sz="0" w:space="0" w:color="auto"/>
        <w:right w:val="none" w:sz="0" w:space="0" w:color="auto"/>
      </w:divBdr>
    </w:div>
    <w:div w:id="1540318692">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31728126">
      <w:bodyDiv w:val="1"/>
      <w:marLeft w:val="0"/>
      <w:marRight w:val="0"/>
      <w:marTop w:val="0"/>
      <w:marBottom w:val="0"/>
      <w:divBdr>
        <w:top w:val="none" w:sz="0" w:space="0" w:color="auto"/>
        <w:left w:val="none" w:sz="0" w:space="0" w:color="auto"/>
        <w:bottom w:val="none" w:sz="0" w:space="0" w:color="auto"/>
        <w:right w:val="none" w:sz="0" w:space="0" w:color="auto"/>
      </w:divBdr>
    </w:div>
    <w:div w:id="1933196661">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file:///\\Keondc1ha011\UNON3\DCS\Common\docs\english\DRAFTS%202019\UNEP\IPBES\www.ipbes.net\guide-produc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4D020-D13F-48D7-8560-9617BAF48143}">
  <ds:schemaRefs>
    <ds:schemaRef ds:uri="http://schemas.openxmlformats.org/officeDocument/2006/bibliography"/>
  </ds:schemaRefs>
</ds:datastoreItem>
</file>

<file path=customXml/itemProps2.xml><?xml version="1.0" encoding="utf-8"?>
<ds:datastoreItem xmlns:ds="http://schemas.openxmlformats.org/officeDocument/2006/customXml" ds:itemID="{06184D61-B72D-479C-ABD6-7BE36FE42989}"/>
</file>

<file path=customXml/itemProps3.xml><?xml version="1.0" encoding="utf-8"?>
<ds:datastoreItem xmlns:ds="http://schemas.openxmlformats.org/officeDocument/2006/customXml" ds:itemID="{C6891DA4-67DF-4BC6-94CC-0D265AFDDB99}"/>
</file>

<file path=customXml/itemProps4.xml><?xml version="1.0" encoding="utf-8"?>
<ds:datastoreItem xmlns:ds="http://schemas.openxmlformats.org/officeDocument/2006/customXml" ds:itemID="{008F351E-5C53-4DDF-A627-A28DEA227D1C}"/>
</file>

<file path=docProps/app.xml><?xml version="1.0" encoding="utf-8"?>
<Properties xmlns="http://schemas.openxmlformats.org/officeDocument/2006/extended-properties" xmlns:vt="http://schemas.openxmlformats.org/officeDocument/2006/docPropsVTypes">
  <Template>Normal.dotm</Template>
  <TotalTime>2</TotalTime>
  <Pages>6</Pages>
  <Words>2683</Words>
  <Characters>14092</Characters>
  <Application>Microsoft Office Word</Application>
  <DocSecurity>0</DocSecurity>
  <Lines>117</Lines>
  <Paragraphs>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NATIONS UNIES</vt:lpstr>
      <vt:lpstr>NATIONS UNIES</vt:lpstr>
    </vt:vector>
  </TitlesOfParts>
  <Company>unon</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Nikki Criticos</cp:lastModifiedBy>
  <cp:revision>5</cp:revision>
  <cp:lastPrinted>2019-03-19T10:50:00Z</cp:lastPrinted>
  <dcterms:created xsi:type="dcterms:W3CDTF">2019-03-19T10:48:00Z</dcterms:created>
  <dcterms:modified xsi:type="dcterms:W3CDTF">2019-03-19T10:50:00Z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