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490"/>
        <w:gridCol w:w="474"/>
        <w:gridCol w:w="498"/>
        <w:gridCol w:w="834"/>
        <w:gridCol w:w="971"/>
        <w:gridCol w:w="2350"/>
        <w:gridCol w:w="695"/>
        <w:gridCol w:w="558"/>
        <w:gridCol w:w="1627"/>
      </w:tblGrid>
      <w:tr w:rsidR="008034CE" w:rsidRPr="008C00D6" w14:paraId="17E64F75" w14:textId="77777777" w:rsidTr="009527C6">
        <w:trPr>
          <w:cantSplit/>
          <w:trHeight w:val="1079"/>
          <w:jc w:val="right"/>
        </w:trPr>
        <w:tc>
          <w:tcPr>
            <w:tcW w:w="1526" w:type="dxa"/>
          </w:tcPr>
          <w:p w14:paraId="3093EAF0" w14:textId="77777777" w:rsidR="008034CE" w:rsidRPr="00024C14" w:rsidRDefault="008034CE" w:rsidP="00024C14">
            <w:pPr>
              <w:pStyle w:val="Normal-pool"/>
              <w:rPr>
                <w:rFonts w:ascii="Arial" w:hAnsi="Arial" w:cs="Arial"/>
                <w:b/>
                <w:sz w:val="27"/>
                <w:szCs w:val="27"/>
              </w:rPr>
            </w:pPr>
            <w:r w:rsidRPr="00024C14">
              <w:rPr>
                <w:rFonts w:ascii="Arial" w:hAnsi="Arial" w:cs="Arial"/>
                <w:b/>
                <w:noProof/>
                <w:sz w:val="27"/>
                <w:szCs w:val="27"/>
              </w:rPr>
              <w:t xml:space="preserve">UNITED </w:t>
            </w:r>
            <w:r w:rsidRPr="00024C14">
              <w:rPr>
                <w:rFonts w:ascii="Arial" w:hAnsi="Arial" w:cs="Arial"/>
                <w:b/>
                <w:noProof/>
                <w:sz w:val="27"/>
                <w:szCs w:val="27"/>
              </w:rPr>
              <w:br/>
              <w:t>NATIONS</w:t>
            </w:r>
          </w:p>
        </w:tc>
        <w:tc>
          <w:tcPr>
            <w:tcW w:w="992" w:type="dxa"/>
            <w:gridSpan w:val="2"/>
            <w:tcBorders>
              <w:left w:val="nil"/>
            </w:tcBorders>
            <w:vAlign w:val="center"/>
          </w:tcPr>
          <w:p w14:paraId="35A8CCCF" w14:textId="77777777" w:rsidR="008034CE" w:rsidRPr="0081483A" w:rsidRDefault="008034CE" w:rsidP="001B6CA5">
            <w:pPr>
              <w:pStyle w:val="Normal-pool"/>
              <w:ind w:left="-108"/>
              <w:jc w:val="both"/>
            </w:pPr>
            <w:r>
              <w:rPr>
                <w:noProof/>
                <w:lang w:eastAsia="en-GB"/>
              </w:rPr>
              <w:drawing>
                <wp:inline distT="0" distB="0" distL="0" distR="0" wp14:anchorId="7E3EC16A" wp14:editId="488EF7EB">
                  <wp:extent cx="537932" cy="468923"/>
                  <wp:effectExtent l="0" t="0" r="0" b="7620"/>
                  <wp:docPr id="10"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51" w:type="dxa"/>
            <w:tcBorders>
              <w:left w:val="nil"/>
            </w:tcBorders>
            <w:vAlign w:val="center"/>
          </w:tcPr>
          <w:p w14:paraId="27C5EFF3" w14:textId="77777777" w:rsidR="008034CE" w:rsidRPr="0081483A" w:rsidRDefault="008034CE" w:rsidP="001B6CA5">
            <w:pPr>
              <w:pStyle w:val="Normal-pool"/>
              <w:ind w:left="-108"/>
            </w:pPr>
            <w:r>
              <w:rPr>
                <w:noProof/>
                <w:lang w:eastAsia="en-GB"/>
              </w:rPr>
              <w:drawing>
                <wp:inline distT="0" distB="0" distL="0" distR="0" wp14:anchorId="2FC9C851" wp14:editId="6B168C03">
                  <wp:extent cx="468455" cy="492369"/>
                  <wp:effectExtent l="0" t="0" r="8255" b="3175"/>
                  <wp:docPr id="5"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988" cy="490827"/>
                          </a:xfrm>
                          <a:prstGeom prst="rect">
                            <a:avLst/>
                          </a:prstGeom>
                          <a:noFill/>
                          <a:ln>
                            <a:noFill/>
                          </a:ln>
                        </pic:spPr>
                      </pic:pic>
                    </a:graphicData>
                  </a:graphic>
                </wp:inline>
              </w:drawing>
            </w:r>
          </w:p>
        </w:tc>
        <w:tc>
          <w:tcPr>
            <w:tcW w:w="992" w:type="dxa"/>
            <w:tcBorders>
              <w:left w:val="nil"/>
            </w:tcBorders>
            <w:vAlign w:val="center"/>
          </w:tcPr>
          <w:p w14:paraId="6F931371" w14:textId="77777777" w:rsidR="008034CE" w:rsidRPr="0081483A" w:rsidRDefault="008034CE" w:rsidP="001B6CA5">
            <w:pPr>
              <w:pStyle w:val="Normal-pool"/>
              <w:ind w:left="-108"/>
            </w:pPr>
            <w:r>
              <w:rPr>
                <w:noProof/>
                <w:lang w:eastAsia="en-GB"/>
              </w:rPr>
              <w:drawing>
                <wp:inline distT="0" distB="0" distL="0" distR="0" wp14:anchorId="5B063EF5" wp14:editId="19AA1E30">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410" w:type="dxa"/>
            <w:tcBorders>
              <w:left w:val="nil"/>
            </w:tcBorders>
            <w:vAlign w:val="center"/>
          </w:tcPr>
          <w:p w14:paraId="785DD1E7" w14:textId="77777777" w:rsidR="008034CE" w:rsidRPr="0081483A" w:rsidRDefault="008034CE" w:rsidP="001B6CA5">
            <w:pPr>
              <w:pStyle w:val="Normal-pool"/>
              <w:ind w:left="-108"/>
            </w:pPr>
            <w:r>
              <w:rPr>
                <w:noProof/>
                <w:lang w:eastAsia="en-GB"/>
              </w:rPr>
              <w:drawing>
                <wp:inline distT="0" distB="0" distL="0" distR="0" wp14:anchorId="2E54E178" wp14:editId="095A7DC2">
                  <wp:extent cx="1518138" cy="52753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3lines_en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8139" cy="527539"/>
                          </a:xfrm>
                          <a:prstGeom prst="rect">
                            <a:avLst/>
                          </a:prstGeom>
                        </pic:spPr>
                      </pic:pic>
                    </a:graphicData>
                  </a:graphic>
                </wp:inline>
              </w:drawing>
            </w:r>
          </w:p>
        </w:tc>
        <w:tc>
          <w:tcPr>
            <w:tcW w:w="708" w:type="dxa"/>
            <w:tcBorders>
              <w:left w:val="nil"/>
              <w:right w:val="nil"/>
            </w:tcBorders>
          </w:tcPr>
          <w:p w14:paraId="424A94DC" w14:textId="77777777" w:rsidR="008034CE" w:rsidRPr="0081483A" w:rsidRDefault="008034CE" w:rsidP="00024C14">
            <w:pPr>
              <w:pStyle w:val="Normal-pool"/>
            </w:pPr>
            <w:r>
              <w:rPr>
                <w:noProof/>
                <w:lang w:eastAsia="en-GB"/>
              </w:rPr>
              <w:drawing>
                <wp:inline distT="0" distB="0" distL="0" distR="0" wp14:anchorId="6F9721B0" wp14:editId="13F44F35">
                  <wp:extent cx="287215" cy="562232"/>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215" cy="562232"/>
                          </a:xfrm>
                          <a:prstGeom prst="rect">
                            <a:avLst/>
                          </a:prstGeom>
                          <a:noFill/>
                          <a:ln>
                            <a:noFill/>
                          </a:ln>
                        </pic:spPr>
                      </pic:pic>
                    </a:graphicData>
                  </a:graphic>
                </wp:inline>
              </w:drawing>
            </w:r>
          </w:p>
        </w:tc>
        <w:tc>
          <w:tcPr>
            <w:tcW w:w="567" w:type="dxa"/>
            <w:tcBorders>
              <w:left w:val="nil"/>
            </w:tcBorders>
            <w:vAlign w:val="center"/>
          </w:tcPr>
          <w:p w14:paraId="423DA532" w14:textId="77777777" w:rsidR="008034CE" w:rsidRPr="0081483A" w:rsidRDefault="008034CE" w:rsidP="00024C14">
            <w:pPr>
              <w:pStyle w:val="Normal-pool"/>
            </w:pPr>
          </w:p>
        </w:tc>
        <w:tc>
          <w:tcPr>
            <w:tcW w:w="1666" w:type="dxa"/>
          </w:tcPr>
          <w:p w14:paraId="51F750DF" w14:textId="77777777" w:rsidR="008034CE" w:rsidRPr="00024C14" w:rsidRDefault="008034CE" w:rsidP="00024C14">
            <w:pPr>
              <w:pStyle w:val="Normal-pool"/>
              <w:rPr>
                <w:rFonts w:ascii="Arial" w:hAnsi="Arial" w:cs="Arial"/>
                <w:b/>
                <w:sz w:val="64"/>
                <w:szCs w:val="64"/>
              </w:rPr>
            </w:pPr>
            <w:r w:rsidRPr="00024C14">
              <w:rPr>
                <w:rFonts w:ascii="Arial" w:hAnsi="Arial" w:cs="Arial"/>
                <w:b/>
                <w:sz w:val="64"/>
                <w:szCs w:val="64"/>
              </w:rPr>
              <w:t>BES</w:t>
            </w:r>
          </w:p>
        </w:tc>
      </w:tr>
      <w:tr w:rsidR="008034CE" w:rsidRPr="008C00D6" w14:paraId="6A8997FA" w14:textId="77777777" w:rsidTr="009527C6">
        <w:trPr>
          <w:cantSplit/>
          <w:trHeight w:val="282"/>
          <w:jc w:val="right"/>
        </w:trPr>
        <w:tc>
          <w:tcPr>
            <w:tcW w:w="1526" w:type="dxa"/>
            <w:tcBorders>
              <w:bottom w:val="single" w:sz="2" w:space="0" w:color="auto"/>
            </w:tcBorders>
          </w:tcPr>
          <w:p w14:paraId="79830A2D" w14:textId="77777777" w:rsidR="008034CE" w:rsidRPr="0081483A" w:rsidRDefault="008034CE" w:rsidP="00024C14">
            <w:pPr>
              <w:pStyle w:val="Normal-pool"/>
              <w:rPr>
                <w:noProof/>
              </w:rPr>
            </w:pPr>
          </w:p>
        </w:tc>
        <w:tc>
          <w:tcPr>
            <w:tcW w:w="5953" w:type="dxa"/>
            <w:gridSpan w:val="6"/>
            <w:tcBorders>
              <w:bottom w:val="single" w:sz="2" w:space="0" w:color="auto"/>
            </w:tcBorders>
          </w:tcPr>
          <w:p w14:paraId="332A55E9" w14:textId="77777777" w:rsidR="008034CE" w:rsidRPr="00EA5E72" w:rsidRDefault="008034CE" w:rsidP="00024C14">
            <w:pPr>
              <w:pStyle w:val="Normal-pool"/>
              <w:rPr>
                <w:sz w:val="24"/>
                <w:szCs w:val="24"/>
              </w:rPr>
            </w:pPr>
          </w:p>
        </w:tc>
        <w:tc>
          <w:tcPr>
            <w:tcW w:w="2233" w:type="dxa"/>
            <w:gridSpan w:val="2"/>
            <w:tcBorders>
              <w:bottom w:val="single" w:sz="2" w:space="0" w:color="auto"/>
            </w:tcBorders>
          </w:tcPr>
          <w:p w14:paraId="7A2EA555" w14:textId="3883E73F" w:rsidR="008034CE" w:rsidRPr="0071129F" w:rsidRDefault="008034CE" w:rsidP="00024C14">
            <w:pPr>
              <w:pStyle w:val="Normal-pool"/>
              <w:rPr>
                <w:sz w:val="24"/>
                <w:szCs w:val="24"/>
              </w:rPr>
            </w:pPr>
            <w:r w:rsidRPr="0071129F">
              <w:rPr>
                <w:b/>
                <w:sz w:val="24"/>
                <w:szCs w:val="24"/>
              </w:rPr>
              <w:t>IPBES</w:t>
            </w:r>
            <w:r w:rsidR="007E2B3C" w:rsidRPr="0071129F">
              <w:t>/6</w:t>
            </w:r>
            <w:r w:rsidR="006B503A" w:rsidRPr="0071129F">
              <w:t>/</w:t>
            </w:r>
            <w:r w:rsidR="00D2127B">
              <w:t>INF/2</w:t>
            </w:r>
          </w:p>
        </w:tc>
      </w:tr>
      <w:tr w:rsidR="008034CE" w:rsidRPr="008C00D6" w14:paraId="5418710C" w14:textId="77777777" w:rsidTr="009527C6">
        <w:trPr>
          <w:cantSplit/>
          <w:trHeight w:val="1433"/>
          <w:jc w:val="right"/>
        </w:trPr>
        <w:tc>
          <w:tcPr>
            <w:tcW w:w="2009" w:type="dxa"/>
            <w:gridSpan w:val="2"/>
            <w:tcBorders>
              <w:top w:val="single" w:sz="2" w:space="0" w:color="auto"/>
              <w:bottom w:val="single" w:sz="24" w:space="0" w:color="auto"/>
            </w:tcBorders>
          </w:tcPr>
          <w:p w14:paraId="3B983374" w14:textId="77777777" w:rsidR="008034CE" w:rsidRPr="0081483A" w:rsidRDefault="008034CE" w:rsidP="00024C14">
            <w:pPr>
              <w:pStyle w:val="Normal-pool"/>
              <w:spacing w:before="240" w:after="240"/>
              <w:rPr>
                <w:sz w:val="28"/>
                <w:szCs w:val="28"/>
              </w:rPr>
            </w:pPr>
            <w:r>
              <w:rPr>
                <w:noProof/>
                <w:sz w:val="28"/>
                <w:szCs w:val="28"/>
                <w:lang w:eastAsia="en-GB"/>
              </w:rPr>
              <w:drawing>
                <wp:inline distT="0" distB="0" distL="0" distR="0" wp14:anchorId="1E8F57E2" wp14:editId="67559D3B">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6" cy="519379"/>
                          </a:xfrm>
                          <a:prstGeom prst="rect">
                            <a:avLst/>
                          </a:prstGeom>
                        </pic:spPr>
                      </pic:pic>
                    </a:graphicData>
                  </a:graphic>
                </wp:inline>
              </w:drawing>
            </w:r>
          </w:p>
        </w:tc>
        <w:tc>
          <w:tcPr>
            <w:tcW w:w="5470" w:type="dxa"/>
            <w:gridSpan w:val="5"/>
            <w:tcBorders>
              <w:top w:val="single" w:sz="2" w:space="0" w:color="auto"/>
              <w:bottom w:val="single" w:sz="24" w:space="0" w:color="auto"/>
            </w:tcBorders>
          </w:tcPr>
          <w:p w14:paraId="58FAB69E" w14:textId="77777777" w:rsidR="008034CE" w:rsidRPr="00024C14" w:rsidRDefault="008034CE" w:rsidP="00024C14">
            <w:pPr>
              <w:pStyle w:val="Normal-pool"/>
              <w:spacing w:before="120" w:after="240"/>
              <w:rPr>
                <w:rFonts w:ascii="Arial" w:hAnsi="Arial" w:cs="Arial"/>
                <w:b/>
              </w:rPr>
            </w:pPr>
            <w:r w:rsidRPr="00024C14">
              <w:rPr>
                <w:rFonts w:ascii="Arial" w:hAnsi="Arial" w:cs="Arial"/>
                <w:b/>
                <w:sz w:val="28"/>
                <w:szCs w:val="28"/>
              </w:rPr>
              <w:t>Intergovernmental Science-Policy Platform on Biodiversity and Ecosystem Services</w:t>
            </w:r>
          </w:p>
        </w:tc>
        <w:tc>
          <w:tcPr>
            <w:tcW w:w="2233" w:type="dxa"/>
            <w:gridSpan w:val="2"/>
            <w:tcBorders>
              <w:top w:val="single" w:sz="2" w:space="0" w:color="auto"/>
              <w:bottom w:val="single" w:sz="24" w:space="0" w:color="auto"/>
            </w:tcBorders>
          </w:tcPr>
          <w:p w14:paraId="253C9E32" w14:textId="042B946A" w:rsidR="008034CE" w:rsidRPr="0071129F" w:rsidRDefault="008034CE" w:rsidP="00024C14">
            <w:pPr>
              <w:pStyle w:val="Normal-pool"/>
              <w:spacing w:before="120" w:after="120"/>
            </w:pPr>
            <w:r w:rsidRPr="0071129F">
              <w:t>Distr.: General</w:t>
            </w:r>
            <w:r w:rsidRPr="0071129F">
              <w:br/>
            </w:r>
            <w:r w:rsidR="00A1612F">
              <w:t xml:space="preserve">15 </w:t>
            </w:r>
            <w:r w:rsidR="007D7DC1">
              <w:t>January 2018</w:t>
            </w:r>
          </w:p>
          <w:p w14:paraId="218DB2FE" w14:textId="5B6D14B1" w:rsidR="008034CE" w:rsidRPr="0071129F" w:rsidRDefault="008034CE" w:rsidP="00024C14">
            <w:pPr>
              <w:pStyle w:val="Normal-pool"/>
              <w:spacing w:after="240"/>
            </w:pPr>
            <w:r w:rsidRPr="0071129F">
              <w:t>English</w:t>
            </w:r>
            <w:r w:rsidR="00954A79">
              <w:t xml:space="preserve"> only</w:t>
            </w:r>
          </w:p>
        </w:tc>
      </w:tr>
    </w:tbl>
    <w:p w14:paraId="48B5AABB" w14:textId="77777777" w:rsidR="007F3540" w:rsidRPr="009379B9" w:rsidRDefault="007F3540" w:rsidP="00024C14">
      <w:pPr>
        <w:pStyle w:val="AATitle"/>
      </w:pPr>
      <w:r w:rsidRPr="009379B9">
        <w:t>Plenary of the Intergovernmental Science-Policy</w:t>
      </w:r>
    </w:p>
    <w:p w14:paraId="7C63ABCF" w14:textId="77777777" w:rsidR="007F3540" w:rsidRPr="009379B9" w:rsidRDefault="007F3540" w:rsidP="00024C14">
      <w:pPr>
        <w:pStyle w:val="AATitle"/>
      </w:pPr>
      <w:r w:rsidRPr="009379B9">
        <w:t xml:space="preserve">Platform on </w:t>
      </w:r>
      <w:r w:rsidRPr="00024C14">
        <w:t>Biodiversity</w:t>
      </w:r>
      <w:r w:rsidRPr="009379B9">
        <w:t xml:space="preserve"> and Ecosystem Services</w:t>
      </w:r>
    </w:p>
    <w:p w14:paraId="16C32946" w14:textId="55FC6438" w:rsidR="007F3540" w:rsidRPr="009379B9" w:rsidRDefault="007E2B3C" w:rsidP="00024C14">
      <w:pPr>
        <w:pStyle w:val="AATitle"/>
      </w:pPr>
      <w:r w:rsidRPr="009379B9">
        <w:t>Six</w:t>
      </w:r>
      <w:r w:rsidR="007F3540" w:rsidRPr="009379B9">
        <w:t xml:space="preserve">th </w:t>
      </w:r>
      <w:r w:rsidR="007F3540" w:rsidRPr="00024C14">
        <w:t>session</w:t>
      </w:r>
    </w:p>
    <w:p w14:paraId="58132CAF" w14:textId="22629110" w:rsidR="007F3540" w:rsidRDefault="007E2B3C" w:rsidP="00024C14">
      <w:pPr>
        <w:pStyle w:val="AATitle"/>
        <w:rPr>
          <w:b w:val="0"/>
        </w:rPr>
      </w:pPr>
      <w:r w:rsidRPr="00024C14">
        <w:rPr>
          <w:b w:val="0"/>
        </w:rPr>
        <w:t>Medellin</w:t>
      </w:r>
      <w:r w:rsidR="007F3540" w:rsidRPr="00024C14">
        <w:rPr>
          <w:b w:val="0"/>
        </w:rPr>
        <w:t xml:space="preserve">, </w:t>
      </w:r>
      <w:r w:rsidRPr="00024C14">
        <w:rPr>
          <w:b w:val="0"/>
        </w:rPr>
        <w:t>Colombia</w:t>
      </w:r>
      <w:r w:rsidR="007F3540" w:rsidRPr="00024C14">
        <w:rPr>
          <w:b w:val="0"/>
        </w:rPr>
        <w:t xml:space="preserve">, </w:t>
      </w:r>
      <w:r w:rsidR="007D7DC1" w:rsidRPr="00024C14">
        <w:rPr>
          <w:b w:val="0"/>
        </w:rPr>
        <w:t>1</w:t>
      </w:r>
      <w:r w:rsidR="007D7DC1">
        <w:rPr>
          <w:b w:val="0"/>
        </w:rPr>
        <w:t>8</w:t>
      </w:r>
      <w:r w:rsidR="009E78C3" w:rsidRPr="00024C14">
        <w:rPr>
          <w:b w:val="0"/>
        </w:rPr>
        <w:t>–</w:t>
      </w:r>
      <w:r w:rsidR="00351B05" w:rsidRPr="00024C14">
        <w:rPr>
          <w:b w:val="0"/>
        </w:rPr>
        <w:t>24</w:t>
      </w:r>
      <w:r w:rsidR="007F3540" w:rsidRPr="00024C14">
        <w:rPr>
          <w:b w:val="0"/>
        </w:rPr>
        <w:t xml:space="preserve"> March </w:t>
      </w:r>
      <w:r w:rsidR="00B75656" w:rsidRPr="00024C14">
        <w:rPr>
          <w:b w:val="0"/>
        </w:rPr>
        <w:t>2018</w:t>
      </w:r>
    </w:p>
    <w:p w14:paraId="32F1404B" w14:textId="2C11F56D" w:rsidR="00D2127B" w:rsidRPr="0011637A" w:rsidRDefault="00D2127B" w:rsidP="00D2127B">
      <w:pPr>
        <w:pStyle w:val="AATitle"/>
        <w:rPr>
          <w:b w:val="0"/>
          <w:bCs/>
        </w:rPr>
      </w:pPr>
      <w:r w:rsidRPr="0011637A">
        <w:rPr>
          <w:b w:val="0"/>
          <w:bCs/>
        </w:rPr>
        <w:t xml:space="preserve">Item </w:t>
      </w:r>
      <w:r>
        <w:rPr>
          <w:b w:val="0"/>
          <w:bCs/>
        </w:rPr>
        <w:t>7</w:t>
      </w:r>
      <w:r w:rsidRPr="0011637A">
        <w:rPr>
          <w:b w:val="0"/>
          <w:bCs/>
        </w:rPr>
        <w:t xml:space="preserve"> of the provisional agenda</w:t>
      </w:r>
      <w:r w:rsidRPr="00486C90">
        <w:rPr>
          <w:rStyle w:val="FootnoteReference"/>
          <w:b w:val="0"/>
          <w:bCs/>
          <w:spacing w:val="4"/>
          <w:w w:val="103"/>
          <w:vertAlign w:val="baseline"/>
        </w:rPr>
        <w:footnoteReference w:customMarkFollows="1" w:id="1"/>
        <w:t>*</w:t>
      </w:r>
    </w:p>
    <w:p w14:paraId="6C3C3A63" w14:textId="48012665" w:rsidR="00D2127B" w:rsidRPr="00886865" w:rsidRDefault="00D2127B" w:rsidP="00D2127B">
      <w:pPr>
        <w:pStyle w:val="AATitle2"/>
      </w:pPr>
      <w:r>
        <w:t>Thematic assessment of land degradation a</w:t>
      </w:r>
      <w:bookmarkStart w:id="0" w:name="_GoBack"/>
      <w:bookmarkEnd w:id="0"/>
      <w:r>
        <w:t>nd restoration</w:t>
      </w:r>
    </w:p>
    <w:p w14:paraId="5D98CA32" w14:textId="77777777" w:rsidR="00D2127B" w:rsidRDefault="00D2127B" w:rsidP="00D2127B">
      <w:pPr>
        <w:pStyle w:val="BBTitle"/>
        <w:spacing w:before="240"/>
      </w:pPr>
      <w:bookmarkStart w:id="1" w:name="_Hlk502848768"/>
      <w:r w:rsidRPr="009F7520">
        <w:t xml:space="preserve">Overview of the process followed for the production of the </w:t>
      </w:r>
      <w:r>
        <w:t>thematic assessment</w:t>
      </w:r>
      <w:r w:rsidRPr="009F7520">
        <w:t xml:space="preserve"> </w:t>
      </w:r>
      <w:r>
        <w:t>of land degradation and restoration</w:t>
      </w:r>
      <w:bookmarkEnd w:id="1"/>
    </w:p>
    <w:p w14:paraId="4991BF19" w14:textId="77777777" w:rsidR="00D2127B" w:rsidRDefault="00D2127B" w:rsidP="00D2127B">
      <w:pPr>
        <w:pStyle w:val="CH2"/>
      </w:pPr>
      <w:r>
        <w:tab/>
      </w:r>
      <w:r>
        <w:tab/>
        <w:t xml:space="preserve">Note by the secretariat </w:t>
      </w:r>
    </w:p>
    <w:p w14:paraId="775D013D" w14:textId="319C0E90" w:rsidR="00D2127B" w:rsidRDefault="00D2127B" w:rsidP="002070A8">
      <w:pPr>
        <w:pStyle w:val="Normalnumber"/>
        <w:numPr>
          <w:ilvl w:val="0"/>
          <w:numId w:val="15"/>
        </w:numPr>
        <w:suppressLineNumbers/>
        <w:tabs>
          <w:tab w:val="clear" w:pos="567"/>
          <w:tab w:val="clear" w:pos="1247"/>
          <w:tab w:val="clear" w:pos="1871"/>
          <w:tab w:val="clear" w:pos="2495"/>
        </w:tabs>
      </w:pPr>
      <w:r>
        <w:t>In</w:t>
      </w:r>
      <w:r w:rsidRPr="009411BF">
        <w:t xml:space="preserve"> </w:t>
      </w:r>
      <w:r w:rsidR="00486C90" w:rsidRPr="009411BF">
        <w:t>paragraph 2</w:t>
      </w:r>
      <w:r w:rsidR="00486C90">
        <w:t xml:space="preserve"> of </w:t>
      </w:r>
      <w:r w:rsidR="00486C90" w:rsidRPr="009411BF">
        <w:t>section I</w:t>
      </w:r>
      <w:r w:rsidR="00486C90">
        <w:t>V</w:t>
      </w:r>
      <w:r w:rsidR="00486C90" w:rsidRPr="009411BF">
        <w:t xml:space="preserve"> </w:t>
      </w:r>
      <w:r w:rsidR="00486C90">
        <w:t xml:space="preserve">of </w:t>
      </w:r>
      <w:r w:rsidRPr="009411BF">
        <w:t>decision IPBES-3/1, the Plenary of the Intergovernmental Science-Policy Platform on Biodiversity and Ecosystem Services</w:t>
      </w:r>
      <w:r>
        <w:t xml:space="preserve"> </w:t>
      </w:r>
      <w:r w:rsidRPr="009411BF">
        <w:t xml:space="preserve">approved the undertaking </w:t>
      </w:r>
      <w:r w:rsidRPr="002A4A2D">
        <w:t xml:space="preserve">of </w:t>
      </w:r>
      <w:r>
        <w:t>a</w:t>
      </w:r>
      <w:r w:rsidRPr="002A4A2D">
        <w:t xml:space="preserve"> thematic assessment of land degradation and restoration</w:t>
      </w:r>
      <w:r w:rsidRPr="009411BF">
        <w:t xml:space="preserve"> in accordance with the procedures for the preparation of the Platform’s deliverables set out in annex I to decision IPBES-3/3</w:t>
      </w:r>
      <w:r>
        <w:t>,</w:t>
      </w:r>
      <w:r w:rsidRPr="00E62E60">
        <w:t xml:space="preserve"> </w:t>
      </w:r>
      <w:r w:rsidRPr="002A4A2D">
        <w:t xml:space="preserve">based on the scoping report for the assessment set out in annex VIII to decision IPBES-3/1. </w:t>
      </w:r>
    </w:p>
    <w:p w14:paraId="46057539" w14:textId="1A4D33D1" w:rsidR="00D2127B" w:rsidRDefault="00D2127B" w:rsidP="00F07487">
      <w:pPr>
        <w:pStyle w:val="Normalnumber"/>
        <w:numPr>
          <w:ilvl w:val="0"/>
          <w:numId w:val="15"/>
        </w:numPr>
        <w:suppressLineNumbers/>
        <w:tabs>
          <w:tab w:val="clear" w:pos="567"/>
          <w:tab w:val="clear" w:pos="1247"/>
          <w:tab w:val="clear" w:pos="1871"/>
          <w:tab w:val="clear" w:pos="2495"/>
        </w:tabs>
      </w:pPr>
      <w:r w:rsidRPr="002B3CB9">
        <w:t>In response to decision</w:t>
      </w:r>
      <w:r w:rsidR="00486C90">
        <w:t xml:space="preserve"> </w:t>
      </w:r>
      <w:r w:rsidR="00486C90" w:rsidRPr="009411BF">
        <w:t>IPBES-3/1</w:t>
      </w:r>
      <w:r w:rsidRPr="002B3CB9">
        <w:t xml:space="preserve">, </w:t>
      </w:r>
      <w:r>
        <w:t>a set of eight chapters and their executive summaries (IPBES/6/INF/1)</w:t>
      </w:r>
      <w:r w:rsidRPr="002B3CB9">
        <w:t xml:space="preserve"> and a summary for policymakers</w:t>
      </w:r>
      <w:r>
        <w:t xml:space="preserve"> (IPBES/6/3)</w:t>
      </w:r>
      <w:r w:rsidRPr="002B3CB9">
        <w:t xml:space="preserve"> w</w:t>
      </w:r>
      <w:r>
        <w:t>ere</w:t>
      </w:r>
      <w:r w:rsidRPr="002B3CB9">
        <w:t xml:space="preserve"> produced by an expert group in accordance with the</w:t>
      </w:r>
      <w:r w:rsidRPr="00C43EBC">
        <w:rPr>
          <w:lang w:val="en-CA"/>
        </w:rPr>
        <w:t xml:space="preserve"> procedures</w:t>
      </w:r>
      <w:r w:rsidRPr="002B3CB9">
        <w:t xml:space="preserve"> for the</w:t>
      </w:r>
      <w:r w:rsidRPr="00C43EBC">
        <w:rPr>
          <w:lang w:val="en-CA"/>
        </w:rPr>
        <w:t xml:space="preserve"> </w:t>
      </w:r>
      <w:r w:rsidRPr="00175D39">
        <w:t>preparation</w:t>
      </w:r>
      <w:r w:rsidRPr="002B3CB9">
        <w:t xml:space="preserve"> of the</w:t>
      </w:r>
      <w:r w:rsidRPr="00175D39">
        <w:t xml:space="preserve"> Platform’s deliverables</w:t>
      </w:r>
      <w:r w:rsidRPr="002B3CB9">
        <w:t xml:space="preserve">. </w:t>
      </w:r>
    </w:p>
    <w:p w14:paraId="5A6EF37B" w14:textId="49A87B23" w:rsidR="00D2127B" w:rsidRPr="004C49B2" w:rsidRDefault="00D2127B" w:rsidP="00F07487">
      <w:pPr>
        <w:pStyle w:val="Normalnumber"/>
        <w:numPr>
          <w:ilvl w:val="0"/>
          <w:numId w:val="15"/>
        </w:numPr>
        <w:suppressLineNumbers/>
        <w:tabs>
          <w:tab w:val="clear" w:pos="567"/>
          <w:tab w:val="clear" w:pos="1247"/>
          <w:tab w:val="clear" w:pos="1871"/>
          <w:tab w:val="clear" w:pos="2495"/>
        </w:tabs>
      </w:pPr>
      <w:r w:rsidRPr="004C49B2">
        <w:t xml:space="preserve">The annex to the present </w:t>
      </w:r>
      <w:r>
        <w:t>note</w:t>
      </w:r>
      <w:r w:rsidR="00486C90">
        <w:t>, which is</w:t>
      </w:r>
      <w:r>
        <w:t xml:space="preserve"> </w:t>
      </w:r>
      <w:r w:rsidR="00486C90" w:rsidRPr="004C49B2">
        <w:t>presented without formal editing</w:t>
      </w:r>
      <w:r w:rsidR="00486C90">
        <w:t xml:space="preserve">, </w:t>
      </w:r>
      <w:r>
        <w:t>sets out</w:t>
      </w:r>
      <w:r w:rsidRPr="004C49B2">
        <w:t xml:space="preserve"> a report on </w:t>
      </w:r>
      <w:r>
        <w:t>the process</w:t>
      </w:r>
      <w:r w:rsidRPr="009F7520">
        <w:t xml:space="preserve"> followed for the production of the</w:t>
      </w:r>
      <w:r>
        <w:t xml:space="preserve"> thematic assessment of land degradation and restoration.</w:t>
      </w:r>
    </w:p>
    <w:p w14:paraId="24A786D5" w14:textId="77777777" w:rsidR="00D2127B" w:rsidRDefault="00D2127B" w:rsidP="00B117A7">
      <w:pPr>
        <w:pStyle w:val="Normal-pool"/>
      </w:pPr>
    </w:p>
    <w:p w14:paraId="49EC5433" w14:textId="77777777" w:rsidR="00D2127B" w:rsidRDefault="00D2127B" w:rsidP="00D2127B">
      <w:pPr>
        <w:pStyle w:val="ZZAnxheader"/>
        <w:sectPr w:rsidR="00D2127B" w:rsidSect="00D2127B">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907" w:right="992" w:bottom="1418" w:left="1418" w:header="539" w:footer="975" w:gutter="0"/>
          <w:cols w:space="708"/>
          <w:titlePg/>
          <w:docGrid w:linePitch="360"/>
        </w:sectPr>
      </w:pPr>
    </w:p>
    <w:p w14:paraId="2A741D1C" w14:textId="77777777" w:rsidR="00D2127B" w:rsidRDefault="00D2127B" w:rsidP="00D2127B">
      <w:pPr>
        <w:pStyle w:val="ZZAnxheader"/>
      </w:pPr>
      <w:r w:rsidRPr="004D402B">
        <w:lastRenderedPageBreak/>
        <w:t>Annex</w:t>
      </w:r>
    </w:p>
    <w:p w14:paraId="438D87C0" w14:textId="77777777" w:rsidR="00D2127B" w:rsidRPr="00C77681" w:rsidRDefault="00D2127B" w:rsidP="00D2127B">
      <w:pPr>
        <w:pStyle w:val="ZZAnxtitle"/>
      </w:pPr>
      <w:r w:rsidRPr="009F7520">
        <w:t xml:space="preserve">Overview of the process followed for the production of the </w:t>
      </w:r>
      <w:r>
        <w:t>thematical assessment of land degradation and restoration</w:t>
      </w:r>
    </w:p>
    <w:p w14:paraId="279D9CA7" w14:textId="0FF42E24" w:rsidR="00D2127B" w:rsidRPr="007F3D37" w:rsidRDefault="008C1922" w:rsidP="008C1922">
      <w:pPr>
        <w:pStyle w:val="CH1"/>
      </w:pPr>
      <w:r>
        <w:tab/>
        <w:t>I.</w:t>
      </w:r>
      <w:r>
        <w:tab/>
      </w:r>
      <w:r w:rsidR="00D2127B" w:rsidRPr="00C77681">
        <w:t>Context</w:t>
      </w:r>
    </w:p>
    <w:p w14:paraId="648F8C94" w14:textId="77777777" w:rsidR="00D2127B" w:rsidRDefault="00D2127B" w:rsidP="002070A8">
      <w:pPr>
        <w:pStyle w:val="Normalnumber"/>
        <w:numPr>
          <w:ilvl w:val="0"/>
          <w:numId w:val="17"/>
        </w:numPr>
        <w:tabs>
          <w:tab w:val="clear" w:pos="1134"/>
          <w:tab w:val="clear" w:pos="1247"/>
          <w:tab w:val="clear" w:pos="1871"/>
          <w:tab w:val="clear" w:pos="2495"/>
        </w:tabs>
      </w:pPr>
      <w:r w:rsidRPr="00655798">
        <w:t>The overall scope of th</w:t>
      </w:r>
      <w:r>
        <w:t xml:space="preserve">is thematic assessment </w:t>
      </w:r>
      <w:r w:rsidRPr="00655798">
        <w:t>is to critically evaluate available knowledge</w:t>
      </w:r>
      <w:r>
        <w:t xml:space="preserve"> on</w:t>
      </w:r>
      <w:r w:rsidRPr="00655798">
        <w:t xml:space="preserve"> </w:t>
      </w:r>
      <w:r>
        <w:t>t</w:t>
      </w:r>
      <w:r w:rsidRPr="00655798">
        <w:t xml:space="preserve">he extent, causes and processes of land degradation, and the consequences for biodiversity and people; on </w:t>
      </w:r>
      <w:r>
        <w:t xml:space="preserve">the </w:t>
      </w:r>
      <w:r w:rsidRPr="00655798">
        <w:t>responses to avoid land degradation and restore degraded lands; on a range of plausible development scenarios and their implications for land degradation and restoration; and on decision support for addressing land degradation problems and restoring degraded land. The assessment encompasses all the terrestrial regions and biomes of the world, recognizing that land degradation drivers and processes can vary in severity within regions and countries as much as between them. The assessment encompasses the full range of human-altered systems, including but not limited to drylands, agricultural and agroforestry systems, savannahs and forests and aquatic syste</w:t>
      </w:r>
      <w:r>
        <w:t>ms associated with these areas.</w:t>
      </w:r>
    </w:p>
    <w:p w14:paraId="721108C4" w14:textId="77777777" w:rsidR="00D2127B" w:rsidRPr="004144AD" w:rsidRDefault="00D2127B" w:rsidP="00F07487">
      <w:pPr>
        <w:pStyle w:val="Normalnumber"/>
        <w:numPr>
          <w:ilvl w:val="0"/>
          <w:numId w:val="17"/>
        </w:numPr>
        <w:tabs>
          <w:tab w:val="clear" w:pos="1134"/>
          <w:tab w:val="clear" w:pos="1247"/>
          <w:tab w:val="clear" w:pos="1871"/>
          <w:tab w:val="clear" w:pos="2495"/>
        </w:tabs>
      </w:pPr>
      <w:r w:rsidRPr="004144AD">
        <w:t>The overall objective of the</w:t>
      </w:r>
      <w:r>
        <w:t xml:space="preserve"> thematic assessment of</w:t>
      </w:r>
      <w:r w:rsidRPr="004144AD">
        <w:t xml:space="preserve"> land degradation and restoration is to provide the information and guidance necessary to support stakeholders working at all levels to reduce the negative environmental, social and economic consequences of land degradation and to rehabilitate and restore degraded land to aid the recovery of nature’s </w:t>
      </w:r>
      <w:r>
        <w:t>contributions</w:t>
      </w:r>
      <w:r w:rsidRPr="004144AD">
        <w:t xml:space="preserve"> to people. </w:t>
      </w:r>
    </w:p>
    <w:p w14:paraId="128A42D7" w14:textId="77777777" w:rsidR="00D2127B" w:rsidRPr="004D402B" w:rsidRDefault="00D2127B" w:rsidP="00F07487">
      <w:pPr>
        <w:pStyle w:val="Normalnumber"/>
        <w:numPr>
          <w:ilvl w:val="0"/>
          <w:numId w:val="17"/>
        </w:numPr>
        <w:tabs>
          <w:tab w:val="clear" w:pos="1134"/>
          <w:tab w:val="clear" w:pos="1247"/>
          <w:tab w:val="clear" w:pos="1871"/>
          <w:tab w:val="clear" w:pos="2495"/>
        </w:tabs>
      </w:pPr>
      <w:r>
        <w:t>This thematic assessment was carried out by a team of interdisciplinary experts over a period of three years between 2015 and 2018. The summary for policymakers of this assessment is presented for approval at the sixth session of the Plenary (see IPBES-6/3) and the</w:t>
      </w:r>
      <w:r w:rsidRPr="00E86DBA">
        <w:t xml:space="preserve"> </w:t>
      </w:r>
      <w:r>
        <w:t>eight</w:t>
      </w:r>
      <w:r w:rsidRPr="00E86DBA">
        <w:t xml:space="preserve"> chapters and their executive summaries</w:t>
      </w:r>
      <w:r>
        <w:t xml:space="preserve"> (IPBES-6/INF/1) for acceptance. The complete document is composed of the summary for policymakers together with the eight chapters and is referred to as ‘the assessment report’. </w:t>
      </w:r>
    </w:p>
    <w:p w14:paraId="5D32DA7E" w14:textId="2E213779" w:rsidR="00D2127B" w:rsidRPr="004D402B" w:rsidRDefault="008C1922" w:rsidP="008C1922">
      <w:pPr>
        <w:pStyle w:val="CH1"/>
      </w:pPr>
      <w:r>
        <w:tab/>
        <w:t>II.</w:t>
      </w:r>
      <w:r>
        <w:tab/>
      </w:r>
      <w:r w:rsidR="00D2127B" w:rsidRPr="004D402B">
        <w:t>The assessment team</w:t>
      </w:r>
    </w:p>
    <w:p w14:paraId="02F4E9F2" w14:textId="77777777" w:rsidR="00D2127B" w:rsidRPr="004D402B" w:rsidRDefault="00D2127B" w:rsidP="00D2127B">
      <w:pPr>
        <w:pStyle w:val="CH2"/>
      </w:pPr>
      <w:r w:rsidRPr="004D402B">
        <w:tab/>
        <w:t>A.</w:t>
      </w:r>
      <w:r w:rsidRPr="004D402B">
        <w:tab/>
        <w:t>Dedicated Multidisciplinary Expert Panel</w:t>
      </w:r>
      <w:r>
        <w:t xml:space="preserve"> </w:t>
      </w:r>
      <w:r w:rsidRPr="004D402B">
        <w:t>and Bureau members</w:t>
      </w:r>
    </w:p>
    <w:p w14:paraId="08BF980C" w14:textId="77777777" w:rsidR="00D2127B" w:rsidRPr="00140102" w:rsidRDefault="00D2127B" w:rsidP="00F07487">
      <w:pPr>
        <w:pStyle w:val="Normalnumber"/>
        <w:numPr>
          <w:ilvl w:val="0"/>
          <w:numId w:val="17"/>
        </w:numPr>
        <w:tabs>
          <w:tab w:val="clear" w:pos="1134"/>
          <w:tab w:val="clear" w:pos="1247"/>
          <w:tab w:val="clear" w:pos="1871"/>
          <w:tab w:val="clear" w:pos="2495"/>
        </w:tabs>
      </w:pPr>
      <w:r w:rsidRPr="004C49B2">
        <w:t xml:space="preserve">In accordance with the rules of procedure for </w:t>
      </w:r>
      <w:r>
        <w:t>the preparation of the</w:t>
      </w:r>
      <w:r w:rsidRPr="004C49B2">
        <w:t xml:space="preserve"> Platform</w:t>
      </w:r>
      <w:r>
        <w:t>’s deliverables (d</w:t>
      </w:r>
      <w:r w:rsidRPr="005814D3">
        <w:t>ecision IPBES-</w:t>
      </w:r>
      <w:r>
        <w:t>3</w:t>
      </w:r>
      <w:r w:rsidRPr="005814D3">
        <w:t>/3, annex</w:t>
      </w:r>
      <w:r>
        <w:t xml:space="preserve"> I)</w:t>
      </w:r>
      <w:r w:rsidRPr="004C49B2">
        <w:t xml:space="preserve">, </w:t>
      </w:r>
      <w:r>
        <w:t xml:space="preserve">the following dedicated </w:t>
      </w:r>
      <w:r w:rsidRPr="004C49B2">
        <w:t xml:space="preserve">members of the </w:t>
      </w:r>
      <w:r w:rsidRPr="005814D3">
        <w:t>Mul</w:t>
      </w:r>
      <w:r w:rsidRPr="004C49B2">
        <w:t>tidisciplinary Expert Panel and Bureau overs</w:t>
      </w:r>
      <w:r>
        <w:t>aw</w:t>
      </w:r>
      <w:r w:rsidRPr="004C49B2">
        <w:t xml:space="preserve"> the </w:t>
      </w:r>
      <w:r>
        <w:t xml:space="preserve">production of the assessment </w:t>
      </w:r>
      <w:r w:rsidRPr="004C49B2">
        <w:t>report</w:t>
      </w:r>
      <w:r>
        <w:t xml:space="preserve">: </w:t>
      </w:r>
    </w:p>
    <w:p w14:paraId="3938C181" w14:textId="77777777" w:rsidR="00D2127B" w:rsidRPr="00D70FBF" w:rsidRDefault="00D2127B" w:rsidP="00F07487">
      <w:pPr>
        <w:pStyle w:val="NormalNonumber"/>
        <w:tabs>
          <w:tab w:val="clear" w:pos="1247"/>
          <w:tab w:val="clear" w:pos="1814"/>
          <w:tab w:val="clear" w:pos="2381"/>
          <w:tab w:val="clear" w:pos="2948"/>
          <w:tab w:val="clear" w:pos="3515"/>
          <w:tab w:val="clear" w:pos="4082"/>
          <w:tab w:val="left" w:pos="624"/>
        </w:tabs>
        <w:ind w:left="2495" w:hanging="624"/>
      </w:pPr>
      <w:r w:rsidRPr="00D70FBF">
        <w:t xml:space="preserve">Rashad </w:t>
      </w:r>
      <w:proofErr w:type="spellStart"/>
      <w:r w:rsidRPr="00D70FBF">
        <w:t>Zabid</w:t>
      </w:r>
      <w:proofErr w:type="spellEnd"/>
      <w:r w:rsidRPr="00D70FBF">
        <w:t xml:space="preserve"> </w:t>
      </w:r>
      <w:proofErr w:type="spellStart"/>
      <w:r w:rsidRPr="00D70FBF">
        <w:t>Oglu</w:t>
      </w:r>
      <w:proofErr w:type="spellEnd"/>
      <w:r w:rsidRPr="00D70FBF">
        <w:t xml:space="preserve"> </w:t>
      </w:r>
      <w:proofErr w:type="spellStart"/>
      <w:r w:rsidRPr="00D70FBF">
        <w:t>Allahverdiyev</w:t>
      </w:r>
      <w:proofErr w:type="spellEnd"/>
      <w:r w:rsidRPr="00D70FBF">
        <w:t xml:space="preserve"> (Bureau member)</w:t>
      </w:r>
    </w:p>
    <w:p w14:paraId="516444B9" w14:textId="77777777" w:rsidR="00D2127B" w:rsidRPr="00D70FBF" w:rsidRDefault="00D2127B" w:rsidP="00F07487">
      <w:pPr>
        <w:pStyle w:val="NormalNonumber"/>
        <w:tabs>
          <w:tab w:val="clear" w:pos="1247"/>
          <w:tab w:val="clear" w:pos="1814"/>
          <w:tab w:val="clear" w:pos="2381"/>
          <w:tab w:val="clear" w:pos="2948"/>
          <w:tab w:val="clear" w:pos="3515"/>
          <w:tab w:val="clear" w:pos="4082"/>
          <w:tab w:val="left" w:pos="624"/>
        </w:tabs>
        <w:ind w:left="2495" w:hanging="624"/>
      </w:pPr>
      <w:r w:rsidRPr="00D70FBF">
        <w:t>Fundisile Goodman Mketeni (Bureau member)</w:t>
      </w:r>
    </w:p>
    <w:p w14:paraId="0EAD5A15" w14:textId="77777777" w:rsidR="00D2127B" w:rsidRPr="00D70FBF" w:rsidRDefault="00D2127B" w:rsidP="00F07487">
      <w:pPr>
        <w:pStyle w:val="NormalNonumber"/>
        <w:tabs>
          <w:tab w:val="clear" w:pos="1247"/>
          <w:tab w:val="clear" w:pos="1814"/>
          <w:tab w:val="clear" w:pos="2381"/>
          <w:tab w:val="clear" w:pos="2948"/>
          <w:tab w:val="clear" w:pos="3515"/>
          <w:tab w:val="clear" w:pos="4082"/>
          <w:tab w:val="left" w:pos="624"/>
        </w:tabs>
        <w:ind w:left="2495" w:hanging="624"/>
      </w:pPr>
      <w:proofErr w:type="spellStart"/>
      <w:r w:rsidRPr="00D70FBF">
        <w:t>Günay</w:t>
      </w:r>
      <w:proofErr w:type="spellEnd"/>
      <w:r w:rsidRPr="00D70FBF">
        <w:t xml:space="preserve"> </w:t>
      </w:r>
      <w:proofErr w:type="spellStart"/>
      <w:r w:rsidRPr="00D70FBF">
        <w:t>Erpul</w:t>
      </w:r>
      <w:proofErr w:type="spellEnd"/>
      <w:r w:rsidRPr="00D70FBF">
        <w:t xml:space="preserve"> (</w:t>
      </w:r>
      <w:r w:rsidRPr="004D402B">
        <w:t>Multidisciplinary Expert Panel</w:t>
      </w:r>
      <w:r>
        <w:t xml:space="preserve"> member</w:t>
      </w:r>
      <w:r w:rsidRPr="00D70FBF">
        <w:t>)</w:t>
      </w:r>
    </w:p>
    <w:p w14:paraId="2B65882F" w14:textId="77777777" w:rsidR="00D2127B" w:rsidRPr="00D70FBF" w:rsidRDefault="00D2127B" w:rsidP="00F07487">
      <w:pPr>
        <w:pStyle w:val="NormalNonumber"/>
        <w:tabs>
          <w:tab w:val="clear" w:pos="1247"/>
          <w:tab w:val="clear" w:pos="1814"/>
          <w:tab w:val="clear" w:pos="2381"/>
          <w:tab w:val="clear" w:pos="2948"/>
          <w:tab w:val="clear" w:pos="3515"/>
          <w:tab w:val="clear" w:pos="4082"/>
          <w:tab w:val="left" w:pos="624"/>
        </w:tabs>
        <w:ind w:left="2495" w:hanging="624"/>
      </w:pPr>
      <w:r w:rsidRPr="00D70FBF">
        <w:t>Yi Huang (</w:t>
      </w:r>
      <w:r w:rsidRPr="004D402B">
        <w:t>Multidisciplinary Expert Panel</w:t>
      </w:r>
      <w:r>
        <w:t xml:space="preserve"> member</w:t>
      </w:r>
      <w:r w:rsidRPr="00D70FBF">
        <w:t xml:space="preserve">) </w:t>
      </w:r>
    </w:p>
    <w:p w14:paraId="71264185" w14:textId="77777777" w:rsidR="00D2127B" w:rsidRPr="00D70FBF" w:rsidRDefault="00D2127B" w:rsidP="00F07487">
      <w:pPr>
        <w:pStyle w:val="NormalNonumber"/>
        <w:tabs>
          <w:tab w:val="clear" w:pos="1247"/>
          <w:tab w:val="clear" w:pos="1814"/>
          <w:tab w:val="clear" w:pos="2381"/>
          <w:tab w:val="clear" w:pos="2948"/>
          <w:tab w:val="clear" w:pos="3515"/>
          <w:tab w:val="clear" w:pos="4082"/>
          <w:tab w:val="left" w:pos="624"/>
        </w:tabs>
        <w:ind w:left="2495" w:hanging="624"/>
      </w:pPr>
      <w:r w:rsidRPr="00D70FBF">
        <w:t>Marie Roué (</w:t>
      </w:r>
      <w:r w:rsidRPr="004D402B">
        <w:t>Multidisciplinary Expert Panel</w:t>
      </w:r>
      <w:r>
        <w:t xml:space="preserve"> member</w:t>
      </w:r>
      <w:r w:rsidRPr="00D70FBF">
        <w:t>)</w:t>
      </w:r>
    </w:p>
    <w:p w14:paraId="63AC9256" w14:textId="77777777" w:rsidR="00D2127B" w:rsidRDefault="00D2127B" w:rsidP="00F07487">
      <w:pPr>
        <w:pStyle w:val="NormalNonumber"/>
        <w:tabs>
          <w:tab w:val="clear" w:pos="1247"/>
          <w:tab w:val="clear" w:pos="1814"/>
          <w:tab w:val="clear" w:pos="2381"/>
          <w:tab w:val="clear" w:pos="2948"/>
          <w:tab w:val="clear" w:pos="3515"/>
          <w:tab w:val="clear" w:pos="4082"/>
          <w:tab w:val="left" w:pos="624"/>
        </w:tabs>
        <w:ind w:left="2495" w:hanging="624"/>
      </w:pPr>
      <w:r w:rsidRPr="00D70FBF">
        <w:t>Leng Guan Saw (</w:t>
      </w:r>
      <w:r w:rsidRPr="004D402B">
        <w:t>Multidisciplinary Expert Panel</w:t>
      </w:r>
      <w:r>
        <w:t xml:space="preserve"> member</w:t>
      </w:r>
      <w:r w:rsidRPr="00D70FBF">
        <w:t>)</w:t>
      </w:r>
    </w:p>
    <w:p w14:paraId="6E76D35E" w14:textId="77777777" w:rsidR="00D2127B" w:rsidRPr="00D70FBF" w:rsidRDefault="00D2127B" w:rsidP="00F07487">
      <w:pPr>
        <w:pStyle w:val="Normalnumber"/>
        <w:numPr>
          <w:ilvl w:val="0"/>
          <w:numId w:val="17"/>
        </w:numPr>
        <w:tabs>
          <w:tab w:val="clear" w:pos="1134"/>
          <w:tab w:val="clear" w:pos="1247"/>
          <w:tab w:val="clear" w:pos="1871"/>
          <w:tab w:val="clear" w:pos="2495"/>
        </w:tabs>
      </w:pPr>
      <w:r w:rsidRPr="00924984">
        <w:t xml:space="preserve">The management committee </w:t>
      </w:r>
      <w:r>
        <w:t xml:space="preserve">for the assessment consisted </w:t>
      </w:r>
      <w:r w:rsidRPr="00924984">
        <w:t xml:space="preserve">of the Multidisciplinary Expert Panel and Bureau members mentioned above, the co-chairs of the assessment, the staff member of the technical support unit, as well as a representative of the IPBES secretariat. Management committee meetings </w:t>
      </w:r>
      <w:r>
        <w:t>were</w:t>
      </w:r>
      <w:r w:rsidRPr="00924984">
        <w:t xml:space="preserve"> held, usually remotely, at regular intervals. </w:t>
      </w:r>
    </w:p>
    <w:p w14:paraId="5F97AD17" w14:textId="77777777" w:rsidR="00D2127B" w:rsidRPr="004D402B" w:rsidRDefault="00D2127B" w:rsidP="00D2127B">
      <w:pPr>
        <w:pStyle w:val="CH2"/>
      </w:pPr>
      <w:r w:rsidRPr="004D402B">
        <w:tab/>
        <w:t>B.</w:t>
      </w:r>
      <w:r w:rsidRPr="004D402B">
        <w:tab/>
        <w:t xml:space="preserve">The </w:t>
      </w:r>
      <w:r>
        <w:t>expert group of the land degradation and restoration assessment</w:t>
      </w:r>
    </w:p>
    <w:p w14:paraId="58D83394" w14:textId="77777777" w:rsidR="00D2127B" w:rsidRDefault="00D2127B" w:rsidP="00F07487">
      <w:pPr>
        <w:pStyle w:val="Normalnumber"/>
        <w:numPr>
          <w:ilvl w:val="0"/>
          <w:numId w:val="17"/>
        </w:numPr>
        <w:tabs>
          <w:tab w:val="clear" w:pos="1134"/>
          <w:tab w:val="clear" w:pos="1247"/>
          <w:tab w:val="clear" w:pos="1871"/>
          <w:tab w:val="clear" w:pos="2495"/>
        </w:tabs>
      </w:pPr>
      <w:r>
        <w:t>The assessment expert group was led by two co-chairs, who</w:t>
      </w:r>
      <w:r w:rsidRPr="00B7739A">
        <w:t xml:space="preserve"> overs</w:t>
      </w:r>
      <w:r>
        <w:t>aw</w:t>
      </w:r>
      <w:r w:rsidRPr="00B7739A">
        <w:t xml:space="preserve"> the preparation of </w:t>
      </w:r>
      <w:r>
        <w:t>the</w:t>
      </w:r>
      <w:r w:rsidRPr="00B7739A">
        <w:t xml:space="preserve"> assessment report</w:t>
      </w:r>
      <w:r>
        <w:t xml:space="preserve"> </w:t>
      </w:r>
      <w:r w:rsidRPr="00B7739A">
        <w:t>and ensur</w:t>
      </w:r>
      <w:r>
        <w:t>ed</w:t>
      </w:r>
      <w:r w:rsidRPr="00B7739A">
        <w:t xml:space="preserve"> that </w:t>
      </w:r>
      <w:r>
        <w:t>it</w:t>
      </w:r>
      <w:r w:rsidRPr="00B7739A">
        <w:t xml:space="preserve"> </w:t>
      </w:r>
      <w:r>
        <w:t>was</w:t>
      </w:r>
      <w:r w:rsidRPr="00B7739A">
        <w:t xml:space="preserve"> completed to a high standard.</w:t>
      </w:r>
      <w:r>
        <w:t xml:space="preserve"> Each chapter was coordinated by two to three coordinating lead authors (CLA), and produced by a group of lead authors (LA), who were responsible for various parts of the chapter. Each chapter had two review editors, who ensured that all substantive comments were afforded appropriate consideration and advised lead authors on how to handle controversial issues, if any existed. This team of experts was complemented by at least one fellow per chapter. Fellows were</w:t>
      </w:r>
      <w:r w:rsidRPr="00B7739A">
        <w:t xml:space="preserve"> experts in the early stages of their careers</w:t>
      </w:r>
      <w:r>
        <w:t xml:space="preserve">, who </w:t>
      </w:r>
      <w:r w:rsidRPr="00B7739A">
        <w:t>collaborate</w:t>
      </w:r>
      <w:r>
        <w:t>d</w:t>
      </w:r>
      <w:r w:rsidRPr="00B7739A">
        <w:t xml:space="preserve"> with the </w:t>
      </w:r>
      <w:r>
        <w:t>coordinating lead authors</w:t>
      </w:r>
      <w:r w:rsidRPr="00B7739A">
        <w:t xml:space="preserve"> and </w:t>
      </w:r>
      <w:r>
        <w:t>lead authors</w:t>
      </w:r>
      <w:r w:rsidRPr="00B7739A">
        <w:t xml:space="preserve"> in developing sections of the chapters</w:t>
      </w:r>
      <w:r>
        <w:t>, under the guidance of one of the experts who acted as their mentor</w:t>
      </w:r>
      <w:r w:rsidRPr="00B7739A">
        <w:t>.</w:t>
      </w:r>
      <w:r>
        <w:t xml:space="preserve">  </w:t>
      </w:r>
    </w:p>
    <w:p w14:paraId="793FA801" w14:textId="77777777" w:rsidR="00D2127B" w:rsidRDefault="00D2127B" w:rsidP="00F07487">
      <w:pPr>
        <w:pStyle w:val="Normalnumber"/>
        <w:numPr>
          <w:ilvl w:val="0"/>
          <w:numId w:val="17"/>
        </w:numPr>
        <w:tabs>
          <w:tab w:val="clear" w:pos="1134"/>
          <w:tab w:val="clear" w:pos="1247"/>
          <w:tab w:val="clear" w:pos="1871"/>
          <w:tab w:val="clear" w:pos="2495"/>
        </w:tabs>
      </w:pPr>
      <w:r>
        <w:lastRenderedPageBreak/>
        <w:t xml:space="preserve">The co-chairs, and most of the coordinating lead authors and lead authors were selected in 2015 from the original pool of nominations for experts made by Governments and stakeholders (please see IPBES/4/INF/11). Additional coordinating lead authors and lead authors were selected using the </w:t>
      </w:r>
      <w:r w:rsidRPr="002C3B56">
        <w:t>p</w:t>
      </w:r>
      <w:r w:rsidRPr="00B70C40">
        <w:t>rocedure for filling gaps in the availability of experts</w:t>
      </w:r>
      <w:r w:rsidRPr="00F07487">
        <w:t xml:space="preserve"> </w:t>
      </w:r>
      <w:r w:rsidRPr="00BF67C7">
        <w:t>(annex I to decision IPBES-4/3)</w:t>
      </w:r>
      <w:r>
        <w:t>, in order to reach a satisfactory gender, geographical and disciplinary balance</w:t>
      </w:r>
      <w:r w:rsidRPr="0056641D">
        <w:t>.</w:t>
      </w:r>
      <w:r w:rsidRPr="006C79FC">
        <w:t xml:space="preserve"> </w:t>
      </w:r>
      <w:r>
        <w:t>This procedure was also used to select review editors, over the course of 2016, and to replace a small number of experts who were asked to resign by the co-chairs, on behalf of the management committee, because they were unable to make their contribution as planned. Fellows were selected, through a separate application process.</w:t>
      </w:r>
    </w:p>
    <w:p w14:paraId="1A1D1624" w14:textId="00669292" w:rsidR="00D2127B" w:rsidRDefault="00D2127B" w:rsidP="00F07487">
      <w:pPr>
        <w:pStyle w:val="Normalnumber"/>
        <w:numPr>
          <w:ilvl w:val="0"/>
          <w:numId w:val="17"/>
        </w:numPr>
        <w:tabs>
          <w:tab w:val="clear" w:pos="1134"/>
          <w:tab w:val="clear" w:pos="1247"/>
          <w:tab w:val="clear" w:pos="1871"/>
          <w:tab w:val="clear" w:pos="2495"/>
        </w:tabs>
      </w:pPr>
      <w:r>
        <w:t>The following table provides information on the number of experts selected for this assessment. A total of 99 experts prepared the report, including 22 nominated using the gap filling procedure, and excluding 20 who resigned over the course of the assessment. The full list of all experts is provided on the IPBES website:</w:t>
      </w:r>
    </w:p>
    <w:tbl>
      <w:tblPr>
        <w:tblStyle w:val="TableGrid"/>
        <w:tblW w:w="0" w:type="auto"/>
        <w:tblInd w:w="1247" w:type="dxa"/>
        <w:tblLook w:val="04A0" w:firstRow="1" w:lastRow="0" w:firstColumn="1" w:lastColumn="0" w:noHBand="0" w:noVBand="1"/>
      </w:tblPr>
      <w:tblGrid>
        <w:gridCol w:w="731"/>
        <w:gridCol w:w="563"/>
        <w:gridCol w:w="467"/>
        <w:gridCol w:w="929"/>
        <w:gridCol w:w="765"/>
        <w:gridCol w:w="1667"/>
        <w:gridCol w:w="1157"/>
        <w:gridCol w:w="1960"/>
      </w:tblGrid>
      <w:tr w:rsidR="00D2127B" w:rsidRPr="00C11089" w14:paraId="74FDB7FC" w14:textId="77777777" w:rsidTr="001A1BC2">
        <w:tc>
          <w:tcPr>
            <w:tcW w:w="0" w:type="auto"/>
            <w:gridSpan w:val="8"/>
          </w:tcPr>
          <w:p w14:paraId="07A6313D" w14:textId="77777777" w:rsidR="00D2127B" w:rsidRPr="00F07487" w:rsidRDefault="00D2127B" w:rsidP="00F07487">
            <w:pPr>
              <w:pStyle w:val="Normal-pool"/>
              <w:spacing w:before="120" w:after="120"/>
              <w:rPr>
                <w:rFonts w:ascii="Times New Roman" w:hAnsi="Times New Roman" w:cs="Times New Roman"/>
                <w:b/>
                <w:sz w:val="18"/>
                <w:szCs w:val="18"/>
              </w:rPr>
            </w:pPr>
            <w:bookmarkStart w:id="2" w:name="_Hlk503529205"/>
            <w:r w:rsidRPr="00F07487">
              <w:rPr>
                <w:rFonts w:eastAsia="Times New Roman" w:cs="Times New Roman"/>
                <w:b/>
                <w:sz w:val="18"/>
                <w:szCs w:val="18"/>
              </w:rPr>
              <w:t xml:space="preserve">Table 1. Number of experts involved in the thematic assessment of land degradation and restoration </w:t>
            </w:r>
          </w:p>
          <w:p w14:paraId="0DBBB439" w14:textId="77777777" w:rsidR="00D2127B" w:rsidRPr="00F07487" w:rsidRDefault="00D2127B" w:rsidP="00F07487">
            <w:pPr>
              <w:pStyle w:val="Normal-pool"/>
              <w:spacing w:before="120" w:after="120"/>
              <w:rPr>
                <w:rFonts w:ascii="Times New Roman" w:hAnsi="Times New Roman" w:cs="Times New Roman"/>
                <w:sz w:val="18"/>
                <w:szCs w:val="18"/>
              </w:rPr>
            </w:pPr>
            <w:r w:rsidRPr="00F07487">
              <w:rPr>
                <w:rFonts w:eastAsia="Times New Roman" w:cs="Times New Roman"/>
                <w:sz w:val="18"/>
                <w:szCs w:val="18"/>
              </w:rPr>
              <w:t xml:space="preserve">Co-chairs: Luca </w:t>
            </w:r>
            <w:proofErr w:type="spellStart"/>
            <w:r w:rsidRPr="00F07487">
              <w:rPr>
                <w:rFonts w:eastAsia="Times New Roman" w:cs="Times New Roman"/>
                <w:sz w:val="18"/>
                <w:szCs w:val="18"/>
              </w:rPr>
              <w:t>Montanarella</w:t>
            </w:r>
            <w:proofErr w:type="spellEnd"/>
            <w:r w:rsidRPr="00F07487">
              <w:rPr>
                <w:rFonts w:eastAsia="Times New Roman" w:cs="Times New Roman"/>
                <w:sz w:val="18"/>
                <w:szCs w:val="18"/>
              </w:rPr>
              <w:t xml:space="preserve"> (FAO/Italy) and Robert Scholes (South Africa) </w:t>
            </w:r>
          </w:p>
        </w:tc>
      </w:tr>
      <w:tr w:rsidR="00D2127B" w:rsidRPr="00C11089" w14:paraId="0D092960" w14:textId="77777777" w:rsidTr="001A1BC2">
        <w:tc>
          <w:tcPr>
            <w:tcW w:w="0" w:type="auto"/>
          </w:tcPr>
          <w:p w14:paraId="4488311D" w14:textId="77777777" w:rsidR="00D2127B" w:rsidRPr="00F07487" w:rsidRDefault="00D2127B" w:rsidP="00F07487">
            <w:pPr>
              <w:pStyle w:val="Normal-pool"/>
              <w:spacing w:before="120" w:after="120"/>
              <w:rPr>
                <w:rFonts w:ascii="Times New Roman" w:hAnsi="Times New Roman" w:cs="Times New Roman"/>
                <w:sz w:val="18"/>
                <w:szCs w:val="18"/>
              </w:rPr>
            </w:pPr>
            <w:r w:rsidRPr="00F07487">
              <w:rPr>
                <w:rFonts w:eastAsia="Times New Roman" w:cs="Times New Roman"/>
                <w:sz w:val="18"/>
                <w:szCs w:val="18"/>
              </w:rPr>
              <w:t>Co-chairs</w:t>
            </w:r>
          </w:p>
        </w:tc>
        <w:tc>
          <w:tcPr>
            <w:tcW w:w="0" w:type="auto"/>
          </w:tcPr>
          <w:p w14:paraId="37D0F509" w14:textId="77777777" w:rsidR="00D2127B" w:rsidRPr="00F07487" w:rsidRDefault="00D2127B" w:rsidP="00F07487">
            <w:pPr>
              <w:pStyle w:val="Normal-pool"/>
              <w:spacing w:before="120" w:after="120"/>
              <w:rPr>
                <w:rFonts w:ascii="Times New Roman" w:hAnsi="Times New Roman" w:cs="Times New Roman"/>
                <w:sz w:val="18"/>
                <w:szCs w:val="18"/>
              </w:rPr>
            </w:pPr>
            <w:r w:rsidRPr="00F07487">
              <w:rPr>
                <w:rFonts w:eastAsia="Times New Roman" w:cs="Times New Roman"/>
                <w:sz w:val="18"/>
                <w:szCs w:val="18"/>
              </w:rPr>
              <w:t>CLAs</w:t>
            </w:r>
          </w:p>
        </w:tc>
        <w:tc>
          <w:tcPr>
            <w:tcW w:w="0" w:type="auto"/>
          </w:tcPr>
          <w:p w14:paraId="66552964" w14:textId="77777777" w:rsidR="00D2127B" w:rsidRPr="00F07487" w:rsidRDefault="00D2127B" w:rsidP="00F07487">
            <w:pPr>
              <w:pStyle w:val="Normal-pool"/>
              <w:spacing w:before="120" w:after="120"/>
              <w:rPr>
                <w:rFonts w:ascii="Times New Roman" w:hAnsi="Times New Roman" w:cs="Times New Roman"/>
                <w:sz w:val="18"/>
                <w:szCs w:val="18"/>
              </w:rPr>
            </w:pPr>
            <w:r w:rsidRPr="00F07487">
              <w:rPr>
                <w:rFonts w:eastAsia="Times New Roman" w:cs="Times New Roman"/>
                <w:sz w:val="18"/>
                <w:szCs w:val="18"/>
              </w:rPr>
              <w:t>LAs</w:t>
            </w:r>
          </w:p>
        </w:tc>
        <w:tc>
          <w:tcPr>
            <w:tcW w:w="0" w:type="auto"/>
          </w:tcPr>
          <w:p w14:paraId="6C21DA56" w14:textId="77777777" w:rsidR="00D2127B" w:rsidRPr="00F07487" w:rsidRDefault="00D2127B" w:rsidP="00F07487">
            <w:pPr>
              <w:pStyle w:val="Normal-pool"/>
              <w:spacing w:before="120" w:after="120"/>
              <w:rPr>
                <w:rFonts w:ascii="Times New Roman" w:hAnsi="Times New Roman" w:cs="Times New Roman"/>
                <w:sz w:val="18"/>
                <w:szCs w:val="18"/>
              </w:rPr>
            </w:pPr>
            <w:r w:rsidRPr="00F07487">
              <w:rPr>
                <w:rFonts w:eastAsia="Times New Roman" w:cs="Times New Roman"/>
                <w:sz w:val="18"/>
                <w:szCs w:val="18"/>
              </w:rPr>
              <w:t>Review editors</w:t>
            </w:r>
          </w:p>
        </w:tc>
        <w:tc>
          <w:tcPr>
            <w:tcW w:w="0" w:type="auto"/>
          </w:tcPr>
          <w:p w14:paraId="69C1FC7E" w14:textId="77777777" w:rsidR="00D2127B" w:rsidRPr="00F07487" w:rsidRDefault="00D2127B" w:rsidP="00F07487">
            <w:pPr>
              <w:pStyle w:val="Normal-pool"/>
              <w:spacing w:before="120" w:after="120"/>
              <w:rPr>
                <w:rFonts w:ascii="Times New Roman" w:hAnsi="Times New Roman" w:cs="Times New Roman"/>
                <w:sz w:val="18"/>
                <w:szCs w:val="18"/>
              </w:rPr>
            </w:pPr>
            <w:r w:rsidRPr="00F07487">
              <w:rPr>
                <w:rFonts w:eastAsia="Times New Roman" w:cs="Times New Roman"/>
                <w:sz w:val="18"/>
                <w:szCs w:val="18"/>
              </w:rPr>
              <w:t>Fellows</w:t>
            </w:r>
          </w:p>
        </w:tc>
        <w:tc>
          <w:tcPr>
            <w:tcW w:w="0" w:type="auto"/>
          </w:tcPr>
          <w:p w14:paraId="5200534D" w14:textId="77777777" w:rsidR="00D2127B" w:rsidRPr="00F07487" w:rsidRDefault="00D2127B" w:rsidP="00F07487">
            <w:pPr>
              <w:pStyle w:val="Normal-pool"/>
              <w:spacing w:before="120" w:after="120"/>
              <w:rPr>
                <w:rFonts w:ascii="Times New Roman" w:hAnsi="Times New Roman" w:cs="Times New Roman"/>
                <w:sz w:val="18"/>
                <w:szCs w:val="18"/>
              </w:rPr>
            </w:pPr>
            <w:r w:rsidRPr="00F07487">
              <w:rPr>
                <w:rFonts w:eastAsia="Times New Roman" w:cs="Times New Roman"/>
                <w:sz w:val="18"/>
                <w:szCs w:val="18"/>
              </w:rPr>
              <w:t xml:space="preserve">Total number of experts including fellows </w:t>
            </w:r>
          </w:p>
        </w:tc>
        <w:tc>
          <w:tcPr>
            <w:tcW w:w="0" w:type="auto"/>
          </w:tcPr>
          <w:p w14:paraId="71888F88" w14:textId="77777777" w:rsidR="00D2127B" w:rsidRPr="00F07487" w:rsidRDefault="00D2127B" w:rsidP="00F07487">
            <w:pPr>
              <w:pStyle w:val="Normal-pool"/>
              <w:spacing w:before="120" w:after="120"/>
              <w:rPr>
                <w:rFonts w:ascii="Times New Roman" w:hAnsi="Times New Roman" w:cs="Times New Roman"/>
                <w:sz w:val="18"/>
                <w:szCs w:val="18"/>
              </w:rPr>
            </w:pPr>
            <w:r w:rsidRPr="00F07487">
              <w:rPr>
                <w:rFonts w:eastAsia="Times New Roman" w:cs="Times New Roman"/>
                <w:sz w:val="18"/>
                <w:szCs w:val="18"/>
              </w:rPr>
              <w:t>Experts who resigned</w:t>
            </w:r>
          </w:p>
        </w:tc>
        <w:tc>
          <w:tcPr>
            <w:tcW w:w="0" w:type="auto"/>
          </w:tcPr>
          <w:p w14:paraId="1EF73717" w14:textId="77777777" w:rsidR="00D2127B" w:rsidRPr="00F07487" w:rsidRDefault="00D2127B" w:rsidP="00F07487">
            <w:pPr>
              <w:pStyle w:val="Normal-pool"/>
              <w:spacing w:before="120" w:after="120"/>
              <w:rPr>
                <w:rFonts w:ascii="Times New Roman" w:hAnsi="Times New Roman" w:cs="Times New Roman"/>
                <w:sz w:val="18"/>
                <w:szCs w:val="18"/>
              </w:rPr>
            </w:pPr>
            <w:r w:rsidRPr="00F07487">
              <w:rPr>
                <w:rFonts w:eastAsia="Times New Roman" w:cs="Times New Roman"/>
                <w:sz w:val="18"/>
                <w:szCs w:val="18"/>
              </w:rPr>
              <w:t>Experts nominated using the gap filling procedure</w:t>
            </w:r>
          </w:p>
        </w:tc>
      </w:tr>
      <w:tr w:rsidR="00D2127B" w:rsidRPr="00C11089" w14:paraId="64DFA29E" w14:textId="77777777" w:rsidTr="001A1BC2">
        <w:tc>
          <w:tcPr>
            <w:tcW w:w="0" w:type="auto"/>
          </w:tcPr>
          <w:p w14:paraId="33850E4F" w14:textId="77777777" w:rsidR="00D2127B" w:rsidRPr="00F07487" w:rsidRDefault="00D2127B" w:rsidP="00F07487">
            <w:pPr>
              <w:pStyle w:val="Normal-pool"/>
              <w:spacing w:before="120" w:after="120"/>
              <w:rPr>
                <w:rFonts w:ascii="Times New Roman" w:hAnsi="Times New Roman" w:cs="Times New Roman"/>
                <w:sz w:val="18"/>
                <w:szCs w:val="18"/>
              </w:rPr>
            </w:pPr>
            <w:r w:rsidRPr="00F07487">
              <w:rPr>
                <w:rFonts w:eastAsia="Times New Roman" w:cs="Times New Roman"/>
                <w:sz w:val="18"/>
                <w:szCs w:val="18"/>
              </w:rPr>
              <w:t>2</w:t>
            </w:r>
          </w:p>
        </w:tc>
        <w:tc>
          <w:tcPr>
            <w:tcW w:w="0" w:type="auto"/>
          </w:tcPr>
          <w:p w14:paraId="1282BCA7" w14:textId="77777777" w:rsidR="00D2127B" w:rsidRPr="00F07487" w:rsidRDefault="00D2127B" w:rsidP="00F07487">
            <w:pPr>
              <w:pStyle w:val="Normal-pool"/>
              <w:spacing w:before="120" w:after="120"/>
              <w:rPr>
                <w:rFonts w:ascii="Times New Roman" w:hAnsi="Times New Roman" w:cs="Times New Roman"/>
                <w:sz w:val="18"/>
                <w:szCs w:val="18"/>
              </w:rPr>
            </w:pPr>
            <w:r w:rsidRPr="00F07487">
              <w:rPr>
                <w:rFonts w:eastAsia="Times New Roman" w:cs="Times New Roman"/>
                <w:sz w:val="18"/>
                <w:szCs w:val="18"/>
              </w:rPr>
              <w:t>17</w:t>
            </w:r>
          </w:p>
        </w:tc>
        <w:tc>
          <w:tcPr>
            <w:tcW w:w="0" w:type="auto"/>
          </w:tcPr>
          <w:p w14:paraId="3C8BFEE0" w14:textId="77777777" w:rsidR="00D2127B" w:rsidRPr="00F07487" w:rsidRDefault="00D2127B" w:rsidP="00F07487">
            <w:pPr>
              <w:pStyle w:val="Normal-pool"/>
              <w:spacing w:before="120" w:after="120"/>
              <w:rPr>
                <w:rFonts w:ascii="Times New Roman" w:hAnsi="Times New Roman" w:cs="Times New Roman"/>
                <w:sz w:val="18"/>
                <w:szCs w:val="18"/>
              </w:rPr>
            </w:pPr>
            <w:r w:rsidRPr="00F07487">
              <w:rPr>
                <w:rFonts w:eastAsia="Times New Roman" w:cs="Times New Roman"/>
                <w:sz w:val="18"/>
                <w:szCs w:val="18"/>
              </w:rPr>
              <w:t>57</w:t>
            </w:r>
          </w:p>
        </w:tc>
        <w:tc>
          <w:tcPr>
            <w:tcW w:w="0" w:type="auto"/>
          </w:tcPr>
          <w:p w14:paraId="61BDB7A8" w14:textId="77777777" w:rsidR="00D2127B" w:rsidRPr="00F07487" w:rsidRDefault="00D2127B" w:rsidP="00F07487">
            <w:pPr>
              <w:pStyle w:val="Normal-pool"/>
              <w:spacing w:before="120" w:after="120"/>
              <w:rPr>
                <w:rFonts w:ascii="Times New Roman" w:hAnsi="Times New Roman" w:cs="Times New Roman"/>
                <w:sz w:val="18"/>
                <w:szCs w:val="18"/>
              </w:rPr>
            </w:pPr>
            <w:r w:rsidRPr="00F07487">
              <w:rPr>
                <w:rFonts w:eastAsia="Times New Roman" w:cs="Times New Roman"/>
                <w:sz w:val="18"/>
                <w:szCs w:val="18"/>
              </w:rPr>
              <w:t>16</w:t>
            </w:r>
          </w:p>
        </w:tc>
        <w:tc>
          <w:tcPr>
            <w:tcW w:w="0" w:type="auto"/>
          </w:tcPr>
          <w:p w14:paraId="463B9188" w14:textId="77777777" w:rsidR="00D2127B" w:rsidRPr="00F07487" w:rsidRDefault="00D2127B" w:rsidP="00F07487">
            <w:pPr>
              <w:pStyle w:val="Normal-pool"/>
              <w:spacing w:before="120" w:after="120"/>
              <w:rPr>
                <w:rFonts w:ascii="Times New Roman" w:hAnsi="Times New Roman" w:cs="Times New Roman"/>
                <w:sz w:val="18"/>
                <w:szCs w:val="18"/>
              </w:rPr>
            </w:pPr>
            <w:r w:rsidRPr="00F07487">
              <w:rPr>
                <w:rFonts w:eastAsia="Times New Roman" w:cs="Times New Roman"/>
                <w:sz w:val="18"/>
                <w:szCs w:val="18"/>
              </w:rPr>
              <w:t>7</w:t>
            </w:r>
          </w:p>
        </w:tc>
        <w:tc>
          <w:tcPr>
            <w:tcW w:w="0" w:type="auto"/>
          </w:tcPr>
          <w:p w14:paraId="764ADEA7" w14:textId="77777777" w:rsidR="00D2127B" w:rsidRPr="00F07487" w:rsidRDefault="00D2127B" w:rsidP="00F07487">
            <w:pPr>
              <w:pStyle w:val="Normal-pool"/>
              <w:spacing w:before="120" w:after="120"/>
              <w:rPr>
                <w:rFonts w:ascii="Times New Roman" w:hAnsi="Times New Roman" w:cs="Times New Roman"/>
                <w:sz w:val="18"/>
                <w:szCs w:val="18"/>
              </w:rPr>
            </w:pPr>
            <w:r w:rsidRPr="00F07487">
              <w:rPr>
                <w:rFonts w:eastAsia="Times New Roman" w:cs="Times New Roman"/>
                <w:sz w:val="18"/>
                <w:szCs w:val="18"/>
              </w:rPr>
              <w:t>99</w:t>
            </w:r>
          </w:p>
        </w:tc>
        <w:tc>
          <w:tcPr>
            <w:tcW w:w="0" w:type="auto"/>
          </w:tcPr>
          <w:p w14:paraId="314C9B1D" w14:textId="77777777" w:rsidR="00D2127B" w:rsidRPr="00F07487" w:rsidRDefault="00D2127B" w:rsidP="00F07487">
            <w:pPr>
              <w:pStyle w:val="Normal-pool"/>
              <w:spacing w:before="120" w:after="120"/>
              <w:rPr>
                <w:rFonts w:ascii="Times New Roman" w:hAnsi="Times New Roman" w:cs="Times New Roman"/>
                <w:sz w:val="18"/>
                <w:szCs w:val="18"/>
              </w:rPr>
            </w:pPr>
            <w:r w:rsidRPr="00F07487">
              <w:rPr>
                <w:rFonts w:eastAsia="Times New Roman" w:cs="Times New Roman"/>
                <w:sz w:val="18"/>
                <w:szCs w:val="18"/>
              </w:rPr>
              <w:t>20</w:t>
            </w:r>
          </w:p>
        </w:tc>
        <w:tc>
          <w:tcPr>
            <w:tcW w:w="0" w:type="auto"/>
          </w:tcPr>
          <w:p w14:paraId="62E7777B" w14:textId="77777777" w:rsidR="00D2127B" w:rsidRPr="00F07487" w:rsidRDefault="00D2127B" w:rsidP="00F07487">
            <w:pPr>
              <w:pStyle w:val="Normal-pool"/>
              <w:spacing w:before="120" w:after="120"/>
              <w:rPr>
                <w:rFonts w:ascii="Times New Roman" w:hAnsi="Times New Roman" w:cs="Times New Roman"/>
                <w:sz w:val="18"/>
                <w:szCs w:val="18"/>
              </w:rPr>
            </w:pPr>
            <w:r w:rsidRPr="00F07487">
              <w:rPr>
                <w:rFonts w:eastAsia="Times New Roman" w:cs="Times New Roman"/>
                <w:sz w:val="18"/>
                <w:szCs w:val="18"/>
              </w:rPr>
              <w:t>22</w:t>
            </w:r>
          </w:p>
        </w:tc>
      </w:tr>
    </w:tbl>
    <w:bookmarkEnd w:id="2"/>
    <w:p w14:paraId="108C67B7" w14:textId="77777777" w:rsidR="00D2127B" w:rsidRPr="004D402B" w:rsidRDefault="00D2127B" w:rsidP="00D2127B">
      <w:pPr>
        <w:pStyle w:val="CH2"/>
      </w:pPr>
      <w:r w:rsidRPr="004D402B">
        <w:tab/>
        <w:t>C.</w:t>
      </w:r>
      <w:r w:rsidRPr="004D402B">
        <w:tab/>
        <w:t>The technical support unit</w:t>
      </w:r>
    </w:p>
    <w:p w14:paraId="7573815D" w14:textId="77777777" w:rsidR="00D2127B" w:rsidRDefault="00D2127B" w:rsidP="00F07487">
      <w:pPr>
        <w:pStyle w:val="Normalnumber"/>
        <w:numPr>
          <w:ilvl w:val="0"/>
          <w:numId w:val="17"/>
        </w:numPr>
        <w:tabs>
          <w:tab w:val="clear" w:pos="1134"/>
          <w:tab w:val="clear" w:pos="1247"/>
          <w:tab w:val="clear" w:pos="1871"/>
          <w:tab w:val="clear" w:pos="2495"/>
        </w:tabs>
      </w:pPr>
      <w:r w:rsidRPr="00A0194F">
        <w:t xml:space="preserve">The Bureau, in consultation with the </w:t>
      </w:r>
      <w:r w:rsidRPr="004D402B">
        <w:t>Multidisciplinary Expert Panel</w:t>
      </w:r>
      <w:r>
        <w:t xml:space="preserve">, agreed at their fifth </w:t>
      </w:r>
      <w:r w:rsidRPr="00A0194F">
        <w:t>session (13-17 April 2015 in Bonn, Germany), that the technical support unit would be based at the IPBES Secretariat in Bonn, Germany, and that a consultant would be hired to fulfil this role. The consu</w:t>
      </w:r>
      <w:r>
        <w:t>ltant, Ms. Anastasia Brainich, fulfils the aforementioned role from the headquarters of the IPBES secretariat.</w:t>
      </w:r>
    </w:p>
    <w:p w14:paraId="6B36BB3A" w14:textId="77777777" w:rsidR="00D2127B" w:rsidRPr="000968D1" w:rsidRDefault="00D2127B" w:rsidP="00F07487">
      <w:pPr>
        <w:pStyle w:val="Normalnumber"/>
        <w:numPr>
          <w:ilvl w:val="0"/>
          <w:numId w:val="17"/>
        </w:numPr>
        <w:tabs>
          <w:tab w:val="clear" w:pos="1134"/>
          <w:tab w:val="clear" w:pos="1247"/>
          <w:tab w:val="clear" w:pos="1871"/>
          <w:tab w:val="clear" w:pos="2495"/>
        </w:tabs>
      </w:pPr>
      <w:r w:rsidRPr="00A0194F">
        <w:t xml:space="preserve">The role of the technical support unit is to provide scientific, technical and organizational support toward the delivery of the assessment report. In addition, the role of the technical support unit is to liaise with relevant task forces and other technical support units of ongoing assessments to ensure that cross-cutting issues are properly addressed. </w:t>
      </w:r>
      <w:r>
        <w:t xml:space="preserve"> </w:t>
      </w:r>
    </w:p>
    <w:p w14:paraId="2DB99662" w14:textId="2AE79E3B" w:rsidR="00D2127B" w:rsidRPr="004D402B" w:rsidRDefault="008C1922" w:rsidP="008C1922">
      <w:pPr>
        <w:pStyle w:val="CH1"/>
      </w:pPr>
      <w:r>
        <w:tab/>
        <w:t>III.</w:t>
      </w:r>
      <w:r>
        <w:tab/>
      </w:r>
      <w:r w:rsidR="00D2127B" w:rsidRPr="004D402B">
        <w:t>Key steps toward the production of the assessment</w:t>
      </w:r>
    </w:p>
    <w:p w14:paraId="43CB003F" w14:textId="77777777" w:rsidR="00D2127B" w:rsidRPr="00A0364B" w:rsidRDefault="00D2127B" w:rsidP="00F07487">
      <w:pPr>
        <w:pStyle w:val="Normalnumber"/>
        <w:numPr>
          <w:ilvl w:val="0"/>
          <w:numId w:val="17"/>
        </w:numPr>
        <w:tabs>
          <w:tab w:val="clear" w:pos="1134"/>
          <w:tab w:val="clear" w:pos="1247"/>
          <w:tab w:val="clear" w:pos="1871"/>
          <w:tab w:val="clear" w:pos="2495"/>
        </w:tabs>
      </w:pPr>
      <w:r w:rsidRPr="00A0364B">
        <w:t>A description of key steps towards the production of this assessment, undertaken after the fifth session of the Plenary is provided below. A detailed description of the steps taken before the fifth session can be found in IPBES/4/INF/</w:t>
      </w:r>
      <w:r>
        <w:t>11</w:t>
      </w:r>
      <w:r w:rsidRPr="00A0364B">
        <w:t xml:space="preserve"> and IPBES/5/INF/</w:t>
      </w:r>
      <w:r>
        <w:t>9</w:t>
      </w:r>
      <w:r w:rsidRPr="00A0364B">
        <w:t xml:space="preserve">. </w:t>
      </w:r>
    </w:p>
    <w:p w14:paraId="5DD55823" w14:textId="77777777" w:rsidR="00D2127B" w:rsidRPr="004D402B" w:rsidRDefault="00D2127B" w:rsidP="00D2127B">
      <w:pPr>
        <w:pStyle w:val="CH2"/>
      </w:pPr>
      <w:r w:rsidRPr="004D402B">
        <w:tab/>
        <w:t>A.</w:t>
      </w:r>
      <w:r w:rsidRPr="004D402B">
        <w:tab/>
      </w:r>
      <w:r>
        <w:t xml:space="preserve">Second review (by governments and experts) </w:t>
      </w:r>
    </w:p>
    <w:p w14:paraId="5CA31C17" w14:textId="77777777" w:rsidR="00D2127B" w:rsidRDefault="00D2127B" w:rsidP="00F07487">
      <w:pPr>
        <w:pStyle w:val="Normalnumber"/>
        <w:numPr>
          <w:ilvl w:val="0"/>
          <w:numId w:val="17"/>
        </w:numPr>
        <w:tabs>
          <w:tab w:val="clear" w:pos="1134"/>
          <w:tab w:val="clear" w:pos="1247"/>
          <w:tab w:val="clear" w:pos="1871"/>
          <w:tab w:val="clear" w:pos="2495"/>
        </w:tabs>
      </w:pPr>
      <w:r w:rsidRPr="004D402B">
        <w:t xml:space="preserve">The </w:t>
      </w:r>
      <w:r w:rsidRPr="00993521">
        <w:t xml:space="preserve">second </w:t>
      </w:r>
      <w:r>
        <w:t>external</w:t>
      </w:r>
      <w:r w:rsidRPr="00993521">
        <w:t xml:space="preserve"> review</w:t>
      </w:r>
      <w:r>
        <w:t xml:space="preserve"> of the assessment report </w:t>
      </w:r>
      <w:r w:rsidRPr="00993521">
        <w:t xml:space="preserve">by Governments and experts was conducted from </w:t>
      </w:r>
      <w:r>
        <w:t>1 May to 26 June 2017</w:t>
      </w:r>
      <w:r w:rsidRPr="00BA7C91">
        <w:t xml:space="preserve">. </w:t>
      </w:r>
      <w:r>
        <w:t>The</w:t>
      </w:r>
      <w:r w:rsidRPr="008061BE">
        <w:t xml:space="preserve"> comments </w:t>
      </w:r>
      <w:r>
        <w:t xml:space="preserve">received </w:t>
      </w:r>
      <w:r w:rsidRPr="008061BE">
        <w:t xml:space="preserve">were collated by the </w:t>
      </w:r>
      <w:r>
        <w:t>technical support unit</w:t>
      </w:r>
      <w:r w:rsidRPr="008061BE">
        <w:t xml:space="preserve"> and shared with the authors and review editors </w:t>
      </w:r>
      <w:r>
        <w:t>before the third</w:t>
      </w:r>
      <w:r w:rsidRPr="008061BE">
        <w:t xml:space="preserve"> </w:t>
      </w:r>
      <w:r>
        <w:t xml:space="preserve">and final </w:t>
      </w:r>
      <w:r w:rsidRPr="008061BE">
        <w:t>author meeting</w:t>
      </w:r>
      <w:r>
        <w:t xml:space="preserve"> in July 2017. A total number of 3,499 comments was received for all eight chapters, from 126 individuals, of which 16 were Governments. </w:t>
      </w:r>
    </w:p>
    <w:p w14:paraId="78799557" w14:textId="77777777" w:rsidR="00D2127B" w:rsidRPr="004D402B" w:rsidRDefault="00D2127B" w:rsidP="00D2127B">
      <w:pPr>
        <w:pStyle w:val="CH2"/>
      </w:pPr>
      <w:r>
        <w:tab/>
        <w:t>B.</w:t>
      </w:r>
      <w:r>
        <w:tab/>
        <w:t>Third author m</w:t>
      </w:r>
      <w:r w:rsidRPr="004D402B">
        <w:t>eeting</w:t>
      </w:r>
    </w:p>
    <w:p w14:paraId="6B631587" w14:textId="31873323" w:rsidR="00D2127B" w:rsidRDefault="00D2127B" w:rsidP="00F07487">
      <w:pPr>
        <w:pStyle w:val="Normalnumber"/>
        <w:numPr>
          <w:ilvl w:val="0"/>
          <w:numId w:val="17"/>
        </w:numPr>
        <w:tabs>
          <w:tab w:val="clear" w:pos="1134"/>
          <w:tab w:val="clear" w:pos="1247"/>
          <w:tab w:val="clear" w:pos="1871"/>
          <w:tab w:val="clear" w:pos="2495"/>
        </w:tabs>
      </w:pPr>
      <w:r w:rsidRPr="00E53A89">
        <w:t xml:space="preserve">The third </w:t>
      </w:r>
      <w:r>
        <w:t xml:space="preserve">and final </w:t>
      </w:r>
      <w:r w:rsidRPr="00E53A89">
        <w:t>aut</w:t>
      </w:r>
      <w:r>
        <w:t>hor meeting took place</w:t>
      </w:r>
      <w:r w:rsidRPr="00E53A89">
        <w:t xml:space="preserve"> </w:t>
      </w:r>
      <w:r>
        <w:t>at the FAO headquarters in Rome, Italy, from 17</w:t>
      </w:r>
      <w:r w:rsidR="00125F55">
        <w:t> </w:t>
      </w:r>
      <w:r>
        <w:t>to 21 July 20</w:t>
      </w:r>
      <w:r w:rsidRPr="00E53A89">
        <w:t>17</w:t>
      </w:r>
      <w:r>
        <w:t>, thanks to in-kind support from FAO</w:t>
      </w:r>
      <w:r w:rsidRPr="00E53A89">
        <w:t>. The objective</w:t>
      </w:r>
      <w:r>
        <w:t>s</w:t>
      </w:r>
      <w:r w:rsidRPr="00E53A89">
        <w:t xml:space="preserve"> </w:t>
      </w:r>
      <w:r>
        <w:t>were</w:t>
      </w:r>
      <w:r w:rsidRPr="00E53A89">
        <w:t xml:space="preserve"> for the experts to address the external review comments</w:t>
      </w:r>
      <w:r>
        <w:t xml:space="preserve"> and to finalize the development of the assessment chapters</w:t>
      </w:r>
      <w:r w:rsidRPr="00E53A89">
        <w:t>.</w:t>
      </w:r>
      <w:r>
        <w:t xml:space="preserve"> </w:t>
      </w:r>
      <w:r w:rsidR="00125F55">
        <w:br/>
      </w:r>
      <w:r>
        <w:t xml:space="preserve">Co-chairs and coordinating lead authors also dedicated time to the development of the summary for policymakers, with support from attending members of the Multidisciplinary Expert Panel and Bureau. </w:t>
      </w:r>
    </w:p>
    <w:p w14:paraId="533DBDAC" w14:textId="77777777" w:rsidR="00D2127B" w:rsidRPr="004D402B" w:rsidRDefault="00D2127B" w:rsidP="00D2127B">
      <w:pPr>
        <w:pStyle w:val="CH2"/>
      </w:pPr>
      <w:r>
        <w:tab/>
        <w:t>C</w:t>
      </w:r>
      <w:r w:rsidRPr="004D402B">
        <w:t>.</w:t>
      </w:r>
      <w:r w:rsidRPr="004D402B">
        <w:tab/>
        <w:t xml:space="preserve">Production of </w:t>
      </w:r>
      <w:r>
        <w:t xml:space="preserve">the </w:t>
      </w:r>
      <w:r w:rsidRPr="004D402B">
        <w:t>final draft</w:t>
      </w:r>
      <w:r>
        <w:t xml:space="preserve"> of the assessment report</w:t>
      </w:r>
    </w:p>
    <w:p w14:paraId="02A26367" w14:textId="77777777" w:rsidR="00D2127B" w:rsidRPr="00BD6038" w:rsidRDefault="00D2127B" w:rsidP="00F07487">
      <w:pPr>
        <w:pStyle w:val="Normalnumber"/>
        <w:numPr>
          <w:ilvl w:val="0"/>
          <w:numId w:val="17"/>
        </w:numPr>
        <w:tabs>
          <w:tab w:val="clear" w:pos="1134"/>
          <w:tab w:val="clear" w:pos="1247"/>
          <w:tab w:val="clear" w:pos="1871"/>
          <w:tab w:val="clear" w:pos="2495"/>
        </w:tabs>
      </w:pPr>
      <w:r>
        <w:t xml:space="preserve">The eight chapters of the assessment underwent two external reviews (by peers, and by peers and Governments), while the summary for policymakers was reviewed once by Governments and peers. The eight chapters received a total of 6,083 comments from 211 individuals and scientific groups, for both reviews. During the second external review period, the summary for policymakers received a total of 1,554 comments from 69 external reviewers, of which 21 were from Governments. </w:t>
      </w:r>
    </w:p>
    <w:p w14:paraId="2ACC19D2" w14:textId="77777777" w:rsidR="00D2127B" w:rsidRDefault="00D2127B" w:rsidP="00F07487">
      <w:pPr>
        <w:pStyle w:val="Normalnumber"/>
        <w:numPr>
          <w:ilvl w:val="0"/>
          <w:numId w:val="17"/>
        </w:numPr>
        <w:tabs>
          <w:tab w:val="clear" w:pos="1134"/>
          <w:tab w:val="clear" w:pos="1247"/>
          <w:tab w:val="clear" w:pos="1871"/>
          <w:tab w:val="clear" w:pos="2495"/>
        </w:tabs>
      </w:pPr>
      <w:r>
        <w:lastRenderedPageBreak/>
        <w:t>These comments were taken into account by the authors when producing the final draft.</w:t>
      </w:r>
      <w:r w:rsidRPr="004D402B">
        <w:t xml:space="preserve"> The entire process was supported by the </w:t>
      </w:r>
      <w:r>
        <w:t>r</w:t>
      </w:r>
      <w:r w:rsidRPr="004D402B">
        <w:t xml:space="preserve">eview </w:t>
      </w:r>
      <w:r>
        <w:t>e</w:t>
      </w:r>
      <w:r w:rsidRPr="004D402B">
        <w:t xml:space="preserve">ditors, who helped the authors with interpreting </w:t>
      </w:r>
      <w:r>
        <w:t xml:space="preserve">review </w:t>
      </w:r>
      <w:r w:rsidRPr="004D402B">
        <w:t>comments and</w:t>
      </w:r>
      <w:r>
        <w:t xml:space="preserve"> ensured</w:t>
      </w:r>
      <w:r w:rsidRPr="004D402B">
        <w:t xml:space="preserve"> that </w:t>
      </w:r>
      <w:r>
        <w:t>they</w:t>
      </w:r>
      <w:r w:rsidRPr="004D402B">
        <w:t xml:space="preserve"> were addressed appropriately by the authors. Responses to comments from both the first and second review phases will be published on the IPBES website after the approval of the summary for policymakers and the acceptance of the chapters</w:t>
      </w:r>
      <w:r>
        <w:t xml:space="preserve">, after </w:t>
      </w:r>
      <w:r w:rsidRPr="004D402B">
        <w:t xml:space="preserve">the </w:t>
      </w:r>
      <w:r>
        <w:t>sixth session</w:t>
      </w:r>
      <w:r w:rsidRPr="004D402B">
        <w:t xml:space="preserve"> </w:t>
      </w:r>
      <w:r>
        <w:t xml:space="preserve">of the </w:t>
      </w:r>
      <w:r w:rsidRPr="004D402B">
        <w:t xml:space="preserve">Plenary. </w:t>
      </w:r>
    </w:p>
    <w:p w14:paraId="730757FE" w14:textId="755A2B20" w:rsidR="00D2127B" w:rsidRPr="004D402B" w:rsidRDefault="008C1922" w:rsidP="008C1922">
      <w:pPr>
        <w:pStyle w:val="CH1"/>
        <w:rPr>
          <w:sz w:val="24"/>
          <w:szCs w:val="24"/>
        </w:rPr>
      </w:pPr>
      <w:r>
        <w:rPr>
          <w:sz w:val="24"/>
          <w:szCs w:val="24"/>
        </w:rPr>
        <w:tab/>
        <w:t>IV.</w:t>
      </w:r>
      <w:r>
        <w:rPr>
          <w:sz w:val="24"/>
          <w:szCs w:val="24"/>
        </w:rPr>
        <w:tab/>
      </w:r>
      <w:r w:rsidR="00D2127B" w:rsidRPr="00BA7C91">
        <w:t>Links with other deliverables</w:t>
      </w:r>
    </w:p>
    <w:p w14:paraId="7BC79FC9" w14:textId="77777777" w:rsidR="00D2127B" w:rsidRDefault="00D2127B" w:rsidP="00F07487">
      <w:pPr>
        <w:pStyle w:val="Normalnumber"/>
        <w:numPr>
          <w:ilvl w:val="0"/>
          <w:numId w:val="17"/>
        </w:numPr>
        <w:tabs>
          <w:tab w:val="clear" w:pos="1134"/>
          <w:tab w:val="clear" w:pos="1247"/>
          <w:tab w:val="clear" w:pos="1871"/>
          <w:tab w:val="clear" w:pos="2495"/>
        </w:tabs>
      </w:pPr>
      <w:r w:rsidRPr="004D402B">
        <w:t>The expert group</w:t>
      </w:r>
      <w:r>
        <w:t>s</w:t>
      </w:r>
      <w:r w:rsidRPr="004D402B">
        <w:t xml:space="preserve"> of </w:t>
      </w:r>
      <w:r>
        <w:t>the thematic assessment (</w:t>
      </w:r>
      <w:r w:rsidRPr="004D402B">
        <w:t>deliverable (</w:t>
      </w:r>
      <w:r>
        <w:t>3(b</w:t>
      </w:r>
      <w:r w:rsidRPr="004D402B">
        <w:t>)</w:t>
      </w:r>
      <w:r>
        <w:t>(i))</w:t>
      </w:r>
      <w:r w:rsidRPr="004D402B">
        <w:t xml:space="preserve">, </w:t>
      </w:r>
      <w:r>
        <w:t xml:space="preserve">worked closely with the expert groups, task forces and technical support units of other IPBES deliverables. There were several experts common to this assessment and the </w:t>
      </w:r>
      <w:proofErr w:type="gramStart"/>
      <w:r>
        <w:t>four ongoing</w:t>
      </w:r>
      <w:proofErr w:type="gramEnd"/>
      <w:r>
        <w:t xml:space="preserve"> regional and </w:t>
      </w:r>
      <w:proofErr w:type="spellStart"/>
      <w:r>
        <w:t>subregional</w:t>
      </w:r>
      <w:proofErr w:type="spellEnd"/>
      <w:r>
        <w:t xml:space="preserve"> assessments of biodiversity and ecosystem services.  </w:t>
      </w:r>
    </w:p>
    <w:p w14:paraId="3449CD3E" w14:textId="77777777" w:rsidR="00D2127B" w:rsidRPr="004D402B" w:rsidRDefault="00D2127B" w:rsidP="00F07487">
      <w:pPr>
        <w:pStyle w:val="Normalnumber"/>
        <w:numPr>
          <w:ilvl w:val="0"/>
          <w:numId w:val="17"/>
        </w:numPr>
        <w:tabs>
          <w:tab w:val="clear" w:pos="1134"/>
          <w:tab w:val="clear" w:pos="1247"/>
          <w:tab w:val="clear" w:pos="1871"/>
          <w:tab w:val="clear" w:pos="2495"/>
        </w:tabs>
      </w:pPr>
      <w:r>
        <w:t xml:space="preserve">A selection of experts </w:t>
      </w:r>
      <w:r w:rsidRPr="004D402B">
        <w:t xml:space="preserve">worked with </w:t>
      </w:r>
      <w:r>
        <w:t>d</w:t>
      </w:r>
      <w:r w:rsidRPr="004D402B">
        <w:t>eliverable 2(a)</w:t>
      </w:r>
      <w:r>
        <w:t>, on the g</w:t>
      </w:r>
      <w:r w:rsidRPr="00BA7C91">
        <w:t>uide on assessments</w:t>
      </w:r>
      <w:r>
        <w:t>, by providing comments to the guide and using it in their work</w:t>
      </w:r>
      <w:r w:rsidRPr="004D402B">
        <w:t xml:space="preserve">. </w:t>
      </w:r>
    </w:p>
    <w:p w14:paraId="0E539AAB" w14:textId="77777777" w:rsidR="00D2127B" w:rsidRDefault="00D2127B" w:rsidP="00F07487">
      <w:pPr>
        <w:pStyle w:val="Normalnumber"/>
        <w:numPr>
          <w:ilvl w:val="0"/>
          <w:numId w:val="17"/>
        </w:numPr>
        <w:tabs>
          <w:tab w:val="clear" w:pos="1134"/>
          <w:tab w:val="clear" w:pos="1247"/>
          <w:tab w:val="clear" w:pos="1871"/>
          <w:tab w:val="clear" w:pos="2495"/>
        </w:tabs>
      </w:pPr>
      <w:r w:rsidRPr="004D402B">
        <w:t>The expert group</w:t>
      </w:r>
      <w:r>
        <w:t>s</w:t>
      </w:r>
      <w:r w:rsidRPr="004D402B">
        <w:t xml:space="preserve"> </w:t>
      </w:r>
      <w:r>
        <w:t>interacted with the task force and technical support unit for</w:t>
      </w:r>
      <w:r w:rsidRPr="004D402B">
        <w:t xml:space="preserve"> </w:t>
      </w:r>
      <w:r>
        <w:t>d</w:t>
      </w:r>
      <w:r w:rsidRPr="004D402B">
        <w:t>eliverable 1(c)</w:t>
      </w:r>
      <w:r>
        <w:t>, on</w:t>
      </w:r>
      <w:r w:rsidRPr="00BA7C91">
        <w:t xml:space="preserve"> indigenous and local knowledge systems</w:t>
      </w:r>
      <w:r>
        <w:t>. A number of regionally embedded experts from land degradation and restoration assessment were able to participate in dialogue workshops on indigenous and local knowledge, convened by the task force, for each of the four regional assessments.</w:t>
      </w:r>
    </w:p>
    <w:p w14:paraId="38614F1D" w14:textId="77777777" w:rsidR="00D2127B" w:rsidRDefault="00D2127B" w:rsidP="00F07487">
      <w:pPr>
        <w:pStyle w:val="Normalnumber"/>
        <w:numPr>
          <w:ilvl w:val="0"/>
          <w:numId w:val="17"/>
        </w:numPr>
        <w:tabs>
          <w:tab w:val="clear" w:pos="1134"/>
          <w:tab w:val="clear" w:pos="1247"/>
          <w:tab w:val="clear" w:pos="1871"/>
          <w:tab w:val="clear" w:pos="2495"/>
        </w:tabs>
      </w:pPr>
      <w:r>
        <w:t>The expert groups collaborated with the task force and technical support unit on deliverable 4(b), on data and knowledge, who provided, towards the end of the assessment process, a set of core indicators and related data and visuals.</w:t>
      </w:r>
    </w:p>
    <w:p w14:paraId="0824DFD5" w14:textId="77777777" w:rsidR="00D2127B" w:rsidRDefault="00D2127B" w:rsidP="00F07487">
      <w:pPr>
        <w:pStyle w:val="Normalnumber"/>
        <w:numPr>
          <w:ilvl w:val="0"/>
          <w:numId w:val="17"/>
        </w:numPr>
        <w:tabs>
          <w:tab w:val="clear" w:pos="1134"/>
          <w:tab w:val="clear" w:pos="1247"/>
          <w:tab w:val="clear" w:pos="1871"/>
          <w:tab w:val="clear" w:pos="2495"/>
        </w:tabs>
      </w:pPr>
      <w:r>
        <w:t>The expert groups received assistance through d</w:t>
      </w:r>
      <w:r w:rsidRPr="00BA7C91">
        <w:t>eliverable 3(d)</w:t>
      </w:r>
      <w:r>
        <w:t>,</w:t>
      </w:r>
      <w:r w:rsidRPr="00BA7C91">
        <w:t xml:space="preserve"> </w:t>
      </w:r>
      <w:r>
        <w:t>from the expert group on values and its technical support unit. The expert group on values assisted in reviewing the assessment chapters. The technical support unit organized several workshops in the regions to assist experts in developing content on that topic. A number of regionally embedded experts from land degradation and restoration assessment were able to participate.</w:t>
      </w:r>
    </w:p>
    <w:p w14:paraId="09ABAF1F" w14:textId="77777777" w:rsidR="00D2127B" w:rsidRDefault="00D2127B" w:rsidP="00F07487">
      <w:pPr>
        <w:pStyle w:val="Normalnumber"/>
        <w:numPr>
          <w:ilvl w:val="0"/>
          <w:numId w:val="17"/>
        </w:numPr>
        <w:tabs>
          <w:tab w:val="clear" w:pos="1134"/>
          <w:tab w:val="clear" w:pos="1247"/>
          <w:tab w:val="clear" w:pos="1871"/>
          <w:tab w:val="clear" w:pos="2495"/>
        </w:tabs>
      </w:pPr>
      <w:r>
        <w:t>The expert group and technical support unit for d</w:t>
      </w:r>
      <w:r w:rsidRPr="00022D4F">
        <w:t>eliverable 3(c)</w:t>
      </w:r>
      <w:r>
        <w:t xml:space="preserve">, on scenarios and models, supported the assessment by reviewing drafts of chapters 7 (scenarios and models). Several workshops were also organized with the experts of chapter 7 and the experts of the corresponding chapter 5 of the regional assessments to determine common scenarios archetypes (see IPBES/6/INF/15). </w:t>
      </w:r>
    </w:p>
    <w:p w14:paraId="1A69E958" w14:textId="77777777" w:rsidR="00D2127B" w:rsidRDefault="00D2127B" w:rsidP="00F07487">
      <w:pPr>
        <w:pStyle w:val="Normalnumber"/>
        <w:numPr>
          <w:ilvl w:val="0"/>
          <w:numId w:val="17"/>
        </w:numPr>
        <w:tabs>
          <w:tab w:val="clear" w:pos="1134"/>
          <w:tab w:val="clear" w:pos="1247"/>
          <w:tab w:val="clear" w:pos="1871"/>
          <w:tab w:val="clear" w:pos="2495"/>
        </w:tabs>
      </w:pPr>
      <w:r>
        <w:t>The expert group of d</w:t>
      </w:r>
      <w:r w:rsidRPr="00CA206B">
        <w:t>eliverable 4(c)</w:t>
      </w:r>
      <w:r>
        <w:t>, on</w:t>
      </w:r>
      <w:r w:rsidRPr="00CA206B">
        <w:t xml:space="preserve"> policy support tools and methodologies</w:t>
      </w:r>
      <w:r>
        <w:t>, assisted experts of chapters 8 with</w:t>
      </w:r>
      <w:r w:rsidRPr="006E48D5">
        <w:t xml:space="preserve"> the framing of institutions and options as well as the use of confidence terminology.</w:t>
      </w:r>
    </w:p>
    <w:p w14:paraId="6C298778" w14:textId="77777777" w:rsidR="00D2127B" w:rsidRDefault="00D2127B" w:rsidP="00F07487">
      <w:pPr>
        <w:pStyle w:val="Normalnumber"/>
        <w:numPr>
          <w:ilvl w:val="0"/>
          <w:numId w:val="17"/>
        </w:numPr>
        <w:tabs>
          <w:tab w:val="clear" w:pos="1134"/>
          <w:tab w:val="clear" w:pos="1247"/>
          <w:tab w:val="clear" w:pos="1871"/>
          <w:tab w:val="clear" w:pos="2495"/>
        </w:tabs>
      </w:pPr>
      <w:r>
        <w:t>The task force and technical support unit for capacity building, under d</w:t>
      </w:r>
      <w:r w:rsidRPr="00022D4F">
        <w:t>eliverable 1(b)</w:t>
      </w:r>
      <w:r>
        <w:t xml:space="preserve"> assisted the assessment through the organization of the fellowship programme and the organization of writing workshops to develop the summary for policymakers.</w:t>
      </w:r>
    </w:p>
    <w:tbl>
      <w:tblPr>
        <w:tblW w:w="0" w:type="auto"/>
        <w:tblLook w:val="04A0" w:firstRow="1" w:lastRow="0" w:firstColumn="1" w:lastColumn="0" w:noHBand="0" w:noVBand="1"/>
      </w:tblPr>
      <w:tblGrid>
        <w:gridCol w:w="1897"/>
        <w:gridCol w:w="1899"/>
        <w:gridCol w:w="1900"/>
        <w:gridCol w:w="1900"/>
        <w:gridCol w:w="1900"/>
      </w:tblGrid>
      <w:tr w:rsidR="00D2127B" w:rsidRPr="004D402B" w14:paraId="7C8B10BC" w14:textId="77777777" w:rsidTr="001A1BC2">
        <w:tc>
          <w:tcPr>
            <w:tcW w:w="1898" w:type="dxa"/>
            <w:shd w:val="clear" w:color="auto" w:fill="auto"/>
          </w:tcPr>
          <w:p w14:paraId="103EF0C5" w14:textId="77777777" w:rsidR="00D2127B" w:rsidRPr="004D402B" w:rsidRDefault="00D2127B" w:rsidP="001A1BC2">
            <w:pPr>
              <w:pStyle w:val="Normal-pool"/>
              <w:spacing w:before="520"/>
            </w:pPr>
            <w:r w:rsidRPr="004D402B">
              <w:t xml:space="preserve"> </w:t>
            </w:r>
          </w:p>
        </w:tc>
        <w:tc>
          <w:tcPr>
            <w:tcW w:w="1899" w:type="dxa"/>
            <w:shd w:val="clear" w:color="auto" w:fill="auto"/>
          </w:tcPr>
          <w:p w14:paraId="59A777E0" w14:textId="77777777" w:rsidR="00D2127B" w:rsidRPr="004D402B" w:rsidRDefault="00D2127B" w:rsidP="001A1BC2">
            <w:pPr>
              <w:pStyle w:val="Normal-pool"/>
              <w:spacing w:before="520"/>
            </w:pPr>
          </w:p>
        </w:tc>
        <w:tc>
          <w:tcPr>
            <w:tcW w:w="1900" w:type="dxa"/>
            <w:tcBorders>
              <w:bottom w:val="single" w:sz="4" w:space="0" w:color="auto"/>
            </w:tcBorders>
            <w:shd w:val="clear" w:color="auto" w:fill="auto"/>
          </w:tcPr>
          <w:p w14:paraId="08AEC311" w14:textId="77777777" w:rsidR="00D2127B" w:rsidRPr="004D402B" w:rsidRDefault="00D2127B" w:rsidP="001A1BC2">
            <w:pPr>
              <w:pStyle w:val="Normal-pool"/>
              <w:spacing w:before="520"/>
            </w:pPr>
          </w:p>
        </w:tc>
        <w:tc>
          <w:tcPr>
            <w:tcW w:w="1900" w:type="dxa"/>
            <w:shd w:val="clear" w:color="auto" w:fill="auto"/>
          </w:tcPr>
          <w:p w14:paraId="337E0BDD" w14:textId="77777777" w:rsidR="00D2127B" w:rsidRPr="004D402B" w:rsidRDefault="00D2127B" w:rsidP="001A1BC2">
            <w:pPr>
              <w:pStyle w:val="Normal-pool"/>
              <w:spacing w:before="520"/>
            </w:pPr>
          </w:p>
        </w:tc>
        <w:tc>
          <w:tcPr>
            <w:tcW w:w="1900" w:type="dxa"/>
            <w:shd w:val="clear" w:color="auto" w:fill="auto"/>
          </w:tcPr>
          <w:p w14:paraId="0599E8F7" w14:textId="77777777" w:rsidR="00D2127B" w:rsidRPr="004D402B" w:rsidRDefault="00D2127B" w:rsidP="001A1BC2">
            <w:pPr>
              <w:pStyle w:val="Normal-pool"/>
              <w:spacing w:before="520"/>
            </w:pPr>
          </w:p>
        </w:tc>
      </w:tr>
    </w:tbl>
    <w:p w14:paraId="0B6AD03E" w14:textId="77777777" w:rsidR="00985ADF" w:rsidRPr="0071129F" w:rsidRDefault="00985ADF" w:rsidP="00D2127B">
      <w:pPr>
        <w:pStyle w:val="Normal-pool"/>
      </w:pPr>
    </w:p>
    <w:sectPr w:rsidR="00985ADF" w:rsidRPr="0071129F" w:rsidSect="00B7226A">
      <w:headerReference w:type="default" r:id="rId20"/>
      <w:headerReference w:type="first" r:id="rId21"/>
      <w:footerReference w:type="first" r:id="rId22"/>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54FF3" w14:textId="77777777" w:rsidR="00F15CC6" w:rsidRDefault="00F15CC6">
      <w:r>
        <w:separator/>
      </w:r>
    </w:p>
  </w:endnote>
  <w:endnote w:type="continuationSeparator" w:id="0">
    <w:p w14:paraId="518368CC" w14:textId="77777777" w:rsidR="00F15CC6" w:rsidRDefault="00F15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9AF55" w14:textId="05ECC2B7" w:rsidR="00D2127B" w:rsidRDefault="00D2127B" w:rsidP="002070A8">
    <w:pPr>
      <w:pStyle w:val="Normal-pool"/>
    </w:pPr>
    <w:r>
      <w:rPr>
        <w:rStyle w:val="PageNumber"/>
      </w:rPr>
      <w:fldChar w:fldCharType="begin"/>
    </w:r>
    <w:r>
      <w:rPr>
        <w:rStyle w:val="PageNumber"/>
      </w:rPr>
      <w:instrText xml:space="preserve"> PAGE </w:instrText>
    </w:r>
    <w:r>
      <w:rPr>
        <w:rStyle w:val="PageNumber"/>
      </w:rPr>
      <w:fldChar w:fldCharType="separate"/>
    </w:r>
    <w:r w:rsidR="002070A8">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F53DD" w14:textId="6D6B8454" w:rsidR="00D2127B" w:rsidRPr="002070A8" w:rsidRDefault="00D2127B" w:rsidP="002070A8">
    <w:pPr>
      <w:pStyle w:val="Normal-pool"/>
      <w:jc w:val="right"/>
    </w:pPr>
    <w:r>
      <w:rPr>
        <w:rStyle w:val="PageNumber"/>
      </w:rPr>
      <w:fldChar w:fldCharType="begin"/>
    </w:r>
    <w:r>
      <w:rPr>
        <w:rStyle w:val="PageNumber"/>
      </w:rPr>
      <w:instrText xml:space="preserve"> PAGE </w:instrText>
    </w:r>
    <w:r>
      <w:rPr>
        <w:rStyle w:val="PageNumber"/>
      </w:rPr>
      <w:fldChar w:fldCharType="separate"/>
    </w:r>
    <w:r w:rsidR="002070A8">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8CBE9" w14:textId="5A4D08C7" w:rsidR="00D2127B" w:rsidRPr="00806184" w:rsidRDefault="00E46924" w:rsidP="00F51EB0">
    <w:pPr>
      <w:pStyle w:val="Footer"/>
      <w:rPr>
        <w:sz w:val="20"/>
      </w:rPr>
    </w:pPr>
    <w:r>
      <w:rPr>
        <w:sz w:val="20"/>
      </w:rPr>
      <w:t>K18</w:t>
    </w:r>
    <w:r w:rsidR="00D2127B" w:rsidRPr="00806184">
      <w:rPr>
        <w:sz w:val="20"/>
      </w:rPr>
      <w:t>000</w:t>
    </w:r>
    <w:r>
      <w:rPr>
        <w:sz w:val="20"/>
      </w:rPr>
      <w:t>65</w:t>
    </w:r>
    <w:r>
      <w:rPr>
        <w:noProof/>
        <w:sz w:val="20"/>
      </w:rPr>
      <w:tab/>
      <w:t>180118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95820439"/>
      <w:docPartObj>
        <w:docPartGallery w:val="Page Numbers (Bottom of Page)"/>
        <w:docPartUnique/>
      </w:docPartObj>
    </w:sdtPr>
    <w:sdtEndPr>
      <w:rPr>
        <w:noProof/>
      </w:rPr>
    </w:sdtEndPr>
    <w:sdtContent>
      <w:p w14:paraId="660FA658" w14:textId="074E0CBF" w:rsidR="00D2127B" w:rsidRPr="00D2127B" w:rsidRDefault="00D2127B" w:rsidP="00D2127B">
        <w:pPr>
          <w:pStyle w:val="Normal-pool"/>
          <w:rPr>
            <w:b/>
            <w:sz w:val="18"/>
            <w:szCs w:val="18"/>
          </w:rPr>
        </w:pPr>
        <w:r w:rsidRPr="00D2127B">
          <w:rPr>
            <w:b/>
            <w:sz w:val="18"/>
            <w:szCs w:val="18"/>
          </w:rPr>
          <w:fldChar w:fldCharType="begin"/>
        </w:r>
        <w:r w:rsidRPr="00D2127B">
          <w:rPr>
            <w:b/>
            <w:sz w:val="18"/>
            <w:szCs w:val="18"/>
          </w:rPr>
          <w:instrText xml:space="preserve"> PAGE   \* MERGEFORMAT </w:instrText>
        </w:r>
        <w:r w:rsidRPr="00D2127B">
          <w:rPr>
            <w:b/>
            <w:sz w:val="18"/>
            <w:szCs w:val="18"/>
          </w:rPr>
          <w:fldChar w:fldCharType="separate"/>
        </w:r>
        <w:r w:rsidR="002070A8">
          <w:rPr>
            <w:b/>
            <w:noProof/>
            <w:sz w:val="18"/>
            <w:szCs w:val="18"/>
          </w:rPr>
          <w:t>2</w:t>
        </w:r>
        <w:r w:rsidRPr="00D2127B">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A9E53" w14:textId="77777777" w:rsidR="00F15CC6" w:rsidRDefault="00F15CC6" w:rsidP="00934673">
      <w:pPr>
        <w:pStyle w:val="FootnoteText"/>
        <w:tabs>
          <w:tab w:val="clear" w:pos="1247"/>
          <w:tab w:val="clear" w:pos="1814"/>
          <w:tab w:val="clear" w:pos="2381"/>
          <w:tab w:val="clear" w:pos="2948"/>
          <w:tab w:val="clear" w:pos="3515"/>
          <w:tab w:val="clear" w:pos="4082"/>
          <w:tab w:val="left" w:pos="624"/>
        </w:tabs>
        <w:spacing w:before="60" w:after="0"/>
        <w:ind w:left="624"/>
      </w:pPr>
      <w:r>
        <w:separator/>
      </w:r>
    </w:p>
  </w:footnote>
  <w:footnote w:type="continuationSeparator" w:id="0">
    <w:p w14:paraId="45B37C30" w14:textId="77777777" w:rsidR="00F15CC6" w:rsidRDefault="00F15CC6">
      <w:r>
        <w:continuationSeparator/>
      </w:r>
    </w:p>
  </w:footnote>
  <w:footnote w:id="1">
    <w:p w14:paraId="7B48D8E6" w14:textId="2AC18EFF" w:rsidR="00D2127B" w:rsidRPr="00572C2B" w:rsidRDefault="00D2127B" w:rsidP="00D2127B">
      <w:pPr>
        <w:pStyle w:val="FootnoteText"/>
        <w:tabs>
          <w:tab w:val="clear" w:pos="1247"/>
          <w:tab w:val="clear" w:pos="1814"/>
          <w:tab w:val="clear" w:pos="2381"/>
          <w:tab w:val="clear" w:pos="2948"/>
          <w:tab w:val="clear" w:pos="3515"/>
          <w:tab w:val="clear" w:pos="4082"/>
          <w:tab w:val="left" w:pos="624"/>
        </w:tabs>
        <w:ind w:right="57"/>
        <w:rPr>
          <w:szCs w:val="18"/>
        </w:rPr>
      </w:pPr>
      <w:r w:rsidRPr="00486C90">
        <w:rPr>
          <w:rStyle w:val="FootnoteReference"/>
          <w:spacing w:val="5"/>
          <w:w w:val="104"/>
          <w:vertAlign w:val="baseline"/>
        </w:rPr>
        <w:t>*</w:t>
      </w:r>
      <w:r w:rsidRPr="00572C2B">
        <w:rPr>
          <w:szCs w:val="18"/>
        </w:rPr>
        <w:t xml:space="preserve"> </w:t>
      </w:r>
      <w:r>
        <w:rPr>
          <w:szCs w:val="18"/>
        </w:rPr>
        <w:t>IPBES/6</w:t>
      </w:r>
      <w:r w:rsidRPr="00C30A44">
        <w:rPr>
          <w:szCs w:val="18"/>
        </w:rPr>
        <w:t>/1</w:t>
      </w:r>
      <w:r w:rsidR="00905B07">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5EF29" w14:textId="77777777" w:rsidR="00D2127B" w:rsidRPr="00DF0D0B" w:rsidRDefault="00D2127B" w:rsidP="00F51EB0">
    <w:pPr>
      <w:pStyle w:val="Header"/>
      <w:tabs>
        <w:tab w:val="clear" w:pos="1247"/>
        <w:tab w:val="clear" w:pos="4536"/>
        <w:tab w:val="clear" w:pos="9072"/>
        <w:tab w:val="left" w:pos="624"/>
      </w:tabs>
      <w:rPr>
        <w:szCs w:val="18"/>
      </w:rPr>
    </w:pPr>
    <w:r w:rsidRPr="007F5AF6">
      <w:rPr>
        <w:szCs w:val="18"/>
      </w:rPr>
      <w:t>IPBES/</w:t>
    </w:r>
    <w:r>
      <w:rPr>
        <w:szCs w:val="18"/>
      </w:rPr>
      <w:t>4</w:t>
    </w:r>
    <w:r w:rsidRPr="002E2718">
      <w:rPr>
        <w:szCs w:val="18"/>
      </w:rPr>
      <w:t>/</w:t>
    </w:r>
    <w:r>
      <w:rPr>
        <w:szCs w:val="18"/>
      </w:rPr>
      <w:t>INF/2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D96F1" w14:textId="77777777" w:rsidR="00D2127B" w:rsidRPr="001845AD" w:rsidRDefault="00D2127B" w:rsidP="001845AD">
    <w:pPr>
      <w:pStyle w:val="Header"/>
    </w:pPr>
    <w:r w:rsidRPr="001845AD">
      <w:rPr>
        <w:szCs w:val="18"/>
      </w:rPr>
      <w:t>IPBES/6/</w:t>
    </w:r>
    <w:r>
      <w:rPr>
        <w:szCs w:val="18"/>
      </w:rPr>
      <w:t>INF/2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CBBF8" w14:textId="77777777" w:rsidR="00D2127B" w:rsidRPr="00A374EB" w:rsidRDefault="00D2127B" w:rsidP="00F51EB0">
    <w:pPr>
      <w:pStyle w:val="Header"/>
      <w:pBdr>
        <w:bottom w:val="none" w:sz="0" w:space="0" w:color="auto"/>
      </w:pBdr>
      <w:tabs>
        <w:tab w:val="clear" w:pos="1247"/>
        <w:tab w:val="clear" w:pos="4536"/>
        <w:tab w:val="clear" w:pos="9072"/>
        <w:tab w:val="left" w:pos="624"/>
      </w:tabs>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BBD49" w14:textId="77777777" w:rsidR="00A1612F" w:rsidRPr="001845AD" w:rsidRDefault="00A1612F" w:rsidP="00F07487">
    <w:pPr>
      <w:pStyle w:val="Header"/>
      <w:jc w:val="right"/>
    </w:pPr>
    <w:r w:rsidRPr="001845AD">
      <w:rPr>
        <w:szCs w:val="18"/>
      </w:rPr>
      <w:t>IPBES/6/</w:t>
    </w:r>
    <w:r>
      <w:rPr>
        <w:szCs w:val="18"/>
      </w:rPr>
      <w:t>INF/2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CFFD5" w14:textId="4595BDAC" w:rsidR="00B924D7" w:rsidRDefault="00D2127B" w:rsidP="00B924D7">
    <w:pPr>
      <w:pStyle w:val="Header-pool"/>
    </w:pPr>
    <w:r>
      <w:t>IPBES/6/INF/2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3EB3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2073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DE56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DEE8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244A7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6206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E5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7E42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2042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E8B6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3" w15:restartNumberingAfterBreak="0">
    <w:nsid w:val="35FD5C72"/>
    <w:multiLevelType w:val="hybridMultilevel"/>
    <w:tmpl w:val="2F80B6CC"/>
    <w:lvl w:ilvl="0" w:tplc="392CB684">
      <w:start w:val="1"/>
      <w:numFmt w:val="upperRoman"/>
      <w:lvlText w:val="%1."/>
      <w:lvlJc w:val="left"/>
      <w:pPr>
        <w:ind w:left="1395" w:hanging="360"/>
      </w:pPr>
      <w:rPr>
        <w:rFonts w:hint="default"/>
        <w:sz w:val="28"/>
        <w:szCs w:val="28"/>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4"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5" w15:restartNumberingAfterBreak="0">
    <w:nsid w:val="5783769E"/>
    <w:multiLevelType w:val="multilevel"/>
    <w:tmpl w:val="D07A6E4C"/>
    <w:lvl w:ilvl="0">
      <w:start w:val="1"/>
      <w:numFmt w:val="decimal"/>
      <w:lvlText w:val="%1."/>
      <w:lvlJc w:val="left"/>
      <w:pPr>
        <w:tabs>
          <w:tab w:val="num" w:pos="1282"/>
        </w:tabs>
        <w:ind w:left="1395" w:firstLine="0"/>
      </w:pPr>
      <w:rPr>
        <w:rFonts w:hint="default"/>
      </w:rPr>
    </w:lvl>
    <w:lvl w:ilvl="1">
      <w:start w:val="1"/>
      <w:numFmt w:val="lowerLetter"/>
      <w:lvlText w:val="(%2)"/>
      <w:lvlJc w:val="left"/>
      <w:pPr>
        <w:tabs>
          <w:tab w:val="num" w:pos="1282"/>
        </w:tabs>
        <w:ind w:left="1395" w:firstLine="567"/>
      </w:pPr>
      <w:rPr>
        <w:rFonts w:hint="default"/>
      </w:rPr>
    </w:lvl>
    <w:lvl w:ilvl="2">
      <w:start w:val="1"/>
      <w:numFmt w:val="lowerRoman"/>
      <w:lvlText w:val="(%3)"/>
      <w:lvlJc w:val="left"/>
      <w:pPr>
        <w:tabs>
          <w:tab w:val="num" w:pos="1282"/>
        </w:tabs>
        <w:ind w:left="3096" w:hanging="567"/>
      </w:pPr>
      <w:rPr>
        <w:rFonts w:hint="default"/>
      </w:rPr>
    </w:lvl>
    <w:lvl w:ilvl="3">
      <w:start w:val="1"/>
      <w:numFmt w:val="lowerLetter"/>
      <w:lvlText w:val="%4."/>
      <w:lvlJc w:val="left"/>
      <w:pPr>
        <w:tabs>
          <w:tab w:val="num" w:pos="1282"/>
        </w:tabs>
        <w:ind w:left="3663" w:hanging="567"/>
      </w:pPr>
      <w:rPr>
        <w:rFonts w:hint="default"/>
      </w:rPr>
    </w:lvl>
    <w:lvl w:ilvl="4">
      <w:start w:val="1"/>
      <w:numFmt w:val="lowerRoman"/>
      <w:lvlText w:val="%5."/>
      <w:lvlJc w:val="left"/>
      <w:pPr>
        <w:tabs>
          <w:tab w:val="num" w:pos="1282"/>
        </w:tabs>
        <w:ind w:left="4230" w:hanging="567"/>
      </w:pPr>
      <w:rPr>
        <w:rFonts w:hint="default"/>
      </w:rPr>
    </w:lvl>
    <w:lvl w:ilvl="5">
      <w:start w:val="1"/>
      <w:numFmt w:val="lowerRoman"/>
      <w:lvlText w:val="%6."/>
      <w:lvlJc w:val="right"/>
      <w:pPr>
        <w:tabs>
          <w:tab w:val="num" w:pos="7983"/>
        </w:tabs>
        <w:ind w:left="7983" w:hanging="180"/>
      </w:pPr>
      <w:rPr>
        <w:rFonts w:hint="default"/>
      </w:rPr>
    </w:lvl>
    <w:lvl w:ilvl="6">
      <w:start w:val="1"/>
      <w:numFmt w:val="decimal"/>
      <w:lvlText w:val="%7."/>
      <w:lvlJc w:val="left"/>
      <w:pPr>
        <w:tabs>
          <w:tab w:val="num" w:pos="8703"/>
        </w:tabs>
        <w:ind w:left="8703" w:hanging="360"/>
      </w:pPr>
      <w:rPr>
        <w:rFonts w:hint="default"/>
      </w:rPr>
    </w:lvl>
    <w:lvl w:ilvl="7">
      <w:start w:val="1"/>
      <w:numFmt w:val="lowerLetter"/>
      <w:lvlText w:val="%8."/>
      <w:lvlJc w:val="left"/>
      <w:pPr>
        <w:tabs>
          <w:tab w:val="num" w:pos="9423"/>
        </w:tabs>
        <w:ind w:left="9423" w:hanging="360"/>
      </w:pPr>
      <w:rPr>
        <w:rFonts w:hint="default"/>
      </w:rPr>
    </w:lvl>
    <w:lvl w:ilvl="8">
      <w:start w:val="1"/>
      <w:numFmt w:val="lowerRoman"/>
      <w:lvlText w:val="%9."/>
      <w:lvlJc w:val="right"/>
      <w:pPr>
        <w:tabs>
          <w:tab w:val="num" w:pos="10143"/>
        </w:tabs>
        <w:ind w:left="10143" w:hanging="180"/>
      </w:pPr>
      <w:rPr>
        <w:rFonts w:hint="default"/>
      </w:rPr>
    </w:lvl>
  </w:abstractNum>
  <w:abstractNum w:abstractNumId="16" w15:restartNumberingAfterBreak="0">
    <w:nsid w:val="69EE0D4A"/>
    <w:multiLevelType w:val="hybridMultilevel"/>
    <w:tmpl w:val="19AE7568"/>
    <w:lvl w:ilvl="0" w:tplc="B53A08EE">
      <w:start w:val="1"/>
      <w:numFmt w:val="decimal"/>
      <w:pStyle w:val="Normal-Number"/>
      <w:lvlText w:val="%1."/>
      <w:lvlJc w:val="left"/>
      <w:pPr>
        <w:ind w:left="1967" w:hanging="360"/>
      </w:p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7" w15:restartNumberingAfterBreak="0">
    <w:nsid w:val="7F872700"/>
    <w:multiLevelType w:val="hybridMultilevel"/>
    <w:tmpl w:val="4538E336"/>
    <w:lvl w:ilvl="0" w:tplc="1E82AF5E">
      <w:start w:val="1"/>
      <w:numFmt w:val="decimal"/>
      <w:lvlText w:val="%1."/>
      <w:lvlJc w:val="left"/>
      <w:pPr>
        <w:ind w:left="720" w:hanging="360"/>
      </w:pPr>
      <w:rPr>
        <w:rFonts w:asciiTheme="minorHAnsi" w:hAnsiTheme="minorHAnsi" w:hint="default"/>
        <w:b w:val="0"/>
        <w:sz w:val="22"/>
        <w:szCs w:val="22"/>
      </w:rPr>
    </w:lvl>
    <w:lvl w:ilvl="1" w:tplc="DFAAF84A">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4"/>
    <w:lvlOverride w:ilvl="0">
      <w:lvl w:ilvl="0">
        <w:start w:val="1"/>
        <w:numFmt w:val="decimal"/>
        <w:pStyle w:val="Normalnumber"/>
        <w:lvlText w:val="%1."/>
        <w:lvlJc w:val="left"/>
        <w:pPr>
          <w:tabs>
            <w:tab w:val="num" w:pos="1134"/>
          </w:tabs>
          <w:ind w:left="1247" w:firstLine="0"/>
        </w:pPr>
        <w:rPr>
          <w:rFonts w:hint="default"/>
        </w:rPr>
      </w:lvl>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0"/>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6">
    <w:abstractNumId w:val="14"/>
    <w:lvlOverride w:ilvl="0">
      <w:lvl w:ilvl="0">
        <w:start w:val="1"/>
        <w:numFmt w:val="decimal"/>
        <w:pStyle w:val="Normalnumber"/>
        <w:lvlText w:val="%1."/>
        <w:lvlJc w:val="left"/>
        <w:pPr>
          <w:tabs>
            <w:tab w:val="num" w:pos="1134"/>
          </w:tabs>
          <w:ind w:left="1247" w:firstLine="0"/>
        </w:pPr>
        <w:rPr>
          <w:rFonts w:hint="default"/>
        </w:rPr>
      </w:lvl>
    </w:lvlOverride>
  </w:num>
  <w:num w:numId="17">
    <w:abstractNumId w:val="14"/>
    <w:lvlOverride w:ilvl="0">
      <w:lvl w:ilvl="0">
        <w:start w:val="1"/>
        <w:numFmt w:val="decimal"/>
        <w:pStyle w:val="Normalnumber"/>
        <w:lvlText w:val="%1."/>
        <w:lvlJc w:val="left"/>
        <w:pPr>
          <w:tabs>
            <w:tab w:val="num" w:pos="1134"/>
          </w:tabs>
          <w:ind w:left="1247" w:firstLine="0"/>
        </w:pPr>
        <w:rPr>
          <w:rFonts w:hint="default"/>
        </w:rPr>
      </w:lvl>
    </w:lvlOverride>
  </w:num>
  <w:num w:numId="18">
    <w:abstractNumId w:val="16"/>
  </w:num>
  <w:num w:numId="19">
    <w:abstractNumId w:val="13"/>
  </w:num>
  <w:num w:numId="20">
    <w:abstractNumId w:val="15"/>
  </w:num>
  <w:num w:numId="21">
    <w:abstractNumId w:val="14"/>
    <w:lvlOverride w:ilvl="0">
      <w:lvl w:ilvl="0">
        <w:start w:val="1"/>
        <w:numFmt w:val="decimal"/>
        <w:pStyle w:val="Normalnumber"/>
        <w:lvlText w:val="%1."/>
        <w:lvlJc w:val="left"/>
        <w:pPr>
          <w:tabs>
            <w:tab w:val="num" w:pos="1134"/>
          </w:tabs>
          <w:ind w:left="1247" w:firstLine="0"/>
        </w:pPr>
        <w:rPr>
          <w:rFonts w:hint="default"/>
        </w:rPr>
      </w:lvl>
    </w:lvlOverride>
  </w:num>
  <w:num w:numId="22">
    <w:abstractNumId w:val="14"/>
    <w:lvlOverride w:ilvl="0">
      <w:lvl w:ilvl="0">
        <w:start w:val="1"/>
        <w:numFmt w:val="decimal"/>
        <w:pStyle w:val="Normalnumber"/>
        <w:lvlText w:val="%1."/>
        <w:lvlJc w:val="left"/>
        <w:pPr>
          <w:tabs>
            <w:tab w:val="num" w:pos="1134"/>
          </w:tabs>
          <w:ind w:left="1247" w:firstLine="0"/>
        </w:pPr>
        <w:rPr>
          <w:rFonts w:hint="default"/>
        </w:rPr>
      </w:lvl>
    </w:lvlOverride>
  </w:num>
  <w:num w:numId="23">
    <w:abstractNumId w:val="14"/>
    <w:lvlOverride w:ilvl="0">
      <w:lvl w:ilvl="0">
        <w:start w:val="1"/>
        <w:numFmt w:val="decimal"/>
        <w:pStyle w:val="Normalnumber"/>
        <w:lvlText w:val="%1."/>
        <w:lvlJc w:val="left"/>
        <w:pPr>
          <w:tabs>
            <w:tab w:val="num" w:pos="1134"/>
          </w:tabs>
          <w:ind w:left="1247" w:firstLine="0"/>
        </w:pPr>
        <w:rPr>
          <w:rFonts w:hint="default"/>
        </w:rPr>
      </w:lvl>
    </w:lvlOverride>
  </w:num>
  <w:num w:numId="24">
    <w:abstractNumId w:val="14"/>
    <w:lvlOverride w:ilvl="0">
      <w:lvl w:ilvl="0">
        <w:start w:val="1"/>
        <w:numFmt w:val="decimal"/>
        <w:pStyle w:val="Normalnumber"/>
        <w:lvlText w:val="%1."/>
        <w:lvlJc w:val="left"/>
        <w:pPr>
          <w:tabs>
            <w:tab w:val="num" w:pos="1134"/>
          </w:tabs>
          <w:ind w:left="1247" w:firstLine="0"/>
        </w:pPr>
        <w:rPr>
          <w:rFonts w:hint="default"/>
        </w:rPr>
      </w:lvl>
    </w:lvlOverride>
  </w:num>
  <w:num w:numId="25">
    <w:abstractNumId w:val="14"/>
    <w:lvlOverride w:ilvl="0">
      <w:lvl w:ilvl="0">
        <w:start w:val="1"/>
        <w:numFmt w:val="decimal"/>
        <w:pStyle w:val="Normalnumber"/>
        <w:lvlText w:val="%1."/>
        <w:lvlJc w:val="left"/>
        <w:pPr>
          <w:tabs>
            <w:tab w:val="num" w:pos="1134"/>
          </w:tabs>
          <w:ind w:left="1247" w:firstLine="0"/>
        </w:pPr>
        <w:rPr>
          <w:rFonts w:hint="default"/>
        </w:rPr>
      </w:lvl>
    </w:lvlOverride>
  </w:num>
  <w:num w:numId="26">
    <w:abstractNumId w:val="14"/>
    <w:lvlOverride w:ilvl="0">
      <w:lvl w:ilvl="0">
        <w:start w:val="1"/>
        <w:numFmt w:val="decimal"/>
        <w:pStyle w:val="Normalnumber"/>
        <w:lvlText w:val="%1."/>
        <w:lvlJc w:val="left"/>
        <w:pPr>
          <w:tabs>
            <w:tab w:val="num" w:pos="1134"/>
          </w:tabs>
          <w:ind w:left="1247" w:firstLine="0"/>
        </w:pPr>
        <w:rPr>
          <w:rFonts w:hint="default"/>
        </w:rPr>
      </w:lvl>
    </w:lvlOverride>
  </w:num>
  <w:num w:numId="27">
    <w:abstractNumId w:val="14"/>
    <w:lvlOverride w:ilvl="0">
      <w:lvl w:ilvl="0">
        <w:start w:val="1"/>
        <w:numFmt w:val="decimal"/>
        <w:pStyle w:val="Normalnumber"/>
        <w:lvlText w:val="%1."/>
        <w:lvlJc w:val="left"/>
        <w:pPr>
          <w:tabs>
            <w:tab w:val="num" w:pos="1134"/>
          </w:tabs>
          <w:ind w:left="1247" w:firstLine="0"/>
        </w:pPr>
        <w:rPr>
          <w:rFonts w:hint="default"/>
        </w:rPr>
      </w:lvl>
    </w:lvlOverride>
  </w:num>
  <w:num w:numId="28">
    <w:abstractNumId w:val="14"/>
    <w:lvlOverride w:ilvl="0">
      <w:lvl w:ilvl="0">
        <w:start w:val="1"/>
        <w:numFmt w:val="decimal"/>
        <w:pStyle w:val="Normalnumber"/>
        <w:lvlText w:val="%1."/>
        <w:lvlJc w:val="left"/>
        <w:pPr>
          <w:tabs>
            <w:tab w:val="num" w:pos="1134"/>
          </w:tabs>
          <w:ind w:left="1247" w:firstLine="0"/>
        </w:pPr>
        <w:rPr>
          <w:rFonts w:hint="default"/>
        </w:rPr>
      </w:lvl>
    </w:lvlOverride>
  </w:num>
  <w:num w:numId="29">
    <w:abstractNumId w:val="14"/>
    <w:lvlOverride w:ilvl="0">
      <w:lvl w:ilvl="0">
        <w:start w:val="1"/>
        <w:numFmt w:val="decimal"/>
        <w:pStyle w:val="Normalnumber"/>
        <w:lvlText w:val="%1."/>
        <w:lvlJc w:val="left"/>
        <w:pPr>
          <w:tabs>
            <w:tab w:val="num" w:pos="1134"/>
          </w:tabs>
          <w:ind w:left="1247" w:firstLine="0"/>
        </w:pPr>
        <w:rPr>
          <w:rFonts w:hint="default"/>
        </w:rPr>
      </w:lvl>
    </w:lvlOverride>
  </w:num>
  <w:num w:numId="30">
    <w:abstractNumId w:val="14"/>
    <w:lvlOverride w:ilvl="0">
      <w:lvl w:ilvl="0">
        <w:start w:val="1"/>
        <w:numFmt w:val="decimal"/>
        <w:pStyle w:val="Normalnumber"/>
        <w:lvlText w:val="%1."/>
        <w:lvlJc w:val="left"/>
        <w:pPr>
          <w:tabs>
            <w:tab w:val="num" w:pos="1134"/>
          </w:tabs>
          <w:ind w:left="1247" w:firstLine="0"/>
        </w:pPr>
        <w:rPr>
          <w:rFonts w:hint="default"/>
        </w:rPr>
      </w:lvl>
    </w:lvlOverride>
  </w:num>
  <w:num w:numId="31">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624"/>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5A"/>
    <w:rsid w:val="00010869"/>
    <w:rsid w:val="000149E6"/>
    <w:rsid w:val="000247B0"/>
    <w:rsid w:val="00024C14"/>
    <w:rsid w:val="00026997"/>
    <w:rsid w:val="00033C5F"/>
    <w:rsid w:val="00033E0B"/>
    <w:rsid w:val="00035EDE"/>
    <w:rsid w:val="0004026E"/>
    <w:rsid w:val="00044E5A"/>
    <w:rsid w:val="0004540A"/>
    <w:rsid w:val="000509B4"/>
    <w:rsid w:val="0006035B"/>
    <w:rsid w:val="00061444"/>
    <w:rsid w:val="00061E92"/>
    <w:rsid w:val="000625F3"/>
    <w:rsid w:val="0006430A"/>
    <w:rsid w:val="00071886"/>
    <w:rsid w:val="000742BC"/>
    <w:rsid w:val="00082A0C"/>
    <w:rsid w:val="00083504"/>
    <w:rsid w:val="000904EF"/>
    <w:rsid w:val="0009640C"/>
    <w:rsid w:val="000B22A2"/>
    <w:rsid w:val="000C2A52"/>
    <w:rsid w:val="000D33C0"/>
    <w:rsid w:val="000D6941"/>
    <w:rsid w:val="000F6B5C"/>
    <w:rsid w:val="001202E3"/>
    <w:rsid w:val="00123699"/>
    <w:rsid w:val="00125F55"/>
    <w:rsid w:val="0013059D"/>
    <w:rsid w:val="00141A55"/>
    <w:rsid w:val="001446A3"/>
    <w:rsid w:val="00155395"/>
    <w:rsid w:val="00160D74"/>
    <w:rsid w:val="00167D02"/>
    <w:rsid w:val="001717B7"/>
    <w:rsid w:val="00181EC8"/>
    <w:rsid w:val="00184349"/>
    <w:rsid w:val="00192FBB"/>
    <w:rsid w:val="00195F33"/>
    <w:rsid w:val="001B1617"/>
    <w:rsid w:val="001B504B"/>
    <w:rsid w:val="001B68AD"/>
    <w:rsid w:val="001B6CA5"/>
    <w:rsid w:val="001D3874"/>
    <w:rsid w:val="001D7E75"/>
    <w:rsid w:val="001E56D2"/>
    <w:rsid w:val="001E7D56"/>
    <w:rsid w:val="001F75DE"/>
    <w:rsid w:val="00200D58"/>
    <w:rsid w:val="002013BE"/>
    <w:rsid w:val="00203460"/>
    <w:rsid w:val="002063A4"/>
    <w:rsid w:val="002070A8"/>
    <w:rsid w:val="0021145B"/>
    <w:rsid w:val="00213A77"/>
    <w:rsid w:val="00243D36"/>
    <w:rsid w:val="00247707"/>
    <w:rsid w:val="002512CA"/>
    <w:rsid w:val="0026018E"/>
    <w:rsid w:val="00285344"/>
    <w:rsid w:val="00286740"/>
    <w:rsid w:val="00290716"/>
    <w:rsid w:val="002929D8"/>
    <w:rsid w:val="002A237D"/>
    <w:rsid w:val="002A4C53"/>
    <w:rsid w:val="002B0672"/>
    <w:rsid w:val="002B247F"/>
    <w:rsid w:val="002C145D"/>
    <w:rsid w:val="002C2C3E"/>
    <w:rsid w:val="002C533E"/>
    <w:rsid w:val="002D027F"/>
    <w:rsid w:val="002D7A85"/>
    <w:rsid w:val="002D7B60"/>
    <w:rsid w:val="002F4761"/>
    <w:rsid w:val="002F5C79"/>
    <w:rsid w:val="003019E2"/>
    <w:rsid w:val="003065E6"/>
    <w:rsid w:val="0031413F"/>
    <w:rsid w:val="003148BB"/>
    <w:rsid w:val="00317976"/>
    <w:rsid w:val="00343A0B"/>
    <w:rsid w:val="00351B05"/>
    <w:rsid w:val="00355EA9"/>
    <w:rsid w:val="003578DE"/>
    <w:rsid w:val="00385868"/>
    <w:rsid w:val="00396257"/>
    <w:rsid w:val="00397EB8"/>
    <w:rsid w:val="003A4FD0"/>
    <w:rsid w:val="003A69D1"/>
    <w:rsid w:val="003A7705"/>
    <w:rsid w:val="003A77F1"/>
    <w:rsid w:val="003B1545"/>
    <w:rsid w:val="003B1F39"/>
    <w:rsid w:val="003C409D"/>
    <w:rsid w:val="003C5BA6"/>
    <w:rsid w:val="003D50CB"/>
    <w:rsid w:val="003F0E85"/>
    <w:rsid w:val="003F1D30"/>
    <w:rsid w:val="003F7440"/>
    <w:rsid w:val="0041081A"/>
    <w:rsid w:val="00410C55"/>
    <w:rsid w:val="00416854"/>
    <w:rsid w:val="00417725"/>
    <w:rsid w:val="004340E3"/>
    <w:rsid w:val="00437F26"/>
    <w:rsid w:val="00444097"/>
    <w:rsid w:val="00445487"/>
    <w:rsid w:val="004456DC"/>
    <w:rsid w:val="00447AB9"/>
    <w:rsid w:val="00454769"/>
    <w:rsid w:val="00455480"/>
    <w:rsid w:val="004618B7"/>
    <w:rsid w:val="00466991"/>
    <w:rsid w:val="0047064C"/>
    <w:rsid w:val="00486C90"/>
    <w:rsid w:val="004A42E1"/>
    <w:rsid w:val="004B162C"/>
    <w:rsid w:val="004C3DBE"/>
    <w:rsid w:val="004C5C96"/>
    <w:rsid w:val="004D06A4"/>
    <w:rsid w:val="004F1A81"/>
    <w:rsid w:val="00517861"/>
    <w:rsid w:val="005218D9"/>
    <w:rsid w:val="00533551"/>
    <w:rsid w:val="00536186"/>
    <w:rsid w:val="00544CBB"/>
    <w:rsid w:val="00563378"/>
    <w:rsid w:val="0057315F"/>
    <w:rsid w:val="005754A9"/>
    <w:rsid w:val="00576104"/>
    <w:rsid w:val="0058471E"/>
    <w:rsid w:val="005C67C8"/>
    <w:rsid w:val="005D0249"/>
    <w:rsid w:val="005D6E8C"/>
    <w:rsid w:val="005F100C"/>
    <w:rsid w:val="005F68DA"/>
    <w:rsid w:val="00606059"/>
    <w:rsid w:val="0060773B"/>
    <w:rsid w:val="006157B5"/>
    <w:rsid w:val="00626FC6"/>
    <w:rsid w:val="006303B4"/>
    <w:rsid w:val="00633D3D"/>
    <w:rsid w:val="00641703"/>
    <w:rsid w:val="006431A6"/>
    <w:rsid w:val="0064357C"/>
    <w:rsid w:val="006459F6"/>
    <w:rsid w:val="006501AD"/>
    <w:rsid w:val="00651BFA"/>
    <w:rsid w:val="00654475"/>
    <w:rsid w:val="006576F9"/>
    <w:rsid w:val="006600AD"/>
    <w:rsid w:val="00661589"/>
    <w:rsid w:val="00665A4B"/>
    <w:rsid w:val="00692E2A"/>
    <w:rsid w:val="006A76F2"/>
    <w:rsid w:val="006B0E1A"/>
    <w:rsid w:val="006B503A"/>
    <w:rsid w:val="006B6818"/>
    <w:rsid w:val="006C4B48"/>
    <w:rsid w:val="006D7EFB"/>
    <w:rsid w:val="006E48D5"/>
    <w:rsid w:val="006E6672"/>
    <w:rsid w:val="006E6722"/>
    <w:rsid w:val="007027B9"/>
    <w:rsid w:val="0071129F"/>
    <w:rsid w:val="00714E08"/>
    <w:rsid w:val="00715E88"/>
    <w:rsid w:val="0071625A"/>
    <w:rsid w:val="00734CAA"/>
    <w:rsid w:val="0075533C"/>
    <w:rsid w:val="00757581"/>
    <w:rsid w:val="007611A0"/>
    <w:rsid w:val="007712A8"/>
    <w:rsid w:val="00796D3F"/>
    <w:rsid w:val="007A079A"/>
    <w:rsid w:val="007A1683"/>
    <w:rsid w:val="007A5C12"/>
    <w:rsid w:val="007A7CB0"/>
    <w:rsid w:val="007B68A3"/>
    <w:rsid w:val="007C2541"/>
    <w:rsid w:val="007D66A8"/>
    <w:rsid w:val="007D7AC3"/>
    <w:rsid w:val="007D7DC1"/>
    <w:rsid w:val="007E003F"/>
    <w:rsid w:val="007E2B3C"/>
    <w:rsid w:val="007F3540"/>
    <w:rsid w:val="007F6126"/>
    <w:rsid w:val="008034CE"/>
    <w:rsid w:val="00805F75"/>
    <w:rsid w:val="00815B30"/>
    <w:rsid w:val="008164F2"/>
    <w:rsid w:val="00821395"/>
    <w:rsid w:val="00830E26"/>
    <w:rsid w:val="00843576"/>
    <w:rsid w:val="00843B64"/>
    <w:rsid w:val="00844743"/>
    <w:rsid w:val="008478FC"/>
    <w:rsid w:val="00867BFF"/>
    <w:rsid w:val="008829D3"/>
    <w:rsid w:val="0088480A"/>
    <w:rsid w:val="0088677E"/>
    <w:rsid w:val="0088757A"/>
    <w:rsid w:val="008957DD"/>
    <w:rsid w:val="00897D98"/>
    <w:rsid w:val="008A6DF2"/>
    <w:rsid w:val="008A7807"/>
    <w:rsid w:val="008B4CC9"/>
    <w:rsid w:val="008C00D6"/>
    <w:rsid w:val="008C1922"/>
    <w:rsid w:val="008D7C99"/>
    <w:rsid w:val="008E0FCB"/>
    <w:rsid w:val="00905B07"/>
    <w:rsid w:val="0092178C"/>
    <w:rsid w:val="00930B88"/>
    <w:rsid w:val="00934673"/>
    <w:rsid w:val="009379B9"/>
    <w:rsid w:val="00940DCC"/>
    <w:rsid w:val="0094179A"/>
    <w:rsid w:val="0094459E"/>
    <w:rsid w:val="00944DBC"/>
    <w:rsid w:val="0094617E"/>
    <w:rsid w:val="00950977"/>
    <w:rsid w:val="00951A7B"/>
    <w:rsid w:val="009527C6"/>
    <w:rsid w:val="00954A79"/>
    <w:rsid w:val="009564A6"/>
    <w:rsid w:val="00967621"/>
    <w:rsid w:val="00967E6A"/>
    <w:rsid w:val="00984A20"/>
    <w:rsid w:val="00985ADF"/>
    <w:rsid w:val="009A1772"/>
    <w:rsid w:val="009B4A0F"/>
    <w:rsid w:val="009C11D2"/>
    <w:rsid w:val="009C1575"/>
    <w:rsid w:val="009C6C70"/>
    <w:rsid w:val="009D0B63"/>
    <w:rsid w:val="009E307E"/>
    <w:rsid w:val="009E78C3"/>
    <w:rsid w:val="00A07870"/>
    <w:rsid w:val="00A07F19"/>
    <w:rsid w:val="00A1348D"/>
    <w:rsid w:val="00A1612F"/>
    <w:rsid w:val="00A232EE"/>
    <w:rsid w:val="00A27C49"/>
    <w:rsid w:val="00A35431"/>
    <w:rsid w:val="00A4175F"/>
    <w:rsid w:val="00A44411"/>
    <w:rsid w:val="00A469FA"/>
    <w:rsid w:val="00A55B01"/>
    <w:rsid w:val="00A55E48"/>
    <w:rsid w:val="00A56B5B"/>
    <w:rsid w:val="00A603FF"/>
    <w:rsid w:val="00A657DD"/>
    <w:rsid w:val="00A666A6"/>
    <w:rsid w:val="00A675FD"/>
    <w:rsid w:val="00A72437"/>
    <w:rsid w:val="00A80611"/>
    <w:rsid w:val="00AA0C30"/>
    <w:rsid w:val="00AB5340"/>
    <w:rsid w:val="00AC09F1"/>
    <w:rsid w:val="00AC0A89"/>
    <w:rsid w:val="00AC40EC"/>
    <w:rsid w:val="00AC7C96"/>
    <w:rsid w:val="00AE237D"/>
    <w:rsid w:val="00AE502A"/>
    <w:rsid w:val="00AF0CC1"/>
    <w:rsid w:val="00AF7C07"/>
    <w:rsid w:val="00B117A7"/>
    <w:rsid w:val="00B22C93"/>
    <w:rsid w:val="00B27589"/>
    <w:rsid w:val="00B405B7"/>
    <w:rsid w:val="00B420CD"/>
    <w:rsid w:val="00B42549"/>
    <w:rsid w:val="00B52222"/>
    <w:rsid w:val="00B54FE7"/>
    <w:rsid w:val="00B66901"/>
    <w:rsid w:val="00B71E6D"/>
    <w:rsid w:val="00B72070"/>
    <w:rsid w:val="00B7226A"/>
    <w:rsid w:val="00B75656"/>
    <w:rsid w:val="00B779E1"/>
    <w:rsid w:val="00B91EE1"/>
    <w:rsid w:val="00B924D7"/>
    <w:rsid w:val="00BA0090"/>
    <w:rsid w:val="00BA1A67"/>
    <w:rsid w:val="00BA7797"/>
    <w:rsid w:val="00BE5B5F"/>
    <w:rsid w:val="00C03545"/>
    <w:rsid w:val="00C11089"/>
    <w:rsid w:val="00C26F55"/>
    <w:rsid w:val="00C30C63"/>
    <w:rsid w:val="00C321EB"/>
    <w:rsid w:val="00C36B8B"/>
    <w:rsid w:val="00C415C1"/>
    <w:rsid w:val="00C47DBF"/>
    <w:rsid w:val="00C552FF"/>
    <w:rsid w:val="00C558DA"/>
    <w:rsid w:val="00C55AF3"/>
    <w:rsid w:val="00C70845"/>
    <w:rsid w:val="00C84759"/>
    <w:rsid w:val="00C96840"/>
    <w:rsid w:val="00CA6C7F"/>
    <w:rsid w:val="00CC10A6"/>
    <w:rsid w:val="00CC20CF"/>
    <w:rsid w:val="00CD5EB8"/>
    <w:rsid w:val="00CD7044"/>
    <w:rsid w:val="00CE08B9"/>
    <w:rsid w:val="00CE524C"/>
    <w:rsid w:val="00CF141F"/>
    <w:rsid w:val="00CF4777"/>
    <w:rsid w:val="00D013C6"/>
    <w:rsid w:val="00D067BB"/>
    <w:rsid w:val="00D1352A"/>
    <w:rsid w:val="00D169AF"/>
    <w:rsid w:val="00D2127B"/>
    <w:rsid w:val="00D25249"/>
    <w:rsid w:val="00D33031"/>
    <w:rsid w:val="00D33D5C"/>
    <w:rsid w:val="00D44172"/>
    <w:rsid w:val="00D62DAC"/>
    <w:rsid w:val="00D63B8C"/>
    <w:rsid w:val="00D739CC"/>
    <w:rsid w:val="00D8093D"/>
    <w:rsid w:val="00D8108C"/>
    <w:rsid w:val="00D842AE"/>
    <w:rsid w:val="00D87566"/>
    <w:rsid w:val="00D9211C"/>
    <w:rsid w:val="00D92DE0"/>
    <w:rsid w:val="00D92FEF"/>
    <w:rsid w:val="00D93A0F"/>
    <w:rsid w:val="00DA1BCA"/>
    <w:rsid w:val="00DA7476"/>
    <w:rsid w:val="00DC45C7"/>
    <w:rsid w:val="00DC46FF"/>
    <w:rsid w:val="00DC5254"/>
    <w:rsid w:val="00DD1A4F"/>
    <w:rsid w:val="00DD2838"/>
    <w:rsid w:val="00DD3107"/>
    <w:rsid w:val="00DD7C2C"/>
    <w:rsid w:val="00DF05AB"/>
    <w:rsid w:val="00E0342F"/>
    <w:rsid w:val="00E03D71"/>
    <w:rsid w:val="00E06797"/>
    <w:rsid w:val="00E1265B"/>
    <w:rsid w:val="00E13B48"/>
    <w:rsid w:val="00E1404F"/>
    <w:rsid w:val="00E21C83"/>
    <w:rsid w:val="00E2437D"/>
    <w:rsid w:val="00E24ADA"/>
    <w:rsid w:val="00E32F59"/>
    <w:rsid w:val="00E33E3F"/>
    <w:rsid w:val="00E44A5A"/>
    <w:rsid w:val="00E46924"/>
    <w:rsid w:val="00E46D9A"/>
    <w:rsid w:val="00E565FF"/>
    <w:rsid w:val="00E65388"/>
    <w:rsid w:val="00E701F0"/>
    <w:rsid w:val="00E83AFD"/>
    <w:rsid w:val="00E85B7D"/>
    <w:rsid w:val="00E9121B"/>
    <w:rsid w:val="00EA0AE2"/>
    <w:rsid w:val="00EA39E5"/>
    <w:rsid w:val="00EA5E72"/>
    <w:rsid w:val="00EB563C"/>
    <w:rsid w:val="00EC5A46"/>
    <w:rsid w:val="00EC63E2"/>
    <w:rsid w:val="00EE7A32"/>
    <w:rsid w:val="00EF22B3"/>
    <w:rsid w:val="00F02B81"/>
    <w:rsid w:val="00F03B69"/>
    <w:rsid w:val="00F07487"/>
    <w:rsid w:val="00F07A50"/>
    <w:rsid w:val="00F113DA"/>
    <w:rsid w:val="00F15CC6"/>
    <w:rsid w:val="00F21C7C"/>
    <w:rsid w:val="00F24AB6"/>
    <w:rsid w:val="00F37DC8"/>
    <w:rsid w:val="00F439B3"/>
    <w:rsid w:val="00F55490"/>
    <w:rsid w:val="00F650C3"/>
    <w:rsid w:val="00F65D85"/>
    <w:rsid w:val="00F8091E"/>
    <w:rsid w:val="00F8615C"/>
    <w:rsid w:val="00F94214"/>
    <w:rsid w:val="00F969E5"/>
    <w:rsid w:val="00FA3208"/>
    <w:rsid w:val="00FA5BA4"/>
    <w:rsid w:val="00FA6BB0"/>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5B5922"/>
  <w15:docId w15:val="{CCD1F94C-34F3-4B31-8D59-EC6C8D12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2127B"/>
    <w:pPr>
      <w:tabs>
        <w:tab w:val="left" w:pos="1247"/>
        <w:tab w:val="left" w:pos="1814"/>
        <w:tab w:val="left" w:pos="2381"/>
        <w:tab w:val="left" w:pos="2948"/>
        <w:tab w:val="left" w:pos="3515"/>
      </w:tabs>
    </w:pPr>
    <w:rPr>
      <w:lang w:val="en-GB"/>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link w:val="Heading8Char"/>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basedOn w:val="DefaultParagraphFont"/>
    <w:uiPriority w:val="99"/>
    <w:rsid w:val="000D6941"/>
    <w:rPr>
      <w:rFonts w:ascii="Times New Roman" w:hAnsi="Times New Roman"/>
      <w:color w:val="auto"/>
      <w:sz w:val="20"/>
      <w:szCs w:val="18"/>
      <w:vertAlign w:val="superscript"/>
    </w:rPr>
  </w:style>
  <w:style w:type="paragraph" w:styleId="FootnoteText">
    <w:name w:val="footnote text"/>
    <w:basedOn w:val="Normalpool"/>
    <w:link w:val="FootnoteTextChar"/>
    <w:uiPriority w:val="99"/>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7D7DC1"/>
    <w:pPr>
      <w:tabs>
        <w:tab w:val="clear" w:pos="4082"/>
      </w:tabs>
      <w:spacing w:before="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uiPriority w:val="99"/>
    <w:qFormat/>
    <w:rsid w:val="00024C14"/>
    <w:pPr>
      <w:numPr>
        <w:numId w:val="3"/>
      </w:numPr>
      <w:tabs>
        <w:tab w:val="clear" w:pos="1814"/>
        <w:tab w:val="clear" w:pos="2381"/>
        <w:tab w:val="clear" w:pos="2948"/>
        <w:tab w:val="clear" w:pos="3515"/>
        <w:tab w:val="clear" w:pos="4082"/>
        <w:tab w:val="left" w:pos="624"/>
        <w:tab w:val="left" w:pos="1871"/>
        <w:tab w:val="left" w:pos="2495"/>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1B6CA5"/>
    <w:rPr>
      <w:rFonts w:ascii="Segoe UI" w:hAnsi="Segoe UI" w:cs="Segoe UI"/>
      <w:sz w:val="18"/>
      <w:szCs w:val="18"/>
    </w:rPr>
  </w:style>
  <w:style w:type="character" w:customStyle="1" w:styleId="BalloonTextChar">
    <w:name w:val="Balloon Text Char"/>
    <w:basedOn w:val="DefaultParagraphFont"/>
    <w:link w:val="BalloonText"/>
    <w:semiHidden/>
    <w:rsid w:val="001B6CA5"/>
    <w:rPr>
      <w:rFonts w:ascii="Segoe UI" w:eastAsia="MS Mincho" w:hAnsi="Segoe UI" w:cs="Segoe UI"/>
      <w:sz w:val="18"/>
      <w:szCs w:val="18"/>
    </w:rPr>
  </w:style>
  <w:style w:type="character" w:customStyle="1" w:styleId="Normal-poolChar">
    <w:name w:val="Normal-pool Char"/>
    <w:link w:val="Normal-pool"/>
    <w:rsid w:val="007E2B3C"/>
    <w:rPr>
      <w:lang w:val="en-GB"/>
    </w:rPr>
  </w:style>
  <w:style w:type="character" w:customStyle="1" w:styleId="CH2Char">
    <w:name w:val="CH2 Char"/>
    <w:link w:val="CH2"/>
    <w:rsid w:val="00B7226A"/>
    <w:rPr>
      <w:b/>
      <w:sz w:val="24"/>
      <w:szCs w:val="24"/>
      <w:lang w:val="en-GB"/>
    </w:rPr>
  </w:style>
  <w:style w:type="character" w:customStyle="1" w:styleId="Heading8Char">
    <w:name w:val="Heading 8 Char"/>
    <w:basedOn w:val="DefaultParagraphFont"/>
    <w:link w:val="Heading8"/>
    <w:rsid w:val="00B7226A"/>
    <w:rPr>
      <w:rFonts w:ascii="Calibri" w:eastAsia="MS Mincho" w:hAnsi="Calibri"/>
      <w:snapToGrid w:val="0"/>
      <w:sz w:val="22"/>
      <w:szCs w:val="22"/>
      <w:u w:val="single"/>
    </w:rPr>
  </w:style>
  <w:style w:type="character" w:customStyle="1" w:styleId="NormalnumberChar">
    <w:name w:val="Normal_number Char"/>
    <w:link w:val="Normalnumber"/>
    <w:uiPriority w:val="99"/>
    <w:rsid w:val="00B7226A"/>
    <w:rPr>
      <w:lang w:val="en-GB"/>
    </w:rPr>
  </w:style>
  <w:style w:type="character" w:customStyle="1" w:styleId="FootnoteTextChar">
    <w:name w:val="Footnote Text Char"/>
    <w:basedOn w:val="DefaultParagraphFont"/>
    <w:link w:val="FootnoteText"/>
    <w:uiPriority w:val="99"/>
    <w:rsid w:val="00B7226A"/>
    <w:rPr>
      <w:sz w:val="18"/>
      <w:lang w:val="fr-FR"/>
    </w:rPr>
  </w:style>
  <w:style w:type="character" w:customStyle="1" w:styleId="FooterChar">
    <w:name w:val="Footer Char"/>
    <w:basedOn w:val="DefaultParagraphFont"/>
    <w:link w:val="Footer"/>
    <w:uiPriority w:val="99"/>
    <w:rsid w:val="00D2127B"/>
    <w:rPr>
      <w:rFonts w:ascii="Calibri" w:eastAsia="MS Mincho" w:hAnsi="Calibri"/>
      <w:sz w:val="18"/>
      <w:szCs w:val="22"/>
    </w:rPr>
  </w:style>
  <w:style w:type="character" w:customStyle="1" w:styleId="HeaderChar">
    <w:name w:val="Header Char"/>
    <w:link w:val="Header"/>
    <w:uiPriority w:val="99"/>
    <w:rsid w:val="00D2127B"/>
    <w:rPr>
      <w:rFonts w:ascii="Calibri" w:eastAsia="MS Mincho" w:hAnsi="Calibri"/>
      <w:b/>
      <w:sz w:val="18"/>
      <w:szCs w:val="22"/>
    </w:rPr>
  </w:style>
  <w:style w:type="paragraph" w:customStyle="1" w:styleId="Normal-Number">
    <w:name w:val="Normal - Number"/>
    <w:basedOn w:val="Normal"/>
    <w:qFormat/>
    <w:rsid w:val="00D2127B"/>
    <w:pPr>
      <w:numPr>
        <w:numId w:val="18"/>
      </w:numPr>
      <w:tabs>
        <w:tab w:val="clear" w:pos="1814"/>
        <w:tab w:val="clear" w:pos="2381"/>
        <w:tab w:val="clear" w:pos="2948"/>
        <w:tab w:val="clear" w:pos="3515"/>
        <w:tab w:val="left" w:pos="624"/>
        <w:tab w:val="left" w:pos="1871"/>
        <w:tab w:val="left" w:pos="2495"/>
      </w:tabs>
      <w:suppressAutoHyphens/>
      <w:spacing w:after="120"/>
    </w:pPr>
    <w:rPr>
      <w:rFonts w:eastAsia="Droid Sans Fallback" w:cs="Calibri"/>
      <w:szCs w:val="22"/>
    </w:rPr>
  </w:style>
  <w:style w:type="table" w:styleId="TableGrid">
    <w:name w:val="Table Grid"/>
    <w:basedOn w:val="TableNormal"/>
    <w:uiPriority w:val="39"/>
    <w:rsid w:val="00D2127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786002">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704133942">
      <w:bodyDiv w:val="1"/>
      <w:marLeft w:val="0"/>
      <w:marRight w:val="0"/>
      <w:marTop w:val="0"/>
      <w:marBottom w:val="0"/>
      <w:divBdr>
        <w:top w:val="none" w:sz="0" w:space="0" w:color="auto"/>
        <w:left w:val="none" w:sz="0" w:space="0" w:color="auto"/>
        <w:bottom w:val="none" w:sz="0" w:space="0" w:color="auto"/>
        <w:right w:val="none" w:sz="0" w:space="0" w:color="auto"/>
      </w:divBdr>
    </w:div>
    <w:div w:id="800000595">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20templates%20and%20mastheads_BACKUP\TEMPLATES%20AND%20MASTHEADS\Document%20templates\IPBES%20NEW%20MASTHEAD\IPBES-5\IPBES%20-%205%20-%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67395-5CEF-4486-A9EA-EAB6EAAD3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IPBES - 5 - NEW.dotx</Template>
  <TotalTime>2</TotalTime>
  <Pages>4</Pages>
  <Words>1877</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Veronica Gathu</cp:lastModifiedBy>
  <cp:revision>5</cp:revision>
  <cp:lastPrinted>2017-11-30T12:25:00Z</cp:lastPrinted>
  <dcterms:created xsi:type="dcterms:W3CDTF">2018-01-15T12:36:00Z</dcterms:created>
  <dcterms:modified xsi:type="dcterms:W3CDTF">2018-01-18T08:27:00Z</dcterms:modified>
</cp:coreProperties>
</file>