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1" w:type="pct"/>
        <w:jc w:val="right"/>
        <w:tblLayout w:type="fixed"/>
        <w:tblLook w:val="04A0" w:firstRow="1" w:lastRow="0" w:firstColumn="1" w:lastColumn="0" w:noHBand="0" w:noVBand="1"/>
      </w:tblPr>
      <w:tblGrid>
        <w:gridCol w:w="1506"/>
        <w:gridCol w:w="571"/>
        <w:gridCol w:w="428"/>
        <w:gridCol w:w="857"/>
        <w:gridCol w:w="858"/>
        <w:gridCol w:w="3262"/>
        <w:gridCol w:w="715"/>
        <w:gridCol w:w="1812"/>
      </w:tblGrid>
      <w:tr w:rsidR="00A466BC" w:rsidRPr="00084982" w14:paraId="4F9B1458" w14:textId="77777777" w:rsidTr="00F520D7">
        <w:trPr>
          <w:cantSplit/>
          <w:trHeight w:val="1247"/>
          <w:jc w:val="right"/>
        </w:trPr>
        <w:tc>
          <w:tcPr>
            <w:tcW w:w="1540" w:type="dxa"/>
            <w:hideMark/>
          </w:tcPr>
          <w:p w14:paraId="3AB5C926" w14:textId="77777777" w:rsidR="00A466BC" w:rsidRPr="00084982" w:rsidRDefault="00A466BC" w:rsidP="00F520D7">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
              </w:rPr>
            </w:pPr>
            <w:bookmarkStart w:id="0" w:name="_GoBack"/>
            <w:bookmarkEnd w:id="0"/>
            <w:r w:rsidRPr="00084982">
              <w:rPr>
                <w:rFonts w:ascii="Arial" w:eastAsia="Times New Roman" w:hAnsi="Arial" w:cs="Arial"/>
                <w:b/>
                <w:sz w:val="27"/>
                <w:szCs w:val="27"/>
                <w:lang w:val="es-ES"/>
              </w:rPr>
              <w:t>NACIONES UNIDAS</w:t>
            </w:r>
          </w:p>
        </w:tc>
        <w:tc>
          <w:tcPr>
            <w:tcW w:w="1019" w:type="dxa"/>
            <w:gridSpan w:val="2"/>
            <w:vAlign w:val="center"/>
            <w:hideMark/>
          </w:tcPr>
          <w:p w14:paraId="6AF28B06" w14:textId="77777777" w:rsidR="00A466BC" w:rsidRPr="00084982" w:rsidRDefault="00A466BC" w:rsidP="00F520D7">
            <w:pPr>
              <w:tabs>
                <w:tab w:val="left" w:pos="1247"/>
                <w:tab w:val="left" w:pos="1814"/>
                <w:tab w:val="left" w:pos="2381"/>
                <w:tab w:val="left" w:pos="2948"/>
                <w:tab w:val="left" w:pos="3515"/>
              </w:tabs>
              <w:ind w:left="-57"/>
              <w:jc w:val="center"/>
              <w:rPr>
                <w:rFonts w:eastAsia="Times New Roman"/>
                <w:lang w:val="es-ES"/>
              </w:rPr>
            </w:pPr>
            <w:r w:rsidRPr="00084982">
              <w:rPr>
                <w:rFonts w:eastAsia="Times New Roman"/>
                <w:noProof/>
                <w:lang w:val="en-GB" w:eastAsia="en-GB"/>
              </w:rPr>
              <w:drawing>
                <wp:inline distT="0" distB="0" distL="0" distR="0" wp14:anchorId="0583E37A" wp14:editId="2FBA8441">
                  <wp:extent cx="552450" cy="552450"/>
                  <wp:effectExtent l="0" t="0" r="0" b="0"/>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73" w:type="dxa"/>
            <w:vAlign w:val="center"/>
            <w:hideMark/>
          </w:tcPr>
          <w:p w14:paraId="75CC454F" w14:textId="77777777" w:rsidR="00A466BC" w:rsidRPr="00084982" w:rsidRDefault="00A466BC" w:rsidP="00F520D7">
            <w:pPr>
              <w:tabs>
                <w:tab w:val="left" w:pos="1247"/>
                <w:tab w:val="left" w:pos="1814"/>
                <w:tab w:val="left" w:pos="2450"/>
                <w:tab w:val="left" w:pos="2948"/>
                <w:tab w:val="left" w:pos="3515"/>
              </w:tabs>
              <w:ind w:left="-170" w:right="-170"/>
              <w:jc w:val="center"/>
              <w:rPr>
                <w:rFonts w:eastAsia="Times New Roman"/>
                <w:lang w:val="es-ES"/>
              </w:rPr>
            </w:pPr>
            <w:r w:rsidRPr="00084982">
              <w:rPr>
                <w:lang w:val="es-ES"/>
              </w:rPr>
              <w:object w:dxaOrig="885" w:dyaOrig="885" w14:anchorId="7A3E3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78733533" r:id="rId10"/>
              </w:object>
            </w:r>
          </w:p>
        </w:tc>
        <w:tc>
          <w:tcPr>
            <w:tcW w:w="874" w:type="dxa"/>
            <w:vAlign w:val="center"/>
            <w:hideMark/>
          </w:tcPr>
          <w:p w14:paraId="388BE9B3" w14:textId="77777777" w:rsidR="00A466BC" w:rsidRPr="00084982" w:rsidRDefault="00A466BC" w:rsidP="00F520D7">
            <w:pPr>
              <w:tabs>
                <w:tab w:val="left" w:pos="1247"/>
                <w:tab w:val="left" w:pos="1814"/>
                <w:tab w:val="left" w:pos="2381"/>
                <w:tab w:val="left" w:pos="2948"/>
                <w:tab w:val="left" w:pos="3515"/>
              </w:tabs>
              <w:ind w:left="-142"/>
              <w:jc w:val="center"/>
              <w:rPr>
                <w:rFonts w:eastAsia="Times New Roman"/>
                <w:lang w:val="es-ES"/>
              </w:rPr>
            </w:pPr>
            <w:r w:rsidRPr="00084982">
              <w:rPr>
                <w:rFonts w:eastAsia="Times New Roman"/>
                <w:noProof/>
                <w:lang w:val="en-GB" w:eastAsia="en-GB"/>
              </w:rPr>
              <w:drawing>
                <wp:inline distT="0" distB="0" distL="0" distR="0" wp14:anchorId="21708FA7" wp14:editId="7643AB91">
                  <wp:extent cx="584200" cy="457200"/>
                  <wp:effectExtent l="0" t="0" r="6350" b="0"/>
                  <wp:docPr id="9" name="Picture 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342" w:type="dxa"/>
            <w:vAlign w:val="center"/>
            <w:hideMark/>
          </w:tcPr>
          <w:p w14:paraId="6A91578F" w14:textId="77777777" w:rsidR="00A466BC" w:rsidRPr="00084982" w:rsidRDefault="00A466BC" w:rsidP="00F520D7">
            <w:pPr>
              <w:tabs>
                <w:tab w:val="left" w:pos="1247"/>
                <w:tab w:val="left" w:pos="1814"/>
                <w:tab w:val="left" w:pos="2450"/>
                <w:tab w:val="left" w:pos="2948"/>
                <w:tab w:val="left" w:pos="3515"/>
              </w:tabs>
              <w:ind w:left="-57" w:right="-142"/>
              <w:rPr>
                <w:rFonts w:eastAsia="Times New Roman"/>
                <w:lang w:val="es-ES"/>
              </w:rPr>
            </w:pPr>
            <w:r w:rsidRPr="00084982">
              <w:rPr>
                <w:rFonts w:eastAsia="Times New Roman"/>
                <w:lang w:val="es-ES"/>
              </w:rPr>
              <w:object w:dxaOrig="3135" w:dyaOrig="600" w14:anchorId="40453958">
                <v:shape id="_x0000_i1026" type="#_x0000_t75" style="width:157.5pt;height:30pt" o:ole="">
                  <v:imagedata r:id="rId12" o:title=""/>
                </v:shape>
                <o:OLEObject Type="Embed" ProgID="PBrush" ShapeID="_x0000_i1026" DrawAspect="Content" ObjectID="_1578733534" r:id="rId13"/>
              </w:object>
            </w:r>
          </w:p>
        </w:tc>
        <w:tc>
          <w:tcPr>
            <w:tcW w:w="728" w:type="dxa"/>
            <w:vAlign w:val="center"/>
            <w:hideMark/>
          </w:tcPr>
          <w:p w14:paraId="64D8F97D" w14:textId="77777777" w:rsidR="00A466BC" w:rsidRPr="00084982" w:rsidRDefault="00A466BC" w:rsidP="00F520D7">
            <w:pPr>
              <w:tabs>
                <w:tab w:val="left" w:pos="1247"/>
                <w:tab w:val="left" w:pos="1814"/>
                <w:tab w:val="left" w:pos="2381"/>
                <w:tab w:val="left" w:pos="2948"/>
                <w:tab w:val="left" w:pos="3515"/>
              </w:tabs>
              <w:ind w:left="-154" w:right="-142"/>
              <w:jc w:val="center"/>
              <w:rPr>
                <w:rFonts w:eastAsia="Times New Roman"/>
                <w:lang w:val="es-ES"/>
              </w:rPr>
            </w:pPr>
            <w:r w:rsidRPr="00084982">
              <w:rPr>
                <w:noProof/>
                <w:lang w:val="en-GB" w:eastAsia="en-GB"/>
              </w:rPr>
              <w:drawing>
                <wp:inline distT="0" distB="0" distL="0" distR="0" wp14:anchorId="1D19D8D5" wp14:editId="03A0204D">
                  <wp:extent cx="317500" cy="6286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853" w:type="dxa"/>
            <w:hideMark/>
          </w:tcPr>
          <w:p w14:paraId="72E829DE" w14:textId="77777777" w:rsidR="00A466BC" w:rsidRPr="00084982" w:rsidRDefault="00A466BC" w:rsidP="00F520D7">
            <w:pPr>
              <w:keepNext/>
              <w:tabs>
                <w:tab w:val="left" w:pos="1814"/>
                <w:tab w:val="left" w:pos="2381"/>
                <w:tab w:val="left" w:pos="2948"/>
                <w:tab w:val="left" w:pos="3515"/>
              </w:tabs>
              <w:spacing w:before="40"/>
              <w:ind w:left="-151"/>
              <w:jc w:val="right"/>
              <w:outlineLvl w:val="1"/>
              <w:rPr>
                <w:rFonts w:ascii="Arial" w:eastAsia="Times New Roman" w:hAnsi="Arial"/>
                <w:b/>
                <w:sz w:val="64"/>
                <w:szCs w:val="24"/>
                <w:lang w:val="es-ES"/>
              </w:rPr>
            </w:pPr>
            <w:r w:rsidRPr="00084982">
              <w:rPr>
                <w:rFonts w:ascii="Arial" w:eastAsia="Times New Roman" w:hAnsi="Arial" w:cs="Arial"/>
                <w:b/>
                <w:sz w:val="64"/>
                <w:szCs w:val="64"/>
                <w:lang w:val="es-ES"/>
              </w:rPr>
              <w:t>BES</w:t>
            </w:r>
          </w:p>
        </w:tc>
      </w:tr>
      <w:tr w:rsidR="00A466BC" w:rsidRPr="00084982" w14:paraId="35C6BCC6" w14:textId="77777777" w:rsidTr="00F520D7">
        <w:trPr>
          <w:cantSplit/>
          <w:trHeight w:val="282"/>
          <w:jc w:val="right"/>
        </w:trPr>
        <w:tc>
          <w:tcPr>
            <w:tcW w:w="1540" w:type="dxa"/>
            <w:tcBorders>
              <w:top w:val="nil"/>
              <w:left w:val="nil"/>
              <w:bottom w:val="single" w:sz="2" w:space="0" w:color="auto"/>
              <w:right w:val="nil"/>
            </w:tcBorders>
          </w:tcPr>
          <w:p w14:paraId="0B6866FD" w14:textId="77777777" w:rsidR="00A466BC" w:rsidRPr="00084982" w:rsidRDefault="00A466BC" w:rsidP="00F520D7">
            <w:pPr>
              <w:pStyle w:val="Normal-pool"/>
              <w:rPr>
                <w:lang w:val="es-ES"/>
              </w:rPr>
            </w:pPr>
          </w:p>
        </w:tc>
        <w:tc>
          <w:tcPr>
            <w:tcW w:w="6108" w:type="dxa"/>
            <w:gridSpan w:val="5"/>
            <w:tcBorders>
              <w:top w:val="nil"/>
              <w:left w:val="nil"/>
              <w:bottom w:val="single" w:sz="2" w:space="0" w:color="auto"/>
              <w:right w:val="nil"/>
            </w:tcBorders>
          </w:tcPr>
          <w:p w14:paraId="3F43A46B" w14:textId="77777777" w:rsidR="00A466BC" w:rsidRPr="00084982" w:rsidRDefault="00A466BC" w:rsidP="00F520D7">
            <w:pPr>
              <w:pStyle w:val="Normal-pool"/>
              <w:rPr>
                <w:lang w:val="es-ES"/>
              </w:rPr>
            </w:pPr>
          </w:p>
        </w:tc>
        <w:tc>
          <w:tcPr>
            <w:tcW w:w="2581" w:type="dxa"/>
            <w:gridSpan w:val="2"/>
            <w:tcBorders>
              <w:top w:val="nil"/>
              <w:left w:val="nil"/>
              <w:bottom w:val="single" w:sz="2" w:space="0" w:color="auto"/>
              <w:right w:val="nil"/>
            </w:tcBorders>
            <w:hideMark/>
          </w:tcPr>
          <w:p w14:paraId="210772AB" w14:textId="134314FD" w:rsidR="00A466BC" w:rsidRPr="00084982" w:rsidRDefault="00A466BC" w:rsidP="00A466BC">
            <w:pPr>
              <w:pStyle w:val="Normal-pool"/>
              <w:rPr>
                <w:lang w:val="es-ES"/>
              </w:rPr>
            </w:pPr>
            <w:r w:rsidRPr="0079448F">
              <w:rPr>
                <w:b/>
                <w:sz w:val="24"/>
                <w:szCs w:val="24"/>
                <w:lang w:val="es-ES"/>
              </w:rPr>
              <w:t>IPBES</w:t>
            </w:r>
            <w:r w:rsidRPr="00084982">
              <w:rPr>
                <w:lang w:val="es-ES"/>
              </w:rPr>
              <w:t>/6/8</w:t>
            </w:r>
          </w:p>
        </w:tc>
      </w:tr>
      <w:tr w:rsidR="00A466BC" w:rsidRPr="00084982" w14:paraId="3431D7A0" w14:textId="77777777" w:rsidTr="00F520D7">
        <w:trPr>
          <w:cantSplit/>
          <w:trHeight w:val="1433"/>
          <w:jc w:val="right"/>
        </w:trPr>
        <w:tc>
          <w:tcPr>
            <w:tcW w:w="2122" w:type="dxa"/>
            <w:gridSpan w:val="2"/>
            <w:tcBorders>
              <w:top w:val="single" w:sz="2" w:space="0" w:color="auto"/>
              <w:left w:val="nil"/>
              <w:bottom w:val="single" w:sz="24" w:space="0" w:color="auto"/>
              <w:right w:val="nil"/>
            </w:tcBorders>
            <w:hideMark/>
          </w:tcPr>
          <w:p w14:paraId="2444C9AE" w14:textId="77777777" w:rsidR="00A466BC" w:rsidRPr="00084982" w:rsidRDefault="00A466BC" w:rsidP="00F520D7">
            <w:pPr>
              <w:tabs>
                <w:tab w:val="left" w:pos="1247"/>
                <w:tab w:val="left" w:pos="1814"/>
                <w:tab w:val="left" w:pos="2381"/>
                <w:tab w:val="left" w:pos="2948"/>
                <w:tab w:val="left" w:pos="3515"/>
              </w:tabs>
              <w:spacing w:before="240" w:after="240"/>
              <w:rPr>
                <w:rFonts w:ascii="Arial" w:eastAsia="Times New Roman" w:hAnsi="Arial" w:cs="Arial"/>
                <w:b/>
                <w:sz w:val="28"/>
                <w:szCs w:val="28"/>
                <w:lang w:val="es-ES"/>
              </w:rPr>
            </w:pPr>
            <w:r w:rsidRPr="00084982">
              <w:rPr>
                <w:rFonts w:ascii="Arial" w:hAnsi="Arial" w:cs="Arial"/>
                <w:b/>
                <w:noProof/>
                <w:sz w:val="28"/>
                <w:szCs w:val="28"/>
                <w:lang w:val="en-GB" w:eastAsia="en-GB"/>
              </w:rPr>
              <w:drawing>
                <wp:inline distT="0" distB="0" distL="0" distR="0" wp14:anchorId="3103D0F0" wp14:editId="7A734C0B">
                  <wp:extent cx="1117600" cy="514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526" w:type="dxa"/>
            <w:gridSpan w:val="4"/>
            <w:tcBorders>
              <w:top w:val="single" w:sz="2" w:space="0" w:color="auto"/>
              <w:left w:val="nil"/>
              <w:bottom w:val="single" w:sz="24" w:space="0" w:color="auto"/>
              <w:right w:val="nil"/>
            </w:tcBorders>
            <w:hideMark/>
          </w:tcPr>
          <w:p w14:paraId="7DF9D234" w14:textId="77777777" w:rsidR="00A466BC" w:rsidRPr="00084982" w:rsidRDefault="00A466BC" w:rsidP="00F520D7">
            <w:pPr>
              <w:tabs>
                <w:tab w:val="left" w:pos="1247"/>
                <w:tab w:val="left" w:pos="1814"/>
                <w:tab w:val="left" w:pos="2381"/>
                <w:tab w:val="left" w:pos="2948"/>
                <w:tab w:val="left" w:pos="3515"/>
              </w:tabs>
              <w:spacing w:before="360"/>
              <w:rPr>
                <w:rFonts w:ascii="Arial" w:eastAsia="Times New Roman" w:hAnsi="Arial" w:cs="Arial"/>
                <w:b/>
                <w:sz w:val="28"/>
                <w:szCs w:val="28"/>
                <w:lang w:val="es-ES"/>
              </w:rPr>
            </w:pPr>
            <w:r w:rsidRPr="00084982">
              <w:rPr>
                <w:rFonts w:ascii="Arial" w:eastAsia="Times New Roman" w:hAnsi="Arial" w:cs="Arial"/>
                <w:b/>
                <w:sz w:val="28"/>
                <w:szCs w:val="28"/>
                <w:lang w:val="es-ES"/>
              </w:rPr>
              <w:t>Plataforma Intergubernamental Científico</w:t>
            </w:r>
            <w:r w:rsidRPr="00084982">
              <w:rPr>
                <w:rFonts w:ascii="Arial" w:eastAsia="Times New Roman" w:hAnsi="Arial" w:cs="Arial"/>
                <w:b/>
                <w:sz w:val="28"/>
                <w:szCs w:val="28"/>
                <w:lang w:val="es-ES"/>
              </w:rPr>
              <w:noBreakHyphen/>
              <w:t>normativa sobre Diversidad Biológica y Servicios de los Ecosistemas</w:t>
            </w:r>
          </w:p>
        </w:tc>
        <w:tc>
          <w:tcPr>
            <w:tcW w:w="2581" w:type="dxa"/>
            <w:gridSpan w:val="2"/>
            <w:tcBorders>
              <w:top w:val="single" w:sz="2" w:space="0" w:color="auto"/>
              <w:left w:val="nil"/>
              <w:bottom w:val="single" w:sz="24" w:space="0" w:color="auto"/>
              <w:right w:val="nil"/>
            </w:tcBorders>
            <w:hideMark/>
          </w:tcPr>
          <w:p w14:paraId="7402055B" w14:textId="52832896" w:rsidR="00A466BC" w:rsidRPr="00084982" w:rsidRDefault="00A466BC" w:rsidP="00F520D7">
            <w:pPr>
              <w:tabs>
                <w:tab w:val="left" w:pos="1247"/>
                <w:tab w:val="left" w:pos="1814"/>
                <w:tab w:val="left" w:pos="2381"/>
                <w:tab w:val="left" w:pos="2948"/>
                <w:tab w:val="left" w:pos="3515"/>
              </w:tabs>
              <w:spacing w:before="120"/>
              <w:rPr>
                <w:rFonts w:ascii="Times New Roman" w:eastAsia="Times New Roman" w:hAnsi="Times New Roman"/>
                <w:sz w:val="20"/>
                <w:szCs w:val="20"/>
                <w:lang w:val="es-ES"/>
              </w:rPr>
            </w:pPr>
            <w:r w:rsidRPr="00084982">
              <w:rPr>
                <w:rFonts w:ascii="Times New Roman" w:eastAsia="Times New Roman" w:hAnsi="Times New Roman"/>
                <w:sz w:val="20"/>
                <w:szCs w:val="20"/>
                <w:lang w:val="es-ES"/>
              </w:rPr>
              <w:t xml:space="preserve">Distr. </w:t>
            </w:r>
            <w:r w:rsidR="000712E0" w:rsidRPr="00084982">
              <w:rPr>
                <w:rFonts w:ascii="Times New Roman" w:eastAsia="Times New Roman" w:hAnsi="Times New Roman"/>
                <w:sz w:val="20"/>
                <w:szCs w:val="20"/>
                <w:lang w:val="es-ES"/>
              </w:rPr>
              <w:t>g</w:t>
            </w:r>
            <w:r w:rsidRPr="00084982">
              <w:rPr>
                <w:rFonts w:ascii="Times New Roman" w:eastAsia="Times New Roman" w:hAnsi="Times New Roman"/>
                <w:sz w:val="20"/>
                <w:szCs w:val="20"/>
                <w:lang w:val="es-ES"/>
              </w:rPr>
              <w:t>eneral</w:t>
            </w:r>
            <w:r w:rsidRPr="00084982">
              <w:rPr>
                <w:rFonts w:ascii="Times New Roman" w:eastAsia="Times New Roman" w:hAnsi="Times New Roman"/>
                <w:sz w:val="20"/>
                <w:szCs w:val="20"/>
                <w:lang w:val="es-ES"/>
              </w:rPr>
              <w:br/>
              <w:t>4 de diciembre de 2017</w:t>
            </w:r>
          </w:p>
          <w:p w14:paraId="0C9466A1" w14:textId="77777777" w:rsidR="00A466BC" w:rsidRPr="00084982" w:rsidRDefault="00A466BC" w:rsidP="00F520D7">
            <w:pPr>
              <w:tabs>
                <w:tab w:val="left" w:pos="1247"/>
                <w:tab w:val="left" w:pos="1814"/>
                <w:tab w:val="left" w:pos="2381"/>
                <w:tab w:val="left" w:pos="2948"/>
                <w:tab w:val="left" w:pos="3515"/>
              </w:tabs>
              <w:spacing w:before="120" w:after="120"/>
              <w:rPr>
                <w:rFonts w:eastAsia="Times New Roman"/>
                <w:lang w:val="es-ES"/>
              </w:rPr>
            </w:pPr>
            <w:r w:rsidRPr="00084982">
              <w:rPr>
                <w:rFonts w:ascii="Times New Roman" w:eastAsia="Times New Roman" w:hAnsi="Times New Roman"/>
                <w:sz w:val="20"/>
                <w:szCs w:val="20"/>
                <w:lang w:val="es-ES"/>
              </w:rPr>
              <w:t>Español</w:t>
            </w:r>
            <w:r w:rsidRPr="00084982">
              <w:rPr>
                <w:rFonts w:ascii="Times New Roman" w:eastAsia="Times New Roman" w:hAnsi="Times New Roman"/>
                <w:sz w:val="20"/>
                <w:szCs w:val="20"/>
                <w:lang w:val="es-ES"/>
              </w:rPr>
              <w:br/>
              <w:t>Original: inglés</w:t>
            </w:r>
          </w:p>
        </w:tc>
      </w:tr>
    </w:tbl>
    <w:p w14:paraId="7729E43F" w14:textId="77777777" w:rsidR="00A466BC" w:rsidRPr="00084982" w:rsidRDefault="00A466BC" w:rsidP="000712E0">
      <w:pPr>
        <w:tabs>
          <w:tab w:val="left" w:pos="1247"/>
          <w:tab w:val="left" w:pos="1814"/>
          <w:tab w:val="left" w:pos="2381"/>
          <w:tab w:val="left" w:pos="2948"/>
          <w:tab w:val="left" w:pos="3515"/>
        </w:tabs>
        <w:suppressAutoHyphens/>
        <w:spacing w:after="0" w:line="240" w:lineRule="auto"/>
        <w:ind w:left="-181" w:right="3402"/>
        <w:rPr>
          <w:rFonts w:ascii="Times New Roman" w:eastAsia="Times New Roman" w:hAnsi="Times New Roman"/>
          <w:b/>
          <w:sz w:val="20"/>
          <w:szCs w:val="20"/>
          <w:lang w:val="es-ES"/>
        </w:rPr>
      </w:pPr>
      <w:r w:rsidRPr="00084982">
        <w:rPr>
          <w:rFonts w:ascii="Times New Roman" w:hAnsi="Times New Roman"/>
          <w:b/>
          <w:sz w:val="20"/>
          <w:szCs w:val="20"/>
          <w:lang w:val="es-ES"/>
        </w:rPr>
        <w:t>Plenario de la Plataforma Intergubernamental Científico-normativa</w:t>
      </w:r>
    </w:p>
    <w:p w14:paraId="1D263DE6" w14:textId="77777777" w:rsidR="00A466BC" w:rsidRPr="00084982" w:rsidRDefault="00A466BC" w:rsidP="000712E0">
      <w:pPr>
        <w:tabs>
          <w:tab w:val="left" w:pos="1247"/>
          <w:tab w:val="left" w:pos="1814"/>
          <w:tab w:val="left" w:pos="2381"/>
          <w:tab w:val="left" w:pos="2948"/>
          <w:tab w:val="left" w:pos="3515"/>
        </w:tabs>
        <w:suppressAutoHyphens/>
        <w:spacing w:after="0" w:line="240" w:lineRule="auto"/>
        <w:ind w:left="-181" w:right="3402"/>
        <w:rPr>
          <w:rFonts w:ascii="Times New Roman" w:eastAsia="Times New Roman" w:hAnsi="Times New Roman"/>
          <w:b/>
          <w:sz w:val="20"/>
          <w:szCs w:val="20"/>
          <w:lang w:val="es-ES"/>
        </w:rPr>
      </w:pPr>
      <w:r w:rsidRPr="00084982">
        <w:rPr>
          <w:rFonts w:ascii="Times New Roman" w:hAnsi="Times New Roman"/>
          <w:b/>
          <w:sz w:val="20"/>
          <w:szCs w:val="20"/>
          <w:lang w:val="es-ES"/>
        </w:rPr>
        <w:t>sobre Diversidad Biológica y Servicios de los Ecosistemas</w:t>
      </w:r>
    </w:p>
    <w:p w14:paraId="5F216184" w14:textId="77777777" w:rsidR="00A466BC" w:rsidRPr="00084982" w:rsidRDefault="00A466BC" w:rsidP="000712E0">
      <w:pPr>
        <w:tabs>
          <w:tab w:val="left" w:pos="1247"/>
          <w:tab w:val="left" w:pos="1814"/>
          <w:tab w:val="left" w:pos="2381"/>
          <w:tab w:val="left" w:pos="2948"/>
          <w:tab w:val="left" w:pos="3515"/>
        </w:tabs>
        <w:suppressAutoHyphens/>
        <w:spacing w:after="0" w:line="240" w:lineRule="auto"/>
        <w:ind w:left="-181" w:right="3402"/>
        <w:rPr>
          <w:rFonts w:ascii="Times New Roman" w:eastAsia="Times New Roman" w:hAnsi="Times New Roman"/>
          <w:b/>
          <w:sz w:val="20"/>
          <w:szCs w:val="20"/>
          <w:lang w:val="es-ES"/>
        </w:rPr>
      </w:pPr>
      <w:r w:rsidRPr="00084982">
        <w:rPr>
          <w:rFonts w:ascii="Times New Roman" w:hAnsi="Times New Roman"/>
          <w:b/>
          <w:sz w:val="20"/>
          <w:szCs w:val="20"/>
          <w:lang w:val="es-ES"/>
        </w:rPr>
        <w:t>Sexto período de sesiones</w:t>
      </w:r>
    </w:p>
    <w:p w14:paraId="1EA6F14D" w14:textId="033286A9" w:rsidR="00A466BC" w:rsidRPr="00084982" w:rsidRDefault="00A466BC" w:rsidP="000712E0">
      <w:pPr>
        <w:tabs>
          <w:tab w:val="left" w:pos="1247"/>
          <w:tab w:val="left" w:pos="1814"/>
          <w:tab w:val="left" w:pos="2381"/>
          <w:tab w:val="left" w:pos="2948"/>
          <w:tab w:val="left" w:pos="3515"/>
        </w:tabs>
        <w:suppressAutoHyphens/>
        <w:spacing w:after="0" w:line="240" w:lineRule="auto"/>
        <w:ind w:left="-181" w:right="3402"/>
        <w:rPr>
          <w:rFonts w:ascii="Times New Roman" w:hAnsi="Times New Roman"/>
          <w:sz w:val="20"/>
          <w:szCs w:val="20"/>
          <w:lang w:val="es-ES"/>
        </w:rPr>
      </w:pPr>
      <w:r w:rsidRPr="00084982">
        <w:rPr>
          <w:rFonts w:ascii="Times New Roman" w:hAnsi="Times New Roman"/>
          <w:sz w:val="20"/>
          <w:szCs w:val="20"/>
          <w:lang w:val="es-ES"/>
        </w:rPr>
        <w:t xml:space="preserve">Medellín (Colombia), </w:t>
      </w:r>
      <w:r w:rsidR="0079448F">
        <w:rPr>
          <w:rFonts w:ascii="Times New Roman" w:hAnsi="Times New Roman"/>
          <w:sz w:val="20"/>
          <w:szCs w:val="20"/>
          <w:lang w:val="es-ES"/>
        </w:rPr>
        <w:t>1</w:t>
      </w:r>
      <w:r w:rsidR="005C58C0">
        <w:rPr>
          <w:rFonts w:ascii="Times New Roman" w:hAnsi="Times New Roman"/>
          <w:sz w:val="20"/>
          <w:szCs w:val="20"/>
          <w:lang w:val="es-ES"/>
        </w:rPr>
        <w:t>8</w:t>
      </w:r>
      <w:r w:rsidRPr="00084982">
        <w:rPr>
          <w:rFonts w:ascii="Times New Roman" w:hAnsi="Times New Roman"/>
          <w:sz w:val="20"/>
          <w:szCs w:val="20"/>
          <w:lang w:val="es-ES"/>
        </w:rPr>
        <w:t xml:space="preserve"> a </w:t>
      </w:r>
      <w:r w:rsidR="0079448F">
        <w:rPr>
          <w:rFonts w:ascii="Times New Roman" w:hAnsi="Times New Roman"/>
          <w:sz w:val="20"/>
          <w:szCs w:val="20"/>
          <w:lang w:val="es-ES"/>
        </w:rPr>
        <w:t>24</w:t>
      </w:r>
      <w:r w:rsidRPr="00084982">
        <w:rPr>
          <w:rFonts w:ascii="Times New Roman" w:hAnsi="Times New Roman"/>
          <w:sz w:val="20"/>
          <w:szCs w:val="20"/>
          <w:lang w:val="es-ES"/>
        </w:rPr>
        <w:t xml:space="preserve"> de marzo de 201</w:t>
      </w:r>
      <w:r w:rsidR="0079448F">
        <w:rPr>
          <w:rFonts w:ascii="Times New Roman" w:hAnsi="Times New Roman"/>
          <w:sz w:val="20"/>
          <w:szCs w:val="20"/>
          <w:lang w:val="es-ES"/>
        </w:rPr>
        <w:t>8</w:t>
      </w:r>
    </w:p>
    <w:p w14:paraId="4DD5DF6D" w14:textId="77777777" w:rsidR="00075479" w:rsidRPr="00084982" w:rsidRDefault="00075479" w:rsidP="000712E0">
      <w:pPr>
        <w:pStyle w:val="AgendaItemTitle"/>
        <w:ind w:left="-181"/>
        <w:rPr>
          <w:b w:val="0"/>
          <w:lang w:val="es-ES"/>
        </w:rPr>
      </w:pPr>
      <w:r w:rsidRPr="00084982">
        <w:rPr>
          <w:b w:val="0"/>
          <w:lang w:val="es-ES"/>
        </w:rPr>
        <w:t>Tema 8 del programa provisional</w:t>
      </w:r>
      <w:r w:rsidRPr="00084982">
        <w:rPr>
          <w:rStyle w:val="FootnoteReference"/>
          <w:b w:val="0"/>
          <w:vertAlign w:val="baseline"/>
          <w:lang w:val="es-ES"/>
        </w:rPr>
        <w:footnoteReference w:customMarkFollows="1" w:id="1"/>
        <w:t>*</w:t>
      </w:r>
    </w:p>
    <w:p w14:paraId="428BA866" w14:textId="4404C855" w:rsidR="00075479" w:rsidRPr="00084982" w:rsidRDefault="00075479" w:rsidP="000712E0">
      <w:pPr>
        <w:pStyle w:val="AATitle2"/>
        <w:ind w:left="-181"/>
        <w:rPr>
          <w:lang w:val="es-ES"/>
        </w:rPr>
      </w:pPr>
      <w:r w:rsidRPr="00084982">
        <w:rPr>
          <w:lang w:val="es-ES"/>
        </w:rPr>
        <w:t>Evaluaciones pendientes: evaluación temática del uso sostenible de las especies silvestres; evaluación metodológica relativa a la conceptualización diversa de valores múltiples de la naturaleza y sus beneficios; y evaluación temática de las especies exóticas invasoras</w:t>
      </w:r>
    </w:p>
    <w:p w14:paraId="02C81E4F" w14:textId="17E14728" w:rsidR="00075479" w:rsidRPr="00084982" w:rsidRDefault="00075479" w:rsidP="00FD69E2">
      <w:pPr>
        <w:pStyle w:val="BBTitle"/>
        <w:rPr>
          <w:lang w:val="es-ES"/>
        </w:rPr>
      </w:pPr>
      <w:r w:rsidRPr="00084982">
        <w:rPr>
          <w:lang w:val="es-ES"/>
        </w:rPr>
        <w:t>Evaluaciones pendientes: evaluación temática del uso sostenible de las especies silvestres; evaluación metodológica relativa a la conceptualización diversa de valores múltiples de la naturaleza y sus beneficios; y evaluación temática de las especies exóticas invasoras</w:t>
      </w:r>
    </w:p>
    <w:p w14:paraId="523F7A97" w14:textId="7070F415" w:rsidR="00075479" w:rsidRPr="00084982" w:rsidRDefault="00075479" w:rsidP="00075479">
      <w:pPr>
        <w:pStyle w:val="CH2"/>
        <w:spacing w:before="120" w:after="240"/>
        <w:ind w:left="1253" w:right="288" w:hanging="1253"/>
        <w:rPr>
          <w:lang w:val="es-ES"/>
        </w:rPr>
      </w:pPr>
      <w:r w:rsidRPr="00084982">
        <w:rPr>
          <w:lang w:val="es-ES"/>
        </w:rPr>
        <w:tab/>
      </w:r>
      <w:r w:rsidRPr="00084982">
        <w:rPr>
          <w:lang w:val="es-ES"/>
        </w:rPr>
        <w:tab/>
        <w:t>Nota de la Secretaría</w:t>
      </w:r>
    </w:p>
    <w:p w14:paraId="684ECE0B" w14:textId="77777777" w:rsidR="00075479" w:rsidRPr="00084982" w:rsidRDefault="00075479" w:rsidP="00075479">
      <w:pPr>
        <w:ind w:left="1260"/>
        <w:rPr>
          <w:rFonts w:ascii="Times New Roman" w:hAnsi="Times New Roman" w:cs="Times New Roman"/>
          <w:b/>
          <w:sz w:val="28"/>
          <w:szCs w:val="28"/>
          <w:lang w:val="en-GB"/>
        </w:rPr>
      </w:pPr>
      <w:r w:rsidRPr="00084982">
        <w:rPr>
          <w:rFonts w:ascii="Times New Roman" w:hAnsi="Times New Roman" w:cs="Times New Roman"/>
          <w:b/>
          <w:sz w:val="28"/>
          <w:szCs w:val="28"/>
          <w:lang w:val="en-GB"/>
        </w:rPr>
        <w:t>Introducción</w:t>
      </w:r>
    </w:p>
    <w:p w14:paraId="32436F03" w14:textId="1464FA2F" w:rsidR="00075479" w:rsidRPr="00084982" w:rsidRDefault="00075479" w:rsidP="00CA038C">
      <w:pPr>
        <w:pStyle w:val="Normalnumber"/>
        <w:numPr>
          <w:ilvl w:val="0"/>
          <w:numId w:val="17"/>
        </w:numPr>
        <w:tabs>
          <w:tab w:val="clear" w:pos="1247"/>
          <w:tab w:val="clear" w:pos="1871"/>
          <w:tab w:val="clear" w:pos="2495"/>
        </w:tabs>
        <w:ind w:left="1247" w:firstLine="0"/>
        <w:rPr>
          <w:lang w:val="es-ES"/>
        </w:rPr>
      </w:pPr>
      <w:r w:rsidRPr="00084982">
        <w:rPr>
          <w:lang w:val="es-ES"/>
        </w:rPr>
        <w:t xml:space="preserve">En la decisión IPBES-4/1, el Plenario de la Plataforma Intergubernamental Científico-normativa sobre Diversidad Biológica y Servicios de los Ecosistemas (IPBES) aprobó el informe de análisis inicial sobre el producto previsto 3 b) ii) sobre una evaluación temática de las especies exóticas invasoras y su control (reproducido en el documento de antecedentes IPBES/6/INF/10), junto con un informe revisado de análisis inicial para el producto previsto 3 d) sobre </w:t>
      </w:r>
      <w:r w:rsidR="0052127B" w:rsidRPr="00084982">
        <w:rPr>
          <w:lang w:val="es-ES"/>
        </w:rPr>
        <w:t>una evaluación</w:t>
      </w:r>
      <w:r w:rsidRPr="00084982">
        <w:rPr>
          <w:lang w:val="es-ES"/>
        </w:rPr>
        <w:t xml:space="preserve"> metodológica de la conceptualización diversa de valores múltiples de la naturaleza y sus beneficios para el ser humano (reproducido en el documento de antecedentes IPBES/6/INF/9).</w:t>
      </w:r>
    </w:p>
    <w:p w14:paraId="600698F5" w14:textId="0F2D3A5C" w:rsidR="00075479" w:rsidRPr="00084982"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rPr>
          <w:lang w:val="es-ES"/>
        </w:rPr>
      </w:pPr>
      <w:r w:rsidRPr="00084982">
        <w:rPr>
          <w:lang w:val="es-ES"/>
        </w:rPr>
        <w:t>En la decisión IPBES-5/1, el Plenario aprobó el informe de análisis inicial para el producto previsto</w:t>
      </w:r>
      <w:r w:rsidR="00A466BC" w:rsidRPr="00084982">
        <w:rPr>
          <w:lang w:val="es-ES"/>
        </w:rPr>
        <w:t> </w:t>
      </w:r>
      <w:r w:rsidRPr="00084982">
        <w:rPr>
          <w:lang w:val="es-ES"/>
        </w:rPr>
        <w:t>3 b) iii) respecto de una evaluación temática del uso sostenible de las especies silvestres (que se reproduce en el documen</w:t>
      </w:r>
      <w:r w:rsidR="005C58C0">
        <w:rPr>
          <w:lang w:val="es-ES"/>
        </w:rPr>
        <w:t>to de antecedentes IPBES/6/INF/8</w:t>
      </w:r>
      <w:r w:rsidRPr="00084982">
        <w:rPr>
          <w:lang w:val="es-ES"/>
        </w:rPr>
        <w:t>).</w:t>
      </w:r>
      <w:r w:rsidR="00A466BC" w:rsidRPr="00084982">
        <w:rPr>
          <w:lang w:val="es-ES"/>
        </w:rPr>
        <w:t xml:space="preserve"> </w:t>
      </w:r>
      <w:r w:rsidRPr="00084982">
        <w:rPr>
          <w:lang w:val="es-ES"/>
        </w:rPr>
        <w:t>En esa misma decisión, el Plenario solicitó al Grupo Multidisciplinario de Expertos que, en consulta con la Mesa, evalúe la necesidad de realizar cambios en los documentos de análisis inicial ya aprobados sobre la base de las principales conclusiones científicas de otras evaluaciones de la IPBES, y que informase al Plenario en caso de que fuese precisa alguna modificación importante;</w:t>
      </w:r>
      <w:bookmarkStart w:id="1" w:name="_Hlk499657637"/>
      <w:bookmarkEnd w:id="1"/>
    </w:p>
    <w:p w14:paraId="7826EB28" w14:textId="6204F0CE" w:rsidR="00075479" w:rsidRPr="00084982"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rPr>
          <w:lang w:val="es-ES"/>
        </w:rPr>
      </w:pPr>
      <w:r w:rsidRPr="00084982">
        <w:rPr>
          <w:lang w:val="es-ES"/>
        </w:rPr>
        <w:t xml:space="preserve">Además, en el </w:t>
      </w:r>
      <w:r w:rsidR="0052127B" w:rsidRPr="00084982">
        <w:rPr>
          <w:lang w:val="es-ES"/>
        </w:rPr>
        <w:t>párrafo</w:t>
      </w:r>
      <w:r w:rsidRPr="00084982">
        <w:rPr>
          <w:lang w:val="es-ES"/>
        </w:rPr>
        <w:t xml:space="preserve"> 5 de la decisión IPBES-5/6 relativa a las disposiciones financieras y presupuestarias, el Plenario en su sexto período de sesiones, con sujeción a la disponibilidad de fondos </w:t>
      </w:r>
      <w:r w:rsidRPr="00084982">
        <w:rPr>
          <w:lang w:val="es-ES"/>
        </w:rPr>
        <w:lastRenderedPageBreak/>
        <w:t xml:space="preserve">suficientes, </w:t>
      </w:r>
      <w:r w:rsidR="008E1679" w:rsidRPr="00084982">
        <w:rPr>
          <w:lang w:val="es-ES"/>
        </w:rPr>
        <w:t xml:space="preserve">decidió examinar </w:t>
      </w:r>
      <w:r w:rsidRPr="00084982">
        <w:rPr>
          <w:lang w:val="es-ES"/>
        </w:rPr>
        <w:t xml:space="preserve">las tres evaluaciones mencionadas en los párrafos 1 y 2 anteriores, en lo adelante </w:t>
      </w:r>
      <w:r w:rsidR="008E1679" w:rsidRPr="00084982">
        <w:rPr>
          <w:lang w:val="es-ES"/>
        </w:rPr>
        <w:t xml:space="preserve">denominadas </w:t>
      </w:r>
      <w:r w:rsidR="00A466BC" w:rsidRPr="00084982">
        <w:rPr>
          <w:lang w:val="es-ES"/>
        </w:rPr>
        <w:t>“</w:t>
      </w:r>
      <w:r w:rsidRPr="00084982">
        <w:rPr>
          <w:lang w:val="es-ES"/>
        </w:rPr>
        <w:t>las tres evaluaciones pendientes</w:t>
      </w:r>
      <w:r w:rsidR="00A466BC" w:rsidRPr="00084982">
        <w:rPr>
          <w:lang w:val="es-ES"/>
        </w:rPr>
        <w:t>”</w:t>
      </w:r>
      <w:r w:rsidRPr="00084982">
        <w:rPr>
          <w:lang w:val="es-ES"/>
        </w:rPr>
        <w:t>.</w:t>
      </w:r>
    </w:p>
    <w:p w14:paraId="08185CEA" w14:textId="2B4955CE" w:rsidR="00075479" w:rsidRPr="00084982"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rPr>
          <w:lang w:val="es-ES"/>
        </w:rPr>
      </w:pPr>
      <w:r w:rsidRPr="00084982">
        <w:rPr>
          <w:lang w:val="es-ES"/>
        </w:rPr>
        <w:t xml:space="preserve">De conformidad con esas decisiones, en la sección I de la subsección A, de la presente nota se incluyen recomendaciones del Grupo Multidisciplinario de Expertos y la Mesa sobre la necesidad de realizar cambios en los documentos de análisis inicial ya aprobados de las tres evaluaciones pendientes, sobre la base de las principales conclusiones científicas de otras evaluaciones de la IPBES. En la subsección B se sugieren varias modificaciones al enfoque metodológico presentado en los tres informes de análisis inicial, que repercuten en el costo de cada una de las </w:t>
      </w:r>
      <w:r w:rsidR="0052127B" w:rsidRPr="00084982">
        <w:rPr>
          <w:lang w:val="es-ES"/>
        </w:rPr>
        <w:t>evaluaciones</w:t>
      </w:r>
      <w:r w:rsidRPr="00084982">
        <w:rPr>
          <w:lang w:val="es-ES"/>
        </w:rPr>
        <w:t>. En el anexo de la presente nota se incluye una versión revisada del costo total propuesto para cada una de las tres evaluaciones pendientes.</w:t>
      </w:r>
    </w:p>
    <w:p w14:paraId="29B12865" w14:textId="59D06897" w:rsidR="00075479" w:rsidRPr="00084982" w:rsidRDefault="00075479" w:rsidP="00CA038C">
      <w:pPr>
        <w:pStyle w:val="Normalnumber"/>
        <w:numPr>
          <w:ilvl w:val="0"/>
          <w:numId w:val="17"/>
        </w:numPr>
        <w:tabs>
          <w:tab w:val="clear" w:pos="1247"/>
          <w:tab w:val="clear" w:pos="1871"/>
          <w:tab w:val="clear" w:pos="2495"/>
        </w:tabs>
        <w:ind w:left="1247" w:firstLine="0"/>
        <w:rPr>
          <w:lang w:val="es-ES"/>
        </w:rPr>
      </w:pPr>
      <w:r w:rsidRPr="00084982">
        <w:rPr>
          <w:lang w:val="es-ES"/>
        </w:rPr>
        <w:t>En la sección II se presentan otras sugerencias del Grupo Multidisciplinario de Expertos y la Mesa, sobre una posible secuencia de iniciación de las tres evaluaciones pendientes.</w:t>
      </w:r>
    </w:p>
    <w:p w14:paraId="0C6764B0" w14:textId="77777777" w:rsidR="00075479" w:rsidRPr="00084982"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rPr>
          <w:lang w:val="es-ES"/>
        </w:rPr>
      </w:pPr>
      <w:r w:rsidRPr="00084982">
        <w:rPr>
          <w:lang w:val="es-ES"/>
        </w:rPr>
        <w:t>En la sección III se indican las medidas que el Plenario tal vez desee conveniente emprender.</w:t>
      </w:r>
    </w:p>
    <w:p w14:paraId="758E7E0A" w14:textId="13B7AD53" w:rsidR="00075479" w:rsidRPr="00084982" w:rsidRDefault="0052127B" w:rsidP="00CA038C">
      <w:pPr>
        <w:pStyle w:val="CH1"/>
        <w:rPr>
          <w:rFonts w:eastAsia="MS Mincho"/>
          <w:lang w:val="es-ES"/>
        </w:rPr>
      </w:pPr>
      <w:bookmarkStart w:id="2" w:name="_Hlk499658600"/>
      <w:r w:rsidRPr="00084982">
        <w:rPr>
          <w:lang w:val="es-ES"/>
        </w:rPr>
        <w:tab/>
      </w:r>
      <w:r w:rsidR="00075479" w:rsidRPr="00084982">
        <w:rPr>
          <w:lang w:val="es-ES"/>
        </w:rPr>
        <w:t>I.</w:t>
      </w:r>
      <w:r w:rsidR="00075479" w:rsidRPr="00084982">
        <w:rPr>
          <w:lang w:val="es-ES"/>
        </w:rPr>
        <w:tab/>
      </w:r>
      <w:r w:rsidR="00075479" w:rsidRPr="00084982">
        <w:rPr>
          <w:bCs/>
          <w:lang w:val="es-ES"/>
        </w:rPr>
        <w:t>Informes de análisis inicial</w:t>
      </w:r>
    </w:p>
    <w:p w14:paraId="7686381F" w14:textId="19C5F18D" w:rsidR="00075479" w:rsidRPr="00084982"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53" w:firstLine="0"/>
        <w:rPr>
          <w:lang w:val="es-ES"/>
        </w:rPr>
      </w:pPr>
      <w:r w:rsidRPr="00084982">
        <w:rPr>
          <w:lang w:val="es-ES"/>
        </w:rPr>
        <w:t>El Grupo Multidisciplinario de Expertos y la Mesa, atendiendo a la solicitud formulada por el Plenario para evaluar la necesidad de modificar los tres informes de análisis inicial en sus décimas reuniones en octubre de 2017, formuló las siguientes recomendaciones, que figuran en las subsecciones A y B de la presente nota.</w:t>
      </w:r>
    </w:p>
    <w:p w14:paraId="1623EC15" w14:textId="088110CA" w:rsidR="00075479" w:rsidRPr="00084982" w:rsidRDefault="0052127B" w:rsidP="00CA038C">
      <w:pPr>
        <w:pStyle w:val="CH2"/>
        <w:rPr>
          <w:rFonts w:eastAsia="MS Mincho"/>
          <w:lang w:val="es-ES"/>
        </w:rPr>
      </w:pPr>
      <w:bookmarkStart w:id="3" w:name="_Hlk499884919"/>
      <w:r w:rsidRPr="00084982">
        <w:rPr>
          <w:lang w:val="es-ES"/>
        </w:rPr>
        <w:tab/>
      </w:r>
      <w:r w:rsidR="00075479" w:rsidRPr="00084982">
        <w:rPr>
          <w:lang w:val="es-ES"/>
        </w:rPr>
        <w:t>A.</w:t>
      </w:r>
      <w:r w:rsidR="00075479" w:rsidRPr="00084982">
        <w:rPr>
          <w:lang w:val="es-ES"/>
        </w:rPr>
        <w:tab/>
      </w:r>
      <w:r w:rsidR="00075479" w:rsidRPr="00084982">
        <w:rPr>
          <w:bCs/>
          <w:lang w:val="es-ES"/>
        </w:rPr>
        <w:t>Ámbito general</w:t>
      </w:r>
      <w:r w:rsidR="00075479" w:rsidRPr="00084982">
        <w:rPr>
          <w:lang w:val="es-ES"/>
        </w:rPr>
        <w:t xml:space="preserve"> </w:t>
      </w:r>
      <w:bookmarkEnd w:id="2"/>
    </w:p>
    <w:p w14:paraId="7B24ADFA" w14:textId="319E1CDC" w:rsidR="00075479" w:rsidRPr="00084982" w:rsidRDefault="0052127B"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53" w:firstLine="0"/>
        <w:rPr>
          <w:lang w:val="es-ES"/>
        </w:rPr>
      </w:pPr>
      <w:bookmarkStart w:id="4" w:name="_Hlk499885067"/>
      <w:bookmarkEnd w:id="3"/>
      <w:r w:rsidRPr="00084982">
        <w:rPr>
          <w:lang w:val="es-ES"/>
        </w:rPr>
        <w:t>En relación con el ámbito general de las tres evaluaciones pendientes, el Grupo Multidisciplinario de Expertos llegó a la conclusión de que no es preciso realizar modificaciones a la luz de las principales conclusiones científicas de otras evaluaciones de la IPBES.</w:t>
      </w:r>
      <w:bookmarkStart w:id="5" w:name="_Hlk499885341"/>
      <w:bookmarkEnd w:id="5"/>
    </w:p>
    <w:bookmarkEnd w:id="4"/>
    <w:p w14:paraId="4933538B" w14:textId="0B1DD60E" w:rsidR="00075479" w:rsidRPr="00084982" w:rsidRDefault="0052127B" w:rsidP="00CA038C">
      <w:pPr>
        <w:pStyle w:val="CH2"/>
        <w:rPr>
          <w:rFonts w:eastAsia="MS Mincho"/>
          <w:b w:val="0"/>
          <w:lang w:val="es-ES"/>
        </w:rPr>
      </w:pPr>
      <w:r w:rsidRPr="00084982">
        <w:rPr>
          <w:lang w:val="es-ES"/>
        </w:rPr>
        <w:tab/>
      </w:r>
      <w:r w:rsidR="00887131" w:rsidRPr="00084982">
        <w:rPr>
          <w:lang w:val="es-ES"/>
        </w:rPr>
        <w:t>B.</w:t>
      </w:r>
      <w:r w:rsidR="00887131" w:rsidRPr="00084982">
        <w:rPr>
          <w:lang w:val="es-ES"/>
        </w:rPr>
        <w:tab/>
      </w:r>
      <w:r w:rsidR="00887131" w:rsidRPr="00084982">
        <w:rPr>
          <w:bCs/>
          <w:lang w:val="es-ES"/>
        </w:rPr>
        <w:t>Enfoque metodológico y estimación de los costos</w:t>
      </w:r>
    </w:p>
    <w:p w14:paraId="5118E1EC" w14:textId="02B9E30F" w:rsidR="00075479" w:rsidRPr="00084982" w:rsidRDefault="00075479" w:rsidP="0052127B">
      <w:pPr>
        <w:pStyle w:val="Normalnumber"/>
        <w:numPr>
          <w:ilvl w:val="0"/>
          <w:numId w:val="17"/>
        </w:numPr>
        <w:tabs>
          <w:tab w:val="clear" w:pos="624"/>
          <w:tab w:val="clear" w:pos="1871"/>
          <w:tab w:val="clear" w:pos="2495"/>
          <w:tab w:val="num" w:pos="720"/>
          <w:tab w:val="left" w:pos="1814"/>
          <w:tab w:val="left" w:pos="2381"/>
          <w:tab w:val="left" w:pos="2948"/>
          <w:tab w:val="left" w:pos="3515"/>
        </w:tabs>
        <w:ind w:left="1253" w:firstLine="0"/>
        <w:rPr>
          <w:lang w:val="es-ES"/>
        </w:rPr>
      </w:pPr>
      <w:r w:rsidRPr="00084982">
        <w:rPr>
          <w:lang w:val="es-ES"/>
        </w:rPr>
        <w:t xml:space="preserve">Sobre la base de las lecciones aprendidas de las evaluaciones en curso y ya finalizadas, y también sobre las conclusiones del examen interno de la IPBES (que figura en el documento de antecedentes IPBES/6/INF/32), el Grupo Multidisciplinario de Expertos y la Mesa proponen los siguientes cambios en el enfoque metodológico presentado en los informes de análisis inicial, lo que aumentaría el costo total por evaluación de 997.000 dólares </w:t>
      </w:r>
      <w:r w:rsidR="00084982" w:rsidRPr="00084982">
        <w:rPr>
          <w:lang w:val="es-ES"/>
        </w:rPr>
        <w:t xml:space="preserve">de los Estados Unidos </w:t>
      </w:r>
      <w:r w:rsidRPr="00084982">
        <w:rPr>
          <w:lang w:val="es-ES"/>
        </w:rPr>
        <w:t>a 1.445.000 dólares:</w:t>
      </w:r>
    </w:p>
    <w:p w14:paraId="42A00030" w14:textId="1661CFAB" w:rsidR="00075479" w:rsidRPr="00084982" w:rsidRDefault="00075479" w:rsidP="008C4681">
      <w:pPr>
        <w:pStyle w:val="Normalnumber"/>
        <w:numPr>
          <w:ilvl w:val="0"/>
          <w:numId w:val="20"/>
        </w:numPr>
        <w:tabs>
          <w:tab w:val="clear" w:pos="1135"/>
          <w:tab w:val="clear" w:pos="1247"/>
          <w:tab w:val="clear" w:pos="1871"/>
          <w:tab w:val="clear" w:pos="2495"/>
        </w:tabs>
        <w:ind w:left="1247" w:firstLine="624"/>
        <w:rPr>
          <w:lang w:val="es-ES"/>
        </w:rPr>
      </w:pPr>
      <w:r w:rsidRPr="00084982">
        <w:rPr>
          <w:lang w:val="es-ES"/>
        </w:rPr>
        <w:t>Aumento del número de autores principales por capítulo, de seis a ocho, con lo que el número total de expertos por capítulo aumentaría a</w:t>
      </w:r>
      <w:r w:rsidR="00A466BC" w:rsidRPr="00084982">
        <w:rPr>
          <w:lang w:val="es-ES"/>
        </w:rPr>
        <w:t xml:space="preserve"> </w:t>
      </w:r>
      <w:r w:rsidRPr="00084982">
        <w:rPr>
          <w:lang w:val="es-ES"/>
        </w:rPr>
        <w:t xml:space="preserve">doce, como sigue: ocho autores principales, dos autores principales encargados de la coordinación, y dos editores. El número de autores </w:t>
      </w:r>
      <w:r w:rsidR="0052127B" w:rsidRPr="00084982">
        <w:rPr>
          <w:lang w:val="es-ES"/>
        </w:rPr>
        <w:t>principales</w:t>
      </w:r>
      <w:r w:rsidRPr="00084982">
        <w:rPr>
          <w:lang w:val="es-ES"/>
        </w:rPr>
        <w:t xml:space="preserve"> encargados de la coordinación y revisores por cada capítulo se mantendría igual. Este aumento permitiría disponer de opiniones y conocimientos especializados suficientes en cada capítulo, y haría posible una mejor distribución de la carga de trabajo entre los expertos. Esta número de autores sería similar al de la evaluación sobre la degradación y restauración de las tierras;</w:t>
      </w:r>
    </w:p>
    <w:p w14:paraId="0F340908" w14:textId="5C848075" w:rsidR="00075479" w:rsidRPr="00084982" w:rsidRDefault="00075479" w:rsidP="00CA038C">
      <w:pPr>
        <w:pStyle w:val="Normalnumber"/>
        <w:numPr>
          <w:ilvl w:val="0"/>
          <w:numId w:val="20"/>
        </w:numPr>
        <w:tabs>
          <w:tab w:val="clear" w:pos="1135"/>
          <w:tab w:val="clear" w:pos="1247"/>
          <w:tab w:val="clear" w:pos="1871"/>
          <w:tab w:val="clear" w:pos="2495"/>
        </w:tabs>
        <w:ind w:left="1247" w:firstLine="624"/>
        <w:rPr>
          <w:lang w:val="es-ES"/>
        </w:rPr>
      </w:pPr>
      <w:r w:rsidRPr="00084982">
        <w:rPr>
          <w:lang w:val="es-ES"/>
        </w:rPr>
        <w:t>Facilitar la celebración de tres reuniones de autores inclusivas que cuenten con la presencia de autores principales, en lugar de solo dos; ello se considera un criterio clave para el éxito a la hora de asegurar la plena integración y la participación de los autores principales durante los tres años del proceso;</w:t>
      </w:r>
    </w:p>
    <w:p w14:paraId="5A4B3858" w14:textId="063FE6C3" w:rsidR="00075479" w:rsidRPr="00084982" w:rsidRDefault="00075479" w:rsidP="00CA038C">
      <w:pPr>
        <w:pStyle w:val="Normalnumber"/>
        <w:numPr>
          <w:ilvl w:val="0"/>
          <w:numId w:val="20"/>
        </w:numPr>
        <w:tabs>
          <w:tab w:val="clear" w:pos="1135"/>
          <w:tab w:val="clear" w:pos="1247"/>
          <w:tab w:val="clear" w:pos="1871"/>
          <w:tab w:val="clear" w:pos="2495"/>
        </w:tabs>
        <w:ind w:left="1247" w:firstLine="624"/>
        <w:rPr>
          <w:lang w:val="es-ES"/>
        </w:rPr>
      </w:pPr>
      <w:r w:rsidRPr="00084982">
        <w:rPr>
          <w:lang w:val="es-ES"/>
        </w:rPr>
        <w:t xml:space="preserve">Aumentar el tamaño de las dependencias de apoyo técnico para que incluyan un mínimo de dos miembros del personal técnico y programático, junto con un funcionario administrativo a media jornada, en lugar de un funcionario técnico, </w:t>
      </w:r>
      <w:r w:rsidR="0052127B" w:rsidRPr="00084982">
        <w:rPr>
          <w:lang w:val="es-ES"/>
        </w:rPr>
        <w:t>como</w:t>
      </w:r>
      <w:r w:rsidRPr="00084982">
        <w:rPr>
          <w:lang w:val="es-ES"/>
        </w:rPr>
        <w:t xml:space="preserve"> se había propuesto anteriormente. Ello sería necesario, a partir de las experiencias adquiridas, para hacer frente al gran volumen de trabajo relacionado con la coordinación de la realización de una evaluación, y permitiría armonizar el tamaño de las dependencias de apoyo técnico establecidas para las evaluaciones regionales de IPBES;</w:t>
      </w:r>
    </w:p>
    <w:p w14:paraId="12BD69E7" w14:textId="77777777" w:rsidR="00075479" w:rsidRPr="00084982" w:rsidRDefault="00075479" w:rsidP="00CA038C">
      <w:pPr>
        <w:pStyle w:val="Normalnumber"/>
        <w:numPr>
          <w:ilvl w:val="0"/>
          <w:numId w:val="20"/>
        </w:numPr>
        <w:tabs>
          <w:tab w:val="clear" w:pos="1135"/>
          <w:tab w:val="clear" w:pos="1247"/>
          <w:tab w:val="clear" w:pos="1871"/>
          <w:tab w:val="clear" w:pos="2495"/>
        </w:tabs>
        <w:ind w:left="1247" w:firstLine="624"/>
        <w:rPr>
          <w:lang w:val="es-ES"/>
        </w:rPr>
      </w:pPr>
      <w:r w:rsidRPr="00084982">
        <w:rPr>
          <w:lang w:val="es-ES"/>
        </w:rPr>
        <w:t>Aumentar el presupuesto para el diseño, la impresión, la divulgación y la difusión de los informes de evaluación, sobre la base de los gastos en materia de comunicación de las cuatro evaluaciones regionales y de la evaluación sobre la degradación y restauración de las tierras.</w:t>
      </w:r>
    </w:p>
    <w:p w14:paraId="079485E8" w14:textId="50AB2CDF" w:rsidR="00075479" w:rsidRPr="00084982" w:rsidRDefault="00075479" w:rsidP="00075479">
      <w:pPr>
        <w:numPr>
          <w:ilvl w:val="0"/>
          <w:numId w:val="17"/>
        </w:numPr>
        <w:tabs>
          <w:tab w:val="num" w:pos="720"/>
          <w:tab w:val="left" w:pos="1247"/>
          <w:tab w:val="left" w:pos="1814"/>
          <w:tab w:val="left" w:pos="2381"/>
          <w:tab w:val="left" w:pos="2948"/>
          <w:tab w:val="left" w:pos="3515"/>
        </w:tabs>
        <w:spacing w:after="120" w:line="240" w:lineRule="auto"/>
        <w:ind w:left="1247" w:firstLine="0"/>
        <w:rPr>
          <w:rFonts w:ascii="Times New Roman" w:eastAsia="Times New Roman" w:hAnsi="Times New Roman" w:cs="Times New Roman"/>
          <w:sz w:val="20"/>
          <w:szCs w:val="20"/>
          <w:lang w:val="es-ES"/>
        </w:rPr>
      </w:pPr>
      <w:r w:rsidRPr="00084982">
        <w:rPr>
          <w:rFonts w:ascii="Times New Roman" w:hAnsi="Times New Roman" w:cs="Times New Roman"/>
          <w:sz w:val="20"/>
          <w:szCs w:val="20"/>
          <w:lang w:val="es-ES"/>
        </w:rPr>
        <w:t>En el anexo de la presente nota figura un presupuesto genérico aplicable a cada una de las tres evaluaciones pendientes</w:t>
      </w:r>
      <w:r w:rsidR="0052127B" w:rsidRPr="00084982">
        <w:rPr>
          <w:rFonts w:ascii="Times New Roman" w:hAnsi="Times New Roman" w:cs="Times New Roman"/>
          <w:sz w:val="20"/>
          <w:szCs w:val="20"/>
          <w:lang w:val="es-ES"/>
        </w:rPr>
        <w:t>, el cual toma como base</w:t>
      </w:r>
      <w:r w:rsidRPr="00084982">
        <w:rPr>
          <w:rFonts w:ascii="Times New Roman" w:hAnsi="Times New Roman" w:cs="Times New Roman"/>
          <w:sz w:val="20"/>
          <w:szCs w:val="20"/>
          <w:lang w:val="es-ES"/>
        </w:rPr>
        <w:t xml:space="preserve"> las consideraciones </w:t>
      </w:r>
      <w:r w:rsidR="005C58C0">
        <w:rPr>
          <w:rFonts w:ascii="Times New Roman" w:hAnsi="Times New Roman" w:cs="Times New Roman"/>
          <w:sz w:val="20"/>
          <w:szCs w:val="20"/>
          <w:lang w:val="es-ES"/>
        </w:rPr>
        <w:t>mencionadas anteriormente. como </w:t>
      </w:r>
      <w:r w:rsidRPr="00084982">
        <w:rPr>
          <w:rFonts w:ascii="Times New Roman" w:hAnsi="Times New Roman" w:cs="Times New Roman"/>
          <w:sz w:val="20"/>
          <w:szCs w:val="20"/>
          <w:lang w:val="es-ES"/>
        </w:rPr>
        <w:t>sigue:</w:t>
      </w:r>
    </w:p>
    <w:p w14:paraId="67E1D797" w14:textId="2A32C55B" w:rsidR="00075479" w:rsidRPr="00084982" w:rsidRDefault="00075479" w:rsidP="0052127B">
      <w:pPr>
        <w:pStyle w:val="Normalnumber"/>
        <w:numPr>
          <w:ilvl w:val="0"/>
          <w:numId w:val="21"/>
        </w:numPr>
        <w:tabs>
          <w:tab w:val="clear" w:pos="1247"/>
          <w:tab w:val="clear" w:pos="1871"/>
          <w:tab w:val="clear" w:pos="2495"/>
        </w:tabs>
        <w:rPr>
          <w:lang w:val="es-ES"/>
        </w:rPr>
      </w:pPr>
      <w:r w:rsidRPr="00084982">
        <w:rPr>
          <w:lang w:val="es-ES"/>
        </w:rPr>
        <w:lastRenderedPageBreak/>
        <w:t>Cada evaluación se llevaría a cabo durante un período de tres años;</w:t>
      </w:r>
    </w:p>
    <w:p w14:paraId="5E18B28A" w14:textId="77A51875" w:rsidR="00075479" w:rsidRPr="00084982" w:rsidRDefault="00075479" w:rsidP="00887131">
      <w:pPr>
        <w:pStyle w:val="Normalnumber"/>
        <w:numPr>
          <w:ilvl w:val="0"/>
          <w:numId w:val="21"/>
        </w:numPr>
        <w:tabs>
          <w:tab w:val="clear" w:pos="1247"/>
          <w:tab w:val="clear" w:pos="1758"/>
          <w:tab w:val="clear" w:pos="1871"/>
          <w:tab w:val="clear" w:pos="2495"/>
        </w:tabs>
        <w:ind w:left="1247" w:firstLine="624"/>
        <w:rPr>
          <w:lang w:val="es-ES"/>
        </w:rPr>
      </w:pPr>
      <w:r w:rsidRPr="00084982">
        <w:rPr>
          <w:lang w:val="es-ES"/>
        </w:rPr>
        <w:t xml:space="preserve">Cada evaluación </w:t>
      </w:r>
      <w:r w:rsidR="0052127B" w:rsidRPr="00084982">
        <w:rPr>
          <w:lang w:val="es-ES"/>
        </w:rPr>
        <w:t>incluiría</w:t>
      </w:r>
      <w:r w:rsidRPr="00084982">
        <w:rPr>
          <w:lang w:val="es-ES"/>
        </w:rPr>
        <w:t xml:space="preserve"> tres reuniones de autores plenamente inclusivas, que contarán con la asistencia de los autores principales en cada una de ellas;</w:t>
      </w:r>
    </w:p>
    <w:p w14:paraId="74864D8B" w14:textId="1FD7BE16" w:rsidR="00075479" w:rsidRPr="00084982" w:rsidRDefault="00075479" w:rsidP="00887131">
      <w:pPr>
        <w:pStyle w:val="Normalnumber"/>
        <w:numPr>
          <w:ilvl w:val="0"/>
          <w:numId w:val="21"/>
        </w:numPr>
        <w:tabs>
          <w:tab w:val="clear" w:pos="1247"/>
          <w:tab w:val="clear" w:pos="1758"/>
          <w:tab w:val="clear" w:pos="1871"/>
          <w:tab w:val="clear" w:pos="2495"/>
        </w:tabs>
        <w:ind w:left="1247" w:firstLine="624"/>
        <w:rPr>
          <w:lang w:val="es-ES"/>
        </w:rPr>
      </w:pPr>
      <w:r w:rsidRPr="00084982">
        <w:rPr>
          <w:lang w:val="es-ES"/>
        </w:rPr>
        <w:t>Cada evaluación incluiría un total de 74 expertos (2 Copresidentes, 12 autores principales encargados de la coordinación, 48 autores principales y 12 editores) o unos 10 expertos por capítulo; el</w:t>
      </w:r>
      <w:r w:rsidR="008C4681" w:rsidRPr="00084982">
        <w:rPr>
          <w:lang w:val="es-ES"/>
        </w:rPr>
        <w:t> </w:t>
      </w:r>
      <w:r w:rsidRPr="00084982">
        <w:rPr>
          <w:lang w:val="es-ES"/>
        </w:rPr>
        <w:t xml:space="preserve">75% de los gastos que se deriven en relación con esto será </w:t>
      </w:r>
      <w:r w:rsidR="0052127B" w:rsidRPr="00084982">
        <w:rPr>
          <w:lang w:val="es-ES"/>
        </w:rPr>
        <w:t>sufragado</w:t>
      </w:r>
      <w:r w:rsidRPr="00084982">
        <w:rPr>
          <w:lang w:val="es-ES"/>
        </w:rPr>
        <w:t xml:space="preserve"> por el Fondo Fiduciario</w:t>
      </w:r>
      <w:r w:rsidR="008C4681" w:rsidRPr="00084982">
        <w:rPr>
          <w:lang w:val="es-ES"/>
        </w:rPr>
        <w:t>;</w:t>
      </w:r>
    </w:p>
    <w:p w14:paraId="5F59BF89" w14:textId="21EA6C91" w:rsidR="00075479" w:rsidRPr="00084982" w:rsidRDefault="00075479" w:rsidP="00887131">
      <w:pPr>
        <w:pStyle w:val="Normalnumber"/>
        <w:numPr>
          <w:ilvl w:val="0"/>
          <w:numId w:val="21"/>
        </w:numPr>
        <w:tabs>
          <w:tab w:val="clear" w:pos="1247"/>
          <w:tab w:val="clear" w:pos="1758"/>
          <w:tab w:val="clear" w:pos="1871"/>
          <w:tab w:val="clear" w:pos="2495"/>
        </w:tabs>
        <w:ind w:left="1247" w:firstLine="624"/>
        <w:rPr>
          <w:lang w:val="es-ES"/>
        </w:rPr>
      </w:pPr>
      <w:r w:rsidRPr="00084982">
        <w:rPr>
          <w:lang w:val="es-ES"/>
        </w:rPr>
        <w:t xml:space="preserve">Cada evaluación contará con una dependencia de apoyo técnico integrada por dos miembros del personal técnico y programático y un oficial administrativo a media jornada. El 50% de ese apoyo se sufragaría con cargo al Fondo Fiduciario, y la parte restante correría a cargo de una institución patrocinadora que aportaría </w:t>
      </w:r>
      <w:r w:rsidR="0052127B" w:rsidRPr="00084982">
        <w:rPr>
          <w:lang w:val="es-ES"/>
        </w:rPr>
        <w:t>una</w:t>
      </w:r>
      <w:r w:rsidRPr="00084982">
        <w:rPr>
          <w:lang w:val="es-ES"/>
        </w:rPr>
        <w:t xml:space="preserve"> cantidad similar, como contribución en especie a la IPBES;</w:t>
      </w:r>
    </w:p>
    <w:p w14:paraId="1115D64B" w14:textId="572CFC1B" w:rsidR="00075479" w:rsidRPr="00084982" w:rsidRDefault="00075479" w:rsidP="00887131">
      <w:pPr>
        <w:pStyle w:val="Normalnumber"/>
        <w:numPr>
          <w:ilvl w:val="0"/>
          <w:numId w:val="21"/>
        </w:numPr>
        <w:tabs>
          <w:tab w:val="clear" w:pos="1247"/>
          <w:tab w:val="clear" w:pos="1758"/>
          <w:tab w:val="clear" w:pos="1871"/>
          <w:tab w:val="clear" w:pos="2495"/>
        </w:tabs>
        <w:ind w:left="1247" w:firstLine="624"/>
        <w:rPr>
          <w:lang w:val="es-ES"/>
        </w:rPr>
      </w:pPr>
      <w:r w:rsidRPr="00084982">
        <w:rPr>
          <w:lang w:val="es-ES"/>
        </w:rPr>
        <w:t>Cada evaluación contaría con un presupuesto de comunicaciones dedicado al diseño, la impresión, la divulgación y difusión de los informes de evaluación.</w:t>
      </w:r>
    </w:p>
    <w:p w14:paraId="0DCAC7D4" w14:textId="1BC2E3F5" w:rsidR="00075479" w:rsidRPr="00084982" w:rsidRDefault="0052127B" w:rsidP="00CA038C">
      <w:pPr>
        <w:pStyle w:val="CH1"/>
        <w:tabs>
          <w:tab w:val="clear" w:pos="1814"/>
          <w:tab w:val="clear" w:pos="2381"/>
          <w:tab w:val="clear" w:pos="2948"/>
          <w:tab w:val="clear" w:pos="3515"/>
          <w:tab w:val="clear" w:pos="4082"/>
          <w:tab w:val="left" w:pos="1871"/>
          <w:tab w:val="left" w:pos="2495"/>
        </w:tabs>
        <w:ind w:left="624" w:right="289" w:hanging="624"/>
        <w:rPr>
          <w:rFonts w:eastAsia="MS Mincho"/>
          <w:lang w:val="es-ES"/>
        </w:rPr>
      </w:pPr>
      <w:r w:rsidRPr="00084982">
        <w:rPr>
          <w:lang w:val="es-ES"/>
        </w:rPr>
        <w:tab/>
      </w:r>
      <w:r w:rsidR="00075479" w:rsidRPr="00084982">
        <w:rPr>
          <w:lang w:val="es-ES"/>
        </w:rPr>
        <w:t>II.</w:t>
      </w:r>
      <w:r w:rsidR="00075479" w:rsidRPr="00084982">
        <w:rPr>
          <w:lang w:val="es-ES"/>
        </w:rPr>
        <w:tab/>
      </w:r>
      <w:r w:rsidR="00075479" w:rsidRPr="00084982">
        <w:rPr>
          <w:bCs/>
          <w:lang w:val="es-ES"/>
        </w:rPr>
        <w:t>Secuencia de iniciación</w:t>
      </w:r>
      <w:r w:rsidR="00075479" w:rsidRPr="00084982">
        <w:rPr>
          <w:lang w:val="es-ES"/>
        </w:rPr>
        <w:t xml:space="preserve"> </w:t>
      </w:r>
    </w:p>
    <w:p w14:paraId="3760B58E" w14:textId="737CF269" w:rsidR="00075479" w:rsidRPr="00084982" w:rsidRDefault="00075479" w:rsidP="0007547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rPr>
          <w:lang w:val="es-ES"/>
        </w:rPr>
      </w:pPr>
      <w:r w:rsidRPr="00084982">
        <w:rPr>
          <w:lang w:val="es-ES"/>
        </w:rPr>
        <w:t xml:space="preserve">El Grupo Multidisciplinario de Expertos y la Mesa también sugieren que el Plenario, si decidiese iniciar la realización de las tres evaluaciones pendientes, tal vez desee escalonar su iniciación, de conformidad con la secuencia siguiente: iniciación de dos evaluaciones en el sexto período de sesiones del Plenario en 2018 y de una en el séptimo período de sesiones, en 2019. Esta sugerencia tiene por objeto evitar que más de tres evaluaciones se realicen de manera paralela, teniendo en cuenta las conclusiones del examen interno (IPBES/6/INF/32), y a la luz de la evaluación mundial que se </w:t>
      </w:r>
      <w:r w:rsidR="0052127B" w:rsidRPr="00084982">
        <w:rPr>
          <w:lang w:val="es-ES"/>
        </w:rPr>
        <w:t>presentará</w:t>
      </w:r>
      <w:r w:rsidRPr="00084982">
        <w:rPr>
          <w:lang w:val="es-ES"/>
        </w:rPr>
        <w:t xml:space="preserve"> al Plenario en su séptimo período de sesiones.</w:t>
      </w:r>
      <w:bookmarkStart w:id="6" w:name="_Hlk499887067"/>
      <w:bookmarkEnd w:id="6"/>
    </w:p>
    <w:p w14:paraId="1421E281" w14:textId="43A2EF59" w:rsidR="00075479" w:rsidRPr="00084982" w:rsidRDefault="0052127B" w:rsidP="00CA038C">
      <w:pPr>
        <w:pStyle w:val="CH1"/>
        <w:tabs>
          <w:tab w:val="clear" w:pos="851"/>
          <w:tab w:val="clear" w:pos="1814"/>
          <w:tab w:val="clear" w:pos="2381"/>
          <w:tab w:val="clear" w:pos="2948"/>
          <w:tab w:val="clear" w:pos="3515"/>
          <w:tab w:val="clear" w:pos="4082"/>
          <w:tab w:val="left" w:pos="1871"/>
          <w:tab w:val="left" w:pos="2495"/>
        </w:tabs>
        <w:ind w:left="624" w:right="289" w:hanging="624"/>
        <w:rPr>
          <w:rFonts w:eastAsia="MS Mincho"/>
          <w:b w:val="0"/>
          <w:lang w:val="es-ES"/>
        </w:rPr>
      </w:pPr>
      <w:r w:rsidRPr="00084982">
        <w:rPr>
          <w:lang w:val="es-ES"/>
        </w:rPr>
        <w:tab/>
      </w:r>
      <w:r w:rsidR="00075479" w:rsidRPr="00084982">
        <w:rPr>
          <w:lang w:val="es-ES"/>
        </w:rPr>
        <w:t>III.</w:t>
      </w:r>
      <w:r w:rsidR="00075479" w:rsidRPr="00084982">
        <w:rPr>
          <w:lang w:val="es-ES"/>
        </w:rPr>
        <w:tab/>
      </w:r>
      <w:r w:rsidR="00075479" w:rsidRPr="00084982">
        <w:rPr>
          <w:bCs/>
          <w:lang w:val="es-ES"/>
        </w:rPr>
        <w:t>Medida</w:t>
      </w:r>
      <w:r w:rsidR="005C58C0">
        <w:rPr>
          <w:bCs/>
          <w:lang w:val="es-ES"/>
        </w:rPr>
        <w:t xml:space="preserve"> que propone</w:t>
      </w:r>
      <w:r w:rsidR="00075479" w:rsidRPr="00084982">
        <w:rPr>
          <w:bCs/>
          <w:lang w:val="es-ES"/>
        </w:rPr>
        <w:t xml:space="preserve"> el Plenario</w:t>
      </w:r>
    </w:p>
    <w:p w14:paraId="72FB2123" w14:textId="6CB7A266" w:rsidR="00075479" w:rsidRPr="00084982" w:rsidRDefault="00075479" w:rsidP="0052127B">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rPr>
          <w:lang w:val="es-ES"/>
        </w:rPr>
      </w:pPr>
      <w:r w:rsidRPr="00084982">
        <w:rPr>
          <w:lang w:val="es-ES"/>
        </w:rPr>
        <w:t>El Plenario tal vez desee examinar las sugerencias formuladas por el Grupo Multidisciplinario de Expertos y la Mesa:</w:t>
      </w:r>
    </w:p>
    <w:p w14:paraId="27333759" w14:textId="506798BF" w:rsidR="00075479" w:rsidRPr="00084982" w:rsidRDefault="00075479" w:rsidP="0052127B">
      <w:pPr>
        <w:pStyle w:val="Normalnumber"/>
        <w:numPr>
          <w:ilvl w:val="0"/>
          <w:numId w:val="22"/>
        </w:numPr>
        <w:tabs>
          <w:tab w:val="clear" w:pos="1247"/>
          <w:tab w:val="clear" w:pos="1871"/>
          <w:tab w:val="clear" w:pos="2495"/>
        </w:tabs>
        <w:rPr>
          <w:lang w:val="es-ES"/>
        </w:rPr>
      </w:pPr>
      <w:r w:rsidRPr="00084982">
        <w:rPr>
          <w:lang w:val="es-ES"/>
        </w:rPr>
        <w:t>No modificar el alcance de las tres evaluaciones pendientes;</w:t>
      </w:r>
    </w:p>
    <w:p w14:paraId="72DF2014" w14:textId="77777777" w:rsidR="00075479" w:rsidRPr="00084982" w:rsidRDefault="00075479" w:rsidP="00887131">
      <w:pPr>
        <w:pStyle w:val="Normalnumber"/>
        <w:numPr>
          <w:ilvl w:val="0"/>
          <w:numId w:val="22"/>
        </w:numPr>
        <w:tabs>
          <w:tab w:val="clear" w:pos="1247"/>
          <w:tab w:val="clear" w:pos="1758"/>
          <w:tab w:val="clear" w:pos="1871"/>
          <w:tab w:val="clear" w:pos="2495"/>
        </w:tabs>
        <w:ind w:left="1247" w:firstLine="624"/>
        <w:rPr>
          <w:lang w:val="es-ES"/>
        </w:rPr>
      </w:pPr>
      <w:r w:rsidRPr="00084982">
        <w:rPr>
          <w:lang w:val="es-ES"/>
        </w:rPr>
        <w:t>Revisar el costo de cada una de las evaluaciones pendientes, en el contexto de las deliberaciones sobre el presupuesto en relación con el tema 9 del programa del presente período de sesiones del Plenario;</w:t>
      </w:r>
    </w:p>
    <w:p w14:paraId="74DE9BCB" w14:textId="77777777" w:rsidR="00075479" w:rsidRPr="00084982" w:rsidRDefault="00075479" w:rsidP="00887131">
      <w:pPr>
        <w:pStyle w:val="Normalnumber"/>
        <w:numPr>
          <w:ilvl w:val="0"/>
          <w:numId w:val="22"/>
        </w:numPr>
        <w:tabs>
          <w:tab w:val="clear" w:pos="1247"/>
          <w:tab w:val="clear" w:pos="1758"/>
          <w:tab w:val="clear" w:pos="1871"/>
          <w:tab w:val="clear" w:pos="2495"/>
        </w:tabs>
        <w:ind w:left="1247" w:firstLine="624"/>
        <w:rPr>
          <w:lang w:val="es-ES"/>
        </w:rPr>
      </w:pPr>
      <w:r w:rsidRPr="00084982">
        <w:rPr>
          <w:lang w:val="es-ES"/>
        </w:rPr>
        <w:t>Considerar la posibilidad de escalonar el inicio de las tres evaluaciones pendientes, a partir de dos en 2018, seguido de una en 2019.</w:t>
      </w:r>
    </w:p>
    <w:p w14:paraId="55F872A9" w14:textId="77777777" w:rsidR="00075479" w:rsidRPr="00084982" w:rsidRDefault="00075479" w:rsidP="00075479">
      <w:pPr>
        <w:pStyle w:val="AnnexTitle"/>
        <w:rPr>
          <w:rFonts w:eastAsia="Calibri"/>
          <w:w w:val="103"/>
          <w:sz w:val="24"/>
          <w:szCs w:val="24"/>
          <w:lang w:val="es-ES"/>
        </w:rPr>
      </w:pPr>
      <w:r w:rsidRPr="00084982">
        <w:rPr>
          <w:sz w:val="24"/>
          <w:szCs w:val="24"/>
          <w:lang w:val="es-ES"/>
        </w:rPr>
        <w:lastRenderedPageBreak/>
        <w:t xml:space="preserve">Anexo </w:t>
      </w:r>
      <w:bookmarkStart w:id="7" w:name="_Hlk499716434"/>
    </w:p>
    <w:p w14:paraId="375398E2" w14:textId="77777777" w:rsidR="00075479" w:rsidRPr="00084982" w:rsidRDefault="00075479" w:rsidP="00CA038C">
      <w:pPr>
        <w:pStyle w:val="ZZAnxtitle"/>
        <w:rPr>
          <w:sz w:val="24"/>
          <w:szCs w:val="24"/>
          <w:lang w:val="es-ES"/>
        </w:rPr>
      </w:pPr>
      <w:r w:rsidRPr="00084982">
        <w:rPr>
          <w:sz w:val="24"/>
          <w:szCs w:val="24"/>
          <w:lang w:val="es-ES"/>
        </w:rPr>
        <w:t xml:space="preserve">Costo estimado de una evaluación </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375"/>
        <w:gridCol w:w="4174"/>
        <w:gridCol w:w="1669"/>
      </w:tblGrid>
      <w:tr w:rsidR="00075479" w:rsidRPr="00084982" w14:paraId="3866874F" w14:textId="77777777" w:rsidTr="005C58C0">
        <w:trPr>
          <w:tblHeader/>
        </w:trPr>
        <w:tc>
          <w:tcPr>
            <w:tcW w:w="960" w:type="dxa"/>
            <w:shd w:val="clear" w:color="auto" w:fill="auto"/>
            <w:vAlign w:val="bottom"/>
          </w:tcPr>
          <w:bookmarkEnd w:id="7"/>
          <w:p w14:paraId="1D1CE7A0" w14:textId="77777777" w:rsidR="00075479" w:rsidRPr="005C58C0"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i/>
                <w:sz w:val="18"/>
                <w:szCs w:val="18"/>
                <w:lang w:val="es-ES"/>
              </w:rPr>
            </w:pPr>
            <w:r w:rsidRPr="005C58C0">
              <w:rPr>
                <w:rFonts w:ascii="Times New Roman" w:hAnsi="Times New Roman" w:cs="Times New Roman"/>
                <w:b/>
                <w:i/>
                <w:sz w:val="18"/>
                <w:szCs w:val="18"/>
                <w:lang w:val="es-ES"/>
              </w:rPr>
              <w:t>Año</w:t>
            </w:r>
          </w:p>
        </w:tc>
        <w:tc>
          <w:tcPr>
            <w:tcW w:w="3375" w:type="dxa"/>
            <w:shd w:val="clear" w:color="auto" w:fill="auto"/>
            <w:vAlign w:val="bottom"/>
          </w:tcPr>
          <w:p w14:paraId="78EEB093" w14:textId="77777777" w:rsidR="00075479" w:rsidRPr="005C58C0"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i/>
                <w:sz w:val="18"/>
                <w:szCs w:val="18"/>
                <w:lang w:val="es-ES"/>
              </w:rPr>
            </w:pPr>
            <w:r w:rsidRPr="005C58C0">
              <w:rPr>
                <w:rFonts w:ascii="Times New Roman" w:hAnsi="Times New Roman" w:cs="Times New Roman"/>
                <w:b/>
                <w:i/>
                <w:sz w:val="18"/>
                <w:szCs w:val="18"/>
                <w:lang w:val="es-ES"/>
              </w:rPr>
              <w:t>Partida de gastos</w:t>
            </w:r>
          </w:p>
        </w:tc>
        <w:tc>
          <w:tcPr>
            <w:tcW w:w="4174" w:type="dxa"/>
            <w:shd w:val="clear" w:color="auto" w:fill="auto"/>
            <w:vAlign w:val="bottom"/>
          </w:tcPr>
          <w:p w14:paraId="77F8F43B" w14:textId="77777777" w:rsidR="00075479" w:rsidRPr="005C58C0"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i/>
                <w:sz w:val="18"/>
                <w:szCs w:val="18"/>
                <w:lang w:val="es-ES"/>
              </w:rPr>
            </w:pPr>
            <w:r w:rsidRPr="005C58C0">
              <w:rPr>
                <w:rFonts w:ascii="Times New Roman" w:hAnsi="Times New Roman" w:cs="Times New Roman"/>
                <w:b/>
                <w:i/>
                <w:sz w:val="18"/>
                <w:szCs w:val="18"/>
                <w:lang w:val="es-ES"/>
              </w:rPr>
              <w:t>Supuestos</w:t>
            </w:r>
          </w:p>
        </w:tc>
        <w:tc>
          <w:tcPr>
            <w:tcW w:w="1669" w:type="dxa"/>
            <w:shd w:val="clear" w:color="auto" w:fill="auto"/>
            <w:vAlign w:val="bottom"/>
          </w:tcPr>
          <w:p w14:paraId="24BE6CF4" w14:textId="1543F9F1" w:rsidR="00075479" w:rsidRPr="005C58C0" w:rsidRDefault="00075479" w:rsidP="000712E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b/>
                <w:i/>
                <w:sz w:val="18"/>
                <w:szCs w:val="18"/>
                <w:lang w:val="es-ES"/>
              </w:rPr>
            </w:pPr>
            <w:r w:rsidRPr="005C58C0">
              <w:rPr>
                <w:rFonts w:ascii="Times New Roman" w:hAnsi="Times New Roman" w:cs="Times New Roman"/>
                <w:b/>
                <w:i/>
                <w:sz w:val="18"/>
                <w:szCs w:val="18"/>
                <w:lang w:val="es-ES"/>
              </w:rPr>
              <w:t>Estimaciones de costos (en</w:t>
            </w:r>
            <w:r w:rsidR="000712E0" w:rsidRPr="005C58C0">
              <w:rPr>
                <w:rFonts w:ascii="Times New Roman" w:hAnsi="Times New Roman" w:cs="Times New Roman"/>
                <w:b/>
                <w:i/>
                <w:sz w:val="18"/>
                <w:szCs w:val="18"/>
                <w:lang w:val="es-ES"/>
              </w:rPr>
              <w:t> </w:t>
            </w:r>
            <w:r w:rsidRPr="005C58C0">
              <w:rPr>
                <w:rFonts w:ascii="Times New Roman" w:hAnsi="Times New Roman" w:cs="Times New Roman"/>
                <w:b/>
                <w:i/>
                <w:sz w:val="18"/>
                <w:szCs w:val="18"/>
                <w:lang w:val="es-ES"/>
              </w:rPr>
              <w:t>dólares de los EE.UU.)</w:t>
            </w:r>
          </w:p>
        </w:tc>
      </w:tr>
      <w:tr w:rsidR="00075479" w:rsidRPr="00084982" w14:paraId="3313AFCC" w14:textId="77777777" w:rsidTr="005C58C0">
        <w:tc>
          <w:tcPr>
            <w:tcW w:w="960" w:type="dxa"/>
            <w:vMerge w:val="restart"/>
            <w:shd w:val="clear" w:color="auto" w:fill="auto"/>
          </w:tcPr>
          <w:p w14:paraId="5061C428"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Año 1</w:t>
            </w:r>
          </w:p>
        </w:tc>
        <w:tc>
          <w:tcPr>
            <w:tcW w:w="3375" w:type="dxa"/>
            <w:vMerge w:val="restart"/>
            <w:shd w:val="clear" w:color="auto" w:fill="auto"/>
          </w:tcPr>
          <w:p w14:paraId="51AEFFEE" w14:textId="7BCC6E7D" w:rsidR="00075479" w:rsidRPr="00084982" w:rsidRDefault="00075479" w:rsidP="008C4681">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Reunión del comité de gestión (2</w:t>
            </w:r>
            <w:r w:rsidR="008C4681" w:rsidRPr="00084982">
              <w:rPr>
                <w:rFonts w:ascii="Times New Roman" w:hAnsi="Times New Roman" w:cs="Times New Roman"/>
                <w:sz w:val="18"/>
                <w:szCs w:val="18"/>
                <w:lang w:val="es-ES"/>
              </w:rPr>
              <w:t> </w:t>
            </w:r>
            <w:r w:rsidRPr="00084982">
              <w:rPr>
                <w:rFonts w:ascii="Times New Roman" w:hAnsi="Times New Roman" w:cs="Times New Roman"/>
                <w:sz w:val="18"/>
                <w:szCs w:val="18"/>
                <w:lang w:val="es-ES"/>
              </w:rPr>
              <w:t>copresidentes, miembros de la Secretaría, incluida la dependencia de apoyo técnico, el Grupo Multidisciplinario de Expertos y la Mesa)</w:t>
            </w:r>
          </w:p>
        </w:tc>
        <w:tc>
          <w:tcPr>
            <w:tcW w:w="4174" w:type="dxa"/>
            <w:shd w:val="clear" w:color="auto" w:fill="auto"/>
          </w:tcPr>
          <w:p w14:paraId="419D3FA7" w14:textId="1005621A" w:rsidR="00075479" w:rsidRPr="00084982" w:rsidRDefault="00075479" w:rsidP="00CA038C">
            <w:pPr>
              <w:pStyle w:val="CommentText"/>
              <w:rPr>
                <w:rFonts w:cs="Times New Roman"/>
                <w:snapToGrid w:val="0"/>
                <w:sz w:val="18"/>
                <w:szCs w:val="18"/>
                <w:u w:val="single"/>
                <w:lang w:val="es-ES"/>
              </w:rPr>
            </w:pPr>
            <w:r w:rsidRPr="00084982">
              <w:rPr>
                <w:rFonts w:cs="Times New Roman"/>
                <w:sz w:val="18"/>
                <w:szCs w:val="18"/>
                <w:lang w:val="es-ES"/>
              </w:rPr>
              <w:t xml:space="preserve">Costos de la reunión (media semana, para 6 participantes, en Bonn) </w:t>
            </w:r>
          </w:p>
        </w:tc>
        <w:tc>
          <w:tcPr>
            <w:tcW w:w="1669" w:type="dxa"/>
            <w:shd w:val="clear" w:color="auto" w:fill="auto"/>
          </w:tcPr>
          <w:p w14:paraId="489FBC9D"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0</w:t>
            </w:r>
          </w:p>
        </w:tc>
      </w:tr>
      <w:tr w:rsidR="00075479" w:rsidRPr="00084982" w14:paraId="015BB1BC" w14:textId="77777777" w:rsidTr="005C58C0">
        <w:trPr>
          <w:trHeight w:val="187"/>
        </w:trPr>
        <w:tc>
          <w:tcPr>
            <w:tcW w:w="960" w:type="dxa"/>
            <w:vMerge/>
            <w:shd w:val="clear" w:color="auto" w:fill="auto"/>
            <w:vAlign w:val="center"/>
          </w:tcPr>
          <w:p w14:paraId="154BFA02"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vMerge/>
            <w:shd w:val="clear" w:color="auto" w:fill="auto"/>
          </w:tcPr>
          <w:p w14:paraId="1EC2CA7D"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4174" w:type="dxa"/>
            <w:shd w:val="clear" w:color="auto" w:fill="auto"/>
          </w:tcPr>
          <w:p w14:paraId="31DED3E2" w14:textId="04788FDC"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 xml:space="preserve">Gastos de viaje y dietas de 4 participantes con gastos pagados (4 x </w:t>
            </w:r>
            <w:r w:rsidR="000712E0" w:rsidRPr="00084982">
              <w:rPr>
                <w:rFonts w:ascii="Times New Roman" w:hAnsi="Times New Roman" w:cs="Times New Roman"/>
                <w:sz w:val="18"/>
                <w:szCs w:val="18"/>
                <w:lang w:val="es-ES"/>
              </w:rPr>
              <w:t>3 750</w:t>
            </w:r>
            <w:r w:rsidRPr="00084982">
              <w:rPr>
                <w:rFonts w:ascii="Times New Roman" w:hAnsi="Times New Roman" w:cs="Times New Roman"/>
                <w:sz w:val="18"/>
                <w:szCs w:val="18"/>
                <w:lang w:val="es-ES"/>
              </w:rPr>
              <w:t xml:space="preserve"> dólares)</w:t>
            </w:r>
          </w:p>
        </w:tc>
        <w:tc>
          <w:tcPr>
            <w:tcW w:w="1669" w:type="dxa"/>
            <w:shd w:val="clear" w:color="auto" w:fill="auto"/>
          </w:tcPr>
          <w:p w14:paraId="4C7360F7"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15 000</w:t>
            </w:r>
          </w:p>
        </w:tc>
      </w:tr>
      <w:tr w:rsidR="00075479" w:rsidRPr="00084982" w14:paraId="22B5AB3A" w14:textId="77777777" w:rsidTr="005C58C0">
        <w:trPr>
          <w:trHeight w:val="420"/>
        </w:trPr>
        <w:tc>
          <w:tcPr>
            <w:tcW w:w="960" w:type="dxa"/>
            <w:vMerge/>
            <w:shd w:val="clear" w:color="auto" w:fill="auto"/>
          </w:tcPr>
          <w:p w14:paraId="35BE3025"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vMerge w:val="restart"/>
            <w:shd w:val="clear" w:color="auto" w:fill="auto"/>
          </w:tcPr>
          <w:p w14:paraId="5C49D3C8" w14:textId="6C60B5D7" w:rsidR="00075479" w:rsidRPr="00084982" w:rsidRDefault="00075479" w:rsidP="008E1679">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Primera reunión de autores (2</w:t>
            </w:r>
            <w:r w:rsidR="008C4681" w:rsidRPr="00084982">
              <w:rPr>
                <w:rFonts w:ascii="Times New Roman" w:hAnsi="Times New Roman" w:cs="Times New Roman"/>
                <w:sz w:val="18"/>
                <w:szCs w:val="18"/>
                <w:lang w:val="es-ES"/>
              </w:rPr>
              <w:t> </w:t>
            </w:r>
            <w:r w:rsidRPr="00084982">
              <w:rPr>
                <w:rFonts w:ascii="Times New Roman" w:hAnsi="Times New Roman" w:cs="Times New Roman"/>
                <w:sz w:val="18"/>
                <w:szCs w:val="18"/>
                <w:lang w:val="es-ES"/>
              </w:rPr>
              <w:t xml:space="preserve">copresidentes, 12 autores principales encargados de la coordinación, 48 autores principales y 6 miembros del Grupo </w:t>
            </w:r>
            <w:r w:rsidR="008E1679" w:rsidRPr="00084982">
              <w:rPr>
                <w:rFonts w:ascii="Times New Roman" w:hAnsi="Times New Roman" w:cs="Times New Roman"/>
                <w:sz w:val="18"/>
                <w:szCs w:val="18"/>
                <w:lang w:val="es-ES"/>
              </w:rPr>
              <w:t>M</w:t>
            </w:r>
            <w:r w:rsidRPr="00084982">
              <w:rPr>
                <w:rFonts w:ascii="Times New Roman" w:hAnsi="Times New Roman" w:cs="Times New Roman"/>
                <w:sz w:val="18"/>
                <w:szCs w:val="18"/>
                <w:lang w:val="es-ES"/>
              </w:rPr>
              <w:t xml:space="preserve">ultidisciplinario de </w:t>
            </w:r>
            <w:r w:rsidR="008E1679" w:rsidRPr="00084982">
              <w:rPr>
                <w:rFonts w:ascii="Times New Roman" w:hAnsi="Times New Roman" w:cs="Times New Roman"/>
                <w:sz w:val="18"/>
                <w:szCs w:val="18"/>
                <w:lang w:val="es-ES"/>
              </w:rPr>
              <w:t>E</w:t>
            </w:r>
            <w:r w:rsidRPr="00084982">
              <w:rPr>
                <w:rFonts w:ascii="Times New Roman" w:hAnsi="Times New Roman" w:cs="Times New Roman"/>
                <w:sz w:val="18"/>
                <w:szCs w:val="18"/>
                <w:lang w:val="es-ES"/>
              </w:rPr>
              <w:t>xpertos y miembros de la Mesa)</w:t>
            </w:r>
          </w:p>
        </w:tc>
        <w:tc>
          <w:tcPr>
            <w:tcW w:w="4174" w:type="dxa"/>
            <w:shd w:val="clear" w:color="auto" w:fill="auto"/>
          </w:tcPr>
          <w:p w14:paraId="174E8AE2"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 xml:space="preserve">Costos de local (correspondientes a 75%, complementados con un 25% en especie; para 68 participantes) </w:t>
            </w:r>
          </w:p>
        </w:tc>
        <w:tc>
          <w:tcPr>
            <w:tcW w:w="1669" w:type="dxa"/>
            <w:shd w:val="clear" w:color="auto" w:fill="auto"/>
          </w:tcPr>
          <w:p w14:paraId="3B32B0CE"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18 750</w:t>
            </w:r>
          </w:p>
        </w:tc>
      </w:tr>
      <w:tr w:rsidR="00075479" w:rsidRPr="00084982" w14:paraId="17930BFD" w14:textId="77777777" w:rsidTr="005C58C0">
        <w:trPr>
          <w:trHeight w:val="129"/>
        </w:trPr>
        <w:tc>
          <w:tcPr>
            <w:tcW w:w="960" w:type="dxa"/>
            <w:vMerge/>
            <w:shd w:val="clear" w:color="auto" w:fill="auto"/>
            <w:vAlign w:val="center"/>
          </w:tcPr>
          <w:p w14:paraId="2E768220"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vMerge/>
            <w:shd w:val="clear" w:color="auto" w:fill="auto"/>
          </w:tcPr>
          <w:p w14:paraId="136AC5FE"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4174" w:type="dxa"/>
            <w:shd w:val="clear" w:color="auto" w:fill="auto"/>
          </w:tcPr>
          <w:p w14:paraId="023A55E1" w14:textId="799DC636"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 xml:space="preserve">Gastos de viaje y dietas de 51 participantes con gastos pagados (51 × </w:t>
            </w:r>
            <w:r w:rsidR="000712E0" w:rsidRPr="00084982">
              <w:rPr>
                <w:rFonts w:ascii="Times New Roman" w:hAnsi="Times New Roman" w:cs="Times New Roman"/>
                <w:sz w:val="18"/>
                <w:szCs w:val="18"/>
                <w:lang w:val="es-ES"/>
              </w:rPr>
              <w:t>3 750</w:t>
            </w:r>
            <w:r w:rsidRPr="00084982">
              <w:rPr>
                <w:rFonts w:ascii="Times New Roman" w:hAnsi="Times New Roman" w:cs="Times New Roman"/>
                <w:sz w:val="18"/>
                <w:szCs w:val="18"/>
                <w:lang w:val="es-ES"/>
              </w:rPr>
              <w:t xml:space="preserve"> dólares)</w:t>
            </w:r>
          </w:p>
        </w:tc>
        <w:tc>
          <w:tcPr>
            <w:tcW w:w="1669" w:type="dxa"/>
            <w:shd w:val="clear" w:color="auto" w:fill="auto"/>
          </w:tcPr>
          <w:p w14:paraId="12FD397C"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191 250</w:t>
            </w:r>
          </w:p>
        </w:tc>
      </w:tr>
      <w:tr w:rsidR="00075479" w:rsidRPr="00084982" w14:paraId="6FF4332C" w14:textId="77777777" w:rsidTr="005C58C0">
        <w:trPr>
          <w:trHeight w:val="452"/>
        </w:trPr>
        <w:tc>
          <w:tcPr>
            <w:tcW w:w="960" w:type="dxa"/>
            <w:vMerge/>
            <w:shd w:val="clear" w:color="auto" w:fill="auto"/>
          </w:tcPr>
          <w:p w14:paraId="7F3FAD64"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shd w:val="clear" w:color="auto" w:fill="auto"/>
          </w:tcPr>
          <w:p w14:paraId="48EBD648"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r w:rsidRPr="00084982">
              <w:rPr>
                <w:rFonts w:ascii="Times New Roman" w:hAnsi="Times New Roman" w:cs="Times New Roman"/>
                <w:sz w:val="18"/>
                <w:szCs w:val="18"/>
                <w:lang w:val="es-ES"/>
              </w:rPr>
              <w:t>Dependencia de apoyo técnico</w:t>
            </w:r>
          </w:p>
        </w:tc>
        <w:tc>
          <w:tcPr>
            <w:tcW w:w="4174" w:type="dxa"/>
            <w:shd w:val="clear" w:color="auto" w:fill="auto"/>
          </w:tcPr>
          <w:p w14:paraId="1A8852DD" w14:textId="399133AC"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Correspondiente a los gastos de un puesto equivalente a funcionario del cuadro orgánico a tiempo completo y un asistente administrativo a media jornada, incluidos los gastos de viaje y gastos generales (que se cubrirá con una oferta en especie de valor equivalente)</w:t>
            </w:r>
          </w:p>
        </w:tc>
        <w:tc>
          <w:tcPr>
            <w:tcW w:w="1669" w:type="dxa"/>
            <w:shd w:val="clear" w:color="auto" w:fill="auto"/>
          </w:tcPr>
          <w:p w14:paraId="7ADF9F6E"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b/>
                <w:sz w:val="18"/>
                <w:szCs w:val="18"/>
                <w:lang w:val="es-ES"/>
              </w:rPr>
            </w:pPr>
            <w:r w:rsidRPr="00084982">
              <w:rPr>
                <w:rFonts w:ascii="Times New Roman" w:hAnsi="Times New Roman" w:cs="Times New Roman"/>
                <w:sz w:val="18"/>
                <w:szCs w:val="18"/>
                <w:lang w:val="es-ES"/>
              </w:rPr>
              <w:t>150 000</w:t>
            </w:r>
          </w:p>
        </w:tc>
      </w:tr>
      <w:tr w:rsidR="00075479" w:rsidRPr="00084982" w14:paraId="436C9D6E" w14:textId="77777777" w:rsidTr="005C58C0">
        <w:trPr>
          <w:trHeight w:val="271"/>
        </w:trPr>
        <w:tc>
          <w:tcPr>
            <w:tcW w:w="960" w:type="dxa"/>
            <w:shd w:val="clear" w:color="auto" w:fill="auto"/>
          </w:tcPr>
          <w:p w14:paraId="065C14B3"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shd w:val="clear" w:color="auto" w:fill="auto"/>
          </w:tcPr>
          <w:p w14:paraId="1592D84B" w14:textId="77777777" w:rsidR="00075479" w:rsidRPr="00084982"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r w:rsidRPr="00084982">
              <w:rPr>
                <w:rFonts w:ascii="Times New Roman" w:hAnsi="Times New Roman" w:cs="Times New Roman"/>
                <w:b/>
                <w:sz w:val="18"/>
                <w:szCs w:val="18"/>
                <w:lang w:val="es-ES"/>
              </w:rPr>
              <w:t>Total año 1:</w:t>
            </w:r>
          </w:p>
        </w:tc>
        <w:tc>
          <w:tcPr>
            <w:tcW w:w="4174" w:type="dxa"/>
            <w:shd w:val="clear" w:color="auto" w:fill="auto"/>
          </w:tcPr>
          <w:p w14:paraId="3D8070BD"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p>
        </w:tc>
        <w:tc>
          <w:tcPr>
            <w:tcW w:w="1669" w:type="dxa"/>
            <w:shd w:val="clear" w:color="auto" w:fill="auto"/>
          </w:tcPr>
          <w:p w14:paraId="0371E50C"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b/>
                <w:sz w:val="18"/>
                <w:szCs w:val="18"/>
                <w:lang w:val="es-ES"/>
              </w:rPr>
            </w:pPr>
            <w:r w:rsidRPr="00084982">
              <w:rPr>
                <w:rFonts w:ascii="Times New Roman" w:hAnsi="Times New Roman" w:cs="Times New Roman"/>
                <w:b/>
                <w:sz w:val="18"/>
                <w:szCs w:val="18"/>
                <w:lang w:val="es-ES"/>
              </w:rPr>
              <w:t>375 000</w:t>
            </w:r>
          </w:p>
        </w:tc>
      </w:tr>
      <w:tr w:rsidR="00075479" w:rsidRPr="00084982" w14:paraId="62D7225A" w14:textId="77777777" w:rsidTr="005C58C0">
        <w:trPr>
          <w:trHeight w:val="516"/>
        </w:trPr>
        <w:tc>
          <w:tcPr>
            <w:tcW w:w="960" w:type="dxa"/>
            <w:vMerge w:val="restart"/>
            <w:shd w:val="clear" w:color="auto" w:fill="auto"/>
          </w:tcPr>
          <w:p w14:paraId="38E054E9"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Año 2</w:t>
            </w:r>
          </w:p>
        </w:tc>
        <w:tc>
          <w:tcPr>
            <w:tcW w:w="3375" w:type="dxa"/>
            <w:vMerge w:val="restart"/>
            <w:shd w:val="clear" w:color="auto" w:fill="auto"/>
          </w:tcPr>
          <w:p w14:paraId="11264138" w14:textId="552CEB85" w:rsidR="00075479" w:rsidRPr="00084982" w:rsidRDefault="00075479" w:rsidP="008C4681">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Segunda reunión de autores (2</w:t>
            </w:r>
            <w:r w:rsidR="008C4681" w:rsidRPr="00084982">
              <w:rPr>
                <w:rFonts w:ascii="Times New Roman" w:hAnsi="Times New Roman" w:cs="Times New Roman"/>
                <w:sz w:val="18"/>
                <w:szCs w:val="18"/>
                <w:lang w:val="es-ES"/>
              </w:rPr>
              <w:t> </w:t>
            </w:r>
            <w:r w:rsidRPr="00084982">
              <w:rPr>
                <w:rFonts w:ascii="Times New Roman" w:hAnsi="Times New Roman" w:cs="Times New Roman"/>
                <w:sz w:val="18"/>
                <w:szCs w:val="18"/>
                <w:lang w:val="es-ES"/>
              </w:rPr>
              <w:t xml:space="preserve">copresidentes, 12 autores principales encargados de la coordinación, 48 autores principales, 12 revisores y 6 miembros del </w:t>
            </w:r>
            <w:r w:rsidR="008E1679" w:rsidRPr="00084982">
              <w:rPr>
                <w:rFonts w:ascii="Times New Roman" w:hAnsi="Times New Roman" w:cs="Times New Roman"/>
                <w:sz w:val="18"/>
                <w:szCs w:val="18"/>
                <w:lang w:val="es-ES"/>
              </w:rPr>
              <w:t>Grupo Multidisciplinario de Expertos</w:t>
            </w:r>
            <w:r w:rsidRPr="00084982">
              <w:rPr>
                <w:rFonts w:ascii="Times New Roman" w:hAnsi="Times New Roman" w:cs="Times New Roman"/>
                <w:sz w:val="18"/>
                <w:szCs w:val="18"/>
                <w:lang w:val="es-ES"/>
              </w:rPr>
              <w:t xml:space="preserve"> y miembros de la Mesa)</w:t>
            </w:r>
          </w:p>
        </w:tc>
        <w:tc>
          <w:tcPr>
            <w:tcW w:w="4174" w:type="dxa"/>
            <w:shd w:val="clear" w:color="auto" w:fill="auto"/>
          </w:tcPr>
          <w:p w14:paraId="03A0BB44"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Costos de local (correspondientes a 75%, complementados con un 25% en especie; para 80 participantes)</w:t>
            </w:r>
          </w:p>
        </w:tc>
        <w:tc>
          <w:tcPr>
            <w:tcW w:w="1669" w:type="dxa"/>
            <w:shd w:val="clear" w:color="auto" w:fill="auto"/>
          </w:tcPr>
          <w:p w14:paraId="483CE2D7"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20 000</w:t>
            </w:r>
          </w:p>
        </w:tc>
      </w:tr>
      <w:tr w:rsidR="00075479" w:rsidRPr="00084982" w14:paraId="6E7651E8" w14:textId="77777777" w:rsidTr="005C58C0">
        <w:trPr>
          <w:trHeight w:val="63"/>
        </w:trPr>
        <w:tc>
          <w:tcPr>
            <w:tcW w:w="960" w:type="dxa"/>
            <w:vMerge/>
            <w:shd w:val="clear" w:color="auto" w:fill="auto"/>
            <w:vAlign w:val="center"/>
          </w:tcPr>
          <w:p w14:paraId="724DC523"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vMerge/>
            <w:shd w:val="clear" w:color="auto" w:fill="auto"/>
          </w:tcPr>
          <w:p w14:paraId="2C90C5E1"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4174" w:type="dxa"/>
            <w:shd w:val="clear" w:color="auto" w:fill="auto"/>
          </w:tcPr>
          <w:p w14:paraId="49040D73" w14:textId="451D3D29"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 xml:space="preserve">Gastos de viaje y dietas de 60 participantes con gastos pagados (60 x </w:t>
            </w:r>
            <w:r w:rsidR="000712E0" w:rsidRPr="00084982">
              <w:rPr>
                <w:rFonts w:ascii="Times New Roman" w:hAnsi="Times New Roman" w:cs="Times New Roman"/>
                <w:sz w:val="18"/>
                <w:szCs w:val="18"/>
                <w:lang w:val="es-ES"/>
              </w:rPr>
              <w:t>3 750</w:t>
            </w:r>
            <w:r w:rsidRPr="00084982">
              <w:rPr>
                <w:rFonts w:ascii="Times New Roman" w:hAnsi="Times New Roman" w:cs="Times New Roman"/>
                <w:sz w:val="18"/>
                <w:szCs w:val="18"/>
                <w:lang w:val="es-ES"/>
              </w:rPr>
              <w:t xml:space="preserve"> dólares)</w:t>
            </w:r>
          </w:p>
        </w:tc>
        <w:tc>
          <w:tcPr>
            <w:tcW w:w="1669" w:type="dxa"/>
            <w:shd w:val="clear" w:color="auto" w:fill="auto"/>
          </w:tcPr>
          <w:p w14:paraId="3B84BDE8"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225 000</w:t>
            </w:r>
          </w:p>
        </w:tc>
      </w:tr>
      <w:tr w:rsidR="00075479" w:rsidRPr="00084982" w14:paraId="7F31EF40" w14:textId="77777777" w:rsidTr="005C58C0">
        <w:trPr>
          <w:trHeight w:val="139"/>
        </w:trPr>
        <w:tc>
          <w:tcPr>
            <w:tcW w:w="960" w:type="dxa"/>
            <w:vMerge/>
            <w:shd w:val="clear" w:color="auto" w:fill="auto"/>
            <w:vAlign w:val="center"/>
          </w:tcPr>
          <w:p w14:paraId="4C312F4F"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shd w:val="clear" w:color="auto" w:fill="auto"/>
          </w:tcPr>
          <w:p w14:paraId="15F0D79F"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Dependencia de apoyo técnico</w:t>
            </w:r>
          </w:p>
        </w:tc>
        <w:tc>
          <w:tcPr>
            <w:tcW w:w="4174" w:type="dxa"/>
            <w:shd w:val="clear" w:color="auto" w:fill="auto"/>
          </w:tcPr>
          <w:p w14:paraId="538CB425" w14:textId="1278181E"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Correspondiente a los gastos de un puesto equivalente a funcionario del cuadro orgánico a tiempo completo y un asistente administrativo a media jornada, incluidos los gastos de viaje y gastos generales (que se cubrirá con una oferta en especie de valor equivalente)</w:t>
            </w:r>
          </w:p>
        </w:tc>
        <w:tc>
          <w:tcPr>
            <w:tcW w:w="1669" w:type="dxa"/>
            <w:shd w:val="clear" w:color="auto" w:fill="auto"/>
          </w:tcPr>
          <w:p w14:paraId="57E7D0EC"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150 000</w:t>
            </w:r>
          </w:p>
          <w:p w14:paraId="7346D3A2"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p>
        </w:tc>
      </w:tr>
      <w:tr w:rsidR="00075479" w:rsidRPr="00084982" w14:paraId="353CF60B" w14:textId="77777777" w:rsidTr="005C58C0">
        <w:trPr>
          <w:trHeight w:val="139"/>
        </w:trPr>
        <w:tc>
          <w:tcPr>
            <w:tcW w:w="960" w:type="dxa"/>
            <w:vMerge/>
            <w:shd w:val="clear" w:color="auto" w:fill="auto"/>
            <w:vAlign w:val="center"/>
          </w:tcPr>
          <w:p w14:paraId="39B45EC4"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shd w:val="clear" w:color="auto" w:fill="auto"/>
          </w:tcPr>
          <w:p w14:paraId="57A44A10"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r w:rsidRPr="00084982">
              <w:rPr>
                <w:rFonts w:ascii="Times New Roman" w:hAnsi="Times New Roman" w:cs="Times New Roman"/>
                <w:b/>
                <w:sz w:val="18"/>
                <w:szCs w:val="18"/>
                <w:lang w:val="es-ES"/>
              </w:rPr>
              <w:t>Total año 2:</w:t>
            </w:r>
          </w:p>
        </w:tc>
        <w:tc>
          <w:tcPr>
            <w:tcW w:w="4174" w:type="dxa"/>
            <w:shd w:val="clear" w:color="auto" w:fill="auto"/>
          </w:tcPr>
          <w:p w14:paraId="54BA1EE1"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p>
        </w:tc>
        <w:tc>
          <w:tcPr>
            <w:tcW w:w="1669" w:type="dxa"/>
            <w:shd w:val="clear" w:color="auto" w:fill="auto"/>
          </w:tcPr>
          <w:p w14:paraId="033F7A21" w14:textId="77777777" w:rsidR="00075479" w:rsidRPr="00084982"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b/>
                <w:sz w:val="18"/>
                <w:szCs w:val="18"/>
                <w:lang w:val="es-ES"/>
              </w:rPr>
            </w:pPr>
            <w:r w:rsidRPr="00084982">
              <w:rPr>
                <w:rFonts w:ascii="Times New Roman" w:hAnsi="Times New Roman" w:cs="Times New Roman"/>
                <w:b/>
                <w:sz w:val="18"/>
                <w:szCs w:val="18"/>
                <w:lang w:val="es-ES"/>
              </w:rPr>
              <w:t>395 000</w:t>
            </w:r>
          </w:p>
        </w:tc>
      </w:tr>
      <w:tr w:rsidR="00075479" w:rsidRPr="00084982" w14:paraId="59A0F2F6" w14:textId="77777777" w:rsidTr="005C58C0">
        <w:trPr>
          <w:trHeight w:val="139"/>
        </w:trPr>
        <w:tc>
          <w:tcPr>
            <w:tcW w:w="960" w:type="dxa"/>
            <w:vMerge w:val="restart"/>
            <w:shd w:val="clear" w:color="auto" w:fill="auto"/>
            <w:vAlign w:val="center"/>
          </w:tcPr>
          <w:p w14:paraId="7EB7C45C"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Año 3</w:t>
            </w:r>
          </w:p>
        </w:tc>
        <w:tc>
          <w:tcPr>
            <w:tcW w:w="3375" w:type="dxa"/>
            <w:vMerge w:val="restart"/>
            <w:shd w:val="clear" w:color="auto" w:fill="auto"/>
          </w:tcPr>
          <w:p w14:paraId="6AF4EF63" w14:textId="3754353E"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Tercera reunión de autores (2</w:t>
            </w:r>
            <w:r w:rsidR="000712E0" w:rsidRPr="00084982">
              <w:rPr>
                <w:rFonts w:ascii="Times New Roman" w:hAnsi="Times New Roman" w:cs="Times New Roman"/>
                <w:sz w:val="18"/>
                <w:szCs w:val="18"/>
                <w:lang w:val="es-ES"/>
              </w:rPr>
              <w:t> </w:t>
            </w:r>
            <w:r w:rsidRPr="00084982">
              <w:rPr>
                <w:rFonts w:ascii="Times New Roman" w:hAnsi="Times New Roman" w:cs="Times New Roman"/>
                <w:sz w:val="18"/>
                <w:szCs w:val="18"/>
                <w:lang w:val="es-ES"/>
              </w:rPr>
              <w:t xml:space="preserve">copresidentes, 12 autores principales encargados de la coordinación, 48 autores principales, 12 revisores y 6 miembros del </w:t>
            </w:r>
            <w:r w:rsidR="008E1679" w:rsidRPr="00084982">
              <w:rPr>
                <w:rFonts w:ascii="Times New Roman" w:hAnsi="Times New Roman" w:cs="Times New Roman"/>
                <w:sz w:val="18"/>
                <w:szCs w:val="18"/>
                <w:lang w:val="es-ES"/>
              </w:rPr>
              <w:t>Grupo Multidisciplinario de Expertos</w:t>
            </w:r>
            <w:r w:rsidRPr="00084982">
              <w:rPr>
                <w:rFonts w:ascii="Times New Roman" w:hAnsi="Times New Roman" w:cs="Times New Roman"/>
                <w:sz w:val="18"/>
                <w:szCs w:val="18"/>
                <w:lang w:val="es-ES"/>
              </w:rPr>
              <w:t xml:space="preserve"> y miembros de la Mesa)</w:t>
            </w:r>
          </w:p>
        </w:tc>
        <w:tc>
          <w:tcPr>
            <w:tcW w:w="4174" w:type="dxa"/>
            <w:shd w:val="clear" w:color="auto" w:fill="auto"/>
          </w:tcPr>
          <w:p w14:paraId="51908D71" w14:textId="77777777" w:rsidR="00075479" w:rsidRPr="00084982"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Costos de local (correspondientes a 75%, complementados con un 25% en especie; para 80 participantes)</w:t>
            </w:r>
          </w:p>
        </w:tc>
        <w:tc>
          <w:tcPr>
            <w:tcW w:w="1669" w:type="dxa"/>
            <w:shd w:val="clear" w:color="auto" w:fill="auto"/>
          </w:tcPr>
          <w:p w14:paraId="318F1838" w14:textId="77777777" w:rsidR="00075479" w:rsidRPr="00084982" w:rsidRDefault="00075479"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20 000</w:t>
            </w:r>
          </w:p>
        </w:tc>
      </w:tr>
      <w:tr w:rsidR="00075479" w:rsidRPr="00084982" w14:paraId="25EF258B" w14:textId="77777777" w:rsidTr="005C58C0">
        <w:trPr>
          <w:trHeight w:val="139"/>
        </w:trPr>
        <w:tc>
          <w:tcPr>
            <w:tcW w:w="960" w:type="dxa"/>
            <w:vMerge/>
            <w:shd w:val="clear" w:color="auto" w:fill="auto"/>
            <w:vAlign w:val="center"/>
          </w:tcPr>
          <w:p w14:paraId="0E95A04F"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vMerge/>
            <w:shd w:val="clear" w:color="auto" w:fill="auto"/>
          </w:tcPr>
          <w:p w14:paraId="1D33C17B" w14:textId="77777777" w:rsidR="00075479" w:rsidRPr="00084982"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4174" w:type="dxa"/>
            <w:shd w:val="clear" w:color="auto" w:fill="auto"/>
          </w:tcPr>
          <w:p w14:paraId="659249CC" w14:textId="1EB01542" w:rsidR="00075479" w:rsidRPr="00084982"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 xml:space="preserve">Gastos de viaje y dietas de 60 participantes con gastos pagados (60 x </w:t>
            </w:r>
            <w:r w:rsidR="000712E0" w:rsidRPr="00084982">
              <w:rPr>
                <w:rFonts w:ascii="Times New Roman" w:hAnsi="Times New Roman" w:cs="Times New Roman"/>
                <w:sz w:val="18"/>
                <w:szCs w:val="18"/>
                <w:lang w:val="es-ES"/>
              </w:rPr>
              <w:t>3 750</w:t>
            </w:r>
            <w:r w:rsidRPr="00084982">
              <w:rPr>
                <w:rFonts w:ascii="Times New Roman" w:hAnsi="Times New Roman" w:cs="Times New Roman"/>
                <w:sz w:val="18"/>
                <w:szCs w:val="18"/>
                <w:lang w:val="es-ES"/>
              </w:rPr>
              <w:t xml:space="preserve"> dólares)</w:t>
            </w:r>
          </w:p>
        </w:tc>
        <w:tc>
          <w:tcPr>
            <w:tcW w:w="1669" w:type="dxa"/>
            <w:shd w:val="clear" w:color="auto" w:fill="auto"/>
          </w:tcPr>
          <w:p w14:paraId="38260734" w14:textId="77777777" w:rsidR="00075479" w:rsidRPr="00084982" w:rsidRDefault="00075479"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225 000</w:t>
            </w:r>
          </w:p>
        </w:tc>
      </w:tr>
      <w:tr w:rsidR="00075479" w:rsidRPr="00084982" w14:paraId="189EEDDA" w14:textId="77777777" w:rsidTr="005C58C0">
        <w:trPr>
          <w:trHeight w:val="139"/>
        </w:trPr>
        <w:tc>
          <w:tcPr>
            <w:tcW w:w="960" w:type="dxa"/>
            <w:vMerge/>
            <w:shd w:val="clear" w:color="auto" w:fill="auto"/>
            <w:vAlign w:val="center"/>
          </w:tcPr>
          <w:p w14:paraId="627FFC31"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shd w:val="clear" w:color="auto" w:fill="auto"/>
          </w:tcPr>
          <w:p w14:paraId="62FAD491" w14:textId="77777777" w:rsidR="00075479" w:rsidRPr="00084982"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Dependencia de apoyo técnico (incluidos 3 meses después del lanzamiento del informe de evaluación en el Plenario)</w:t>
            </w:r>
          </w:p>
        </w:tc>
        <w:tc>
          <w:tcPr>
            <w:tcW w:w="4174" w:type="dxa"/>
            <w:shd w:val="clear" w:color="auto" w:fill="auto"/>
          </w:tcPr>
          <w:p w14:paraId="4BB9A6AD" w14:textId="2441E714"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Correspondiente a los gastos de un puesto equivalente a funcionario del cuadro orgánico a tiempo completo y un asistente administrativo a media jornada, incluidos los gastos de viaje y gastos generales (que se cubrirá con una oferta en especie de valor equivalente)</w:t>
            </w:r>
          </w:p>
        </w:tc>
        <w:tc>
          <w:tcPr>
            <w:tcW w:w="1669" w:type="dxa"/>
            <w:shd w:val="clear" w:color="auto" w:fill="auto"/>
          </w:tcPr>
          <w:p w14:paraId="2C3C192F" w14:textId="77777777" w:rsidR="00075479" w:rsidRPr="00084982" w:rsidRDefault="00075479" w:rsidP="0006640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187 500</w:t>
            </w:r>
          </w:p>
        </w:tc>
      </w:tr>
      <w:tr w:rsidR="00075479" w:rsidRPr="00084982" w14:paraId="24ECB73B" w14:textId="77777777" w:rsidTr="005C58C0">
        <w:trPr>
          <w:trHeight w:val="139"/>
        </w:trPr>
        <w:tc>
          <w:tcPr>
            <w:tcW w:w="960" w:type="dxa"/>
            <w:shd w:val="clear" w:color="auto" w:fill="auto"/>
            <w:vAlign w:val="center"/>
          </w:tcPr>
          <w:p w14:paraId="24178C81"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shd w:val="clear" w:color="auto" w:fill="auto"/>
          </w:tcPr>
          <w:p w14:paraId="3675EF34"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 xml:space="preserve">Participación de 8 expertos, incluidos 2 Copresidentes y 6 autores principales encargados de la coordinación o autores principales, en el octavo período de sesiones del Plenario </w:t>
            </w:r>
          </w:p>
        </w:tc>
        <w:tc>
          <w:tcPr>
            <w:tcW w:w="4174" w:type="dxa"/>
            <w:shd w:val="clear" w:color="auto" w:fill="auto"/>
          </w:tcPr>
          <w:p w14:paraId="27C40A55" w14:textId="109B1F03"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 xml:space="preserve">Gastos de viaje y dietas de 6 participantes con gastos pagados (6 x </w:t>
            </w:r>
            <w:r w:rsidR="000712E0" w:rsidRPr="00084982">
              <w:rPr>
                <w:rFonts w:ascii="Times New Roman" w:hAnsi="Times New Roman" w:cs="Times New Roman"/>
                <w:sz w:val="18"/>
                <w:szCs w:val="18"/>
                <w:lang w:val="es-ES"/>
              </w:rPr>
              <w:t>3 750</w:t>
            </w:r>
            <w:r w:rsidRPr="00084982">
              <w:rPr>
                <w:rFonts w:ascii="Times New Roman" w:hAnsi="Times New Roman" w:cs="Times New Roman"/>
                <w:sz w:val="18"/>
                <w:szCs w:val="18"/>
                <w:lang w:val="es-ES"/>
              </w:rPr>
              <w:t xml:space="preserve"> dólares)</w:t>
            </w:r>
          </w:p>
        </w:tc>
        <w:tc>
          <w:tcPr>
            <w:tcW w:w="1669" w:type="dxa"/>
            <w:shd w:val="clear" w:color="auto" w:fill="auto"/>
          </w:tcPr>
          <w:p w14:paraId="26CD16B4"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22 500</w:t>
            </w:r>
          </w:p>
        </w:tc>
      </w:tr>
      <w:tr w:rsidR="00075479" w:rsidRPr="00084982" w14:paraId="04C12BF7" w14:textId="77777777" w:rsidTr="005C58C0">
        <w:trPr>
          <w:trHeight w:val="139"/>
        </w:trPr>
        <w:tc>
          <w:tcPr>
            <w:tcW w:w="960" w:type="dxa"/>
            <w:shd w:val="clear" w:color="auto" w:fill="auto"/>
            <w:vAlign w:val="center"/>
          </w:tcPr>
          <w:p w14:paraId="283E22FC"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shd w:val="clear" w:color="auto" w:fill="auto"/>
          </w:tcPr>
          <w:p w14:paraId="72D0DB23" w14:textId="41243F0F"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Diseño, maquetación, distribución y divulgación</w:t>
            </w:r>
          </w:p>
        </w:tc>
        <w:tc>
          <w:tcPr>
            <w:tcW w:w="4174" w:type="dxa"/>
            <w:shd w:val="clear" w:color="auto" w:fill="auto"/>
          </w:tcPr>
          <w:p w14:paraId="5173B364"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r w:rsidRPr="00084982">
              <w:rPr>
                <w:rFonts w:ascii="Times New Roman" w:hAnsi="Times New Roman" w:cs="Times New Roman"/>
                <w:sz w:val="18"/>
                <w:szCs w:val="18"/>
                <w:lang w:val="es-ES"/>
              </w:rPr>
              <w:t>Incluidas las siguientes actividades: diseño y maquetación del informe de evaluación con inclusión de sus gráficos técnicos, producción de un vídeo promocional de divulgación, apoyo a las relaciones públicas, actividades de presentación, impresión del resumen para los encargados de la formulación de políticas, así como los informes de evaluación y la posterior distribución</w:t>
            </w:r>
          </w:p>
        </w:tc>
        <w:tc>
          <w:tcPr>
            <w:tcW w:w="1669" w:type="dxa"/>
            <w:shd w:val="clear" w:color="auto" w:fill="auto"/>
          </w:tcPr>
          <w:p w14:paraId="5EB5EFE6"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sz w:val="18"/>
                <w:szCs w:val="18"/>
                <w:lang w:val="es-ES"/>
              </w:rPr>
            </w:pPr>
            <w:r w:rsidRPr="00084982">
              <w:rPr>
                <w:rFonts w:ascii="Times New Roman" w:hAnsi="Times New Roman" w:cs="Times New Roman"/>
                <w:sz w:val="18"/>
                <w:szCs w:val="18"/>
                <w:lang w:val="es-ES"/>
              </w:rPr>
              <w:t>220 000</w:t>
            </w:r>
          </w:p>
        </w:tc>
      </w:tr>
      <w:tr w:rsidR="00075479" w:rsidRPr="00084982" w14:paraId="1055B05C" w14:textId="77777777" w:rsidTr="005C58C0">
        <w:trPr>
          <w:trHeight w:val="350"/>
        </w:trPr>
        <w:tc>
          <w:tcPr>
            <w:tcW w:w="960" w:type="dxa"/>
            <w:shd w:val="clear" w:color="auto" w:fill="auto"/>
          </w:tcPr>
          <w:p w14:paraId="01C05B4E"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
              </w:rPr>
            </w:pPr>
          </w:p>
        </w:tc>
        <w:tc>
          <w:tcPr>
            <w:tcW w:w="3375" w:type="dxa"/>
            <w:shd w:val="clear" w:color="auto" w:fill="auto"/>
          </w:tcPr>
          <w:p w14:paraId="4B7B7822"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r w:rsidRPr="00084982">
              <w:rPr>
                <w:rFonts w:ascii="Times New Roman" w:hAnsi="Times New Roman" w:cs="Times New Roman"/>
                <w:b/>
                <w:sz w:val="18"/>
                <w:szCs w:val="18"/>
                <w:lang w:val="es-ES"/>
              </w:rPr>
              <w:t>Total año 3:</w:t>
            </w:r>
          </w:p>
        </w:tc>
        <w:tc>
          <w:tcPr>
            <w:tcW w:w="4174" w:type="dxa"/>
            <w:shd w:val="clear" w:color="auto" w:fill="auto"/>
          </w:tcPr>
          <w:p w14:paraId="5ABC7E0E"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p>
        </w:tc>
        <w:tc>
          <w:tcPr>
            <w:tcW w:w="1669" w:type="dxa"/>
            <w:shd w:val="clear" w:color="auto" w:fill="auto"/>
          </w:tcPr>
          <w:p w14:paraId="0C3CB76E" w14:textId="77777777" w:rsidR="00075479" w:rsidRPr="00084982" w:rsidRDefault="00075479" w:rsidP="000712E0">
            <w:pPr>
              <w:keepNext/>
              <w:keepLines/>
              <w:tabs>
                <w:tab w:val="left" w:pos="1247"/>
                <w:tab w:val="left" w:pos="1814"/>
                <w:tab w:val="left" w:pos="2381"/>
                <w:tab w:val="left" w:pos="2948"/>
                <w:tab w:val="left" w:pos="3515"/>
              </w:tabs>
              <w:spacing w:before="40" w:after="40" w:line="240" w:lineRule="auto"/>
              <w:jc w:val="right"/>
              <w:rPr>
                <w:rFonts w:ascii="Times New Roman" w:hAnsi="Times New Roman" w:cs="Times New Roman"/>
                <w:b/>
                <w:sz w:val="18"/>
                <w:szCs w:val="18"/>
                <w:lang w:val="es-ES"/>
              </w:rPr>
            </w:pPr>
            <w:r w:rsidRPr="00084982">
              <w:rPr>
                <w:rFonts w:ascii="Times New Roman" w:hAnsi="Times New Roman" w:cs="Times New Roman"/>
                <w:b/>
                <w:sz w:val="18"/>
                <w:szCs w:val="18"/>
                <w:lang w:val="es-ES"/>
              </w:rPr>
              <w:t>675 000</w:t>
            </w:r>
          </w:p>
        </w:tc>
      </w:tr>
      <w:tr w:rsidR="00075479" w:rsidRPr="008C4681" w14:paraId="0583A44E" w14:textId="77777777" w:rsidTr="005C58C0">
        <w:trPr>
          <w:trHeight w:val="350"/>
        </w:trPr>
        <w:tc>
          <w:tcPr>
            <w:tcW w:w="960" w:type="dxa"/>
            <w:shd w:val="clear" w:color="auto" w:fill="auto"/>
          </w:tcPr>
          <w:p w14:paraId="425B7225"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p>
        </w:tc>
        <w:tc>
          <w:tcPr>
            <w:tcW w:w="3375" w:type="dxa"/>
            <w:shd w:val="clear" w:color="auto" w:fill="auto"/>
          </w:tcPr>
          <w:p w14:paraId="4936BC2C" w14:textId="77777777" w:rsidR="00075479" w:rsidRPr="00084982" w:rsidRDefault="00075479" w:rsidP="00066400">
            <w:pPr>
              <w:keepNext/>
              <w:keepLines/>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r w:rsidRPr="00084982">
              <w:rPr>
                <w:rFonts w:ascii="Times New Roman" w:hAnsi="Times New Roman" w:cs="Times New Roman"/>
                <w:b/>
                <w:sz w:val="18"/>
                <w:szCs w:val="18"/>
                <w:lang w:val="es-ES"/>
              </w:rPr>
              <w:t>Total</w:t>
            </w:r>
          </w:p>
        </w:tc>
        <w:tc>
          <w:tcPr>
            <w:tcW w:w="4174" w:type="dxa"/>
            <w:shd w:val="clear" w:color="auto" w:fill="auto"/>
          </w:tcPr>
          <w:p w14:paraId="53DDCFCE" w14:textId="77777777" w:rsidR="00075479" w:rsidRPr="00084982" w:rsidRDefault="00075479" w:rsidP="00066400">
            <w:pPr>
              <w:tabs>
                <w:tab w:val="left" w:pos="1247"/>
                <w:tab w:val="left" w:pos="1814"/>
                <w:tab w:val="left" w:pos="2381"/>
                <w:tab w:val="left" w:pos="2948"/>
                <w:tab w:val="left" w:pos="3515"/>
              </w:tabs>
              <w:spacing w:before="40" w:after="40" w:line="240" w:lineRule="auto"/>
              <w:rPr>
                <w:rFonts w:ascii="Times New Roman" w:hAnsi="Times New Roman" w:cs="Times New Roman"/>
                <w:b/>
                <w:sz w:val="18"/>
                <w:szCs w:val="18"/>
                <w:lang w:val="es-ES"/>
              </w:rPr>
            </w:pPr>
          </w:p>
        </w:tc>
        <w:tc>
          <w:tcPr>
            <w:tcW w:w="1669" w:type="dxa"/>
            <w:shd w:val="clear" w:color="auto" w:fill="auto"/>
          </w:tcPr>
          <w:p w14:paraId="7F79FA48" w14:textId="77777777" w:rsidR="00075479" w:rsidRPr="000712E0" w:rsidRDefault="00075479" w:rsidP="00066400">
            <w:pPr>
              <w:tabs>
                <w:tab w:val="left" w:pos="1247"/>
                <w:tab w:val="left" w:pos="1814"/>
                <w:tab w:val="left" w:pos="2381"/>
                <w:tab w:val="left" w:pos="2948"/>
                <w:tab w:val="left" w:pos="3515"/>
              </w:tabs>
              <w:spacing w:before="40" w:after="40" w:line="240" w:lineRule="auto"/>
              <w:jc w:val="right"/>
              <w:rPr>
                <w:rFonts w:ascii="Times New Roman" w:hAnsi="Times New Roman" w:cs="Times New Roman"/>
                <w:b/>
                <w:sz w:val="18"/>
                <w:szCs w:val="18"/>
                <w:lang w:val="es-ES"/>
              </w:rPr>
            </w:pPr>
            <w:r w:rsidRPr="00084982">
              <w:rPr>
                <w:rFonts w:ascii="Times New Roman" w:hAnsi="Times New Roman" w:cs="Times New Roman"/>
                <w:b/>
                <w:sz w:val="18"/>
                <w:szCs w:val="18"/>
                <w:lang w:val="es-ES"/>
              </w:rPr>
              <w:t>1 445 000</w:t>
            </w:r>
          </w:p>
        </w:tc>
      </w:tr>
    </w:tbl>
    <w:p w14:paraId="34EEC2EA" w14:textId="77777777" w:rsidR="005C58C0" w:rsidRDefault="005C58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2A626D" w:rsidRPr="00A466BC" w14:paraId="07351B0F" w14:textId="77777777" w:rsidTr="002A626D">
        <w:tc>
          <w:tcPr>
            <w:tcW w:w="2009" w:type="dxa"/>
          </w:tcPr>
          <w:p w14:paraId="74826309" w14:textId="77777777" w:rsidR="002A626D" w:rsidRPr="00A466BC" w:rsidRDefault="002A626D" w:rsidP="002A626D">
            <w:pPr>
              <w:pStyle w:val="Normal-pool"/>
              <w:spacing w:before="200"/>
              <w:rPr>
                <w:lang w:val="es-ES" w:eastAsia="ja-JP"/>
              </w:rPr>
            </w:pPr>
          </w:p>
        </w:tc>
        <w:tc>
          <w:tcPr>
            <w:tcW w:w="2009" w:type="dxa"/>
          </w:tcPr>
          <w:p w14:paraId="491E3D37" w14:textId="77777777" w:rsidR="002A626D" w:rsidRPr="00A466BC" w:rsidRDefault="002A626D" w:rsidP="002A626D">
            <w:pPr>
              <w:pStyle w:val="Normal-pool"/>
              <w:spacing w:before="200"/>
              <w:rPr>
                <w:lang w:val="es-ES" w:eastAsia="ja-JP"/>
              </w:rPr>
            </w:pPr>
          </w:p>
        </w:tc>
        <w:tc>
          <w:tcPr>
            <w:tcW w:w="2009" w:type="dxa"/>
            <w:tcBorders>
              <w:bottom w:val="single" w:sz="4" w:space="0" w:color="auto"/>
            </w:tcBorders>
          </w:tcPr>
          <w:p w14:paraId="281F4504" w14:textId="77777777" w:rsidR="002A626D" w:rsidRPr="00A466BC" w:rsidRDefault="002A626D" w:rsidP="002A626D">
            <w:pPr>
              <w:pStyle w:val="Normal-pool"/>
              <w:spacing w:before="200"/>
              <w:rPr>
                <w:lang w:val="es-ES" w:eastAsia="ja-JP"/>
              </w:rPr>
            </w:pPr>
          </w:p>
        </w:tc>
        <w:tc>
          <w:tcPr>
            <w:tcW w:w="2009" w:type="dxa"/>
          </w:tcPr>
          <w:p w14:paraId="52A782B8" w14:textId="77777777" w:rsidR="002A626D" w:rsidRPr="00A466BC" w:rsidRDefault="002A626D" w:rsidP="002A626D">
            <w:pPr>
              <w:pStyle w:val="Normal-pool"/>
              <w:spacing w:before="200"/>
              <w:rPr>
                <w:lang w:val="es-ES" w:eastAsia="ja-JP"/>
              </w:rPr>
            </w:pPr>
          </w:p>
        </w:tc>
        <w:tc>
          <w:tcPr>
            <w:tcW w:w="2010" w:type="dxa"/>
          </w:tcPr>
          <w:p w14:paraId="7F4EA5A1" w14:textId="77777777" w:rsidR="002A626D" w:rsidRPr="00A466BC" w:rsidRDefault="002A626D" w:rsidP="002A626D">
            <w:pPr>
              <w:pStyle w:val="Normal-pool"/>
              <w:spacing w:before="200"/>
              <w:rPr>
                <w:lang w:val="es-ES" w:eastAsia="ja-JP"/>
              </w:rPr>
            </w:pPr>
          </w:p>
        </w:tc>
      </w:tr>
    </w:tbl>
    <w:p w14:paraId="1933063D" w14:textId="77777777" w:rsidR="002A626D" w:rsidRPr="00A466BC" w:rsidRDefault="002A626D" w:rsidP="00CA038C">
      <w:pPr>
        <w:pStyle w:val="Normal-pool"/>
        <w:rPr>
          <w:lang w:val="es-ES" w:eastAsia="ja-JP"/>
        </w:rPr>
      </w:pPr>
    </w:p>
    <w:sectPr w:rsidR="002A626D" w:rsidRPr="00A466BC" w:rsidSect="00075479">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96A7" w14:textId="77777777" w:rsidR="00600917" w:rsidRDefault="00600917">
      <w:r>
        <w:separator/>
      </w:r>
    </w:p>
  </w:endnote>
  <w:endnote w:type="continuationSeparator" w:id="0">
    <w:p w14:paraId="30E6CBEF" w14:textId="77777777" w:rsidR="00600917" w:rsidRDefault="0060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1A9C940C" w:rsidR="00C60881" w:rsidRPr="003B1F39" w:rsidRDefault="00C60881"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F3591A">
      <w:rPr>
        <w:rStyle w:val="PageNumber"/>
        <w:b/>
        <w:noProof/>
      </w:rPr>
      <w:t>2</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07676E87" w:rsidR="00C60881" w:rsidRPr="003B1F39" w:rsidRDefault="00C60881"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F3591A">
      <w:rPr>
        <w:rStyle w:val="PageNumber"/>
        <w:b/>
        <w:noProof/>
      </w:rPr>
      <w:t>5</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73823031"/>
      <w:docPartObj>
        <w:docPartGallery w:val="Page Numbers (Bottom of Page)"/>
        <w:docPartUnique/>
      </w:docPartObj>
    </w:sdtPr>
    <w:sdtEndPr>
      <w:rPr>
        <w:noProof/>
      </w:rPr>
    </w:sdtEndPr>
    <w:sdtContent>
      <w:p w14:paraId="5997F3B3" w14:textId="52F74983" w:rsidR="00C60881" w:rsidRPr="00FD69E2" w:rsidRDefault="00FD69E2" w:rsidP="00D07CC3">
        <w:pPr>
          <w:pStyle w:val="Normal-pool"/>
          <w:rPr>
            <w:sz w:val="18"/>
            <w:szCs w:val="18"/>
          </w:rPr>
        </w:pPr>
        <w:r>
          <w:rPr>
            <w:lang w:val="es-ES"/>
          </w:rPr>
          <w:t>K17091</w:t>
        </w:r>
        <w:r w:rsidR="00A466BC">
          <w:rPr>
            <w:lang w:val="es-ES"/>
          </w:rPr>
          <w:t>32</w:t>
        </w:r>
        <w:r>
          <w:rPr>
            <w:lang w:val="es-ES"/>
          </w:rPr>
          <w:tab/>
        </w:r>
        <w:r w:rsidR="005C58C0">
          <w:rPr>
            <w:lang w:val="es-ES"/>
          </w:rPr>
          <w:t>24</w:t>
        </w:r>
        <w:r w:rsidR="0079448F">
          <w:rPr>
            <w:lang w:val="es-ES"/>
          </w:rPr>
          <w:t>01</w:t>
        </w:r>
        <w:r>
          <w:rPr>
            <w:lang w:val="es-ES"/>
          </w:rPr>
          <w:t>1</w:t>
        </w:r>
        <w:r w:rsidR="0079448F">
          <w:rPr>
            <w:lang w:val="es-ES"/>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C511B" w14:textId="77777777" w:rsidR="00600917" w:rsidRPr="00887131" w:rsidRDefault="00600917" w:rsidP="00887131">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887131">
        <w:rPr>
          <w:sz w:val="18"/>
          <w:szCs w:val="18"/>
        </w:rPr>
        <w:separator/>
      </w:r>
    </w:p>
  </w:footnote>
  <w:footnote w:type="continuationSeparator" w:id="0">
    <w:p w14:paraId="0A1608F8" w14:textId="77777777" w:rsidR="00600917" w:rsidRDefault="00600917">
      <w:r>
        <w:continuationSeparator/>
      </w:r>
    </w:p>
  </w:footnote>
  <w:footnote w:id="1">
    <w:p w14:paraId="20E934D6" w14:textId="77777777" w:rsidR="00075479" w:rsidRPr="00A466BC" w:rsidRDefault="00075479" w:rsidP="00CA038C">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A466BC">
        <w:rPr>
          <w:sz w:val="18"/>
          <w:szCs w:val="18"/>
          <w:lang w:val="es-ES"/>
        </w:rPr>
        <w:t>*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09F4843B" w:rsidR="00C60881" w:rsidRPr="008C00D6" w:rsidRDefault="00C60881" w:rsidP="003B1F39">
    <w:pPr>
      <w:pStyle w:val="Header-pool"/>
    </w:pPr>
    <w:r w:rsidRPr="00FD69E2">
      <w:t>IPBES/6/</w:t>
    </w:r>
    <w:r w:rsidR="00FD69E2" w:rsidRPr="00FD69E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048170FA" w:rsidR="00C60881" w:rsidRPr="008C00D6" w:rsidRDefault="00C60881" w:rsidP="003B1F39">
    <w:pPr>
      <w:pStyle w:val="Header-pool"/>
      <w:jc w:val="right"/>
    </w:pPr>
    <w:r>
      <w:t>IPBES/6/</w:t>
    </w:r>
    <w:r w:rsidR="00FD69E2">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186A" w14:textId="68330FDD" w:rsidR="00C60881" w:rsidRPr="00FD69E2" w:rsidRDefault="00C60881" w:rsidP="00FD69E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663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C2013"/>
    <w:multiLevelType w:val="hybridMultilevel"/>
    <w:tmpl w:val="16AADF38"/>
    <w:lvl w:ilvl="0" w:tplc="E4402EA8">
      <w:start w:val="1"/>
      <w:numFmt w:val="decimal"/>
      <w:lvlText w:val="%1."/>
      <w:lvlJc w:val="left"/>
      <w:pPr>
        <w:ind w:left="4951"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5307" w:hanging="180"/>
      </w:pPr>
    </w:lvl>
    <w:lvl w:ilvl="3" w:tplc="0409000F" w:tentative="1">
      <w:start w:val="1"/>
      <w:numFmt w:val="decimal"/>
      <w:lvlText w:val="%4."/>
      <w:lvlJc w:val="left"/>
      <w:pPr>
        <w:ind w:left="6027" w:hanging="360"/>
      </w:pPr>
    </w:lvl>
    <w:lvl w:ilvl="4" w:tplc="04090019" w:tentative="1">
      <w:start w:val="1"/>
      <w:numFmt w:val="lowerLetter"/>
      <w:lvlText w:val="%5."/>
      <w:lvlJc w:val="left"/>
      <w:pPr>
        <w:ind w:left="6747" w:hanging="360"/>
      </w:pPr>
    </w:lvl>
    <w:lvl w:ilvl="5" w:tplc="0409001B" w:tentative="1">
      <w:start w:val="1"/>
      <w:numFmt w:val="lowerRoman"/>
      <w:lvlText w:val="%6."/>
      <w:lvlJc w:val="right"/>
      <w:pPr>
        <w:ind w:left="7467" w:hanging="180"/>
      </w:pPr>
    </w:lvl>
    <w:lvl w:ilvl="6" w:tplc="0409000F" w:tentative="1">
      <w:start w:val="1"/>
      <w:numFmt w:val="decimal"/>
      <w:lvlText w:val="%7."/>
      <w:lvlJc w:val="left"/>
      <w:pPr>
        <w:ind w:left="8187" w:hanging="360"/>
      </w:pPr>
    </w:lvl>
    <w:lvl w:ilvl="7" w:tplc="04090019" w:tentative="1">
      <w:start w:val="1"/>
      <w:numFmt w:val="lowerLetter"/>
      <w:lvlText w:val="%8."/>
      <w:lvlJc w:val="left"/>
      <w:pPr>
        <w:ind w:left="8907" w:hanging="360"/>
      </w:pPr>
    </w:lvl>
    <w:lvl w:ilvl="8" w:tplc="0409001B" w:tentative="1">
      <w:start w:val="1"/>
      <w:numFmt w:val="lowerRoman"/>
      <w:lvlText w:val="%9."/>
      <w:lvlJc w:val="right"/>
      <w:pPr>
        <w:ind w:left="9627" w:hanging="180"/>
      </w:pPr>
    </w:lvl>
  </w:abstractNum>
  <w:abstractNum w:abstractNumId="1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41191FC7"/>
    <w:multiLevelType w:val="multilevel"/>
    <w:tmpl w:val="F192F4BA"/>
    <w:lvl w:ilvl="0">
      <w:start w:val="1"/>
      <w:numFmt w:val="lowerLetter"/>
      <w:lvlText w:val="%1)"/>
      <w:lvlJc w:val="left"/>
      <w:pPr>
        <w:tabs>
          <w:tab w:val="num" w:pos="1758"/>
        </w:tabs>
        <w:ind w:left="1871" w:firstLine="0"/>
      </w:pPr>
      <w:rPr>
        <w:rFonts w:ascii="Times New Roman" w:eastAsia="Times New Roman" w:hAnsi="Times New Roman" w:cs="Times New Roman"/>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5" w15:restartNumberingAfterBreak="0">
    <w:nsid w:val="464E5946"/>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52A66A9D"/>
    <w:multiLevelType w:val="multilevel"/>
    <w:tmpl w:val="D07A6E4C"/>
    <w:styleLink w:val="Normallist"/>
    <w:lvl w:ilvl="0">
      <w:start w:val="1"/>
      <w:numFmt w:val="decimal"/>
      <w:pStyle w:val="Normalnumber"/>
      <w:lvlText w:val="%1."/>
      <w:lvlJc w:val="left"/>
      <w:pPr>
        <w:tabs>
          <w:tab w:val="num" w:pos="1758"/>
        </w:tabs>
        <w:ind w:left="1871" w:firstLine="0"/>
      </w:pPr>
      <w:rPr>
        <w:rFonts w:hint="default"/>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7"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8" w15:restartNumberingAfterBreak="0">
    <w:nsid w:val="5C6F541E"/>
    <w:multiLevelType w:val="multilevel"/>
    <w:tmpl w:val="62B65210"/>
    <w:lvl w:ilvl="0">
      <w:start w:val="1"/>
      <w:numFmt w:val="lowerLetter"/>
      <w:lvlText w:val="%1)"/>
      <w:lvlJc w:val="left"/>
      <w:pPr>
        <w:tabs>
          <w:tab w:val="num" w:pos="1758"/>
        </w:tabs>
        <w:ind w:left="1871" w:firstLine="0"/>
      </w:pPr>
      <w:rPr>
        <w:rFonts w:ascii="Times New Roman" w:eastAsia="Times New Roman" w:hAnsi="Times New Roman" w:cs="Times New Roman"/>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9"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C6EF8"/>
    <w:multiLevelType w:val="multilevel"/>
    <w:tmpl w:val="8EB0747A"/>
    <w:lvl w:ilvl="0">
      <w:start w:val="1"/>
      <w:numFmt w:val="lowerLetter"/>
      <w:lvlText w:val="%1)"/>
      <w:lvlJc w:val="left"/>
      <w:pPr>
        <w:tabs>
          <w:tab w:val="num" w:pos="1135"/>
        </w:tabs>
        <w:ind w:left="1248" w:firstLine="0"/>
      </w:pPr>
      <w:rPr>
        <w:rFonts w:ascii="Times New Roman" w:eastAsia="Times New Roman" w:hAnsi="Times New Roman" w:cs="Times New Roman"/>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1" w15:restartNumberingAfterBreak="0">
    <w:nsid w:val="73E32D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2"/>
  </w:num>
  <w:num w:numId="2">
    <w:abstractNumId w:val="13"/>
  </w:num>
  <w:num w:numId="3">
    <w:abstractNumId w:val="16"/>
    <w:lvlOverride w:ilvl="0">
      <w:lvl w:ilvl="0">
        <w:start w:val="1"/>
        <w:numFmt w:val="decimal"/>
        <w:pStyle w:val="Normalnumber"/>
        <w:lvlText w:val="%1."/>
        <w:lvlJc w:val="left"/>
        <w:pPr>
          <w:tabs>
            <w:tab w:val="num" w:pos="1758"/>
          </w:tabs>
          <w:ind w:left="1871" w:firstLine="0"/>
        </w:pPr>
        <w:rPr>
          <w:rFonts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7"/>
  </w:num>
  <w:num w:numId="16">
    <w:abstractNumId w:val="19"/>
  </w:num>
  <w:num w:numId="17">
    <w:abstractNumId w:val="10"/>
    <w:lvlOverride w:ilvl="0">
      <w:lvl w:ilvl="0" w:tplc="E4402EA8">
        <w:start w:val="1"/>
        <w:numFmt w:val="decimal"/>
        <w:lvlText w:val="%1."/>
        <w:lvlJc w:val="left"/>
        <w:pPr>
          <w:ind w:left="4951" w:hanging="720"/>
        </w:pPr>
        <w:rPr>
          <w:rFonts w:hint="default"/>
        </w:rPr>
      </w:lvl>
    </w:lvlOverride>
  </w:num>
  <w:num w:numId="18">
    <w:abstractNumId w:val="21"/>
  </w:num>
  <w:num w:numId="19">
    <w:abstractNumId w:val="15"/>
  </w:num>
  <w:num w:numId="20">
    <w:abstractNumId w:val="20"/>
  </w:num>
  <w:num w:numId="21">
    <w:abstractNumId w:val="14"/>
  </w:num>
  <w:num w:numId="22">
    <w:abstractNumId w:val="18"/>
  </w:num>
  <w:num w:numId="23">
    <w:abstractNumId w:val="16"/>
  </w:num>
  <w:num w:numId="24">
    <w:abstractNumId w:val="16"/>
    <w:lvlOverride w:ilvl="0">
      <w:lvl w:ilvl="0">
        <w:start w:val="1"/>
        <w:numFmt w:val="decimal"/>
        <w:pStyle w:val="Normalnumber"/>
        <w:lvlText w:val="%1."/>
        <w:lvlJc w:val="left"/>
        <w:pPr>
          <w:tabs>
            <w:tab w:val="num" w:pos="1758"/>
          </w:tabs>
          <w:ind w:left="1871" w:firstLine="0"/>
        </w:pPr>
        <w:rPr>
          <w:rFonts w:hint="default"/>
        </w:rPr>
      </w:lvl>
    </w:lvlOverride>
  </w:num>
  <w:num w:numId="25">
    <w:abstractNumId w:val="16"/>
    <w:lvlOverride w:ilvl="0">
      <w:lvl w:ilvl="0">
        <w:start w:val="1"/>
        <w:numFmt w:val="decimal"/>
        <w:pStyle w:val="Normalnumber"/>
        <w:lvlText w:val="%1."/>
        <w:lvlJc w:val="left"/>
        <w:pPr>
          <w:tabs>
            <w:tab w:val="num" w:pos="1758"/>
          </w:tabs>
          <w:ind w:left="1871" w:firstLine="0"/>
        </w:pPr>
        <w:rPr>
          <w:rFonts w:hint="default"/>
        </w:rPr>
      </w:lvl>
    </w:lvlOverride>
  </w:num>
  <w:num w:numId="26">
    <w:abstractNumId w:val="16"/>
    <w:lvlOverride w:ilvl="0">
      <w:lvl w:ilvl="0">
        <w:start w:val="1"/>
        <w:numFmt w:val="decimal"/>
        <w:pStyle w:val="Normalnumber"/>
        <w:lvlText w:val="%1."/>
        <w:lvlJc w:val="left"/>
        <w:pPr>
          <w:tabs>
            <w:tab w:val="num" w:pos="1758"/>
          </w:tabs>
          <w:ind w:left="1871" w:firstLine="0"/>
        </w:pPr>
        <w:rPr>
          <w:rFonts w:hint="default"/>
        </w:rPr>
      </w:lvl>
    </w:lvlOverride>
  </w:num>
  <w:num w:numId="27">
    <w:abstractNumId w:val="16"/>
    <w:lvlOverride w:ilvl="0">
      <w:lvl w:ilvl="0">
        <w:start w:val="1"/>
        <w:numFmt w:val="decimal"/>
        <w:pStyle w:val="Normalnumber"/>
        <w:lvlText w:val="%1."/>
        <w:lvlJc w:val="left"/>
        <w:pPr>
          <w:tabs>
            <w:tab w:val="num" w:pos="1758"/>
          </w:tabs>
          <w:ind w:left="1871" w:firstLine="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2E0"/>
    <w:rsid w:val="00071886"/>
    <w:rsid w:val="000742BC"/>
    <w:rsid w:val="00075479"/>
    <w:rsid w:val="00082A0C"/>
    <w:rsid w:val="00083504"/>
    <w:rsid w:val="00084982"/>
    <w:rsid w:val="000904EF"/>
    <w:rsid w:val="0009640C"/>
    <w:rsid w:val="000B22A2"/>
    <w:rsid w:val="000C2A52"/>
    <w:rsid w:val="000D33C0"/>
    <w:rsid w:val="000D6941"/>
    <w:rsid w:val="000F6B5C"/>
    <w:rsid w:val="001202E3"/>
    <w:rsid w:val="00123699"/>
    <w:rsid w:val="001238B1"/>
    <w:rsid w:val="0013059D"/>
    <w:rsid w:val="00141A55"/>
    <w:rsid w:val="001446A3"/>
    <w:rsid w:val="00155395"/>
    <w:rsid w:val="00160D74"/>
    <w:rsid w:val="00167D02"/>
    <w:rsid w:val="001717B7"/>
    <w:rsid w:val="00181EC8"/>
    <w:rsid w:val="00184349"/>
    <w:rsid w:val="00195F33"/>
    <w:rsid w:val="001B1617"/>
    <w:rsid w:val="001B504B"/>
    <w:rsid w:val="001B68AD"/>
    <w:rsid w:val="001B6CA5"/>
    <w:rsid w:val="001D3874"/>
    <w:rsid w:val="001D7E75"/>
    <w:rsid w:val="001E56D2"/>
    <w:rsid w:val="001E7D56"/>
    <w:rsid w:val="001F75DE"/>
    <w:rsid w:val="00200D58"/>
    <w:rsid w:val="002013BE"/>
    <w:rsid w:val="00203460"/>
    <w:rsid w:val="002063A4"/>
    <w:rsid w:val="0021145B"/>
    <w:rsid w:val="00213A77"/>
    <w:rsid w:val="00243D36"/>
    <w:rsid w:val="00247707"/>
    <w:rsid w:val="002512CA"/>
    <w:rsid w:val="0026018E"/>
    <w:rsid w:val="00285344"/>
    <w:rsid w:val="00286740"/>
    <w:rsid w:val="002929D8"/>
    <w:rsid w:val="002A237D"/>
    <w:rsid w:val="002A4C53"/>
    <w:rsid w:val="002A626D"/>
    <w:rsid w:val="002B0672"/>
    <w:rsid w:val="002B247F"/>
    <w:rsid w:val="002C145D"/>
    <w:rsid w:val="002C2C3E"/>
    <w:rsid w:val="002C533E"/>
    <w:rsid w:val="002D027F"/>
    <w:rsid w:val="002D7A85"/>
    <w:rsid w:val="002D7B60"/>
    <w:rsid w:val="002F4761"/>
    <w:rsid w:val="002F5C79"/>
    <w:rsid w:val="003019E2"/>
    <w:rsid w:val="003065E6"/>
    <w:rsid w:val="0031413F"/>
    <w:rsid w:val="003148BB"/>
    <w:rsid w:val="003178B3"/>
    <w:rsid w:val="00317976"/>
    <w:rsid w:val="00346B7C"/>
    <w:rsid w:val="00351B05"/>
    <w:rsid w:val="00355EA9"/>
    <w:rsid w:val="003578DE"/>
    <w:rsid w:val="00385868"/>
    <w:rsid w:val="00396257"/>
    <w:rsid w:val="00397EB8"/>
    <w:rsid w:val="003A4FD0"/>
    <w:rsid w:val="003A69D1"/>
    <w:rsid w:val="003A7705"/>
    <w:rsid w:val="003A77F1"/>
    <w:rsid w:val="003B1545"/>
    <w:rsid w:val="003B1F39"/>
    <w:rsid w:val="003C409D"/>
    <w:rsid w:val="003C5BA6"/>
    <w:rsid w:val="003D50CB"/>
    <w:rsid w:val="003F0E85"/>
    <w:rsid w:val="003F1D30"/>
    <w:rsid w:val="003F7440"/>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85185"/>
    <w:rsid w:val="004A42E1"/>
    <w:rsid w:val="004B162C"/>
    <w:rsid w:val="004C3DBE"/>
    <w:rsid w:val="004C5C96"/>
    <w:rsid w:val="004D06A4"/>
    <w:rsid w:val="004F1A81"/>
    <w:rsid w:val="00517861"/>
    <w:rsid w:val="0052127B"/>
    <w:rsid w:val="005218D9"/>
    <w:rsid w:val="00533551"/>
    <w:rsid w:val="00536186"/>
    <w:rsid w:val="00544CBB"/>
    <w:rsid w:val="00563378"/>
    <w:rsid w:val="0057315F"/>
    <w:rsid w:val="005754A9"/>
    <w:rsid w:val="00576104"/>
    <w:rsid w:val="005C58C0"/>
    <w:rsid w:val="005C67C8"/>
    <w:rsid w:val="005D0249"/>
    <w:rsid w:val="005D6E8C"/>
    <w:rsid w:val="005F100C"/>
    <w:rsid w:val="005F68DA"/>
    <w:rsid w:val="00600917"/>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77EAE"/>
    <w:rsid w:val="00692E2A"/>
    <w:rsid w:val="006A76F2"/>
    <w:rsid w:val="006B0E1A"/>
    <w:rsid w:val="006B503A"/>
    <w:rsid w:val="006D125A"/>
    <w:rsid w:val="006D7EFB"/>
    <w:rsid w:val="006E6672"/>
    <w:rsid w:val="006E6722"/>
    <w:rsid w:val="007027B9"/>
    <w:rsid w:val="00714E08"/>
    <w:rsid w:val="00715E88"/>
    <w:rsid w:val="0071625A"/>
    <w:rsid w:val="00734CAA"/>
    <w:rsid w:val="0075533C"/>
    <w:rsid w:val="00757581"/>
    <w:rsid w:val="007611A0"/>
    <w:rsid w:val="0079448F"/>
    <w:rsid w:val="00796D3F"/>
    <w:rsid w:val="007A1683"/>
    <w:rsid w:val="007A5C12"/>
    <w:rsid w:val="007A7CB0"/>
    <w:rsid w:val="007B68A3"/>
    <w:rsid w:val="007C2541"/>
    <w:rsid w:val="007D66A8"/>
    <w:rsid w:val="007D7AC3"/>
    <w:rsid w:val="007E003F"/>
    <w:rsid w:val="007E2B3C"/>
    <w:rsid w:val="007F3540"/>
    <w:rsid w:val="007F6126"/>
    <w:rsid w:val="008034CE"/>
    <w:rsid w:val="00805F75"/>
    <w:rsid w:val="00815B30"/>
    <w:rsid w:val="008164F2"/>
    <w:rsid w:val="00821395"/>
    <w:rsid w:val="00830E26"/>
    <w:rsid w:val="00843576"/>
    <w:rsid w:val="00843B64"/>
    <w:rsid w:val="00844743"/>
    <w:rsid w:val="00844BD5"/>
    <w:rsid w:val="008478FC"/>
    <w:rsid w:val="00867BFF"/>
    <w:rsid w:val="008829D3"/>
    <w:rsid w:val="0088480A"/>
    <w:rsid w:val="0088677E"/>
    <w:rsid w:val="00887131"/>
    <w:rsid w:val="0088757A"/>
    <w:rsid w:val="008957DD"/>
    <w:rsid w:val="00897D98"/>
    <w:rsid w:val="008A6DF2"/>
    <w:rsid w:val="008A7807"/>
    <w:rsid w:val="008B4CC9"/>
    <w:rsid w:val="008C00D6"/>
    <w:rsid w:val="008C4681"/>
    <w:rsid w:val="008D7C99"/>
    <w:rsid w:val="008E0FCB"/>
    <w:rsid w:val="008E1679"/>
    <w:rsid w:val="0090033A"/>
    <w:rsid w:val="009036CC"/>
    <w:rsid w:val="0092178C"/>
    <w:rsid w:val="00930B88"/>
    <w:rsid w:val="009379B9"/>
    <w:rsid w:val="00940DCC"/>
    <w:rsid w:val="0094179A"/>
    <w:rsid w:val="0094459E"/>
    <w:rsid w:val="00944DBC"/>
    <w:rsid w:val="0094617E"/>
    <w:rsid w:val="00950977"/>
    <w:rsid w:val="00951A7B"/>
    <w:rsid w:val="009527C6"/>
    <w:rsid w:val="009564A6"/>
    <w:rsid w:val="00967621"/>
    <w:rsid w:val="00967E6A"/>
    <w:rsid w:val="00984A20"/>
    <w:rsid w:val="00985ADF"/>
    <w:rsid w:val="009A1772"/>
    <w:rsid w:val="009B4A0F"/>
    <w:rsid w:val="009C11D2"/>
    <w:rsid w:val="009C1575"/>
    <w:rsid w:val="009C6C70"/>
    <w:rsid w:val="009D0B63"/>
    <w:rsid w:val="009E307E"/>
    <w:rsid w:val="009E78C3"/>
    <w:rsid w:val="00A07870"/>
    <w:rsid w:val="00A07F19"/>
    <w:rsid w:val="00A1348D"/>
    <w:rsid w:val="00A232EE"/>
    <w:rsid w:val="00A27C49"/>
    <w:rsid w:val="00A35431"/>
    <w:rsid w:val="00A4175F"/>
    <w:rsid w:val="00A44411"/>
    <w:rsid w:val="00A466BC"/>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D71F4"/>
    <w:rsid w:val="00AE237D"/>
    <w:rsid w:val="00AE502A"/>
    <w:rsid w:val="00AE6EBB"/>
    <w:rsid w:val="00AF0CC1"/>
    <w:rsid w:val="00AF7C07"/>
    <w:rsid w:val="00B22C93"/>
    <w:rsid w:val="00B27589"/>
    <w:rsid w:val="00B405B7"/>
    <w:rsid w:val="00B420CD"/>
    <w:rsid w:val="00B42549"/>
    <w:rsid w:val="00B52222"/>
    <w:rsid w:val="00B54FE7"/>
    <w:rsid w:val="00B66901"/>
    <w:rsid w:val="00B71E6D"/>
    <w:rsid w:val="00B72070"/>
    <w:rsid w:val="00B75656"/>
    <w:rsid w:val="00B76369"/>
    <w:rsid w:val="00B779E1"/>
    <w:rsid w:val="00B91EE1"/>
    <w:rsid w:val="00BA0090"/>
    <w:rsid w:val="00BA1A67"/>
    <w:rsid w:val="00BA7797"/>
    <w:rsid w:val="00BE0AFD"/>
    <w:rsid w:val="00BE5B5F"/>
    <w:rsid w:val="00C03545"/>
    <w:rsid w:val="00C04705"/>
    <w:rsid w:val="00C26F55"/>
    <w:rsid w:val="00C30C63"/>
    <w:rsid w:val="00C36B8B"/>
    <w:rsid w:val="00C415C1"/>
    <w:rsid w:val="00C47DBF"/>
    <w:rsid w:val="00C552FF"/>
    <w:rsid w:val="00C558DA"/>
    <w:rsid w:val="00C55AF3"/>
    <w:rsid w:val="00C60881"/>
    <w:rsid w:val="00C70845"/>
    <w:rsid w:val="00C84759"/>
    <w:rsid w:val="00C96840"/>
    <w:rsid w:val="00CA038C"/>
    <w:rsid w:val="00CA6C7F"/>
    <w:rsid w:val="00CC10A6"/>
    <w:rsid w:val="00CC20CF"/>
    <w:rsid w:val="00CD5EB8"/>
    <w:rsid w:val="00CD7044"/>
    <w:rsid w:val="00CE08B9"/>
    <w:rsid w:val="00CE524C"/>
    <w:rsid w:val="00CF141F"/>
    <w:rsid w:val="00CF4777"/>
    <w:rsid w:val="00D067BB"/>
    <w:rsid w:val="00D07CC3"/>
    <w:rsid w:val="00D1352A"/>
    <w:rsid w:val="00D169AF"/>
    <w:rsid w:val="00D25249"/>
    <w:rsid w:val="00D27057"/>
    <w:rsid w:val="00D33031"/>
    <w:rsid w:val="00D33D5C"/>
    <w:rsid w:val="00D44172"/>
    <w:rsid w:val="00D62DAC"/>
    <w:rsid w:val="00D63B8C"/>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7C2C"/>
    <w:rsid w:val="00DF05AB"/>
    <w:rsid w:val="00E0342F"/>
    <w:rsid w:val="00E03D71"/>
    <w:rsid w:val="00E06797"/>
    <w:rsid w:val="00E1265B"/>
    <w:rsid w:val="00E13B48"/>
    <w:rsid w:val="00E1404F"/>
    <w:rsid w:val="00E21C83"/>
    <w:rsid w:val="00E2437D"/>
    <w:rsid w:val="00E24ADA"/>
    <w:rsid w:val="00E32F59"/>
    <w:rsid w:val="00E33E3F"/>
    <w:rsid w:val="00E44A5A"/>
    <w:rsid w:val="00E46D9A"/>
    <w:rsid w:val="00E565FF"/>
    <w:rsid w:val="00E65388"/>
    <w:rsid w:val="00E83AFD"/>
    <w:rsid w:val="00E85B7D"/>
    <w:rsid w:val="00E9121B"/>
    <w:rsid w:val="00E96540"/>
    <w:rsid w:val="00EA0AE2"/>
    <w:rsid w:val="00EA39E5"/>
    <w:rsid w:val="00EA5E72"/>
    <w:rsid w:val="00EB563C"/>
    <w:rsid w:val="00EC5A46"/>
    <w:rsid w:val="00EC63E2"/>
    <w:rsid w:val="00EE7A32"/>
    <w:rsid w:val="00EF22B3"/>
    <w:rsid w:val="00F02B81"/>
    <w:rsid w:val="00F03B69"/>
    <w:rsid w:val="00F07A50"/>
    <w:rsid w:val="00F113DA"/>
    <w:rsid w:val="00F21C7C"/>
    <w:rsid w:val="00F24AB6"/>
    <w:rsid w:val="00F3591A"/>
    <w:rsid w:val="00F37DC8"/>
    <w:rsid w:val="00F439B3"/>
    <w:rsid w:val="00F55490"/>
    <w:rsid w:val="00F62D01"/>
    <w:rsid w:val="00F650C3"/>
    <w:rsid w:val="00F65D85"/>
    <w:rsid w:val="00F8091E"/>
    <w:rsid w:val="00F8615C"/>
    <w:rsid w:val="00F94214"/>
    <w:rsid w:val="00F969E5"/>
    <w:rsid w:val="00FA3208"/>
    <w:rsid w:val="00FA5BA4"/>
    <w:rsid w:val="00FA6BB0"/>
    <w:rsid w:val="00FB5686"/>
    <w:rsid w:val="00FD5860"/>
    <w:rsid w:val="00FD69E2"/>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A5B5922"/>
  <w15:docId w15:val="{0B7493F1-079D-4A5B-80B3-08C3F270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479"/>
    <w:pPr>
      <w:spacing w:after="160" w:line="259" w:lineRule="auto"/>
    </w:pPr>
    <w:rPr>
      <w:rFonts w:asciiTheme="minorHAnsi" w:eastAsiaTheme="minorHAnsi" w:hAnsiTheme="minorHAnsi" w:cstheme="minorBidi"/>
      <w:sz w:val="22"/>
      <w:szCs w:val="22"/>
      <w:lang w:val="es-ES_tradnl"/>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FD69E2"/>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2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CH2Char">
    <w:name w:val="CH2 Char"/>
    <w:link w:val="CH2"/>
    <w:rsid w:val="00BE0AFD"/>
    <w:rPr>
      <w:b/>
      <w:sz w:val="24"/>
      <w:szCs w:val="24"/>
      <w:lang w:val="en-GB"/>
    </w:rPr>
  </w:style>
  <w:style w:type="character" w:styleId="CommentReference">
    <w:name w:val="annotation reference"/>
    <w:rsid w:val="00BE0AFD"/>
    <w:rPr>
      <w:sz w:val="16"/>
      <w:szCs w:val="16"/>
    </w:rPr>
  </w:style>
  <w:style w:type="paragraph" w:styleId="CommentText">
    <w:name w:val="annotation text"/>
    <w:basedOn w:val="Normal"/>
    <w:link w:val="CommentTextChar"/>
    <w:uiPriority w:val="99"/>
    <w:rsid w:val="00BE0AFD"/>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BE0AFD"/>
    <w:rPr>
      <w:rFonts w:eastAsia="MS Mincho"/>
      <w:lang w:val="en-GB"/>
    </w:rPr>
  </w:style>
  <w:style w:type="character" w:customStyle="1" w:styleId="HeaderChar">
    <w:name w:val="Header Char"/>
    <w:link w:val="Header"/>
    <w:uiPriority w:val="99"/>
    <w:rsid w:val="00BE0AFD"/>
    <w:rPr>
      <w:rFonts w:ascii="Calibri" w:eastAsia="MS Mincho" w:hAnsi="Calibri"/>
      <w:b/>
      <w:sz w:val="18"/>
      <w:szCs w:val="22"/>
    </w:rPr>
  </w:style>
  <w:style w:type="character" w:customStyle="1" w:styleId="FooterChar">
    <w:name w:val="Footer Char"/>
    <w:link w:val="Footer"/>
    <w:uiPriority w:val="99"/>
    <w:rsid w:val="00BE0AFD"/>
    <w:rPr>
      <w:rFonts w:ascii="Calibri" w:eastAsia="MS Mincho" w:hAnsi="Calibri"/>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BE0AFD"/>
    <w:rPr>
      <w:sz w:val="18"/>
      <w:lang w:val="fr-FR"/>
    </w:rPr>
  </w:style>
  <w:style w:type="table" w:styleId="TableGrid">
    <w:name w:val="Table Grid"/>
    <w:basedOn w:val="TableNormal"/>
    <w:rsid w:val="00D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uiPriority w:val="99"/>
    <w:rsid w:val="00075479"/>
    <w:rPr>
      <w:lang w:val="en-GB"/>
    </w:rPr>
  </w:style>
  <w:style w:type="paragraph" w:styleId="ListParagraph">
    <w:name w:val="List Paragraph"/>
    <w:basedOn w:val="Normal"/>
    <w:link w:val="ListParagraphChar"/>
    <w:uiPriority w:val="34"/>
    <w:qFormat/>
    <w:rsid w:val="00075479"/>
    <w:pPr>
      <w:spacing w:after="120" w:line="360" w:lineRule="auto"/>
      <w:ind w:left="720"/>
      <w:contextualSpacing/>
    </w:pPr>
    <w:rPr>
      <w:rFonts w:eastAsiaTheme="minorEastAsia"/>
    </w:rPr>
  </w:style>
  <w:style w:type="character" w:customStyle="1" w:styleId="ListParagraphChar">
    <w:name w:val="List Paragraph Char"/>
    <w:basedOn w:val="DefaultParagraphFont"/>
    <w:link w:val="ListParagraph"/>
    <w:uiPriority w:val="34"/>
    <w:rsid w:val="00075479"/>
    <w:rPr>
      <w:rFonts w:asciiTheme="minorHAnsi" w:eastAsiaTheme="minorEastAsia" w:hAnsiTheme="minorHAnsi" w:cstheme="minorBidi"/>
      <w:sz w:val="22"/>
      <w:szCs w:val="22"/>
    </w:rPr>
  </w:style>
  <w:style w:type="paragraph" w:customStyle="1" w:styleId="AnnexTitle">
    <w:name w:val="Annex Title"/>
    <w:basedOn w:val="Normal-pool"/>
    <w:qFormat/>
    <w:rsid w:val="00075479"/>
    <w:pPr>
      <w:pageBreakBefore/>
      <w:tabs>
        <w:tab w:val="clear" w:pos="4082"/>
      </w:tabs>
    </w:pPr>
    <w:rPr>
      <w:b/>
      <w:bCs/>
      <w:sz w:val="28"/>
      <w:szCs w:val="22"/>
    </w:rPr>
  </w:style>
  <w:style w:type="paragraph" w:styleId="Title">
    <w:name w:val="Title"/>
    <w:basedOn w:val="BBTitle"/>
    <w:next w:val="Normal"/>
    <w:link w:val="TitleChar"/>
    <w:qFormat/>
    <w:rsid w:val="00075479"/>
    <w:pPr>
      <w:tabs>
        <w:tab w:val="clear" w:pos="4082"/>
      </w:tabs>
    </w:pPr>
    <w:rPr>
      <w:lang w:val="en-US"/>
    </w:rPr>
  </w:style>
  <w:style w:type="character" w:customStyle="1" w:styleId="TitleChar">
    <w:name w:val="Title Char"/>
    <w:basedOn w:val="DefaultParagraphFont"/>
    <w:link w:val="Title"/>
    <w:rsid w:val="00075479"/>
    <w:rPr>
      <w:b/>
      <w:sz w:val="28"/>
      <w:szCs w:val="28"/>
    </w:rPr>
  </w:style>
  <w:style w:type="paragraph" w:customStyle="1" w:styleId="AgendaItemTitle">
    <w:name w:val="AgendaItem_Title"/>
    <w:basedOn w:val="Normal-pool"/>
    <w:qFormat/>
    <w:rsid w:val="00075479"/>
    <w:pPr>
      <w:keepNext/>
      <w:keepLines/>
      <w:tabs>
        <w:tab w:val="clear" w:pos="4082"/>
      </w:tabs>
      <w:suppressAutoHyphens/>
      <w:ind w:right="3402"/>
    </w:pPr>
    <w:rPr>
      <w:b/>
    </w:rPr>
  </w:style>
  <w:style w:type="paragraph" w:styleId="CommentSubject">
    <w:name w:val="annotation subject"/>
    <w:basedOn w:val="CommentText"/>
    <w:next w:val="CommentText"/>
    <w:link w:val="CommentSubjectChar"/>
    <w:semiHidden/>
    <w:unhideWhenUsed/>
    <w:rsid w:val="008E1679"/>
    <w:pPr>
      <w:spacing w:after="160"/>
    </w:pPr>
    <w:rPr>
      <w:rFonts w:asciiTheme="minorHAnsi" w:hAnsiTheme="minorHAnsi"/>
      <w:b/>
      <w:bCs/>
      <w:lang w:val="es-ES_tradnl"/>
    </w:rPr>
  </w:style>
  <w:style w:type="character" w:customStyle="1" w:styleId="CommentSubjectChar">
    <w:name w:val="Comment Subject Char"/>
    <w:basedOn w:val="CommentTextChar"/>
    <w:link w:val="CommentSubject"/>
    <w:semiHidden/>
    <w:rsid w:val="008E1679"/>
    <w:rPr>
      <w:rFonts w:asciiTheme="minorHAnsi" w:eastAsiaTheme="minorHAnsi" w:hAnsiTheme="minorHAnsi" w:cstheme="minorBidi"/>
      <w:b/>
      <w:bCs/>
      <w:lang w:val="es-ES_tradnl"/>
    </w:rPr>
  </w:style>
  <w:style w:type="paragraph" w:styleId="Revision">
    <w:name w:val="Revision"/>
    <w:hidden/>
    <w:uiPriority w:val="99"/>
    <w:semiHidden/>
    <w:rsid w:val="00084982"/>
    <w:rPr>
      <w:rFonts w:asciiTheme="minorHAnsi" w:eastAsiaTheme="minorHAnsi" w:hAnsiTheme="minorHAnsi" w:cstheme="minorBidi"/>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FFF8-057F-428E-A752-B0980252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2017-11-30T12:25:00Z</cp:lastPrinted>
  <dcterms:created xsi:type="dcterms:W3CDTF">2018-01-29T11:19:00Z</dcterms:created>
  <dcterms:modified xsi:type="dcterms:W3CDTF">2018-01-29T11:19:00Z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12/26/2017 8:51:11 AM</vt:lpwstr>
  </property>
  <property fmtid="{D5CDD505-2E9C-101B-9397-08002B2CF9AE}" pid="5" name="OriginalDocID">
    <vt:lpwstr>cf34f3b9-3418-4899-a541-e4eed799801d</vt:lpwstr>
  </property>
</Properties>
</file>