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25"/>
        <w:gridCol w:w="484"/>
        <w:gridCol w:w="509"/>
        <w:gridCol w:w="852"/>
        <w:gridCol w:w="993"/>
        <w:gridCol w:w="2406"/>
        <w:gridCol w:w="710"/>
        <w:gridCol w:w="569"/>
        <w:gridCol w:w="1664"/>
      </w:tblGrid>
      <w:tr w:rsidR="00BD34F4" w:rsidRPr="000A7144" w14:paraId="2D98F5DF" w14:textId="77777777" w:rsidTr="009D1109">
        <w:trPr>
          <w:cantSplit/>
          <w:trHeight w:val="1079"/>
          <w:jc w:val="right"/>
        </w:trPr>
        <w:tc>
          <w:tcPr>
            <w:tcW w:w="1525" w:type="dxa"/>
          </w:tcPr>
          <w:p w14:paraId="2318C7E2" w14:textId="77777777" w:rsidR="00BD34F4" w:rsidRPr="000A7144" w:rsidRDefault="00BD34F4" w:rsidP="00BD34F4">
            <w:pPr>
              <w:keepNext/>
              <w:tabs>
                <w:tab w:val="clear" w:pos="1247"/>
                <w:tab w:val="clear" w:pos="1814"/>
                <w:tab w:val="clear" w:pos="2381"/>
                <w:tab w:val="clear" w:pos="2948"/>
                <w:tab w:val="clear" w:pos="3515"/>
              </w:tabs>
              <w:spacing w:before="40"/>
              <w:outlineLvl w:val="1"/>
              <w:rPr>
                <w:rFonts w:eastAsia="MS Mincho"/>
                <w:sz w:val="27"/>
                <w:szCs w:val="27"/>
                <w:lang w:val="en-GB"/>
              </w:rPr>
            </w:pPr>
            <w:r w:rsidRPr="000A7144">
              <w:rPr>
                <w:rFonts w:ascii="Arial" w:eastAsia="MS Mincho" w:hAnsi="Arial" w:cs="Arial"/>
                <w:b/>
                <w:noProof/>
                <w:sz w:val="27"/>
                <w:szCs w:val="27"/>
                <w:lang w:val="en-GB"/>
              </w:rPr>
              <w:t xml:space="preserve">UNITED </w:t>
            </w:r>
            <w:r w:rsidRPr="000A7144">
              <w:rPr>
                <w:rFonts w:ascii="Arial" w:eastAsia="MS Mincho" w:hAnsi="Arial" w:cs="Arial"/>
                <w:b/>
                <w:noProof/>
                <w:sz w:val="27"/>
                <w:szCs w:val="27"/>
                <w:lang w:val="en-GB"/>
              </w:rPr>
              <w:br/>
              <w:t>NATIONS</w:t>
            </w:r>
          </w:p>
        </w:tc>
        <w:tc>
          <w:tcPr>
            <w:tcW w:w="993" w:type="dxa"/>
            <w:gridSpan w:val="2"/>
            <w:tcBorders>
              <w:left w:val="nil"/>
            </w:tcBorders>
            <w:vAlign w:val="center"/>
          </w:tcPr>
          <w:p w14:paraId="08B8E174" w14:textId="77777777" w:rsidR="00BD34F4" w:rsidRPr="000A7144" w:rsidRDefault="00BD34F4" w:rsidP="00BD34F4">
            <w:pPr>
              <w:tabs>
                <w:tab w:val="clear" w:pos="1247"/>
                <w:tab w:val="clear" w:pos="1814"/>
                <w:tab w:val="clear" w:pos="2381"/>
                <w:tab w:val="clear" w:pos="2948"/>
                <w:tab w:val="clear" w:pos="3515"/>
              </w:tabs>
              <w:ind w:left="-108"/>
              <w:jc w:val="center"/>
              <w:rPr>
                <w:rFonts w:eastAsia="MS Mincho"/>
                <w:lang w:val="en-GB"/>
              </w:rPr>
            </w:pPr>
            <w:r w:rsidRPr="000A7144">
              <w:rPr>
                <w:rFonts w:eastAsia="MS Mincho"/>
                <w:noProof/>
                <w:lang w:val="en-GB"/>
              </w:rPr>
              <w:drawing>
                <wp:inline distT="0" distB="0" distL="0" distR="0" wp14:anchorId="52D840B1" wp14:editId="4D36B532">
                  <wp:extent cx="542925" cy="466725"/>
                  <wp:effectExtent l="0" t="0" r="9525" b="9525"/>
                  <wp:docPr id="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c>
        <w:tc>
          <w:tcPr>
            <w:tcW w:w="852" w:type="dxa"/>
            <w:tcBorders>
              <w:left w:val="nil"/>
            </w:tcBorders>
            <w:vAlign w:val="center"/>
          </w:tcPr>
          <w:p w14:paraId="37ADC308" w14:textId="77777777" w:rsidR="00BD34F4" w:rsidRPr="000A7144" w:rsidRDefault="00BD34F4" w:rsidP="00BD34F4">
            <w:pPr>
              <w:tabs>
                <w:tab w:val="clear" w:pos="1247"/>
                <w:tab w:val="clear" w:pos="1814"/>
                <w:tab w:val="clear" w:pos="2381"/>
                <w:tab w:val="clear" w:pos="2948"/>
                <w:tab w:val="clear" w:pos="3515"/>
              </w:tabs>
              <w:ind w:left="-108"/>
              <w:jc w:val="center"/>
              <w:rPr>
                <w:rFonts w:eastAsia="MS Mincho"/>
                <w:lang w:val="en-GB"/>
              </w:rPr>
            </w:pPr>
            <w:r w:rsidRPr="000A7144">
              <w:rPr>
                <w:rFonts w:eastAsia="MS Mincho"/>
                <w:noProof/>
                <w:lang w:val="en-GB"/>
              </w:rPr>
              <w:drawing>
                <wp:inline distT="0" distB="0" distL="0" distR="0" wp14:anchorId="46D21269" wp14:editId="0419186B">
                  <wp:extent cx="466725" cy="495300"/>
                  <wp:effectExtent l="0" t="0" r="9525" b="0"/>
                  <wp:docPr id="2"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tc>
        <w:tc>
          <w:tcPr>
            <w:tcW w:w="993" w:type="dxa"/>
            <w:tcBorders>
              <w:left w:val="nil"/>
            </w:tcBorders>
            <w:vAlign w:val="center"/>
          </w:tcPr>
          <w:p w14:paraId="201FE3F9" w14:textId="77777777" w:rsidR="00BD34F4" w:rsidRPr="000A7144" w:rsidRDefault="00BD34F4" w:rsidP="00BD34F4">
            <w:pPr>
              <w:tabs>
                <w:tab w:val="clear" w:pos="1247"/>
                <w:tab w:val="clear" w:pos="1814"/>
                <w:tab w:val="clear" w:pos="2381"/>
                <w:tab w:val="clear" w:pos="2948"/>
                <w:tab w:val="clear" w:pos="3515"/>
              </w:tabs>
              <w:ind w:left="-108"/>
              <w:jc w:val="center"/>
              <w:rPr>
                <w:rFonts w:eastAsia="MS Mincho"/>
                <w:lang w:val="en-GB"/>
              </w:rPr>
            </w:pPr>
            <w:r w:rsidRPr="000A7144">
              <w:rPr>
                <w:rFonts w:eastAsia="MS Mincho"/>
                <w:noProof/>
                <w:lang w:val="en-GB"/>
              </w:rPr>
              <w:drawing>
                <wp:inline distT="0" distB="0" distL="0" distR="0" wp14:anchorId="51CA8548" wp14:editId="6167EEC6">
                  <wp:extent cx="571500" cy="476250"/>
                  <wp:effectExtent l="0" t="0" r="0" b="0"/>
                  <wp:docPr id="3" name="Picture 70"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2406" w:type="dxa"/>
            <w:tcBorders>
              <w:left w:val="nil"/>
            </w:tcBorders>
            <w:vAlign w:val="center"/>
          </w:tcPr>
          <w:p w14:paraId="027987AD" w14:textId="77777777" w:rsidR="00BD34F4" w:rsidRPr="000A7144" w:rsidRDefault="00BD34F4" w:rsidP="00BD34F4">
            <w:pPr>
              <w:tabs>
                <w:tab w:val="clear" w:pos="1247"/>
                <w:tab w:val="clear" w:pos="1814"/>
                <w:tab w:val="clear" w:pos="2381"/>
                <w:tab w:val="clear" w:pos="2948"/>
                <w:tab w:val="clear" w:pos="3515"/>
              </w:tabs>
              <w:ind w:left="-108"/>
              <w:rPr>
                <w:rFonts w:eastAsia="MS Mincho"/>
                <w:lang w:val="en-GB"/>
              </w:rPr>
            </w:pPr>
            <w:r w:rsidRPr="000A7144">
              <w:rPr>
                <w:rFonts w:eastAsia="MS Mincho"/>
                <w:noProof/>
                <w:lang w:val="en-GB"/>
              </w:rPr>
              <w:drawing>
                <wp:inline distT="0" distB="0" distL="0" distR="0" wp14:anchorId="6B40170A" wp14:editId="14C0D72B">
                  <wp:extent cx="1514475" cy="5238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tc>
        <w:tc>
          <w:tcPr>
            <w:tcW w:w="710" w:type="dxa"/>
            <w:tcBorders>
              <w:left w:val="nil"/>
              <w:right w:val="nil"/>
            </w:tcBorders>
          </w:tcPr>
          <w:p w14:paraId="0B569E84" w14:textId="77777777" w:rsidR="00BD34F4" w:rsidRPr="000A7144" w:rsidRDefault="00BD34F4" w:rsidP="00BD34F4">
            <w:pPr>
              <w:tabs>
                <w:tab w:val="clear" w:pos="1247"/>
                <w:tab w:val="clear" w:pos="1814"/>
                <w:tab w:val="clear" w:pos="2381"/>
                <w:tab w:val="clear" w:pos="2948"/>
                <w:tab w:val="clear" w:pos="3515"/>
              </w:tabs>
              <w:jc w:val="center"/>
              <w:rPr>
                <w:rFonts w:eastAsia="MS Mincho"/>
                <w:lang w:val="en-GB"/>
              </w:rPr>
            </w:pPr>
            <w:r w:rsidRPr="000A7144">
              <w:rPr>
                <w:rFonts w:eastAsia="MS Mincho"/>
                <w:noProof/>
                <w:lang w:val="en-GB"/>
              </w:rPr>
              <w:drawing>
                <wp:inline distT="0" distB="0" distL="0" distR="0" wp14:anchorId="450B3BE7" wp14:editId="5B05D7FF">
                  <wp:extent cx="285750" cy="561975"/>
                  <wp:effectExtent l="0" t="0" r="0" b="9525"/>
                  <wp:docPr id="5"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561975"/>
                          </a:xfrm>
                          <a:prstGeom prst="rect">
                            <a:avLst/>
                          </a:prstGeom>
                          <a:noFill/>
                          <a:ln>
                            <a:noFill/>
                          </a:ln>
                        </pic:spPr>
                      </pic:pic>
                    </a:graphicData>
                  </a:graphic>
                </wp:inline>
              </w:drawing>
            </w:r>
          </w:p>
        </w:tc>
        <w:tc>
          <w:tcPr>
            <w:tcW w:w="569" w:type="dxa"/>
            <w:tcBorders>
              <w:left w:val="nil"/>
            </w:tcBorders>
            <w:vAlign w:val="center"/>
          </w:tcPr>
          <w:p w14:paraId="150BD6F2" w14:textId="77777777" w:rsidR="00BD34F4" w:rsidRPr="000A7144" w:rsidRDefault="00BD34F4" w:rsidP="00BD34F4">
            <w:pPr>
              <w:tabs>
                <w:tab w:val="clear" w:pos="1247"/>
                <w:tab w:val="clear" w:pos="1814"/>
                <w:tab w:val="clear" w:pos="2381"/>
                <w:tab w:val="clear" w:pos="2948"/>
                <w:tab w:val="clear" w:pos="3515"/>
              </w:tabs>
              <w:jc w:val="center"/>
              <w:rPr>
                <w:rFonts w:eastAsia="MS Mincho"/>
                <w:lang w:val="en-GB"/>
              </w:rPr>
            </w:pPr>
          </w:p>
        </w:tc>
        <w:tc>
          <w:tcPr>
            <w:tcW w:w="1664" w:type="dxa"/>
          </w:tcPr>
          <w:p w14:paraId="0241B3BC" w14:textId="77777777" w:rsidR="00BD34F4" w:rsidRPr="000A7144" w:rsidRDefault="00BD34F4" w:rsidP="00BD34F4">
            <w:pPr>
              <w:keepNext/>
              <w:tabs>
                <w:tab w:val="clear" w:pos="1247"/>
                <w:tab w:val="clear" w:pos="1814"/>
                <w:tab w:val="clear" w:pos="2381"/>
                <w:tab w:val="clear" w:pos="2948"/>
                <w:tab w:val="clear" w:pos="3515"/>
              </w:tabs>
              <w:spacing w:before="40"/>
              <w:jc w:val="right"/>
              <w:outlineLvl w:val="1"/>
              <w:rPr>
                <w:rFonts w:ascii="Arial" w:eastAsia="MS Mincho" w:hAnsi="Arial" w:cs="Arial"/>
                <w:b/>
                <w:sz w:val="64"/>
                <w:szCs w:val="64"/>
                <w:lang w:val="en-GB"/>
              </w:rPr>
            </w:pPr>
            <w:r w:rsidRPr="000A7144">
              <w:rPr>
                <w:rFonts w:ascii="Arial" w:eastAsia="MS Mincho" w:hAnsi="Arial" w:cs="Arial"/>
                <w:b/>
                <w:sz w:val="64"/>
                <w:szCs w:val="64"/>
                <w:lang w:val="en-GB"/>
              </w:rPr>
              <w:t>BES</w:t>
            </w:r>
          </w:p>
        </w:tc>
      </w:tr>
      <w:tr w:rsidR="00BD34F4" w:rsidRPr="000A7144" w14:paraId="20CB71B3" w14:textId="77777777" w:rsidTr="009D1109">
        <w:trPr>
          <w:cantSplit/>
          <w:trHeight w:val="282"/>
          <w:jc w:val="right"/>
        </w:trPr>
        <w:tc>
          <w:tcPr>
            <w:tcW w:w="1525" w:type="dxa"/>
            <w:tcBorders>
              <w:bottom w:val="single" w:sz="2" w:space="0" w:color="auto"/>
            </w:tcBorders>
          </w:tcPr>
          <w:p w14:paraId="601D418B" w14:textId="77777777" w:rsidR="00BD34F4" w:rsidRPr="000A7144" w:rsidRDefault="00BD34F4" w:rsidP="00BD34F4">
            <w:pPr>
              <w:tabs>
                <w:tab w:val="clear" w:pos="1247"/>
                <w:tab w:val="clear" w:pos="1814"/>
                <w:tab w:val="clear" w:pos="2381"/>
                <w:tab w:val="clear" w:pos="2948"/>
                <w:tab w:val="clear" w:pos="3515"/>
              </w:tabs>
              <w:rPr>
                <w:rFonts w:eastAsia="MS Mincho"/>
                <w:noProof/>
                <w:lang w:val="en-GB"/>
              </w:rPr>
            </w:pPr>
          </w:p>
        </w:tc>
        <w:tc>
          <w:tcPr>
            <w:tcW w:w="5954" w:type="dxa"/>
            <w:gridSpan w:val="6"/>
            <w:tcBorders>
              <w:bottom w:val="single" w:sz="2" w:space="0" w:color="auto"/>
            </w:tcBorders>
          </w:tcPr>
          <w:p w14:paraId="5D685C4E" w14:textId="77777777" w:rsidR="00BD34F4" w:rsidRPr="000A7144" w:rsidRDefault="00BD34F4" w:rsidP="00BD34F4">
            <w:pPr>
              <w:tabs>
                <w:tab w:val="clear" w:pos="1247"/>
                <w:tab w:val="clear" w:pos="1814"/>
                <w:tab w:val="clear" w:pos="2381"/>
                <w:tab w:val="clear" w:pos="2948"/>
                <w:tab w:val="clear" w:pos="3515"/>
              </w:tabs>
              <w:rPr>
                <w:b/>
                <w:sz w:val="24"/>
                <w:szCs w:val="24"/>
                <w:lang w:val="en-GB"/>
              </w:rPr>
            </w:pPr>
          </w:p>
        </w:tc>
        <w:tc>
          <w:tcPr>
            <w:tcW w:w="2233" w:type="dxa"/>
            <w:gridSpan w:val="2"/>
            <w:tcBorders>
              <w:bottom w:val="single" w:sz="2" w:space="0" w:color="auto"/>
            </w:tcBorders>
          </w:tcPr>
          <w:p w14:paraId="07AA0697" w14:textId="77777777" w:rsidR="00BD34F4" w:rsidRPr="000A7144" w:rsidRDefault="00BD34F4" w:rsidP="00BD34F4">
            <w:pPr>
              <w:tabs>
                <w:tab w:val="clear" w:pos="1247"/>
                <w:tab w:val="clear" w:pos="1814"/>
                <w:tab w:val="clear" w:pos="2381"/>
                <w:tab w:val="clear" w:pos="2948"/>
                <w:tab w:val="clear" w:pos="3515"/>
              </w:tabs>
              <w:rPr>
                <w:rFonts w:eastAsia="MS Mincho"/>
                <w:b/>
                <w:sz w:val="24"/>
                <w:szCs w:val="24"/>
                <w:lang w:val="en-GB"/>
              </w:rPr>
            </w:pPr>
            <w:r w:rsidRPr="000A7144">
              <w:rPr>
                <w:b/>
                <w:sz w:val="24"/>
                <w:szCs w:val="24"/>
                <w:lang w:val="en-GB"/>
              </w:rPr>
              <w:t>IPBES</w:t>
            </w:r>
            <w:r w:rsidRPr="000A7144">
              <w:rPr>
                <w:lang w:val="en-GB"/>
              </w:rPr>
              <w:t>/5/2</w:t>
            </w:r>
          </w:p>
        </w:tc>
      </w:tr>
      <w:tr w:rsidR="00BD34F4" w:rsidRPr="000A7144" w14:paraId="0F920478" w14:textId="77777777" w:rsidTr="009D1109">
        <w:trPr>
          <w:cantSplit/>
          <w:trHeight w:val="1433"/>
          <w:jc w:val="right"/>
        </w:trPr>
        <w:tc>
          <w:tcPr>
            <w:tcW w:w="2009" w:type="dxa"/>
            <w:gridSpan w:val="2"/>
            <w:tcBorders>
              <w:top w:val="single" w:sz="2" w:space="0" w:color="auto"/>
              <w:bottom w:val="single" w:sz="24" w:space="0" w:color="auto"/>
            </w:tcBorders>
          </w:tcPr>
          <w:p w14:paraId="37D5A543" w14:textId="77777777" w:rsidR="00BD34F4" w:rsidRPr="000A7144" w:rsidRDefault="00BD34F4" w:rsidP="00BD34F4">
            <w:pPr>
              <w:tabs>
                <w:tab w:val="clear" w:pos="1247"/>
                <w:tab w:val="clear" w:pos="1814"/>
                <w:tab w:val="clear" w:pos="2381"/>
                <w:tab w:val="clear" w:pos="2948"/>
                <w:tab w:val="clear" w:pos="3515"/>
              </w:tabs>
              <w:spacing w:before="240" w:after="240"/>
              <w:rPr>
                <w:rFonts w:ascii="Arial" w:eastAsia="MS Mincho" w:hAnsi="Arial" w:cs="Arial"/>
                <w:b/>
                <w:sz w:val="28"/>
                <w:szCs w:val="28"/>
                <w:lang w:val="en-GB"/>
              </w:rPr>
            </w:pPr>
            <w:r w:rsidRPr="000A7144">
              <w:rPr>
                <w:rFonts w:ascii="Arial" w:eastAsia="MS Mincho" w:hAnsi="Arial" w:cs="Arial"/>
                <w:b/>
                <w:noProof/>
                <w:sz w:val="28"/>
                <w:szCs w:val="28"/>
                <w:lang w:val="en-GB"/>
              </w:rPr>
              <w:drawing>
                <wp:inline distT="0" distB="0" distL="0" distR="0" wp14:anchorId="0A3C2BA1" wp14:editId="416278BC">
                  <wp:extent cx="111442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1A31CEE3" w14:textId="362F609D" w:rsidR="00BD34F4" w:rsidRPr="000A7144" w:rsidRDefault="00BD34F4" w:rsidP="004D66A9">
            <w:pPr>
              <w:spacing w:before="120" w:after="120"/>
              <w:rPr>
                <w:lang w:val="en-GB"/>
              </w:rPr>
            </w:pPr>
            <w:r w:rsidRPr="000A7144">
              <w:rPr>
                <w:rFonts w:ascii="Arial" w:eastAsia="MS Mincho" w:hAnsi="Arial" w:cs="Arial"/>
                <w:b/>
                <w:sz w:val="28"/>
                <w:szCs w:val="28"/>
                <w:lang w:val="en-GB"/>
              </w:rPr>
              <w:t>Intergovernmental Science-Policy Platform on Biodiversity and Ecosystem Services</w:t>
            </w:r>
            <w:r w:rsidR="001365D6" w:rsidRPr="000A7144">
              <w:rPr>
                <w:rFonts w:ascii="Arial" w:eastAsia="MS Mincho" w:hAnsi="Arial" w:cs="Arial"/>
                <w:b/>
                <w:sz w:val="28"/>
                <w:szCs w:val="28"/>
                <w:lang w:val="en-GB"/>
              </w:rPr>
              <w:t xml:space="preserve"> </w:t>
            </w:r>
          </w:p>
        </w:tc>
        <w:tc>
          <w:tcPr>
            <w:tcW w:w="2233" w:type="dxa"/>
            <w:gridSpan w:val="2"/>
            <w:tcBorders>
              <w:top w:val="single" w:sz="2" w:space="0" w:color="auto"/>
              <w:bottom w:val="single" w:sz="24" w:space="0" w:color="auto"/>
            </w:tcBorders>
          </w:tcPr>
          <w:p w14:paraId="03DAA240" w14:textId="4DB4DC63" w:rsidR="00BD34F4" w:rsidRPr="000A7144" w:rsidRDefault="00BD34F4" w:rsidP="00BD34F4">
            <w:pPr>
              <w:spacing w:before="120" w:after="120"/>
              <w:rPr>
                <w:lang w:val="en-GB"/>
              </w:rPr>
            </w:pPr>
            <w:r w:rsidRPr="000A7144">
              <w:rPr>
                <w:lang w:val="en-GB"/>
              </w:rPr>
              <w:t>Distr.: General</w:t>
            </w:r>
            <w:r w:rsidRPr="000A7144">
              <w:rPr>
                <w:lang w:val="en-GB"/>
              </w:rPr>
              <w:br/>
            </w:r>
            <w:r w:rsidR="001365D6" w:rsidRPr="000A7144">
              <w:rPr>
                <w:lang w:val="en-GB"/>
              </w:rPr>
              <w:t xml:space="preserve">1 </w:t>
            </w:r>
            <w:r w:rsidR="00A317C7" w:rsidRPr="000A7144">
              <w:rPr>
                <w:lang w:val="en-GB"/>
              </w:rPr>
              <w:t>December</w:t>
            </w:r>
            <w:r w:rsidRPr="000A7144">
              <w:rPr>
                <w:lang w:val="en-GB"/>
              </w:rPr>
              <w:t xml:space="preserve"> 2016</w:t>
            </w:r>
          </w:p>
          <w:p w14:paraId="758F252C" w14:textId="77777777" w:rsidR="00BD34F4" w:rsidRPr="000A7144" w:rsidRDefault="00BD34F4" w:rsidP="00BD34F4">
            <w:pPr>
              <w:spacing w:before="120" w:after="120"/>
              <w:rPr>
                <w:rFonts w:eastAsia="MS Mincho"/>
                <w:lang w:val="en-GB"/>
              </w:rPr>
            </w:pPr>
            <w:r w:rsidRPr="000A7144">
              <w:rPr>
                <w:lang w:val="en-GB"/>
              </w:rPr>
              <w:t>Original: English</w:t>
            </w:r>
          </w:p>
        </w:tc>
      </w:tr>
    </w:tbl>
    <w:p w14:paraId="6FC23041" w14:textId="77777777" w:rsidR="00BD34F4" w:rsidRPr="000A7144" w:rsidRDefault="00BD34F4" w:rsidP="00BD34F4">
      <w:pPr>
        <w:keepNext/>
        <w:keepLines/>
        <w:suppressAutoHyphens/>
        <w:ind w:right="3402"/>
        <w:rPr>
          <w:b/>
          <w:lang w:val="en-GB"/>
        </w:rPr>
      </w:pPr>
      <w:r w:rsidRPr="000A7144">
        <w:rPr>
          <w:b/>
          <w:lang w:val="en-GB"/>
        </w:rPr>
        <w:t>Plenary of the Intergovernmental Science-Policy</w:t>
      </w:r>
      <w:r w:rsidR="00A317C7" w:rsidRPr="000A7144">
        <w:rPr>
          <w:b/>
          <w:lang w:val="en-GB"/>
        </w:rPr>
        <w:br/>
      </w:r>
      <w:r w:rsidRPr="000A7144">
        <w:rPr>
          <w:b/>
          <w:lang w:val="en-GB"/>
        </w:rPr>
        <w:t>Platform on Biodiversity and Ecosystem Services</w:t>
      </w:r>
    </w:p>
    <w:p w14:paraId="07C22474" w14:textId="77777777" w:rsidR="00BD34F4" w:rsidRPr="000A7144" w:rsidRDefault="00BD34F4" w:rsidP="00BD34F4">
      <w:pPr>
        <w:keepNext/>
        <w:keepLines/>
        <w:suppressAutoHyphens/>
        <w:ind w:right="3402"/>
        <w:rPr>
          <w:b/>
          <w:lang w:val="en-GB"/>
        </w:rPr>
      </w:pPr>
      <w:r w:rsidRPr="000A7144">
        <w:rPr>
          <w:b/>
          <w:lang w:val="en-GB"/>
        </w:rPr>
        <w:t>Fifth session</w:t>
      </w:r>
    </w:p>
    <w:p w14:paraId="3DFD2CEA" w14:textId="77777777" w:rsidR="00BD34F4" w:rsidRPr="000A7144" w:rsidRDefault="00BD34F4" w:rsidP="00BD34F4">
      <w:pPr>
        <w:keepNext/>
        <w:keepLines/>
        <w:suppressAutoHyphens/>
        <w:ind w:right="3402"/>
        <w:rPr>
          <w:lang w:val="en-GB"/>
        </w:rPr>
      </w:pPr>
      <w:r w:rsidRPr="000A7144">
        <w:rPr>
          <w:lang w:val="en-GB"/>
        </w:rPr>
        <w:t>Bonn, Germany, 7–10 March 2017</w:t>
      </w:r>
    </w:p>
    <w:p w14:paraId="34B0DE62" w14:textId="77777777" w:rsidR="00BD34F4" w:rsidRPr="000A7144" w:rsidRDefault="00BD34F4" w:rsidP="00BD34F4">
      <w:pPr>
        <w:keepNext/>
        <w:keepLines/>
        <w:suppressAutoHyphens/>
        <w:ind w:right="3402"/>
        <w:rPr>
          <w:bCs/>
          <w:lang w:val="en-GB"/>
        </w:rPr>
      </w:pPr>
      <w:r w:rsidRPr="000A7144">
        <w:rPr>
          <w:bCs/>
          <w:lang w:val="en-GB"/>
        </w:rPr>
        <w:t>Item 5 of the provisional agenda</w:t>
      </w:r>
      <w:r w:rsidRPr="000A7144">
        <w:rPr>
          <w:bCs/>
          <w:spacing w:val="4"/>
          <w:w w:val="103"/>
          <w:lang w:val="en-GB"/>
        </w:rPr>
        <w:footnoteReference w:customMarkFollows="1" w:id="1"/>
        <w:t>*</w:t>
      </w:r>
      <w:r w:rsidRPr="000A7144">
        <w:rPr>
          <w:bCs/>
          <w:lang w:val="en-GB"/>
        </w:rPr>
        <w:t xml:space="preserve"> </w:t>
      </w:r>
    </w:p>
    <w:p w14:paraId="0050131F" w14:textId="5B324C60" w:rsidR="00BD34F4" w:rsidRPr="000A7144" w:rsidRDefault="00BD34F4" w:rsidP="00B30E87">
      <w:pPr>
        <w:pStyle w:val="AATitle2"/>
      </w:pPr>
      <w:r w:rsidRPr="000A7144">
        <w:t xml:space="preserve">Report of the Executive Secretary on the implementation </w:t>
      </w:r>
      <w:r w:rsidRPr="000A7144">
        <w:br/>
        <w:t xml:space="preserve">of the work programme </w:t>
      </w:r>
      <w:r w:rsidR="00020372" w:rsidRPr="000A7144">
        <w:t xml:space="preserve">for the period </w:t>
      </w:r>
      <w:r w:rsidRPr="000A7144">
        <w:t>2014–2018</w:t>
      </w:r>
    </w:p>
    <w:p w14:paraId="1AFA449C" w14:textId="0C14BB3A" w:rsidR="00BD34F4" w:rsidRPr="000A7144" w:rsidRDefault="00BD34F4" w:rsidP="009D1109">
      <w:pPr>
        <w:pStyle w:val="BBTitle"/>
      </w:pPr>
      <w:r w:rsidRPr="000A7144">
        <w:t xml:space="preserve">Implementation of the first work programme of </w:t>
      </w:r>
      <w:r w:rsidR="009D1109" w:rsidRPr="000A7144">
        <w:t xml:space="preserve">the </w:t>
      </w:r>
      <w:r w:rsidR="00DA011F" w:rsidRPr="000A7144">
        <w:t>I</w:t>
      </w:r>
      <w:r w:rsidR="009D1109" w:rsidRPr="000A7144">
        <w:t xml:space="preserve">ntergovernmental Science-Policy </w:t>
      </w:r>
      <w:r w:rsidR="00DA011F" w:rsidRPr="000A7144">
        <w:t>Platform on Biodiversity and Ecosystem Services</w:t>
      </w:r>
    </w:p>
    <w:p w14:paraId="0E26DEEE" w14:textId="77777777" w:rsidR="00BD34F4" w:rsidRPr="000A7144" w:rsidRDefault="00BD34F4" w:rsidP="00A317C7">
      <w:pPr>
        <w:pStyle w:val="CH2"/>
      </w:pPr>
      <w:r w:rsidRPr="000A7144">
        <w:tab/>
      </w:r>
      <w:r w:rsidRPr="000A7144">
        <w:tab/>
        <w:t xml:space="preserve">Report of the Executive Secretary </w:t>
      </w:r>
    </w:p>
    <w:p w14:paraId="0443128D" w14:textId="6D8719EA" w:rsidR="00BD34F4" w:rsidRPr="000A7144" w:rsidRDefault="00BD34F4" w:rsidP="000B1182">
      <w:pPr>
        <w:pStyle w:val="CH1"/>
      </w:pPr>
      <w:r w:rsidRPr="000A7144">
        <w:tab/>
      </w:r>
      <w:r w:rsidR="000B1182" w:rsidRPr="000A7144">
        <w:tab/>
      </w:r>
      <w:r w:rsidRPr="000A7144">
        <w:t>Introduction</w:t>
      </w:r>
    </w:p>
    <w:p w14:paraId="1C2B66A5" w14:textId="55A3C28C" w:rsidR="00BD34F4" w:rsidRPr="000A7144" w:rsidRDefault="00BD34F4" w:rsidP="000B1182">
      <w:pPr>
        <w:pStyle w:val="Normalnumber"/>
        <w:tabs>
          <w:tab w:val="num" w:pos="624"/>
        </w:tabs>
      </w:pPr>
      <w:r w:rsidRPr="000A7144">
        <w:t xml:space="preserve">At its second session, the Plenary of the Intergovernmental Science-Policy Platform on Biodiversity and Ecosystem Services </w:t>
      </w:r>
      <w:r w:rsidR="00092A56" w:rsidRPr="000A7144">
        <w:t xml:space="preserve">(IPBES) </w:t>
      </w:r>
      <w:r w:rsidRPr="000A7144">
        <w:t xml:space="preserve">adopted decision IPBES-2/5, by which it approved an ambitious first work programme with a sequenced set of deliverables for the period 2014–2018. The work programme was approved on the understanding that work on </w:t>
      </w:r>
      <w:r w:rsidR="007C15C9" w:rsidRPr="000A7144">
        <w:t xml:space="preserve">specific </w:t>
      </w:r>
      <w:r w:rsidRPr="000A7144">
        <w:t xml:space="preserve">deliverables would be initiated following active decisions by the Plenary in accordance with the procedures for the preparation of the deliverables of </w:t>
      </w:r>
      <w:r w:rsidR="007C15C9" w:rsidRPr="000A7144">
        <w:t>IPBES (decision IPBES-</w:t>
      </w:r>
      <w:r w:rsidR="00DF7501" w:rsidRPr="000A7144">
        <w:t>3</w:t>
      </w:r>
      <w:r w:rsidR="007C15C9" w:rsidRPr="000A7144">
        <w:t>/3, annex</w:t>
      </w:r>
      <w:r w:rsidR="00DF7501" w:rsidRPr="000A7144">
        <w:t xml:space="preserve"> I</w:t>
      </w:r>
      <w:r w:rsidR="007C15C9" w:rsidRPr="000A7144">
        <w:t>)</w:t>
      </w:r>
      <w:r w:rsidRPr="000A7144">
        <w:t>. In decision</w:t>
      </w:r>
      <w:r w:rsidR="007C15C9" w:rsidRPr="000A7144">
        <w:t xml:space="preserve"> IPBES-2/5</w:t>
      </w:r>
      <w:r w:rsidRPr="000A7144">
        <w:t xml:space="preserve">, the Plenary also initiated and guided work on all but one of the work programme deliverables </w:t>
      </w:r>
      <w:r w:rsidR="007C15C9" w:rsidRPr="000A7144">
        <w:t xml:space="preserve">(deliverable </w:t>
      </w:r>
      <w:proofErr w:type="gramStart"/>
      <w:r w:rsidR="007C15C9" w:rsidRPr="000A7144">
        <w:t>4</w:t>
      </w:r>
      <w:proofErr w:type="gramEnd"/>
      <w:r w:rsidR="007C15C9" w:rsidRPr="000A7144">
        <w:t xml:space="preserve"> (e), review of the effectiveness of IPBES) </w:t>
      </w:r>
      <w:r w:rsidRPr="000A7144">
        <w:t>with the intention of returning to the matter at its third session.</w:t>
      </w:r>
    </w:p>
    <w:p w14:paraId="480D7CFE" w14:textId="61A7ED4E" w:rsidR="00BD34F4" w:rsidRPr="000A7144" w:rsidRDefault="00BD34F4" w:rsidP="000B1182">
      <w:pPr>
        <w:pStyle w:val="Normalnumber"/>
        <w:tabs>
          <w:tab w:val="num" w:pos="624"/>
        </w:tabs>
      </w:pPr>
      <w:r w:rsidRPr="000A7144">
        <w:t xml:space="preserve">At its third and fourth sessions, the Plenary adopted decisions IPBES-3/1 and IPBES-4/1, respectively, in which it provided further guidance on the implementation of all the work programme deliverables. In decision IPBES-4/1, the Plenary </w:t>
      </w:r>
      <w:r w:rsidR="00097243" w:rsidRPr="000A7144">
        <w:t>approved the undertaking of a</w:t>
      </w:r>
      <w:r w:rsidRPr="000A7144">
        <w:t xml:space="preserve"> global assessment of biodiversity and ecosystem services to </w:t>
      </w:r>
      <w:proofErr w:type="gramStart"/>
      <w:r w:rsidRPr="000A7144">
        <w:t>be performed</w:t>
      </w:r>
      <w:proofErr w:type="gramEnd"/>
      <w:r w:rsidRPr="000A7144">
        <w:t xml:space="preserve"> over the period </w:t>
      </w:r>
      <w:r w:rsidR="00097243" w:rsidRPr="000A7144">
        <w:t xml:space="preserve">from </w:t>
      </w:r>
      <w:r w:rsidRPr="000A7144">
        <w:t>2016 to mid-2019, thus extending some of the activities of the first work programme beyond 2018, to mid-2019.</w:t>
      </w:r>
    </w:p>
    <w:p w14:paraId="4880E6D4" w14:textId="515F17E2" w:rsidR="00BD34F4" w:rsidRPr="000A7144" w:rsidRDefault="00BD34F4" w:rsidP="000B1182">
      <w:pPr>
        <w:pStyle w:val="Normalnumber"/>
        <w:tabs>
          <w:tab w:val="num" w:pos="624"/>
        </w:tabs>
      </w:pPr>
      <w:r w:rsidRPr="000A7144">
        <w:t xml:space="preserve">The present report </w:t>
      </w:r>
      <w:proofErr w:type="gramStart"/>
      <w:r w:rsidRPr="000A7144">
        <w:t>has been prepared</w:t>
      </w:r>
      <w:proofErr w:type="gramEnd"/>
      <w:r w:rsidRPr="000A7144">
        <w:t xml:space="preserve"> by the Executive Secretary, in consultation with the Bureau and the Multidisciplinary Expert Panel, to facilitate the consideration by the Plenary of </w:t>
      </w:r>
      <w:r w:rsidR="00097243" w:rsidRPr="000A7144">
        <w:t xml:space="preserve">the </w:t>
      </w:r>
      <w:r w:rsidRPr="000A7144">
        <w:t>progress</w:t>
      </w:r>
      <w:r w:rsidR="00097243" w:rsidRPr="000A7144">
        <w:t xml:space="preserve"> achieved</w:t>
      </w:r>
      <w:r w:rsidRPr="000A7144">
        <w:t xml:space="preserve"> in the implementation of the work programme. As a basis for </w:t>
      </w:r>
      <w:r w:rsidR="00020372" w:rsidRPr="000A7144">
        <w:t>that</w:t>
      </w:r>
      <w:r w:rsidRPr="000A7144">
        <w:t xml:space="preserve"> consideration, </w:t>
      </w:r>
      <w:r w:rsidR="002E0F44" w:rsidRPr="000A7144">
        <w:t xml:space="preserve">the present note provides </w:t>
      </w:r>
      <w:r w:rsidR="00097243" w:rsidRPr="000A7144">
        <w:t xml:space="preserve">information </w:t>
      </w:r>
      <w:r w:rsidR="002E0F44" w:rsidRPr="000A7144">
        <w:t>on the following matters</w:t>
      </w:r>
      <w:r w:rsidRPr="000A7144">
        <w:t>:</w:t>
      </w:r>
    </w:p>
    <w:p w14:paraId="14242298" w14:textId="4824163D" w:rsidR="00BD34F4" w:rsidRPr="000A7144" w:rsidRDefault="00BD34F4" w:rsidP="000B1182">
      <w:pPr>
        <w:pStyle w:val="Normalnumber"/>
        <w:numPr>
          <w:ilvl w:val="1"/>
          <w:numId w:val="4"/>
        </w:numPr>
        <w:tabs>
          <w:tab w:val="clear" w:pos="1134"/>
        </w:tabs>
        <w:ind w:firstLine="624"/>
      </w:pPr>
      <w:r w:rsidRPr="000A7144">
        <w:t xml:space="preserve">Progress </w:t>
      </w:r>
      <w:r w:rsidR="006F7C5E" w:rsidRPr="000A7144">
        <w:t xml:space="preserve">made in 2016 </w:t>
      </w:r>
      <w:r w:rsidR="002E0F44" w:rsidRPr="000A7144">
        <w:t>i</w:t>
      </w:r>
      <w:r w:rsidRPr="000A7144">
        <w:t xml:space="preserve">n the implementation of </w:t>
      </w:r>
      <w:r w:rsidR="002E0F44" w:rsidRPr="000A7144">
        <w:t xml:space="preserve">the </w:t>
      </w:r>
      <w:r w:rsidRPr="000A7144">
        <w:t xml:space="preserve">deliverables set out in the work programme </w:t>
      </w:r>
      <w:r w:rsidR="002E0F44" w:rsidRPr="000A7144">
        <w:t xml:space="preserve">for the period 2014–2018 </w:t>
      </w:r>
      <w:r w:rsidRPr="000A7144">
        <w:t>initiated in decisions IPBES-2/5, IPBES-3/1 and IPBES-4/1;</w:t>
      </w:r>
    </w:p>
    <w:p w14:paraId="494FD0F3" w14:textId="77777777" w:rsidR="00BD34F4" w:rsidRPr="000A7144" w:rsidRDefault="00BD34F4" w:rsidP="000B1182">
      <w:pPr>
        <w:pStyle w:val="Normalnumber"/>
        <w:numPr>
          <w:ilvl w:val="1"/>
          <w:numId w:val="4"/>
        </w:numPr>
        <w:tabs>
          <w:tab w:val="clear" w:pos="1134"/>
        </w:tabs>
        <w:ind w:firstLine="624"/>
      </w:pPr>
      <w:r w:rsidRPr="000A7144">
        <w:t>Further lessons learned by the Bureau, the Multidisciplinary Expert Panel and the secretariat over the course of 2016, the third year of implementation of the work programme, building on lessons learned in previous years.</w:t>
      </w:r>
    </w:p>
    <w:p w14:paraId="160FC8CE" w14:textId="2B75F389" w:rsidR="00BD34F4" w:rsidRPr="000A7144" w:rsidRDefault="00BD34F4" w:rsidP="00A317C7">
      <w:pPr>
        <w:keepNext/>
        <w:keepLines/>
        <w:tabs>
          <w:tab w:val="right" w:pos="851"/>
        </w:tabs>
        <w:suppressAutoHyphens/>
        <w:spacing w:before="240" w:after="120"/>
        <w:ind w:left="1247" w:right="284" w:hanging="1247"/>
        <w:rPr>
          <w:b/>
          <w:sz w:val="28"/>
          <w:szCs w:val="28"/>
          <w:lang w:val="en-GB"/>
        </w:rPr>
      </w:pPr>
      <w:r w:rsidRPr="000A7144">
        <w:rPr>
          <w:b/>
          <w:sz w:val="28"/>
          <w:szCs w:val="28"/>
          <w:lang w:val="en-GB"/>
        </w:rPr>
        <w:lastRenderedPageBreak/>
        <w:tab/>
        <w:t>I.</w:t>
      </w:r>
      <w:r w:rsidRPr="000A7144">
        <w:rPr>
          <w:b/>
          <w:sz w:val="28"/>
          <w:szCs w:val="28"/>
          <w:lang w:val="en-GB"/>
        </w:rPr>
        <w:tab/>
        <w:t>Progress in the implementation of decisions IPBES-2/5, IPBES-3/1 and IPBES-4/1 on the first work programme</w:t>
      </w:r>
    </w:p>
    <w:p w14:paraId="76974818" w14:textId="5CE98A67" w:rsidR="00BD34F4" w:rsidRPr="000A7144" w:rsidRDefault="00BD34F4" w:rsidP="00983A5A">
      <w:pPr>
        <w:pStyle w:val="Normalnumber"/>
        <w:keepNext/>
        <w:keepLines/>
        <w:tabs>
          <w:tab w:val="num" w:pos="624"/>
        </w:tabs>
      </w:pPr>
      <w:r w:rsidRPr="000A7144">
        <w:t xml:space="preserve">In 2016, one assessment author group (global assessment), one scoping group (sustainable use of biodiversity) and two small groups of experts (values and scenarios) were established, and two assessment author groups (pollination and scenarios) and one larger expert group (values) </w:t>
      </w:r>
      <w:proofErr w:type="gramStart"/>
      <w:r w:rsidR="00E07BB7" w:rsidRPr="000A7144">
        <w:t>were disbanded</w:t>
      </w:r>
      <w:proofErr w:type="gramEnd"/>
      <w:r w:rsidRPr="000A7144">
        <w:t>.</w:t>
      </w:r>
      <w:r w:rsidRPr="000A7144">
        <w:rPr>
          <w:b/>
        </w:rPr>
        <w:t xml:space="preserve"> </w:t>
      </w:r>
      <w:r w:rsidRPr="000A7144">
        <w:t>Five assessment author groups (regional assessments, assessment of land degradation and restoration), established in 2015, three task forces (</w:t>
      </w:r>
      <w:r w:rsidR="0094300A" w:rsidRPr="000A7144">
        <w:t xml:space="preserve">on </w:t>
      </w:r>
      <w:r w:rsidRPr="000A7144">
        <w:t>capacity</w:t>
      </w:r>
      <w:r w:rsidR="00E07BB7" w:rsidRPr="000A7144">
        <w:noBreakHyphen/>
      </w:r>
      <w:r w:rsidRPr="000A7144">
        <w:t>building, knowledge and data, and indigenous and local knowledge) and two expert groups (</w:t>
      </w:r>
      <w:r w:rsidR="0094300A" w:rsidRPr="000A7144">
        <w:t xml:space="preserve">on </w:t>
      </w:r>
      <w:r w:rsidRPr="000A7144">
        <w:t xml:space="preserve">policy support and </w:t>
      </w:r>
      <w:r w:rsidR="0094300A" w:rsidRPr="000A7144">
        <w:t xml:space="preserve">the </w:t>
      </w:r>
      <w:r w:rsidRPr="000A7144">
        <w:t>guide on assessments)</w:t>
      </w:r>
      <w:proofErr w:type="gramStart"/>
      <w:r w:rsidR="0094300A" w:rsidRPr="000A7144">
        <w:t>,</w:t>
      </w:r>
      <w:proofErr w:type="gramEnd"/>
      <w:r w:rsidR="0094300A" w:rsidRPr="000A7144">
        <w:t xml:space="preserve"> all</w:t>
      </w:r>
      <w:r w:rsidRPr="000A7144">
        <w:t xml:space="preserve"> established in 2014</w:t>
      </w:r>
      <w:r w:rsidR="0094300A" w:rsidRPr="000A7144">
        <w:t>,</w:t>
      </w:r>
      <w:r w:rsidRPr="000A7144">
        <w:t xml:space="preserve"> continued their work in 2016. Altogether, these groups involved some 900 experts, bringing the total </w:t>
      </w:r>
      <w:r w:rsidR="0094300A" w:rsidRPr="000A7144">
        <w:t xml:space="preserve">number </w:t>
      </w:r>
      <w:r w:rsidRPr="000A7144">
        <w:t xml:space="preserve">of experts involved </w:t>
      </w:r>
      <w:r w:rsidR="0094300A" w:rsidRPr="000A7144">
        <w:t xml:space="preserve">in IPBES </w:t>
      </w:r>
      <w:r w:rsidRPr="000A7144">
        <w:t xml:space="preserve">since the </w:t>
      </w:r>
      <w:r w:rsidR="00564D3D" w:rsidRPr="000A7144">
        <w:t xml:space="preserve">start </w:t>
      </w:r>
      <w:r w:rsidRPr="000A7144">
        <w:t xml:space="preserve">of the </w:t>
      </w:r>
      <w:r w:rsidR="00E07BB7" w:rsidRPr="000A7144">
        <w:t xml:space="preserve">implementation of the </w:t>
      </w:r>
      <w:r w:rsidRPr="000A7144">
        <w:t xml:space="preserve">first work programme to 1,300. </w:t>
      </w:r>
      <w:proofErr w:type="gramStart"/>
      <w:r w:rsidRPr="000A7144">
        <w:t>A total of 22</w:t>
      </w:r>
      <w:proofErr w:type="gramEnd"/>
      <w:r w:rsidRPr="000A7144">
        <w:t xml:space="preserve"> meetings w</w:t>
      </w:r>
      <w:r w:rsidR="00E07BB7" w:rsidRPr="000A7144">
        <w:t>ere</w:t>
      </w:r>
      <w:r w:rsidRPr="000A7144">
        <w:t xml:space="preserve"> held</w:t>
      </w:r>
      <w:r w:rsidR="001D0F26" w:rsidRPr="000A7144">
        <w:t xml:space="preserve"> over that same period</w:t>
      </w:r>
      <w:r w:rsidRPr="000A7144">
        <w:t>.</w:t>
      </w:r>
      <w:r w:rsidRPr="000A7144">
        <w:rPr>
          <w:vertAlign w:val="superscript"/>
        </w:rPr>
        <w:footnoteReference w:id="2"/>
      </w:r>
      <w:r w:rsidRPr="000A7144">
        <w:t xml:space="preserve"> Four technical support units </w:t>
      </w:r>
      <w:proofErr w:type="gramStart"/>
      <w:r w:rsidRPr="000A7144">
        <w:t>were established</w:t>
      </w:r>
      <w:proofErr w:type="gramEnd"/>
      <w:r w:rsidRPr="000A7144">
        <w:t xml:space="preserve"> thanks to in-kind offers from Governments and organizations, and two technical support units finished their work, bringing the total </w:t>
      </w:r>
      <w:r w:rsidR="0094300A" w:rsidRPr="000A7144">
        <w:t xml:space="preserve">number </w:t>
      </w:r>
      <w:r w:rsidRPr="000A7144">
        <w:t xml:space="preserve">of technical support units to </w:t>
      </w:r>
      <w:r w:rsidR="000947BE" w:rsidRPr="000A7144">
        <w:t>12</w:t>
      </w:r>
      <w:r w:rsidRPr="000A7144">
        <w:t xml:space="preserve">. More information on institutional arrangements is set out in </w:t>
      </w:r>
      <w:r w:rsidR="0094300A" w:rsidRPr="000A7144">
        <w:t xml:space="preserve">document </w:t>
      </w:r>
      <w:r w:rsidRPr="000A7144">
        <w:t xml:space="preserve">IPBES/5/INF/17. </w:t>
      </w:r>
    </w:p>
    <w:p w14:paraId="6960D6AB" w14:textId="611E4B07" w:rsidR="00126FCC" w:rsidRPr="000A7144" w:rsidRDefault="00126FCC" w:rsidP="00983A5A">
      <w:pPr>
        <w:pStyle w:val="Normalnumber"/>
        <w:keepNext/>
        <w:keepLines/>
        <w:tabs>
          <w:tab w:val="num" w:pos="624"/>
        </w:tabs>
      </w:pPr>
      <w:r w:rsidRPr="000A7144">
        <w:t xml:space="preserve">The following paragraphs set out information on progress made under each objective of the first work programme of IPBES. </w:t>
      </w:r>
    </w:p>
    <w:p w14:paraId="24B5C8F1" w14:textId="77777777" w:rsidR="00BD34F4" w:rsidRPr="000A7144" w:rsidRDefault="00BD34F4" w:rsidP="00BD34F4">
      <w:pPr>
        <w:keepNext/>
        <w:keepLines/>
        <w:tabs>
          <w:tab w:val="right" w:pos="851"/>
          <w:tab w:val="left" w:pos="4082"/>
        </w:tabs>
        <w:suppressAutoHyphens/>
        <w:spacing w:before="80" w:after="60"/>
        <w:ind w:left="1247" w:right="284" w:hanging="1247"/>
        <w:rPr>
          <w:b/>
          <w:lang w:val="en-GB"/>
        </w:rPr>
      </w:pPr>
      <w:r w:rsidRPr="000A7144">
        <w:rPr>
          <w:b/>
          <w:sz w:val="24"/>
          <w:szCs w:val="24"/>
          <w:lang w:val="en-GB"/>
        </w:rPr>
        <w:tab/>
      </w:r>
      <w:r w:rsidRPr="000A7144">
        <w:rPr>
          <w:b/>
          <w:sz w:val="24"/>
          <w:szCs w:val="24"/>
          <w:lang w:val="en-GB"/>
        </w:rPr>
        <w:tab/>
      </w:r>
      <w:r w:rsidRPr="000A7144">
        <w:rPr>
          <w:b/>
          <w:lang w:val="en-GB"/>
        </w:rPr>
        <w:t xml:space="preserve">Objective </w:t>
      </w:r>
      <w:proofErr w:type="gramStart"/>
      <w:r w:rsidRPr="000A7144">
        <w:rPr>
          <w:b/>
          <w:lang w:val="en-GB"/>
        </w:rPr>
        <w:t>1</w:t>
      </w:r>
      <w:proofErr w:type="gramEnd"/>
    </w:p>
    <w:p w14:paraId="6CEA81B7" w14:textId="77777777" w:rsidR="00BD34F4" w:rsidRPr="000A7144" w:rsidRDefault="00BD34F4" w:rsidP="00BD34F4">
      <w:pPr>
        <w:keepNext/>
        <w:keepLines/>
        <w:tabs>
          <w:tab w:val="right" w:pos="851"/>
          <w:tab w:val="left" w:pos="4082"/>
        </w:tabs>
        <w:suppressAutoHyphens/>
        <w:spacing w:before="80" w:after="120"/>
        <w:ind w:left="1247" w:right="284" w:hanging="1247"/>
        <w:rPr>
          <w:b/>
          <w:lang w:val="en-GB"/>
        </w:rPr>
      </w:pPr>
      <w:r w:rsidRPr="000A7144">
        <w:rPr>
          <w:b/>
          <w:lang w:val="en-GB"/>
        </w:rPr>
        <w:tab/>
      </w:r>
      <w:r w:rsidRPr="000A7144">
        <w:rPr>
          <w:b/>
          <w:lang w:val="en-GB"/>
        </w:rPr>
        <w:tab/>
        <w:t>Strengthen the capacity and knowledge foundations of the science-policy interface to implement key functions of the Platform</w:t>
      </w:r>
    </w:p>
    <w:p w14:paraId="7B7F4436" w14:textId="4241B834" w:rsidR="00BD34F4" w:rsidRPr="000A7144" w:rsidRDefault="00BD34F4" w:rsidP="00A317C7">
      <w:pPr>
        <w:pStyle w:val="Normalnumber"/>
        <w:tabs>
          <w:tab w:val="num" w:pos="624"/>
        </w:tabs>
      </w:pPr>
      <w:r w:rsidRPr="000A7144">
        <w:t xml:space="preserve">Three task forces with technical support units </w:t>
      </w:r>
      <w:proofErr w:type="gramStart"/>
      <w:r w:rsidRPr="000A7144">
        <w:t>were established</w:t>
      </w:r>
      <w:proofErr w:type="gramEnd"/>
      <w:r w:rsidRPr="000A7144">
        <w:t xml:space="preserve"> in 2014 for the </w:t>
      </w:r>
      <w:r w:rsidR="00BE0E37" w:rsidRPr="000A7144">
        <w:t xml:space="preserve">duration </w:t>
      </w:r>
      <w:r w:rsidRPr="000A7144">
        <w:t xml:space="preserve">of the first work programme. In 2016, progress </w:t>
      </w:r>
      <w:r w:rsidR="00564D3D" w:rsidRPr="000A7144">
        <w:t xml:space="preserve">was </w:t>
      </w:r>
      <w:r w:rsidR="00121526" w:rsidRPr="000A7144">
        <w:t xml:space="preserve">achieved </w:t>
      </w:r>
      <w:r w:rsidRPr="000A7144">
        <w:t>in the following areas:</w:t>
      </w:r>
    </w:p>
    <w:p w14:paraId="5C68B9D6" w14:textId="5BC6887F" w:rsidR="00BD34F4" w:rsidRPr="000A7144" w:rsidRDefault="00BD34F4" w:rsidP="004F6989">
      <w:pPr>
        <w:pStyle w:val="Normalnumber"/>
        <w:numPr>
          <w:ilvl w:val="1"/>
          <w:numId w:val="4"/>
        </w:numPr>
        <w:tabs>
          <w:tab w:val="clear" w:pos="1134"/>
        </w:tabs>
        <w:ind w:firstLine="624"/>
      </w:pPr>
      <w:r w:rsidRPr="000A7144">
        <w:t>The task force on capacity-building (deliverables 1 (a) and (b)) addressed the priority capacity-building needs set out in decision IPBES-4/1, including by continuing the piloting of the draft programme on fellowship, exchange and training, as requested in th</w:t>
      </w:r>
      <w:r w:rsidR="00564D3D" w:rsidRPr="000A7144">
        <w:t>e</w:t>
      </w:r>
      <w:r w:rsidRPr="000A7144">
        <w:t xml:space="preserve"> decision. The piloting of the fellowship programme</w:t>
      </w:r>
      <w:r w:rsidR="00A96388" w:rsidRPr="000A7144">
        <w:t>,</w:t>
      </w:r>
      <w:r w:rsidRPr="000A7144">
        <w:t xml:space="preserve"> initiated in 2015</w:t>
      </w:r>
      <w:r w:rsidR="00A96388" w:rsidRPr="000A7144">
        <w:t>,</w:t>
      </w:r>
      <w:r w:rsidRPr="000A7144">
        <w:t xml:space="preserve"> </w:t>
      </w:r>
      <w:proofErr w:type="gramStart"/>
      <w:r w:rsidRPr="000A7144">
        <w:t>was expanded</w:t>
      </w:r>
      <w:proofErr w:type="gramEnd"/>
      <w:r w:rsidRPr="000A7144">
        <w:t xml:space="preserve"> to the global assessment with the selection of 16 early career fellows </w:t>
      </w:r>
      <w:r w:rsidR="006C30A8" w:rsidRPr="000A7144">
        <w:t xml:space="preserve">from </w:t>
      </w:r>
      <w:r w:rsidR="000947BE" w:rsidRPr="000A7144">
        <w:t>among</w:t>
      </w:r>
      <w:r w:rsidRPr="000A7144">
        <w:t xml:space="preserve"> 182 applica</w:t>
      </w:r>
      <w:r w:rsidR="000947BE" w:rsidRPr="000A7144">
        <w:t>nts</w:t>
      </w:r>
      <w:r w:rsidRPr="000A7144">
        <w:t xml:space="preserve">. </w:t>
      </w:r>
      <w:r w:rsidR="00A96388" w:rsidRPr="000A7144">
        <w:t>The fellowship programme</w:t>
      </w:r>
      <w:r w:rsidRPr="000A7144">
        <w:t xml:space="preserve"> now compris</w:t>
      </w:r>
      <w:r w:rsidR="00A96388" w:rsidRPr="000A7144">
        <w:t>es</w:t>
      </w:r>
      <w:r w:rsidRPr="000A7144">
        <w:t xml:space="preserve"> 49 fellows from 37 countries and offers mentoring and training opportunities. </w:t>
      </w:r>
      <w:r w:rsidR="00126FCC" w:rsidRPr="000A7144">
        <w:t xml:space="preserve">In the context of the training component of the programme, </w:t>
      </w:r>
      <w:r w:rsidR="00AA0238" w:rsidRPr="000A7144">
        <w:t>a</w:t>
      </w:r>
      <w:r w:rsidRPr="000A7144">
        <w:t xml:space="preserve"> webinar series involving IPBES experts</w:t>
      </w:r>
      <w:r w:rsidR="00126FCC" w:rsidRPr="000A7144">
        <w:t xml:space="preserve"> </w:t>
      </w:r>
      <w:proofErr w:type="gramStart"/>
      <w:r w:rsidR="00126FCC" w:rsidRPr="000A7144">
        <w:t>was held</w:t>
      </w:r>
      <w:proofErr w:type="gramEnd"/>
      <w:r w:rsidR="00126FCC" w:rsidRPr="000A7144">
        <w:t>. During the webinar series</w:t>
      </w:r>
      <w:r w:rsidR="00D62682" w:rsidRPr="000A7144">
        <w:t>,</w:t>
      </w:r>
      <w:r w:rsidRPr="000A7144">
        <w:t xml:space="preserve"> presentations</w:t>
      </w:r>
      <w:r w:rsidR="00AA0238" w:rsidRPr="000A7144">
        <w:t xml:space="preserve"> </w:t>
      </w:r>
      <w:proofErr w:type="gramStart"/>
      <w:r w:rsidR="00AA0238" w:rsidRPr="000A7144">
        <w:t>were made</w:t>
      </w:r>
      <w:proofErr w:type="gramEnd"/>
      <w:r w:rsidRPr="000A7144">
        <w:t xml:space="preserve"> on the assessment process</w:t>
      </w:r>
      <w:r w:rsidR="000947BE" w:rsidRPr="000A7144">
        <w:t>,</w:t>
      </w:r>
      <w:r w:rsidRPr="000A7144">
        <w:t xml:space="preserve"> the conceptual framework</w:t>
      </w:r>
      <w:r w:rsidR="000947BE" w:rsidRPr="000A7144">
        <w:t>,</w:t>
      </w:r>
      <w:r w:rsidRPr="000A7144">
        <w:t xml:space="preserve"> the pollination report and the preliminary guide on </w:t>
      </w:r>
      <w:r w:rsidR="00503435" w:rsidRPr="000A7144">
        <w:t xml:space="preserve">the </w:t>
      </w:r>
      <w:r w:rsidRPr="000A7144">
        <w:t>conceptualization of values</w:t>
      </w:r>
      <w:r w:rsidR="00D62682" w:rsidRPr="000A7144">
        <w:t xml:space="preserve"> of biodiversity and nature’s benefit</w:t>
      </w:r>
      <w:r w:rsidR="00126FCC" w:rsidRPr="000A7144">
        <w:t>s</w:t>
      </w:r>
      <w:r w:rsidR="00D62682" w:rsidRPr="000A7144">
        <w:t xml:space="preserve"> to people</w:t>
      </w:r>
      <w:r w:rsidRPr="000A7144">
        <w:t xml:space="preserve">. The task force </w:t>
      </w:r>
      <w:r w:rsidR="00503435" w:rsidRPr="000A7144">
        <w:t xml:space="preserve">on </w:t>
      </w:r>
      <w:proofErr w:type="gramStart"/>
      <w:r w:rsidR="00503435" w:rsidRPr="000A7144">
        <w:t>capacity-building</w:t>
      </w:r>
      <w:proofErr w:type="gramEnd"/>
      <w:r w:rsidR="00503435" w:rsidRPr="000A7144">
        <w:t xml:space="preserve"> </w:t>
      </w:r>
      <w:r w:rsidRPr="000A7144">
        <w:t>assisted the Bureau and the secretariat in convening and facilitating the second capacity</w:t>
      </w:r>
      <w:r w:rsidRPr="000A7144">
        <w:noBreakHyphen/>
        <w:t xml:space="preserve">building forum </w:t>
      </w:r>
      <w:r w:rsidR="00D62682" w:rsidRPr="000A7144">
        <w:t xml:space="preserve">of IPBES </w:t>
      </w:r>
      <w:r w:rsidRPr="000A7144">
        <w:t xml:space="preserve">with representatives of </w:t>
      </w:r>
      <w:r w:rsidR="00AA0238" w:rsidRPr="000A7144">
        <w:t xml:space="preserve">traditional donors </w:t>
      </w:r>
      <w:r w:rsidRPr="000A7144">
        <w:t xml:space="preserve">and </w:t>
      </w:r>
      <w:r w:rsidR="00D62682" w:rsidRPr="000A7144">
        <w:t xml:space="preserve">of </w:t>
      </w:r>
      <w:r w:rsidRPr="000A7144">
        <w:t xml:space="preserve">potential </w:t>
      </w:r>
      <w:r w:rsidR="00D62682" w:rsidRPr="000A7144">
        <w:t xml:space="preserve">new </w:t>
      </w:r>
      <w:r w:rsidRPr="000A7144">
        <w:t>sources of funding</w:t>
      </w:r>
      <w:r w:rsidR="00AA0238" w:rsidRPr="000A7144">
        <w:t>. A</w:t>
      </w:r>
      <w:r w:rsidRPr="000A7144">
        <w:t xml:space="preserve"> report on the outcome of the forum </w:t>
      </w:r>
      <w:proofErr w:type="gramStart"/>
      <w:r w:rsidRPr="000A7144">
        <w:t>is presented</w:t>
      </w:r>
      <w:proofErr w:type="gramEnd"/>
      <w:r w:rsidRPr="000A7144">
        <w:t xml:space="preserve"> in </w:t>
      </w:r>
      <w:r w:rsidR="00AA0238" w:rsidRPr="000A7144">
        <w:t xml:space="preserve">document </w:t>
      </w:r>
      <w:r w:rsidRPr="000A7144">
        <w:t xml:space="preserve">IPBES/5/3, as requested in decision IPBES-4/1. </w:t>
      </w:r>
      <w:proofErr w:type="gramStart"/>
      <w:r w:rsidRPr="000A7144">
        <w:t>The</w:t>
      </w:r>
      <w:r w:rsidR="00D62682" w:rsidRPr="000A7144">
        <w:t>re has been a gradual shift in the</w:t>
      </w:r>
      <w:r w:rsidRPr="000A7144">
        <w:t xml:space="preserve"> focus on matchmaking</w:t>
      </w:r>
      <w:r w:rsidR="00D62682" w:rsidRPr="000A7144">
        <w:t xml:space="preserve"> </w:t>
      </w:r>
      <w:r w:rsidR="00E620AC" w:rsidRPr="000A7144">
        <w:t>–</w:t>
      </w:r>
      <w:r w:rsidR="00D62682" w:rsidRPr="000A7144">
        <w:t xml:space="preserve"> bringing together those who have capacity-building needs with those able to help meet those needs, whether technical or financial</w:t>
      </w:r>
      <w:r w:rsidRPr="000A7144">
        <w:t xml:space="preserve"> </w:t>
      </w:r>
      <w:r w:rsidR="00E620AC" w:rsidRPr="000A7144">
        <w:t>–</w:t>
      </w:r>
      <w:r w:rsidR="00D62682" w:rsidRPr="000A7144">
        <w:t xml:space="preserve"> </w:t>
      </w:r>
      <w:r w:rsidRPr="000A7144">
        <w:t xml:space="preserve">from </w:t>
      </w:r>
      <w:r w:rsidR="00E620AC" w:rsidRPr="000A7144">
        <w:t>efforts</w:t>
      </w:r>
      <w:r w:rsidRPr="000A7144">
        <w:t xml:space="preserve"> to develop a prototype online matchmaking facility to </w:t>
      </w:r>
      <w:r w:rsidR="00D62682" w:rsidRPr="000A7144">
        <w:t xml:space="preserve">the </w:t>
      </w:r>
      <w:r w:rsidRPr="000A7144">
        <w:t xml:space="preserve">incremental development of matchmaking functions with </w:t>
      </w:r>
      <w:r w:rsidR="008254FF" w:rsidRPr="000A7144">
        <w:br/>
      </w:r>
      <w:r w:rsidRPr="000A7144">
        <w:t>web-based support structures on the IPBES website.</w:t>
      </w:r>
      <w:proofErr w:type="gramEnd"/>
      <w:r w:rsidRPr="000A7144">
        <w:t xml:space="preserve"> This slight refocus </w:t>
      </w:r>
      <w:proofErr w:type="gramStart"/>
      <w:r w:rsidRPr="000A7144">
        <w:t>is based</w:t>
      </w:r>
      <w:proofErr w:type="gramEnd"/>
      <w:r w:rsidRPr="000A7144">
        <w:t xml:space="preserve"> on experience to date and feedback received, including from </w:t>
      </w:r>
      <w:r w:rsidR="00854E25" w:rsidRPr="000A7144">
        <w:t>participants at the first and second</w:t>
      </w:r>
      <w:r w:rsidRPr="000A7144">
        <w:t xml:space="preserve"> capacity-building forum</w:t>
      </w:r>
      <w:r w:rsidR="00E620AC" w:rsidRPr="000A7144">
        <w:t>s</w:t>
      </w:r>
      <w:r w:rsidRPr="000A7144">
        <w:t xml:space="preserve">. </w:t>
      </w:r>
      <w:r w:rsidR="00854E25" w:rsidRPr="000A7144">
        <w:t>I</w:t>
      </w:r>
      <w:r w:rsidRPr="000A7144">
        <w:t xml:space="preserve">n response to the request by the Plenary for further prioritization, programming, matchmaking and </w:t>
      </w:r>
      <w:proofErr w:type="gramStart"/>
      <w:r w:rsidRPr="000A7144">
        <w:t>partnering</w:t>
      </w:r>
      <w:proofErr w:type="gramEnd"/>
      <w:r w:rsidRPr="000A7144">
        <w:t xml:space="preserve">, </w:t>
      </w:r>
      <w:r w:rsidR="00854E25" w:rsidRPr="000A7144">
        <w:t xml:space="preserve">the task force </w:t>
      </w:r>
      <w:r w:rsidRPr="000A7144">
        <w:t>developed a rolling plan</w:t>
      </w:r>
      <w:r w:rsidR="00D6343B" w:rsidRPr="000A7144">
        <w:t xml:space="preserve"> for capacity-building</w:t>
      </w:r>
      <w:r w:rsidRPr="000A7144">
        <w:t xml:space="preserve">. The plan </w:t>
      </w:r>
      <w:proofErr w:type="gramStart"/>
      <w:r w:rsidRPr="000A7144">
        <w:t>is based</w:t>
      </w:r>
      <w:proofErr w:type="gramEnd"/>
      <w:r w:rsidRPr="000A7144">
        <w:t xml:space="preserve"> on experience gained from the piloting of the draft programme on fellowship, exchange and training</w:t>
      </w:r>
      <w:r w:rsidR="00854E25" w:rsidRPr="000A7144">
        <w:t>,</w:t>
      </w:r>
      <w:r w:rsidRPr="000A7144">
        <w:t xml:space="preserve"> and</w:t>
      </w:r>
      <w:r w:rsidR="00E620AC" w:rsidRPr="000A7144">
        <w:t xml:space="preserve"> from efforts to develop</w:t>
      </w:r>
      <w:r w:rsidRPr="000A7144">
        <w:t xml:space="preserve"> </w:t>
      </w:r>
      <w:r w:rsidR="00E620AC" w:rsidRPr="000A7144">
        <w:t>a</w:t>
      </w:r>
      <w:r w:rsidRPr="000A7144">
        <w:t xml:space="preserve"> prototype matchmaking facility. Recommendations for further action are set out in </w:t>
      </w:r>
      <w:r w:rsidR="00854E25" w:rsidRPr="000A7144">
        <w:t xml:space="preserve">document </w:t>
      </w:r>
      <w:r w:rsidRPr="000A7144">
        <w:t xml:space="preserve">IPBES/5/3, </w:t>
      </w:r>
      <w:r w:rsidR="00854E25" w:rsidRPr="000A7144">
        <w:t xml:space="preserve">which is </w:t>
      </w:r>
      <w:r w:rsidRPr="000A7144">
        <w:t>supported by additional information, such as the report of the second capa</w:t>
      </w:r>
      <w:r w:rsidR="00261B6E" w:rsidRPr="000A7144">
        <w:t>city</w:t>
      </w:r>
      <w:r w:rsidRPr="000A7144">
        <w:noBreakHyphen/>
        <w:t>building forum (see IPBES/5/INF/3)</w:t>
      </w:r>
      <w:r w:rsidR="005014FD" w:rsidRPr="000A7144">
        <w:t>;</w:t>
      </w:r>
    </w:p>
    <w:p w14:paraId="302D44A6" w14:textId="6A6F5F07" w:rsidR="00261B6E" w:rsidRPr="000A7144" w:rsidRDefault="00BD34F4" w:rsidP="004F6989">
      <w:pPr>
        <w:pStyle w:val="Normalnumber"/>
        <w:numPr>
          <w:ilvl w:val="1"/>
          <w:numId w:val="4"/>
        </w:numPr>
        <w:tabs>
          <w:tab w:val="clear" w:pos="1134"/>
        </w:tabs>
        <w:ind w:firstLine="624"/>
      </w:pPr>
      <w:r w:rsidRPr="000A7144">
        <w:t xml:space="preserve">The task force on indigenous and local knowledge systems (deliverable 1 (c)) continued piloting indigenous and local knowledge dialogue workshops </w:t>
      </w:r>
      <w:r w:rsidR="00DF7501" w:rsidRPr="000A7144">
        <w:t xml:space="preserve">by organizing workshops </w:t>
      </w:r>
      <w:r w:rsidRPr="000A7144">
        <w:t xml:space="preserve">for the </w:t>
      </w:r>
      <w:r w:rsidR="00DF7501" w:rsidRPr="000A7144">
        <w:t xml:space="preserve">Asia-Pacific and Americas </w:t>
      </w:r>
      <w:r w:rsidRPr="000A7144">
        <w:t>regional assessments, and conducted an evaluation of th</w:t>
      </w:r>
      <w:r w:rsidR="008754A0" w:rsidRPr="000A7144">
        <w:t>at</w:t>
      </w:r>
      <w:r w:rsidRPr="000A7144">
        <w:t xml:space="preserve"> experience. Th</w:t>
      </w:r>
      <w:r w:rsidR="00E620AC" w:rsidRPr="000A7144">
        <w:t>at</w:t>
      </w:r>
      <w:r w:rsidRPr="000A7144">
        <w:t xml:space="preserve"> evaluation</w:t>
      </w:r>
      <w:r w:rsidR="00E620AC" w:rsidRPr="000A7144">
        <w:t xml:space="preserve">, which includes </w:t>
      </w:r>
      <w:r w:rsidRPr="000A7144">
        <w:t xml:space="preserve">consideration of how </w:t>
      </w:r>
      <w:r w:rsidR="00E620AC" w:rsidRPr="000A7144">
        <w:t xml:space="preserve">best </w:t>
      </w:r>
      <w:r w:rsidRPr="000A7144">
        <w:t xml:space="preserve">to address </w:t>
      </w:r>
      <w:r w:rsidR="008754A0" w:rsidRPr="000A7144">
        <w:t>indigenous and local knowledge</w:t>
      </w:r>
      <w:r w:rsidRPr="000A7144">
        <w:t xml:space="preserve"> in the global assessment</w:t>
      </w:r>
      <w:r w:rsidR="00E620AC" w:rsidRPr="000A7144">
        <w:t xml:space="preserve"> o</w:t>
      </w:r>
      <w:r w:rsidR="00683B8F" w:rsidRPr="000A7144">
        <w:t>f</w:t>
      </w:r>
      <w:r w:rsidR="00E620AC" w:rsidRPr="000A7144">
        <w:t xml:space="preserve"> biodiversity and ecosystem services,</w:t>
      </w:r>
      <w:r w:rsidRPr="000A7144">
        <w:t xml:space="preserve"> contributed to </w:t>
      </w:r>
      <w:r w:rsidR="00FC5010" w:rsidRPr="000A7144">
        <w:t xml:space="preserve">the </w:t>
      </w:r>
      <w:r w:rsidRPr="000A7144">
        <w:t>develop</w:t>
      </w:r>
      <w:r w:rsidR="00FC5010" w:rsidRPr="000A7144">
        <w:t>ment of</w:t>
      </w:r>
      <w:r w:rsidRPr="000A7144">
        <w:t xml:space="preserve"> </w:t>
      </w:r>
      <w:r w:rsidR="00E620AC" w:rsidRPr="000A7144">
        <w:t>an</w:t>
      </w:r>
      <w:r w:rsidRPr="000A7144">
        <w:t xml:space="preserve"> approach for working with </w:t>
      </w:r>
      <w:r w:rsidR="008754A0" w:rsidRPr="000A7144">
        <w:t>indigenous and local knowledge</w:t>
      </w:r>
      <w:r w:rsidRPr="000A7144">
        <w:t xml:space="preserve"> in IPBES</w:t>
      </w:r>
      <w:r w:rsidR="000947BE" w:rsidRPr="000A7144">
        <w:t>,</w:t>
      </w:r>
      <w:r w:rsidRPr="000A7144">
        <w:t xml:space="preserve"> presented in </w:t>
      </w:r>
      <w:r w:rsidR="00FC5010" w:rsidRPr="000A7144">
        <w:t xml:space="preserve">document </w:t>
      </w:r>
      <w:r w:rsidRPr="000A7144">
        <w:t xml:space="preserve">IPBES/5/4, with additional information contained in </w:t>
      </w:r>
      <w:r w:rsidR="00E620AC" w:rsidRPr="000A7144">
        <w:t xml:space="preserve">document </w:t>
      </w:r>
      <w:r w:rsidRPr="000A7144">
        <w:t>IPBES/5/INF/4, for consideration by the Plenary. Th</w:t>
      </w:r>
      <w:r w:rsidR="00E620AC" w:rsidRPr="000A7144">
        <w:t>e</w:t>
      </w:r>
      <w:r w:rsidRPr="000A7144">
        <w:t xml:space="preserve"> approach incorporates the further developed roster </w:t>
      </w:r>
      <w:r w:rsidR="00E620AC" w:rsidRPr="000A7144">
        <w:t xml:space="preserve">of </w:t>
      </w:r>
      <w:r w:rsidR="00AF5C40" w:rsidRPr="000A7144">
        <w:t xml:space="preserve">experts </w:t>
      </w:r>
      <w:r w:rsidRPr="000A7144">
        <w:t>and</w:t>
      </w:r>
      <w:r w:rsidR="00AF5C40" w:rsidRPr="000A7144">
        <w:t xml:space="preserve"> the</w:t>
      </w:r>
      <w:r w:rsidRPr="000A7144">
        <w:t xml:space="preserve"> participatory mechanism</w:t>
      </w:r>
      <w:r w:rsidR="00AF5C40" w:rsidRPr="000A7144">
        <w:t xml:space="preserve"> for working with various knowledge systems </w:t>
      </w:r>
      <w:r w:rsidR="00126FCC" w:rsidRPr="000A7144">
        <w:t>mandated in</w:t>
      </w:r>
      <w:r w:rsidR="00AF5C40" w:rsidRPr="000A7144">
        <w:t xml:space="preserve"> decision IPBES-2/5</w:t>
      </w:r>
      <w:r w:rsidR="0083556C" w:rsidRPr="000A7144">
        <w:t>;</w:t>
      </w:r>
      <w:r w:rsidR="00B42DC1" w:rsidRPr="000A7144">
        <w:t xml:space="preserve"> </w:t>
      </w:r>
    </w:p>
    <w:p w14:paraId="0C4438DF" w14:textId="53AF5F3B" w:rsidR="00BD34F4" w:rsidRPr="000A7144" w:rsidRDefault="00BD34F4" w:rsidP="004F6989">
      <w:pPr>
        <w:pStyle w:val="Normalnumber"/>
        <w:numPr>
          <w:ilvl w:val="1"/>
          <w:numId w:val="4"/>
        </w:numPr>
        <w:tabs>
          <w:tab w:val="clear" w:pos="1134"/>
        </w:tabs>
        <w:ind w:firstLine="624"/>
      </w:pPr>
      <w:r w:rsidRPr="000A7144">
        <w:lastRenderedPageBreak/>
        <w:t xml:space="preserve">The task force on knowledge and data (deliverables 1 (d) and </w:t>
      </w:r>
      <w:proofErr w:type="gramStart"/>
      <w:r w:rsidRPr="000A7144">
        <w:t>4</w:t>
      </w:r>
      <w:proofErr w:type="gramEnd"/>
      <w:r w:rsidRPr="000A7144">
        <w:t xml:space="preserve"> (b)) continued to provide advice </w:t>
      </w:r>
      <w:r w:rsidR="00AF5C40" w:rsidRPr="000A7144">
        <w:t>for</w:t>
      </w:r>
      <w:r w:rsidRPr="000A7144">
        <w:t xml:space="preserve"> </w:t>
      </w:r>
      <w:proofErr w:type="spellStart"/>
      <w:r w:rsidRPr="000A7144">
        <w:t>ongoing</w:t>
      </w:r>
      <w:proofErr w:type="spellEnd"/>
      <w:r w:rsidRPr="000A7144">
        <w:t xml:space="preserve"> assessments according to its data and management plan for 2016. Highlights of </w:t>
      </w:r>
      <w:r w:rsidR="003E1630" w:rsidRPr="000A7144">
        <w:t xml:space="preserve">the </w:t>
      </w:r>
      <w:r w:rsidRPr="000A7144">
        <w:t>progress</w:t>
      </w:r>
      <w:r w:rsidR="003E1630" w:rsidRPr="000A7144">
        <w:t xml:space="preserve"> achieved</w:t>
      </w:r>
      <w:r w:rsidRPr="000A7144">
        <w:t xml:space="preserve"> in </w:t>
      </w:r>
      <w:r w:rsidR="003E1630" w:rsidRPr="000A7144">
        <w:t xml:space="preserve">the </w:t>
      </w:r>
      <w:r w:rsidRPr="000A7144">
        <w:t>implementation include</w:t>
      </w:r>
      <w:r w:rsidR="003E1630" w:rsidRPr="000A7144">
        <w:t xml:space="preserve"> the provision of </w:t>
      </w:r>
      <w:r w:rsidRPr="000A7144">
        <w:t>guidance on a core set of indicators and support to experts for us</w:t>
      </w:r>
      <w:r w:rsidR="003E1630" w:rsidRPr="000A7144">
        <w:t>e</w:t>
      </w:r>
      <w:r w:rsidRPr="000A7144">
        <w:t xml:space="preserve"> in IPBES assessments; </w:t>
      </w:r>
      <w:r w:rsidR="003E1630" w:rsidRPr="000A7144">
        <w:t xml:space="preserve">the </w:t>
      </w:r>
      <w:r w:rsidRPr="000A7144">
        <w:t xml:space="preserve">establishment of web-based infrastructure providing resources for experts performing assessments; </w:t>
      </w:r>
      <w:r w:rsidR="000947BE" w:rsidRPr="000A7144">
        <w:t xml:space="preserve">and </w:t>
      </w:r>
      <w:r w:rsidR="003E1630" w:rsidRPr="000A7144">
        <w:t xml:space="preserve">the </w:t>
      </w:r>
      <w:r w:rsidRPr="000A7144">
        <w:t xml:space="preserve">preparation of a process to identify knowledge gaps and to catalyse the generation of new knowledge. </w:t>
      </w:r>
      <w:r w:rsidR="003E1630" w:rsidRPr="000A7144">
        <w:t>T</w:t>
      </w:r>
      <w:r w:rsidRPr="000A7144">
        <w:t xml:space="preserve">he </w:t>
      </w:r>
      <w:proofErr w:type="spellStart"/>
      <w:r w:rsidRPr="000A7144">
        <w:t>workplan</w:t>
      </w:r>
      <w:proofErr w:type="spellEnd"/>
      <w:r w:rsidRPr="000A7144">
        <w:t xml:space="preserve"> </w:t>
      </w:r>
      <w:r w:rsidR="003E1630" w:rsidRPr="000A7144">
        <w:t>of</w:t>
      </w:r>
      <w:r w:rsidRPr="000A7144">
        <w:t xml:space="preserve"> the task force on knowledge and data </w:t>
      </w:r>
      <w:r w:rsidR="003E1630" w:rsidRPr="000A7144">
        <w:t xml:space="preserve">up to </w:t>
      </w:r>
      <w:r w:rsidRPr="000A7144">
        <w:t>the end of the first work programme</w:t>
      </w:r>
      <w:r w:rsidR="003E1630" w:rsidRPr="000A7144">
        <w:t xml:space="preserve"> </w:t>
      </w:r>
      <w:proofErr w:type="gramStart"/>
      <w:r w:rsidR="003E1630" w:rsidRPr="000A7144">
        <w:t>is set out</w:t>
      </w:r>
      <w:proofErr w:type="gramEnd"/>
      <w:r w:rsidR="003E1630" w:rsidRPr="000A7144">
        <w:t xml:space="preserve"> in document IPBES/5/5 </w:t>
      </w:r>
      <w:r w:rsidRPr="000A7144">
        <w:t xml:space="preserve">for endorsement by the Plenary. A full progress report is set out in </w:t>
      </w:r>
      <w:r w:rsidR="003E1630" w:rsidRPr="000A7144">
        <w:t xml:space="preserve">document </w:t>
      </w:r>
      <w:r w:rsidRPr="000A7144">
        <w:t>IPBES/5/INF/5.</w:t>
      </w:r>
    </w:p>
    <w:p w14:paraId="30467FEE" w14:textId="77777777" w:rsidR="00BD34F4" w:rsidRPr="000A7144" w:rsidRDefault="00BD34F4" w:rsidP="00A317C7">
      <w:pPr>
        <w:pStyle w:val="CH3"/>
      </w:pPr>
      <w:r w:rsidRPr="000A7144">
        <w:rPr>
          <w:sz w:val="24"/>
          <w:szCs w:val="24"/>
        </w:rPr>
        <w:tab/>
      </w:r>
      <w:r w:rsidRPr="000A7144">
        <w:rPr>
          <w:sz w:val="24"/>
          <w:szCs w:val="24"/>
        </w:rPr>
        <w:tab/>
      </w:r>
      <w:r w:rsidRPr="000A7144">
        <w:t xml:space="preserve">Objective </w:t>
      </w:r>
      <w:proofErr w:type="gramStart"/>
      <w:r w:rsidRPr="000A7144">
        <w:t>2</w:t>
      </w:r>
      <w:proofErr w:type="gramEnd"/>
    </w:p>
    <w:p w14:paraId="1BA69ACA" w14:textId="77777777" w:rsidR="00BD34F4" w:rsidRPr="000A7144" w:rsidRDefault="00BD34F4" w:rsidP="00A317C7">
      <w:pPr>
        <w:pStyle w:val="CH3"/>
      </w:pPr>
      <w:r w:rsidRPr="000A7144">
        <w:tab/>
      </w:r>
      <w:r w:rsidRPr="000A7144">
        <w:tab/>
        <w:t xml:space="preserve">Strengthen the science-policy interface on biodiversity and ecosystem services at and across </w:t>
      </w:r>
      <w:proofErr w:type="spellStart"/>
      <w:r w:rsidRPr="000A7144">
        <w:t>subregional</w:t>
      </w:r>
      <w:proofErr w:type="spellEnd"/>
      <w:r w:rsidRPr="000A7144">
        <w:t>, regional and global levels</w:t>
      </w:r>
    </w:p>
    <w:p w14:paraId="618CFC3D" w14:textId="6CD400E4" w:rsidR="00BD34F4" w:rsidRPr="000A7144" w:rsidRDefault="00BD34F4" w:rsidP="00A317C7">
      <w:pPr>
        <w:pStyle w:val="Normalnumber"/>
        <w:tabs>
          <w:tab w:val="num" w:pos="624"/>
        </w:tabs>
      </w:pPr>
      <w:r w:rsidRPr="000A7144">
        <w:t xml:space="preserve">Progress </w:t>
      </w:r>
      <w:r w:rsidR="00121526" w:rsidRPr="000A7144">
        <w:t xml:space="preserve">achieved </w:t>
      </w:r>
      <w:r w:rsidRPr="000A7144">
        <w:t>under objective 2 includes the following outputs:</w:t>
      </w:r>
    </w:p>
    <w:p w14:paraId="78B5AD96" w14:textId="12AE202B" w:rsidR="00BD34F4" w:rsidRPr="000A7144" w:rsidRDefault="00BD34F4" w:rsidP="004F6989">
      <w:pPr>
        <w:pStyle w:val="Normalnumber"/>
        <w:numPr>
          <w:ilvl w:val="1"/>
          <w:numId w:val="4"/>
        </w:numPr>
        <w:tabs>
          <w:tab w:val="clear" w:pos="1134"/>
        </w:tabs>
        <w:ind w:firstLine="624"/>
      </w:pPr>
      <w:r w:rsidRPr="000A7144">
        <w:t>A revised version of the guide on the production of assessments developed by the Multidisciplinary Expert Panel in consultation with the Bureau, with the support of a time-bound and task-specific expert group (deliverable 2 (a))</w:t>
      </w:r>
      <w:r w:rsidR="003E1630" w:rsidRPr="000A7144">
        <w:t>. The revised guide</w:t>
      </w:r>
      <w:r w:rsidRPr="000A7144">
        <w:t xml:space="preserve"> </w:t>
      </w:r>
      <w:proofErr w:type="gramStart"/>
      <w:r w:rsidRPr="000A7144">
        <w:t>was prepared</w:t>
      </w:r>
      <w:proofErr w:type="gramEnd"/>
      <w:r w:rsidRPr="000A7144">
        <w:t xml:space="preserve"> following consultation </w:t>
      </w:r>
      <w:r w:rsidR="003E1630" w:rsidRPr="000A7144">
        <w:t xml:space="preserve">with </w:t>
      </w:r>
      <w:r w:rsidRPr="000A7144">
        <w:t xml:space="preserve">the assessment expert groups and </w:t>
      </w:r>
      <w:r w:rsidR="003E1630" w:rsidRPr="000A7144">
        <w:t>is</w:t>
      </w:r>
      <w:r w:rsidRPr="000A7144">
        <w:t xml:space="preserve"> available on the IPBES website</w:t>
      </w:r>
      <w:r w:rsidR="003E1630" w:rsidRPr="000A7144">
        <w:t xml:space="preserve"> as </w:t>
      </w:r>
      <w:r w:rsidRPr="000A7144">
        <w:t xml:space="preserve">a series of modules. During </w:t>
      </w:r>
      <w:proofErr w:type="gramStart"/>
      <w:r w:rsidRPr="000A7144">
        <w:t>2016</w:t>
      </w:r>
      <w:proofErr w:type="gramEnd"/>
      <w:r w:rsidRPr="000A7144">
        <w:t xml:space="preserve"> the guide </w:t>
      </w:r>
      <w:r w:rsidR="00543926" w:rsidRPr="000A7144">
        <w:t>was</w:t>
      </w:r>
      <w:r w:rsidRPr="000A7144">
        <w:t xml:space="preserve"> used as a basis for briefing first and second author meetings for the six </w:t>
      </w:r>
      <w:proofErr w:type="spellStart"/>
      <w:r w:rsidRPr="000A7144">
        <w:t>ongoing</w:t>
      </w:r>
      <w:proofErr w:type="spellEnd"/>
      <w:r w:rsidRPr="000A7144">
        <w:t xml:space="preserve"> assessments. The guide is a living document to which new modules will be added (IPBES/5/INF/6);</w:t>
      </w:r>
    </w:p>
    <w:p w14:paraId="6CD1563D" w14:textId="3862B2B5" w:rsidR="00BD34F4" w:rsidRPr="000A7144" w:rsidRDefault="00CB757A" w:rsidP="004F6989">
      <w:pPr>
        <w:pStyle w:val="Normalnumber"/>
        <w:numPr>
          <w:ilvl w:val="1"/>
          <w:numId w:val="4"/>
        </w:numPr>
        <w:tabs>
          <w:tab w:val="clear" w:pos="1134"/>
        </w:tabs>
        <w:ind w:firstLine="624"/>
      </w:pPr>
      <w:r w:rsidRPr="000A7144">
        <w:t>First-</w:t>
      </w:r>
      <w:r w:rsidR="00BD34F4" w:rsidRPr="000A7144">
        <w:t xml:space="preserve">order drafts of the four regional and </w:t>
      </w:r>
      <w:proofErr w:type="spellStart"/>
      <w:r w:rsidR="00BD34F4" w:rsidRPr="000A7144">
        <w:t>subregional</w:t>
      </w:r>
      <w:proofErr w:type="spellEnd"/>
      <w:r w:rsidR="00BD34F4" w:rsidRPr="000A7144">
        <w:t xml:space="preserve"> assessments, prepared by the assessment author groups</w:t>
      </w:r>
      <w:r w:rsidR="003E1630" w:rsidRPr="000A7144">
        <w:t xml:space="preserve"> and </w:t>
      </w:r>
      <w:r w:rsidR="00BD34F4" w:rsidRPr="000A7144">
        <w:t xml:space="preserve">posted online for external peer review </w:t>
      </w:r>
      <w:r w:rsidR="00AF5C40" w:rsidRPr="000A7144">
        <w:t xml:space="preserve">in </w:t>
      </w:r>
      <w:r w:rsidR="00BD34F4" w:rsidRPr="000A7144">
        <w:t xml:space="preserve">mid-2016 (deliverable 2 (b)); </w:t>
      </w:r>
      <w:r w:rsidR="00543926" w:rsidRPr="000A7144">
        <w:t xml:space="preserve">and </w:t>
      </w:r>
      <w:r w:rsidR="003E1630" w:rsidRPr="000A7144">
        <w:t xml:space="preserve">the </w:t>
      </w:r>
      <w:r w:rsidR="00BD34F4" w:rsidRPr="000A7144">
        <w:t>convening of a joint second author meeting for th</w:t>
      </w:r>
      <w:r w:rsidR="003E1630" w:rsidRPr="000A7144">
        <w:t>o</w:t>
      </w:r>
      <w:r w:rsidR="00BD34F4" w:rsidRPr="000A7144">
        <w:t>se four assessments as well as for the land degradation and restoration assessment. In addition to the joint second author meeting, the Europe and Central Asia assessment held two self-funded meetings</w:t>
      </w:r>
      <w:r w:rsidR="003E1630" w:rsidRPr="000A7144">
        <w:t>, including</w:t>
      </w:r>
      <w:r w:rsidR="00BD34F4" w:rsidRPr="000A7144">
        <w:t xml:space="preserve"> a full second author meeting, with all lead authors invited, in </w:t>
      </w:r>
      <w:proofErr w:type="spellStart"/>
      <w:r w:rsidR="00BD34F4" w:rsidRPr="000A7144">
        <w:t>Zadar</w:t>
      </w:r>
      <w:proofErr w:type="spellEnd"/>
      <w:r w:rsidR="00BD34F4" w:rsidRPr="000A7144">
        <w:t xml:space="preserve">, Croatia, in September 2016, and a workshop to draft the summary </w:t>
      </w:r>
      <w:r w:rsidR="00543926" w:rsidRPr="000A7144">
        <w:t xml:space="preserve">of that assessment </w:t>
      </w:r>
      <w:r w:rsidR="00BD34F4" w:rsidRPr="000A7144">
        <w:t>for policymakers, in Bern in January 2017. Two capacity</w:t>
      </w:r>
      <w:r w:rsidR="003E1630" w:rsidRPr="000A7144">
        <w:t>-</w:t>
      </w:r>
      <w:r w:rsidR="00BD34F4" w:rsidRPr="000A7144">
        <w:t xml:space="preserve">building workshops dedicated to drafting chapters of the respective assessments </w:t>
      </w:r>
      <w:r w:rsidR="00E607AD" w:rsidRPr="000A7144">
        <w:t xml:space="preserve">will be </w:t>
      </w:r>
      <w:r w:rsidR="00BD34F4" w:rsidRPr="000A7144">
        <w:t>held in South Africa</w:t>
      </w:r>
      <w:r w:rsidR="00543926" w:rsidRPr="000A7144">
        <w:t>,</w:t>
      </w:r>
      <w:r w:rsidR="00BD34F4" w:rsidRPr="000A7144">
        <w:t xml:space="preserve"> for the African assessment, and in Turkey, for the Eastern European, Central European and Central Asian regions of the Europe and Central Asia assessment, both in </w:t>
      </w:r>
      <w:r w:rsidR="00543926" w:rsidRPr="000A7144">
        <w:t>early</w:t>
      </w:r>
      <w:r w:rsidR="00BD34F4" w:rsidRPr="000A7144">
        <w:t xml:space="preserve"> 2017, thanks to funding</w:t>
      </w:r>
      <w:r w:rsidR="00AF5C40" w:rsidRPr="000A7144">
        <w:t xml:space="preserve"> dedicated to capacity-building</w:t>
      </w:r>
      <w:r w:rsidR="00BD34F4" w:rsidRPr="000A7144">
        <w:t xml:space="preserve"> from the </w:t>
      </w:r>
      <w:r w:rsidR="00121526" w:rsidRPr="000A7144">
        <w:t xml:space="preserve">IPBES </w:t>
      </w:r>
      <w:r w:rsidR="00BD34F4" w:rsidRPr="000A7144">
        <w:t xml:space="preserve">trust fund. A progress report on regional assessments is set out in </w:t>
      </w:r>
      <w:r w:rsidR="00121526" w:rsidRPr="000A7144">
        <w:t xml:space="preserve">document </w:t>
      </w:r>
      <w:r w:rsidR="00BD34F4" w:rsidRPr="000A7144">
        <w:t>IPBES/5/INF/7</w:t>
      </w:r>
      <w:r w:rsidR="00121526" w:rsidRPr="000A7144">
        <w:t>;</w:t>
      </w:r>
    </w:p>
    <w:p w14:paraId="35E66104" w14:textId="6E3FB80C" w:rsidR="00BD34F4" w:rsidRPr="000A7144" w:rsidRDefault="00121526" w:rsidP="004F6989">
      <w:pPr>
        <w:pStyle w:val="Normalnumber"/>
        <w:numPr>
          <w:ilvl w:val="1"/>
          <w:numId w:val="4"/>
        </w:numPr>
        <w:tabs>
          <w:tab w:val="clear" w:pos="1134"/>
        </w:tabs>
        <w:ind w:firstLine="624"/>
      </w:pPr>
      <w:proofErr w:type="gramStart"/>
      <w:r w:rsidRPr="000A7144">
        <w:t xml:space="preserve">The selection </w:t>
      </w:r>
      <w:r w:rsidR="00BD34F4" w:rsidRPr="000A7144">
        <w:t>of a group of experts for the global assessment o</w:t>
      </w:r>
      <w:r w:rsidR="00683B8F" w:rsidRPr="000A7144">
        <w:t>f</w:t>
      </w:r>
      <w:r w:rsidR="00BD34F4" w:rsidRPr="000A7144">
        <w:t xml:space="preserve"> biodiversity and ecosystem services</w:t>
      </w:r>
      <w:r w:rsidR="00AF5C40" w:rsidRPr="000A7144">
        <w:t xml:space="preserve">, which is </w:t>
      </w:r>
      <w:r w:rsidR="00BD34F4" w:rsidRPr="000A7144">
        <w:t xml:space="preserve">to be </w:t>
      </w:r>
      <w:r w:rsidR="00AF5C40" w:rsidRPr="000A7144">
        <w:t xml:space="preserve">finalized </w:t>
      </w:r>
      <w:r w:rsidR="00BD34F4" w:rsidRPr="000A7144">
        <w:t>by May 2019 (deliverable 2 (c))</w:t>
      </w:r>
      <w:r w:rsidRPr="000A7144">
        <w:t>; the</w:t>
      </w:r>
      <w:r w:rsidR="00BD34F4" w:rsidRPr="000A7144">
        <w:t xml:space="preserve"> convening of its first author meeting, and </w:t>
      </w:r>
      <w:r w:rsidRPr="000A7144">
        <w:t xml:space="preserve">the </w:t>
      </w:r>
      <w:r w:rsidR="00BD34F4" w:rsidRPr="000A7144">
        <w:t xml:space="preserve">establishment of its technical support unit at the IPBES secretariat in Bonn, with support received from </w:t>
      </w:r>
      <w:r w:rsidRPr="000A7144">
        <w:t xml:space="preserve">Germany, </w:t>
      </w:r>
      <w:r w:rsidR="00BD34F4" w:rsidRPr="000A7144">
        <w:t>the Netherlands and the United States of America.</w:t>
      </w:r>
      <w:proofErr w:type="gramEnd"/>
      <w:r w:rsidR="00BD34F4" w:rsidRPr="000A7144">
        <w:t xml:space="preserve"> A progress report</w:t>
      </w:r>
      <w:r w:rsidRPr="000A7144">
        <w:t xml:space="preserve"> on the matter</w:t>
      </w:r>
      <w:r w:rsidR="00BD34F4" w:rsidRPr="000A7144">
        <w:t xml:space="preserve"> is set out in </w:t>
      </w:r>
      <w:r w:rsidRPr="000A7144">
        <w:t xml:space="preserve">document </w:t>
      </w:r>
      <w:r w:rsidR="00BD34F4" w:rsidRPr="000A7144">
        <w:t>IPBES/5/INF/8</w:t>
      </w:r>
      <w:r w:rsidR="001E3EA7" w:rsidRPr="000A7144">
        <w:t>.</w:t>
      </w:r>
    </w:p>
    <w:p w14:paraId="62249DDC" w14:textId="77777777" w:rsidR="00BD34F4" w:rsidRPr="000A7144" w:rsidRDefault="00BD34F4" w:rsidP="00BD34F4">
      <w:pPr>
        <w:keepNext/>
        <w:keepLines/>
        <w:tabs>
          <w:tab w:val="right" w:pos="851"/>
          <w:tab w:val="left" w:pos="4082"/>
        </w:tabs>
        <w:suppressAutoHyphens/>
        <w:spacing w:before="80" w:after="60"/>
        <w:ind w:left="1247" w:right="284" w:hanging="1247"/>
        <w:rPr>
          <w:b/>
          <w:lang w:val="en-GB" w:eastAsia="x-none"/>
        </w:rPr>
      </w:pPr>
      <w:r w:rsidRPr="000A7144">
        <w:rPr>
          <w:b/>
          <w:sz w:val="24"/>
          <w:szCs w:val="24"/>
          <w:lang w:val="en-GB" w:eastAsia="x-none"/>
        </w:rPr>
        <w:tab/>
      </w:r>
      <w:r w:rsidRPr="000A7144">
        <w:rPr>
          <w:b/>
          <w:sz w:val="24"/>
          <w:szCs w:val="24"/>
          <w:lang w:val="en-GB" w:eastAsia="x-none"/>
        </w:rPr>
        <w:tab/>
      </w:r>
      <w:r w:rsidRPr="000A7144">
        <w:rPr>
          <w:b/>
          <w:lang w:val="en-GB" w:eastAsia="x-none"/>
        </w:rPr>
        <w:t xml:space="preserve">Objective </w:t>
      </w:r>
      <w:proofErr w:type="gramStart"/>
      <w:r w:rsidRPr="000A7144">
        <w:rPr>
          <w:b/>
          <w:lang w:val="en-GB" w:eastAsia="x-none"/>
        </w:rPr>
        <w:t>3</w:t>
      </w:r>
      <w:proofErr w:type="gramEnd"/>
    </w:p>
    <w:p w14:paraId="31C8DEBC" w14:textId="77777777" w:rsidR="00BD34F4" w:rsidRPr="000A7144" w:rsidRDefault="00BD34F4" w:rsidP="00BD34F4">
      <w:pPr>
        <w:keepNext/>
        <w:keepLines/>
        <w:tabs>
          <w:tab w:val="right" w:pos="851"/>
          <w:tab w:val="left" w:pos="4082"/>
        </w:tabs>
        <w:suppressAutoHyphens/>
        <w:spacing w:before="80" w:after="120"/>
        <w:ind w:left="1247" w:right="284" w:hanging="1247"/>
        <w:rPr>
          <w:b/>
          <w:lang w:val="en-GB" w:eastAsia="x-none"/>
        </w:rPr>
      </w:pPr>
      <w:r w:rsidRPr="000A7144">
        <w:rPr>
          <w:b/>
          <w:lang w:val="en-GB" w:eastAsia="x-none"/>
        </w:rPr>
        <w:tab/>
      </w:r>
      <w:r w:rsidRPr="000A7144">
        <w:rPr>
          <w:b/>
          <w:lang w:val="en-GB" w:eastAsia="x-none"/>
        </w:rPr>
        <w:tab/>
        <w:t>Strengthen the science-policy interface on biodiversity and ecosystem services with regard to thematic and methodological issues</w:t>
      </w:r>
    </w:p>
    <w:p w14:paraId="021595A9" w14:textId="30866CFF" w:rsidR="00BD34F4" w:rsidRPr="000A7144" w:rsidRDefault="00BD34F4" w:rsidP="00F366B9">
      <w:pPr>
        <w:pStyle w:val="Normalnumber"/>
        <w:tabs>
          <w:tab w:val="num" w:pos="624"/>
        </w:tabs>
      </w:pPr>
      <w:r w:rsidRPr="000A7144">
        <w:t xml:space="preserve">Progress </w:t>
      </w:r>
      <w:r w:rsidR="00121526" w:rsidRPr="000A7144">
        <w:t xml:space="preserve">achieved </w:t>
      </w:r>
      <w:r w:rsidRPr="000A7144">
        <w:t>under objective 3</w:t>
      </w:r>
      <w:r w:rsidR="001E3EA7" w:rsidRPr="000A7144">
        <w:t xml:space="preserve"> </w:t>
      </w:r>
      <w:r w:rsidR="00F366B9" w:rsidRPr="000A7144">
        <w:rPr>
          <w:bCs/>
        </w:rPr>
        <w:t>i</w:t>
      </w:r>
      <w:r w:rsidRPr="000A7144">
        <w:t>ncludes the following outputs:</w:t>
      </w:r>
    </w:p>
    <w:p w14:paraId="111B3330" w14:textId="74B88D99" w:rsidR="00BD34F4" w:rsidRPr="000A7144" w:rsidRDefault="00121526" w:rsidP="004F6989">
      <w:pPr>
        <w:pStyle w:val="Normalnumber"/>
        <w:numPr>
          <w:ilvl w:val="1"/>
          <w:numId w:val="4"/>
        </w:numPr>
        <w:tabs>
          <w:tab w:val="clear" w:pos="1134"/>
        </w:tabs>
        <w:ind w:firstLine="624"/>
      </w:pPr>
      <w:r w:rsidRPr="000A7144">
        <w:t>R</w:t>
      </w:r>
      <w:r w:rsidR="00BD34F4" w:rsidRPr="000A7144">
        <w:t>evised version</w:t>
      </w:r>
      <w:r w:rsidRPr="000A7144">
        <w:t>s</w:t>
      </w:r>
      <w:r w:rsidR="00BD34F4" w:rsidRPr="000A7144">
        <w:t xml:space="preserve"> of the chapters of the thematic assessment report on pollinators, pollination and food production (deliverable 3 (a)) reflect</w:t>
      </w:r>
      <w:r w:rsidRPr="000A7144">
        <w:t>ing</w:t>
      </w:r>
      <w:r w:rsidR="00BD34F4" w:rsidRPr="000A7144">
        <w:t xml:space="preserve"> changes made </w:t>
      </w:r>
      <w:r w:rsidRPr="000A7144">
        <w:t>to</w:t>
      </w:r>
      <w:r w:rsidR="00BD34F4" w:rsidRPr="000A7144">
        <w:t xml:space="preserve"> the summary for policymakers by the Plenary at its fourth session (IPBES/4/INF/1/Rev.1)</w:t>
      </w:r>
      <w:r w:rsidR="00BD34F4" w:rsidRPr="000A7144">
        <w:rPr>
          <w:b/>
        </w:rPr>
        <w:t>;</w:t>
      </w:r>
      <w:r w:rsidR="00BD34F4" w:rsidRPr="000A7144">
        <w:t xml:space="preserve"> </w:t>
      </w:r>
      <w:r w:rsidRPr="000A7144">
        <w:t xml:space="preserve">completion of the </w:t>
      </w:r>
      <w:r w:rsidR="00BD34F4" w:rsidRPr="000A7144">
        <w:t>layout and printing of the entire assessment report and the summary for policymakers; and further work on the dissemination of th</w:t>
      </w:r>
      <w:r w:rsidRPr="000A7144">
        <w:t>at</w:t>
      </w:r>
      <w:r w:rsidR="00BD34F4" w:rsidRPr="000A7144">
        <w:t xml:space="preserve"> assessment as set out in </w:t>
      </w:r>
      <w:r w:rsidRPr="000A7144">
        <w:t xml:space="preserve">document </w:t>
      </w:r>
      <w:r w:rsidR="00BD34F4" w:rsidRPr="000A7144">
        <w:t>IPBES/5/INF/1;</w:t>
      </w:r>
    </w:p>
    <w:p w14:paraId="5B877428" w14:textId="50DFA916" w:rsidR="00BD34F4" w:rsidRPr="000A7144" w:rsidRDefault="00395DFB" w:rsidP="004F6989">
      <w:pPr>
        <w:pStyle w:val="Normalnumber"/>
        <w:numPr>
          <w:ilvl w:val="1"/>
          <w:numId w:val="4"/>
        </w:numPr>
        <w:tabs>
          <w:tab w:val="clear" w:pos="1134"/>
        </w:tabs>
        <w:ind w:firstLine="624"/>
      </w:pPr>
      <w:r w:rsidRPr="000A7144">
        <w:t>A first-</w:t>
      </w:r>
      <w:r w:rsidR="00BD34F4" w:rsidRPr="000A7144">
        <w:t>order</w:t>
      </w:r>
      <w:r w:rsidR="006F7C5E" w:rsidRPr="000A7144">
        <w:t xml:space="preserve"> </w:t>
      </w:r>
      <w:r w:rsidR="00BD34F4" w:rsidRPr="000A7144">
        <w:t xml:space="preserve">draft of the </w:t>
      </w:r>
      <w:r w:rsidR="00121526" w:rsidRPr="000A7144">
        <w:t xml:space="preserve">assessment of </w:t>
      </w:r>
      <w:r w:rsidR="00BD34F4" w:rsidRPr="000A7144">
        <w:t>land degradation and restoration (deliverable 3 (b) (</w:t>
      </w:r>
      <w:proofErr w:type="spellStart"/>
      <w:r w:rsidR="00BD34F4" w:rsidRPr="000A7144">
        <w:t>i</w:t>
      </w:r>
      <w:proofErr w:type="spellEnd"/>
      <w:r w:rsidR="00BD34F4" w:rsidRPr="000A7144">
        <w:t xml:space="preserve">)), prepared by </w:t>
      </w:r>
      <w:r w:rsidR="00121526" w:rsidRPr="000A7144">
        <w:t xml:space="preserve">the </w:t>
      </w:r>
      <w:r w:rsidR="00BD34F4" w:rsidRPr="000A7144">
        <w:t>assessment author group</w:t>
      </w:r>
      <w:r w:rsidR="00121526" w:rsidRPr="000A7144">
        <w:t xml:space="preserve"> and</w:t>
      </w:r>
      <w:r w:rsidR="00BD34F4" w:rsidRPr="000A7144">
        <w:t xml:space="preserve"> posted online for external peer review</w:t>
      </w:r>
      <w:r w:rsidR="00121526" w:rsidRPr="000A7144">
        <w:t xml:space="preserve"> in</w:t>
      </w:r>
      <w:r w:rsidR="00BD34F4" w:rsidRPr="000A7144">
        <w:t xml:space="preserve"> </w:t>
      </w:r>
      <w:r w:rsidR="009D1109" w:rsidRPr="000A7144">
        <w:br/>
      </w:r>
      <w:r w:rsidR="00BD34F4" w:rsidRPr="000A7144">
        <w:t>mid-2016</w:t>
      </w:r>
      <w:r w:rsidR="00121526" w:rsidRPr="000A7144">
        <w:t>,</w:t>
      </w:r>
      <w:r w:rsidR="00BD34F4" w:rsidRPr="000A7144">
        <w:t xml:space="preserve"> and </w:t>
      </w:r>
      <w:r w:rsidR="00121526" w:rsidRPr="000A7144">
        <w:t xml:space="preserve">the </w:t>
      </w:r>
      <w:r w:rsidR="00BD34F4" w:rsidRPr="000A7144">
        <w:t>convening of a joint second author meeting for th</w:t>
      </w:r>
      <w:r w:rsidR="00121526" w:rsidRPr="000A7144">
        <w:t>at</w:t>
      </w:r>
      <w:r w:rsidR="00BD34F4" w:rsidRPr="000A7144">
        <w:t xml:space="preserve"> assessment, together with</w:t>
      </w:r>
      <w:r w:rsidR="00121526" w:rsidRPr="000A7144">
        <w:t xml:space="preserve"> </w:t>
      </w:r>
      <w:r w:rsidR="00BD34F4" w:rsidRPr="000A7144">
        <w:t xml:space="preserve">the four regional assessments. A progress report </w:t>
      </w:r>
      <w:r w:rsidR="00121526" w:rsidRPr="000A7144">
        <w:t xml:space="preserve">on the matter </w:t>
      </w:r>
      <w:r w:rsidR="00BD34F4" w:rsidRPr="000A7144">
        <w:t xml:space="preserve">is set out in </w:t>
      </w:r>
      <w:r w:rsidR="00121526" w:rsidRPr="000A7144">
        <w:t xml:space="preserve">document </w:t>
      </w:r>
      <w:r w:rsidR="00BD34F4" w:rsidRPr="000A7144">
        <w:t>IPBES/5/INF/9;</w:t>
      </w:r>
    </w:p>
    <w:p w14:paraId="76800A74" w14:textId="3C719C96" w:rsidR="00BD34F4" w:rsidRPr="000A7144" w:rsidRDefault="00BD34F4" w:rsidP="004F6989">
      <w:pPr>
        <w:pStyle w:val="Normalnumber"/>
        <w:numPr>
          <w:ilvl w:val="1"/>
          <w:numId w:val="4"/>
        </w:numPr>
        <w:tabs>
          <w:tab w:val="clear" w:pos="1134"/>
        </w:tabs>
        <w:ind w:firstLine="624"/>
      </w:pPr>
      <w:r w:rsidRPr="000A7144">
        <w:t>A revised scoping report for a thematic assessment o</w:t>
      </w:r>
      <w:r w:rsidR="00683B8F" w:rsidRPr="000A7144">
        <w:t>f</w:t>
      </w:r>
      <w:r w:rsidRPr="000A7144">
        <w:t xml:space="preserve"> the sustainable use of biodiversity (deliverable 3 (b) (iii)), prepared by a</w:t>
      </w:r>
      <w:r w:rsidR="009C7016" w:rsidRPr="000A7144">
        <w:t>n</w:t>
      </w:r>
      <w:r w:rsidRPr="000A7144">
        <w:t xml:space="preserve"> </w:t>
      </w:r>
      <w:r w:rsidR="00121526" w:rsidRPr="000A7144">
        <w:t xml:space="preserve">expert </w:t>
      </w:r>
      <w:r w:rsidRPr="000A7144">
        <w:t xml:space="preserve">scoping group and involving a face-to-face scoping workshop and an open review by Governments and stakeholders, submitted to the Plenary for its approval </w:t>
      </w:r>
      <w:r w:rsidR="009C7016" w:rsidRPr="000A7144">
        <w:t xml:space="preserve">in document </w:t>
      </w:r>
      <w:r w:rsidRPr="000A7144">
        <w:t xml:space="preserve">IPBES/5/7. Information on the scoping process is set out in </w:t>
      </w:r>
      <w:r w:rsidR="009C7016" w:rsidRPr="000A7144">
        <w:t xml:space="preserve">document </w:t>
      </w:r>
      <w:r w:rsidRPr="000A7144">
        <w:t>IPBES/5/INF/11;</w:t>
      </w:r>
    </w:p>
    <w:p w14:paraId="291E01DF" w14:textId="612762B8" w:rsidR="00BD34F4" w:rsidRPr="000A7144" w:rsidRDefault="00BD34F4" w:rsidP="004F6989">
      <w:pPr>
        <w:pStyle w:val="Normalnumber"/>
        <w:numPr>
          <w:ilvl w:val="1"/>
          <w:numId w:val="4"/>
        </w:numPr>
        <w:tabs>
          <w:tab w:val="clear" w:pos="1134"/>
        </w:tabs>
        <w:ind w:firstLine="624"/>
      </w:pPr>
      <w:proofErr w:type="gramStart"/>
      <w:r w:rsidRPr="000A7144">
        <w:t>A revised version of the chapters of the methodological assessment report on scenarios and models of biodiversity and ecosystem services (deliverable 3 (c))</w:t>
      </w:r>
      <w:r w:rsidR="009C7016" w:rsidRPr="000A7144">
        <w:t>,</w:t>
      </w:r>
      <w:r w:rsidRPr="000A7144">
        <w:t xml:space="preserve"> reflect</w:t>
      </w:r>
      <w:r w:rsidR="009C7016" w:rsidRPr="000A7144">
        <w:t>ing</w:t>
      </w:r>
      <w:r w:rsidRPr="000A7144">
        <w:t xml:space="preserve"> changes made </w:t>
      </w:r>
      <w:r w:rsidR="009C7016" w:rsidRPr="000A7144">
        <w:t>to</w:t>
      </w:r>
      <w:r w:rsidRPr="000A7144">
        <w:t xml:space="preserve"> the summary for policymakers by the Plenary at its fourth session (IPBES/4/INF/3/Rev.1); </w:t>
      </w:r>
      <w:r w:rsidR="00640770" w:rsidRPr="000A7144">
        <w:t xml:space="preserve">the </w:t>
      </w:r>
      <w:r w:rsidR="00B82EFF" w:rsidRPr="000A7144">
        <w:t xml:space="preserve">completion of the </w:t>
      </w:r>
      <w:r w:rsidRPr="000A7144">
        <w:t xml:space="preserve">layout and printing of the entire assessment report and of the summary for policymakers; further work on the dissemination of the assessment; </w:t>
      </w:r>
      <w:r w:rsidR="00640770" w:rsidRPr="000A7144">
        <w:t xml:space="preserve">the </w:t>
      </w:r>
      <w:r w:rsidRPr="000A7144">
        <w:t xml:space="preserve">selection by the Multidisciplinary Expert Panel of an expert group to </w:t>
      </w:r>
      <w:r w:rsidR="00B82EFF" w:rsidRPr="000A7144">
        <w:t xml:space="preserve">provide </w:t>
      </w:r>
      <w:r w:rsidRPr="000A7144">
        <w:t xml:space="preserve">support </w:t>
      </w:r>
      <w:r w:rsidR="00B82EFF" w:rsidRPr="000A7144">
        <w:t xml:space="preserve">for </w:t>
      </w:r>
      <w:r w:rsidRPr="000A7144">
        <w:t xml:space="preserve">work on scenarios and models in </w:t>
      </w:r>
      <w:proofErr w:type="spellStart"/>
      <w:r w:rsidRPr="000A7144">
        <w:t>ongoing</w:t>
      </w:r>
      <w:proofErr w:type="spellEnd"/>
      <w:r w:rsidRPr="000A7144">
        <w:t xml:space="preserve"> assessments and to cataly</w:t>
      </w:r>
      <w:r w:rsidR="00B82EFF" w:rsidRPr="000A7144">
        <w:t>s</w:t>
      </w:r>
      <w:r w:rsidRPr="000A7144">
        <w:t xml:space="preserve">e the further development of models and scenarios, as </w:t>
      </w:r>
      <w:r w:rsidR="00640770" w:rsidRPr="000A7144">
        <w:t>described</w:t>
      </w:r>
      <w:r w:rsidRPr="000A7144">
        <w:t xml:space="preserve"> in annex V to decision </w:t>
      </w:r>
      <w:r w:rsidR="008254FF" w:rsidRPr="000A7144">
        <w:br/>
      </w:r>
      <w:r w:rsidRPr="000A7144">
        <w:t xml:space="preserve">IPBES-4/1; and </w:t>
      </w:r>
      <w:r w:rsidR="00640770" w:rsidRPr="000A7144">
        <w:t xml:space="preserve">the continued functioning </w:t>
      </w:r>
      <w:r w:rsidRPr="000A7144">
        <w:t>of the technical support unit at PBL Netherlands Environmental Assessment Agency thanks to in-kind support from the Netherlands.</w:t>
      </w:r>
      <w:proofErr w:type="gramEnd"/>
      <w:r w:rsidRPr="000A7144">
        <w:t xml:space="preserve"> A progress report is set out in </w:t>
      </w:r>
      <w:r w:rsidR="00B82EFF" w:rsidRPr="000A7144">
        <w:t xml:space="preserve">document </w:t>
      </w:r>
      <w:r w:rsidRPr="000A7144">
        <w:t xml:space="preserve">IPBES/5/INF/2; </w:t>
      </w:r>
    </w:p>
    <w:p w14:paraId="7F3A9A0E" w14:textId="7EBC4454" w:rsidR="00BD34F4" w:rsidRPr="000A7144" w:rsidRDefault="00BD34F4" w:rsidP="004F6989">
      <w:pPr>
        <w:pStyle w:val="Normalnumber"/>
        <w:numPr>
          <w:ilvl w:val="1"/>
          <w:numId w:val="4"/>
        </w:numPr>
        <w:tabs>
          <w:tab w:val="clear" w:pos="1134"/>
        </w:tabs>
        <w:ind w:firstLine="624"/>
      </w:pPr>
      <w:proofErr w:type="gramStart"/>
      <w:r w:rsidRPr="000A7144">
        <w:t xml:space="preserve">Selection by the Multidisciplinary Expert Panel of a time-bound expert group on values (deliverable 3 (d)); </w:t>
      </w:r>
      <w:r w:rsidR="00B82EFF" w:rsidRPr="000A7144">
        <w:t xml:space="preserve">the provision of </w:t>
      </w:r>
      <w:r w:rsidRPr="000A7144">
        <w:t xml:space="preserve">support to the consideration of values in </w:t>
      </w:r>
      <w:proofErr w:type="spellStart"/>
      <w:r w:rsidRPr="000A7144">
        <w:t>ongoing</w:t>
      </w:r>
      <w:proofErr w:type="spellEnd"/>
      <w:r w:rsidRPr="000A7144">
        <w:t xml:space="preserve"> assessments and other deliverables of IPBES, in particular those related to indigenous and local knowledge and scenarios and models; initiation of the development of the preliminary guide on values </w:t>
      </w:r>
      <w:r w:rsidR="00B82EFF" w:rsidRPr="000A7144">
        <w:t xml:space="preserve">as </w:t>
      </w:r>
      <w:r w:rsidRPr="000A7144">
        <w:t xml:space="preserve">an online resource; </w:t>
      </w:r>
      <w:r w:rsidR="000108FB" w:rsidRPr="000A7144">
        <w:t xml:space="preserve">and </w:t>
      </w:r>
      <w:r w:rsidR="00B82EFF" w:rsidRPr="000A7144">
        <w:t xml:space="preserve">the </w:t>
      </w:r>
      <w:r w:rsidRPr="000A7144">
        <w:t>establishment of a technical support unit at the Ecosystems and Sustainability Research Institute of the National Autonomous University of Mexico, thanks to in-kind support from the National Commission for Knowledge and Use of Biodiversity and the German Corporation for International Cooperation.</w:t>
      </w:r>
      <w:proofErr w:type="gramEnd"/>
      <w:r w:rsidRPr="000A7144">
        <w:t xml:space="preserve"> The initiation of a methodological assessment o</w:t>
      </w:r>
      <w:r w:rsidR="00683B8F" w:rsidRPr="000A7144">
        <w:t>f</w:t>
      </w:r>
      <w:r w:rsidRPr="000A7144">
        <w:t xml:space="preserve"> values, based on the scoping report on values approved by the </w:t>
      </w:r>
      <w:r w:rsidR="00B82EFF" w:rsidRPr="000A7144">
        <w:t xml:space="preserve">Plenary at its </w:t>
      </w:r>
      <w:r w:rsidRPr="000A7144">
        <w:t>fourth session</w:t>
      </w:r>
      <w:r w:rsidR="00EE7BCC" w:rsidRPr="000A7144">
        <w:t>,</w:t>
      </w:r>
      <w:r w:rsidRPr="000A7144">
        <w:t xml:space="preserve"> </w:t>
      </w:r>
      <w:proofErr w:type="gramStart"/>
      <w:r w:rsidRPr="000A7144">
        <w:t>will be considered</w:t>
      </w:r>
      <w:proofErr w:type="gramEnd"/>
      <w:r w:rsidRPr="000A7144">
        <w:t xml:space="preserve"> by the Plenary</w:t>
      </w:r>
      <w:r w:rsidR="00EE7BCC" w:rsidRPr="000A7144">
        <w:t xml:space="preserve"> at its fifth session</w:t>
      </w:r>
      <w:r w:rsidRPr="000A7144">
        <w:t xml:space="preserve"> (IPBES/5/6 and IPBES/5/INF/12). A progress report</w:t>
      </w:r>
      <w:r w:rsidR="00640770" w:rsidRPr="000A7144">
        <w:t xml:space="preserve"> on the matter</w:t>
      </w:r>
      <w:r w:rsidRPr="000A7144">
        <w:t xml:space="preserve"> is set out in </w:t>
      </w:r>
      <w:r w:rsidR="00EE7BCC" w:rsidRPr="000A7144">
        <w:t xml:space="preserve">document </w:t>
      </w:r>
      <w:r w:rsidRPr="000A7144">
        <w:t>IPBES/5/INF/13.</w:t>
      </w:r>
    </w:p>
    <w:p w14:paraId="06350752" w14:textId="77777777" w:rsidR="00BD34F4" w:rsidRPr="000A7144" w:rsidRDefault="00BD34F4" w:rsidP="00BD34F4">
      <w:pPr>
        <w:keepNext/>
        <w:keepLines/>
        <w:tabs>
          <w:tab w:val="right" w:pos="851"/>
          <w:tab w:val="left" w:pos="4082"/>
        </w:tabs>
        <w:suppressAutoHyphens/>
        <w:spacing w:before="80" w:after="60"/>
        <w:ind w:left="1247" w:right="284" w:hanging="1247"/>
        <w:rPr>
          <w:b/>
          <w:bCs/>
          <w:lang w:val="en-GB" w:eastAsia="x-none"/>
        </w:rPr>
      </w:pPr>
      <w:r w:rsidRPr="000A7144">
        <w:rPr>
          <w:b/>
          <w:bCs/>
          <w:sz w:val="24"/>
          <w:szCs w:val="24"/>
          <w:lang w:val="en-GB" w:eastAsia="x-none"/>
        </w:rPr>
        <w:tab/>
      </w:r>
      <w:r w:rsidRPr="000A7144">
        <w:rPr>
          <w:b/>
          <w:bCs/>
          <w:sz w:val="24"/>
          <w:szCs w:val="24"/>
          <w:lang w:val="en-GB" w:eastAsia="x-none"/>
        </w:rPr>
        <w:tab/>
      </w:r>
      <w:r w:rsidRPr="000A7144">
        <w:rPr>
          <w:b/>
          <w:bCs/>
          <w:lang w:val="en-GB" w:eastAsia="x-none"/>
        </w:rPr>
        <w:t xml:space="preserve">Objective </w:t>
      </w:r>
      <w:proofErr w:type="gramStart"/>
      <w:r w:rsidRPr="000A7144">
        <w:rPr>
          <w:b/>
          <w:bCs/>
          <w:lang w:val="en-GB" w:eastAsia="x-none"/>
        </w:rPr>
        <w:t>4</w:t>
      </w:r>
      <w:proofErr w:type="gramEnd"/>
    </w:p>
    <w:p w14:paraId="3B668E8F" w14:textId="77777777" w:rsidR="00BD34F4" w:rsidRPr="000A7144" w:rsidRDefault="00BD34F4" w:rsidP="00BD34F4">
      <w:pPr>
        <w:keepNext/>
        <w:keepLines/>
        <w:tabs>
          <w:tab w:val="right" w:pos="851"/>
          <w:tab w:val="left" w:pos="4082"/>
        </w:tabs>
        <w:suppressAutoHyphens/>
        <w:spacing w:before="80" w:after="120"/>
        <w:ind w:left="1247" w:right="284" w:hanging="1247"/>
        <w:rPr>
          <w:b/>
          <w:bCs/>
          <w:lang w:val="en-GB" w:eastAsia="x-none"/>
        </w:rPr>
      </w:pPr>
      <w:r w:rsidRPr="000A7144">
        <w:rPr>
          <w:b/>
          <w:bCs/>
          <w:lang w:val="en-GB" w:eastAsia="x-none"/>
        </w:rPr>
        <w:tab/>
      </w:r>
      <w:r w:rsidRPr="000A7144">
        <w:rPr>
          <w:b/>
          <w:bCs/>
          <w:lang w:val="en-GB" w:eastAsia="x-none"/>
        </w:rPr>
        <w:tab/>
        <w:t>Communicate and evaluate Platform activities, deliverables and findings</w:t>
      </w:r>
    </w:p>
    <w:p w14:paraId="6877DF82" w14:textId="1BEA41A6" w:rsidR="00BD34F4" w:rsidRPr="000A7144" w:rsidRDefault="00BD34F4" w:rsidP="00A317C7">
      <w:pPr>
        <w:pStyle w:val="Normalnumber"/>
        <w:tabs>
          <w:tab w:val="num" w:pos="624"/>
        </w:tabs>
      </w:pPr>
      <w:r w:rsidRPr="000A7144">
        <w:t xml:space="preserve">Progress </w:t>
      </w:r>
      <w:r w:rsidR="00A231BB" w:rsidRPr="000A7144">
        <w:t xml:space="preserve">achieved </w:t>
      </w:r>
      <w:r w:rsidRPr="000A7144">
        <w:t>under objective 4</w:t>
      </w:r>
      <w:r w:rsidRPr="000A7144">
        <w:rPr>
          <w:b/>
        </w:rPr>
        <w:t xml:space="preserve"> </w:t>
      </w:r>
      <w:r w:rsidRPr="000A7144">
        <w:t>includes the following outputs:</w:t>
      </w:r>
    </w:p>
    <w:p w14:paraId="59C67D14" w14:textId="4FED411A" w:rsidR="00BD34F4" w:rsidRPr="000A7144" w:rsidRDefault="00BD34F4" w:rsidP="004F6989">
      <w:pPr>
        <w:pStyle w:val="Normalnumber"/>
        <w:numPr>
          <w:ilvl w:val="1"/>
          <w:numId w:val="4"/>
        </w:numPr>
        <w:tabs>
          <w:tab w:val="clear" w:pos="1134"/>
        </w:tabs>
        <w:ind w:firstLine="624"/>
      </w:pPr>
      <w:r w:rsidRPr="000A7144">
        <w:rPr>
          <w:iCs/>
        </w:rPr>
        <w:t xml:space="preserve">Updating and revision of the </w:t>
      </w:r>
      <w:r w:rsidRPr="000A7144">
        <w:t>catalogue of assessments and integration into the new web-</w:t>
      </w:r>
      <w:r w:rsidR="00A231BB" w:rsidRPr="000A7144">
        <w:t xml:space="preserve">based </w:t>
      </w:r>
      <w:r w:rsidRPr="000A7144">
        <w:t xml:space="preserve">architecture of the catalogue of policy support tools and methodologies (deliverable 4 (a)), as set out in </w:t>
      </w:r>
      <w:r w:rsidR="00A231BB" w:rsidRPr="000A7144">
        <w:t xml:space="preserve">document </w:t>
      </w:r>
      <w:r w:rsidRPr="000A7144">
        <w:t xml:space="preserve">IPBES/5/INF/14; </w:t>
      </w:r>
    </w:p>
    <w:p w14:paraId="2EB955F6" w14:textId="79AC5E62" w:rsidR="00BD34F4" w:rsidRPr="000A7144" w:rsidRDefault="00BD34F4" w:rsidP="004F6989">
      <w:pPr>
        <w:pStyle w:val="Normalnumber"/>
        <w:numPr>
          <w:ilvl w:val="1"/>
          <w:numId w:val="4"/>
        </w:numPr>
        <w:tabs>
          <w:tab w:val="clear" w:pos="1134"/>
        </w:tabs>
        <w:ind w:firstLine="624"/>
      </w:pPr>
      <w:proofErr w:type="gramStart"/>
      <w:r w:rsidRPr="000A7144">
        <w:t>Further development by the expert group</w:t>
      </w:r>
      <w:r w:rsidR="00E607AD" w:rsidRPr="000A7144">
        <w:t xml:space="preserve"> on policy support tools and methodologies</w:t>
      </w:r>
      <w:r w:rsidR="00A231BB" w:rsidRPr="000A7144">
        <w:rPr>
          <w:b/>
        </w:rPr>
        <w:t xml:space="preserve"> </w:t>
      </w:r>
      <w:r w:rsidRPr="000A7144">
        <w:t>of the online catalogue on policy support tools and methodologies (deliverable 4 (c)), with a prototype made available to Governments and stakeholders for testing and review prior to the fifth session of the Plenary</w:t>
      </w:r>
      <w:r w:rsidR="00A231BB" w:rsidRPr="000A7144">
        <w:t>,</w:t>
      </w:r>
      <w:r w:rsidRPr="000A7144">
        <w:t xml:space="preserve"> and further development of options for the governance</w:t>
      </w:r>
      <w:r w:rsidR="00640770" w:rsidRPr="000A7144">
        <w:t xml:space="preserve"> </w:t>
      </w:r>
      <w:r w:rsidRPr="000A7144">
        <w:t>of the catalogue (IPBES/5/8); further development of the guidance on how to integrate work regarding policy support tools and methodologies across all relevant deliverables, in particular in IPBES assessments;</w:t>
      </w:r>
      <w:r w:rsidR="000108FB" w:rsidRPr="000A7144">
        <w:t xml:space="preserve"> and</w:t>
      </w:r>
      <w:r w:rsidRPr="000A7144">
        <w:t xml:space="preserve"> </w:t>
      </w:r>
      <w:r w:rsidR="00B61F40" w:rsidRPr="000A7144">
        <w:t xml:space="preserve">the </w:t>
      </w:r>
      <w:r w:rsidRPr="000A7144">
        <w:t>establishment of a technical support unit at the United Nations Environment Programme World Conservation Monitoring Centre (UNEP-WCMC) thanks to in-kind support from UNEP-WCMC.</w:t>
      </w:r>
      <w:proofErr w:type="gramEnd"/>
      <w:r w:rsidRPr="000A7144">
        <w:t xml:space="preserve"> A progress report </w:t>
      </w:r>
      <w:r w:rsidR="00B61F40" w:rsidRPr="000A7144">
        <w:t xml:space="preserve">on the matter </w:t>
      </w:r>
      <w:r w:rsidRPr="000A7144">
        <w:t xml:space="preserve">is set out in </w:t>
      </w:r>
      <w:r w:rsidR="00B61F40" w:rsidRPr="000A7144">
        <w:t xml:space="preserve">document </w:t>
      </w:r>
      <w:r w:rsidRPr="000A7144">
        <w:t>IPBES/5/INF/14</w:t>
      </w:r>
      <w:r w:rsidR="00B61F40" w:rsidRPr="000A7144">
        <w:t>;</w:t>
      </w:r>
    </w:p>
    <w:p w14:paraId="17239536" w14:textId="50940D20" w:rsidR="00BD34F4" w:rsidRPr="000A7144" w:rsidRDefault="00BD34F4" w:rsidP="004F6989">
      <w:pPr>
        <w:pStyle w:val="Normalnumber"/>
        <w:numPr>
          <w:ilvl w:val="1"/>
          <w:numId w:val="4"/>
        </w:numPr>
        <w:tabs>
          <w:tab w:val="clear" w:pos="1134"/>
        </w:tabs>
        <w:ind w:firstLine="624"/>
      </w:pPr>
      <w:r w:rsidRPr="000A7144">
        <w:t xml:space="preserve">Activities in the context of the communication and outreach strategy and collaboration with open-ended networks of stakeholders </w:t>
      </w:r>
      <w:r w:rsidR="00AA220D" w:rsidRPr="000A7144">
        <w:t>with regard to</w:t>
      </w:r>
      <w:r w:rsidRPr="000A7144">
        <w:t xml:space="preserve"> the implementation of the stakeholder engagement strategy </w:t>
      </w:r>
      <w:r w:rsidR="00AA220D" w:rsidRPr="000A7144">
        <w:t>in accordance with</w:t>
      </w:r>
      <w:r w:rsidRPr="000A7144">
        <w:t xml:space="preserve"> decision IPBES-4/4 (deliverable 4 (d)) (IPBES/5/9, IPBES/5/INF/15, IPBES/5/INF/16); the establishment of institutional arrangements to operationalize technical support </w:t>
      </w:r>
      <w:r w:rsidR="0070442A" w:rsidRPr="000A7144">
        <w:t>for</w:t>
      </w:r>
      <w:r w:rsidRPr="000A7144">
        <w:t xml:space="preserve"> several deliverables; the development of draft memorandum</w:t>
      </w:r>
      <w:r w:rsidR="00AA220D" w:rsidRPr="000A7144">
        <w:t>s</w:t>
      </w:r>
      <w:r w:rsidRPr="000A7144">
        <w:t xml:space="preserve"> of cooperation with </w:t>
      </w:r>
      <w:r w:rsidR="0070442A" w:rsidRPr="000A7144">
        <w:t xml:space="preserve">the </w:t>
      </w:r>
      <w:r w:rsidRPr="000A7144">
        <w:t xml:space="preserve">secretariats of individual multilateral environmental agreements related to biodiversity and ecosystem services, </w:t>
      </w:r>
      <w:r w:rsidR="00AA220D" w:rsidRPr="000A7144">
        <w:t>in accordance with</w:t>
      </w:r>
      <w:r w:rsidRPr="000A7144">
        <w:t xml:space="preserve"> decision IPBES-4/4; and steps taken to enter into other strategic partnerships, to be reviewed by the Plenary (IPBES/5/9 and IPBES/5/INF/17</w:t>
      </w:r>
      <w:r w:rsidR="0036413A" w:rsidRPr="000A7144">
        <w:t xml:space="preserve">); </w:t>
      </w:r>
    </w:p>
    <w:p w14:paraId="4B200019" w14:textId="5AC868A7" w:rsidR="00BD34F4" w:rsidRPr="000A7144" w:rsidRDefault="00BD34F4" w:rsidP="004F6989">
      <w:pPr>
        <w:pStyle w:val="Normalnumber"/>
        <w:numPr>
          <w:ilvl w:val="1"/>
          <w:numId w:val="4"/>
        </w:numPr>
        <w:tabs>
          <w:tab w:val="clear" w:pos="1134"/>
        </w:tabs>
        <w:ind w:firstLine="624"/>
      </w:pPr>
      <w:r w:rsidRPr="000A7144">
        <w:t>A further refined scope and terms of reference for the end-of-work-programme review of the effectiveness of the Platform (deliverable 4 (e)) by the Multidisciplinary Expert Panel, in consultation with the Bureau, integrating internal and external elements, based on input received from Governments and stakeholders, for consideration by the Plenary at its fifth session (IPBES/5/11).</w:t>
      </w:r>
    </w:p>
    <w:p w14:paraId="25B0A3DD" w14:textId="7CF6505E" w:rsidR="00BD34F4" w:rsidRPr="000A7144" w:rsidRDefault="00BD34F4" w:rsidP="00C643A1">
      <w:pPr>
        <w:tabs>
          <w:tab w:val="right" w:pos="851"/>
        </w:tabs>
        <w:suppressAutoHyphens/>
        <w:spacing w:before="240" w:after="120"/>
        <w:ind w:left="1247" w:right="284" w:hanging="1247"/>
        <w:rPr>
          <w:b/>
          <w:sz w:val="28"/>
          <w:szCs w:val="28"/>
          <w:lang w:val="en-GB"/>
        </w:rPr>
      </w:pPr>
      <w:r w:rsidRPr="000A7144">
        <w:rPr>
          <w:b/>
          <w:sz w:val="28"/>
          <w:szCs w:val="28"/>
          <w:lang w:val="en-GB"/>
        </w:rPr>
        <w:tab/>
        <w:t>I</w:t>
      </w:r>
      <w:r w:rsidR="00A317C7" w:rsidRPr="000A7144">
        <w:rPr>
          <w:b/>
          <w:sz w:val="28"/>
          <w:szCs w:val="28"/>
          <w:lang w:val="en-GB"/>
        </w:rPr>
        <w:t>I.</w:t>
      </w:r>
      <w:r w:rsidRPr="000A7144">
        <w:rPr>
          <w:b/>
          <w:sz w:val="28"/>
          <w:szCs w:val="28"/>
          <w:lang w:val="en-GB"/>
        </w:rPr>
        <w:tab/>
        <w:t xml:space="preserve">Lessons </w:t>
      </w:r>
      <w:r w:rsidR="00323E40" w:rsidRPr="000A7144">
        <w:rPr>
          <w:b/>
          <w:sz w:val="28"/>
          <w:szCs w:val="28"/>
          <w:lang w:val="en-GB"/>
        </w:rPr>
        <w:t xml:space="preserve">learned </w:t>
      </w:r>
      <w:r w:rsidRPr="000A7144">
        <w:rPr>
          <w:b/>
          <w:sz w:val="28"/>
          <w:szCs w:val="28"/>
          <w:lang w:val="en-GB"/>
        </w:rPr>
        <w:t xml:space="preserve">and challenges during the third year of implementation </w:t>
      </w:r>
    </w:p>
    <w:p w14:paraId="048B1487" w14:textId="63DF023D" w:rsidR="00BD34F4" w:rsidRPr="000A7144" w:rsidRDefault="00BD34F4" w:rsidP="00C643A1">
      <w:pPr>
        <w:pStyle w:val="Normalnumber"/>
        <w:tabs>
          <w:tab w:val="num" w:pos="624"/>
        </w:tabs>
      </w:pPr>
      <w:r w:rsidRPr="000A7144">
        <w:t xml:space="preserve">Lessons learned from the implementation of deliverables and </w:t>
      </w:r>
      <w:r w:rsidR="0036413A" w:rsidRPr="000A7144">
        <w:t xml:space="preserve">specific </w:t>
      </w:r>
      <w:r w:rsidRPr="000A7144">
        <w:t>challenges relate, in particular, to the following efforts:</w:t>
      </w:r>
    </w:p>
    <w:p w14:paraId="669F3E35" w14:textId="4D9D8927" w:rsidR="00BD34F4" w:rsidRPr="000A7144" w:rsidRDefault="00BD34F4" w:rsidP="00C643A1">
      <w:pPr>
        <w:pStyle w:val="Normalnumber"/>
        <w:numPr>
          <w:ilvl w:val="1"/>
          <w:numId w:val="4"/>
        </w:numPr>
        <w:tabs>
          <w:tab w:val="clear" w:pos="1134"/>
          <w:tab w:val="num" w:pos="624"/>
        </w:tabs>
        <w:ind w:firstLine="624"/>
      </w:pPr>
      <w:proofErr w:type="gramStart"/>
      <w:r w:rsidRPr="000A7144">
        <w:rPr>
          <w:bCs/>
          <w:i/>
          <w:iCs/>
        </w:rPr>
        <w:t>Engagement of Governments.</w:t>
      </w:r>
      <w:proofErr w:type="gramEnd"/>
      <w:r w:rsidRPr="000A7144">
        <w:rPr>
          <w:bCs/>
          <w:iCs/>
        </w:rPr>
        <w:t xml:space="preserve"> The secretariat </w:t>
      </w:r>
      <w:proofErr w:type="gramStart"/>
      <w:r w:rsidRPr="000A7144">
        <w:rPr>
          <w:bCs/>
          <w:iCs/>
        </w:rPr>
        <w:t>has been requested</w:t>
      </w:r>
      <w:proofErr w:type="gramEnd"/>
      <w:r w:rsidRPr="000A7144">
        <w:rPr>
          <w:bCs/>
          <w:iCs/>
        </w:rPr>
        <w:t xml:space="preserve"> by the Plenary to seek comments from Governments on a number of occasions, but has </w:t>
      </w:r>
      <w:r w:rsidR="0036413A" w:rsidRPr="000A7144">
        <w:rPr>
          <w:bCs/>
          <w:iCs/>
        </w:rPr>
        <w:t xml:space="preserve">generally </w:t>
      </w:r>
      <w:r w:rsidRPr="000A7144">
        <w:rPr>
          <w:bCs/>
          <w:iCs/>
        </w:rPr>
        <w:t xml:space="preserve">received very limited input from them. </w:t>
      </w:r>
      <w:proofErr w:type="gramStart"/>
      <w:r w:rsidR="0036413A" w:rsidRPr="000A7144">
        <w:rPr>
          <w:bCs/>
          <w:iCs/>
        </w:rPr>
        <w:t>For example, o</w:t>
      </w:r>
      <w:r w:rsidRPr="000A7144">
        <w:rPr>
          <w:bCs/>
          <w:iCs/>
        </w:rPr>
        <w:t xml:space="preserve">nly eight and five Governments </w:t>
      </w:r>
      <w:r w:rsidR="00881F58" w:rsidRPr="000A7144">
        <w:rPr>
          <w:bCs/>
          <w:iCs/>
        </w:rPr>
        <w:t xml:space="preserve">respectively </w:t>
      </w:r>
      <w:r w:rsidRPr="000A7144">
        <w:rPr>
          <w:bCs/>
          <w:iCs/>
        </w:rPr>
        <w:t xml:space="preserve">offered written comments </w:t>
      </w:r>
      <w:r w:rsidR="0036413A" w:rsidRPr="000A7144">
        <w:rPr>
          <w:bCs/>
          <w:iCs/>
        </w:rPr>
        <w:t xml:space="preserve">on </w:t>
      </w:r>
      <w:r w:rsidRPr="000A7144">
        <w:rPr>
          <w:bCs/>
          <w:iCs/>
        </w:rPr>
        <w:t>the summar</w:t>
      </w:r>
      <w:r w:rsidR="00881F58" w:rsidRPr="000A7144">
        <w:rPr>
          <w:bCs/>
          <w:iCs/>
        </w:rPr>
        <w:t>ies</w:t>
      </w:r>
      <w:r w:rsidRPr="000A7144">
        <w:rPr>
          <w:bCs/>
          <w:iCs/>
        </w:rPr>
        <w:t xml:space="preserve"> for policymakers of the pollination assessment and of the</w:t>
      </w:r>
      <w:r w:rsidR="0036413A" w:rsidRPr="000A7144">
        <w:rPr>
          <w:bCs/>
          <w:iCs/>
        </w:rPr>
        <w:t xml:space="preserve"> assessment of</w:t>
      </w:r>
      <w:r w:rsidRPr="000A7144">
        <w:rPr>
          <w:bCs/>
          <w:iCs/>
        </w:rPr>
        <w:t xml:space="preserve"> scenarios and models, </w:t>
      </w:r>
      <w:r w:rsidR="00DA011F" w:rsidRPr="000A7144">
        <w:rPr>
          <w:bCs/>
          <w:iCs/>
        </w:rPr>
        <w:t xml:space="preserve">while one Government on its own behalf and a second Government on behalf of the European Union and its member States submitted comments in response to the </w:t>
      </w:r>
      <w:r w:rsidRPr="000A7144">
        <w:rPr>
          <w:bCs/>
          <w:iCs/>
        </w:rPr>
        <w:t>call for comments on the terms of reference for the end-of-work-programme review of IPBES.</w:t>
      </w:r>
      <w:proofErr w:type="gramEnd"/>
      <w:r w:rsidRPr="000A7144">
        <w:rPr>
          <w:bCs/>
          <w:iCs/>
        </w:rPr>
        <w:t xml:space="preserve"> The Bureau would like to </w:t>
      </w:r>
      <w:r w:rsidR="00881F58" w:rsidRPr="000A7144">
        <w:rPr>
          <w:bCs/>
          <w:iCs/>
        </w:rPr>
        <w:t>stress</w:t>
      </w:r>
      <w:r w:rsidRPr="000A7144">
        <w:rPr>
          <w:bCs/>
          <w:iCs/>
        </w:rPr>
        <w:t xml:space="preserve"> the importance of Governments’ involvement in IPBES </w:t>
      </w:r>
      <w:r w:rsidR="00881F58" w:rsidRPr="000A7144">
        <w:rPr>
          <w:bCs/>
          <w:iCs/>
        </w:rPr>
        <w:t>during</w:t>
      </w:r>
      <w:r w:rsidR="0036413A" w:rsidRPr="000A7144">
        <w:rPr>
          <w:bCs/>
          <w:iCs/>
        </w:rPr>
        <w:t xml:space="preserve"> the period </w:t>
      </w:r>
      <w:r w:rsidRPr="000A7144">
        <w:rPr>
          <w:bCs/>
          <w:iCs/>
        </w:rPr>
        <w:t xml:space="preserve">between sessions of the Plenary as a prerequisite for a strong science-policy interface, and </w:t>
      </w:r>
      <w:r w:rsidR="0036413A" w:rsidRPr="000A7144">
        <w:rPr>
          <w:bCs/>
          <w:iCs/>
        </w:rPr>
        <w:t xml:space="preserve">would like </w:t>
      </w:r>
      <w:r w:rsidRPr="000A7144">
        <w:rPr>
          <w:bCs/>
          <w:iCs/>
        </w:rPr>
        <w:t xml:space="preserve">to urge Governments to respond to the </w:t>
      </w:r>
      <w:r w:rsidR="0036413A" w:rsidRPr="000A7144">
        <w:rPr>
          <w:bCs/>
          <w:iCs/>
        </w:rPr>
        <w:t xml:space="preserve">Plenary’s </w:t>
      </w:r>
      <w:r w:rsidRPr="000A7144">
        <w:rPr>
          <w:bCs/>
          <w:iCs/>
        </w:rPr>
        <w:t>requests for comments on assessments and other important documents</w:t>
      </w:r>
      <w:r w:rsidR="0036413A" w:rsidRPr="000A7144">
        <w:rPr>
          <w:bCs/>
          <w:iCs/>
        </w:rPr>
        <w:t xml:space="preserve"> and processes</w:t>
      </w:r>
      <w:r w:rsidR="005014FD" w:rsidRPr="000A7144">
        <w:rPr>
          <w:bCs/>
          <w:iCs/>
        </w:rPr>
        <w:t>;</w:t>
      </w:r>
      <w:r w:rsidRPr="000A7144">
        <w:rPr>
          <w:bCs/>
          <w:iCs/>
        </w:rPr>
        <w:t xml:space="preserve"> </w:t>
      </w:r>
    </w:p>
    <w:p w14:paraId="062255D1" w14:textId="2FA36F71" w:rsidR="00BD34F4" w:rsidRPr="000A7144" w:rsidRDefault="00BD34F4" w:rsidP="004F6989">
      <w:pPr>
        <w:pStyle w:val="Normalnumber"/>
        <w:numPr>
          <w:ilvl w:val="1"/>
          <w:numId w:val="4"/>
        </w:numPr>
        <w:tabs>
          <w:tab w:val="clear" w:pos="1134"/>
          <w:tab w:val="num" w:pos="624"/>
        </w:tabs>
        <w:ind w:firstLine="624"/>
      </w:pPr>
      <w:proofErr w:type="gramStart"/>
      <w:r w:rsidRPr="000A7144">
        <w:rPr>
          <w:bCs/>
          <w:i/>
          <w:iCs/>
        </w:rPr>
        <w:t>Filling gaps in expertise.</w:t>
      </w:r>
      <w:proofErr w:type="gramEnd"/>
      <w:r w:rsidRPr="000A7144">
        <w:t xml:space="preserve"> The nominations received in 2016 for </w:t>
      </w:r>
      <w:r w:rsidR="00DA011F" w:rsidRPr="000A7144">
        <w:t xml:space="preserve">experts to work on </w:t>
      </w:r>
      <w:r w:rsidRPr="000A7144">
        <w:t>the</w:t>
      </w:r>
      <w:r w:rsidR="00DA011F" w:rsidRPr="000A7144">
        <w:t xml:space="preserve"> development of the</w:t>
      </w:r>
      <w:r w:rsidRPr="000A7144">
        <w:t xml:space="preserve"> global assessment</w:t>
      </w:r>
      <w:r w:rsidR="00DA011F" w:rsidRPr="000A7144">
        <w:t xml:space="preserve"> of biodiversity and ecosystem services</w:t>
      </w:r>
      <w:r w:rsidRPr="000A7144">
        <w:t xml:space="preserve"> continued to </w:t>
      </w:r>
      <w:proofErr w:type="gramStart"/>
      <w:r w:rsidR="00DA011F" w:rsidRPr="000A7144">
        <w:t>be affected</w:t>
      </w:r>
      <w:proofErr w:type="gramEnd"/>
      <w:r w:rsidR="00DA011F" w:rsidRPr="000A7144">
        <w:t xml:space="preserve"> by</w:t>
      </w:r>
      <w:r w:rsidRPr="000A7144">
        <w:t xml:space="preserve"> the gaps mentioned in </w:t>
      </w:r>
      <w:r w:rsidR="00EF4950" w:rsidRPr="000A7144">
        <w:t>the 2015 report of the Executive Secretary on the implementation of the first work programme</w:t>
      </w:r>
      <w:r w:rsidRPr="000A7144">
        <w:t xml:space="preserve"> (IPBES/4/2). </w:t>
      </w:r>
      <w:proofErr w:type="gramStart"/>
      <w:r w:rsidRPr="000A7144">
        <w:t>It proved necessary</w:t>
      </w:r>
      <w:r w:rsidR="00881F58" w:rsidRPr="000A7144">
        <w:t>,</w:t>
      </w:r>
      <w:r w:rsidR="00EF4950" w:rsidRPr="000A7144">
        <w:t xml:space="preserve"> therefore</w:t>
      </w:r>
      <w:r w:rsidR="00881F58" w:rsidRPr="000A7144">
        <w:t>,</w:t>
      </w:r>
      <w:r w:rsidRPr="000A7144">
        <w:t xml:space="preserve"> to seek additional nominations from Governments and stakeholders, using the gap</w:t>
      </w:r>
      <w:r w:rsidR="00EF4950" w:rsidRPr="000A7144">
        <w:t>-</w:t>
      </w:r>
      <w:r w:rsidRPr="000A7144">
        <w:t>filling procedure approved by the Plenary at its fourth session, for 53 out of a total of 119 experts in order to ensure an adequate geographic, disciplinary and gender balance among experts,</w:t>
      </w:r>
      <w:r w:rsidRPr="000A7144">
        <w:rPr>
          <w:vertAlign w:val="superscript"/>
        </w:rPr>
        <w:footnoteReference w:id="3"/>
      </w:r>
      <w:r w:rsidRPr="000A7144">
        <w:t xml:space="preserve"> particularly with regard to the selection of experts from</w:t>
      </w:r>
      <w:r w:rsidRPr="000A7144">
        <w:rPr>
          <w:spacing w:val="4"/>
          <w:w w:val="103"/>
          <w:kern w:val="14"/>
        </w:rPr>
        <w:t xml:space="preserve"> </w:t>
      </w:r>
      <w:r w:rsidRPr="000A7144">
        <w:t xml:space="preserve">the African, Asia-Pacific and Eastern European regions, of experts </w:t>
      </w:r>
      <w:r w:rsidR="00EF4950" w:rsidRPr="000A7144">
        <w:t>in</w:t>
      </w:r>
      <w:r w:rsidRPr="000A7144">
        <w:t xml:space="preserve"> marine sciences</w:t>
      </w:r>
      <w:r w:rsidR="00EF4950" w:rsidRPr="000A7144">
        <w:t xml:space="preserve"> and</w:t>
      </w:r>
      <w:r w:rsidRPr="000A7144">
        <w:t xml:space="preserve"> social sciences (anthropology and economics), </w:t>
      </w:r>
      <w:r w:rsidR="00881F58" w:rsidRPr="000A7144">
        <w:t>of</w:t>
      </w:r>
      <w:r w:rsidRPr="000A7144">
        <w:t xml:space="preserve"> experts </w:t>
      </w:r>
      <w:r w:rsidR="00881F58" w:rsidRPr="000A7144">
        <w:t xml:space="preserve">in </w:t>
      </w:r>
      <w:r w:rsidRPr="000A7144">
        <w:t>and holders of indigenous and local knowledge</w:t>
      </w:r>
      <w:r w:rsidR="00881F58" w:rsidRPr="000A7144">
        <w:t>,</w:t>
      </w:r>
      <w:r w:rsidRPr="000A7144">
        <w:t xml:space="preserve"> and </w:t>
      </w:r>
      <w:r w:rsidR="00881F58" w:rsidRPr="000A7144">
        <w:t>of</w:t>
      </w:r>
      <w:r w:rsidRPr="000A7144">
        <w:t xml:space="preserve"> policy practitioners.</w:t>
      </w:r>
      <w:proofErr w:type="gramEnd"/>
      <w:r w:rsidRPr="000A7144">
        <w:t xml:space="preserve"> The Bureau would like to urge Governments and stakeholders to address the imbalances mentioned above in their future nominations</w:t>
      </w:r>
      <w:r w:rsidR="005014FD" w:rsidRPr="000A7144">
        <w:t>;</w:t>
      </w:r>
    </w:p>
    <w:p w14:paraId="6E42EF3E" w14:textId="2BF70676" w:rsidR="00BD34F4" w:rsidRPr="000A7144" w:rsidRDefault="00BD34F4" w:rsidP="004F6989">
      <w:pPr>
        <w:pStyle w:val="Normalnumber"/>
        <w:numPr>
          <w:ilvl w:val="1"/>
          <w:numId w:val="4"/>
        </w:numPr>
        <w:tabs>
          <w:tab w:val="clear" w:pos="1134"/>
          <w:tab w:val="num" w:pos="624"/>
        </w:tabs>
        <w:ind w:firstLine="624"/>
      </w:pPr>
      <w:r w:rsidRPr="000A7144">
        <w:rPr>
          <w:i/>
        </w:rPr>
        <w:t>Support to developed</w:t>
      </w:r>
      <w:r w:rsidR="00881F58" w:rsidRPr="000A7144">
        <w:rPr>
          <w:i/>
        </w:rPr>
        <w:t>-</w:t>
      </w:r>
      <w:r w:rsidRPr="000A7144">
        <w:rPr>
          <w:i/>
        </w:rPr>
        <w:t>country experts</w:t>
      </w:r>
      <w:r w:rsidRPr="000A7144">
        <w:t xml:space="preserve">. Experts from developed countries continued to voice reservations </w:t>
      </w:r>
      <w:r w:rsidR="00EF4950" w:rsidRPr="000A7144">
        <w:t xml:space="preserve">in 2016 </w:t>
      </w:r>
      <w:r w:rsidRPr="000A7144">
        <w:t>about being nominated</w:t>
      </w:r>
      <w:r w:rsidR="00DA011F" w:rsidRPr="000A7144">
        <w:t xml:space="preserve"> to take part in IPBES work</w:t>
      </w:r>
      <w:r w:rsidRPr="000A7144">
        <w:t xml:space="preserve"> in view of the lack of </w:t>
      </w:r>
      <w:r w:rsidR="00BC033E" w:rsidRPr="000A7144">
        <w:t xml:space="preserve">provision of </w:t>
      </w:r>
      <w:r w:rsidRPr="000A7144">
        <w:t>travel support</w:t>
      </w:r>
      <w:r w:rsidR="00BC033E" w:rsidRPr="000A7144">
        <w:t xml:space="preserve"> to them</w:t>
      </w:r>
      <w:r w:rsidRPr="000A7144">
        <w:t xml:space="preserve">, in particular experts from North America, Southern Europe and those Eastern European countries not supported by the </w:t>
      </w:r>
      <w:r w:rsidR="00DA011F" w:rsidRPr="000A7144">
        <w:t xml:space="preserve">IPBES </w:t>
      </w:r>
      <w:r w:rsidRPr="000A7144">
        <w:t xml:space="preserve">trust fund. The Bureau wishes to draw the attention of the Plenary to </w:t>
      </w:r>
      <w:r w:rsidR="00EF4950" w:rsidRPr="000A7144">
        <w:t>this</w:t>
      </w:r>
      <w:r w:rsidRPr="000A7144">
        <w:t xml:space="preserve"> critical situation and to invite the Plenary to encourage </w:t>
      </w:r>
      <w:r w:rsidR="008254FF" w:rsidRPr="000A7144">
        <w:br/>
      </w:r>
      <w:r w:rsidRPr="000A7144">
        <w:t>developed</w:t>
      </w:r>
      <w:r w:rsidR="00881F58" w:rsidRPr="000A7144">
        <w:t>-</w:t>
      </w:r>
      <w:r w:rsidRPr="000A7144">
        <w:t>country members to provide travel support for experts from their countries</w:t>
      </w:r>
      <w:r w:rsidR="00881F58" w:rsidRPr="000A7144">
        <w:t>,</w:t>
      </w:r>
      <w:r w:rsidRPr="000A7144">
        <w:t xml:space="preserve"> and all institutions to support experts who are taking part in </w:t>
      </w:r>
      <w:r w:rsidR="00BC033E" w:rsidRPr="000A7144">
        <w:t xml:space="preserve">the </w:t>
      </w:r>
      <w:r w:rsidRPr="000A7144">
        <w:t xml:space="preserve">work </w:t>
      </w:r>
      <w:r w:rsidR="00BC033E" w:rsidRPr="000A7144">
        <w:t xml:space="preserve">of </w:t>
      </w:r>
      <w:r w:rsidRPr="000A7144">
        <w:t>the Platform</w:t>
      </w:r>
      <w:r w:rsidR="005014FD" w:rsidRPr="000A7144">
        <w:t>;</w:t>
      </w:r>
    </w:p>
    <w:p w14:paraId="18E0FFD5" w14:textId="75E09F0A" w:rsidR="00BD34F4" w:rsidRPr="000A7144" w:rsidRDefault="00BD34F4" w:rsidP="004F6989">
      <w:pPr>
        <w:pStyle w:val="Normalnumber"/>
        <w:numPr>
          <w:ilvl w:val="1"/>
          <w:numId w:val="4"/>
        </w:numPr>
        <w:tabs>
          <w:tab w:val="clear" w:pos="1134"/>
          <w:tab w:val="num" w:pos="624"/>
        </w:tabs>
        <w:ind w:firstLine="624"/>
      </w:pPr>
      <w:r w:rsidRPr="000A7144">
        <w:rPr>
          <w:i/>
        </w:rPr>
        <w:t>Support to members</w:t>
      </w:r>
      <w:r w:rsidR="00F1450B" w:rsidRPr="000A7144">
        <w:rPr>
          <w:i/>
        </w:rPr>
        <w:t xml:space="preserve"> of the Multidisciplinary Expert Panel</w:t>
      </w:r>
      <w:r w:rsidRPr="000A7144">
        <w:t xml:space="preserve"> </w:t>
      </w:r>
      <w:r w:rsidRPr="000A7144">
        <w:rPr>
          <w:i/>
        </w:rPr>
        <w:t>from developed countries</w:t>
      </w:r>
      <w:r w:rsidRPr="000A7144">
        <w:t xml:space="preserve">. Several </w:t>
      </w:r>
      <w:r w:rsidR="00F1450B" w:rsidRPr="000A7144">
        <w:t xml:space="preserve">Panel </w:t>
      </w:r>
      <w:r w:rsidRPr="000A7144">
        <w:t xml:space="preserve">members from developed countries have been </w:t>
      </w:r>
      <w:r w:rsidR="00F1450B" w:rsidRPr="000A7144">
        <w:t>un</w:t>
      </w:r>
      <w:r w:rsidRPr="000A7144">
        <w:t xml:space="preserve">able to attend the two annual meetings of the </w:t>
      </w:r>
      <w:r w:rsidR="00F1450B" w:rsidRPr="000A7144">
        <w:t xml:space="preserve">Panel owing to a </w:t>
      </w:r>
      <w:r w:rsidRPr="000A7144">
        <w:t xml:space="preserve">lack of financial support. The Bureau, supported by the </w:t>
      </w:r>
      <w:r w:rsidR="00164F95" w:rsidRPr="000A7144">
        <w:t>Panel</w:t>
      </w:r>
      <w:r w:rsidRPr="000A7144">
        <w:t xml:space="preserve">, would like to urge Governments from developed countries to select candidates </w:t>
      </w:r>
      <w:r w:rsidR="00DA011F" w:rsidRPr="000A7144">
        <w:t xml:space="preserve">for </w:t>
      </w:r>
      <w:r w:rsidRPr="000A7144">
        <w:t xml:space="preserve">whom they can </w:t>
      </w:r>
      <w:r w:rsidR="00DA011F" w:rsidRPr="000A7144">
        <w:t xml:space="preserve">provide </w:t>
      </w:r>
      <w:r w:rsidRPr="000A7144">
        <w:t>support or</w:t>
      </w:r>
      <w:r w:rsidR="00DA011F" w:rsidRPr="000A7144">
        <w:t xml:space="preserve"> candidates</w:t>
      </w:r>
      <w:r w:rsidRPr="000A7144">
        <w:t xml:space="preserve"> who are self-supported. Alternatively, the Bureau would like to </w:t>
      </w:r>
      <w:r w:rsidR="00164F95" w:rsidRPr="000A7144">
        <w:t>request</w:t>
      </w:r>
      <w:r w:rsidRPr="000A7144">
        <w:t xml:space="preserve"> the Plenary to consider </w:t>
      </w:r>
      <w:r w:rsidR="00841D6B" w:rsidRPr="000A7144">
        <w:t>providing support to Panel</w:t>
      </w:r>
      <w:r w:rsidRPr="000A7144">
        <w:t xml:space="preserve"> members from developed countries.</w:t>
      </w:r>
    </w:p>
    <w:p w14:paraId="0AC34DD9" w14:textId="647C89D2" w:rsidR="00BD34F4" w:rsidRPr="000A7144" w:rsidRDefault="00A317C7" w:rsidP="00A317C7">
      <w:pPr>
        <w:pStyle w:val="CH1"/>
      </w:pPr>
      <w:r w:rsidRPr="000A7144">
        <w:tab/>
      </w:r>
      <w:r w:rsidR="00BD34F4" w:rsidRPr="000A7144">
        <w:t>I</w:t>
      </w:r>
      <w:r w:rsidR="00020372" w:rsidRPr="000A7144">
        <w:t>II</w:t>
      </w:r>
      <w:r w:rsidR="00BD34F4" w:rsidRPr="000A7144">
        <w:t>.</w:t>
      </w:r>
      <w:r w:rsidR="00BD34F4" w:rsidRPr="000A7144">
        <w:tab/>
        <w:t xml:space="preserve">Update regarding </w:t>
      </w:r>
      <w:r w:rsidR="00E25A6C" w:rsidRPr="000A7144">
        <w:t xml:space="preserve">the </w:t>
      </w:r>
      <w:r w:rsidR="00BD34F4" w:rsidRPr="000A7144">
        <w:t xml:space="preserve">recruitment of </w:t>
      </w:r>
      <w:r w:rsidR="00323E40" w:rsidRPr="000A7144">
        <w:t xml:space="preserve">staff members to </w:t>
      </w:r>
      <w:r w:rsidR="00E25A6C" w:rsidRPr="000A7144">
        <w:t xml:space="preserve">the </w:t>
      </w:r>
      <w:r w:rsidR="00BD34F4" w:rsidRPr="000A7144">
        <w:t>secretariat in 2016</w:t>
      </w:r>
    </w:p>
    <w:p w14:paraId="018E2B8B" w14:textId="091004A6" w:rsidR="00BD34F4" w:rsidRPr="000A7144" w:rsidRDefault="00E25A6C" w:rsidP="00A317C7">
      <w:pPr>
        <w:pStyle w:val="Normalnumber"/>
        <w:tabs>
          <w:tab w:val="num" w:pos="624"/>
        </w:tabs>
      </w:pPr>
      <w:r w:rsidRPr="000A7144">
        <w:t>The r</w:t>
      </w:r>
      <w:r w:rsidR="00BD34F4" w:rsidRPr="000A7144">
        <w:t xml:space="preserve">ecruitment of staff members </w:t>
      </w:r>
      <w:r w:rsidR="00643F1A" w:rsidRPr="000A7144">
        <w:t>to</w:t>
      </w:r>
      <w:r w:rsidR="00BD34F4" w:rsidRPr="000A7144">
        <w:t xml:space="preserve"> the secretariat in Bonn continued between January and August 2016. </w:t>
      </w:r>
      <w:r w:rsidR="00643F1A" w:rsidRPr="000A7144">
        <w:t>Since August 2016, t</w:t>
      </w:r>
      <w:r w:rsidR="00BD34F4" w:rsidRPr="000A7144">
        <w:t xml:space="preserve">he team has been complete, with its </w:t>
      </w:r>
      <w:r w:rsidR="00020372" w:rsidRPr="000A7144">
        <w:t>12</w:t>
      </w:r>
      <w:r w:rsidR="00BD34F4" w:rsidRPr="000A7144">
        <w:t xml:space="preserve"> positions filled, as summari</w:t>
      </w:r>
      <w:r w:rsidR="00643F1A" w:rsidRPr="000A7144">
        <w:t>z</w:t>
      </w:r>
      <w:r w:rsidR="00BD34F4" w:rsidRPr="000A7144">
        <w:t xml:space="preserve">ed in </w:t>
      </w:r>
      <w:r w:rsidR="00643F1A" w:rsidRPr="000A7144">
        <w:t>the following t</w:t>
      </w:r>
      <w:r w:rsidR="00BD34F4" w:rsidRPr="000A7144">
        <w:t xml:space="preserve">able. Seven staff members </w:t>
      </w:r>
      <w:proofErr w:type="gramStart"/>
      <w:r w:rsidR="00BD34F4" w:rsidRPr="000A7144">
        <w:t>were recruited</w:t>
      </w:r>
      <w:proofErr w:type="gramEnd"/>
      <w:r w:rsidR="00BD34F4" w:rsidRPr="000A7144">
        <w:t xml:space="preserve"> in 2016, </w:t>
      </w:r>
      <w:r w:rsidR="00643F1A" w:rsidRPr="000A7144">
        <w:t xml:space="preserve">with </w:t>
      </w:r>
      <w:r w:rsidR="00BD34F4" w:rsidRPr="000A7144">
        <w:t>three of th</w:t>
      </w:r>
      <w:r w:rsidR="00020372" w:rsidRPr="000A7144">
        <w:t>em</w:t>
      </w:r>
      <w:r w:rsidR="00BD34F4" w:rsidRPr="000A7144">
        <w:t xml:space="preserve"> replacing </w:t>
      </w:r>
      <w:r w:rsidR="00643F1A" w:rsidRPr="000A7144">
        <w:t xml:space="preserve">staff members </w:t>
      </w:r>
      <w:r w:rsidR="00BD34F4" w:rsidRPr="000A7144">
        <w:t>who had left.</w:t>
      </w:r>
      <w:r w:rsidR="004874A7" w:rsidRPr="000A7144">
        <w:t xml:space="preserve"> The secretariat functioned with</w:t>
      </w:r>
      <w:r w:rsidR="00BD34F4" w:rsidRPr="000A7144">
        <w:t xml:space="preserve"> </w:t>
      </w:r>
      <w:proofErr w:type="gramStart"/>
      <w:r w:rsidR="00BD34F4" w:rsidRPr="000A7144">
        <w:t>very</w:t>
      </w:r>
      <w:proofErr w:type="gramEnd"/>
      <w:r w:rsidR="00BD34F4" w:rsidRPr="000A7144">
        <w:t xml:space="preserve"> reduced capacity </w:t>
      </w:r>
      <w:r w:rsidR="00020372" w:rsidRPr="000A7144">
        <w:t>during</w:t>
      </w:r>
      <w:r w:rsidR="00BD34F4" w:rsidRPr="000A7144">
        <w:t xml:space="preserve"> the first </w:t>
      </w:r>
      <w:r w:rsidR="009E7E45" w:rsidRPr="000A7144">
        <w:t>quarter</w:t>
      </w:r>
      <w:r w:rsidR="00BD34F4" w:rsidRPr="000A7144">
        <w:t xml:space="preserve"> of 2016. </w:t>
      </w:r>
    </w:p>
    <w:p w14:paraId="46291F54" w14:textId="1D785267" w:rsidR="00BD34F4" w:rsidRPr="000A7144" w:rsidRDefault="00BD34F4" w:rsidP="00A317C7">
      <w:pPr>
        <w:pStyle w:val="Normalnumber"/>
        <w:tabs>
          <w:tab w:val="num" w:pos="624"/>
        </w:tabs>
      </w:pPr>
      <w:r w:rsidRPr="000A7144">
        <w:t>The Bureau recommends that one half</w:t>
      </w:r>
      <w:r w:rsidR="000433E6" w:rsidRPr="000A7144">
        <w:t>-</w:t>
      </w:r>
      <w:r w:rsidRPr="000A7144">
        <w:t xml:space="preserve">time consultant at </w:t>
      </w:r>
      <w:r w:rsidR="00020372" w:rsidRPr="000A7144">
        <w:t xml:space="preserve">the </w:t>
      </w:r>
      <w:r w:rsidRPr="000A7144">
        <w:t>G</w:t>
      </w:r>
      <w:r w:rsidR="000433E6" w:rsidRPr="000A7144">
        <w:t>-</w:t>
      </w:r>
      <w:r w:rsidRPr="000A7144">
        <w:t>6 level be recruited, to support and back</w:t>
      </w:r>
      <w:r w:rsidR="000433E6" w:rsidRPr="000A7144">
        <w:t xml:space="preserve"> </w:t>
      </w:r>
      <w:r w:rsidRPr="000A7144">
        <w:t>up the associate knowledge management officer (P</w:t>
      </w:r>
      <w:r w:rsidR="000433E6" w:rsidRPr="000A7144">
        <w:t>-</w:t>
      </w:r>
      <w:r w:rsidRPr="000A7144">
        <w:t xml:space="preserve">2) in performing the increasing amount of tasks related to the further development and maintenance of the data management system </w:t>
      </w:r>
      <w:r w:rsidR="00020372" w:rsidRPr="000A7144">
        <w:t>that</w:t>
      </w:r>
      <w:r w:rsidRPr="000A7144">
        <w:t xml:space="preserve"> forms the foundation </w:t>
      </w:r>
      <w:r w:rsidR="000433E6" w:rsidRPr="000A7144">
        <w:t>of</w:t>
      </w:r>
      <w:r w:rsidRPr="000A7144">
        <w:t xml:space="preserve"> an effective and efficient impleme</w:t>
      </w:r>
      <w:r w:rsidR="004F6989" w:rsidRPr="000A7144">
        <w:t xml:space="preserve">ntation of the work programme. </w:t>
      </w:r>
    </w:p>
    <w:p w14:paraId="32A3BD53" w14:textId="3D754D10" w:rsidR="00BD34F4" w:rsidRPr="000A7144" w:rsidRDefault="00323E40" w:rsidP="008254FF">
      <w:pPr>
        <w:pStyle w:val="Titletable"/>
      </w:pPr>
      <w:r w:rsidRPr="000A7144">
        <w:t>Staffing</w:t>
      </w:r>
      <w:r w:rsidR="00BD34F4" w:rsidRPr="000A7144">
        <w:t xml:space="preserve"> of </w:t>
      </w:r>
      <w:r w:rsidR="00DA011F" w:rsidRPr="000A7144">
        <w:t xml:space="preserve">the </w:t>
      </w:r>
      <w:r w:rsidR="00BD34F4" w:rsidRPr="000A7144">
        <w:t xml:space="preserve">secretariat </w:t>
      </w:r>
      <w:r w:rsidR="00F527F9" w:rsidRPr="000A7144">
        <w:t>of the Intergovernmental Science-Policy</w:t>
      </w:r>
      <w:r w:rsidR="00F527F9" w:rsidRPr="000A7144">
        <w:br/>
        <w:t xml:space="preserve">Platform on Biodiversity and Ecosystem Services </w:t>
      </w:r>
      <w:r w:rsidR="00BD34F4" w:rsidRPr="000A7144">
        <w:t>in 2016</w:t>
      </w:r>
    </w:p>
    <w:tbl>
      <w:tblPr>
        <w:tblW w:w="4205" w:type="pct"/>
        <w:tblInd w:w="1384" w:type="dxa"/>
        <w:tblLook w:val="04A0" w:firstRow="1" w:lastRow="0" w:firstColumn="1" w:lastColumn="0" w:noHBand="0" w:noVBand="1"/>
      </w:tblPr>
      <w:tblGrid>
        <w:gridCol w:w="4537"/>
        <w:gridCol w:w="3631"/>
      </w:tblGrid>
      <w:tr w:rsidR="00BD34F4" w:rsidRPr="000A7144" w14:paraId="6E3AC89D" w14:textId="77777777" w:rsidTr="00574940">
        <w:trPr>
          <w:tblHeader/>
        </w:trPr>
        <w:tc>
          <w:tcPr>
            <w:tcW w:w="4537" w:type="dxa"/>
            <w:tcBorders>
              <w:top w:val="single" w:sz="4" w:space="0" w:color="auto"/>
              <w:bottom w:val="single" w:sz="12" w:space="0" w:color="auto"/>
            </w:tcBorders>
            <w:shd w:val="clear" w:color="auto" w:fill="auto"/>
          </w:tcPr>
          <w:p w14:paraId="4EA2D5FE" w14:textId="77777777" w:rsidR="00BD34F4" w:rsidRPr="000A7144" w:rsidRDefault="00BD34F4" w:rsidP="008254FF">
            <w:pPr>
              <w:keepNext/>
              <w:keepLines/>
              <w:tabs>
                <w:tab w:val="clear" w:pos="3515"/>
                <w:tab w:val="left" w:pos="3694"/>
              </w:tabs>
              <w:spacing w:before="40" w:after="40"/>
              <w:rPr>
                <w:i/>
                <w:iCs/>
                <w:sz w:val="18"/>
                <w:szCs w:val="18"/>
                <w:lang w:val="en-GB" w:eastAsia="en-CA" w:bidi="en-US"/>
              </w:rPr>
            </w:pPr>
            <w:r w:rsidRPr="000A7144">
              <w:rPr>
                <w:i/>
                <w:iCs/>
                <w:sz w:val="18"/>
                <w:szCs w:val="18"/>
                <w:lang w:val="en-GB" w:eastAsia="en-CA" w:bidi="en-US"/>
              </w:rPr>
              <w:t>Position</w:t>
            </w:r>
          </w:p>
        </w:tc>
        <w:tc>
          <w:tcPr>
            <w:tcW w:w="3631" w:type="dxa"/>
            <w:tcBorders>
              <w:top w:val="single" w:sz="4" w:space="0" w:color="auto"/>
              <w:bottom w:val="single" w:sz="12" w:space="0" w:color="auto"/>
            </w:tcBorders>
            <w:shd w:val="clear" w:color="auto" w:fill="auto"/>
          </w:tcPr>
          <w:p w14:paraId="57F85DFE" w14:textId="77777777" w:rsidR="00BD34F4" w:rsidRPr="000A7144" w:rsidRDefault="00BD34F4" w:rsidP="008254FF">
            <w:pPr>
              <w:keepNext/>
              <w:keepLines/>
              <w:spacing w:before="40" w:after="40"/>
              <w:rPr>
                <w:i/>
                <w:iCs/>
                <w:sz w:val="18"/>
                <w:szCs w:val="18"/>
                <w:lang w:val="en-GB" w:eastAsia="en-CA" w:bidi="en-US"/>
              </w:rPr>
            </w:pPr>
            <w:r w:rsidRPr="000A7144">
              <w:rPr>
                <w:i/>
                <w:iCs/>
                <w:sz w:val="18"/>
                <w:szCs w:val="18"/>
                <w:lang w:val="en-GB" w:eastAsia="en-CA" w:bidi="en-US"/>
              </w:rPr>
              <w:t>Timeline</w:t>
            </w:r>
          </w:p>
        </w:tc>
      </w:tr>
      <w:tr w:rsidR="00BD34F4" w:rsidRPr="000A7144" w14:paraId="08B92D3C" w14:textId="77777777" w:rsidTr="00574940">
        <w:trPr>
          <w:tblHeader/>
        </w:trPr>
        <w:tc>
          <w:tcPr>
            <w:tcW w:w="4537" w:type="dxa"/>
            <w:tcBorders>
              <w:top w:val="single" w:sz="12" w:space="0" w:color="auto"/>
            </w:tcBorders>
            <w:shd w:val="clear" w:color="auto" w:fill="auto"/>
          </w:tcPr>
          <w:p w14:paraId="602F2C17" w14:textId="77777777" w:rsidR="00BD34F4" w:rsidRPr="000A7144" w:rsidRDefault="00BD34F4" w:rsidP="008254FF">
            <w:pPr>
              <w:keepNext/>
              <w:keepLines/>
              <w:spacing w:before="40" w:after="40"/>
              <w:rPr>
                <w:sz w:val="18"/>
                <w:szCs w:val="18"/>
                <w:lang w:val="en-GB" w:eastAsia="en-CA" w:bidi="en-US"/>
              </w:rPr>
            </w:pPr>
            <w:r w:rsidRPr="000A7144">
              <w:rPr>
                <w:sz w:val="18"/>
                <w:szCs w:val="18"/>
                <w:lang w:val="en-GB" w:eastAsia="en-CA" w:bidi="en-US"/>
              </w:rPr>
              <w:t>Head of secretariat (D-1)</w:t>
            </w:r>
          </w:p>
        </w:tc>
        <w:tc>
          <w:tcPr>
            <w:tcW w:w="3631" w:type="dxa"/>
            <w:tcBorders>
              <w:top w:val="single" w:sz="12" w:space="0" w:color="auto"/>
            </w:tcBorders>
            <w:shd w:val="clear" w:color="auto" w:fill="auto"/>
          </w:tcPr>
          <w:p w14:paraId="0CBB4E58" w14:textId="77777777" w:rsidR="00BD34F4" w:rsidRPr="000A7144" w:rsidRDefault="00BD34F4" w:rsidP="008254FF">
            <w:pPr>
              <w:keepNext/>
              <w:keepLines/>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February 2014</w:t>
            </w:r>
          </w:p>
        </w:tc>
      </w:tr>
      <w:tr w:rsidR="00BD34F4" w:rsidRPr="000A7144" w14:paraId="4E0B59C6" w14:textId="77777777" w:rsidTr="00574940">
        <w:trPr>
          <w:tblHeader/>
        </w:trPr>
        <w:tc>
          <w:tcPr>
            <w:tcW w:w="4537" w:type="dxa"/>
            <w:shd w:val="clear" w:color="auto" w:fill="auto"/>
          </w:tcPr>
          <w:p w14:paraId="4309112B" w14:textId="77777777" w:rsidR="00BD34F4" w:rsidRPr="000A7144" w:rsidRDefault="00BD34F4" w:rsidP="008254FF">
            <w:pPr>
              <w:keepNext/>
              <w:keepLines/>
              <w:spacing w:before="40" w:after="40"/>
              <w:rPr>
                <w:sz w:val="18"/>
                <w:szCs w:val="18"/>
                <w:lang w:val="en-GB" w:eastAsia="en-CA" w:bidi="en-US"/>
              </w:rPr>
            </w:pPr>
            <w:r w:rsidRPr="000A7144">
              <w:rPr>
                <w:sz w:val="18"/>
                <w:szCs w:val="18"/>
                <w:lang w:val="en-GB" w:eastAsia="en-CA" w:bidi="en-US"/>
              </w:rPr>
              <w:t>Programme Officer (P-4)</w:t>
            </w:r>
            <w:r w:rsidRPr="000A7144">
              <w:rPr>
                <w:sz w:val="18"/>
                <w:szCs w:val="18"/>
                <w:vertAlign w:val="superscript"/>
                <w:lang w:val="en-GB" w:eastAsia="en-CA" w:bidi="en-US"/>
              </w:rPr>
              <w:t>a</w:t>
            </w:r>
          </w:p>
        </w:tc>
        <w:tc>
          <w:tcPr>
            <w:tcW w:w="3631" w:type="dxa"/>
            <w:shd w:val="clear" w:color="auto" w:fill="auto"/>
          </w:tcPr>
          <w:p w14:paraId="4DE46534" w14:textId="77777777" w:rsidR="00BD34F4" w:rsidRPr="000A7144" w:rsidRDefault="00BD34F4" w:rsidP="008254FF">
            <w:pPr>
              <w:keepNext/>
              <w:keepLines/>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March 2015</w:t>
            </w:r>
          </w:p>
        </w:tc>
      </w:tr>
      <w:tr w:rsidR="00BD34F4" w:rsidRPr="000A7144" w14:paraId="5699EB33" w14:textId="77777777" w:rsidTr="00574940">
        <w:trPr>
          <w:tblHeader/>
        </w:trPr>
        <w:tc>
          <w:tcPr>
            <w:tcW w:w="4537" w:type="dxa"/>
            <w:shd w:val="clear" w:color="auto" w:fill="auto"/>
          </w:tcPr>
          <w:p w14:paraId="247FF1A0" w14:textId="77777777" w:rsidR="00BD34F4" w:rsidRPr="000A7144" w:rsidRDefault="00BD34F4" w:rsidP="008254FF">
            <w:pPr>
              <w:keepNext/>
              <w:keepLines/>
              <w:spacing w:before="40" w:after="40"/>
              <w:rPr>
                <w:sz w:val="18"/>
                <w:szCs w:val="18"/>
                <w:lang w:val="en-GB" w:eastAsia="en-CA" w:bidi="en-US"/>
              </w:rPr>
            </w:pPr>
            <w:r w:rsidRPr="000A7144">
              <w:rPr>
                <w:sz w:val="18"/>
                <w:szCs w:val="18"/>
                <w:lang w:val="en-GB" w:eastAsia="en-CA" w:bidi="en-US"/>
              </w:rPr>
              <w:t>Communications Officer (P-4)</w:t>
            </w:r>
          </w:p>
        </w:tc>
        <w:tc>
          <w:tcPr>
            <w:tcW w:w="3631" w:type="dxa"/>
            <w:shd w:val="clear" w:color="auto" w:fill="auto"/>
          </w:tcPr>
          <w:p w14:paraId="5B6541CB" w14:textId="77777777" w:rsidR="00BD34F4" w:rsidRPr="000A7144" w:rsidRDefault="00BD34F4" w:rsidP="008254FF">
            <w:pPr>
              <w:keepNext/>
              <w:keepLines/>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July 2016</w:t>
            </w:r>
          </w:p>
        </w:tc>
      </w:tr>
      <w:tr w:rsidR="00BD34F4" w:rsidRPr="000A7144" w14:paraId="051DDFDA" w14:textId="77777777" w:rsidTr="00574940">
        <w:trPr>
          <w:tblHeader/>
        </w:trPr>
        <w:tc>
          <w:tcPr>
            <w:tcW w:w="4537" w:type="dxa"/>
            <w:shd w:val="clear" w:color="auto" w:fill="auto"/>
          </w:tcPr>
          <w:p w14:paraId="69E0F74A" w14:textId="77777777" w:rsidR="00BD34F4" w:rsidRPr="000A7144" w:rsidRDefault="00BD34F4" w:rsidP="008254FF">
            <w:pPr>
              <w:keepNext/>
              <w:keepLines/>
              <w:spacing w:before="40" w:after="40"/>
              <w:rPr>
                <w:sz w:val="18"/>
                <w:szCs w:val="18"/>
                <w:lang w:val="en-GB" w:eastAsia="en-CA" w:bidi="en-US"/>
              </w:rPr>
            </w:pPr>
            <w:r w:rsidRPr="000A7144">
              <w:rPr>
                <w:sz w:val="18"/>
                <w:szCs w:val="18"/>
                <w:lang w:val="en-GB" w:eastAsia="en-CA" w:bidi="en-US"/>
              </w:rPr>
              <w:t>Programme Officer (P-3)</w:t>
            </w:r>
          </w:p>
        </w:tc>
        <w:tc>
          <w:tcPr>
            <w:tcW w:w="3631" w:type="dxa"/>
            <w:shd w:val="clear" w:color="auto" w:fill="auto"/>
          </w:tcPr>
          <w:p w14:paraId="767BC412" w14:textId="77777777" w:rsidR="00BD34F4" w:rsidRPr="000A7144" w:rsidRDefault="00BD34F4" w:rsidP="008254FF">
            <w:pPr>
              <w:keepNext/>
              <w:keepLines/>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April 2015</w:t>
            </w:r>
          </w:p>
        </w:tc>
      </w:tr>
      <w:tr w:rsidR="00BD34F4" w:rsidRPr="000A7144" w14:paraId="217AC48D" w14:textId="77777777" w:rsidTr="00574940">
        <w:trPr>
          <w:tblHeader/>
        </w:trPr>
        <w:tc>
          <w:tcPr>
            <w:tcW w:w="4537" w:type="dxa"/>
            <w:shd w:val="clear" w:color="auto" w:fill="auto"/>
          </w:tcPr>
          <w:p w14:paraId="662164AB" w14:textId="77777777" w:rsidR="00BD34F4" w:rsidRPr="000A7144" w:rsidRDefault="00BD34F4" w:rsidP="008254FF">
            <w:pPr>
              <w:keepNext/>
              <w:keepLines/>
              <w:spacing w:before="40" w:after="40"/>
              <w:rPr>
                <w:sz w:val="18"/>
                <w:szCs w:val="18"/>
                <w:lang w:val="en-GB" w:eastAsia="en-CA" w:bidi="en-US"/>
              </w:rPr>
            </w:pPr>
            <w:r w:rsidRPr="000A7144">
              <w:rPr>
                <w:sz w:val="18"/>
                <w:szCs w:val="18"/>
                <w:lang w:val="en-GB" w:eastAsia="en-CA" w:bidi="en-US"/>
              </w:rPr>
              <w:t>Administrative Officer (P-3)</w:t>
            </w:r>
          </w:p>
        </w:tc>
        <w:tc>
          <w:tcPr>
            <w:tcW w:w="3631" w:type="dxa"/>
            <w:shd w:val="clear" w:color="auto" w:fill="auto"/>
          </w:tcPr>
          <w:p w14:paraId="2A1FCFFC" w14:textId="77777777" w:rsidR="00BD34F4" w:rsidRPr="000A7144" w:rsidRDefault="00BD34F4" w:rsidP="008254FF">
            <w:pPr>
              <w:keepNext/>
              <w:keepLines/>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January 2016</w:t>
            </w:r>
          </w:p>
        </w:tc>
      </w:tr>
      <w:tr w:rsidR="00BD34F4" w:rsidRPr="000A7144" w14:paraId="128AB355" w14:textId="77777777" w:rsidTr="00574940">
        <w:trPr>
          <w:tblHeader/>
        </w:trPr>
        <w:tc>
          <w:tcPr>
            <w:tcW w:w="4537" w:type="dxa"/>
            <w:shd w:val="clear" w:color="auto" w:fill="auto"/>
          </w:tcPr>
          <w:p w14:paraId="7DD30C11" w14:textId="77777777" w:rsidR="00BD34F4" w:rsidRPr="000A7144" w:rsidRDefault="00BD34F4" w:rsidP="008254FF">
            <w:pPr>
              <w:keepNext/>
              <w:keepLines/>
              <w:spacing w:before="40" w:after="40"/>
              <w:rPr>
                <w:sz w:val="18"/>
                <w:szCs w:val="18"/>
                <w:lang w:val="en-GB" w:eastAsia="en-CA" w:bidi="en-US"/>
              </w:rPr>
            </w:pPr>
            <w:r w:rsidRPr="000A7144">
              <w:rPr>
                <w:sz w:val="18"/>
                <w:szCs w:val="18"/>
                <w:lang w:val="en-GB" w:eastAsia="en-CA" w:bidi="en-US"/>
              </w:rPr>
              <w:t>Associate Knowledge Management Officer (P-2)</w:t>
            </w:r>
          </w:p>
          <w:p w14:paraId="2482E6E2" w14:textId="77777777" w:rsidR="00BD34F4" w:rsidRPr="000A7144" w:rsidRDefault="00BD34F4" w:rsidP="00860BD1">
            <w:pPr>
              <w:keepNext/>
              <w:keepLines/>
              <w:spacing w:before="40" w:after="40"/>
              <w:rPr>
                <w:sz w:val="18"/>
                <w:szCs w:val="18"/>
                <w:lang w:val="en-GB" w:eastAsia="en-CA" w:bidi="en-US"/>
              </w:rPr>
            </w:pPr>
            <w:r w:rsidRPr="000A7144">
              <w:rPr>
                <w:sz w:val="18"/>
                <w:szCs w:val="18"/>
                <w:lang w:val="en-GB" w:eastAsia="en-CA" w:bidi="en-US"/>
              </w:rPr>
              <w:t>Associate Programme Officer (P-2)</w:t>
            </w:r>
            <w:r w:rsidRPr="000A7144">
              <w:rPr>
                <w:sz w:val="18"/>
                <w:szCs w:val="18"/>
                <w:vertAlign w:val="superscript"/>
                <w:lang w:val="en-GB" w:eastAsia="en-CA" w:bidi="en-US"/>
              </w:rPr>
              <w:t>b</w:t>
            </w:r>
          </w:p>
        </w:tc>
        <w:tc>
          <w:tcPr>
            <w:tcW w:w="3631" w:type="dxa"/>
            <w:shd w:val="clear" w:color="auto" w:fill="auto"/>
          </w:tcPr>
          <w:p w14:paraId="4CE02592" w14:textId="77777777" w:rsidR="00BD34F4" w:rsidRPr="000A7144" w:rsidRDefault="00BD34F4" w:rsidP="008254FF">
            <w:pPr>
              <w:keepNext/>
              <w:keepLines/>
              <w:spacing w:before="40" w:after="40"/>
              <w:rPr>
                <w:sz w:val="18"/>
                <w:szCs w:val="18"/>
                <w:lang w:val="en-GB" w:eastAsia="en-CA" w:bidi="en-US"/>
              </w:rPr>
            </w:pPr>
            <w:r w:rsidRPr="000A7144">
              <w:rPr>
                <w:sz w:val="18"/>
                <w:szCs w:val="18"/>
                <w:lang w:val="en-GB" w:eastAsia="en-CA"/>
              </w:rPr>
              <w:t>In place since May 2016</w:t>
            </w:r>
          </w:p>
          <w:p w14:paraId="4E0E3817" w14:textId="77777777" w:rsidR="00BD34F4" w:rsidRPr="000A7144" w:rsidRDefault="00BD34F4" w:rsidP="008254FF">
            <w:pPr>
              <w:keepNext/>
              <w:keepLines/>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February 2016</w:t>
            </w:r>
          </w:p>
        </w:tc>
      </w:tr>
      <w:tr w:rsidR="00BD34F4" w:rsidRPr="000A7144" w14:paraId="333DE449" w14:textId="77777777" w:rsidTr="00574940">
        <w:trPr>
          <w:tblHeader/>
        </w:trPr>
        <w:tc>
          <w:tcPr>
            <w:tcW w:w="4537" w:type="dxa"/>
            <w:shd w:val="clear" w:color="auto" w:fill="auto"/>
          </w:tcPr>
          <w:p w14:paraId="6E0E89B6" w14:textId="77777777" w:rsidR="00BD34F4" w:rsidRPr="000A7144" w:rsidRDefault="00BD34F4" w:rsidP="008254FF">
            <w:pPr>
              <w:keepNext/>
              <w:keepLines/>
              <w:spacing w:before="40" w:after="40"/>
              <w:rPr>
                <w:sz w:val="18"/>
                <w:szCs w:val="18"/>
                <w:lang w:val="en-GB" w:eastAsia="en-CA" w:bidi="en-US"/>
              </w:rPr>
            </w:pPr>
            <w:r w:rsidRPr="000A7144">
              <w:rPr>
                <w:sz w:val="18"/>
                <w:szCs w:val="18"/>
                <w:lang w:val="en-GB" w:eastAsia="en-CA" w:bidi="en-US"/>
              </w:rPr>
              <w:t>Administrative support staff (G-6)</w:t>
            </w:r>
          </w:p>
          <w:p w14:paraId="3EC5F00C" w14:textId="77777777" w:rsidR="00BD34F4" w:rsidRPr="000A7144" w:rsidRDefault="00BD34F4" w:rsidP="008254FF">
            <w:pPr>
              <w:keepNext/>
              <w:keepLines/>
              <w:spacing w:before="40" w:after="40"/>
              <w:rPr>
                <w:sz w:val="18"/>
                <w:szCs w:val="18"/>
                <w:lang w:val="en-GB" w:eastAsia="en-CA" w:bidi="en-US"/>
              </w:rPr>
            </w:pPr>
            <w:r w:rsidRPr="000A7144">
              <w:rPr>
                <w:sz w:val="18"/>
                <w:szCs w:val="18"/>
                <w:lang w:val="en-GB" w:eastAsia="en-CA" w:bidi="en-US"/>
              </w:rPr>
              <w:t>Administrative support staff (G-6)</w:t>
            </w:r>
            <w:r w:rsidRPr="000A7144">
              <w:rPr>
                <w:sz w:val="18"/>
                <w:szCs w:val="18"/>
                <w:vertAlign w:val="superscript"/>
                <w:lang w:val="en-GB" w:eastAsia="en-CA" w:bidi="en-US"/>
              </w:rPr>
              <w:t>b</w:t>
            </w:r>
          </w:p>
        </w:tc>
        <w:tc>
          <w:tcPr>
            <w:tcW w:w="3631" w:type="dxa"/>
            <w:shd w:val="clear" w:color="auto" w:fill="auto"/>
          </w:tcPr>
          <w:p w14:paraId="4A96C99C" w14:textId="1FA6E485" w:rsidR="00BD34F4" w:rsidRPr="000A7144" w:rsidRDefault="004F6989" w:rsidP="008254FF">
            <w:pPr>
              <w:keepNext/>
              <w:keepLines/>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May 2016</w:t>
            </w:r>
          </w:p>
          <w:p w14:paraId="15C149EE" w14:textId="77777777" w:rsidR="00BD34F4" w:rsidRPr="000A7144" w:rsidRDefault="00BD34F4" w:rsidP="008254FF">
            <w:pPr>
              <w:keepNext/>
              <w:keepLines/>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August 2016</w:t>
            </w:r>
          </w:p>
        </w:tc>
      </w:tr>
      <w:tr w:rsidR="00BD34F4" w:rsidRPr="000A7144" w14:paraId="36DBCDF0" w14:textId="77777777" w:rsidTr="00574940">
        <w:trPr>
          <w:tblHeader/>
        </w:trPr>
        <w:tc>
          <w:tcPr>
            <w:tcW w:w="4537" w:type="dxa"/>
            <w:shd w:val="clear" w:color="auto" w:fill="auto"/>
          </w:tcPr>
          <w:p w14:paraId="686BA088" w14:textId="77777777" w:rsidR="00BD34F4" w:rsidRPr="000A7144" w:rsidRDefault="00BD34F4" w:rsidP="00860BD1">
            <w:pPr>
              <w:spacing w:before="40" w:after="40"/>
              <w:rPr>
                <w:sz w:val="18"/>
                <w:szCs w:val="18"/>
                <w:lang w:val="en-GB" w:eastAsia="en-CA" w:bidi="en-US"/>
              </w:rPr>
            </w:pPr>
            <w:r w:rsidRPr="000A7144">
              <w:rPr>
                <w:sz w:val="18"/>
                <w:szCs w:val="18"/>
                <w:lang w:val="en-GB" w:eastAsia="en-CA" w:bidi="en-US"/>
              </w:rPr>
              <w:t>Administrative support staff (G-5)</w:t>
            </w:r>
          </w:p>
        </w:tc>
        <w:tc>
          <w:tcPr>
            <w:tcW w:w="3631" w:type="dxa"/>
            <w:shd w:val="clear" w:color="auto" w:fill="auto"/>
          </w:tcPr>
          <w:p w14:paraId="03FA5D59" w14:textId="77777777" w:rsidR="00BD34F4" w:rsidRPr="000A7144" w:rsidRDefault="00BD34F4" w:rsidP="00E16FF9">
            <w:pPr>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July 2016</w:t>
            </w:r>
          </w:p>
        </w:tc>
      </w:tr>
      <w:tr w:rsidR="00BD34F4" w:rsidRPr="000A7144" w14:paraId="0B6925BA" w14:textId="77777777" w:rsidTr="00574940">
        <w:trPr>
          <w:tblHeader/>
        </w:trPr>
        <w:tc>
          <w:tcPr>
            <w:tcW w:w="4537" w:type="dxa"/>
            <w:tcBorders>
              <w:bottom w:val="single" w:sz="12" w:space="0" w:color="auto"/>
            </w:tcBorders>
            <w:shd w:val="clear" w:color="auto" w:fill="auto"/>
          </w:tcPr>
          <w:p w14:paraId="29784947" w14:textId="77777777" w:rsidR="00BD34F4" w:rsidRPr="000A7144" w:rsidRDefault="00BD34F4" w:rsidP="00E16FF9">
            <w:pPr>
              <w:spacing w:before="40" w:after="40"/>
              <w:rPr>
                <w:sz w:val="18"/>
                <w:szCs w:val="18"/>
                <w:lang w:val="en-GB" w:eastAsia="en-CA" w:bidi="en-US"/>
              </w:rPr>
            </w:pPr>
            <w:r w:rsidRPr="000A7144">
              <w:rPr>
                <w:sz w:val="18"/>
                <w:szCs w:val="18"/>
                <w:lang w:val="en-GB" w:eastAsia="en-CA" w:bidi="en-US"/>
              </w:rPr>
              <w:t>Administrative support staff (G-5)</w:t>
            </w:r>
          </w:p>
          <w:p w14:paraId="06A00183" w14:textId="77777777" w:rsidR="00BD34F4" w:rsidRPr="000A7144" w:rsidRDefault="00BD34F4" w:rsidP="00E16FF9">
            <w:pPr>
              <w:spacing w:before="40" w:after="40"/>
              <w:rPr>
                <w:sz w:val="18"/>
                <w:szCs w:val="18"/>
                <w:lang w:val="en-GB" w:eastAsia="en-CA" w:bidi="en-US"/>
              </w:rPr>
            </w:pPr>
            <w:r w:rsidRPr="000A7144">
              <w:rPr>
                <w:sz w:val="18"/>
                <w:szCs w:val="18"/>
                <w:lang w:val="en-GB" w:eastAsia="en-CA" w:bidi="en-US"/>
              </w:rPr>
              <w:t>Administrative support staff (G-5)</w:t>
            </w:r>
            <w:r w:rsidRPr="000A7144">
              <w:rPr>
                <w:sz w:val="18"/>
                <w:szCs w:val="18"/>
                <w:vertAlign w:val="superscript"/>
                <w:lang w:val="en-GB" w:eastAsia="en-CA" w:bidi="en-US"/>
              </w:rPr>
              <w:t>b</w:t>
            </w:r>
          </w:p>
        </w:tc>
        <w:tc>
          <w:tcPr>
            <w:tcW w:w="3631" w:type="dxa"/>
            <w:tcBorders>
              <w:bottom w:val="single" w:sz="12" w:space="0" w:color="auto"/>
            </w:tcBorders>
            <w:shd w:val="clear" w:color="auto" w:fill="auto"/>
          </w:tcPr>
          <w:p w14:paraId="4366B477" w14:textId="77777777" w:rsidR="00BD34F4" w:rsidRPr="000A7144" w:rsidRDefault="00BD34F4" w:rsidP="00E16FF9">
            <w:pPr>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July 2013</w:t>
            </w:r>
          </w:p>
          <w:p w14:paraId="562603B5" w14:textId="77777777" w:rsidR="00BD34F4" w:rsidRPr="000A7144" w:rsidRDefault="00BD34F4" w:rsidP="00E16FF9">
            <w:pPr>
              <w:tabs>
                <w:tab w:val="clear" w:pos="1247"/>
                <w:tab w:val="clear" w:pos="1814"/>
                <w:tab w:val="clear" w:pos="2381"/>
                <w:tab w:val="clear" w:pos="2948"/>
                <w:tab w:val="clear" w:pos="3515"/>
              </w:tabs>
              <w:spacing w:before="40" w:after="40"/>
              <w:rPr>
                <w:sz w:val="18"/>
                <w:szCs w:val="18"/>
                <w:lang w:val="en-GB" w:eastAsia="en-CA" w:bidi="en-US"/>
              </w:rPr>
            </w:pPr>
            <w:r w:rsidRPr="000A7144">
              <w:rPr>
                <w:sz w:val="18"/>
                <w:szCs w:val="18"/>
                <w:lang w:val="en-GB" w:eastAsia="en-CA" w:bidi="en-US"/>
              </w:rPr>
              <w:t>In place since August 2015</w:t>
            </w:r>
          </w:p>
        </w:tc>
      </w:tr>
    </w:tbl>
    <w:p w14:paraId="5BD9046B" w14:textId="50C141A9" w:rsidR="00BD34F4" w:rsidRPr="000A7144" w:rsidRDefault="00BD34F4" w:rsidP="004F6989">
      <w:pPr>
        <w:tabs>
          <w:tab w:val="clear" w:pos="1247"/>
          <w:tab w:val="clear" w:pos="1814"/>
          <w:tab w:val="clear" w:pos="2381"/>
          <w:tab w:val="clear" w:pos="2948"/>
          <w:tab w:val="clear" w:pos="3515"/>
        </w:tabs>
        <w:suppressAutoHyphens/>
        <w:spacing w:before="40" w:after="40"/>
        <w:ind w:left="1247" w:right="284"/>
        <w:rPr>
          <w:sz w:val="18"/>
          <w:szCs w:val="18"/>
          <w:lang w:val="en-GB"/>
        </w:rPr>
      </w:pPr>
      <w:proofErr w:type="spellStart"/>
      <w:proofErr w:type="gramStart"/>
      <w:r w:rsidRPr="000A7144">
        <w:rPr>
          <w:sz w:val="18"/>
          <w:szCs w:val="18"/>
          <w:vertAlign w:val="superscript"/>
          <w:lang w:val="en-GB" w:eastAsia="en-CA" w:bidi="en-US"/>
        </w:rPr>
        <w:t>a</w:t>
      </w:r>
      <w:proofErr w:type="spellEnd"/>
      <w:proofErr w:type="gramEnd"/>
      <w:r w:rsidRPr="000A7144">
        <w:rPr>
          <w:sz w:val="18"/>
          <w:szCs w:val="18"/>
          <w:lang w:val="en-GB"/>
        </w:rPr>
        <w:t xml:space="preserve"> </w:t>
      </w:r>
      <w:r w:rsidR="0088052C" w:rsidRPr="000A7144">
        <w:rPr>
          <w:sz w:val="18"/>
          <w:szCs w:val="18"/>
          <w:lang w:val="en-GB"/>
        </w:rPr>
        <w:t>I</w:t>
      </w:r>
      <w:r w:rsidRPr="000A7144">
        <w:rPr>
          <w:sz w:val="18"/>
          <w:szCs w:val="18"/>
          <w:lang w:val="en-GB"/>
        </w:rPr>
        <w:t>ndicates in-kind position received fr</w:t>
      </w:r>
      <w:bookmarkStart w:id="0" w:name="_GoBack"/>
      <w:bookmarkEnd w:id="0"/>
      <w:r w:rsidRPr="000A7144">
        <w:rPr>
          <w:sz w:val="18"/>
          <w:szCs w:val="18"/>
          <w:lang w:val="en-GB"/>
        </w:rPr>
        <w:t>om UNEP</w:t>
      </w:r>
      <w:r w:rsidR="00F76A66" w:rsidRPr="000A7144">
        <w:rPr>
          <w:sz w:val="18"/>
          <w:szCs w:val="18"/>
          <w:lang w:val="en-GB"/>
        </w:rPr>
        <w:t>.</w:t>
      </w:r>
    </w:p>
    <w:p w14:paraId="2F8B7163" w14:textId="77777777" w:rsidR="00BD34F4" w:rsidRPr="000A7144" w:rsidRDefault="00BD34F4" w:rsidP="004F6989">
      <w:pPr>
        <w:tabs>
          <w:tab w:val="clear" w:pos="1247"/>
          <w:tab w:val="clear" w:pos="1814"/>
          <w:tab w:val="clear" w:pos="2381"/>
          <w:tab w:val="clear" w:pos="2948"/>
          <w:tab w:val="clear" w:pos="3515"/>
        </w:tabs>
        <w:suppressAutoHyphens/>
        <w:spacing w:before="20" w:after="40"/>
        <w:ind w:left="1247" w:right="284"/>
        <w:rPr>
          <w:sz w:val="17"/>
          <w:szCs w:val="17"/>
          <w:lang w:val="en-GB"/>
        </w:rPr>
      </w:pPr>
      <w:proofErr w:type="gramStart"/>
      <w:r w:rsidRPr="000A7144">
        <w:rPr>
          <w:sz w:val="18"/>
          <w:szCs w:val="18"/>
          <w:vertAlign w:val="superscript"/>
          <w:lang w:val="en-GB"/>
        </w:rPr>
        <w:t>b</w:t>
      </w:r>
      <w:proofErr w:type="gramEnd"/>
      <w:r w:rsidRPr="000A7144">
        <w:rPr>
          <w:sz w:val="17"/>
          <w:szCs w:val="17"/>
          <w:lang w:val="en-GB"/>
        </w:rPr>
        <w:t xml:space="preserve"> </w:t>
      </w:r>
      <w:r w:rsidRPr="000A7144">
        <w:rPr>
          <w:sz w:val="18"/>
          <w:szCs w:val="18"/>
          <w:lang w:val="en-GB"/>
        </w:rPr>
        <w:t>Indicates the positions agreed by the Plenary at its third session</w:t>
      </w:r>
      <w:r w:rsidRPr="000A7144">
        <w:rPr>
          <w:sz w:val="17"/>
          <w:szCs w:val="17"/>
          <w:lang w:val="en-GB"/>
        </w:rPr>
        <w:t>.</w:t>
      </w:r>
    </w:p>
    <w:p w14:paraId="5427A9FC" w14:textId="77777777" w:rsidR="004F6989" w:rsidRPr="000A7144" w:rsidRDefault="004F6989" w:rsidP="004F6989">
      <w:pPr>
        <w:pStyle w:val="Normal-pool"/>
      </w:pPr>
    </w:p>
    <w:tbl>
      <w:tblPr>
        <w:tblW w:w="0" w:type="auto"/>
        <w:tblLook w:val="04A0" w:firstRow="1" w:lastRow="0" w:firstColumn="1" w:lastColumn="0" w:noHBand="0" w:noVBand="1"/>
      </w:tblPr>
      <w:tblGrid>
        <w:gridCol w:w="1942"/>
        <w:gridCol w:w="1942"/>
        <w:gridCol w:w="1942"/>
        <w:gridCol w:w="1943"/>
        <w:gridCol w:w="1943"/>
      </w:tblGrid>
      <w:tr w:rsidR="00BD34F4" w:rsidRPr="000A7144" w14:paraId="444B9728" w14:textId="77777777" w:rsidTr="00ED1345">
        <w:tc>
          <w:tcPr>
            <w:tcW w:w="1942" w:type="dxa"/>
            <w:shd w:val="clear" w:color="auto" w:fill="auto"/>
          </w:tcPr>
          <w:p w14:paraId="1389A7C1" w14:textId="77777777" w:rsidR="00BD34F4" w:rsidRPr="000A7144" w:rsidRDefault="00BD34F4" w:rsidP="00B42DC1">
            <w:pPr>
              <w:tabs>
                <w:tab w:val="clear" w:pos="1247"/>
                <w:tab w:val="clear" w:pos="1814"/>
                <w:tab w:val="clear" w:pos="2381"/>
                <w:tab w:val="clear" w:pos="2948"/>
                <w:tab w:val="clear" w:pos="3515"/>
                <w:tab w:val="left" w:pos="624"/>
              </w:tabs>
              <w:spacing w:before="520"/>
              <w:rPr>
                <w:lang w:val="en-GB"/>
              </w:rPr>
            </w:pPr>
          </w:p>
        </w:tc>
        <w:tc>
          <w:tcPr>
            <w:tcW w:w="1942" w:type="dxa"/>
            <w:shd w:val="clear" w:color="auto" w:fill="auto"/>
          </w:tcPr>
          <w:p w14:paraId="22F540DA" w14:textId="77777777" w:rsidR="00BD34F4" w:rsidRPr="000A7144" w:rsidRDefault="00BD34F4" w:rsidP="00B42DC1">
            <w:pPr>
              <w:tabs>
                <w:tab w:val="clear" w:pos="1247"/>
                <w:tab w:val="clear" w:pos="1814"/>
                <w:tab w:val="clear" w:pos="2381"/>
                <w:tab w:val="clear" w:pos="2948"/>
                <w:tab w:val="clear" w:pos="3515"/>
                <w:tab w:val="left" w:pos="624"/>
              </w:tabs>
              <w:spacing w:before="520"/>
              <w:rPr>
                <w:lang w:val="en-GB"/>
              </w:rPr>
            </w:pPr>
          </w:p>
        </w:tc>
        <w:tc>
          <w:tcPr>
            <w:tcW w:w="1942" w:type="dxa"/>
            <w:tcBorders>
              <w:bottom w:val="single" w:sz="4" w:space="0" w:color="auto"/>
            </w:tcBorders>
            <w:shd w:val="clear" w:color="auto" w:fill="auto"/>
          </w:tcPr>
          <w:p w14:paraId="35C5A557" w14:textId="77777777" w:rsidR="00BD34F4" w:rsidRPr="000A7144" w:rsidRDefault="00BD34F4" w:rsidP="00B42DC1">
            <w:pPr>
              <w:tabs>
                <w:tab w:val="clear" w:pos="1247"/>
                <w:tab w:val="clear" w:pos="1814"/>
                <w:tab w:val="clear" w:pos="2381"/>
                <w:tab w:val="clear" w:pos="2948"/>
                <w:tab w:val="clear" w:pos="3515"/>
                <w:tab w:val="left" w:pos="624"/>
              </w:tabs>
              <w:spacing w:before="520"/>
              <w:rPr>
                <w:lang w:val="en-GB"/>
              </w:rPr>
            </w:pPr>
          </w:p>
        </w:tc>
        <w:tc>
          <w:tcPr>
            <w:tcW w:w="1943" w:type="dxa"/>
            <w:shd w:val="clear" w:color="auto" w:fill="auto"/>
          </w:tcPr>
          <w:p w14:paraId="7A64D2A5" w14:textId="77777777" w:rsidR="00BD34F4" w:rsidRPr="000A7144" w:rsidRDefault="00BD34F4" w:rsidP="00B42DC1">
            <w:pPr>
              <w:tabs>
                <w:tab w:val="clear" w:pos="1247"/>
                <w:tab w:val="clear" w:pos="1814"/>
                <w:tab w:val="clear" w:pos="2381"/>
                <w:tab w:val="clear" w:pos="2948"/>
                <w:tab w:val="clear" w:pos="3515"/>
                <w:tab w:val="left" w:pos="624"/>
              </w:tabs>
              <w:spacing w:before="520"/>
              <w:rPr>
                <w:lang w:val="en-GB"/>
              </w:rPr>
            </w:pPr>
          </w:p>
        </w:tc>
        <w:tc>
          <w:tcPr>
            <w:tcW w:w="1943" w:type="dxa"/>
            <w:shd w:val="clear" w:color="auto" w:fill="auto"/>
          </w:tcPr>
          <w:p w14:paraId="08F1EE32" w14:textId="77777777" w:rsidR="00BD34F4" w:rsidRPr="000A7144" w:rsidRDefault="00BD34F4" w:rsidP="00B42DC1">
            <w:pPr>
              <w:tabs>
                <w:tab w:val="clear" w:pos="1247"/>
                <w:tab w:val="clear" w:pos="1814"/>
                <w:tab w:val="clear" w:pos="2381"/>
                <w:tab w:val="clear" w:pos="2948"/>
                <w:tab w:val="clear" w:pos="3515"/>
                <w:tab w:val="left" w:pos="624"/>
              </w:tabs>
              <w:spacing w:before="520"/>
              <w:rPr>
                <w:lang w:val="en-GB"/>
              </w:rPr>
            </w:pPr>
          </w:p>
        </w:tc>
      </w:tr>
    </w:tbl>
    <w:p w14:paraId="22F2ACB4" w14:textId="77777777" w:rsidR="00BD34F4" w:rsidRPr="000A7144" w:rsidRDefault="00BD34F4" w:rsidP="00BD34F4">
      <w:pPr>
        <w:rPr>
          <w:lang w:val="en-GB"/>
        </w:rPr>
      </w:pPr>
    </w:p>
    <w:sectPr w:rsidR="00BD34F4" w:rsidRPr="000A7144" w:rsidSect="006E672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416677" w15:done="0"/>
  <w15:commentEx w15:paraId="4236DF0B" w15:done="0"/>
  <w15:commentEx w15:paraId="6FDB8650" w15:done="0"/>
  <w15:commentEx w15:paraId="3784CB61" w15:done="0"/>
  <w15:commentEx w15:paraId="16E0B683" w15:paraIdParent="3784CB61" w15:done="0"/>
  <w15:commentEx w15:paraId="71C0C0E7" w15:done="0"/>
  <w15:commentEx w15:paraId="35718A0E" w15:done="0"/>
  <w15:commentEx w15:paraId="29DB3DDD" w15:paraIdParent="35718A0E" w15:done="0"/>
  <w15:commentEx w15:paraId="6DD32509" w15:done="0"/>
  <w15:commentEx w15:paraId="1713C239" w15:done="0"/>
  <w15:commentEx w15:paraId="5EF7E418" w15:done="0"/>
  <w15:commentEx w15:paraId="275B0F5E" w15:done="0"/>
  <w15:commentEx w15:paraId="52ADB6DA" w15:done="0"/>
  <w15:commentEx w15:paraId="6281EB94" w15:done="0"/>
  <w15:commentEx w15:paraId="5DA25164" w15:done="0"/>
  <w15:commentEx w15:paraId="338313B0" w15:done="0"/>
  <w15:commentEx w15:paraId="673F60B4" w15:done="0"/>
  <w15:commentEx w15:paraId="131CA047" w15:done="0"/>
  <w15:commentEx w15:paraId="35F4B3E9" w15:done="0"/>
  <w15:commentEx w15:paraId="697B2447" w15:done="0"/>
  <w15:commentEx w15:paraId="5D6AF2C0" w15:done="0"/>
  <w15:commentEx w15:paraId="0A7E0708" w15:done="0"/>
  <w15:commentEx w15:paraId="532CD3BD" w15:done="0"/>
  <w15:commentEx w15:paraId="414DFCC9" w15:done="0"/>
  <w15:commentEx w15:paraId="72921E34" w15:paraIdParent="414DFCC9" w15:done="0"/>
  <w15:commentEx w15:paraId="2CE70F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9C2CD" w14:textId="77777777" w:rsidR="001365D6" w:rsidRDefault="001365D6">
      <w:r>
        <w:separator/>
      </w:r>
    </w:p>
  </w:endnote>
  <w:endnote w:type="continuationSeparator" w:id="0">
    <w:p w14:paraId="24E60993" w14:textId="77777777" w:rsidR="001365D6" w:rsidRDefault="0013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52C1" w14:textId="7F62C77F" w:rsidR="001365D6" w:rsidRDefault="001365D6">
    <w:pPr>
      <w:pStyle w:val="Footer"/>
    </w:pPr>
    <w:r>
      <w:rPr>
        <w:rStyle w:val="PageNumber"/>
      </w:rPr>
      <w:fldChar w:fldCharType="begin"/>
    </w:r>
    <w:r>
      <w:rPr>
        <w:rStyle w:val="PageNumber"/>
      </w:rPr>
      <w:instrText xml:space="preserve"> PAGE </w:instrText>
    </w:r>
    <w:r>
      <w:rPr>
        <w:rStyle w:val="PageNumber"/>
      </w:rPr>
      <w:fldChar w:fldCharType="separate"/>
    </w:r>
    <w:r w:rsidR="000A7144">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9ABE" w14:textId="1EDC5F95" w:rsidR="001365D6" w:rsidRDefault="001365D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A714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82DA" w14:textId="090C228B" w:rsidR="001365D6" w:rsidRPr="00A317C7" w:rsidRDefault="001365D6">
    <w:pPr>
      <w:pStyle w:val="Footer"/>
      <w:rPr>
        <w:sz w:val="20"/>
      </w:rPr>
    </w:pPr>
    <w:r w:rsidRPr="00A317C7">
      <w:rPr>
        <w:sz w:val="20"/>
      </w:rPr>
      <w:t>K1611549</w:t>
    </w:r>
    <w:r w:rsidRPr="00A317C7">
      <w:rPr>
        <w:sz w:val="20"/>
      </w:rPr>
      <w:tab/>
    </w:r>
    <w:r w:rsidR="00BF5AE1">
      <w:rPr>
        <w:sz w:val="20"/>
      </w:rPr>
      <w:t>190117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B4BD" w14:textId="77777777" w:rsidR="001365D6" w:rsidRPr="004F6989" w:rsidRDefault="001365D6" w:rsidP="004F6989">
      <w:pPr>
        <w:tabs>
          <w:tab w:val="clear" w:pos="1247"/>
          <w:tab w:val="clear" w:pos="1814"/>
          <w:tab w:val="clear" w:pos="2381"/>
          <w:tab w:val="clear" w:pos="2948"/>
          <w:tab w:val="clear" w:pos="3515"/>
          <w:tab w:val="left" w:pos="624"/>
        </w:tabs>
        <w:spacing w:before="60"/>
        <w:ind w:left="624"/>
        <w:rPr>
          <w:sz w:val="18"/>
          <w:szCs w:val="18"/>
        </w:rPr>
      </w:pPr>
      <w:r w:rsidRPr="004F6989">
        <w:rPr>
          <w:sz w:val="18"/>
          <w:szCs w:val="18"/>
        </w:rPr>
        <w:separator/>
      </w:r>
    </w:p>
  </w:footnote>
  <w:footnote w:type="continuationSeparator" w:id="0">
    <w:p w14:paraId="1E0598C4" w14:textId="77777777" w:rsidR="001365D6" w:rsidRDefault="001365D6">
      <w:r>
        <w:continuationSeparator/>
      </w:r>
    </w:p>
  </w:footnote>
  <w:footnote w:id="1">
    <w:p w14:paraId="12F9D097" w14:textId="1DE84AEF" w:rsidR="001365D6" w:rsidRPr="00A317C7" w:rsidRDefault="001365D6" w:rsidP="004F6989">
      <w:pPr>
        <w:pStyle w:val="FootnoteText"/>
        <w:tabs>
          <w:tab w:val="clear" w:pos="1247"/>
          <w:tab w:val="clear" w:pos="2381"/>
          <w:tab w:val="clear" w:pos="2948"/>
          <w:tab w:val="clear" w:pos="3515"/>
          <w:tab w:val="left" w:pos="624"/>
          <w:tab w:val="right" w:pos="1195"/>
          <w:tab w:val="left" w:pos="1267"/>
          <w:tab w:val="left" w:pos="1742"/>
          <w:tab w:val="left" w:pos="2218"/>
          <w:tab w:val="left" w:pos="4240"/>
        </w:tabs>
        <w:rPr>
          <w:szCs w:val="18"/>
          <w:lang w:val="en-US"/>
        </w:rPr>
      </w:pPr>
      <w:r w:rsidRPr="00BD1994">
        <w:rPr>
          <w:rStyle w:val="FootnoteReference"/>
          <w:spacing w:val="5"/>
          <w:w w:val="104"/>
          <w:sz w:val="18"/>
          <w:vertAlign w:val="baseline"/>
          <w:lang w:val="en-US"/>
        </w:rPr>
        <w:t>*</w:t>
      </w:r>
      <w:r w:rsidRPr="00BD1994">
        <w:rPr>
          <w:szCs w:val="18"/>
          <w:lang w:val="en-US"/>
        </w:rPr>
        <w:t xml:space="preserve"> IPBES/5/1</w:t>
      </w:r>
      <w:r>
        <w:rPr>
          <w:szCs w:val="18"/>
          <w:lang w:val="en-US"/>
        </w:rPr>
        <w:t>/Rev.1</w:t>
      </w:r>
      <w:r w:rsidRPr="00BD1994">
        <w:rPr>
          <w:szCs w:val="18"/>
          <w:lang w:val="en-US"/>
        </w:rPr>
        <w:t>.</w:t>
      </w:r>
    </w:p>
  </w:footnote>
  <w:footnote w:id="2">
    <w:p w14:paraId="14C3E9A7" w14:textId="4A10BF2E" w:rsidR="001365D6" w:rsidRPr="00A317C7" w:rsidRDefault="001365D6" w:rsidP="004F6989">
      <w:pPr>
        <w:pStyle w:val="FootnoteText"/>
        <w:tabs>
          <w:tab w:val="left" w:pos="624"/>
        </w:tabs>
        <w:rPr>
          <w:b/>
          <w:bCs/>
          <w:szCs w:val="18"/>
          <w:lang w:val="en-US"/>
        </w:rPr>
      </w:pPr>
      <w:r w:rsidRPr="00A317C7">
        <w:rPr>
          <w:rStyle w:val="FootnoteReference"/>
          <w:sz w:val="18"/>
        </w:rPr>
        <w:footnoteRef/>
      </w:r>
      <w:r w:rsidRPr="00A317C7">
        <w:rPr>
          <w:szCs w:val="18"/>
          <w:lang w:val="en-US"/>
        </w:rPr>
        <w:t xml:space="preserve"> </w:t>
      </w:r>
      <w:r w:rsidRPr="0021799D">
        <w:rPr>
          <w:szCs w:val="18"/>
          <w:lang w:val="en-US"/>
        </w:rPr>
        <w:t>These</w:t>
      </w:r>
      <w:r w:rsidRPr="00E26B76">
        <w:rPr>
          <w:szCs w:val="18"/>
          <w:lang w:val="en-US"/>
        </w:rPr>
        <w:t xml:space="preserve"> include the seventh and eighth meetings of the Multidisciplinary Expert Panel and the Bureau</w:t>
      </w:r>
      <w:r w:rsidRPr="00423443">
        <w:rPr>
          <w:szCs w:val="18"/>
          <w:lang w:val="en-US"/>
        </w:rPr>
        <w:t>, but exclude the fourth and fifth sessions of the Plenary.</w:t>
      </w:r>
    </w:p>
  </w:footnote>
  <w:footnote w:id="3">
    <w:p w14:paraId="3AE7795F" w14:textId="441CAA5B" w:rsidR="001365D6" w:rsidRPr="00A317C7" w:rsidRDefault="001365D6" w:rsidP="004F6989">
      <w:pPr>
        <w:pStyle w:val="FootnoteText"/>
        <w:tabs>
          <w:tab w:val="clear" w:pos="1247"/>
          <w:tab w:val="clear" w:pos="1814"/>
          <w:tab w:val="clear" w:pos="2381"/>
          <w:tab w:val="clear" w:pos="2948"/>
          <w:tab w:val="clear" w:pos="3515"/>
          <w:tab w:val="left" w:pos="624"/>
        </w:tabs>
        <w:rPr>
          <w:szCs w:val="18"/>
          <w:lang w:val="en-US"/>
        </w:rPr>
      </w:pPr>
      <w:r w:rsidRPr="00A317C7">
        <w:rPr>
          <w:rStyle w:val="FootnoteReference"/>
          <w:sz w:val="18"/>
        </w:rPr>
        <w:footnoteRef/>
      </w:r>
      <w:r w:rsidRPr="00A317C7">
        <w:rPr>
          <w:szCs w:val="18"/>
          <w:lang w:val="en-US"/>
        </w:rPr>
        <w:t xml:space="preserve"> In total, 1302 experts were selected in response to calls in 2014, 2015 and 2016 to perform work for the Platform, distributed as follows: African States, 16 per cent; Asia-Pacific States, 20 per cent; Latin American and Caribbean States, 17 per cent; Eastern European States, 10 per cent; and Western European and other States, 36</w:t>
      </w:r>
      <w:r>
        <w:rPr>
          <w:szCs w:val="18"/>
          <w:lang w:val="en-US"/>
        </w:rPr>
        <w:t> </w:t>
      </w:r>
      <w:r w:rsidRPr="00A317C7">
        <w:rPr>
          <w:szCs w:val="18"/>
          <w:lang w:val="en-US"/>
        </w:rPr>
        <w:t>per cent. In terms of gender balance, 22 per cent of government nominees were women.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2032" w14:textId="23DC8981" w:rsidR="001365D6" w:rsidRPr="00A317C7" w:rsidRDefault="001365D6" w:rsidP="00A317C7">
    <w:pPr>
      <w:pStyle w:val="Header"/>
      <w:rPr>
        <w:szCs w:val="18"/>
      </w:rPr>
    </w:pPr>
    <w:r w:rsidRPr="00BD34F4">
      <w:rPr>
        <w:szCs w:val="18"/>
        <w:lang w:val="en-GB"/>
      </w:rPr>
      <w:t>IPBES/5/2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D714" w14:textId="5E93D4FB" w:rsidR="001365D6" w:rsidRPr="00A317C7" w:rsidRDefault="001365D6" w:rsidP="00A317C7">
    <w:pPr>
      <w:pStyle w:val="Header"/>
      <w:jc w:val="right"/>
      <w:rPr>
        <w:szCs w:val="18"/>
      </w:rPr>
    </w:pPr>
    <w:r w:rsidRPr="00BD34F4">
      <w:rPr>
        <w:szCs w:val="18"/>
        <w:lang w:val="en-GB"/>
      </w:rPr>
      <w:t>IPBES/5/2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6F8C" w14:textId="638296B5" w:rsidR="001365D6" w:rsidRDefault="001365D6" w:rsidP="00B30E8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2"/>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e Schiele">
    <w15:presenceInfo w15:providerId="AD" w15:userId="S-1-5-21-95821832-833947585-1217154298-23003"/>
  </w15:person>
  <w15:person w15:author="Anne Larigauderie">
    <w15:presenceInfo w15:providerId="AD" w15:userId="S-1-5-21-95821832-833947585-1217154298-2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4"/>
    <w:rsid w:val="000108FB"/>
    <w:rsid w:val="000149E6"/>
    <w:rsid w:val="000161C8"/>
    <w:rsid w:val="00020372"/>
    <w:rsid w:val="000247B0"/>
    <w:rsid w:val="00026997"/>
    <w:rsid w:val="00033E0B"/>
    <w:rsid w:val="00035EDE"/>
    <w:rsid w:val="000433E6"/>
    <w:rsid w:val="000509B4"/>
    <w:rsid w:val="0006035B"/>
    <w:rsid w:val="00071886"/>
    <w:rsid w:val="000742BC"/>
    <w:rsid w:val="00082A0C"/>
    <w:rsid w:val="00083504"/>
    <w:rsid w:val="00092A56"/>
    <w:rsid w:val="000947BE"/>
    <w:rsid w:val="0009640C"/>
    <w:rsid w:val="00097243"/>
    <w:rsid w:val="000A7144"/>
    <w:rsid w:val="000B1182"/>
    <w:rsid w:val="000B22A2"/>
    <w:rsid w:val="000C2A52"/>
    <w:rsid w:val="000D33C0"/>
    <w:rsid w:val="000D6941"/>
    <w:rsid w:val="001070A0"/>
    <w:rsid w:val="001202E3"/>
    <w:rsid w:val="00121526"/>
    <w:rsid w:val="00123699"/>
    <w:rsid w:val="00126FCC"/>
    <w:rsid w:val="0013059D"/>
    <w:rsid w:val="001365D6"/>
    <w:rsid w:val="00141A55"/>
    <w:rsid w:val="001446A3"/>
    <w:rsid w:val="00147B70"/>
    <w:rsid w:val="00155395"/>
    <w:rsid w:val="00160D74"/>
    <w:rsid w:val="00164F95"/>
    <w:rsid w:val="00167D02"/>
    <w:rsid w:val="00181EC8"/>
    <w:rsid w:val="00184349"/>
    <w:rsid w:val="00195F33"/>
    <w:rsid w:val="001B1617"/>
    <w:rsid w:val="001B504B"/>
    <w:rsid w:val="001D0F26"/>
    <w:rsid w:val="001D3874"/>
    <w:rsid w:val="001D7E75"/>
    <w:rsid w:val="001E3EA7"/>
    <w:rsid w:val="001E56D2"/>
    <w:rsid w:val="001E7D56"/>
    <w:rsid w:val="001E7F4D"/>
    <w:rsid w:val="001F75DE"/>
    <w:rsid w:val="00200D58"/>
    <w:rsid w:val="002013BE"/>
    <w:rsid w:val="002063A4"/>
    <w:rsid w:val="0021145B"/>
    <w:rsid w:val="0021799D"/>
    <w:rsid w:val="00227B93"/>
    <w:rsid w:val="00243D36"/>
    <w:rsid w:val="00247707"/>
    <w:rsid w:val="00256DA1"/>
    <w:rsid w:val="0026018E"/>
    <w:rsid w:val="00261B6E"/>
    <w:rsid w:val="002654F3"/>
    <w:rsid w:val="00286740"/>
    <w:rsid w:val="002929D8"/>
    <w:rsid w:val="002A237D"/>
    <w:rsid w:val="002A4C53"/>
    <w:rsid w:val="002B0672"/>
    <w:rsid w:val="002B247F"/>
    <w:rsid w:val="002C145D"/>
    <w:rsid w:val="002C2C3E"/>
    <w:rsid w:val="002C533E"/>
    <w:rsid w:val="002D027F"/>
    <w:rsid w:val="002D7A85"/>
    <w:rsid w:val="002D7B60"/>
    <w:rsid w:val="002E0F44"/>
    <w:rsid w:val="002F4761"/>
    <w:rsid w:val="002F5C79"/>
    <w:rsid w:val="003019E2"/>
    <w:rsid w:val="0031413F"/>
    <w:rsid w:val="003148BB"/>
    <w:rsid w:val="00317976"/>
    <w:rsid w:val="00323E40"/>
    <w:rsid w:val="00355EA9"/>
    <w:rsid w:val="003578DE"/>
    <w:rsid w:val="0036413A"/>
    <w:rsid w:val="00384884"/>
    <w:rsid w:val="00395DFB"/>
    <w:rsid w:val="00396257"/>
    <w:rsid w:val="00397EB8"/>
    <w:rsid w:val="003A4FD0"/>
    <w:rsid w:val="003A69D1"/>
    <w:rsid w:val="003A7705"/>
    <w:rsid w:val="003A77F1"/>
    <w:rsid w:val="003B1545"/>
    <w:rsid w:val="003C409D"/>
    <w:rsid w:val="003C5BA6"/>
    <w:rsid w:val="003E1630"/>
    <w:rsid w:val="003F0E85"/>
    <w:rsid w:val="003F5485"/>
    <w:rsid w:val="00410C55"/>
    <w:rsid w:val="00416854"/>
    <w:rsid w:val="00417725"/>
    <w:rsid w:val="00423443"/>
    <w:rsid w:val="00437F26"/>
    <w:rsid w:val="00444097"/>
    <w:rsid w:val="00445487"/>
    <w:rsid w:val="00454769"/>
    <w:rsid w:val="00466991"/>
    <w:rsid w:val="0047064C"/>
    <w:rsid w:val="004874A7"/>
    <w:rsid w:val="004A42E1"/>
    <w:rsid w:val="004B162C"/>
    <w:rsid w:val="004C33F8"/>
    <w:rsid w:val="004C34B8"/>
    <w:rsid w:val="004C3DBE"/>
    <w:rsid w:val="004C5C96"/>
    <w:rsid w:val="004D06A4"/>
    <w:rsid w:val="004D66A9"/>
    <w:rsid w:val="004E5479"/>
    <w:rsid w:val="004F1A81"/>
    <w:rsid w:val="004F6989"/>
    <w:rsid w:val="005014FD"/>
    <w:rsid w:val="00503435"/>
    <w:rsid w:val="005218D9"/>
    <w:rsid w:val="00536186"/>
    <w:rsid w:val="00543926"/>
    <w:rsid w:val="00544CBB"/>
    <w:rsid w:val="00556CE2"/>
    <w:rsid w:val="00564D3D"/>
    <w:rsid w:val="0057315F"/>
    <w:rsid w:val="00573618"/>
    <w:rsid w:val="00574940"/>
    <w:rsid w:val="00576104"/>
    <w:rsid w:val="005C67C8"/>
    <w:rsid w:val="005D0249"/>
    <w:rsid w:val="005D6E8C"/>
    <w:rsid w:val="005F100C"/>
    <w:rsid w:val="005F68DA"/>
    <w:rsid w:val="0060773B"/>
    <w:rsid w:val="006157B5"/>
    <w:rsid w:val="0061789E"/>
    <w:rsid w:val="00626FC6"/>
    <w:rsid w:val="006303B4"/>
    <w:rsid w:val="00633D3D"/>
    <w:rsid w:val="00640770"/>
    <w:rsid w:val="00641703"/>
    <w:rsid w:val="00641A50"/>
    <w:rsid w:val="006431A6"/>
    <w:rsid w:val="00643F1A"/>
    <w:rsid w:val="006459F6"/>
    <w:rsid w:val="006501AD"/>
    <w:rsid w:val="00651BFA"/>
    <w:rsid w:val="00654475"/>
    <w:rsid w:val="00665A4B"/>
    <w:rsid w:val="00683B8F"/>
    <w:rsid w:val="00691D7D"/>
    <w:rsid w:val="00692E2A"/>
    <w:rsid w:val="006A76F2"/>
    <w:rsid w:val="006C30A8"/>
    <w:rsid w:val="006D7EFB"/>
    <w:rsid w:val="006E6672"/>
    <w:rsid w:val="006E6722"/>
    <w:rsid w:val="006F7C5E"/>
    <w:rsid w:val="007027B9"/>
    <w:rsid w:val="0070442A"/>
    <w:rsid w:val="007067C8"/>
    <w:rsid w:val="00715E88"/>
    <w:rsid w:val="00734CAA"/>
    <w:rsid w:val="0075533C"/>
    <w:rsid w:val="00757581"/>
    <w:rsid w:val="007611A0"/>
    <w:rsid w:val="00784C64"/>
    <w:rsid w:val="00796D3F"/>
    <w:rsid w:val="00797F96"/>
    <w:rsid w:val="007A1683"/>
    <w:rsid w:val="007A5C12"/>
    <w:rsid w:val="007A7CB0"/>
    <w:rsid w:val="007B420C"/>
    <w:rsid w:val="007B68A3"/>
    <w:rsid w:val="007C15C9"/>
    <w:rsid w:val="007C2541"/>
    <w:rsid w:val="007D66A8"/>
    <w:rsid w:val="007E003F"/>
    <w:rsid w:val="007F6005"/>
    <w:rsid w:val="0081169C"/>
    <w:rsid w:val="008164F2"/>
    <w:rsid w:val="0082027C"/>
    <w:rsid w:val="00821395"/>
    <w:rsid w:val="00824FA5"/>
    <w:rsid w:val="008254FF"/>
    <w:rsid w:val="00830E26"/>
    <w:rsid w:val="0083556C"/>
    <w:rsid w:val="00836B6B"/>
    <w:rsid w:val="00841D6B"/>
    <w:rsid w:val="00843576"/>
    <w:rsid w:val="008438DD"/>
    <w:rsid w:val="00843B64"/>
    <w:rsid w:val="008478FC"/>
    <w:rsid w:val="00853EA7"/>
    <w:rsid w:val="00854E25"/>
    <w:rsid w:val="00860BD1"/>
    <w:rsid w:val="00867BFF"/>
    <w:rsid w:val="008754A0"/>
    <w:rsid w:val="0088052C"/>
    <w:rsid w:val="00881F58"/>
    <w:rsid w:val="0088480A"/>
    <w:rsid w:val="0088757A"/>
    <w:rsid w:val="008957DD"/>
    <w:rsid w:val="00897D98"/>
    <w:rsid w:val="008A6DF2"/>
    <w:rsid w:val="008A7807"/>
    <w:rsid w:val="008B4878"/>
    <w:rsid w:val="008B4CC9"/>
    <w:rsid w:val="008D7C99"/>
    <w:rsid w:val="008E0FCB"/>
    <w:rsid w:val="008F543E"/>
    <w:rsid w:val="0092178C"/>
    <w:rsid w:val="00930B88"/>
    <w:rsid w:val="00940DCC"/>
    <w:rsid w:val="0094179A"/>
    <w:rsid w:val="0094300A"/>
    <w:rsid w:val="0094459E"/>
    <w:rsid w:val="00944DBC"/>
    <w:rsid w:val="00950977"/>
    <w:rsid w:val="00951A7B"/>
    <w:rsid w:val="00952A64"/>
    <w:rsid w:val="009564A6"/>
    <w:rsid w:val="00967621"/>
    <w:rsid w:val="00967E6A"/>
    <w:rsid w:val="00983A5A"/>
    <w:rsid w:val="009B4A0F"/>
    <w:rsid w:val="009C11D2"/>
    <w:rsid w:val="009C43CC"/>
    <w:rsid w:val="009C6C70"/>
    <w:rsid w:val="009C7016"/>
    <w:rsid w:val="009D0B63"/>
    <w:rsid w:val="009D1109"/>
    <w:rsid w:val="009E307E"/>
    <w:rsid w:val="009E7E45"/>
    <w:rsid w:val="009F1587"/>
    <w:rsid w:val="00A07870"/>
    <w:rsid w:val="00A07F19"/>
    <w:rsid w:val="00A1348D"/>
    <w:rsid w:val="00A231BB"/>
    <w:rsid w:val="00A232EE"/>
    <w:rsid w:val="00A317C7"/>
    <w:rsid w:val="00A34328"/>
    <w:rsid w:val="00A4175F"/>
    <w:rsid w:val="00A44411"/>
    <w:rsid w:val="00A469FA"/>
    <w:rsid w:val="00A55B01"/>
    <w:rsid w:val="00A56B5B"/>
    <w:rsid w:val="00A603FF"/>
    <w:rsid w:val="00A657DD"/>
    <w:rsid w:val="00A666A6"/>
    <w:rsid w:val="00A675FD"/>
    <w:rsid w:val="00A72437"/>
    <w:rsid w:val="00A80611"/>
    <w:rsid w:val="00A96388"/>
    <w:rsid w:val="00AA0238"/>
    <w:rsid w:val="00AA220D"/>
    <w:rsid w:val="00AB5340"/>
    <w:rsid w:val="00AC0A89"/>
    <w:rsid w:val="00AC7C96"/>
    <w:rsid w:val="00AE237D"/>
    <w:rsid w:val="00AE502A"/>
    <w:rsid w:val="00AF5C40"/>
    <w:rsid w:val="00AF7C07"/>
    <w:rsid w:val="00B13894"/>
    <w:rsid w:val="00B22C93"/>
    <w:rsid w:val="00B27589"/>
    <w:rsid w:val="00B30E87"/>
    <w:rsid w:val="00B405B7"/>
    <w:rsid w:val="00B42468"/>
    <w:rsid w:val="00B42DC1"/>
    <w:rsid w:val="00B52222"/>
    <w:rsid w:val="00B54FE7"/>
    <w:rsid w:val="00B61F40"/>
    <w:rsid w:val="00B66901"/>
    <w:rsid w:val="00B71E6D"/>
    <w:rsid w:val="00B72070"/>
    <w:rsid w:val="00B779E1"/>
    <w:rsid w:val="00B82EFF"/>
    <w:rsid w:val="00B91EE1"/>
    <w:rsid w:val="00B96003"/>
    <w:rsid w:val="00BA0090"/>
    <w:rsid w:val="00BA1A67"/>
    <w:rsid w:val="00BB59B9"/>
    <w:rsid w:val="00BC033E"/>
    <w:rsid w:val="00BD1994"/>
    <w:rsid w:val="00BD34F4"/>
    <w:rsid w:val="00BE0E37"/>
    <w:rsid w:val="00BE5B5F"/>
    <w:rsid w:val="00BF5AE1"/>
    <w:rsid w:val="00C26F55"/>
    <w:rsid w:val="00C30C63"/>
    <w:rsid w:val="00C36B8B"/>
    <w:rsid w:val="00C415C1"/>
    <w:rsid w:val="00C47DBF"/>
    <w:rsid w:val="00C552FF"/>
    <w:rsid w:val="00C558DA"/>
    <w:rsid w:val="00C55AF3"/>
    <w:rsid w:val="00C643A1"/>
    <w:rsid w:val="00C665A0"/>
    <w:rsid w:val="00C84759"/>
    <w:rsid w:val="00CA6C7F"/>
    <w:rsid w:val="00CB757A"/>
    <w:rsid w:val="00CC10A6"/>
    <w:rsid w:val="00CD5EB8"/>
    <w:rsid w:val="00CD7044"/>
    <w:rsid w:val="00CE08B9"/>
    <w:rsid w:val="00CE524C"/>
    <w:rsid w:val="00CF141F"/>
    <w:rsid w:val="00CF4777"/>
    <w:rsid w:val="00D067BB"/>
    <w:rsid w:val="00D12047"/>
    <w:rsid w:val="00D1352A"/>
    <w:rsid w:val="00D169AF"/>
    <w:rsid w:val="00D25249"/>
    <w:rsid w:val="00D44172"/>
    <w:rsid w:val="00D541DE"/>
    <w:rsid w:val="00D62682"/>
    <w:rsid w:val="00D6343B"/>
    <w:rsid w:val="00D63B8C"/>
    <w:rsid w:val="00D739CC"/>
    <w:rsid w:val="00D8093D"/>
    <w:rsid w:val="00D8108C"/>
    <w:rsid w:val="00D842AE"/>
    <w:rsid w:val="00D9211C"/>
    <w:rsid w:val="00D92DE0"/>
    <w:rsid w:val="00D92FEF"/>
    <w:rsid w:val="00D93A0F"/>
    <w:rsid w:val="00DA011F"/>
    <w:rsid w:val="00DA1BCA"/>
    <w:rsid w:val="00DC46FF"/>
    <w:rsid w:val="00DC5254"/>
    <w:rsid w:val="00DD1A4F"/>
    <w:rsid w:val="00DD3107"/>
    <w:rsid w:val="00DD7C2C"/>
    <w:rsid w:val="00DF7501"/>
    <w:rsid w:val="00E06797"/>
    <w:rsid w:val="00E07BB7"/>
    <w:rsid w:val="00E1265B"/>
    <w:rsid w:val="00E13B48"/>
    <w:rsid w:val="00E1404F"/>
    <w:rsid w:val="00E16FF9"/>
    <w:rsid w:val="00E21C83"/>
    <w:rsid w:val="00E24ADA"/>
    <w:rsid w:val="00E25A6C"/>
    <w:rsid w:val="00E26B76"/>
    <w:rsid w:val="00E32F59"/>
    <w:rsid w:val="00E46D9A"/>
    <w:rsid w:val="00E54487"/>
    <w:rsid w:val="00E565FF"/>
    <w:rsid w:val="00E607AD"/>
    <w:rsid w:val="00E620AC"/>
    <w:rsid w:val="00E65388"/>
    <w:rsid w:val="00E724A1"/>
    <w:rsid w:val="00E85B7D"/>
    <w:rsid w:val="00E9121B"/>
    <w:rsid w:val="00EA0AE2"/>
    <w:rsid w:val="00EA39E5"/>
    <w:rsid w:val="00EC1BF0"/>
    <w:rsid w:val="00EC5A46"/>
    <w:rsid w:val="00EC63E2"/>
    <w:rsid w:val="00ED1345"/>
    <w:rsid w:val="00EE7BCC"/>
    <w:rsid w:val="00EF22B3"/>
    <w:rsid w:val="00EF4950"/>
    <w:rsid w:val="00F03B69"/>
    <w:rsid w:val="00F07A50"/>
    <w:rsid w:val="00F113DA"/>
    <w:rsid w:val="00F1450B"/>
    <w:rsid w:val="00F2080B"/>
    <w:rsid w:val="00F346C5"/>
    <w:rsid w:val="00F366B9"/>
    <w:rsid w:val="00F37DC8"/>
    <w:rsid w:val="00F439B3"/>
    <w:rsid w:val="00F527F9"/>
    <w:rsid w:val="00F650C3"/>
    <w:rsid w:val="00F65D85"/>
    <w:rsid w:val="00F76A66"/>
    <w:rsid w:val="00F8091E"/>
    <w:rsid w:val="00F8615C"/>
    <w:rsid w:val="00F969E5"/>
    <w:rsid w:val="00FA6BB0"/>
    <w:rsid w:val="00FC5010"/>
    <w:rsid w:val="00FC5E19"/>
    <w:rsid w:val="00FD5860"/>
    <w:rsid w:val="00FE352D"/>
    <w:rsid w:val="00FE40EB"/>
    <w:rsid w:val="00FE4D02"/>
    <w:rsid w:val="00FE7D62"/>
    <w:rsid w:val="00FF3819"/>
    <w:rsid w:val="00FF4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D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B118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683B8F"/>
    <w:rPr>
      <w:rFonts w:ascii="Tahoma" w:hAnsi="Tahoma" w:cs="Tahoma"/>
      <w:sz w:val="16"/>
      <w:szCs w:val="16"/>
    </w:rPr>
  </w:style>
  <w:style w:type="character" w:customStyle="1" w:styleId="BalloonTextChar">
    <w:name w:val="Balloon Text Char"/>
    <w:basedOn w:val="DefaultParagraphFont"/>
    <w:link w:val="BalloonText"/>
    <w:rsid w:val="00683B8F"/>
    <w:rPr>
      <w:rFonts w:ascii="Tahoma" w:hAnsi="Tahoma" w:cs="Tahoma"/>
      <w:sz w:val="16"/>
      <w:szCs w:val="16"/>
      <w:lang w:val="fr-FR"/>
    </w:rPr>
  </w:style>
  <w:style w:type="character" w:styleId="CommentReference">
    <w:name w:val="annotation reference"/>
    <w:basedOn w:val="DefaultParagraphFont"/>
    <w:rsid w:val="009C43CC"/>
    <w:rPr>
      <w:sz w:val="16"/>
      <w:szCs w:val="16"/>
    </w:rPr>
  </w:style>
  <w:style w:type="paragraph" w:styleId="CommentText">
    <w:name w:val="annotation text"/>
    <w:basedOn w:val="Normal"/>
    <w:link w:val="CommentTextChar"/>
    <w:rsid w:val="009C43CC"/>
  </w:style>
  <w:style w:type="character" w:customStyle="1" w:styleId="CommentTextChar">
    <w:name w:val="Comment Text Char"/>
    <w:basedOn w:val="DefaultParagraphFont"/>
    <w:link w:val="CommentText"/>
    <w:rsid w:val="009C43CC"/>
    <w:rPr>
      <w:lang w:val="fr-FR"/>
    </w:rPr>
  </w:style>
  <w:style w:type="paragraph" w:styleId="CommentSubject">
    <w:name w:val="annotation subject"/>
    <w:basedOn w:val="CommentText"/>
    <w:next w:val="CommentText"/>
    <w:link w:val="CommentSubjectChar"/>
    <w:rsid w:val="009C43CC"/>
    <w:rPr>
      <w:b/>
      <w:bCs/>
    </w:rPr>
  </w:style>
  <w:style w:type="character" w:customStyle="1" w:styleId="CommentSubjectChar">
    <w:name w:val="Comment Subject Char"/>
    <w:basedOn w:val="CommentTextChar"/>
    <w:link w:val="CommentSubject"/>
    <w:rsid w:val="009C43CC"/>
    <w:rPr>
      <w:b/>
      <w:bCs/>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B118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683B8F"/>
    <w:rPr>
      <w:rFonts w:ascii="Tahoma" w:hAnsi="Tahoma" w:cs="Tahoma"/>
      <w:sz w:val="16"/>
      <w:szCs w:val="16"/>
    </w:rPr>
  </w:style>
  <w:style w:type="character" w:customStyle="1" w:styleId="BalloonTextChar">
    <w:name w:val="Balloon Text Char"/>
    <w:basedOn w:val="DefaultParagraphFont"/>
    <w:link w:val="BalloonText"/>
    <w:rsid w:val="00683B8F"/>
    <w:rPr>
      <w:rFonts w:ascii="Tahoma" w:hAnsi="Tahoma" w:cs="Tahoma"/>
      <w:sz w:val="16"/>
      <w:szCs w:val="16"/>
      <w:lang w:val="fr-FR"/>
    </w:rPr>
  </w:style>
  <w:style w:type="character" w:styleId="CommentReference">
    <w:name w:val="annotation reference"/>
    <w:basedOn w:val="DefaultParagraphFont"/>
    <w:rsid w:val="009C43CC"/>
    <w:rPr>
      <w:sz w:val="16"/>
      <w:szCs w:val="16"/>
    </w:rPr>
  </w:style>
  <w:style w:type="paragraph" w:styleId="CommentText">
    <w:name w:val="annotation text"/>
    <w:basedOn w:val="Normal"/>
    <w:link w:val="CommentTextChar"/>
    <w:rsid w:val="009C43CC"/>
  </w:style>
  <w:style w:type="character" w:customStyle="1" w:styleId="CommentTextChar">
    <w:name w:val="Comment Text Char"/>
    <w:basedOn w:val="DefaultParagraphFont"/>
    <w:link w:val="CommentText"/>
    <w:rsid w:val="009C43CC"/>
    <w:rPr>
      <w:lang w:val="fr-FR"/>
    </w:rPr>
  </w:style>
  <w:style w:type="paragraph" w:styleId="CommentSubject">
    <w:name w:val="annotation subject"/>
    <w:basedOn w:val="CommentText"/>
    <w:next w:val="CommentText"/>
    <w:link w:val="CommentSubjectChar"/>
    <w:rsid w:val="009C43CC"/>
    <w:rPr>
      <w:b/>
      <w:bCs/>
    </w:rPr>
  </w:style>
  <w:style w:type="character" w:customStyle="1" w:styleId="CommentSubjectChar">
    <w:name w:val="Comment Subject Char"/>
    <w:basedOn w:val="CommentTextChar"/>
    <w:link w:val="CommentSubject"/>
    <w:rsid w:val="009C43CC"/>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22AE-2BD7-4CCF-8AF8-13AA1A08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C87507F4.dotm</Template>
  <TotalTime>7</TotalTime>
  <Pages>6</Pages>
  <Words>3239</Words>
  <Characters>18401</Characters>
  <Application>Microsoft Office Word</Application>
  <DocSecurity>0</DocSecurity>
  <Lines>408</Lines>
  <Paragraphs>237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Cynthia Mwanza</cp:lastModifiedBy>
  <cp:revision>4</cp:revision>
  <cp:lastPrinted>2016-12-30T05:14:00Z</cp:lastPrinted>
  <dcterms:created xsi:type="dcterms:W3CDTF">2017-01-19T06:13:00Z</dcterms:created>
  <dcterms:modified xsi:type="dcterms:W3CDTF">2017-01-19T12:10:00Z</dcterms:modified>
</cp:coreProperties>
</file>