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668"/>
        <w:gridCol w:w="5100"/>
        <w:gridCol w:w="3012"/>
      </w:tblGrid>
      <w:tr w:rsidR="00B621AC" w:rsidRPr="001B7DE8" w:rsidTr="00243342">
        <w:trPr>
          <w:cantSplit/>
          <w:trHeight w:val="850"/>
        </w:trPr>
        <w:tc>
          <w:tcPr>
            <w:tcW w:w="1668" w:type="dxa"/>
          </w:tcPr>
          <w:p w:rsidR="00B621AC" w:rsidRPr="001B7DE8" w:rsidRDefault="00243342" w:rsidP="009C0329">
            <w:pPr>
              <w:spacing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</w:pPr>
            <w:bookmarkStart w:id="0" w:name="_GoBack"/>
            <w:bookmarkEnd w:id="0"/>
            <w:r w:rsidRPr="000C4255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t>NACIONES</w:t>
            </w:r>
            <w:r w:rsidRPr="000C4255"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  <w:br/>
              <w:t>UNIDAS</w:t>
            </w:r>
          </w:p>
        </w:tc>
        <w:tc>
          <w:tcPr>
            <w:tcW w:w="5100" w:type="dxa"/>
          </w:tcPr>
          <w:p w:rsidR="00B621AC" w:rsidRPr="001B7DE8" w:rsidRDefault="00B621AC" w:rsidP="009C0329">
            <w:pPr>
              <w:spacing w:line="240" w:lineRule="auto"/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3012" w:type="dxa"/>
          </w:tcPr>
          <w:p w:rsidR="00B621AC" w:rsidRPr="001B7DE8" w:rsidRDefault="00B621AC" w:rsidP="009C0329">
            <w:pPr>
              <w:spacing w:line="240" w:lineRule="auto"/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1B7DE8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B621AC" w:rsidRPr="001B7DE8" w:rsidTr="005850FD">
        <w:trPr>
          <w:cantSplit/>
          <w:trHeight w:val="257"/>
        </w:trPr>
        <w:tc>
          <w:tcPr>
            <w:tcW w:w="1668" w:type="dxa"/>
            <w:tcBorders>
              <w:bottom w:val="single" w:sz="4" w:space="0" w:color="auto"/>
            </w:tcBorders>
          </w:tcPr>
          <w:p w:rsidR="00B621AC" w:rsidRPr="001B7DE8" w:rsidRDefault="00B621AC" w:rsidP="009C0329">
            <w:pPr>
              <w:spacing w:line="240" w:lineRule="auto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B621AC" w:rsidRPr="001B7DE8" w:rsidRDefault="00B621AC" w:rsidP="009C0329">
            <w:pPr>
              <w:spacing w:line="240" w:lineRule="auto"/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:rsidR="00B621AC" w:rsidRPr="001B7DE8" w:rsidRDefault="00B621AC" w:rsidP="005850F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s-ES" w:eastAsia="ja-JP"/>
              </w:rPr>
            </w:pPr>
            <w:r w:rsidRPr="001B7D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IPBES</w:t>
            </w:r>
            <w:r w:rsidRPr="001B7DE8">
              <w:rPr>
                <w:rFonts w:ascii="Times New Roman" w:hAnsi="Times New Roman"/>
                <w:sz w:val="20"/>
                <w:szCs w:val="20"/>
                <w:lang w:val="es-ES"/>
              </w:rPr>
              <w:t>/</w:t>
            </w:r>
            <w:r w:rsidR="004F376C" w:rsidRPr="001B7DE8">
              <w:rPr>
                <w:rFonts w:ascii="Times New Roman" w:hAnsi="Times New Roman"/>
                <w:sz w:val="20"/>
                <w:szCs w:val="20"/>
                <w:lang w:val="es-ES" w:eastAsia="ja-JP"/>
              </w:rPr>
              <w:t>2/6</w:t>
            </w:r>
          </w:p>
        </w:tc>
      </w:tr>
      <w:tr w:rsidR="00B621AC" w:rsidRPr="001B7DE8" w:rsidTr="005850FD">
        <w:trPr>
          <w:cantSplit/>
          <w:trHeight w:val="2549"/>
        </w:trPr>
        <w:tc>
          <w:tcPr>
            <w:tcW w:w="1668" w:type="dxa"/>
            <w:tcBorders>
              <w:top w:val="single" w:sz="4" w:space="0" w:color="auto"/>
              <w:bottom w:val="single" w:sz="24" w:space="0" w:color="auto"/>
            </w:tcBorders>
          </w:tcPr>
          <w:p w:rsidR="00B621AC" w:rsidRPr="001B7DE8" w:rsidRDefault="00B621AC" w:rsidP="009C0329">
            <w:pPr>
              <w:spacing w:line="240" w:lineRule="auto"/>
              <w:rPr>
                <w:noProof/>
                <w:lang w:val="es-ES"/>
              </w:rPr>
            </w:pPr>
            <w:r w:rsidRPr="001B7DE8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9" o:title=""/>
                </v:shape>
                <o:OLEObject Type="Embed" ProgID="Word.Picture.8" ShapeID="_x0000_i1025" DrawAspect="Content" ObjectID="_1446966179" r:id="rId10"/>
              </w:object>
            </w:r>
            <w:r w:rsidR="00672693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1" descr="Description: 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Borders>
              <w:top w:val="single" w:sz="4" w:space="0" w:color="auto"/>
              <w:bottom w:val="single" w:sz="24" w:space="0" w:color="auto"/>
            </w:tcBorders>
          </w:tcPr>
          <w:p w:rsidR="00B621AC" w:rsidRPr="001B7DE8" w:rsidRDefault="00243342" w:rsidP="009C0329">
            <w:pPr>
              <w:spacing w:before="1400" w:line="240" w:lineRule="auto"/>
              <w:rPr>
                <w:rFonts w:ascii="Univers" w:hAnsi="Univers"/>
                <w:b/>
                <w:sz w:val="28"/>
                <w:lang w:val="es-ES"/>
              </w:rPr>
            </w:pP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t>Programa de las</w:t>
            </w: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 w:rsidR="001A286B">
              <w:rPr>
                <w:rFonts w:ascii="Arial" w:hAnsi="Arial" w:cs="Arial"/>
                <w:b/>
                <w:sz w:val="32"/>
                <w:szCs w:val="32"/>
                <w:lang w:val="es-ES"/>
              </w:rPr>
              <w:t>Naciones Unidas</w:t>
            </w:r>
            <w:r w:rsidRPr="000C4255"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para el Medio Ambiente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243342" w:rsidRPr="0021632E" w:rsidRDefault="00243342" w:rsidP="009C0329">
            <w:pPr>
              <w:spacing w:before="1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1632E">
              <w:rPr>
                <w:rFonts w:ascii="Times New Roman" w:hAnsi="Times New Roman"/>
                <w:sz w:val="20"/>
                <w:szCs w:val="20"/>
                <w:lang w:val="es-ES"/>
              </w:rPr>
              <w:t>Distr. g</w:t>
            </w:r>
            <w:r w:rsidR="00D1603B" w:rsidRPr="0021632E">
              <w:rPr>
                <w:rFonts w:ascii="Times New Roman" w:hAnsi="Times New Roman"/>
                <w:sz w:val="20"/>
                <w:szCs w:val="20"/>
                <w:lang w:val="es-ES"/>
              </w:rPr>
              <w:t>eneral</w:t>
            </w:r>
            <w:r w:rsidR="00D1603B" w:rsidRPr="0021632E">
              <w:rPr>
                <w:rFonts w:ascii="Times New Roman" w:hAnsi="Times New Roman"/>
                <w:sz w:val="20"/>
                <w:szCs w:val="20"/>
                <w:lang w:val="es-ES"/>
              </w:rPr>
              <w:br/>
            </w:r>
            <w:r w:rsidR="0059461F">
              <w:rPr>
                <w:rFonts w:ascii="Times New Roman" w:hAnsi="Times New Roman"/>
                <w:sz w:val="20"/>
                <w:szCs w:val="20"/>
                <w:lang w:val="es-ES"/>
              </w:rPr>
              <w:t>14</w:t>
            </w:r>
            <w:r w:rsidR="00D1603B" w:rsidRPr="0021632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octubre</w:t>
            </w:r>
            <w:r w:rsidRPr="0021632E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2013</w:t>
            </w:r>
          </w:p>
          <w:p w:rsidR="00B621AC" w:rsidRPr="001B7DE8" w:rsidRDefault="00243342" w:rsidP="009C0329">
            <w:pPr>
              <w:spacing w:before="120" w:after="0" w:line="240" w:lineRule="auto"/>
              <w:rPr>
                <w:lang w:val="es-ES"/>
              </w:rPr>
            </w:pPr>
            <w:r w:rsidRPr="0021632E">
              <w:rPr>
                <w:rFonts w:ascii="Times New Roman" w:hAnsi="Times New Roman"/>
                <w:sz w:val="20"/>
                <w:szCs w:val="20"/>
                <w:lang w:val="es-ES"/>
              </w:rPr>
              <w:t>Español</w:t>
            </w:r>
            <w:r w:rsidRPr="0021632E">
              <w:rPr>
                <w:rFonts w:ascii="Times New Roman" w:hAnsi="Times New Roman"/>
                <w:sz w:val="20"/>
                <w:szCs w:val="20"/>
                <w:lang w:val="es-ES"/>
              </w:rPr>
              <w:br/>
              <w:t>Original: inglés</w:t>
            </w:r>
          </w:p>
        </w:tc>
      </w:tr>
    </w:tbl>
    <w:p w:rsidR="008B67C2" w:rsidRPr="001B7DE8" w:rsidRDefault="008B67C2" w:rsidP="005850FD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969"/>
        <w:rPr>
          <w:lang w:val="es-ES"/>
        </w:rPr>
      </w:pPr>
      <w:r w:rsidRPr="001B7DE8">
        <w:rPr>
          <w:lang w:val="es-ES"/>
        </w:rPr>
        <w:t xml:space="preserve">Plataforma </w:t>
      </w:r>
      <w:r w:rsidR="00870C8B" w:rsidRPr="001B7DE8">
        <w:rPr>
          <w:lang w:val="es-ES"/>
        </w:rPr>
        <w:t>Intergubernamental C</w:t>
      </w:r>
      <w:r w:rsidRPr="001B7DE8">
        <w:rPr>
          <w:lang w:val="es-ES"/>
        </w:rPr>
        <w:t>ientífico</w:t>
      </w:r>
      <w:r w:rsidR="005519BE">
        <w:rPr>
          <w:lang w:val="es-ES"/>
        </w:rPr>
        <w:noBreakHyphen/>
      </w:r>
      <w:r w:rsidRPr="001B7DE8">
        <w:rPr>
          <w:lang w:val="es-ES"/>
        </w:rPr>
        <w:t xml:space="preserve">normativa sobre </w:t>
      </w:r>
      <w:r w:rsidR="00870C8B" w:rsidRPr="001B7DE8">
        <w:rPr>
          <w:lang w:val="es-ES"/>
        </w:rPr>
        <w:t>Diversidad B</w:t>
      </w:r>
      <w:r w:rsidRPr="001B7DE8">
        <w:rPr>
          <w:lang w:val="es-ES"/>
        </w:rPr>
        <w:t xml:space="preserve">iológica y </w:t>
      </w:r>
      <w:r w:rsidR="00870C8B" w:rsidRPr="001B7DE8">
        <w:rPr>
          <w:lang w:val="es-ES"/>
        </w:rPr>
        <w:t>Servicios de los E</w:t>
      </w:r>
      <w:r w:rsidRPr="001B7DE8">
        <w:rPr>
          <w:lang w:val="es-ES"/>
        </w:rPr>
        <w:t>cosistemas</w:t>
      </w:r>
    </w:p>
    <w:p w:rsidR="008B67C2" w:rsidRPr="001B7DE8" w:rsidRDefault="008B67C2" w:rsidP="009C032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"/>
        </w:rPr>
      </w:pPr>
      <w:r w:rsidRPr="001B7DE8">
        <w:rPr>
          <w:lang w:val="es-ES"/>
        </w:rPr>
        <w:t>Segundo período de sesiones</w:t>
      </w:r>
    </w:p>
    <w:p w:rsidR="008B67C2" w:rsidRPr="001B7DE8" w:rsidRDefault="008B67C2" w:rsidP="009C032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lang w:val="es-ES" w:eastAsia="ja-JP"/>
        </w:rPr>
      </w:pPr>
      <w:r w:rsidRPr="001B7DE8">
        <w:rPr>
          <w:b w:val="0"/>
          <w:lang w:val="es-ES" w:eastAsia="ja-JP"/>
        </w:rPr>
        <w:t xml:space="preserve">Antalya (Turquía), 9 a 14 de diciembre de 2013 </w:t>
      </w:r>
    </w:p>
    <w:p w:rsidR="00B621AC" w:rsidRPr="001B7DE8" w:rsidRDefault="008B67C2" w:rsidP="009C032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lang w:val="es-ES"/>
        </w:rPr>
      </w:pPr>
      <w:r w:rsidRPr="001B7DE8">
        <w:rPr>
          <w:b w:val="0"/>
          <w:lang w:val="es-ES"/>
        </w:rPr>
        <w:t>Tema</w:t>
      </w:r>
      <w:r w:rsidR="00B621AC" w:rsidRPr="001B7DE8">
        <w:rPr>
          <w:b w:val="0"/>
          <w:lang w:val="es-ES"/>
        </w:rPr>
        <w:t xml:space="preserve"> </w:t>
      </w:r>
      <w:r w:rsidR="007F6A48" w:rsidRPr="001B7DE8">
        <w:rPr>
          <w:b w:val="0"/>
          <w:lang w:val="es-ES"/>
        </w:rPr>
        <w:t xml:space="preserve">5 </w:t>
      </w:r>
      <w:r w:rsidR="004F376C" w:rsidRPr="001B7DE8">
        <w:rPr>
          <w:b w:val="0"/>
          <w:lang w:val="es-ES"/>
        </w:rPr>
        <w:t>b</w:t>
      </w:r>
      <w:r w:rsidR="007F6A48" w:rsidRPr="001B7DE8">
        <w:rPr>
          <w:b w:val="0"/>
          <w:lang w:val="es-ES"/>
        </w:rPr>
        <w:t xml:space="preserve">) </w:t>
      </w:r>
      <w:r w:rsidRPr="001B7DE8">
        <w:rPr>
          <w:b w:val="0"/>
          <w:lang w:val="es-ES"/>
        </w:rPr>
        <w:t>del programa</w:t>
      </w:r>
      <w:r w:rsidR="00B621AC" w:rsidRPr="001B7DE8">
        <w:rPr>
          <w:b w:val="0"/>
          <w:lang w:val="es-ES"/>
        </w:rPr>
        <w:t xml:space="preserve"> provisional</w:t>
      </w:r>
      <w:r w:rsidR="00B621AC" w:rsidRPr="001B7DE8">
        <w:rPr>
          <w:rStyle w:val="FootnoteReference"/>
          <w:b w:val="0"/>
          <w:lang w:val="es-ES"/>
        </w:rPr>
        <w:footnoteReference w:customMarkFollows="1" w:id="1"/>
        <w:sym w:font="Symbol" w:char="F02A"/>
      </w:r>
      <w:r w:rsidR="00B621AC" w:rsidRPr="001B7DE8">
        <w:rPr>
          <w:b w:val="0"/>
          <w:lang w:val="es-ES"/>
        </w:rPr>
        <w:t> </w:t>
      </w:r>
    </w:p>
    <w:p w:rsidR="004F376C" w:rsidRPr="001B7DE8" w:rsidRDefault="008B67C2" w:rsidP="009C0329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/>
        <w:rPr>
          <w:lang w:val="es-ES"/>
        </w:rPr>
      </w:pPr>
      <w:r w:rsidRPr="001B7DE8">
        <w:rPr>
          <w:lang w:val="es-ES"/>
        </w:rPr>
        <w:t xml:space="preserve">Disposiciones financieras y presupuestarias para la Plataforma: </w:t>
      </w:r>
      <w:r w:rsidR="004F376C" w:rsidRPr="001B7DE8">
        <w:rPr>
          <w:lang w:val="es-ES"/>
        </w:rPr>
        <w:t>op</w:t>
      </w:r>
      <w:r w:rsidRPr="001B7DE8">
        <w:rPr>
          <w:lang w:val="es-ES"/>
        </w:rPr>
        <w:t>c</w:t>
      </w:r>
      <w:r w:rsidR="004F376C" w:rsidRPr="001B7DE8">
        <w:rPr>
          <w:lang w:val="es-ES"/>
        </w:rPr>
        <w:t>ion</w:t>
      </w:r>
      <w:r w:rsidRPr="001B7DE8">
        <w:rPr>
          <w:lang w:val="es-ES"/>
        </w:rPr>
        <w:t>es para el Fondo Fiduciario</w:t>
      </w:r>
    </w:p>
    <w:p w:rsidR="00A2431F" w:rsidRPr="001B7DE8" w:rsidRDefault="008B67C2" w:rsidP="009C0329">
      <w:pPr>
        <w:pStyle w:val="BB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"/>
        </w:rPr>
      </w:pPr>
      <w:r w:rsidRPr="001B7DE8">
        <w:rPr>
          <w:lang w:val="es-ES"/>
        </w:rPr>
        <w:t xml:space="preserve">Opciones para el </w:t>
      </w:r>
      <w:r w:rsidR="00482DB0" w:rsidRPr="001B7DE8">
        <w:rPr>
          <w:lang w:val="es-ES"/>
        </w:rPr>
        <w:t>fondo fiduciario</w:t>
      </w:r>
    </w:p>
    <w:p w:rsidR="007F6A48" w:rsidRPr="001B7DE8" w:rsidRDefault="007F6A48" w:rsidP="009C0329">
      <w:pPr>
        <w:pStyle w:val="CH2"/>
        <w:keepNext w:val="0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outlineLvl w:val="0"/>
        <w:rPr>
          <w:rFonts w:eastAsia="Batang"/>
          <w:lang w:val="es-ES" w:eastAsia="ko-KR"/>
        </w:rPr>
      </w:pPr>
      <w:r w:rsidRPr="001B7DE8">
        <w:rPr>
          <w:rFonts w:eastAsia="Batang"/>
          <w:lang w:val="es-ES" w:eastAsia="ko-KR"/>
        </w:rPr>
        <w:tab/>
      </w:r>
      <w:r w:rsidRPr="001B7DE8">
        <w:rPr>
          <w:rFonts w:eastAsia="Batang"/>
          <w:lang w:val="es-ES" w:eastAsia="ko-KR"/>
        </w:rPr>
        <w:tab/>
      </w:r>
      <w:r w:rsidR="008B67C2" w:rsidRPr="001B7DE8">
        <w:rPr>
          <w:rFonts w:eastAsia="Batang"/>
          <w:lang w:val="es-ES" w:eastAsia="ko-KR"/>
        </w:rPr>
        <w:t xml:space="preserve">Nota de la </w:t>
      </w:r>
      <w:r w:rsidRPr="001B7DE8">
        <w:rPr>
          <w:rFonts w:eastAsia="Batang"/>
          <w:lang w:val="es-ES" w:eastAsia="ko-KR"/>
        </w:rPr>
        <w:t>secretar</w:t>
      </w:r>
      <w:r w:rsidR="008B67C2" w:rsidRPr="001B7DE8">
        <w:rPr>
          <w:rFonts w:eastAsia="Batang"/>
          <w:lang w:val="es-ES" w:eastAsia="ko-KR"/>
        </w:rPr>
        <w:t>ía</w:t>
      </w:r>
      <w:r w:rsidRPr="001B7DE8">
        <w:rPr>
          <w:rFonts w:eastAsia="Batang"/>
          <w:lang w:val="es-ES" w:eastAsia="ko-KR"/>
        </w:rPr>
        <w:t xml:space="preserve"> </w:t>
      </w:r>
    </w:p>
    <w:p w:rsidR="004F376C" w:rsidRPr="001B7DE8" w:rsidRDefault="00F976D1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t xml:space="preserve">En su primer período de sesiones, la </w:t>
      </w:r>
      <w:r w:rsidR="00870C8B" w:rsidRPr="001B7DE8">
        <w:rPr>
          <w:lang w:val="es-ES"/>
        </w:rPr>
        <w:t>Plataforma Intergubernamental Científico</w:t>
      </w:r>
      <w:r w:rsidR="005519BE">
        <w:rPr>
          <w:lang w:val="es-ES"/>
        </w:rPr>
        <w:noBreakHyphen/>
      </w:r>
      <w:r w:rsidR="00870C8B" w:rsidRPr="001B7DE8">
        <w:rPr>
          <w:lang w:val="es-ES"/>
        </w:rPr>
        <w:t>normativa sobre Diversidad Biológica y Servicios de los Ecosistemas solicitó más información sobre las opciones que se le presentaron con respecto a la acogida de</w:t>
      </w:r>
      <w:r w:rsidR="00482DB0">
        <w:rPr>
          <w:lang w:val="es-ES"/>
        </w:rPr>
        <w:t xml:space="preserve"> su </w:t>
      </w:r>
      <w:r w:rsidR="00836152">
        <w:rPr>
          <w:lang w:val="es-ES"/>
        </w:rPr>
        <w:t>fondo fiduciario</w:t>
      </w:r>
      <w:r w:rsidR="00870C8B" w:rsidRPr="001B7DE8">
        <w:rPr>
          <w:lang w:val="es-ES"/>
        </w:rPr>
        <w:t>.</w:t>
      </w:r>
      <w:r w:rsidR="004F376C" w:rsidRPr="001B7DE8">
        <w:rPr>
          <w:lang w:val="es-ES"/>
        </w:rPr>
        <w:t xml:space="preserve"> </w:t>
      </w:r>
      <w:r w:rsidR="00870C8B" w:rsidRPr="001B7DE8">
        <w:rPr>
          <w:lang w:val="es-ES"/>
        </w:rPr>
        <w:t xml:space="preserve">Tras debatir la cuestión en su primer período de sesiones, el </w:t>
      </w:r>
      <w:r w:rsidR="004F376C" w:rsidRPr="001B7DE8">
        <w:rPr>
          <w:lang w:val="es-ES"/>
        </w:rPr>
        <w:t>Plenar</w:t>
      </w:r>
      <w:r w:rsidR="00870C8B" w:rsidRPr="001B7DE8">
        <w:rPr>
          <w:lang w:val="es-ES"/>
        </w:rPr>
        <w:t>io</w:t>
      </w:r>
      <w:r w:rsidR="004F376C" w:rsidRPr="001B7DE8">
        <w:rPr>
          <w:lang w:val="es-ES"/>
        </w:rPr>
        <w:t xml:space="preserve">, </w:t>
      </w:r>
      <w:r w:rsidR="00870C8B" w:rsidRPr="001B7DE8">
        <w:rPr>
          <w:lang w:val="es-ES"/>
        </w:rPr>
        <w:t>en su decisión</w:t>
      </w:r>
      <w:r w:rsidR="004F376C" w:rsidRPr="001B7DE8">
        <w:rPr>
          <w:lang w:val="es-ES"/>
        </w:rPr>
        <w:t xml:space="preserve"> IPBES/1/4, </w:t>
      </w:r>
      <w:r w:rsidR="00AC6E7F" w:rsidRPr="001B7DE8">
        <w:rPr>
          <w:lang w:val="es-ES"/>
        </w:rPr>
        <w:t>invitó a los miembros de la Plataforma a que present</w:t>
      </w:r>
      <w:r w:rsidR="001A286B">
        <w:rPr>
          <w:lang w:val="es-ES"/>
        </w:rPr>
        <w:t>asen</w:t>
      </w:r>
      <w:r w:rsidR="00AC6E7F" w:rsidRPr="001B7DE8">
        <w:rPr>
          <w:lang w:val="es-ES"/>
        </w:rPr>
        <w:t xml:space="preserve"> a la secretaría de la Plataforma, a</w:t>
      </w:r>
      <w:r w:rsidR="001A286B">
        <w:rPr>
          <w:lang w:val="es-ES"/>
        </w:rPr>
        <w:t>ntes del final de junio de </w:t>
      </w:r>
      <w:r w:rsidR="00AC6E7F" w:rsidRPr="001B7DE8">
        <w:rPr>
          <w:lang w:val="es-ES"/>
        </w:rPr>
        <w:t xml:space="preserve">2013, sus preguntas sobre la administración del </w:t>
      </w:r>
      <w:r w:rsidR="00836152">
        <w:rPr>
          <w:lang w:val="es-ES"/>
        </w:rPr>
        <w:t>fondo fiduciario</w:t>
      </w:r>
      <w:r w:rsidR="00AC6E7F" w:rsidRPr="001B7DE8">
        <w:rPr>
          <w:lang w:val="es-ES"/>
        </w:rPr>
        <w:t xml:space="preserve"> de la Plataforma ya sea a cargo de la </w:t>
      </w:r>
      <w:r w:rsidR="0013161C">
        <w:rPr>
          <w:lang w:val="es-ES"/>
        </w:rPr>
        <w:t>o</w:t>
      </w:r>
      <w:r w:rsidR="00AC6E7F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AC6E7F" w:rsidRPr="001B7DE8">
        <w:rPr>
          <w:lang w:val="es-ES"/>
        </w:rPr>
        <w:t xml:space="preserve"> o del PNUMA, y solicit</w:t>
      </w:r>
      <w:r w:rsidR="001A286B">
        <w:rPr>
          <w:lang w:val="es-ES"/>
        </w:rPr>
        <w:t>ó</w:t>
      </w:r>
      <w:r w:rsidR="00AC6E7F" w:rsidRPr="001B7DE8">
        <w:rPr>
          <w:lang w:val="es-ES"/>
        </w:rPr>
        <w:t xml:space="preserve"> a la secretaría de la Plataforma que, en respuesta a esas preguntas, re</w:t>
      </w:r>
      <w:r w:rsidR="001A286B">
        <w:rPr>
          <w:lang w:val="es-ES"/>
        </w:rPr>
        <w:t>uniese</w:t>
      </w:r>
      <w:r w:rsidR="00AC6E7F" w:rsidRPr="001B7DE8">
        <w:rPr>
          <w:lang w:val="es-ES"/>
        </w:rPr>
        <w:t xml:space="preserve"> información y la facilit</w:t>
      </w:r>
      <w:r w:rsidR="001A286B">
        <w:rPr>
          <w:lang w:val="es-ES"/>
        </w:rPr>
        <w:t>ase</w:t>
      </w:r>
      <w:r w:rsidR="00AC6E7F" w:rsidRPr="001B7DE8">
        <w:rPr>
          <w:lang w:val="es-ES"/>
        </w:rPr>
        <w:t xml:space="preserve"> a los miembros y a la Mesa a tiempo para que el Plenario la examin</w:t>
      </w:r>
      <w:r w:rsidR="00482DB0">
        <w:rPr>
          <w:lang w:val="es-ES"/>
        </w:rPr>
        <w:t>ase</w:t>
      </w:r>
      <w:r w:rsidR="00AC6E7F" w:rsidRPr="001B7DE8">
        <w:rPr>
          <w:lang w:val="es-ES"/>
        </w:rPr>
        <w:t xml:space="preserve"> y adopt</w:t>
      </w:r>
      <w:r w:rsidR="00482DB0">
        <w:rPr>
          <w:lang w:val="es-ES"/>
        </w:rPr>
        <w:t>ase</w:t>
      </w:r>
      <w:r w:rsidR="00AC6E7F" w:rsidRPr="001B7DE8">
        <w:rPr>
          <w:lang w:val="es-ES"/>
        </w:rPr>
        <w:t xml:space="preserve"> una decisión al respecto en su segundo período de sesiones</w:t>
      </w:r>
      <w:r w:rsidR="004F376C" w:rsidRPr="001B7DE8">
        <w:rPr>
          <w:lang w:val="es-ES"/>
        </w:rPr>
        <w:t xml:space="preserve">. </w:t>
      </w:r>
      <w:r w:rsidR="00AC6E7F" w:rsidRPr="001B7DE8">
        <w:rPr>
          <w:lang w:val="es-ES"/>
        </w:rPr>
        <w:t>Se recibieron solicitudes de información de los gobiernos de Sudáfrica</w:t>
      </w:r>
      <w:r w:rsidR="00F80E35">
        <w:rPr>
          <w:lang w:val="es-ES"/>
        </w:rPr>
        <w:t xml:space="preserve">, </w:t>
      </w:r>
      <w:r w:rsidR="003B4914">
        <w:rPr>
          <w:lang w:val="es-ES"/>
        </w:rPr>
        <w:t xml:space="preserve">el </w:t>
      </w:r>
      <w:r w:rsidR="00F80E35">
        <w:rPr>
          <w:lang w:val="es-ES"/>
        </w:rPr>
        <w:t>Canadá</w:t>
      </w:r>
      <w:r w:rsidR="00AC6E7F" w:rsidRPr="001B7DE8">
        <w:rPr>
          <w:lang w:val="es-ES"/>
        </w:rPr>
        <w:t xml:space="preserve"> y el Japón acerca de las dos opciones, con inclusión de información sobre sus respectivas ventajas y desventajas para la administración del </w:t>
      </w:r>
      <w:r w:rsidR="001A286B" w:rsidRPr="001B7DE8">
        <w:rPr>
          <w:lang w:val="es-ES"/>
        </w:rPr>
        <w:t>F</w:t>
      </w:r>
      <w:r w:rsidR="00AC6E7F" w:rsidRPr="001B7DE8">
        <w:rPr>
          <w:lang w:val="es-ES"/>
        </w:rPr>
        <w:t>ondo.</w:t>
      </w:r>
      <w:r w:rsidR="001A286B">
        <w:rPr>
          <w:lang w:val="es-ES"/>
        </w:rPr>
        <w:t xml:space="preserve"> </w:t>
      </w:r>
      <w:r w:rsidR="00AC6E7F" w:rsidRPr="001B7DE8">
        <w:rPr>
          <w:lang w:val="es-ES"/>
        </w:rPr>
        <w:t xml:space="preserve">En la presenta nota se ofrece más información acerca de las dos opciones y se incluyen consideraciones relativas a la administración del </w:t>
      </w:r>
      <w:r w:rsidR="001A286B" w:rsidRPr="001B7DE8">
        <w:rPr>
          <w:lang w:val="es-ES"/>
        </w:rPr>
        <w:t>F</w:t>
      </w:r>
      <w:r w:rsidR="00AC6E7F" w:rsidRPr="001B7DE8">
        <w:rPr>
          <w:lang w:val="es-ES"/>
        </w:rPr>
        <w:t>ondo</w:t>
      </w:r>
      <w:r w:rsidR="001A286B">
        <w:rPr>
          <w:lang w:val="es-ES"/>
        </w:rPr>
        <w:t>,</w:t>
      </w:r>
      <w:r w:rsidR="00AC6E7F" w:rsidRPr="001B7DE8">
        <w:rPr>
          <w:lang w:val="es-ES"/>
        </w:rPr>
        <w:t xml:space="preserve"> tanto por la </w:t>
      </w:r>
      <w:r w:rsidR="0013161C">
        <w:rPr>
          <w:lang w:val="es-ES"/>
        </w:rPr>
        <w:t>o</w:t>
      </w:r>
      <w:r w:rsidR="00AC6E7F" w:rsidRPr="001B7DE8">
        <w:rPr>
          <w:lang w:val="es-ES"/>
        </w:rPr>
        <w:t xml:space="preserve">ficina </w:t>
      </w:r>
      <w:r w:rsidR="001A286B">
        <w:rPr>
          <w:lang w:val="es-ES"/>
        </w:rPr>
        <w:t xml:space="preserve">del </w:t>
      </w:r>
      <w:r w:rsidR="0013161C">
        <w:rPr>
          <w:lang w:val="es-ES"/>
        </w:rPr>
        <w:t>fondo fiduciario de socios múltiples</w:t>
      </w:r>
      <w:r w:rsidR="001A286B">
        <w:rPr>
          <w:lang w:val="es-ES"/>
        </w:rPr>
        <w:t xml:space="preserve"> como por </w:t>
      </w:r>
      <w:r w:rsidR="00AC6E7F" w:rsidRPr="001B7DE8">
        <w:rPr>
          <w:lang w:val="es-ES"/>
        </w:rPr>
        <w:t>el PNUMA, que podría</w:t>
      </w:r>
      <w:r w:rsidR="00482DB0">
        <w:rPr>
          <w:lang w:val="es-ES"/>
        </w:rPr>
        <w:t>n</w:t>
      </w:r>
      <w:r w:rsidR="00AC6E7F" w:rsidRPr="001B7DE8">
        <w:rPr>
          <w:lang w:val="es-ES"/>
        </w:rPr>
        <w:t xml:space="preserve"> utilizarse para evaluar las ventajas y desventajas de las dos opciones.</w:t>
      </w:r>
      <w:r w:rsidR="004F376C" w:rsidRPr="001B7DE8">
        <w:rPr>
          <w:lang w:val="es-ES"/>
        </w:rPr>
        <w:t xml:space="preserve"> </w:t>
      </w:r>
      <w:r w:rsidR="00AC6E7F" w:rsidRPr="001B7DE8">
        <w:rPr>
          <w:lang w:val="es-ES"/>
        </w:rPr>
        <w:t xml:space="preserve">En el cuadro </w:t>
      </w:r>
      <w:r w:rsidR="00BF3FE4" w:rsidRPr="001B7DE8">
        <w:rPr>
          <w:lang w:val="es-ES"/>
        </w:rPr>
        <w:t xml:space="preserve">1 </w:t>
      </w:r>
      <w:r w:rsidR="00AC6E7F" w:rsidRPr="001B7DE8">
        <w:rPr>
          <w:lang w:val="es-ES"/>
        </w:rPr>
        <w:t>figura una comparación de ambas opciones</w:t>
      </w:r>
      <w:r w:rsidR="004F376C" w:rsidRPr="001B7DE8">
        <w:rPr>
          <w:lang w:val="es-ES"/>
        </w:rPr>
        <w:t>.</w:t>
      </w:r>
    </w:p>
    <w:p w:rsidR="004F376C" w:rsidRPr="001B7DE8" w:rsidRDefault="00AC6E7F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t xml:space="preserve">La decisión que se adoptará en relación con los arreglos de acogida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 xml:space="preserve">ondo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 xml:space="preserve">iduciario difiere de la ya adoptada </w:t>
      </w:r>
      <w:r w:rsidR="003B4914">
        <w:rPr>
          <w:lang w:val="es-ES"/>
        </w:rPr>
        <w:t xml:space="preserve">para </w:t>
      </w:r>
      <w:r w:rsidRPr="001B7DE8">
        <w:rPr>
          <w:lang w:val="es-ES"/>
        </w:rPr>
        <w:t>los arreglos administrativos de la secretaría, cuyos servicios serán proporcionados por el PNU</w:t>
      </w:r>
      <w:r w:rsidR="001A286B">
        <w:rPr>
          <w:lang w:val="es-ES"/>
        </w:rPr>
        <w:t>M</w:t>
      </w:r>
      <w:r w:rsidRPr="001B7DE8">
        <w:rPr>
          <w:lang w:val="es-ES"/>
        </w:rPr>
        <w:t xml:space="preserve">A de </w:t>
      </w:r>
      <w:r w:rsidR="0065514A" w:rsidRPr="001B7DE8">
        <w:rPr>
          <w:lang w:val="es-ES"/>
        </w:rPr>
        <w:t>conformidad</w:t>
      </w:r>
      <w:r w:rsidRPr="001B7DE8">
        <w:rPr>
          <w:lang w:val="es-ES"/>
        </w:rPr>
        <w:t xml:space="preserve"> con las normas del Programa, </w:t>
      </w:r>
      <w:r w:rsidR="0065514A" w:rsidRPr="001B7DE8">
        <w:rPr>
          <w:lang w:val="es-ES"/>
        </w:rPr>
        <w:t xml:space="preserve">aunque la decisión respecto de la acogida del </w:t>
      </w:r>
      <w:r w:rsidR="001A286B" w:rsidRPr="001B7DE8">
        <w:rPr>
          <w:lang w:val="es-ES"/>
        </w:rPr>
        <w:t>F</w:t>
      </w:r>
      <w:r w:rsidR="0065514A" w:rsidRPr="001B7DE8">
        <w:rPr>
          <w:lang w:val="es-ES"/>
        </w:rPr>
        <w:t xml:space="preserve">ondo </w:t>
      </w:r>
      <w:r w:rsidR="009C0329">
        <w:rPr>
          <w:lang w:val="es-ES"/>
        </w:rPr>
        <w:t>F</w:t>
      </w:r>
      <w:r w:rsidR="0065514A" w:rsidRPr="001B7DE8">
        <w:rPr>
          <w:lang w:val="es-ES"/>
        </w:rPr>
        <w:t>iduciario podría tener consecuencias en lo que se refiere a la necesidad de que la secretaría de la Plataforma preste o no servicios financieros y administrativos específicos.</w:t>
      </w:r>
      <w:r w:rsidR="001A286B">
        <w:rPr>
          <w:lang w:val="es-ES"/>
        </w:rPr>
        <w:t xml:space="preserve"> </w:t>
      </w:r>
      <w:r w:rsidR="00495A57" w:rsidRPr="001B7DE8">
        <w:rPr>
          <w:lang w:val="es-ES"/>
        </w:rPr>
        <w:t>Será preciso actualizar también el proyecto de procedimientos financieros de la Plataforma (véase</w:t>
      </w:r>
      <w:r w:rsidR="004F376C" w:rsidRPr="001B7DE8">
        <w:rPr>
          <w:lang w:val="es-ES"/>
        </w:rPr>
        <w:t xml:space="preserve"> IPBES/2/7) </w:t>
      </w:r>
      <w:r w:rsidR="00495A57" w:rsidRPr="001B7DE8">
        <w:rPr>
          <w:lang w:val="es-ES"/>
        </w:rPr>
        <w:t xml:space="preserve">atendiendo a la decisión acerca de los arreglos del fondo fiduciario. </w:t>
      </w:r>
    </w:p>
    <w:p w:rsidR="008C66A6" w:rsidRPr="001B7DE8" w:rsidRDefault="000A3562" w:rsidP="009C032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0"/>
        <w:outlineLvl w:val="0"/>
        <w:rPr>
          <w:rFonts w:eastAsia="Batang"/>
          <w:lang w:val="es-ES" w:eastAsia="ko-KR"/>
        </w:rPr>
      </w:pPr>
      <w:r w:rsidRPr="001B7DE8">
        <w:rPr>
          <w:rFonts w:eastAsia="Batang"/>
          <w:lang w:val="es-ES" w:eastAsia="ko-KR"/>
        </w:rPr>
        <w:lastRenderedPageBreak/>
        <w:t>Op</w:t>
      </w:r>
      <w:r w:rsidR="008B67C2" w:rsidRPr="001B7DE8">
        <w:rPr>
          <w:rFonts w:eastAsia="Batang"/>
          <w:lang w:val="es-ES" w:eastAsia="ko-KR"/>
        </w:rPr>
        <w:t>ción</w:t>
      </w:r>
      <w:r w:rsidRPr="001B7DE8">
        <w:rPr>
          <w:rFonts w:eastAsia="Batang"/>
          <w:lang w:val="es-ES" w:eastAsia="ko-KR"/>
        </w:rPr>
        <w:t xml:space="preserve"> 1</w:t>
      </w:r>
    </w:p>
    <w:p w:rsidR="000A3562" w:rsidRPr="00482DB0" w:rsidRDefault="008D64B4" w:rsidP="009C032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hanging="623"/>
        <w:outlineLvl w:val="0"/>
        <w:rPr>
          <w:bCs/>
          <w:i/>
          <w:iCs/>
          <w:color w:val="000000"/>
          <w:lang w:val="es-ES"/>
        </w:rPr>
      </w:pPr>
      <w:r w:rsidRPr="001B7DE8">
        <w:rPr>
          <w:rFonts w:eastAsia="Batang"/>
          <w:lang w:val="es-ES" w:eastAsia="ko-KR"/>
        </w:rPr>
        <w:tab/>
      </w:r>
      <w:r w:rsidR="008B67C2" w:rsidRPr="00482DB0">
        <w:rPr>
          <w:rFonts w:eastAsia="Batang"/>
          <w:lang w:val="es-ES" w:eastAsia="ko-KR"/>
        </w:rPr>
        <w:t xml:space="preserve">Fondo </w:t>
      </w:r>
      <w:r w:rsidR="00482DB0" w:rsidRPr="00482DB0">
        <w:rPr>
          <w:rFonts w:eastAsia="Batang"/>
          <w:lang w:val="es-ES" w:eastAsia="ko-KR"/>
        </w:rPr>
        <w:t>fiduciario de</w:t>
      </w:r>
      <w:r w:rsidR="00482DB0">
        <w:rPr>
          <w:rFonts w:eastAsia="Batang"/>
          <w:lang w:val="es-ES" w:eastAsia="ko-KR"/>
        </w:rPr>
        <w:t xml:space="preserve"> </w:t>
      </w:r>
      <w:r w:rsidR="00482DB0" w:rsidRPr="00482DB0">
        <w:rPr>
          <w:rFonts w:eastAsia="Batang"/>
          <w:lang w:val="es-ES" w:eastAsia="ko-KR"/>
        </w:rPr>
        <w:t>socios múltiples</w:t>
      </w:r>
    </w:p>
    <w:p w:rsidR="000A3562" w:rsidRPr="001B7DE8" w:rsidRDefault="00495A57" w:rsidP="009C0329">
      <w:pPr>
        <w:pStyle w:val="Normalnumber"/>
        <w:keepNext/>
        <w:keepLines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t xml:space="preserve">Un fondo fiduciario de socios múltiples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es un mecanismo de financiación interinstitucional de socios y donantes múltiples que permite a los asociados fomentar la coherencia, la coordinación y la eficiencia en el logro de objetivos comunes a nivel de los países o a nivel mundial y fortalecer la ejecución coordinada de las actividades.</w:t>
      </w:r>
      <w:r w:rsidR="000A3562" w:rsidRPr="001B7DE8">
        <w:rPr>
          <w:lang w:val="es-ES"/>
        </w:rPr>
        <w:t xml:space="preserve"> </w:t>
      </w:r>
      <w:r w:rsidR="00737F89" w:rsidRPr="001B7DE8">
        <w:rPr>
          <w:lang w:val="es-ES"/>
        </w:rPr>
        <w:t xml:space="preserve">Con arreglo a ese mecanismo, las contribuciones recibidas de uno o más donantes se mantienen en fideicomiso por una entidad de las </w:t>
      </w:r>
      <w:r w:rsidR="001A286B">
        <w:rPr>
          <w:lang w:val="es-ES"/>
        </w:rPr>
        <w:t>Naciones Unidas</w:t>
      </w:r>
      <w:r w:rsidR="00737F89" w:rsidRPr="001B7DE8">
        <w:rPr>
          <w:lang w:val="es-ES"/>
        </w:rPr>
        <w:t xml:space="preserve"> designada por el agente administrativo del </w:t>
      </w:r>
      <w:r w:rsidR="009C0329">
        <w:rPr>
          <w:lang w:val="es-ES"/>
        </w:rPr>
        <w:t>F</w:t>
      </w:r>
      <w:r w:rsidR="00737F89" w:rsidRPr="001B7DE8">
        <w:rPr>
          <w:lang w:val="es-ES"/>
        </w:rPr>
        <w:t xml:space="preserve">ondo y la financiación recibida, una vez que el órgano rector del fondo haya adoptado una decisión, se transfiere a las entidades participantes de las </w:t>
      </w:r>
      <w:r w:rsidR="001A286B">
        <w:rPr>
          <w:lang w:val="es-ES"/>
        </w:rPr>
        <w:t>Naciones Unidas</w:t>
      </w:r>
      <w:r w:rsidR="000A3562" w:rsidRPr="001B7DE8">
        <w:rPr>
          <w:lang w:val="es-ES"/>
        </w:rPr>
        <w:t xml:space="preserve">. </w:t>
      </w:r>
      <w:r w:rsidR="00737F89" w:rsidRPr="001B7DE8">
        <w:rPr>
          <w:lang w:val="es-ES"/>
        </w:rPr>
        <w:t xml:space="preserve">Un objetivo clave en la creación del </w:t>
      </w:r>
      <w:r w:rsidR="001470C2">
        <w:rPr>
          <w:lang w:val="es-ES"/>
        </w:rPr>
        <w:t>f</w:t>
      </w:r>
      <w:r w:rsidR="00737F89" w:rsidRPr="001B7DE8">
        <w:rPr>
          <w:lang w:val="es-ES"/>
        </w:rPr>
        <w:t>ondo es garantizar que se consiga plena transparencia en lo que se refiere a la financiación, las operaciones y las modalidades de ejecución, y que se rinda cuenta de ello.</w:t>
      </w:r>
    </w:p>
    <w:p w:rsidR="000A3562" w:rsidRPr="001B7DE8" w:rsidRDefault="00B404BA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t xml:space="preserve">Actualmente, la </w:t>
      </w:r>
      <w:r w:rsidR="0013161C">
        <w:rPr>
          <w:lang w:val="es-ES"/>
        </w:rPr>
        <w:t>o</w:t>
      </w:r>
      <w:r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Pr="001B7DE8">
        <w:rPr>
          <w:lang w:val="es-ES"/>
        </w:rPr>
        <w:t xml:space="preserve"> del Programa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para el Desarrollo (PNUD) (http://mptf.undp.org/), administra más de </w:t>
      </w:r>
      <w:r w:rsidR="000A3562" w:rsidRPr="001B7DE8">
        <w:rPr>
          <w:lang w:val="es-ES"/>
        </w:rPr>
        <w:t xml:space="preserve">60 </w:t>
      </w:r>
      <w:r w:rsidRPr="001B7DE8">
        <w:rPr>
          <w:lang w:val="es-ES"/>
        </w:rPr>
        <w:t xml:space="preserve">fondos fiduciarios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y actúa como agente administrativo de esos fondos</w:t>
      </w:r>
      <w:r w:rsidR="000A3562" w:rsidRPr="001B7DE8">
        <w:rPr>
          <w:lang w:val="es-ES"/>
        </w:rPr>
        <w:t xml:space="preserve">. </w:t>
      </w:r>
      <w:r w:rsidRPr="001B7DE8">
        <w:rPr>
          <w:lang w:val="es-ES"/>
        </w:rPr>
        <w:t xml:space="preserve">La Oficina fue </w:t>
      </w:r>
      <w:r w:rsidR="000A3562" w:rsidRPr="001B7DE8">
        <w:rPr>
          <w:lang w:val="es-ES"/>
        </w:rPr>
        <w:t>establ</w:t>
      </w:r>
      <w:r w:rsidRPr="001B7DE8">
        <w:rPr>
          <w:lang w:val="es-ES"/>
        </w:rPr>
        <w:t xml:space="preserve">ecida en </w:t>
      </w:r>
      <w:r w:rsidR="000A3562" w:rsidRPr="001B7DE8">
        <w:rPr>
          <w:lang w:val="es-ES"/>
        </w:rPr>
        <w:t>2006</w:t>
      </w:r>
      <w:r w:rsidRPr="001B7DE8">
        <w:rPr>
          <w:lang w:val="es-ES"/>
        </w:rPr>
        <w:t xml:space="preserve"> sobre la base de la positiva experiencia del Fondo Fiduciario para el Iraq del Grupo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para el Desarrollo después de 2</w:t>
      </w:r>
      <w:r w:rsidR="000A3562" w:rsidRPr="001B7DE8">
        <w:rPr>
          <w:lang w:val="es-ES"/>
        </w:rPr>
        <w:t>004</w:t>
      </w:r>
      <w:r w:rsidRPr="001B7DE8">
        <w:rPr>
          <w:lang w:val="es-ES"/>
        </w:rPr>
        <w:t xml:space="preserve">, así como de otros fondos fiduciarios de socios múltiples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, como el Fondo </w:t>
      </w:r>
      <w:r w:rsidR="00987C83" w:rsidRPr="001B7DE8">
        <w:rPr>
          <w:lang w:val="es-ES"/>
        </w:rPr>
        <w:t>para la Consolidación de la Paz</w:t>
      </w:r>
      <w:r w:rsidR="000A3562" w:rsidRPr="001B7DE8">
        <w:rPr>
          <w:lang w:val="es-ES"/>
        </w:rPr>
        <w:t xml:space="preserve">. </w:t>
      </w:r>
      <w:r w:rsidR="00987C83" w:rsidRPr="001B7DE8">
        <w:rPr>
          <w:lang w:val="es-ES"/>
        </w:rPr>
        <w:t xml:space="preserve">La </w:t>
      </w:r>
      <w:r w:rsidR="0013161C">
        <w:rPr>
          <w:lang w:val="es-ES"/>
        </w:rPr>
        <w:t>o</w:t>
      </w:r>
      <w:r w:rsidR="00987C83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987C83" w:rsidRPr="001B7DE8">
        <w:rPr>
          <w:lang w:val="es-ES"/>
        </w:rPr>
        <w:t xml:space="preserve"> es una entidad centralizadora que presta apoyo y servicios concretos a los gobiernos, órganos de las </w:t>
      </w:r>
      <w:r w:rsidR="001A286B">
        <w:rPr>
          <w:lang w:val="es-ES"/>
        </w:rPr>
        <w:t>Naciones Unidas</w:t>
      </w:r>
      <w:r w:rsidR="00987C83" w:rsidRPr="001B7DE8">
        <w:rPr>
          <w:lang w:val="es-ES"/>
        </w:rPr>
        <w:t xml:space="preserve">, equipos de las </w:t>
      </w:r>
      <w:r w:rsidR="001A286B">
        <w:rPr>
          <w:lang w:val="es-ES"/>
        </w:rPr>
        <w:t>Naciones Unidas</w:t>
      </w:r>
      <w:r w:rsidR="00987C83" w:rsidRPr="001B7DE8">
        <w:rPr>
          <w:lang w:val="es-ES"/>
        </w:rPr>
        <w:t xml:space="preserve"> en los países y donantes interesados en establecer fondos fiduciarios de socios múltiples. La </w:t>
      </w:r>
      <w:r w:rsidR="0013161C">
        <w:rPr>
          <w:lang w:val="es-ES"/>
        </w:rPr>
        <w:t>o</w:t>
      </w:r>
      <w:r w:rsidR="00987C83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987C83" w:rsidRPr="001B7DE8">
        <w:rPr>
          <w:lang w:val="es-ES"/>
        </w:rPr>
        <w:t xml:space="preserve"> gestiona en l</w:t>
      </w:r>
      <w:r w:rsidR="006875FB" w:rsidRPr="001B7DE8">
        <w:rPr>
          <w:lang w:val="es-ES"/>
        </w:rPr>
        <w:t>a actualidad una cartera de fondos fiduciarios de socios múltiples relacionados con el desarrollo, la transición, las cuestiones humanitarias y el cambio ambiental y climático por valor de más de 7</w:t>
      </w:r>
      <w:r w:rsidR="001470C2">
        <w:rPr>
          <w:lang w:val="es-ES"/>
        </w:rPr>
        <w:t>.</w:t>
      </w:r>
      <w:r w:rsidR="006875FB" w:rsidRPr="001B7DE8">
        <w:rPr>
          <w:lang w:val="es-ES"/>
        </w:rPr>
        <w:t xml:space="preserve">000 millones de dólares en </w:t>
      </w:r>
      <w:r w:rsidR="00835F4E" w:rsidRPr="001B7DE8">
        <w:rPr>
          <w:lang w:val="es-ES"/>
        </w:rPr>
        <w:t xml:space="preserve">94 </w:t>
      </w:r>
      <w:r w:rsidR="006875FB" w:rsidRPr="001B7DE8">
        <w:rPr>
          <w:lang w:val="es-ES"/>
        </w:rPr>
        <w:t>países</w:t>
      </w:r>
      <w:r w:rsidR="00835F4E" w:rsidRPr="001B7DE8">
        <w:rPr>
          <w:lang w:val="es-ES"/>
        </w:rPr>
        <w:t xml:space="preserve"> </w:t>
      </w:r>
      <w:r w:rsidR="000A3562" w:rsidRPr="001B7DE8">
        <w:rPr>
          <w:lang w:val="es-ES"/>
        </w:rPr>
        <w:t>(</w:t>
      </w:r>
      <w:r w:rsidR="006875FB" w:rsidRPr="001B7DE8">
        <w:rPr>
          <w:lang w:val="es-ES"/>
        </w:rPr>
        <w:t>en la dirección</w:t>
      </w:r>
      <w:r w:rsidR="001A286B">
        <w:rPr>
          <w:lang w:val="es-ES"/>
        </w:rPr>
        <w:t xml:space="preserve"> </w:t>
      </w:r>
      <w:r w:rsidR="006875FB" w:rsidRPr="001B7DE8">
        <w:rPr>
          <w:lang w:val="es-ES"/>
        </w:rPr>
        <w:t>http://mptf.undp.org/portfolio/fund</w:t>
      </w:r>
      <w:r w:rsidR="001A286B">
        <w:rPr>
          <w:lang w:val="es-ES"/>
        </w:rPr>
        <w:t xml:space="preserve"> </w:t>
      </w:r>
      <w:r w:rsidR="006875FB" w:rsidRPr="001B7DE8">
        <w:rPr>
          <w:lang w:val="es-ES"/>
        </w:rPr>
        <w:t xml:space="preserve">se puede consultar la lista de fondos fiduciarios de socios múltiples que se gestionan actualmente). La Oficina ha recibido contribuciones de más de </w:t>
      </w:r>
      <w:r w:rsidR="000A3562" w:rsidRPr="001B7DE8">
        <w:rPr>
          <w:lang w:val="es-ES"/>
        </w:rPr>
        <w:t xml:space="preserve">90 </w:t>
      </w:r>
      <w:r w:rsidR="000A529E" w:rsidRPr="001B7DE8">
        <w:rPr>
          <w:lang w:val="es-ES"/>
        </w:rPr>
        <w:t>contribuyentes</w:t>
      </w:r>
      <w:r w:rsidR="006875FB" w:rsidRPr="001B7DE8">
        <w:rPr>
          <w:lang w:val="es-ES"/>
        </w:rPr>
        <w:t xml:space="preserve"> y asociados</w:t>
      </w:r>
      <w:r w:rsidR="000A3562" w:rsidRPr="001B7DE8">
        <w:rPr>
          <w:lang w:val="es-ES"/>
        </w:rPr>
        <w:t xml:space="preserve"> (http://mptf.undp.org/portfolio/donor)</w:t>
      </w:r>
      <w:r w:rsidR="00835F4E" w:rsidRPr="001B7DE8">
        <w:rPr>
          <w:lang w:val="es-ES"/>
        </w:rPr>
        <w:t>,</w:t>
      </w:r>
      <w:r w:rsidR="000A3562" w:rsidRPr="001B7DE8">
        <w:rPr>
          <w:lang w:val="es-ES"/>
        </w:rPr>
        <w:t xml:space="preserve"> </w:t>
      </w:r>
      <w:r w:rsidR="006875FB" w:rsidRPr="001B7DE8">
        <w:rPr>
          <w:lang w:val="es-ES"/>
        </w:rPr>
        <w:t>y 4</w:t>
      </w:r>
      <w:r w:rsidR="00F80E35">
        <w:rPr>
          <w:lang w:val="es-ES"/>
        </w:rPr>
        <w:t>7</w:t>
      </w:r>
      <w:r w:rsidR="006875FB" w:rsidRPr="001B7DE8">
        <w:rPr>
          <w:lang w:val="es-ES"/>
        </w:rPr>
        <w:t xml:space="preserve"> órganos participan en los fondos fiduciarios de socios múltiples </w:t>
      </w:r>
      <w:r w:rsidR="000A3562" w:rsidRPr="001B7DE8">
        <w:rPr>
          <w:lang w:val="es-ES"/>
        </w:rPr>
        <w:t>(</w:t>
      </w:r>
      <w:hyperlink r:id="rId12" w:history="1">
        <w:r w:rsidR="000A3562" w:rsidRPr="001B7DE8">
          <w:rPr>
            <w:rStyle w:val="Hyperlink"/>
            <w:color w:val="auto"/>
            <w:u w:val="none"/>
            <w:lang w:val="es-ES"/>
          </w:rPr>
          <w:t>http://mptf.undp.org/portfolio/agency</w:t>
        </w:r>
      </w:hyperlink>
      <w:r w:rsidR="000A3562" w:rsidRPr="001B7DE8">
        <w:rPr>
          <w:lang w:val="es-ES"/>
        </w:rPr>
        <w:t>).</w:t>
      </w:r>
    </w:p>
    <w:p w:rsidR="000A3562" w:rsidRPr="001B7DE8" w:rsidRDefault="000A529E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lang w:val="es-ES"/>
        </w:rPr>
        <w:t>El hecho de que</w:t>
      </w:r>
      <w:r w:rsidR="00735D23" w:rsidRPr="001B7DE8">
        <w:rPr>
          <w:rFonts w:ascii="Calibri" w:eastAsia="Calibri" w:hAnsi="Calibri"/>
          <w:sz w:val="22"/>
          <w:szCs w:val="22"/>
          <w:lang w:val="es-ES"/>
        </w:rPr>
        <w:t xml:space="preserve"> </w:t>
      </w:r>
      <w:r w:rsidR="00735D23" w:rsidRPr="001B7DE8">
        <w:rPr>
          <w:lang w:val="es-ES"/>
        </w:rPr>
        <w:t>se recurra</w:t>
      </w:r>
      <w:r w:rsidRPr="001B7DE8">
        <w:rPr>
          <w:lang w:val="es-ES"/>
        </w:rPr>
        <w:t xml:space="preserve"> cada vez más a los fondos fiduciarios es un reflejo de que se está aplicando</w:t>
      </w:r>
      <w:r w:rsidR="001A286B">
        <w:rPr>
          <w:lang w:val="es-ES"/>
        </w:rPr>
        <w:t xml:space="preserve"> </w:t>
      </w:r>
      <w:r w:rsidRPr="001B7DE8">
        <w:rPr>
          <w:lang w:val="es-ES"/>
        </w:rPr>
        <w:t xml:space="preserve">tanto el programa sobre la eficacia de la ayuda como la iniciativa “Una ONU”  y representa una respuesta a la necesidad de </w:t>
      </w:r>
      <w:r w:rsidR="007666BC" w:rsidRPr="001B7DE8">
        <w:rPr>
          <w:lang w:val="es-ES"/>
        </w:rPr>
        <w:t>aportar recursos de manera flexible, coordinada y previsible</w:t>
      </w:r>
      <w:r w:rsidR="001A286B">
        <w:rPr>
          <w:lang w:val="es-ES"/>
        </w:rPr>
        <w:t xml:space="preserve"> </w:t>
      </w:r>
      <w:r w:rsidR="007666BC" w:rsidRPr="001B7DE8">
        <w:rPr>
          <w:lang w:val="es-ES"/>
        </w:rPr>
        <w:t>en apoyo de las prioridades nacionales y mundiales</w:t>
      </w:r>
      <w:r w:rsidR="000A3562" w:rsidRPr="001B7DE8">
        <w:rPr>
          <w:color w:val="000000"/>
          <w:lang w:val="es-ES"/>
        </w:rPr>
        <w:t xml:space="preserve">. </w:t>
      </w:r>
      <w:r w:rsidR="007666BC" w:rsidRPr="001B7DE8">
        <w:rPr>
          <w:color w:val="000000"/>
          <w:lang w:val="es-ES"/>
        </w:rPr>
        <w:t xml:space="preserve">Al fomentar la coordinación entre todos los interesados, los fondos fiduciarios de socios múltiples también sirven de foro para el diálogo sobre </w:t>
      </w:r>
      <w:r w:rsidR="009C0329">
        <w:rPr>
          <w:color w:val="000000"/>
          <w:lang w:val="es-ES"/>
        </w:rPr>
        <w:t xml:space="preserve">las </w:t>
      </w:r>
      <w:r w:rsidR="007666BC" w:rsidRPr="001B7DE8">
        <w:rPr>
          <w:color w:val="000000"/>
          <w:lang w:val="es-ES"/>
        </w:rPr>
        <w:t>políticas y la coordinación y armonización de los programas</w:t>
      </w:r>
      <w:r w:rsidR="000A3562" w:rsidRPr="001B7DE8">
        <w:rPr>
          <w:color w:val="000000"/>
          <w:lang w:val="es-ES"/>
        </w:rPr>
        <w:t xml:space="preserve">. </w:t>
      </w:r>
      <w:r w:rsidR="007666BC" w:rsidRPr="001B7DE8">
        <w:rPr>
          <w:color w:val="000000"/>
          <w:lang w:val="es-ES"/>
        </w:rPr>
        <w:t xml:space="preserve">En general, se han convertido en uno de los instrumentos de financiación importantes de que dispone el sistema de las </w:t>
      </w:r>
      <w:r w:rsidR="001A286B">
        <w:rPr>
          <w:color w:val="000000"/>
          <w:lang w:val="es-ES"/>
        </w:rPr>
        <w:t>Naciones Unidas</w:t>
      </w:r>
      <w:r w:rsidR="007666BC" w:rsidRPr="001B7DE8">
        <w:rPr>
          <w:color w:val="000000"/>
          <w:lang w:val="es-ES"/>
        </w:rPr>
        <w:t xml:space="preserve"> para ayudar a encauzar recursos en pro de una estrategia que se ha definido sobre la base de un análisis de las realidades programáticas y en consulta con los interesados</w:t>
      </w:r>
      <w:r w:rsidR="000A3562" w:rsidRPr="001B7DE8">
        <w:rPr>
          <w:color w:val="000000"/>
          <w:lang w:val="es-ES"/>
        </w:rPr>
        <w:t>.</w:t>
      </w:r>
    </w:p>
    <w:p w:rsidR="008D64B4" w:rsidRPr="001B7DE8" w:rsidRDefault="007666BC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Ya el PNUMA, la Organización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para la Educación, la Ciencia y la Cultura (UNESCO), la Organización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para la Alimentación y la Agricultura (FAO)</w:t>
      </w:r>
      <w:r w:rsidR="001A286B">
        <w:rPr>
          <w:color w:val="000000"/>
          <w:lang w:val="es-ES"/>
        </w:rPr>
        <w:t xml:space="preserve"> </w:t>
      </w:r>
      <w:r w:rsidRPr="001B7DE8">
        <w:rPr>
          <w:color w:val="000000"/>
          <w:lang w:val="es-ES"/>
        </w:rPr>
        <w:t>y el PNUD</w:t>
      </w:r>
      <w:r w:rsidR="000A3562" w:rsidRPr="001B7DE8">
        <w:rPr>
          <w:color w:val="000000"/>
          <w:lang w:val="es-ES"/>
        </w:rPr>
        <w:t xml:space="preserve"> </w:t>
      </w:r>
      <w:r w:rsidRPr="001B7DE8">
        <w:rPr>
          <w:color w:val="000000"/>
          <w:lang w:val="es-ES"/>
        </w:rPr>
        <w:t xml:space="preserve">participan activamente en numerosos fondos fiduciarios de socios </w:t>
      </w:r>
      <w:r w:rsidR="006B408F" w:rsidRPr="001B7DE8">
        <w:rPr>
          <w:color w:val="000000"/>
          <w:lang w:val="es-ES"/>
        </w:rPr>
        <w:t>múltiples</w:t>
      </w:r>
      <w:r w:rsidR="001470C2">
        <w:rPr>
          <w:color w:val="000000"/>
          <w:lang w:val="es-ES"/>
        </w:rPr>
        <w:t xml:space="preserve"> y de los </w:t>
      </w:r>
      <w:r w:rsidR="000A3562" w:rsidRPr="001B7DE8">
        <w:rPr>
          <w:color w:val="000000"/>
          <w:lang w:val="es-ES"/>
        </w:rPr>
        <w:t xml:space="preserve">114 </w:t>
      </w:r>
      <w:r w:rsidRPr="001B7DE8">
        <w:rPr>
          <w:color w:val="000000"/>
          <w:lang w:val="es-ES"/>
        </w:rPr>
        <w:t xml:space="preserve">Estados miembros de la </w:t>
      </w:r>
      <w:r w:rsidR="008D64B4" w:rsidRPr="001B7DE8">
        <w:rPr>
          <w:color w:val="000000"/>
          <w:lang w:val="es-ES"/>
        </w:rPr>
        <w:t>Plat</w:t>
      </w:r>
      <w:r w:rsidRPr="001B7DE8">
        <w:rPr>
          <w:color w:val="000000"/>
          <w:lang w:val="es-ES"/>
        </w:rPr>
        <w:t>a</w:t>
      </w:r>
      <w:r w:rsidR="008D64B4" w:rsidRPr="001B7DE8">
        <w:rPr>
          <w:color w:val="000000"/>
          <w:lang w:val="es-ES"/>
        </w:rPr>
        <w:t>form</w:t>
      </w:r>
      <w:r w:rsidRPr="001B7DE8">
        <w:rPr>
          <w:color w:val="000000"/>
          <w:lang w:val="es-ES"/>
        </w:rPr>
        <w:t>a</w:t>
      </w:r>
      <w:r w:rsidR="000A3562" w:rsidRPr="001B7DE8">
        <w:rPr>
          <w:color w:val="000000"/>
          <w:lang w:val="es-ES"/>
        </w:rPr>
        <w:t xml:space="preserve"> </w:t>
      </w:r>
      <w:r w:rsidRPr="001B7DE8">
        <w:rPr>
          <w:color w:val="000000"/>
          <w:lang w:val="es-ES"/>
        </w:rPr>
        <w:t>al menos</w:t>
      </w:r>
      <w:r w:rsidR="000A3562" w:rsidRPr="001B7DE8">
        <w:rPr>
          <w:color w:val="000000"/>
          <w:lang w:val="es-ES"/>
        </w:rPr>
        <w:t xml:space="preserve"> 40 </w:t>
      </w:r>
      <w:r w:rsidR="001470C2">
        <w:rPr>
          <w:color w:val="000000"/>
          <w:lang w:val="es-ES"/>
        </w:rPr>
        <w:t>aportan</w:t>
      </w:r>
      <w:r w:rsidR="009C0329" w:rsidRPr="001B7DE8">
        <w:rPr>
          <w:color w:val="000000"/>
          <w:lang w:val="es-ES"/>
        </w:rPr>
        <w:t xml:space="preserve"> </w:t>
      </w:r>
      <w:r w:rsidR="006B408F" w:rsidRPr="001B7DE8">
        <w:rPr>
          <w:color w:val="000000"/>
          <w:lang w:val="es-ES"/>
        </w:rPr>
        <w:t xml:space="preserve">contribuciones a los fondos fiduciarios de socios múltiples de las </w:t>
      </w:r>
      <w:r w:rsidR="001A286B">
        <w:rPr>
          <w:color w:val="000000"/>
          <w:lang w:val="es-ES"/>
        </w:rPr>
        <w:t>Naciones Unidas</w:t>
      </w:r>
      <w:r w:rsidR="006B408F" w:rsidRPr="001B7DE8">
        <w:rPr>
          <w:color w:val="000000"/>
          <w:lang w:val="es-ES"/>
        </w:rPr>
        <w:t xml:space="preserve"> gestionados por la </w:t>
      </w:r>
      <w:r w:rsidR="0013161C">
        <w:rPr>
          <w:color w:val="000000"/>
          <w:lang w:val="es-ES"/>
        </w:rPr>
        <w:t>o</w:t>
      </w:r>
      <w:r w:rsidR="006B408F" w:rsidRPr="001B7DE8">
        <w:rPr>
          <w:color w:val="000000"/>
          <w:lang w:val="es-ES"/>
        </w:rPr>
        <w:t xml:space="preserve">ficina del </w:t>
      </w:r>
      <w:r w:rsidR="0013161C">
        <w:rPr>
          <w:color w:val="000000"/>
          <w:lang w:val="es-ES"/>
        </w:rPr>
        <w:t>fondo fiduciario de socios múltiples</w:t>
      </w:r>
      <w:r w:rsidR="006B408F" w:rsidRPr="001B7DE8">
        <w:rPr>
          <w:color w:val="000000"/>
          <w:lang w:val="es-ES"/>
        </w:rPr>
        <w:t>, o están asociados a ellos</w:t>
      </w:r>
      <w:r w:rsidR="000A3562" w:rsidRPr="001B7DE8">
        <w:rPr>
          <w:color w:val="000000"/>
          <w:lang w:val="es-ES"/>
        </w:rPr>
        <w:t>.</w:t>
      </w:r>
      <w:r w:rsidR="008D64B4" w:rsidRPr="001B7DE8">
        <w:rPr>
          <w:bCs/>
          <w:i/>
          <w:color w:val="000000"/>
          <w:lang w:val="es-ES"/>
        </w:rPr>
        <w:t xml:space="preserve"> </w:t>
      </w:r>
    </w:p>
    <w:p w:rsidR="000A3562" w:rsidRPr="001B7DE8" w:rsidRDefault="00BC5F5E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0"/>
        <w:rPr>
          <w:color w:val="000000"/>
          <w:lang w:val="es-ES"/>
        </w:rPr>
      </w:pPr>
      <w:r w:rsidRPr="001B7DE8">
        <w:rPr>
          <w:lang w:val="es-ES"/>
        </w:rPr>
        <w:t>Principales interesados</w:t>
      </w:r>
    </w:p>
    <w:p w:rsidR="000A3562" w:rsidRPr="001B7DE8" w:rsidRDefault="001470C2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 xml:space="preserve">Serían </w:t>
      </w:r>
      <w:r w:rsidR="007538F4" w:rsidRPr="001B7DE8">
        <w:rPr>
          <w:bCs/>
          <w:color w:val="000000"/>
          <w:lang w:val="es-ES"/>
        </w:rPr>
        <w:t xml:space="preserve">interesados </w:t>
      </w:r>
      <w:r>
        <w:rPr>
          <w:bCs/>
          <w:color w:val="000000"/>
          <w:lang w:val="es-ES"/>
        </w:rPr>
        <w:t xml:space="preserve">clave </w:t>
      </w:r>
      <w:r w:rsidR="009C0329">
        <w:rPr>
          <w:bCs/>
          <w:color w:val="000000"/>
          <w:lang w:val="es-ES"/>
        </w:rPr>
        <w:t>de</w:t>
      </w:r>
      <w:r w:rsidR="007538F4" w:rsidRPr="001B7DE8">
        <w:rPr>
          <w:bCs/>
          <w:color w:val="000000"/>
          <w:lang w:val="es-ES"/>
        </w:rPr>
        <w:t xml:space="preserve"> un fondo fiduciario de socios </w:t>
      </w:r>
      <w:r w:rsidR="001B7DE8" w:rsidRPr="001B7DE8">
        <w:rPr>
          <w:bCs/>
          <w:color w:val="000000"/>
          <w:lang w:val="es-ES"/>
        </w:rPr>
        <w:t>múltiples</w:t>
      </w:r>
      <w:r w:rsidR="007538F4" w:rsidRPr="001B7DE8">
        <w:rPr>
          <w:bCs/>
          <w:color w:val="000000"/>
          <w:lang w:val="es-ES"/>
        </w:rPr>
        <w:t xml:space="preserve"> los siguientes:</w:t>
      </w:r>
    </w:p>
    <w:p w:rsidR="000A3562" w:rsidRPr="001B7DE8" w:rsidRDefault="007538F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Un comité directivo del </w:t>
      </w:r>
      <w:r w:rsidR="009C0329" w:rsidRPr="001B7DE8">
        <w:rPr>
          <w:color w:val="000000"/>
          <w:lang w:val="es-ES"/>
        </w:rPr>
        <w:t>F</w:t>
      </w:r>
      <w:r w:rsidRPr="001B7DE8">
        <w:rPr>
          <w:color w:val="000000"/>
          <w:lang w:val="es-ES"/>
        </w:rPr>
        <w:t>ondo, por ejemplo</w:t>
      </w:r>
      <w:r w:rsidR="009C0329">
        <w:rPr>
          <w:color w:val="000000"/>
          <w:lang w:val="es-ES"/>
        </w:rPr>
        <w:t>,</w:t>
      </w:r>
      <w:r w:rsidRPr="001B7DE8">
        <w:rPr>
          <w:color w:val="000000"/>
          <w:lang w:val="es-ES"/>
        </w:rPr>
        <w:t xml:space="preserve"> un órgano compuesto por representantes de la Mesa de la Plataforma y cuatro órganos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>, en el que la</w:t>
      </w:r>
      <w:r w:rsidR="001A286B">
        <w:rPr>
          <w:color w:val="000000"/>
          <w:lang w:val="es-ES"/>
        </w:rPr>
        <w:t xml:space="preserve"> </w:t>
      </w:r>
      <w:r w:rsidR="0013161C">
        <w:rPr>
          <w:color w:val="000000"/>
          <w:lang w:val="es-ES"/>
        </w:rPr>
        <w:t>o</w:t>
      </w:r>
      <w:r w:rsidRPr="001B7DE8">
        <w:rPr>
          <w:color w:val="000000"/>
          <w:lang w:val="es-ES"/>
        </w:rPr>
        <w:t xml:space="preserve">ficina del </w:t>
      </w:r>
      <w:r w:rsidR="0013161C">
        <w:rPr>
          <w:color w:val="000000"/>
          <w:lang w:val="es-ES"/>
        </w:rPr>
        <w:t>fondo fiduciario de socios múltiples</w:t>
      </w:r>
      <w:r w:rsidRPr="001B7DE8">
        <w:rPr>
          <w:color w:val="000000"/>
          <w:lang w:val="es-ES"/>
        </w:rPr>
        <w:t xml:space="preserve"> participe como miembro por derecho propio</w:t>
      </w:r>
      <w:r w:rsidR="008D64B4" w:rsidRPr="001B7DE8">
        <w:rPr>
          <w:color w:val="000000"/>
          <w:lang w:val="es-ES"/>
        </w:rPr>
        <w:t>;</w:t>
      </w:r>
    </w:p>
    <w:p w:rsidR="000A3562" w:rsidRPr="001B7DE8" w:rsidRDefault="001E3C9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color w:val="000000"/>
          <w:lang w:val="es-ES"/>
        </w:rPr>
      </w:pPr>
      <w:r w:rsidRPr="001B7DE8">
        <w:rPr>
          <w:lang w:val="es-ES"/>
        </w:rPr>
        <w:t xml:space="preserve">Asociados en la ejecución </w:t>
      </w:r>
      <w:r w:rsidR="009C0329">
        <w:rPr>
          <w:lang w:val="es-ES"/>
        </w:rPr>
        <w:t>pertenecientes a</w:t>
      </w:r>
      <w:r w:rsidRPr="001B7DE8">
        <w:rPr>
          <w:lang w:val="es-ES"/>
        </w:rPr>
        <w:t xml:space="preserve"> gobiernos y organizaciones no gubernamentales, según proceda</w:t>
      </w:r>
      <w:r w:rsidR="008D64B4" w:rsidRPr="001B7DE8">
        <w:rPr>
          <w:color w:val="000000"/>
          <w:lang w:val="es-ES"/>
        </w:rPr>
        <w:t>;</w:t>
      </w:r>
    </w:p>
    <w:p w:rsidR="000A3562" w:rsidRPr="001B7DE8" w:rsidRDefault="001E3C9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La secretaría de la </w:t>
      </w:r>
      <w:r w:rsidR="00E135F5" w:rsidRPr="001B7DE8">
        <w:rPr>
          <w:lang w:val="es-ES"/>
        </w:rPr>
        <w:t>Plat</w:t>
      </w:r>
      <w:r w:rsidRPr="001B7DE8">
        <w:rPr>
          <w:lang w:val="es-ES"/>
        </w:rPr>
        <w:t>a</w:t>
      </w:r>
      <w:r w:rsidR="00E135F5" w:rsidRPr="001B7DE8">
        <w:rPr>
          <w:lang w:val="es-ES"/>
        </w:rPr>
        <w:t>form</w:t>
      </w:r>
      <w:r w:rsidRPr="001B7DE8">
        <w:rPr>
          <w:lang w:val="es-ES"/>
        </w:rPr>
        <w:t xml:space="preserve">a en calidad de secretaría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>ondo</w:t>
      </w:r>
      <w:r w:rsidR="00C026CF" w:rsidRPr="001B7DE8">
        <w:rPr>
          <w:color w:val="000000"/>
          <w:lang w:val="es-ES"/>
        </w:rPr>
        <w:t>;</w:t>
      </w:r>
    </w:p>
    <w:p w:rsidR="000A3562" w:rsidRPr="001B7DE8" w:rsidRDefault="001E3C9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color w:val="000000"/>
          <w:lang w:val="es-ES"/>
        </w:rPr>
      </w:pPr>
      <w:r w:rsidRPr="001B7DE8">
        <w:rPr>
          <w:lang w:val="es-ES"/>
        </w:rPr>
        <w:t xml:space="preserve">Órganos participantes de las </w:t>
      </w:r>
      <w:r w:rsidR="001A286B">
        <w:rPr>
          <w:lang w:val="es-ES"/>
        </w:rPr>
        <w:t>Naciones Unidas</w:t>
      </w:r>
      <w:r w:rsidR="009C0329">
        <w:rPr>
          <w:lang w:val="es-ES"/>
        </w:rPr>
        <w:t>;</w:t>
      </w:r>
    </w:p>
    <w:p w:rsidR="000A3562" w:rsidRPr="001B7DE8" w:rsidRDefault="001E3C9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La </w:t>
      </w:r>
      <w:r w:rsidR="0013161C">
        <w:rPr>
          <w:color w:val="000000"/>
          <w:lang w:val="es-ES"/>
        </w:rPr>
        <w:t>o</w:t>
      </w:r>
      <w:r w:rsidRPr="001B7DE8">
        <w:rPr>
          <w:color w:val="000000"/>
          <w:lang w:val="es-ES"/>
        </w:rPr>
        <w:t xml:space="preserve">ficina del </w:t>
      </w:r>
      <w:r w:rsidR="0013161C">
        <w:rPr>
          <w:color w:val="000000"/>
          <w:lang w:val="es-ES"/>
        </w:rPr>
        <w:t>fondo fiduciario de socios múltiples</w:t>
      </w:r>
      <w:r w:rsidRPr="001B7DE8">
        <w:rPr>
          <w:color w:val="000000"/>
          <w:lang w:val="es-ES"/>
        </w:rPr>
        <w:t xml:space="preserve"> en calidad de agente administrativo</w:t>
      </w:r>
      <w:r w:rsidR="008D64B4" w:rsidRPr="001B7DE8">
        <w:rPr>
          <w:color w:val="000000"/>
          <w:lang w:val="es-ES"/>
        </w:rPr>
        <w:t>.</w:t>
      </w:r>
    </w:p>
    <w:p w:rsidR="000A3562" w:rsidRPr="001B7DE8" w:rsidRDefault="00BC5F5E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0"/>
        <w:rPr>
          <w:lang w:val="es-ES"/>
        </w:rPr>
      </w:pPr>
      <w:r w:rsidRPr="001B7DE8">
        <w:rPr>
          <w:lang w:val="es-ES"/>
        </w:rPr>
        <w:lastRenderedPageBreak/>
        <w:t>Estructura de gastos</w:t>
      </w:r>
    </w:p>
    <w:p w:rsidR="000A3562" w:rsidRPr="001B7DE8" w:rsidRDefault="001E3C94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lang w:val="es-ES"/>
        </w:rPr>
        <w:t xml:space="preserve">La estructura de gastos de todos los fondos fiduciarios de socios múltiples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abarca tres tipos de gastos fundamentales: gastos de desarrollo y administración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 xml:space="preserve">ondo, gastos de funcionamiento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 xml:space="preserve">ondo y gastos de ejecución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>ondo, como sigue</w:t>
      </w:r>
      <w:r w:rsidR="000A3562" w:rsidRPr="001B7DE8">
        <w:rPr>
          <w:color w:val="000000"/>
          <w:lang w:val="es-ES"/>
        </w:rPr>
        <w:t>:</w:t>
      </w:r>
    </w:p>
    <w:p w:rsidR="00107A32" w:rsidRPr="001B7DE8" w:rsidRDefault="001E3C94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"/>
        </w:rPr>
      </w:pPr>
      <w:r w:rsidRPr="001B7DE8">
        <w:rPr>
          <w:lang w:val="es-ES"/>
        </w:rPr>
        <w:t xml:space="preserve">Gastos de desarrollo y administración del </w:t>
      </w:r>
      <w:r w:rsidR="009C0329" w:rsidRPr="001B7DE8">
        <w:rPr>
          <w:lang w:val="es-ES"/>
        </w:rPr>
        <w:t>F</w:t>
      </w:r>
      <w:r w:rsidRPr="001B7DE8">
        <w:rPr>
          <w:lang w:val="es-ES"/>
        </w:rPr>
        <w:t xml:space="preserve">ondo: el agente administrativo </w:t>
      </w:r>
      <w:r w:rsidR="0013161C">
        <w:rPr>
          <w:lang w:val="es-ES"/>
        </w:rPr>
        <w:t>cobra</w:t>
      </w:r>
      <w:r w:rsidR="009C0329">
        <w:rPr>
          <w:lang w:val="es-ES"/>
        </w:rPr>
        <w:t xml:space="preserve"> </w:t>
      </w:r>
      <w:r w:rsidR="0013161C">
        <w:rPr>
          <w:lang w:val="es-ES"/>
        </w:rPr>
        <w:t>una comisión del</w:t>
      </w:r>
      <w:r w:rsidR="00A06B78">
        <w:rPr>
          <w:lang w:val="es-ES"/>
        </w:rPr>
        <w:t> </w:t>
      </w:r>
      <w:r w:rsidR="000A3562" w:rsidRPr="001B7DE8">
        <w:rPr>
          <w:lang w:val="es-ES"/>
        </w:rPr>
        <w:t>1</w:t>
      </w:r>
      <w:r w:rsidRPr="001B7DE8">
        <w:rPr>
          <w:lang w:val="es-ES"/>
        </w:rPr>
        <w:t>% de la cantidad que han aportado los donantes</w:t>
      </w:r>
      <w:r w:rsidR="00107A32" w:rsidRPr="001B7DE8">
        <w:rPr>
          <w:lang w:val="es-ES"/>
        </w:rPr>
        <w:t>;</w:t>
      </w:r>
    </w:p>
    <w:p w:rsidR="00107A32" w:rsidRPr="001B7DE8" w:rsidRDefault="00DB23B0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"/>
        </w:rPr>
      </w:pPr>
      <w:r w:rsidRPr="001B7DE8">
        <w:rPr>
          <w:lang w:val="es-ES"/>
        </w:rPr>
        <w:t>Gastos de funcionamiento del fondo</w:t>
      </w:r>
      <w:r w:rsidR="00835F4E" w:rsidRPr="001B7DE8">
        <w:rPr>
          <w:lang w:val="es-ES"/>
        </w:rPr>
        <w:t>:</w:t>
      </w:r>
      <w:r w:rsidR="00107A32" w:rsidRPr="001B7DE8">
        <w:rPr>
          <w:lang w:val="es-ES"/>
        </w:rPr>
        <w:t xml:space="preserve"> </w:t>
      </w:r>
      <w:r w:rsidR="00F80E35">
        <w:rPr>
          <w:lang w:val="es-ES"/>
        </w:rPr>
        <w:t>l</w:t>
      </w:r>
      <w:r w:rsidRPr="001B7DE8">
        <w:rPr>
          <w:lang w:val="es-ES"/>
        </w:rPr>
        <w:t xml:space="preserve">os órganos participantes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 xml:space="preserve"> cobran una c</w:t>
      </w:r>
      <w:r w:rsidR="0013161C">
        <w:rPr>
          <w:lang w:val="es-ES"/>
        </w:rPr>
        <w:t>omisión</w:t>
      </w:r>
      <w:r w:rsidR="00D27FDA">
        <w:rPr>
          <w:lang w:val="es-ES"/>
        </w:rPr>
        <w:t xml:space="preserve"> del </w:t>
      </w:r>
      <w:r w:rsidR="000A3562" w:rsidRPr="001B7DE8">
        <w:rPr>
          <w:lang w:val="es-ES"/>
        </w:rPr>
        <w:t>7</w:t>
      </w:r>
      <w:r w:rsidRPr="001B7DE8">
        <w:rPr>
          <w:lang w:val="es-ES"/>
        </w:rPr>
        <w:t xml:space="preserve">% </w:t>
      </w:r>
      <w:r w:rsidR="0013161C">
        <w:rPr>
          <w:lang w:val="es-ES"/>
        </w:rPr>
        <w:t>por</w:t>
      </w:r>
      <w:r w:rsidRPr="001B7DE8">
        <w:rPr>
          <w:lang w:val="es-ES"/>
        </w:rPr>
        <w:t xml:space="preserve"> las actividades que realizan, asumen total responsabilidad desde el punto de vista financiero y programático por los fondos desembolsados por el agente administrativo y supervisan y facilitan la ejecución de los proyectos/las asignaciones para los programas</w:t>
      </w:r>
      <w:r w:rsidR="00107A32" w:rsidRPr="001B7DE8">
        <w:rPr>
          <w:lang w:val="es-ES"/>
        </w:rPr>
        <w:t>;</w:t>
      </w:r>
    </w:p>
    <w:p w:rsidR="000A3562" w:rsidRPr="001B7DE8" w:rsidRDefault="00DB23B0" w:rsidP="009C0329">
      <w:pPr>
        <w:pStyle w:val="Normal-pool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"/>
        </w:rPr>
      </w:pPr>
      <w:r w:rsidRPr="001B7DE8">
        <w:rPr>
          <w:lang w:val="es-ES"/>
        </w:rPr>
        <w:t>Gastos de ejecución del fondo</w:t>
      </w:r>
      <w:r w:rsidR="00F80E35">
        <w:rPr>
          <w:lang w:val="es-ES"/>
        </w:rPr>
        <w:t>:</w:t>
      </w:r>
      <w:r w:rsidR="0013161C">
        <w:rPr>
          <w:lang w:val="es-ES"/>
        </w:rPr>
        <w:t xml:space="preserve"> </w:t>
      </w:r>
      <w:r w:rsidR="00F80E35">
        <w:rPr>
          <w:lang w:val="es-ES"/>
        </w:rPr>
        <w:t>l</w:t>
      </w:r>
      <w:r w:rsidRPr="001B7DE8">
        <w:rPr>
          <w:lang w:val="es-ES"/>
        </w:rPr>
        <w:t xml:space="preserve">a secretaría de la Plataforma podría desempeñar la función de secretaría del Fondo y cobraría por ello una cuota como gasto directo del Fondo, como </w:t>
      </w:r>
      <w:r w:rsidR="0013161C">
        <w:rPr>
          <w:lang w:val="es-ES"/>
        </w:rPr>
        <w:t xml:space="preserve">aporte </w:t>
      </w:r>
      <w:r w:rsidRPr="001B7DE8">
        <w:rPr>
          <w:lang w:val="es-ES"/>
        </w:rPr>
        <w:t>efectiv</w:t>
      </w:r>
      <w:r w:rsidR="0013161C">
        <w:rPr>
          <w:lang w:val="es-ES"/>
        </w:rPr>
        <w:t>o</w:t>
      </w:r>
      <w:r w:rsidRPr="001B7DE8">
        <w:rPr>
          <w:lang w:val="es-ES"/>
        </w:rPr>
        <w:t xml:space="preserve"> a los </w:t>
      </w:r>
      <w:r w:rsidR="00A06B78">
        <w:rPr>
          <w:lang w:val="es-ES"/>
        </w:rPr>
        <w:t xml:space="preserve">gastos </w:t>
      </w:r>
      <w:r w:rsidRPr="001B7DE8">
        <w:rPr>
          <w:lang w:val="es-ES"/>
        </w:rPr>
        <w:t>de administración financiera la secretaría de la Plataforma.</w:t>
      </w:r>
      <w:r w:rsidR="00107E61" w:rsidRPr="001B7DE8">
        <w:rPr>
          <w:lang w:val="es-ES"/>
        </w:rPr>
        <w:t xml:space="preserve"> </w:t>
      </w:r>
      <w:r w:rsidRPr="001B7DE8">
        <w:rPr>
          <w:lang w:val="es-ES"/>
        </w:rPr>
        <w:t xml:space="preserve">El </w:t>
      </w:r>
      <w:r w:rsidR="00A06B78">
        <w:rPr>
          <w:lang w:val="es-ES"/>
        </w:rPr>
        <w:t>gasto</w:t>
      </w:r>
      <w:r w:rsidRPr="001B7DE8">
        <w:rPr>
          <w:lang w:val="es-ES"/>
        </w:rPr>
        <w:t xml:space="preserve"> de los fondos fiduciarios de socios múltiples </w:t>
      </w:r>
      <w:r w:rsidR="00A06B78">
        <w:rPr>
          <w:lang w:val="es-ES"/>
        </w:rPr>
        <w:t>representa</w:t>
      </w:r>
      <w:r w:rsidRPr="001B7DE8">
        <w:rPr>
          <w:lang w:val="es-ES"/>
        </w:rPr>
        <w:t xml:space="preserve"> en promedio </w:t>
      </w:r>
      <w:r w:rsidR="007B0C88" w:rsidRPr="001B7DE8">
        <w:rPr>
          <w:lang w:val="es-ES"/>
        </w:rPr>
        <w:t xml:space="preserve">un </w:t>
      </w:r>
      <w:r w:rsidR="000A3562" w:rsidRPr="001B7DE8">
        <w:rPr>
          <w:lang w:val="es-ES"/>
        </w:rPr>
        <w:t>3</w:t>
      </w:r>
      <w:r w:rsidR="007B0C88" w:rsidRPr="001B7DE8">
        <w:rPr>
          <w:lang w:val="es-ES"/>
        </w:rPr>
        <w:t>% aproximadamente del monto total del Fondo</w:t>
      </w:r>
      <w:r w:rsidR="000A3562" w:rsidRPr="001B7DE8">
        <w:rPr>
          <w:lang w:val="es-ES"/>
        </w:rPr>
        <w:t xml:space="preserve">. </w:t>
      </w:r>
      <w:r w:rsidR="007B0C88" w:rsidRPr="001B7DE8">
        <w:rPr>
          <w:lang w:val="es-ES"/>
        </w:rPr>
        <w:t xml:space="preserve">La principal tarea de la secretaría de un fondo fiduciario es prestar apoyo administrativo al comité directivo en lo que respecta a las operaciones del </w:t>
      </w:r>
      <w:r w:rsidR="0013161C">
        <w:rPr>
          <w:lang w:val="es-ES"/>
        </w:rPr>
        <w:t>f</w:t>
      </w:r>
      <w:r w:rsidR="007B0C88" w:rsidRPr="001B7DE8">
        <w:rPr>
          <w:lang w:val="es-ES"/>
        </w:rPr>
        <w:t>ondo. Entre las principales funciones de la secretaría se incluyen elaborar manuales de funcionamiento y reglamentos;</w:t>
      </w:r>
      <w:r w:rsidR="001A286B">
        <w:rPr>
          <w:lang w:val="es-ES"/>
        </w:rPr>
        <w:t xml:space="preserve"> </w:t>
      </w:r>
      <w:r w:rsidR="007B0C88" w:rsidRPr="001B7DE8">
        <w:rPr>
          <w:lang w:val="es-ES"/>
        </w:rPr>
        <w:t xml:space="preserve">proveer lo necesario para las reuniones del comité directivo; gestionar la presentación de propuestas y revisar las propuestas de proyectos; supervisar los proyectos y coordinar las evaluaciones del </w:t>
      </w:r>
      <w:r w:rsidR="00A06B78" w:rsidRPr="001B7DE8">
        <w:rPr>
          <w:lang w:val="es-ES"/>
        </w:rPr>
        <w:t>F</w:t>
      </w:r>
      <w:r w:rsidR="007B0C88" w:rsidRPr="001B7DE8">
        <w:rPr>
          <w:lang w:val="es-ES"/>
        </w:rPr>
        <w:t xml:space="preserve">ondo y supervisar y gestionar la comunicación pública en relación con </w:t>
      </w:r>
      <w:r w:rsidR="00A06B78">
        <w:rPr>
          <w:lang w:val="es-ES"/>
        </w:rPr>
        <w:t>este</w:t>
      </w:r>
      <w:r w:rsidR="000A3562" w:rsidRPr="001B7DE8">
        <w:rPr>
          <w:lang w:val="es-ES"/>
        </w:rPr>
        <w:t xml:space="preserve">. </w:t>
      </w:r>
      <w:r w:rsidR="007B0C88" w:rsidRPr="001B7DE8">
        <w:rPr>
          <w:lang w:val="es-ES"/>
        </w:rPr>
        <w:t xml:space="preserve">También coordina con el agente administrativo la elaboración y </w:t>
      </w:r>
      <w:r w:rsidR="0013161C">
        <w:rPr>
          <w:lang w:val="es-ES"/>
        </w:rPr>
        <w:t xml:space="preserve">su </w:t>
      </w:r>
      <w:r w:rsidR="007B0C88" w:rsidRPr="001B7DE8">
        <w:rPr>
          <w:lang w:val="es-ES"/>
        </w:rPr>
        <w:t xml:space="preserve">distribución de informes </w:t>
      </w:r>
      <w:r w:rsidR="0013161C">
        <w:rPr>
          <w:lang w:val="es-ES"/>
        </w:rPr>
        <w:t xml:space="preserve">descriptivos y </w:t>
      </w:r>
      <w:r w:rsidR="007B0C88" w:rsidRPr="001B7DE8">
        <w:rPr>
          <w:lang w:val="es-ES"/>
        </w:rPr>
        <w:t xml:space="preserve">financieros al comité directivo. En caso </w:t>
      </w:r>
      <w:r w:rsidR="00A06B78">
        <w:rPr>
          <w:lang w:val="es-ES"/>
        </w:rPr>
        <w:t xml:space="preserve">necesario, </w:t>
      </w:r>
      <w:r w:rsidR="007B0C88" w:rsidRPr="001B7DE8">
        <w:rPr>
          <w:lang w:val="es-ES"/>
        </w:rPr>
        <w:t>puede evaluar directamente los proyectos y recibir asistencia de un grupo de trabajo técnico.</w:t>
      </w:r>
      <w:r w:rsidR="001A286B">
        <w:rPr>
          <w:lang w:val="es-ES"/>
        </w:rPr>
        <w:t xml:space="preserve"> </w:t>
      </w:r>
    </w:p>
    <w:p w:rsidR="000A3562" w:rsidRPr="001B7DE8" w:rsidRDefault="00874AB6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es-ES"/>
        </w:rPr>
      </w:pPr>
      <w:r w:rsidRPr="001B7DE8">
        <w:rPr>
          <w:lang w:val="es-ES"/>
        </w:rPr>
        <w:tab/>
      </w:r>
      <w:r w:rsidRPr="001B7DE8">
        <w:rPr>
          <w:lang w:val="es-ES"/>
        </w:rPr>
        <w:tab/>
      </w:r>
      <w:r w:rsidR="00BC5F5E" w:rsidRPr="001B7DE8">
        <w:rPr>
          <w:lang w:val="es-ES"/>
        </w:rPr>
        <w:t>Func</w:t>
      </w:r>
      <w:r w:rsidR="000A3562" w:rsidRPr="001B7DE8">
        <w:rPr>
          <w:lang w:val="es-ES"/>
        </w:rPr>
        <w:t>ion</w:t>
      </w:r>
      <w:r w:rsidR="00BC5F5E" w:rsidRPr="001B7DE8">
        <w:rPr>
          <w:lang w:val="es-ES"/>
        </w:rPr>
        <w:t xml:space="preserve">es de la </w:t>
      </w:r>
      <w:r w:rsidR="0013161C">
        <w:rPr>
          <w:lang w:val="es-ES"/>
        </w:rPr>
        <w:t>o</w:t>
      </w:r>
      <w:r w:rsidR="00BC5F5E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BC5F5E" w:rsidRPr="001B7DE8">
        <w:rPr>
          <w:lang w:val="es-ES"/>
        </w:rPr>
        <w:t xml:space="preserve"> e</w:t>
      </w:r>
      <w:r w:rsidR="0013161C">
        <w:rPr>
          <w:lang w:val="es-ES"/>
        </w:rPr>
        <w:t>n calidad de</w:t>
      </w:r>
      <w:r w:rsidR="00BC5F5E" w:rsidRPr="001B7DE8">
        <w:rPr>
          <w:lang w:val="es-ES"/>
        </w:rPr>
        <w:t xml:space="preserve"> administrativo</w:t>
      </w:r>
    </w:p>
    <w:p w:rsidR="000A3562" w:rsidRPr="001B7DE8" w:rsidRDefault="007B0C88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La </w:t>
      </w:r>
      <w:r w:rsidR="0013161C">
        <w:rPr>
          <w:color w:val="000000"/>
          <w:lang w:val="es-ES"/>
        </w:rPr>
        <w:t>o</w:t>
      </w:r>
      <w:r w:rsidRPr="001B7DE8">
        <w:rPr>
          <w:color w:val="000000"/>
          <w:lang w:val="es-ES"/>
        </w:rPr>
        <w:t xml:space="preserve">ficina del </w:t>
      </w:r>
      <w:r w:rsidR="0013161C">
        <w:rPr>
          <w:color w:val="000000"/>
          <w:lang w:val="es-ES"/>
        </w:rPr>
        <w:t>fondo fiduciario de socios múltiples</w:t>
      </w:r>
      <w:r w:rsidRPr="001B7DE8">
        <w:rPr>
          <w:color w:val="000000"/>
          <w:lang w:val="es-ES"/>
        </w:rPr>
        <w:t xml:space="preserve"> desempeña todas las funciones de un agente administrativo, entre otras</w:t>
      </w:r>
      <w:r w:rsidR="00A06B78">
        <w:rPr>
          <w:color w:val="000000"/>
          <w:lang w:val="es-ES"/>
        </w:rPr>
        <w:t>,</w:t>
      </w:r>
      <w:r w:rsidRPr="001B7DE8">
        <w:rPr>
          <w:color w:val="000000"/>
          <w:lang w:val="es-ES"/>
        </w:rPr>
        <w:t xml:space="preserve"> asumir la responsabilidad en la tarea de</w:t>
      </w:r>
      <w:r w:rsidR="000A3562" w:rsidRPr="001B7DE8">
        <w:rPr>
          <w:color w:val="000000"/>
          <w:lang w:val="es-ES"/>
        </w:rPr>
        <w:t>:</w:t>
      </w:r>
    </w:p>
    <w:p w:rsidR="000A3562" w:rsidRPr="001B7DE8" w:rsidRDefault="007B0C88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Prestar apoyo al proceso de creación del </w:t>
      </w:r>
      <w:r w:rsidR="00A06B78" w:rsidRPr="001B7DE8">
        <w:rPr>
          <w:color w:val="000000"/>
          <w:lang w:val="es-ES"/>
        </w:rPr>
        <w:t>F</w:t>
      </w:r>
      <w:r w:rsidRPr="001B7DE8">
        <w:rPr>
          <w:color w:val="000000"/>
          <w:lang w:val="es-ES"/>
        </w:rPr>
        <w:t xml:space="preserve">ondo, incluso en lo </w:t>
      </w:r>
      <w:r w:rsidR="007F410D" w:rsidRPr="001B7DE8">
        <w:rPr>
          <w:color w:val="000000"/>
          <w:lang w:val="es-ES"/>
        </w:rPr>
        <w:t>relativo</w:t>
      </w:r>
      <w:r w:rsidRPr="001B7DE8">
        <w:rPr>
          <w:color w:val="000000"/>
          <w:lang w:val="es-ES"/>
        </w:rPr>
        <w:t xml:space="preserve"> a los acuerdos jurídicos, mandatos, normas y procedimientos </w:t>
      </w:r>
      <w:r w:rsidR="00A06B78">
        <w:rPr>
          <w:color w:val="000000"/>
          <w:lang w:val="es-ES"/>
        </w:rPr>
        <w:t>de este</w:t>
      </w:r>
      <w:r w:rsidR="000A3562" w:rsidRPr="001B7DE8">
        <w:rPr>
          <w:color w:val="000000"/>
          <w:lang w:val="es-ES"/>
        </w:rPr>
        <w:t>;</w:t>
      </w:r>
    </w:p>
    <w:p w:rsidR="000A3562" w:rsidRPr="001B7DE8" w:rsidRDefault="007F410D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Establecer </w:t>
      </w:r>
      <w:r w:rsidR="00AF63B1" w:rsidRPr="001B7DE8">
        <w:rPr>
          <w:color w:val="000000"/>
          <w:lang w:val="es-ES"/>
        </w:rPr>
        <w:t xml:space="preserve">un marco </w:t>
      </w:r>
      <w:r w:rsidRPr="001B7DE8">
        <w:rPr>
          <w:color w:val="000000"/>
          <w:lang w:val="es-ES"/>
        </w:rPr>
        <w:t>integrado de garantía de la calidad y evaluación de los resultados</w:t>
      </w:r>
      <w:r w:rsidR="000A3562" w:rsidRPr="001B7DE8">
        <w:rPr>
          <w:color w:val="000000"/>
          <w:lang w:val="es-ES"/>
        </w:rPr>
        <w:t>;</w:t>
      </w:r>
      <w:r w:rsidR="001A286B">
        <w:rPr>
          <w:color w:val="000000"/>
          <w:lang w:val="es-ES"/>
        </w:rPr>
        <w:t xml:space="preserve"> </w:t>
      </w:r>
    </w:p>
    <w:p w:rsidR="000A3562" w:rsidRPr="001B7DE8" w:rsidRDefault="002038AD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>R</w:t>
      </w:r>
      <w:r w:rsidR="000A3562" w:rsidRPr="001B7DE8">
        <w:rPr>
          <w:color w:val="000000"/>
          <w:lang w:val="es-ES"/>
        </w:rPr>
        <w:t>ec</w:t>
      </w:r>
      <w:r w:rsidR="007F410D" w:rsidRPr="001B7DE8">
        <w:rPr>
          <w:color w:val="000000"/>
          <w:lang w:val="es-ES"/>
        </w:rPr>
        <w:t xml:space="preserve">ibir y gestionar las contribuciones de los donantes </w:t>
      </w:r>
      <w:r w:rsidR="0096389B" w:rsidRPr="001B7DE8">
        <w:rPr>
          <w:color w:val="000000"/>
          <w:lang w:val="es-ES"/>
        </w:rPr>
        <w:t>(</w:t>
      </w:r>
      <w:r w:rsidR="000A3562" w:rsidRPr="001B7DE8">
        <w:rPr>
          <w:color w:val="000000"/>
          <w:lang w:val="es-ES"/>
        </w:rPr>
        <w:t>t</w:t>
      </w:r>
      <w:r w:rsidR="007F410D" w:rsidRPr="001B7DE8">
        <w:rPr>
          <w:color w:val="000000"/>
          <w:lang w:val="es-ES"/>
        </w:rPr>
        <w:t>esorería e inversiones, garantía de calidad, desembolsos y presentación de informes</w:t>
      </w:r>
      <w:r w:rsidR="0096389B" w:rsidRPr="001B7DE8">
        <w:rPr>
          <w:color w:val="000000"/>
          <w:lang w:val="es-ES"/>
        </w:rPr>
        <w:t>)</w:t>
      </w:r>
      <w:r w:rsidR="000A3562" w:rsidRPr="001B7DE8">
        <w:rPr>
          <w:color w:val="000000"/>
          <w:lang w:val="es-ES"/>
        </w:rPr>
        <w:t xml:space="preserve">; </w:t>
      </w:r>
    </w:p>
    <w:p w:rsidR="000A3562" w:rsidRPr="001B7DE8" w:rsidRDefault="007F410D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Destinar fondos a cada uno de los órganos participantes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>, en consonancia con las decisiones del órgano rector</w:t>
      </w:r>
      <w:r w:rsidR="000A3562" w:rsidRPr="001B7DE8">
        <w:rPr>
          <w:color w:val="000000"/>
          <w:lang w:val="es-ES"/>
        </w:rPr>
        <w:t>;</w:t>
      </w:r>
    </w:p>
    <w:p w:rsidR="000A3562" w:rsidRPr="001B7DE8" w:rsidRDefault="002B76E8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>Mantener el dominio público en</w:t>
      </w:r>
      <w:r w:rsidR="001A286B">
        <w:rPr>
          <w:color w:val="000000"/>
          <w:lang w:val="es-ES"/>
        </w:rPr>
        <w:t xml:space="preserve"> </w:t>
      </w:r>
      <w:r w:rsidRPr="001B7DE8">
        <w:rPr>
          <w:color w:val="000000"/>
          <w:lang w:val="es-ES"/>
        </w:rPr>
        <w:t>línea,</w:t>
      </w:r>
      <w:r w:rsidR="000A3562" w:rsidRPr="001B7DE8">
        <w:rPr>
          <w:color w:val="000000"/>
          <w:lang w:val="es-ES"/>
        </w:rPr>
        <w:t xml:space="preserve"> GATEWAY, </w:t>
      </w:r>
      <w:r w:rsidRPr="001B7DE8">
        <w:rPr>
          <w:color w:val="000000"/>
          <w:lang w:val="es-ES"/>
        </w:rPr>
        <w:t>para supervisar el desempeño financiero y programático del Fondo y rendir informe al respecto</w:t>
      </w:r>
      <w:r w:rsidR="000A3562" w:rsidRPr="001B7DE8">
        <w:rPr>
          <w:color w:val="000000"/>
          <w:lang w:val="es-ES"/>
        </w:rPr>
        <w:t>;</w:t>
      </w:r>
    </w:p>
    <w:p w:rsidR="000A3562" w:rsidRPr="001B7DE8" w:rsidRDefault="002B76E8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>Consolidar los estados de cuentas e informes anuales sobre la base de la información que las organizaciones participantes y la secretaría presentan al agente administrativo, y remitirlos al órgano rector</w:t>
      </w:r>
      <w:r w:rsidR="002038AD" w:rsidRPr="001B7DE8">
        <w:rPr>
          <w:color w:val="000000"/>
          <w:lang w:val="es-ES"/>
        </w:rPr>
        <w:t>;</w:t>
      </w:r>
    </w:p>
    <w:p w:rsidR="000A3562" w:rsidRPr="001B7DE8" w:rsidRDefault="000A3562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>Pr</w:t>
      </w:r>
      <w:r w:rsidR="002B76E8" w:rsidRPr="001B7DE8">
        <w:rPr>
          <w:color w:val="000000"/>
          <w:lang w:val="es-ES"/>
        </w:rPr>
        <w:t>esentar informes finales, entre otros</w:t>
      </w:r>
      <w:r w:rsidR="00A06B78">
        <w:rPr>
          <w:color w:val="000000"/>
          <w:lang w:val="es-ES"/>
        </w:rPr>
        <w:t>,</w:t>
      </w:r>
      <w:r w:rsidR="002B76E8" w:rsidRPr="001B7DE8">
        <w:rPr>
          <w:color w:val="000000"/>
          <w:lang w:val="es-ES"/>
        </w:rPr>
        <w:t xml:space="preserve"> notificaciones acerca de la terminación de las operaciones del </w:t>
      </w:r>
      <w:r w:rsidR="0013161C">
        <w:rPr>
          <w:color w:val="000000"/>
          <w:lang w:val="es-ES"/>
        </w:rPr>
        <w:t>fondo fiduciario de socios múltiples</w:t>
      </w:r>
      <w:r w:rsidR="002B76E8" w:rsidRPr="001B7DE8">
        <w:rPr>
          <w:color w:val="000000"/>
          <w:lang w:val="es-ES"/>
        </w:rPr>
        <w:t>;</w:t>
      </w:r>
    </w:p>
    <w:p w:rsidR="000A3562" w:rsidRPr="001B7DE8" w:rsidRDefault="008C2295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Desembolsar fondos para los órganos participantes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</w:t>
      </w:r>
      <w:r w:rsidR="00A06B78">
        <w:rPr>
          <w:color w:val="000000"/>
          <w:lang w:val="es-ES"/>
        </w:rPr>
        <w:t>a fin de sufragar</w:t>
      </w:r>
      <w:r w:rsidRPr="001B7DE8">
        <w:rPr>
          <w:color w:val="000000"/>
          <w:lang w:val="es-ES"/>
        </w:rPr>
        <w:t xml:space="preserve"> gastos adicionales que pueda decidir el órgano rector de conformidad con el mandato, por ejemplo gastos de secretaría</w:t>
      </w:r>
      <w:r w:rsidR="000A3562" w:rsidRPr="001B7DE8">
        <w:rPr>
          <w:color w:val="000000"/>
          <w:lang w:val="es-ES"/>
        </w:rPr>
        <w:t>.</w:t>
      </w:r>
    </w:p>
    <w:p w:rsidR="000A3562" w:rsidRPr="001B7DE8" w:rsidRDefault="00735D23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lang w:val="es-ES"/>
        </w:rPr>
        <w:t>Además de desempeñar las funciones generales que se describen en los párrafos anteriores, en caso de que se solicite, la</w:t>
      </w:r>
      <w:r w:rsidR="001A286B">
        <w:rPr>
          <w:lang w:val="es-ES"/>
        </w:rPr>
        <w:t xml:space="preserve"> </w:t>
      </w:r>
      <w:r w:rsidR="0013161C">
        <w:rPr>
          <w:lang w:val="es-ES"/>
        </w:rPr>
        <w:t>o</w:t>
      </w:r>
      <w:r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Pr="001B7DE8">
        <w:rPr>
          <w:lang w:val="es-ES"/>
        </w:rPr>
        <w:t xml:space="preserve"> puede prestar servicios adicionales, por ejemplo, apoyar las iniciativas de desarrollo de capacidades, elaborar estrategias de movilización de recursos y prestar asesoramiento sobre el establecimiento de las operaciones del </w:t>
      </w:r>
      <w:r w:rsidR="00836152">
        <w:rPr>
          <w:lang w:val="es-ES"/>
        </w:rPr>
        <w:t>f</w:t>
      </w:r>
      <w:r w:rsidRPr="001B7DE8">
        <w:rPr>
          <w:lang w:val="es-ES"/>
        </w:rPr>
        <w:t>ondo (por ejemplo, un manual de operaciones)</w:t>
      </w:r>
      <w:r w:rsidR="000A3562" w:rsidRPr="001B7DE8">
        <w:rPr>
          <w:color w:val="000000"/>
          <w:lang w:val="es-ES"/>
        </w:rPr>
        <w:t>.</w:t>
      </w:r>
    </w:p>
    <w:p w:rsidR="000A3562" w:rsidRPr="001B7DE8" w:rsidRDefault="00FD10B6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lang w:val="es-ES"/>
        </w:rPr>
        <w:t>Si bien el mecanismo de</w:t>
      </w:r>
      <w:r w:rsidR="00A06B78">
        <w:rPr>
          <w:lang w:val="es-ES"/>
        </w:rPr>
        <w:t>l</w:t>
      </w:r>
      <w:r w:rsidRPr="001B7DE8">
        <w:rPr>
          <w:lang w:val="es-ES"/>
        </w:rPr>
        <w:t xml:space="preserve"> </w:t>
      </w:r>
      <w:r w:rsidR="0013161C">
        <w:rPr>
          <w:lang w:val="es-ES"/>
        </w:rPr>
        <w:t>fondo fiduciario de socios múltiples</w:t>
      </w:r>
      <w:r w:rsidRPr="001B7DE8">
        <w:rPr>
          <w:lang w:val="es-ES"/>
        </w:rPr>
        <w:t xml:space="preserve"> gestiona de manera general el </w:t>
      </w:r>
      <w:r w:rsidR="00836152">
        <w:rPr>
          <w:lang w:val="es-ES"/>
        </w:rPr>
        <w:t>fondo</w:t>
      </w:r>
      <w:r w:rsidRPr="001B7DE8">
        <w:rPr>
          <w:lang w:val="es-ES"/>
        </w:rPr>
        <w:t xml:space="preserve"> y los desembolsos a los órganos de las </w:t>
      </w:r>
      <w:r w:rsidR="001A286B">
        <w:rPr>
          <w:lang w:val="es-ES"/>
        </w:rPr>
        <w:t>Naciones Unidas</w:t>
      </w:r>
      <w:r w:rsidRPr="001B7DE8">
        <w:rPr>
          <w:lang w:val="es-ES"/>
        </w:rPr>
        <w:t>, el resto de los servicios de otra índole, tales como la</w:t>
      </w:r>
      <w:r w:rsidR="00A06B78">
        <w:rPr>
          <w:lang w:val="es-ES"/>
        </w:rPr>
        <w:t>s</w:t>
      </w:r>
      <w:r w:rsidRPr="001B7DE8">
        <w:rPr>
          <w:lang w:val="es-ES"/>
        </w:rPr>
        <w:t xml:space="preserve"> </w:t>
      </w:r>
      <w:r w:rsidR="00A06B78">
        <w:rPr>
          <w:color w:val="000000"/>
          <w:lang w:val="es-ES"/>
        </w:rPr>
        <w:t>adquisiciones</w:t>
      </w:r>
      <w:r w:rsidRPr="001B7DE8">
        <w:rPr>
          <w:color w:val="000000"/>
          <w:lang w:val="es-ES"/>
        </w:rPr>
        <w:t>, la administración, los recursos humanos, la administración de fondos y el apoyo jurídico correrían a cargo de la secretaría de la Plataforma, la cual debería contar con capacidad suficiente para garantizar que estos servicios se presten de manera eficaz y eficiente.</w:t>
      </w:r>
    </w:p>
    <w:p w:rsidR="000A3562" w:rsidRPr="001B7DE8" w:rsidRDefault="00BC5F5E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0"/>
        <w:rPr>
          <w:lang w:val="es-ES"/>
        </w:rPr>
      </w:pPr>
      <w:r w:rsidRPr="001B7DE8">
        <w:rPr>
          <w:lang w:val="es-ES"/>
        </w:rPr>
        <w:lastRenderedPageBreak/>
        <w:t>Ventajas de los fondos fiduciarios de socios múltiples</w:t>
      </w:r>
    </w:p>
    <w:p w:rsidR="0096389B" w:rsidRPr="001B7DE8" w:rsidRDefault="00F207B7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t>Los fondos fiduciarios de socios múltiples ofrecen diversas ventajas:</w:t>
      </w:r>
    </w:p>
    <w:p w:rsidR="00477CF3" w:rsidRPr="001B7DE8" w:rsidRDefault="00FD10B6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>Inclusió</w:t>
      </w:r>
      <w:r w:rsidR="0096389B" w:rsidRPr="001B7DE8">
        <w:rPr>
          <w:lang w:val="es-ES"/>
        </w:rPr>
        <w:t>n/</w:t>
      </w:r>
      <w:r w:rsidRPr="001B7DE8">
        <w:rPr>
          <w:lang w:val="es-ES"/>
        </w:rPr>
        <w:t xml:space="preserve">participación de cuatro órganos de las </w:t>
      </w:r>
      <w:r w:rsidR="001A286B">
        <w:rPr>
          <w:lang w:val="es-ES"/>
        </w:rPr>
        <w:t>Naciones Unidas</w:t>
      </w:r>
      <w:r w:rsidR="0096389B" w:rsidRPr="001B7DE8">
        <w:rPr>
          <w:lang w:val="es-ES"/>
        </w:rPr>
        <w:t xml:space="preserve">: </w:t>
      </w:r>
      <w:r w:rsidRPr="001B7DE8">
        <w:rPr>
          <w:lang w:val="es-ES"/>
        </w:rPr>
        <w:t xml:space="preserve">En un fondo fiduciario de socios múltiples </w:t>
      </w:r>
      <w:r w:rsidR="00732BB6" w:rsidRPr="001B7DE8">
        <w:rPr>
          <w:lang w:val="es-ES"/>
        </w:rPr>
        <w:t xml:space="preserve">los cuatro órganos de las </w:t>
      </w:r>
      <w:r w:rsidR="001A286B">
        <w:rPr>
          <w:lang w:val="es-ES"/>
        </w:rPr>
        <w:t>Naciones Unidas</w:t>
      </w:r>
      <w:r w:rsidR="00732BB6" w:rsidRPr="001B7DE8">
        <w:rPr>
          <w:lang w:val="es-ES"/>
        </w:rPr>
        <w:t xml:space="preserve"> que apoyan la labor de la Plataforma</w:t>
      </w:r>
      <w:r w:rsidR="00D27FDA">
        <w:rPr>
          <w:lang w:val="es-ES"/>
        </w:rPr>
        <w:t xml:space="preserve"> </w:t>
      </w:r>
      <w:r w:rsidR="00732BB6" w:rsidRPr="001B7DE8">
        <w:rPr>
          <w:lang w:val="es-ES"/>
        </w:rPr>
        <w:t xml:space="preserve">(PNUMA, UNESCO, FAO y PNUD) </w:t>
      </w:r>
      <w:r w:rsidRPr="001B7DE8">
        <w:rPr>
          <w:lang w:val="es-ES"/>
        </w:rPr>
        <w:t xml:space="preserve">podrían participar </w:t>
      </w:r>
      <w:r w:rsidR="00732BB6" w:rsidRPr="001B7DE8">
        <w:rPr>
          <w:lang w:val="es-ES"/>
        </w:rPr>
        <w:t>en su puesta en práctica,</w:t>
      </w:r>
      <w:r w:rsidR="001A286B">
        <w:rPr>
          <w:lang w:val="es-ES"/>
        </w:rPr>
        <w:t xml:space="preserve"> </w:t>
      </w:r>
      <w:r w:rsidRPr="001B7DE8">
        <w:rPr>
          <w:lang w:val="es-ES"/>
        </w:rPr>
        <w:t>en</w:t>
      </w:r>
      <w:r w:rsidR="00732BB6" w:rsidRPr="001B7DE8">
        <w:rPr>
          <w:lang w:val="es-ES"/>
        </w:rPr>
        <w:t xml:space="preserve"> igualdad de condiciones</w:t>
      </w:r>
      <w:r w:rsidRPr="001B7DE8">
        <w:rPr>
          <w:lang w:val="es-ES"/>
        </w:rPr>
        <w:t>, aprovechando sus ventajas comparativas</w:t>
      </w:r>
      <w:r w:rsidR="00A06B78">
        <w:rPr>
          <w:lang w:val="es-ES"/>
        </w:rPr>
        <w:t>,</w:t>
      </w:r>
      <w:r w:rsidRPr="001B7DE8">
        <w:rPr>
          <w:lang w:val="es-ES"/>
        </w:rPr>
        <w:t xml:space="preserve"> sin </w:t>
      </w:r>
      <w:r w:rsidR="00732BB6" w:rsidRPr="001B7DE8">
        <w:rPr>
          <w:lang w:val="es-ES"/>
        </w:rPr>
        <w:t>que ello signifique un aumento de los gastos generales</w:t>
      </w:r>
      <w:r w:rsidR="00477CF3" w:rsidRPr="001B7DE8">
        <w:rPr>
          <w:lang w:val="es-ES"/>
        </w:rPr>
        <w:t>;</w:t>
      </w:r>
    </w:p>
    <w:p w:rsidR="00477CF3" w:rsidRPr="001B7DE8" w:rsidRDefault="00732BB6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>Costos de transacción</w:t>
      </w:r>
      <w:r w:rsidR="00AC2A97" w:rsidRPr="001B7DE8">
        <w:rPr>
          <w:lang w:val="es-ES"/>
        </w:rPr>
        <w:t>.</w:t>
      </w:r>
      <w:r w:rsidR="00477CF3" w:rsidRPr="001B7DE8">
        <w:rPr>
          <w:lang w:val="es-ES"/>
        </w:rPr>
        <w:t xml:space="preserve"> </w:t>
      </w:r>
      <w:r w:rsidR="004C1F17" w:rsidRPr="001B7DE8">
        <w:rPr>
          <w:lang w:val="es-ES"/>
        </w:rPr>
        <w:t xml:space="preserve">En un fondo fiduciario de socios múltiples, los donantes tendrán que firmar un acuerdo de contribución </w:t>
      </w:r>
      <w:r w:rsidR="00160300">
        <w:rPr>
          <w:lang w:val="es-ES"/>
        </w:rPr>
        <w:t>al</w:t>
      </w:r>
      <w:r w:rsidR="004C1F17" w:rsidRPr="001B7DE8">
        <w:rPr>
          <w:lang w:val="es-ES"/>
        </w:rPr>
        <w:t xml:space="preserve"> fondo</w:t>
      </w:r>
      <w:r w:rsidR="0043001B" w:rsidRPr="001B7DE8">
        <w:rPr>
          <w:lang w:val="es-ES"/>
        </w:rPr>
        <w:t xml:space="preserve">. </w:t>
      </w:r>
      <w:r w:rsidR="004C1F17" w:rsidRPr="001B7DE8">
        <w:rPr>
          <w:lang w:val="es-ES"/>
        </w:rPr>
        <w:t xml:space="preserve">Las actividades del </w:t>
      </w:r>
      <w:r w:rsidR="00836152">
        <w:rPr>
          <w:lang w:val="es-ES"/>
        </w:rPr>
        <w:t>fondo</w:t>
      </w:r>
      <w:r w:rsidR="004C1F17" w:rsidRPr="001B7DE8">
        <w:rPr>
          <w:lang w:val="es-ES"/>
        </w:rPr>
        <w:t xml:space="preserve"> podrán ser ejecutadas por muchos de los órganos participantes de las </w:t>
      </w:r>
      <w:r w:rsidR="001A286B">
        <w:rPr>
          <w:lang w:val="es-ES"/>
        </w:rPr>
        <w:t>Naciones Unidas</w:t>
      </w:r>
      <w:r w:rsidR="004C1F17" w:rsidRPr="001B7DE8">
        <w:rPr>
          <w:lang w:val="es-ES"/>
        </w:rPr>
        <w:t xml:space="preserve"> y los asociados en la ejecución a nivel nacional en muchos países en función de un único acuerdo, sin necesidad de acuerdos de aplicación repetidos o ad hoc.</w:t>
      </w:r>
      <w:r w:rsidR="00477CF3" w:rsidRPr="001B7DE8">
        <w:rPr>
          <w:lang w:val="es-ES"/>
        </w:rPr>
        <w:t xml:space="preserve"> </w:t>
      </w:r>
      <w:r w:rsidR="004C1F17" w:rsidRPr="001B7DE8">
        <w:rPr>
          <w:lang w:val="es-ES"/>
        </w:rPr>
        <w:t>Co</w:t>
      </w:r>
      <w:r w:rsidR="0013161C">
        <w:rPr>
          <w:lang w:val="es-ES"/>
        </w:rPr>
        <w:t>mo se indicó anteriormente, la o</w:t>
      </w:r>
      <w:r w:rsidR="004C1F17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4C1F17" w:rsidRPr="001B7DE8">
        <w:rPr>
          <w:lang w:val="es-ES"/>
        </w:rPr>
        <w:t xml:space="preserve"> </w:t>
      </w:r>
      <w:r w:rsidR="00477CF3" w:rsidRPr="001B7DE8">
        <w:rPr>
          <w:lang w:val="es-ES"/>
        </w:rPr>
        <w:t>(</w:t>
      </w:r>
      <w:r w:rsidR="004C1F17" w:rsidRPr="001B7DE8">
        <w:rPr>
          <w:lang w:val="es-ES"/>
        </w:rPr>
        <w:t xml:space="preserve">en su calidad de agente </w:t>
      </w:r>
      <w:r w:rsidR="00477CF3" w:rsidRPr="001B7DE8">
        <w:rPr>
          <w:lang w:val="es-ES"/>
        </w:rPr>
        <w:t>administrativ</w:t>
      </w:r>
      <w:r w:rsidR="004C1F17" w:rsidRPr="001B7DE8">
        <w:rPr>
          <w:lang w:val="es-ES"/>
        </w:rPr>
        <w:t>o</w:t>
      </w:r>
      <w:r w:rsidR="00477CF3" w:rsidRPr="001B7DE8">
        <w:rPr>
          <w:lang w:val="es-ES"/>
        </w:rPr>
        <w:t xml:space="preserve">) </w:t>
      </w:r>
      <w:r w:rsidR="004C1F17" w:rsidRPr="001B7DE8">
        <w:rPr>
          <w:lang w:val="es-ES"/>
        </w:rPr>
        <w:t xml:space="preserve">cobra una </w:t>
      </w:r>
      <w:r w:rsidR="00F60B46">
        <w:rPr>
          <w:lang w:val="es-ES"/>
        </w:rPr>
        <w:t>comisión</w:t>
      </w:r>
      <w:r w:rsidR="004C1F17" w:rsidRPr="001B7DE8">
        <w:rPr>
          <w:lang w:val="es-ES"/>
        </w:rPr>
        <w:t xml:space="preserve"> administrativa</w:t>
      </w:r>
      <w:r w:rsidR="00EE43EC" w:rsidRPr="001B7DE8">
        <w:rPr>
          <w:lang w:val="es-ES"/>
        </w:rPr>
        <w:t xml:space="preserve"> de</w:t>
      </w:r>
      <w:r w:rsidR="00F60B46">
        <w:rPr>
          <w:lang w:val="es-ES"/>
        </w:rPr>
        <w:t xml:space="preserve">l </w:t>
      </w:r>
      <w:r w:rsidR="00477CF3" w:rsidRPr="001B7DE8">
        <w:rPr>
          <w:lang w:val="es-ES"/>
        </w:rPr>
        <w:t>1</w:t>
      </w:r>
      <w:r w:rsidR="00EE43EC" w:rsidRPr="001B7DE8">
        <w:rPr>
          <w:lang w:val="es-ES"/>
        </w:rPr>
        <w:t>% mientras que la c</w:t>
      </w:r>
      <w:r w:rsidR="00F60B46">
        <w:rPr>
          <w:lang w:val="es-ES"/>
        </w:rPr>
        <w:t>omisión</w:t>
      </w:r>
      <w:r w:rsidR="00EE43EC" w:rsidRPr="001B7DE8">
        <w:rPr>
          <w:lang w:val="es-ES"/>
        </w:rPr>
        <w:t xml:space="preserve"> de los órganos participantes de las </w:t>
      </w:r>
      <w:r w:rsidR="001A286B">
        <w:rPr>
          <w:lang w:val="es-ES"/>
        </w:rPr>
        <w:t>Naciones Unidas</w:t>
      </w:r>
      <w:r w:rsidR="00EE43EC" w:rsidRPr="001B7DE8">
        <w:rPr>
          <w:lang w:val="es-ES"/>
        </w:rPr>
        <w:t>, que se recupera por medio de los gastos del programa, es de</w:t>
      </w:r>
      <w:r w:rsidR="00F60B46">
        <w:rPr>
          <w:lang w:val="es-ES"/>
        </w:rPr>
        <w:t>l</w:t>
      </w:r>
      <w:r w:rsidR="00EE43EC" w:rsidRPr="001B7DE8">
        <w:rPr>
          <w:lang w:val="es-ES"/>
        </w:rPr>
        <w:t xml:space="preserve"> </w:t>
      </w:r>
      <w:r w:rsidR="00477CF3" w:rsidRPr="001B7DE8">
        <w:rPr>
          <w:lang w:val="es-ES"/>
        </w:rPr>
        <w:t>7</w:t>
      </w:r>
      <w:r w:rsidR="00EE43EC" w:rsidRPr="001B7DE8">
        <w:rPr>
          <w:lang w:val="es-ES"/>
        </w:rPr>
        <w:t>%, y los gastos de la secretaría del fondo se recuperan como gastos directos de</w:t>
      </w:r>
      <w:r w:rsidR="00F60B46">
        <w:rPr>
          <w:lang w:val="es-ES"/>
        </w:rPr>
        <w:t xml:space="preserve"> este</w:t>
      </w:r>
      <w:r w:rsidR="00477CF3" w:rsidRPr="001B7DE8">
        <w:rPr>
          <w:lang w:val="es-ES"/>
        </w:rPr>
        <w:t xml:space="preserve">. </w:t>
      </w:r>
      <w:r w:rsidR="00EE43EC" w:rsidRPr="001B7DE8">
        <w:rPr>
          <w:lang w:val="es-ES"/>
        </w:rPr>
        <w:t>La c</w:t>
      </w:r>
      <w:r w:rsidR="00F60B46">
        <w:rPr>
          <w:lang w:val="es-ES"/>
        </w:rPr>
        <w:t>omisión</w:t>
      </w:r>
      <w:r w:rsidR="00EE43EC" w:rsidRPr="001B7DE8">
        <w:rPr>
          <w:lang w:val="es-ES"/>
        </w:rPr>
        <w:t xml:space="preserve"> total</w:t>
      </w:r>
      <w:r w:rsidR="00CB6AD3" w:rsidRPr="001B7DE8">
        <w:rPr>
          <w:lang w:val="es-ES"/>
        </w:rPr>
        <w:t xml:space="preserve"> </w:t>
      </w:r>
      <w:r w:rsidR="00EC734B" w:rsidRPr="001B7DE8">
        <w:rPr>
          <w:lang w:val="es-ES"/>
        </w:rPr>
        <w:t>(</w:t>
      </w:r>
      <w:r w:rsidR="00477CF3" w:rsidRPr="001B7DE8">
        <w:rPr>
          <w:lang w:val="es-ES"/>
        </w:rPr>
        <w:t>8</w:t>
      </w:r>
      <w:r w:rsidR="00EE43EC" w:rsidRPr="001B7DE8">
        <w:rPr>
          <w:lang w:val="es-ES"/>
        </w:rPr>
        <w:t>%</w:t>
      </w:r>
      <w:r w:rsidR="00EC734B" w:rsidRPr="001B7DE8">
        <w:rPr>
          <w:lang w:val="es-ES"/>
        </w:rPr>
        <w:t>)</w:t>
      </w:r>
      <w:r w:rsidR="00EE43EC" w:rsidRPr="001B7DE8">
        <w:rPr>
          <w:lang w:val="es-ES"/>
        </w:rPr>
        <w:t xml:space="preserve"> y los gastos directos de la secretaría del </w:t>
      </w:r>
      <w:r w:rsidR="00836152">
        <w:rPr>
          <w:lang w:val="es-ES"/>
        </w:rPr>
        <w:t>fondo</w:t>
      </w:r>
      <w:r w:rsidR="00EE43EC" w:rsidRPr="001B7DE8">
        <w:rPr>
          <w:lang w:val="es-ES"/>
        </w:rPr>
        <w:t xml:space="preserve"> garantizan que todos los </w:t>
      </w:r>
      <w:r w:rsidR="00160300">
        <w:rPr>
          <w:lang w:val="es-ES"/>
        </w:rPr>
        <w:t>recursos</w:t>
      </w:r>
      <w:r w:rsidR="00EE43EC" w:rsidRPr="001B7DE8">
        <w:rPr>
          <w:lang w:val="es-ES"/>
        </w:rPr>
        <w:t xml:space="preserve"> se utilicen para los fines previstos,</w:t>
      </w:r>
      <w:r w:rsidR="001A286B">
        <w:rPr>
          <w:lang w:val="es-ES"/>
        </w:rPr>
        <w:t xml:space="preserve"> </w:t>
      </w:r>
      <w:r w:rsidR="00EE43EC" w:rsidRPr="001B7DE8">
        <w:rPr>
          <w:lang w:val="es-ES"/>
        </w:rPr>
        <w:t>mediante la responsabilidad financiera, la supervisión y la presentación de informes</w:t>
      </w:r>
      <w:r w:rsidR="00477CF3" w:rsidRPr="001B7DE8">
        <w:rPr>
          <w:lang w:val="es-ES"/>
        </w:rPr>
        <w:t>;</w:t>
      </w:r>
    </w:p>
    <w:p w:rsidR="000A3562" w:rsidRPr="001B7DE8" w:rsidRDefault="00477CF3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>Transparenc</w:t>
      </w:r>
      <w:r w:rsidR="00EE43EC" w:rsidRPr="001B7DE8">
        <w:rPr>
          <w:lang w:val="es-ES"/>
        </w:rPr>
        <w:t>ia y rendición de cuentas</w:t>
      </w:r>
      <w:r w:rsidR="00A32E8A" w:rsidRPr="001B7DE8">
        <w:rPr>
          <w:lang w:val="es-ES"/>
        </w:rPr>
        <w:t>.</w:t>
      </w:r>
      <w:r w:rsidRPr="001B7DE8">
        <w:rPr>
          <w:lang w:val="es-ES"/>
        </w:rPr>
        <w:t xml:space="preserve"> </w:t>
      </w:r>
      <w:r w:rsidR="0013161C">
        <w:rPr>
          <w:lang w:val="es-ES"/>
        </w:rPr>
        <w:t>La o</w:t>
      </w:r>
      <w:r w:rsidR="00EE43EC"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="00EE43EC" w:rsidRPr="001B7DE8">
        <w:rPr>
          <w:lang w:val="es-ES"/>
        </w:rPr>
        <w:t xml:space="preserve"> mantiene </w:t>
      </w:r>
      <w:r w:rsidR="00F60B46">
        <w:rPr>
          <w:lang w:val="es-ES"/>
        </w:rPr>
        <w:t xml:space="preserve">constantemente </w:t>
      </w:r>
      <w:r w:rsidR="00EE43EC" w:rsidRPr="001B7DE8">
        <w:rPr>
          <w:lang w:val="es-ES"/>
        </w:rPr>
        <w:t>informados a sus socios de</w:t>
      </w:r>
      <w:r w:rsidRPr="001B7DE8">
        <w:rPr>
          <w:lang w:val="es-ES"/>
        </w:rPr>
        <w:t xml:space="preserve"> </w:t>
      </w:r>
      <w:r w:rsidR="00EE43EC" w:rsidRPr="001B7DE8">
        <w:rPr>
          <w:lang w:val="es-ES"/>
        </w:rPr>
        <w:t xml:space="preserve">la situación del </w:t>
      </w:r>
      <w:r w:rsidR="00836152">
        <w:rPr>
          <w:lang w:val="es-ES"/>
        </w:rPr>
        <w:t>fondo</w:t>
      </w:r>
      <w:r w:rsidR="00EE43EC" w:rsidRPr="001B7DE8">
        <w:rPr>
          <w:lang w:val="es-ES"/>
        </w:rPr>
        <w:t xml:space="preserve"> y actúa con plena transparencia y responsabilidad en relación con los </w:t>
      </w:r>
      <w:r w:rsidR="00160300">
        <w:rPr>
          <w:lang w:val="es-ES"/>
        </w:rPr>
        <w:t>recursos</w:t>
      </w:r>
      <w:r w:rsidR="00EE43EC" w:rsidRPr="001B7DE8">
        <w:rPr>
          <w:lang w:val="es-ES"/>
        </w:rPr>
        <w:t xml:space="preserve"> que administra</w:t>
      </w:r>
      <w:r w:rsidRPr="001B7DE8">
        <w:rPr>
          <w:lang w:val="es-ES"/>
        </w:rPr>
        <w:t xml:space="preserve">. </w:t>
      </w:r>
      <w:r w:rsidR="00EE43EC" w:rsidRPr="001B7DE8">
        <w:rPr>
          <w:lang w:val="es-ES"/>
        </w:rPr>
        <w:t xml:space="preserve">En relación con el futuro </w:t>
      </w:r>
      <w:r w:rsidR="00836152">
        <w:rPr>
          <w:lang w:val="es-ES"/>
        </w:rPr>
        <w:t>fondo</w:t>
      </w:r>
      <w:r w:rsidR="00EE43EC" w:rsidRPr="001B7DE8">
        <w:rPr>
          <w:lang w:val="es-ES"/>
        </w:rPr>
        <w:t xml:space="preserve">, la Oficina creará un sitio web (véase, por ejemplo, el sitio web del </w:t>
      </w:r>
      <w:r w:rsidR="00836152">
        <w:rPr>
          <w:lang w:val="es-ES"/>
        </w:rPr>
        <w:t>fondo</w:t>
      </w:r>
      <w:r w:rsidR="00EE43EC" w:rsidRPr="001B7DE8">
        <w:rPr>
          <w:lang w:val="es-ES"/>
        </w:rPr>
        <w:t xml:space="preserve"> para la Consolidación de la Paz </w:t>
      </w:r>
      <w:r w:rsidRPr="001B7DE8">
        <w:rPr>
          <w:lang w:val="es-ES"/>
        </w:rPr>
        <w:t xml:space="preserve">(http://mptf.undp.org/factsheet/fund/PB000)), </w:t>
      </w:r>
      <w:r w:rsidR="00AF63B1" w:rsidRPr="001B7DE8">
        <w:rPr>
          <w:lang w:val="es-ES"/>
        </w:rPr>
        <w:t xml:space="preserve">que proporcionará a los interesados </w:t>
      </w:r>
      <w:r w:rsidR="00160300">
        <w:rPr>
          <w:lang w:val="es-ES"/>
        </w:rPr>
        <w:t>d</w:t>
      </w:r>
      <w:r w:rsidR="00AF63B1" w:rsidRPr="001B7DE8">
        <w:rPr>
          <w:lang w:val="es-ES"/>
        </w:rPr>
        <w:t xml:space="preserve">el </w:t>
      </w:r>
      <w:r w:rsidR="00836152">
        <w:rPr>
          <w:lang w:val="es-ES"/>
        </w:rPr>
        <w:t>fondo</w:t>
      </w:r>
      <w:r w:rsidR="00AF63B1" w:rsidRPr="001B7DE8">
        <w:rPr>
          <w:lang w:val="es-ES"/>
        </w:rPr>
        <w:t xml:space="preserve"> información en tiempo real (con dos horas de demora como máximo</w:t>
      </w:r>
      <w:r w:rsidRPr="001B7DE8">
        <w:rPr>
          <w:lang w:val="es-ES"/>
        </w:rPr>
        <w:t xml:space="preserve">) </w:t>
      </w:r>
      <w:r w:rsidR="00160300">
        <w:rPr>
          <w:lang w:val="es-ES"/>
        </w:rPr>
        <w:t xml:space="preserve">a través de un enlace directo con </w:t>
      </w:r>
      <w:r w:rsidR="00AF63B1" w:rsidRPr="001B7DE8">
        <w:rPr>
          <w:lang w:val="es-ES"/>
        </w:rPr>
        <w:t xml:space="preserve">su sistema </w:t>
      </w:r>
      <w:r w:rsidR="001B7DE8" w:rsidRPr="001B7DE8">
        <w:rPr>
          <w:lang w:val="es-ES"/>
        </w:rPr>
        <w:t>financiero</w:t>
      </w:r>
      <w:r w:rsidRPr="001B7DE8">
        <w:rPr>
          <w:lang w:val="es-ES"/>
        </w:rPr>
        <w:t xml:space="preserve">. </w:t>
      </w:r>
      <w:r w:rsidR="00F60B46">
        <w:rPr>
          <w:lang w:val="es-ES"/>
        </w:rPr>
        <w:t xml:space="preserve">Se proporcionará información, entre otras cosas, </w:t>
      </w:r>
      <w:r w:rsidR="00AF63B1" w:rsidRPr="001B7DE8">
        <w:rPr>
          <w:lang w:val="es-ES"/>
        </w:rPr>
        <w:t>sobre las contribuciones de los donantes</w:t>
      </w:r>
      <w:r w:rsidRPr="001B7DE8">
        <w:rPr>
          <w:lang w:val="es-ES"/>
        </w:rPr>
        <w:t>, decision</w:t>
      </w:r>
      <w:r w:rsidR="00AF63B1" w:rsidRPr="001B7DE8">
        <w:rPr>
          <w:lang w:val="es-ES"/>
        </w:rPr>
        <w:t>e</w:t>
      </w:r>
      <w:r w:rsidRPr="001B7DE8">
        <w:rPr>
          <w:lang w:val="es-ES"/>
        </w:rPr>
        <w:t xml:space="preserve">s </w:t>
      </w:r>
      <w:r w:rsidR="00AF63B1" w:rsidRPr="001B7DE8">
        <w:rPr>
          <w:lang w:val="es-ES"/>
        </w:rPr>
        <w:t>del comité directivo, la transferencia de recursos aprobados a programas/países específicos y los gastos anuales de cada actividad que se financie.</w:t>
      </w:r>
      <w:r w:rsidRPr="001B7DE8">
        <w:rPr>
          <w:lang w:val="es-ES"/>
        </w:rPr>
        <w:t xml:space="preserve"> </w:t>
      </w:r>
      <w:r w:rsidR="00AF63B1" w:rsidRPr="001B7DE8">
        <w:rPr>
          <w:lang w:val="es-ES"/>
        </w:rPr>
        <w:t>Se establecerá el marco integrado de garantía de calidad y resultados</w:t>
      </w:r>
      <w:r w:rsidR="00F60B46">
        <w:rPr>
          <w:lang w:val="es-ES"/>
        </w:rPr>
        <w:t>,</w:t>
      </w:r>
      <w:r w:rsidR="00AF63B1" w:rsidRPr="001B7DE8">
        <w:rPr>
          <w:lang w:val="es-ES"/>
        </w:rPr>
        <w:t xml:space="preserve"> </w:t>
      </w:r>
      <w:r w:rsidR="00F60B46">
        <w:rPr>
          <w:lang w:val="es-ES"/>
        </w:rPr>
        <w:t>que</w:t>
      </w:r>
      <w:r w:rsidR="00AF63B1" w:rsidRPr="001B7DE8">
        <w:rPr>
          <w:lang w:val="es-ES"/>
        </w:rPr>
        <w:t xml:space="preserve"> se pondrá a disposición del público en línea</w:t>
      </w:r>
      <w:r w:rsidRPr="001B7DE8">
        <w:rPr>
          <w:lang w:val="es-ES"/>
        </w:rPr>
        <w:t xml:space="preserve">. </w:t>
      </w:r>
      <w:r w:rsidR="00121F3A" w:rsidRPr="001B7DE8">
        <w:rPr>
          <w:lang w:val="es-ES"/>
        </w:rPr>
        <w:t>La información sobre los nuevos resultados de las actividades financiadas se pondrá a disposición de los interesados y el público en general en todo el mundo.</w:t>
      </w:r>
      <w:r w:rsidRPr="001B7DE8">
        <w:rPr>
          <w:lang w:val="es-ES"/>
        </w:rPr>
        <w:t xml:space="preserve"> </w:t>
      </w:r>
      <w:r w:rsidR="00121F3A" w:rsidRPr="001B7DE8">
        <w:rPr>
          <w:lang w:val="es-ES"/>
        </w:rPr>
        <w:t xml:space="preserve">Además, en el sitio web se publicará información pertinente en relación con el </w:t>
      </w:r>
      <w:r w:rsidR="00836152">
        <w:rPr>
          <w:lang w:val="es-ES"/>
        </w:rPr>
        <w:t>fondo</w:t>
      </w:r>
      <w:r w:rsidR="00121F3A" w:rsidRPr="001B7DE8">
        <w:rPr>
          <w:lang w:val="es-ES"/>
        </w:rPr>
        <w:t>, en</w:t>
      </w:r>
      <w:r w:rsidR="00F60B46">
        <w:rPr>
          <w:lang w:val="es-ES"/>
        </w:rPr>
        <w:t xml:space="preserve"> particular</w:t>
      </w:r>
      <w:r w:rsidR="00121F3A" w:rsidRPr="001B7DE8">
        <w:rPr>
          <w:lang w:val="es-ES"/>
        </w:rPr>
        <w:t>, el mandato, memorandos de entendimiento, arreglos administrativos estándares, actas de las reuniones del comité directivo, informes anuales sobre las actividades financiadas, informes trimestrales periódicos sobre las actividades financiadas y otras informaciones.</w:t>
      </w:r>
    </w:p>
    <w:p w:rsidR="00A54659" w:rsidRPr="001B7DE8" w:rsidRDefault="000A3562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0"/>
        <w:rPr>
          <w:lang w:val="es-ES"/>
        </w:rPr>
      </w:pPr>
      <w:r w:rsidRPr="001B7DE8">
        <w:rPr>
          <w:lang w:val="es-ES"/>
        </w:rPr>
        <w:t>Establ</w:t>
      </w:r>
      <w:r w:rsidR="00BC5F5E" w:rsidRPr="001B7DE8">
        <w:rPr>
          <w:lang w:val="es-ES"/>
        </w:rPr>
        <w:t>ecimiento de un fondo fiduciario de socios múltiples</w:t>
      </w:r>
      <w:r w:rsidR="00A54659" w:rsidRPr="001B7DE8">
        <w:rPr>
          <w:lang w:val="es-ES"/>
        </w:rPr>
        <w:t xml:space="preserve"> </w:t>
      </w:r>
    </w:p>
    <w:p w:rsidR="00A54659" w:rsidRPr="001B7DE8" w:rsidRDefault="00B468A6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bCs/>
          <w:color w:val="000000"/>
          <w:lang w:val="es-ES"/>
        </w:rPr>
      </w:pPr>
      <w:r w:rsidRPr="001B7DE8">
        <w:rPr>
          <w:lang w:val="es-ES"/>
        </w:rPr>
        <w:t>Para establecer un fondo fiduciario de socios múltiples es preciso adoptar las medidas siguientes</w:t>
      </w:r>
      <w:r w:rsidR="00A54659" w:rsidRPr="001B7DE8">
        <w:rPr>
          <w:bCs/>
          <w:color w:val="000000"/>
          <w:lang w:val="es-ES"/>
        </w:rPr>
        <w:t>:</w:t>
      </w:r>
    </w:p>
    <w:p w:rsidR="000A3562" w:rsidRPr="001B7DE8" w:rsidRDefault="00160300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>
        <w:rPr>
          <w:lang w:val="es-ES"/>
        </w:rPr>
        <w:t>Adopción de u</w:t>
      </w:r>
      <w:r w:rsidR="00B468A6" w:rsidRPr="001B7DE8">
        <w:rPr>
          <w:lang w:val="es-ES"/>
        </w:rPr>
        <w:t xml:space="preserve">na decisión del Plenario y los órganos participantes de las </w:t>
      </w:r>
      <w:r w:rsidR="001A286B">
        <w:rPr>
          <w:lang w:val="es-ES"/>
        </w:rPr>
        <w:t>Naciones Unidas</w:t>
      </w:r>
      <w:r w:rsidR="00F60B46">
        <w:rPr>
          <w:lang w:val="es-ES"/>
        </w:rPr>
        <w:t xml:space="preserve"> para</w:t>
      </w:r>
      <w:r w:rsidR="00B468A6" w:rsidRPr="001B7DE8">
        <w:rPr>
          <w:lang w:val="es-ES"/>
        </w:rPr>
        <w:t xml:space="preserve"> establecer un fondo fiduciario de socios múltiples</w:t>
      </w:r>
      <w:r w:rsidR="00A54659" w:rsidRPr="001B7DE8">
        <w:rPr>
          <w:lang w:val="es-ES"/>
        </w:rPr>
        <w:t>;</w:t>
      </w:r>
    </w:p>
    <w:p w:rsidR="000A3562" w:rsidRPr="001B7DE8" w:rsidRDefault="00B468A6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 xml:space="preserve">Elaboración del mandato del </w:t>
      </w:r>
      <w:r w:rsidR="00F60B46">
        <w:rPr>
          <w:lang w:val="es-ES"/>
        </w:rPr>
        <w:t>f</w:t>
      </w:r>
      <w:r w:rsidR="00F60B46" w:rsidRPr="001B7DE8">
        <w:rPr>
          <w:lang w:val="es-ES"/>
        </w:rPr>
        <w:t xml:space="preserve">ondo </w:t>
      </w:r>
      <w:r w:rsidR="00F60B46">
        <w:rPr>
          <w:lang w:val="es-ES"/>
        </w:rPr>
        <w:t>f</w:t>
      </w:r>
      <w:r w:rsidR="00F60B46" w:rsidRPr="001B7DE8">
        <w:rPr>
          <w:lang w:val="es-ES"/>
        </w:rPr>
        <w:t>iduciario</w:t>
      </w:r>
      <w:r w:rsidRPr="001B7DE8">
        <w:rPr>
          <w:lang w:val="es-ES"/>
        </w:rPr>
        <w:t xml:space="preserve">, con prioridades programáticas, estructura de gobernanza, criterios para la asignación de recursos, fechas de inicio y terminación del </w:t>
      </w:r>
      <w:r w:rsidR="00836152">
        <w:rPr>
          <w:lang w:val="es-ES"/>
        </w:rPr>
        <w:t>fondo</w:t>
      </w:r>
      <w:r w:rsidRPr="001B7DE8">
        <w:rPr>
          <w:lang w:val="es-ES"/>
        </w:rPr>
        <w:t>, entre otras</w:t>
      </w:r>
      <w:r w:rsidR="00A54659" w:rsidRPr="001B7DE8">
        <w:rPr>
          <w:lang w:val="es-ES"/>
        </w:rPr>
        <w:t>;</w:t>
      </w:r>
    </w:p>
    <w:p w:rsidR="000A3562" w:rsidRPr="001B7DE8" w:rsidRDefault="00B468A6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 xml:space="preserve">Elaboración de un memorando de entendimiento para que sea firmado por la Mesa de la Plataforma, los órganos de las </w:t>
      </w:r>
      <w:r w:rsidR="001A286B">
        <w:rPr>
          <w:lang w:val="es-ES"/>
        </w:rPr>
        <w:t>Naciones Unidas</w:t>
      </w:r>
      <w:r w:rsidR="0013161C">
        <w:rPr>
          <w:lang w:val="es-ES"/>
        </w:rPr>
        <w:t xml:space="preserve"> y la o</w:t>
      </w:r>
      <w:r w:rsidRPr="001B7DE8">
        <w:rPr>
          <w:lang w:val="es-ES"/>
        </w:rPr>
        <w:t xml:space="preserve">ficina del </w:t>
      </w:r>
      <w:r w:rsidR="0013161C">
        <w:rPr>
          <w:lang w:val="es-ES"/>
        </w:rPr>
        <w:t>fondo fiduciario de socios múltiples</w:t>
      </w:r>
      <w:r w:rsidRPr="001B7DE8">
        <w:rPr>
          <w:lang w:val="es-ES"/>
        </w:rPr>
        <w:t xml:space="preserve"> en calidad de agente administrativo</w:t>
      </w:r>
      <w:r w:rsidR="00A54659" w:rsidRPr="001B7DE8">
        <w:rPr>
          <w:lang w:val="es-ES"/>
        </w:rPr>
        <w:t>;</w:t>
      </w:r>
    </w:p>
    <w:p w:rsidR="000A3562" w:rsidRPr="001B7DE8" w:rsidRDefault="00B468A6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lang w:val="es-ES"/>
        </w:rPr>
        <w:t>Preparación de un acuerdo administrativo</w:t>
      </w:r>
      <w:r w:rsidR="00F207B7" w:rsidRPr="001B7DE8">
        <w:rPr>
          <w:lang w:val="es-ES"/>
        </w:rPr>
        <w:t xml:space="preserve"> estándar para que sea firmado por los donantes y el agente administrativo</w:t>
      </w:r>
      <w:r w:rsidR="00A54659" w:rsidRPr="001B7DE8">
        <w:rPr>
          <w:lang w:val="es-ES"/>
        </w:rPr>
        <w:t>.</w:t>
      </w:r>
    </w:p>
    <w:p w:rsidR="000A3562" w:rsidRPr="007342F8" w:rsidRDefault="00F207B7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bCs/>
          <w:color w:val="000000"/>
          <w:lang w:val="es-ES"/>
        </w:rPr>
      </w:pPr>
      <w:r w:rsidRPr="007342F8">
        <w:rPr>
          <w:bCs/>
          <w:color w:val="000000"/>
          <w:lang w:val="es-ES"/>
        </w:rPr>
        <w:t xml:space="preserve">El </w:t>
      </w:r>
      <w:r w:rsidR="00836152" w:rsidRPr="007342F8">
        <w:rPr>
          <w:bCs/>
          <w:color w:val="000000"/>
          <w:lang w:val="es-ES"/>
        </w:rPr>
        <w:t>fondo</w:t>
      </w:r>
      <w:r w:rsidRPr="007342F8">
        <w:rPr>
          <w:bCs/>
          <w:color w:val="000000"/>
          <w:lang w:val="es-ES"/>
        </w:rPr>
        <w:t xml:space="preserve"> podría establecerse en el plazo de una semana</w:t>
      </w:r>
      <w:r w:rsidR="00F60B46" w:rsidRPr="007342F8">
        <w:rPr>
          <w:bCs/>
          <w:color w:val="000000"/>
          <w:lang w:val="es-ES"/>
        </w:rPr>
        <w:t xml:space="preserve"> siempre que se hayan definido su</w:t>
      </w:r>
      <w:r w:rsidRPr="007342F8">
        <w:rPr>
          <w:bCs/>
          <w:color w:val="000000"/>
          <w:lang w:val="es-ES"/>
        </w:rPr>
        <w:t>s objetivos y se base en el mandato elaborado y convenido por el comité directivo</w:t>
      </w:r>
      <w:r w:rsidR="000A3562" w:rsidRPr="007342F8">
        <w:rPr>
          <w:bCs/>
          <w:color w:val="000000"/>
          <w:lang w:val="es-ES"/>
        </w:rPr>
        <w:t xml:space="preserve">. </w:t>
      </w:r>
      <w:r w:rsidRPr="007342F8">
        <w:rPr>
          <w:bCs/>
          <w:color w:val="000000"/>
          <w:lang w:val="es-ES"/>
        </w:rPr>
        <w:t xml:space="preserve">Una vez acordado el mandato, la Mesa de la Plataforma, los órganos participantes de las </w:t>
      </w:r>
      <w:r w:rsidR="001A286B" w:rsidRPr="007342F8">
        <w:rPr>
          <w:bCs/>
          <w:color w:val="000000"/>
          <w:lang w:val="es-ES"/>
        </w:rPr>
        <w:t>Naciones Unidas</w:t>
      </w:r>
      <w:r w:rsidRPr="007342F8">
        <w:rPr>
          <w:bCs/>
          <w:color w:val="000000"/>
          <w:lang w:val="es-ES"/>
        </w:rPr>
        <w:t xml:space="preserve"> y la </w:t>
      </w:r>
      <w:r w:rsidR="0013161C" w:rsidRPr="007342F8">
        <w:rPr>
          <w:color w:val="000000"/>
          <w:lang w:val="es-ES"/>
        </w:rPr>
        <w:t>o</w:t>
      </w:r>
      <w:r w:rsidRPr="007342F8">
        <w:rPr>
          <w:color w:val="000000"/>
          <w:lang w:val="es-ES"/>
        </w:rPr>
        <w:t xml:space="preserve">ficina del </w:t>
      </w:r>
      <w:r w:rsidR="0013161C" w:rsidRPr="007342F8">
        <w:rPr>
          <w:color w:val="000000"/>
          <w:lang w:val="es-ES"/>
        </w:rPr>
        <w:t>fondo fiduciario de socios múltiples</w:t>
      </w:r>
      <w:r w:rsidR="001A286B" w:rsidRPr="007342F8">
        <w:rPr>
          <w:color w:val="000000"/>
          <w:lang w:val="es-ES"/>
        </w:rPr>
        <w:t xml:space="preserve"> </w:t>
      </w:r>
      <w:r w:rsidRPr="007342F8">
        <w:rPr>
          <w:color w:val="000000"/>
          <w:lang w:val="es-ES"/>
        </w:rPr>
        <w:t>pueden firmar el memorando de entendimiento.</w:t>
      </w:r>
      <w:r w:rsidR="000A3562" w:rsidRPr="007342F8">
        <w:rPr>
          <w:bCs/>
          <w:color w:val="000000"/>
          <w:lang w:val="es-ES"/>
        </w:rPr>
        <w:t xml:space="preserve"> </w:t>
      </w:r>
      <w:r w:rsidRPr="007342F8">
        <w:rPr>
          <w:bCs/>
          <w:color w:val="000000"/>
          <w:lang w:val="es-ES"/>
        </w:rPr>
        <w:t xml:space="preserve">Ello marca el establecimiento del </w:t>
      </w:r>
      <w:r w:rsidR="00836152" w:rsidRPr="007342F8">
        <w:rPr>
          <w:bCs/>
          <w:color w:val="000000"/>
          <w:lang w:val="es-ES"/>
        </w:rPr>
        <w:t>fondo</w:t>
      </w:r>
      <w:r w:rsidR="000A3562" w:rsidRPr="007342F8">
        <w:rPr>
          <w:bCs/>
          <w:color w:val="000000"/>
          <w:lang w:val="es-ES"/>
        </w:rPr>
        <w:t xml:space="preserve">. </w:t>
      </w:r>
      <w:r w:rsidRPr="007342F8">
        <w:rPr>
          <w:bCs/>
          <w:color w:val="000000"/>
          <w:lang w:val="es-ES"/>
        </w:rPr>
        <w:t xml:space="preserve">El </w:t>
      </w:r>
      <w:r w:rsidR="00836152" w:rsidRPr="007342F8">
        <w:rPr>
          <w:bCs/>
          <w:color w:val="000000"/>
          <w:lang w:val="es-ES"/>
        </w:rPr>
        <w:t>fondo</w:t>
      </w:r>
      <w:r w:rsidRPr="007342F8">
        <w:rPr>
          <w:bCs/>
          <w:color w:val="000000"/>
          <w:lang w:val="es-ES"/>
        </w:rPr>
        <w:t xml:space="preserve"> entrará en funcionamiento cuando se haya c</w:t>
      </w:r>
      <w:r w:rsidR="007342F8">
        <w:rPr>
          <w:bCs/>
          <w:color w:val="000000"/>
          <w:lang w:val="es-ES"/>
        </w:rPr>
        <w:t>oncluido</w:t>
      </w:r>
      <w:r w:rsidRPr="007342F8">
        <w:rPr>
          <w:bCs/>
          <w:color w:val="000000"/>
          <w:lang w:val="es-ES"/>
        </w:rPr>
        <w:t xml:space="preserve"> el primer acuerdo administrativo estándar con un donante</w:t>
      </w:r>
      <w:r w:rsidR="000A3562" w:rsidRPr="007342F8">
        <w:rPr>
          <w:bCs/>
          <w:color w:val="000000"/>
          <w:lang w:val="es-ES"/>
        </w:rPr>
        <w:t>.</w:t>
      </w:r>
    </w:p>
    <w:p w:rsidR="00F468AE" w:rsidRPr="001B7DE8" w:rsidRDefault="00BC5F5E" w:rsidP="009C032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8" w:firstLine="0"/>
        <w:outlineLvl w:val="0"/>
        <w:rPr>
          <w:rFonts w:eastAsia="Batang"/>
          <w:lang w:val="es-ES" w:eastAsia="ko-KR"/>
        </w:rPr>
      </w:pPr>
      <w:r w:rsidRPr="001B7DE8">
        <w:rPr>
          <w:rFonts w:eastAsia="Batang"/>
          <w:lang w:val="es-ES" w:eastAsia="ko-KR"/>
        </w:rPr>
        <w:lastRenderedPageBreak/>
        <w:t>Opc</w:t>
      </w:r>
      <w:r w:rsidR="000A3562" w:rsidRPr="001B7DE8">
        <w:rPr>
          <w:rFonts w:eastAsia="Batang"/>
          <w:lang w:val="es-ES" w:eastAsia="ko-KR"/>
        </w:rPr>
        <w:t>i</w:t>
      </w:r>
      <w:r w:rsidRPr="001B7DE8">
        <w:rPr>
          <w:rFonts w:eastAsia="Batang"/>
          <w:lang w:val="es-ES" w:eastAsia="ko-KR"/>
        </w:rPr>
        <w:t>ó</w:t>
      </w:r>
      <w:r w:rsidR="000A3562" w:rsidRPr="001B7DE8">
        <w:rPr>
          <w:rFonts w:eastAsia="Batang"/>
          <w:lang w:val="es-ES" w:eastAsia="ko-KR"/>
        </w:rPr>
        <w:t>n 2</w:t>
      </w:r>
    </w:p>
    <w:p w:rsidR="000A3562" w:rsidRPr="001B7DE8" w:rsidRDefault="00F468AE" w:rsidP="009C032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outlineLvl w:val="0"/>
        <w:rPr>
          <w:rFonts w:eastAsia="Batang"/>
          <w:lang w:val="es-ES" w:eastAsia="ko-KR"/>
        </w:rPr>
      </w:pPr>
      <w:r w:rsidRPr="001B7DE8">
        <w:rPr>
          <w:rFonts w:eastAsia="Batang"/>
          <w:lang w:val="es-ES" w:eastAsia="ko-KR"/>
        </w:rPr>
        <w:tab/>
      </w:r>
      <w:r w:rsidR="008E34A2" w:rsidRPr="001B7DE8">
        <w:rPr>
          <w:rFonts w:eastAsia="Batang"/>
          <w:lang w:val="es-ES" w:eastAsia="ko-KR"/>
        </w:rPr>
        <w:tab/>
      </w:r>
      <w:r w:rsidR="00BC5F5E" w:rsidRPr="001B7DE8">
        <w:rPr>
          <w:rFonts w:eastAsia="Batang"/>
          <w:lang w:val="es-ES" w:eastAsia="ko-KR"/>
        </w:rPr>
        <w:t xml:space="preserve">Fondo </w:t>
      </w:r>
      <w:r w:rsidR="00836152">
        <w:rPr>
          <w:rFonts w:eastAsia="Batang"/>
          <w:lang w:val="es-ES" w:eastAsia="ko-KR"/>
        </w:rPr>
        <w:t>f</w:t>
      </w:r>
      <w:r w:rsidR="00BC5F5E" w:rsidRPr="001B7DE8">
        <w:rPr>
          <w:rFonts w:eastAsia="Batang"/>
          <w:lang w:val="es-ES" w:eastAsia="ko-KR"/>
        </w:rPr>
        <w:t>iduciario del PNUMA</w:t>
      </w:r>
    </w:p>
    <w:p w:rsidR="000A3562" w:rsidRPr="001B7DE8" w:rsidRDefault="00121F3A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Si bien el Fondo para el Medio Ambiente  es la principal fuente </w:t>
      </w:r>
      <w:r w:rsidR="007342F8">
        <w:rPr>
          <w:color w:val="000000"/>
          <w:lang w:val="es-ES"/>
        </w:rPr>
        <w:t>de</w:t>
      </w:r>
      <w:r w:rsidR="005519BE">
        <w:rPr>
          <w:color w:val="000000"/>
          <w:lang w:val="es-ES"/>
        </w:rPr>
        <w:t xml:space="preserve"> financia</w:t>
      </w:r>
      <w:r w:rsidR="007342F8">
        <w:rPr>
          <w:color w:val="000000"/>
          <w:lang w:val="es-ES"/>
        </w:rPr>
        <w:t>ción de</w:t>
      </w:r>
      <w:r w:rsidRPr="001B7DE8">
        <w:rPr>
          <w:color w:val="000000"/>
          <w:lang w:val="es-ES"/>
        </w:rPr>
        <w:t xml:space="preserve"> la mayoría de las funciones principales del PNUMA, el Programa gestiona también contribuciones voluntarias en forma de fondos fiduciarios y contribuciones de homólogos en apoyo de actividades específicas que están en consonancia con sus objetivos y programa de trabajo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>A lo largo de los años, el porcentaje de los gastos generales del Programa que ha correspondido a los fondos fiduciarios y las contribuciones para fines específicos ha sido cada vez mayor y en el bienio</w:t>
      </w:r>
      <w:r w:rsidR="00EC734B" w:rsidRPr="001B7DE8">
        <w:rPr>
          <w:color w:val="000000"/>
          <w:lang w:val="es-ES"/>
        </w:rPr>
        <w:t xml:space="preserve"> </w:t>
      </w:r>
      <w:r w:rsidR="000A3562" w:rsidRPr="001B7DE8">
        <w:rPr>
          <w:color w:val="000000"/>
          <w:lang w:val="es-ES"/>
        </w:rPr>
        <w:t>2010</w:t>
      </w:r>
      <w:r w:rsidR="005519BE">
        <w:rPr>
          <w:color w:val="000000"/>
          <w:lang w:val="es-ES"/>
        </w:rPr>
        <w:noBreakHyphen/>
      </w:r>
      <w:r w:rsidR="000A3562" w:rsidRPr="001B7DE8">
        <w:rPr>
          <w:color w:val="000000"/>
          <w:lang w:val="es-ES"/>
        </w:rPr>
        <w:t xml:space="preserve">2011 </w:t>
      </w:r>
      <w:r w:rsidRPr="001B7DE8">
        <w:rPr>
          <w:color w:val="000000"/>
          <w:lang w:val="es-ES"/>
        </w:rPr>
        <w:t xml:space="preserve">los </w:t>
      </w:r>
      <w:r w:rsidR="005519BE">
        <w:rPr>
          <w:color w:val="000000"/>
          <w:lang w:val="es-ES"/>
        </w:rPr>
        <w:t>g</w:t>
      </w:r>
      <w:r w:rsidRPr="001B7DE8">
        <w:rPr>
          <w:color w:val="000000"/>
          <w:lang w:val="es-ES"/>
        </w:rPr>
        <w:t>astos ascendieron a</w:t>
      </w:r>
      <w:r w:rsidR="0059461F">
        <w:rPr>
          <w:color w:val="000000"/>
          <w:lang w:val="es-ES"/>
        </w:rPr>
        <w:t> </w:t>
      </w:r>
      <w:r w:rsidR="000A3562" w:rsidRPr="001B7DE8">
        <w:rPr>
          <w:color w:val="000000"/>
          <w:lang w:val="es-ES"/>
        </w:rPr>
        <w:t>665</w:t>
      </w:r>
      <w:r w:rsidR="001D417F" w:rsidRPr="001B7DE8">
        <w:rPr>
          <w:color w:val="000000"/>
          <w:lang w:val="es-ES"/>
        </w:rPr>
        <w:t> </w:t>
      </w:r>
      <w:r w:rsidR="000A3562" w:rsidRPr="001B7DE8">
        <w:rPr>
          <w:color w:val="000000"/>
          <w:lang w:val="es-ES"/>
        </w:rPr>
        <w:t>millon</w:t>
      </w:r>
      <w:r w:rsidRPr="001B7DE8">
        <w:rPr>
          <w:color w:val="000000"/>
          <w:lang w:val="es-ES"/>
        </w:rPr>
        <w:t>es de dólares</w:t>
      </w:r>
      <w:r w:rsidR="000A3562" w:rsidRPr="001B7DE8">
        <w:rPr>
          <w:color w:val="000000"/>
          <w:lang w:val="es-ES"/>
        </w:rPr>
        <w:t xml:space="preserve">. </w:t>
      </w:r>
      <w:r w:rsidR="00930C3C" w:rsidRPr="001B7DE8">
        <w:rPr>
          <w:color w:val="000000"/>
          <w:lang w:val="es-ES"/>
        </w:rPr>
        <w:t>De los gastos de los fondos fiduciarios en el período</w:t>
      </w:r>
      <w:r w:rsidR="000A3562" w:rsidRPr="001B7DE8">
        <w:rPr>
          <w:color w:val="000000"/>
          <w:lang w:val="es-ES"/>
        </w:rPr>
        <w:t xml:space="preserve"> 2010</w:t>
      </w:r>
      <w:r w:rsidR="005519BE">
        <w:rPr>
          <w:color w:val="000000"/>
          <w:lang w:val="es-ES"/>
        </w:rPr>
        <w:noBreakHyphen/>
      </w:r>
      <w:r w:rsidR="002F03B3" w:rsidRPr="001B7DE8">
        <w:rPr>
          <w:color w:val="000000"/>
          <w:lang w:val="es-ES"/>
        </w:rPr>
        <w:t>20</w:t>
      </w:r>
      <w:r w:rsidR="000A3562" w:rsidRPr="001B7DE8">
        <w:rPr>
          <w:color w:val="000000"/>
          <w:lang w:val="es-ES"/>
        </w:rPr>
        <w:t>11 (</w:t>
      </w:r>
      <w:r w:rsidR="00930C3C" w:rsidRPr="001B7DE8">
        <w:rPr>
          <w:color w:val="000000"/>
          <w:lang w:val="es-ES"/>
        </w:rPr>
        <w:t>sin incluir los que corresponden al Fondo para el Medio Ambiente Mundial</w:t>
      </w:r>
      <w:r w:rsidR="000A3562" w:rsidRPr="001B7DE8">
        <w:rPr>
          <w:color w:val="000000"/>
          <w:lang w:val="es-ES"/>
        </w:rPr>
        <w:t xml:space="preserve">), </w:t>
      </w:r>
      <w:r w:rsidR="007342F8">
        <w:rPr>
          <w:color w:val="000000"/>
          <w:lang w:val="es-ES"/>
        </w:rPr>
        <w:t xml:space="preserve">el </w:t>
      </w:r>
      <w:r w:rsidR="000A3562" w:rsidRPr="001B7DE8">
        <w:rPr>
          <w:color w:val="000000"/>
          <w:lang w:val="es-ES"/>
        </w:rPr>
        <w:t>46</w:t>
      </w:r>
      <w:r w:rsidR="00930C3C" w:rsidRPr="001B7DE8">
        <w:rPr>
          <w:color w:val="000000"/>
          <w:lang w:val="es-ES"/>
        </w:rPr>
        <w:t>% corresponde a acuerdos ambientales multilaterales</w:t>
      </w:r>
      <w:r w:rsidR="000A3562" w:rsidRPr="001B7DE8">
        <w:rPr>
          <w:color w:val="000000"/>
          <w:lang w:val="es-ES"/>
        </w:rPr>
        <w:t xml:space="preserve">. </w:t>
      </w:r>
      <w:r w:rsidR="00930C3C" w:rsidRPr="001B7DE8">
        <w:rPr>
          <w:color w:val="000000"/>
          <w:lang w:val="es-ES"/>
        </w:rPr>
        <w:t>Para cada acuerdo</w:t>
      </w:r>
      <w:r w:rsidR="000A3562" w:rsidRPr="001B7DE8">
        <w:rPr>
          <w:color w:val="000000"/>
          <w:lang w:val="es-ES"/>
        </w:rPr>
        <w:t xml:space="preserve"> (</w:t>
      </w:r>
      <w:r w:rsidR="000E2CDB" w:rsidRPr="001B7DE8">
        <w:rPr>
          <w:color w:val="000000"/>
          <w:lang w:val="es-ES"/>
        </w:rPr>
        <w:t>a</w:t>
      </w:r>
      <w:r w:rsidR="00930C3C" w:rsidRPr="001B7DE8">
        <w:rPr>
          <w:color w:val="000000"/>
          <w:lang w:val="es-ES"/>
        </w:rPr>
        <w:t>parte del Fondo Multilateral del Protocolo de Montreal</w:t>
      </w:r>
      <w:r w:rsidR="001A286B">
        <w:rPr>
          <w:color w:val="000000"/>
          <w:lang w:val="es-ES"/>
        </w:rPr>
        <w:t xml:space="preserve"> </w:t>
      </w:r>
      <w:r w:rsidR="00930C3C" w:rsidRPr="001B7DE8">
        <w:rPr>
          <w:color w:val="000000"/>
          <w:lang w:val="es-ES"/>
        </w:rPr>
        <w:t>relativo a las sustancias que agotan la capa de ozono</w:t>
      </w:r>
      <w:r w:rsidR="000A3562" w:rsidRPr="001B7DE8">
        <w:rPr>
          <w:color w:val="000000"/>
          <w:lang w:val="es-ES"/>
        </w:rPr>
        <w:t>)</w:t>
      </w:r>
      <w:r w:rsidR="001E7538" w:rsidRPr="001B7DE8">
        <w:rPr>
          <w:color w:val="000000"/>
          <w:lang w:val="es-ES"/>
        </w:rPr>
        <w:t>,</w:t>
      </w:r>
      <w:r w:rsidR="000A3562" w:rsidRPr="001B7DE8">
        <w:rPr>
          <w:color w:val="000000"/>
          <w:lang w:val="es-ES"/>
        </w:rPr>
        <w:t xml:space="preserve"> </w:t>
      </w:r>
      <w:r w:rsidR="00930C3C" w:rsidRPr="001B7DE8">
        <w:rPr>
          <w:color w:val="000000"/>
          <w:lang w:val="es-ES"/>
        </w:rPr>
        <w:t xml:space="preserve">el PNUMA gestiona un fondo fiduciario para actividades básicas, de conformidad con el Reglamento Financiero y la Reglamentación Financiera detallada de las </w:t>
      </w:r>
      <w:r w:rsidR="001A286B">
        <w:rPr>
          <w:color w:val="000000"/>
          <w:lang w:val="es-ES"/>
        </w:rPr>
        <w:t>Naciones Unidas</w:t>
      </w:r>
      <w:r w:rsidR="00930C3C" w:rsidRPr="001B7DE8">
        <w:rPr>
          <w:color w:val="000000"/>
          <w:lang w:val="es-ES"/>
        </w:rPr>
        <w:t>, con el fin de financiar y gestionar la labor de la</w:t>
      </w:r>
      <w:r w:rsidR="005519BE">
        <w:rPr>
          <w:color w:val="000000"/>
          <w:lang w:val="es-ES"/>
        </w:rPr>
        <w:t>s</w:t>
      </w:r>
      <w:r w:rsidR="00930C3C" w:rsidRPr="001B7DE8">
        <w:rPr>
          <w:color w:val="000000"/>
          <w:lang w:val="es-ES"/>
        </w:rPr>
        <w:t xml:space="preserve"> secretaría</w:t>
      </w:r>
      <w:r w:rsidR="005519BE">
        <w:rPr>
          <w:color w:val="000000"/>
          <w:lang w:val="es-ES"/>
        </w:rPr>
        <w:t>s</w:t>
      </w:r>
      <w:r w:rsidR="00930C3C" w:rsidRPr="001B7DE8">
        <w:rPr>
          <w:color w:val="000000"/>
          <w:lang w:val="es-ES"/>
        </w:rPr>
        <w:t xml:space="preserve"> y la</w:t>
      </w:r>
      <w:r w:rsidR="005519BE">
        <w:rPr>
          <w:color w:val="000000"/>
          <w:lang w:val="es-ES"/>
        </w:rPr>
        <w:t>s</w:t>
      </w:r>
      <w:r w:rsidR="00930C3C" w:rsidRPr="001B7DE8">
        <w:rPr>
          <w:color w:val="000000"/>
          <w:lang w:val="es-ES"/>
        </w:rPr>
        <w:t xml:space="preserve"> conferencia</w:t>
      </w:r>
      <w:r w:rsidR="005519BE">
        <w:rPr>
          <w:color w:val="000000"/>
          <w:lang w:val="es-ES"/>
        </w:rPr>
        <w:t>s</w:t>
      </w:r>
      <w:r w:rsidR="00930C3C" w:rsidRPr="001B7DE8">
        <w:rPr>
          <w:color w:val="000000"/>
          <w:lang w:val="es-ES"/>
        </w:rPr>
        <w:t xml:space="preserve"> de las Partes que correspondan</w:t>
      </w:r>
      <w:r w:rsidR="000A3562" w:rsidRPr="001B7DE8">
        <w:rPr>
          <w:color w:val="000000"/>
          <w:lang w:val="es-ES"/>
        </w:rPr>
        <w:t>.</w:t>
      </w:r>
      <w:r w:rsidR="00930C3C" w:rsidRPr="001B7DE8">
        <w:rPr>
          <w:color w:val="000000"/>
          <w:lang w:val="es-ES"/>
        </w:rPr>
        <w:t xml:space="preserve"> Con respecto a algunos acuerdos ambientales multilaterales, el PNUMA gestiona también fondos fiduciarios de cooperación técnica para prestar asistencia a los países en desarrollo y otros países que necesit</w:t>
      </w:r>
      <w:r w:rsidR="007342F8">
        <w:rPr>
          <w:color w:val="000000"/>
          <w:lang w:val="es-ES"/>
        </w:rPr>
        <w:t>a</w:t>
      </w:r>
      <w:r w:rsidR="00930C3C" w:rsidRPr="001B7DE8">
        <w:rPr>
          <w:color w:val="000000"/>
          <w:lang w:val="es-ES"/>
        </w:rPr>
        <w:t>n asistencia técnica</w:t>
      </w:r>
      <w:r w:rsidR="000A3562" w:rsidRPr="001B7DE8">
        <w:rPr>
          <w:color w:val="000000"/>
          <w:lang w:val="es-ES"/>
        </w:rPr>
        <w:t>.</w:t>
      </w:r>
    </w:p>
    <w:p w:rsidR="000A3562" w:rsidRPr="001B7DE8" w:rsidRDefault="00052EA5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La Oficina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en Nairobi empezó a funcionar el 1 de enero de 1996 como sucesora de la Dependencia de Servicios Comunes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en Nairobi y de dos divisiones administrativas independientes del Programa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para el Medio Ambiente (PNUMA) y el Programa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para los Asentamientos Humanos (ONU</w:t>
      </w:r>
      <w:r w:rsidR="005519BE">
        <w:rPr>
          <w:color w:val="000000"/>
          <w:lang w:val="es-ES"/>
        </w:rPr>
        <w:noBreakHyphen/>
      </w:r>
      <w:r w:rsidRPr="001B7DE8">
        <w:rPr>
          <w:color w:val="000000"/>
          <w:lang w:val="es-ES"/>
        </w:rPr>
        <w:t>Hábitat)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 xml:space="preserve">Con el establecimiento de la Oficina se pretendía reforzar la presencia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en Nairobi y conseguir economías de escala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>En virtud de un memorando de entendimiento y de acuerdos sobre servicios concertados expresamente con el PNUMA y ONU</w:t>
      </w:r>
      <w:r w:rsidR="005519BE">
        <w:rPr>
          <w:color w:val="000000"/>
          <w:lang w:val="es-ES"/>
        </w:rPr>
        <w:noBreakHyphen/>
      </w:r>
      <w:r w:rsidRPr="001B7DE8">
        <w:rPr>
          <w:color w:val="000000"/>
          <w:lang w:val="es-ES"/>
        </w:rPr>
        <w:t>Hábitat, la Oficina presta a estos dos órganos toda una serie de servicios administrativos y de apoyo, entre otros, diversos servicios financieros como la gestión de fondos fiduciarios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 xml:space="preserve">De conformidad con diversos acuerdos concertados con oficinas de otras organizaciones del sistema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ubicadas en Nairobi, la Oficina también administra los servicios comunes de apoyo para esas oficinas, tales como l</w:t>
      </w:r>
      <w:r w:rsidR="005519BE">
        <w:rPr>
          <w:color w:val="000000"/>
          <w:lang w:val="es-ES"/>
        </w:rPr>
        <w:t>o</w:t>
      </w:r>
      <w:r w:rsidRPr="001B7DE8">
        <w:rPr>
          <w:color w:val="000000"/>
          <w:lang w:val="es-ES"/>
        </w:rPr>
        <w:t>s relaci</w:t>
      </w:r>
      <w:r w:rsidR="005456D5" w:rsidRPr="001B7DE8">
        <w:rPr>
          <w:color w:val="000000"/>
          <w:lang w:val="es-ES"/>
        </w:rPr>
        <w:t>o</w:t>
      </w:r>
      <w:r w:rsidRPr="001B7DE8">
        <w:rPr>
          <w:color w:val="000000"/>
          <w:lang w:val="es-ES"/>
        </w:rPr>
        <w:t xml:space="preserve">nadas con finanzas, recursos humanos y </w:t>
      </w:r>
      <w:r w:rsidR="001B7DE8" w:rsidRPr="001B7DE8">
        <w:rPr>
          <w:color w:val="000000"/>
          <w:lang w:val="es-ES"/>
        </w:rPr>
        <w:t>adquisiciones</w:t>
      </w:r>
      <w:r w:rsidRPr="001B7DE8">
        <w:rPr>
          <w:color w:val="000000"/>
          <w:lang w:val="es-ES"/>
        </w:rPr>
        <w:t>.</w:t>
      </w:r>
    </w:p>
    <w:p w:rsidR="000A3562" w:rsidRPr="001B7DE8" w:rsidRDefault="00BC5F5E" w:rsidP="009C0329">
      <w:pPr>
        <w:pStyle w:val="CH3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ind w:firstLine="0"/>
        <w:rPr>
          <w:lang w:val="es-ES"/>
        </w:rPr>
      </w:pPr>
      <w:r w:rsidRPr="001B7DE8">
        <w:rPr>
          <w:lang w:val="es-ES"/>
        </w:rPr>
        <w:t xml:space="preserve">Gastos de apoyo al programa del PNUMA y sus </w:t>
      </w:r>
      <w:r w:rsidR="00065434" w:rsidRPr="001B7DE8">
        <w:rPr>
          <w:lang w:val="es-ES"/>
        </w:rPr>
        <w:t xml:space="preserve">repercusiones para el funcionamiento de la </w:t>
      </w:r>
      <w:r w:rsidR="000E2CDB" w:rsidRPr="001B7DE8">
        <w:rPr>
          <w:lang w:val="es-ES"/>
        </w:rPr>
        <w:t>Plat</w:t>
      </w:r>
      <w:r w:rsidR="00065434" w:rsidRPr="001B7DE8">
        <w:rPr>
          <w:lang w:val="es-ES"/>
        </w:rPr>
        <w:t>a</w:t>
      </w:r>
      <w:r w:rsidR="000E2CDB" w:rsidRPr="001B7DE8">
        <w:rPr>
          <w:lang w:val="es-ES"/>
        </w:rPr>
        <w:t>form</w:t>
      </w:r>
      <w:r w:rsidR="00065434" w:rsidRPr="001B7DE8">
        <w:rPr>
          <w:lang w:val="es-ES"/>
        </w:rPr>
        <w:t xml:space="preserve">a y su </w:t>
      </w:r>
      <w:r w:rsidR="000E2CDB" w:rsidRPr="001B7DE8">
        <w:rPr>
          <w:lang w:val="es-ES"/>
        </w:rPr>
        <w:t>s</w:t>
      </w:r>
      <w:r w:rsidR="000A3562" w:rsidRPr="001B7DE8">
        <w:rPr>
          <w:lang w:val="es-ES"/>
        </w:rPr>
        <w:t>ecretar</w:t>
      </w:r>
      <w:r w:rsidR="00065434" w:rsidRPr="001B7DE8">
        <w:rPr>
          <w:lang w:val="es-ES"/>
        </w:rPr>
        <w:t>ía</w:t>
      </w:r>
    </w:p>
    <w:p w:rsidR="000A3562" w:rsidRPr="001B7DE8" w:rsidRDefault="00E714F4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De conformidad con la resolución </w:t>
      </w:r>
      <w:r w:rsidR="000A3562" w:rsidRPr="001B7DE8">
        <w:rPr>
          <w:color w:val="000000"/>
          <w:lang w:val="es-ES"/>
        </w:rPr>
        <w:t>35/217</w:t>
      </w:r>
      <w:r w:rsidRPr="001B7DE8">
        <w:rPr>
          <w:color w:val="000000"/>
          <w:lang w:val="es-ES"/>
        </w:rPr>
        <w:t xml:space="preserve"> de la Asamblea General</w:t>
      </w:r>
      <w:r w:rsidR="000A3562" w:rsidRPr="001B7DE8">
        <w:rPr>
          <w:color w:val="000000"/>
          <w:lang w:val="es-ES"/>
        </w:rPr>
        <w:t xml:space="preserve">, </w:t>
      </w:r>
      <w:r w:rsidRPr="001B7DE8">
        <w:rPr>
          <w:color w:val="000000"/>
          <w:lang w:val="es-ES"/>
        </w:rPr>
        <w:t>el 13% de gastos directos de apoyo a</w:t>
      </w:r>
      <w:r w:rsidR="0021632E">
        <w:rPr>
          <w:color w:val="000000"/>
          <w:lang w:val="es-ES"/>
        </w:rPr>
        <w:t xml:space="preserve"> los</w:t>
      </w:r>
      <w:r w:rsidRPr="001B7DE8">
        <w:rPr>
          <w:color w:val="000000"/>
          <w:lang w:val="es-ES"/>
        </w:rPr>
        <w:t xml:space="preserve"> programa</w:t>
      </w:r>
      <w:r w:rsidR="0021632E">
        <w:rPr>
          <w:color w:val="000000"/>
          <w:lang w:val="es-ES"/>
        </w:rPr>
        <w:t>s</w:t>
      </w:r>
      <w:r w:rsidRPr="001B7DE8">
        <w:rPr>
          <w:color w:val="000000"/>
          <w:lang w:val="es-ES"/>
        </w:rPr>
        <w:t xml:space="preserve"> se </w:t>
      </w:r>
      <w:r w:rsidR="0021632E">
        <w:rPr>
          <w:color w:val="000000"/>
          <w:lang w:val="es-ES"/>
        </w:rPr>
        <w:t>cobran</w:t>
      </w:r>
      <w:r w:rsidRPr="001B7DE8">
        <w:rPr>
          <w:color w:val="000000"/>
          <w:lang w:val="es-ES"/>
        </w:rPr>
        <w:t xml:space="preserve"> de los gastos de los fondos fiduciarios que gestiona el PNUMA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>La recuperación y utilización de esos gastos de apoyo a los programas</w:t>
      </w:r>
      <w:r w:rsidR="009F2F35" w:rsidRPr="001B7DE8">
        <w:rPr>
          <w:color w:val="000000"/>
          <w:lang w:val="es-ES"/>
        </w:rPr>
        <w:t xml:space="preserve"> </w:t>
      </w:r>
      <w:r w:rsidR="0021632E">
        <w:rPr>
          <w:color w:val="000000"/>
          <w:lang w:val="es-ES"/>
        </w:rPr>
        <w:t>hace posible</w:t>
      </w:r>
      <w:r w:rsidR="009F2F35" w:rsidRPr="001B7DE8">
        <w:rPr>
          <w:color w:val="000000"/>
          <w:lang w:val="es-ES"/>
        </w:rPr>
        <w:t xml:space="preserve"> la financiación y organización de los servicios de apoyo a los programas de manera eficaz y eficiente.</w:t>
      </w:r>
      <w:r w:rsidR="000A3562" w:rsidRPr="001B7DE8">
        <w:rPr>
          <w:color w:val="000000"/>
          <w:lang w:val="es-ES"/>
        </w:rPr>
        <w:t xml:space="preserve"> </w:t>
      </w:r>
      <w:r w:rsidR="009F2F35" w:rsidRPr="001B7DE8">
        <w:rPr>
          <w:color w:val="000000"/>
          <w:lang w:val="es-ES"/>
        </w:rPr>
        <w:t xml:space="preserve">Con esos recursos se sufragan los gastos adicionales en que </w:t>
      </w:r>
      <w:r w:rsidR="007342F8">
        <w:rPr>
          <w:color w:val="000000"/>
          <w:lang w:val="es-ES"/>
        </w:rPr>
        <w:t xml:space="preserve">se </w:t>
      </w:r>
      <w:r w:rsidR="009F2F35" w:rsidRPr="001B7DE8">
        <w:rPr>
          <w:color w:val="000000"/>
          <w:lang w:val="es-ES"/>
        </w:rPr>
        <w:t>incurre durante la prestación de apoyo a las actividades financiadas con cargo a las contribuciones extrapresupuestarias y</w:t>
      </w:r>
      <w:r w:rsidR="001A286B">
        <w:rPr>
          <w:color w:val="000000"/>
          <w:lang w:val="es-ES"/>
        </w:rPr>
        <w:t xml:space="preserve"> </w:t>
      </w:r>
      <w:r w:rsidR="009F2F35" w:rsidRPr="001B7DE8">
        <w:rPr>
          <w:color w:val="000000"/>
          <w:lang w:val="es-ES"/>
        </w:rPr>
        <w:t xml:space="preserve">se pretende garantizar que el costo que se deriva del apoyo a esas actividades no sea sufragado por el presupuesto ordinario u otros recursos </w:t>
      </w:r>
      <w:r w:rsidR="007342F8">
        <w:rPr>
          <w:color w:val="000000"/>
          <w:lang w:val="es-ES"/>
        </w:rPr>
        <w:t>básico</w:t>
      </w:r>
      <w:r w:rsidR="009F2F35" w:rsidRPr="001B7DE8">
        <w:rPr>
          <w:color w:val="000000"/>
          <w:lang w:val="es-ES"/>
        </w:rPr>
        <w:t xml:space="preserve">s que son esenciales para el proceso de examen y aprobación del </w:t>
      </w:r>
      <w:r w:rsidR="001B7DE8" w:rsidRPr="001B7DE8">
        <w:rPr>
          <w:color w:val="000000"/>
          <w:lang w:val="es-ES"/>
        </w:rPr>
        <w:t>presupuesto</w:t>
      </w:r>
      <w:r w:rsidR="009F2F35" w:rsidRPr="001B7DE8">
        <w:rPr>
          <w:color w:val="000000"/>
          <w:lang w:val="es-ES"/>
        </w:rPr>
        <w:t xml:space="preserve"> de órganos del sistema de las </w:t>
      </w:r>
      <w:r w:rsidR="001A286B">
        <w:rPr>
          <w:color w:val="000000"/>
          <w:lang w:val="es-ES"/>
        </w:rPr>
        <w:t>Naciones Unidas</w:t>
      </w:r>
      <w:r w:rsidR="009F2F35" w:rsidRPr="001B7DE8">
        <w:rPr>
          <w:color w:val="000000"/>
          <w:lang w:val="es-ES"/>
        </w:rPr>
        <w:t>.</w:t>
      </w:r>
      <w:r w:rsidR="000A3562" w:rsidRPr="001B7DE8">
        <w:rPr>
          <w:color w:val="000000"/>
          <w:lang w:val="es-ES"/>
        </w:rPr>
        <w:t xml:space="preserve"> </w:t>
      </w:r>
      <w:r w:rsidR="009F2F35" w:rsidRPr="001B7DE8">
        <w:rPr>
          <w:color w:val="000000"/>
          <w:lang w:val="es-ES"/>
        </w:rPr>
        <w:t>En el caso del PNUMA</w:t>
      </w:r>
      <w:r w:rsidR="000A3562" w:rsidRPr="001B7DE8">
        <w:rPr>
          <w:color w:val="000000"/>
          <w:lang w:val="es-ES"/>
        </w:rPr>
        <w:t xml:space="preserve">, </w:t>
      </w:r>
      <w:r w:rsidR="009F2F35" w:rsidRPr="001B7DE8">
        <w:rPr>
          <w:color w:val="000000"/>
          <w:lang w:val="es-ES"/>
        </w:rPr>
        <w:t xml:space="preserve">los recursos extrapresupuestarios incluyen los fondos fiduciarios, a diferencia de los recursos presupuestarios, a saber, el presupuesto del Fondo para el Medio Ambiente aprobado por la Asamblea de las </w:t>
      </w:r>
      <w:r w:rsidR="001A286B">
        <w:rPr>
          <w:color w:val="000000"/>
          <w:lang w:val="es-ES"/>
        </w:rPr>
        <w:t>Naciones Unidas</w:t>
      </w:r>
      <w:r w:rsidR="009F2F35" w:rsidRPr="001B7DE8">
        <w:rPr>
          <w:color w:val="000000"/>
          <w:lang w:val="es-ES"/>
        </w:rPr>
        <w:t xml:space="preserve"> sobre el Medio Ambiente y el presupuesto por programas aprobado por la Asamblea General.</w:t>
      </w:r>
    </w:p>
    <w:p w:rsidR="000A3562" w:rsidRPr="001B7DE8" w:rsidRDefault="009F2F35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Los </w:t>
      </w:r>
      <w:r w:rsidR="00053B44" w:rsidRPr="001B7DE8">
        <w:rPr>
          <w:color w:val="000000"/>
          <w:lang w:val="es-ES"/>
        </w:rPr>
        <w:t>gastos</w:t>
      </w:r>
      <w:r w:rsidRPr="001B7DE8">
        <w:rPr>
          <w:color w:val="000000"/>
          <w:lang w:val="es-ES"/>
        </w:rPr>
        <w:t xml:space="preserve"> adicionales son directos e indirectos</w:t>
      </w:r>
      <w:r w:rsidR="000A3562" w:rsidRPr="001B7DE8">
        <w:rPr>
          <w:color w:val="000000"/>
          <w:lang w:val="es-ES"/>
        </w:rPr>
        <w:t xml:space="preserve">. </w:t>
      </w:r>
      <w:r w:rsidR="00053B44" w:rsidRPr="001B7DE8">
        <w:rPr>
          <w:color w:val="000000"/>
          <w:lang w:val="es-ES"/>
        </w:rPr>
        <w:t>Los ga</w:t>
      </w:r>
      <w:r w:rsidRPr="001B7DE8">
        <w:rPr>
          <w:color w:val="000000"/>
          <w:lang w:val="es-ES"/>
        </w:rPr>
        <w:t xml:space="preserve">stos directos son aquellos que pueden atribuirse claramente, en su totalidad o en parte, a una operación, programa o proyecto financiado con cargo a </w:t>
      </w:r>
      <w:r w:rsidR="00053B44" w:rsidRPr="001B7DE8">
        <w:rPr>
          <w:color w:val="000000"/>
          <w:lang w:val="es-ES"/>
        </w:rPr>
        <w:t>contribuciones</w:t>
      </w:r>
      <w:r w:rsidRPr="001B7DE8">
        <w:rPr>
          <w:color w:val="000000"/>
          <w:lang w:val="es-ES"/>
        </w:rPr>
        <w:t xml:space="preserve"> voluntarias</w:t>
      </w:r>
      <w:r w:rsidR="000A3562" w:rsidRPr="001B7DE8">
        <w:rPr>
          <w:color w:val="000000"/>
          <w:lang w:val="es-ES"/>
        </w:rPr>
        <w:t xml:space="preserve">. </w:t>
      </w:r>
      <w:r w:rsidRPr="001B7DE8">
        <w:rPr>
          <w:color w:val="000000"/>
          <w:lang w:val="es-ES"/>
        </w:rPr>
        <w:t xml:space="preserve">En ellos se incluyen los </w:t>
      </w:r>
      <w:r w:rsidR="001B7DE8" w:rsidRPr="001B7DE8">
        <w:rPr>
          <w:color w:val="000000"/>
          <w:lang w:val="es-ES"/>
        </w:rPr>
        <w:t>gastos</w:t>
      </w:r>
      <w:r w:rsidRPr="001B7DE8">
        <w:rPr>
          <w:color w:val="000000"/>
          <w:lang w:val="es-ES"/>
        </w:rPr>
        <w:t xml:space="preserve"> derivados de la gestión dire</w:t>
      </w:r>
      <w:r w:rsidR="00053B44" w:rsidRPr="001B7DE8">
        <w:rPr>
          <w:color w:val="000000"/>
          <w:lang w:val="es-ES"/>
        </w:rPr>
        <w:t>cta u otras funciones de apoyo donde se puede determinar una relación directa entre el gasto y el proyecto.</w:t>
      </w:r>
      <w:r w:rsidR="000A3562" w:rsidRPr="001B7DE8">
        <w:rPr>
          <w:color w:val="000000"/>
          <w:lang w:val="es-ES"/>
        </w:rPr>
        <w:t xml:space="preserve"> </w:t>
      </w:r>
      <w:r w:rsidR="00053B44" w:rsidRPr="001B7DE8">
        <w:rPr>
          <w:color w:val="000000"/>
          <w:lang w:val="es-ES"/>
        </w:rPr>
        <w:t>Se espera que todos los gastos directos se financiarán como componentes identificables de un programa o proyecto y no como gastos de apoyo a los programas</w:t>
      </w:r>
      <w:r w:rsidR="000A3562" w:rsidRPr="001B7DE8">
        <w:rPr>
          <w:color w:val="000000"/>
          <w:lang w:val="es-ES"/>
        </w:rPr>
        <w:t xml:space="preserve">. </w:t>
      </w:r>
      <w:r w:rsidR="00053B44" w:rsidRPr="001B7DE8">
        <w:rPr>
          <w:color w:val="000000"/>
          <w:lang w:val="es-ES"/>
        </w:rPr>
        <w:t>Los gastos indirectos son aquellos que no se pueden vincular inequívocamente con actividades, proyecto o programas específicos e incluyen los gastos de servicios que prestan apoyo administrativo y otras funciones de apoyo a diversas operaciones, programas y proyectos financiados con diversas contribuciones extrapresupuestarias</w:t>
      </w:r>
      <w:r w:rsidR="000A3562" w:rsidRPr="001B7DE8">
        <w:rPr>
          <w:color w:val="000000"/>
          <w:lang w:val="es-ES"/>
        </w:rPr>
        <w:t xml:space="preserve">. </w:t>
      </w:r>
      <w:r w:rsidR="00053B44" w:rsidRPr="001B7DE8">
        <w:rPr>
          <w:color w:val="000000"/>
          <w:lang w:val="es-ES"/>
        </w:rPr>
        <w:t>Se puede incurrir en gastos indirectos cuando se reali</w:t>
      </w:r>
      <w:r w:rsidR="0021632E">
        <w:rPr>
          <w:color w:val="000000"/>
          <w:lang w:val="es-ES"/>
        </w:rPr>
        <w:t>za</w:t>
      </w:r>
      <w:r w:rsidR="00053B44" w:rsidRPr="001B7DE8">
        <w:rPr>
          <w:color w:val="000000"/>
          <w:lang w:val="es-ES"/>
        </w:rPr>
        <w:t>n las funciones siguientes</w:t>
      </w:r>
      <w:r w:rsidR="000A3562" w:rsidRPr="001B7DE8">
        <w:rPr>
          <w:color w:val="000000"/>
          <w:lang w:val="es-ES"/>
        </w:rPr>
        <w:t xml:space="preserve">: </w:t>
      </w:r>
      <w:r w:rsidR="00053B44" w:rsidRPr="001B7DE8">
        <w:rPr>
          <w:color w:val="000000"/>
          <w:lang w:val="es-ES"/>
        </w:rPr>
        <w:t xml:space="preserve">valoración y formulación de proyectos, la preparación, </w:t>
      </w:r>
      <w:r w:rsidR="001B7DE8" w:rsidRPr="001B7DE8">
        <w:rPr>
          <w:color w:val="000000"/>
          <w:lang w:val="es-ES"/>
        </w:rPr>
        <w:t>supervisión</w:t>
      </w:r>
      <w:r w:rsidR="00053B44" w:rsidRPr="001B7DE8">
        <w:rPr>
          <w:color w:val="000000"/>
          <w:lang w:val="es-ES"/>
        </w:rPr>
        <w:t xml:space="preserve"> y administración de planes de trabajo y presupuestos</w:t>
      </w:r>
      <w:r w:rsidR="000A3562" w:rsidRPr="001B7DE8">
        <w:rPr>
          <w:color w:val="000000"/>
          <w:lang w:val="es-ES"/>
        </w:rPr>
        <w:t>,</w:t>
      </w:r>
      <w:r w:rsidR="0051493B" w:rsidRPr="001B7DE8">
        <w:rPr>
          <w:color w:val="000000"/>
          <w:lang w:val="es-ES"/>
        </w:rPr>
        <w:t xml:space="preserve"> </w:t>
      </w:r>
      <w:r w:rsidR="000B09F5" w:rsidRPr="001B7DE8">
        <w:rPr>
          <w:color w:val="000000"/>
          <w:lang w:val="es-ES"/>
        </w:rPr>
        <w:t>la contratación de personal y la prestación de servicios, las consultorías y becas, las actividades de adquisición y contratación, las operaciones financieras, nóminas, pagos, cuentas, la recopilación de contribuciones, la inversión de fondos, la presentación de informes y las auditorías</w:t>
      </w:r>
      <w:r w:rsidR="000A3562" w:rsidRPr="001B7DE8">
        <w:rPr>
          <w:color w:val="000000"/>
          <w:lang w:val="es-ES"/>
        </w:rPr>
        <w:t>.</w:t>
      </w:r>
      <w:r w:rsidR="000B09F5" w:rsidRPr="001B7DE8">
        <w:rPr>
          <w:color w:val="000000"/>
          <w:lang w:val="es-ES"/>
        </w:rPr>
        <w:t xml:space="preserve"> Los gastos indirectos son los únicos gastos que se recuperarían a través de los gastos de apoyo a los programas.</w:t>
      </w:r>
    </w:p>
    <w:p w:rsidR="000A3562" w:rsidRPr="001B7DE8" w:rsidRDefault="000B09F5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color w:val="000000"/>
          <w:lang w:val="es-ES"/>
        </w:rPr>
      </w:pPr>
      <w:r w:rsidRPr="001B7DE8">
        <w:rPr>
          <w:color w:val="000000"/>
          <w:lang w:val="es-ES"/>
        </w:rPr>
        <w:lastRenderedPageBreak/>
        <w:t xml:space="preserve">En este contexto, y sobre la base de una solicitud formulada por el Plenario de que el PNUMA administre </w:t>
      </w:r>
      <w:r w:rsidR="00E87C81" w:rsidRPr="001B7DE8">
        <w:rPr>
          <w:color w:val="000000"/>
          <w:lang w:val="es-ES"/>
        </w:rPr>
        <w:t xml:space="preserve">con plena responsabilidad de gestión la secretaría de la </w:t>
      </w:r>
      <w:r w:rsidR="0051493B" w:rsidRPr="001B7DE8">
        <w:rPr>
          <w:color w:val="000000"/>
          <w:lang w:val="es-ES"/>
        </w:rPr>
        <w:t>Plat</w:t>
      </w:r>
      <w:r w:rsidR="00E87C81" w:rsidRPr="001B7DE8">
        <w:rPr>
          <w:color w:val="000000"/>
          <w:lang w:val="es-ES"/>
        </w:rPr>
        <w:t>a</w:t>
      </w:r>
      <w:r w:rsidR="0051493B" w:rsidRPr="001B7DE8">
        <w:rPr>
          <w:color w:val="000000"/>
          <w:lang w:val="es-ES"/>
        </w:rPr>
        <w:t>form</w:t>
      </w:r>
      <w:r w:rsidR="00E87C81" w:rsidRPr="001B7DE8">
        <w:rPr>
          <w:color w:val="000000"/>
          <w:lang w:val="es-ES"/>
        </w:rPr>
        <w:t>a</w:t>
      </w:r>
      <w:r w:rsidR="000A3562" w:rsidRPr="001B7DE8">
        <w:rPr>
          <w:color w:val="000000"/>
          <w:lang w:val="es-ES"/>
        </w:rPr>
        <w:t xml:space="preserve">, </w:t>
      </w:r>
      <w:r w:rsidR="00E87C81" w:rsidRPr="001B7DE8">
        <w:rPr>
          <w:color w:val="000000"/>
          <w:lang w:val="es-ES"/>
        </w:rPr>
        <w:t>el Programa podría proponer una de las tres opcione</w:t>
      </w:r>
      <w:r w:rsidR="0021632E">
        <w:rPr>
          <w:color w:val="000000"/>
          <w:lang w:val="es-ES"/>
        </w:rPr>
        <w:t xml:space="preserve">s siguientes para gestionar el </w:t>
      </w:r>
      <w:r w:rsidR="00836152">
        <w:rPr>
          <w:color w:val="000000"/>
          <w:lang w:val="es-ES"/>
        </w:rPr>
        <w:t>fondo fiduciario</w:t>
      </w:r>
      <w:r w:rsidR="00E87C81" w:rsidRPr="001B7DE8">
        <w:rPr>
          <w:color w:val="000000"/>
          <w:lang w:val="es-ES"/>
        </w:rPr>
        <w:t xml:space="preserve"> de la </w:t>
      </w:r>
      <w:r w:rsidR="0051493B" w:rsidRPr="001B7DE8">
        <w:rPr>
          <w:color w:val="000000"/>
          <w:lang w:val="es-ES"/>
        </w:rPr>
        <w:t>Pl</w:t>
      </w:r>
      <w:r w:rsidR="002C5534" w:rsidRPr="001B7DE8">
        <w:rPr>
          <w:color w:val="000000"/>
          <w:lang w:val="es-ES"/>
        </w:rPr>
        <w:t>a</w:t>
      </w:r>
      <w:r w:rsidR="0051493B" w:rsidRPr="001B7DE8">
        <w:rPr>
          <w:color w:val="000000"/>
          <w:lang w:val="es-ES"/>
        </w:rPr>
        <w:t>t</w:t>
      </w:r>
      <w:r w:rsidR="00E87C81" w:rsidRPr="001B7DE8">
        <w:rPr>
          <w:color w:val="000000"/>
          <w:lang w:val="es-ES"/>
        </w:rPr>
        <w:t>a</w:t>
      </w:r>
      <w:r w:rsidR="0051493B" w:rsidRPr="001B7DE8">
        <w:rPr>
          <w:color w:val="000000"/>
          <w:lang w:val="es-ES"/>
        </w:rPr>
        <w:t>form</w:t>
      </w:r>
      <w:r w:rsidR="00E87C81" w:rsidRPr="001B7DE8">
        <w:rPr>
          <w:color w:val="000000"/>
          <w:lang w:val="es-ES"/>
        </w:rPr>
        <w:t>a</w:t>
      </w:r>
      <w:r w:rsidR="000A3562" w:rsidRPr="001B7DE8">
        <w:rPr>
          <w:color w:val="000000"/>
          <w:lang w:val="es-ES"/>
        </w:rPr>
        <w:t>:</w:t>
      </w:r>
    </w:p>
    <w:p w:rsidR="000A3562" w:rsidRPr="001B7DE8" w:rsidRDefault="00065434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lang w:val="es-ES"/>
        </w:rPr>
      </w:pPr>
      <w:r w:rsidRPr="001B7DE8">
        <w:rPr>
          <w:b/>
          <w:lang w:val="es-ES"/>
        </w:rPr>
        <w:t>Opción</w:t>
      </w:r>
      <w:r w:rsidR="000A3562" w:rsidRPr="001B7DE8">
        <w:rPr>
          <w:b/>
          <w:lang w:val="es-ES"/>
        </w:rPr>
        <w:t xml:space="preserve"> 2</w:t>
      </w:r>
      <w:r w:rsidR="00381F71" w:rsidRPr="001B7DE8">
        <w:rPr>
          <w:b/>
          <w:lang w:val="es-ES"/>
        </w:rPr>
        <w:t>.A</w:t>
      </w:r>
      <w:r w:rsidR="00734793" w:rsidRPr="001B7DE8">
        <w:rPr>
          <w:b/>
          <w:lang w:val="es-ES"/>
        </w:rPr>
        <w:t>.</w:t>
      </w:r>
      <w:r w:rsidR="000A3562" w:rsidRPr="001B7DE8">
        <w:rPr>
          <w:lang w:val="es-ES"/>
        </w:rPr>
        <w:t xml:space="preserve"> </w:t>
      </w:r>
      <w:r w:rsidR="00E87C81" w:rsidRPr="001B7DE8">
        <w:rPr>
          <w:lang w:val="es-ES"/>
        </w:rPr>
        <w:t xml:space="preserve">El PNUMA </w:t>
      </w:r>
      <w:r w:rsidR="007342F8">
        <w:rPr>
          <w:lang w:val="es-ES"/>
        </w:rPr>
        <w:t>cobra</w:t>
      </w:r>
      <w:r w:rsidR="00E87C81" w:rsidRPr="001B7DE8">
        <w:rPr>
          <w:lang w:val="es-ES"/>
        </w:rPr>
        <w:t xml:space="preserve"> un 13% de gastos de apoyo a los programas </w:t>
      </w:r>
      <w:r w:rsidR="007342F8">
        <w:rPr>
          <w:lang w:val="es-ES"/>
        </w:rPr>
        <w:t xml:space="preserve">sobre </w:t>
      </w:r>
      <w:r w:rsidR="00E87C81" w:rsidRPr="001B7DE8">
        <w:rPr>
          <w:lang w:val="es-ES"/>
        </w:rPr>
        <w:t xml:space="preserve">todos los gastos </w:t>
      </w:r>
      <w:r w:rsidR="0021632E">
        <w:rPr>
          <w:lang w:val="es-ES"/>
        </w:rPr>
        <w:t>en que se incurra con cargo al Fondo F</w:t>
      </w:r>
      <w:r w:rsidR="00E87C81" w:rsidRPr="001B7DE8">
        <w:rPr>
          <w:lang w:val="es-ES"/>
        </w:rPr>
        <w:t>iduciario</w:t>
      </w:r>
      <w:r w:rsidR="000A3562" w:rsidRPr="001B7DE8">
        <w:rPr>
          <w:lang w:val="es-ES"/>
        </w:rPr>
        <w:t xml:space="preserve">. </w:t>
      </w:r>
      <w:r w:rsidR="00E87C81" w:rsidRPr="001B7DE8">
        <w:rPr>
          <w:lang w:val="es-ES"/>
        </w:rPr>
        <w:t>En esta modalidad, el PNUMA asumiría toda la responsabilidad administrativa y financiera respecto de la gestión de la secretaría.</w:t>
      </w:r>
      <w:r w:rsidR="000A3562" w:rsidRPr="001B7DE8">
        <w:rPr>
          <w:lang w:val="es-ES"/>
        </w:rPr>
        <w:t xml:space="preserve"> </w:t>
      </w:r>
      <w:r w:rsidR="00FF6DFE" w:rsidRPr="001B7DE8">
        <w:rPr>
          <w:lang w:val="es-ES"/>
        </w:rPr>
        <w:t xml:space="preserve">Ello supone la </w:t>
      </w:r>
      <w:r w:rsidR="001B7DE8" w:rsidRPr="001B7DE8">
        <w:rPr>
          <w:lang w:val="es-ES"/>
        </w:rPr>
        <w:t>financiación</w:t>
      </w:r>
      <w:r w:rsidR="0021632E">
        <w:rPr>
          <w:lang w:val="es-ES"/>
        </w:rPr>
        <w:t xml:space="preserve"> de</w:t>
      </w:r>
      <w:r w:rsidR="00FF6DFE" w:rsidRPr="001B7DE8">
        <w:rPr>
          <w:lang w:val="es-ES"/>
        </w:rPr>
        <w:t xml:space="preserve">l costo </w:t>
      </w:r>
      <w:r w:rsidR="001B7DE8" w:rsidRPr="001B7DE8">
        <w:rPr>
          <w:lang w:val="es-ES"/>
        </w:rPr>
        <w:t>total</w:t>
      </w:r>
      <w:r w:rsidR="00FF6DFE" w:rsidRPr="001B7DE8">
        <w:rPr>
          <w:lang w:val="es-ES"/>
        </w:rPr>
        <w:t xml:space="preserve"> de los dos puestos de la secretaría de la Plataforma, a saber,</w:t>
      </w:r>
      <w:r w:rsidR="001A286B">
        <w:rPr>
          <w:lang w:val="es-ES"/>
        </w:rPr>
        <w:t xml:space="preserve"> </w:t>
      </w:r>
      <w:r w:rsidR="00FB4792" w:rsidRPr="001B7DE8">
        <w:rPr>
          <w:lang w:val="es-ES"/>
        </w:rPr>
        <w:t xml:space="preserve">Oficial de Administración y Finanzas </w:t>
      </w:r>
      <w:r w:rsidR="00EB0FE9" w:rsidRPr="001B7DE8">
        <w:rPr>
          <w:lang w:val="es-ES"/>
        </w:rPr>
        <w:t>(P</w:t>
      </w:r>
      <w:r w:rsidR="005519BE">
        <w:rPr>
          <w:lang w:val="es-ES"/>
        </w:rPr>
        <w:noBreakHyphen/>
      </w:r>
      <w:r w:rsidR="00EB0FE9" w:rsidRPr="001B7DE8">
        <w:rPr>
          <w:lang w:val="es-ES"/>
        </w:rPr>
        <w:t xml:space="preserve">3) </w:t>
      </w:r>
      <w:r w:rsidR="00FB4792" w:rsidRPr="001B7DE8">
        <w:rPr>
          <w:lang w:val="es-ES"/>
        </w:rPr>
        <w:t>y Auxiliar Administrativo</w:t>
      </w:r>
      <w:r w:rsidR="00EB0FE9" w:rsidRPr="001B7DE8">
        <w:rPr>
          <w:lang w:val="es-ES"/>
        </w:rPr>
        <w:t xml:space="preserve"> (G</w:t>
      </w:r>
      <w:r w:rsidR="005519BE">
        <w:rPr>
          <w:lang w:val="es-ES"/>
        </w:rPr>
        <w:noBreakHyphen/>
      </w:r>
      <w:r w:rsidR="00EB0FE9" w:rsidRPr="001B7DE8">
        <w:rPr>
          <w:lang w:val="es-ES"/>
        </w:rPr>
        <w:t xml:space="preserve">5) </w:t>
      </w:r>
      <w:r w:rsidR="00FB4792" w:rsidRPr="001B7DE8">
        <w:rPr>
          <w:lang w:val="es-ES"/>
        </w:rPr>
        <w:t xml:space="preserve">con cargo al </w:t>
      </w:r>
      <w:r w:rsidR="00EB0FE9" w:rsidRPr="001B7DE8">
        <w:rPr>
          <w:lang w:val="es-ES"/>
        </w:rPr>
        <w:t>13</w:t>
      </w:r>
      <w:r w:rsidR="00FB4792" w:rsidRPr="001B7DE8">
        <w:rPr>
          <w:lang w:val="es-ES"/>
        </w:rPr>
        <w:t>% gravado por el PNUMA</w:t>
      </w:r>
      <w:r w:rsidR="00EB0FE9" w:rsidRPr="001B7DE8">
        <w:rPr>
          <w:lang w:val="es-ES"/>
        </w:rPr>
        <w:t xml:space="preserve">. </w:t>
      </w:r>
      <w:r w:rsidR="00FB4792" w:rsidRPr="001B7DE8">
        <w:rPr>
          <w:lang w:val="es-ES"/>
        </w:rPr>
        <w:t xml:space="preserve">En los casos en que se haya prometido asignar fondos a otro órgano de las </w:t>
      </w:r>
      <w:r w:rsidR="001A286B">
        <w:rPr>
          <w:lang w:val="es-ES"/>
        </w:rPr>
        <w:t>Naciones Unidas</w:t>
      </w:r>
      <w:r w:rsidR="00FB4792" w:rsidRPr="001B7DE8">
        <w:rPr>
          <w:lang w:val="es-ES"/>
        </w:rPr>
        <w:t xml:space="preserve"> para la ejecución de un producto específico,</w:t>
      </w:r>
      <w:r w:rsidR="001A286B">
        <w:rPr>
          <w:lang w:val="es-ES"/>
        </w:rPr>
        <w:t xml:space="preserve"> </w:t>
      </w:r>
      <w:r w:rsidR="00FB4792" w:rsidRPr="001B7DE8">
        <w:rPr>
          <w:lang w:val="es-ES"/>
        </w:rPr>
        <w:t xml:space="preserve">se dividirán los gastos de apoyo a los programas </w:t>
      </w:r>
      <w:r w:rsidR="00CA4EAE" w:rsidRPr="001B7DE8">
        <w:rPr>
          <w:lang w:val="es-ES"/>
        </w:rPr>
        <w:t>(</w:t>
      </w:r>
      <w:r w:rsidR="000A3562" w:rsidRPr="001B7DE8">
        <w:rPr>
          <w:lang w:val="es-ES"/>
        </w:rPr>
        <w:t>7</w:t>
      </w:r>
      <w:r w:rsidR="00FB4792" w:rsidRPr="001B7DE8">
        <w:rPr>
          <w:lang w:val="es-ES"/>
        </w:rPr>
        <w:t>% para la entidad receptora y 6</w:t>
      </w:r>
      <w:r w:rsidR="00381F71" w:rsidRPr="001B7DE8">
        <w:rPr>
          <w:lang w:val="es-ES"/>
        </w:rPr>
        <w:t xml:space="preserve"> </w:t>
      </w:r>
      <w:r w:rsidR="00FB4792" w:rsidRPr="001B7DE8">
        <w:rPr>
          <w:lang w:val="es-ES"/>
        </w:rPr>
        <w:t>% para el PNUMA</w:t>
      </w:r>
      <w:r w:rsidR="00CA4EAE" w:rsidRPr="001B7DE8">
        <w:rPr>
          <w:lang w:val="es-ES"/>
        </w:rPr>
        <w:t>);</w:t>
      </w:r>
    </w:p>
    <w:p w:rsidR="000A3562" w:rsidRPr="001B7DE8" w:rsidRDefault="00065434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rFonts w:eastAsia="SimSun"/>
          <w:lang w:val="es-ES"/>
        </w:rPr>
      </w:pPr>
      <w:r w:rsidRPr="001B7DE8">
        <w:rPr>
          <w:b/>
          <w:lang w:val="es-ES"/>
        </w:rPr>
        <w:t>Opción</w:t>
      </w:r>
      <w:r w:rsidR="000A3562" w:rsidRPr="001B7DE8">
        <w:rPr>
          <w:b/>
          <w:lang w:val="es-ES"/>
        </w:rPr>
        <w:t xml:space="preserve"> 2</w:t>
      </w:r>
      <w:r w:rsidR="00381F71" w:rsidRPr="001B7DE8">
        <w:rPr>
          <w:b/>
          <w:lang w:val="es-ES"/>
        </w:rPr>
        <w:t>.</w:t>
      </w:r>
      <w:r w:rsidR="00CA4EAE" w:rsidRPr="001B7DE8">
        <w:rPr>
          <w:b/>
          <w:lang w:val="es-ES"/>
        </w:rPr>
        <w:t>B</w:t>
      </w:r>
      <w:r w:rsidR="00734793" w:rsidRPr="001B7DE8">
        <w:rPr>
          <w:b/>
          <w:lang w:val="es-ES"/>
        </w:rPr>
        <w:t>.</w:t>
      </w:r>
      <w:r w:rsidR="000A3562" w:rsidRPr="001B7DE8">
        <w:rPr>
          <w:lang w:val="es-ES"/>
        </w:rPr>
        <w:t xml:space="preserve"> </w:t>
      </w:r>
      <w:r w:rsidR="00FB4792" w:rsidRPr="001B7DE8">
        <w:rPr>
          <w:lang w:val="es-ES"/>
        </w:rPr>
        <w:t>El PNUMA co</w:t>
      </w:r>
      <w:r w:rsidR="007342F8">
        <w:rPr>
          <w:lang w:val="es-ES"/>
        </w:rPr>
        <w:t>bra</w:t>
      </w:r>
      <w:r w:rsidR="00FB4792" w:rsidRPr="001B7DE8">
        <w:rPr>
          <w:lang w:val="es-ES"/>
        </w:rPr>
        <w:t xml:space="preserve"> un 8% de gastos de apoyo a los programas </w:t>
      </w:r>
      <w:r w:rsidR="007342F8">
        <w:rPr>
          <w:lang w:val="es-ES"/>
        </w:rPr>
        <w:t xml:space="preserve">sobre </w:t>
      </w:r>
      <w:r w:rsidR="00FB4792" w:rsidRPr="001B7DE8">
        <w:rPr>
          <w:lang w:val="es-ES"/>
        </w:rPr>
        <w:t>todos los gastos en que se incurra</w:t>
      </w:r>
      <w:r w:rsidR="000A3562" w:rsidRPr="001B7DE8">
        <w:rPr>
          <w:lang w:val="es-ES"/>
        </w:rPr>
        <w:t xml:space="preserve">. </w:t>
      </w:r>
      <w:r w:rsidR="00FB4792" w:rsidRPr="001B7DE8">
        <w:rPr>
          <w:lang w:val="es-ES"/>
        </w:rPr>
        <w:t xml:space="preserve">Como en la </w:t>
      </w:r>
      <w:r w:rsidRPr="001B7DE8">
        <w:rPr>
          <w:lang w:val="es-ES"/>
        </w:rPr>
        <w:t>Opción</w:t>
      </w:r>
      <w:r w:rsidR="00FB4792" w:rsidRPr="001B7DE8">
        <w:rPr>
          <w:lang w:val="es-ES"/>
        </w:rPr>
        <w:t xml:space="preserve"> 1, habida cuenta de que los dos puestos no se sufragarán con el </w:t>
      </w:r>
      <w:r w:rsidR="00EB0FE9" w:rsidRPr="001B7DE8">
        <w:rPr>
          <w:lang w:val="es-ES"/>
        </w:rPr>
        <w:t>8</w:t>
      </w:r>
      <w:r w:rsidR="00FB4792" w:rsidRPr="001B7DE8">
        <w:rPr>
          <w:lang w:val="es-ES"/>
        </w:rPr>
        <w:t xml:space="preserve">% </w:t>
      </w:r>
      <w:r w:rsidR="007342F8">
        <w:rPr>
          <w:lang w:val="es-ES"/>
        </w:rPr>
        <w:t xml:space="preserve">cobrado por el </w:t>
      </w:r>
      <w:r w:rsidR="00FB4792" w:rsidRPr="001B7DE8">
        <w:rPr>
          <w:lang w:val="es-ES"/>
        </w:rPr>
        <w:t xml:space="preserve">PNUMA, la plantilla de la secretaría de la Plataforma </w:t>
      </w:r>
      <w:r w:rsidR="007342F8">
        <w:rPr>
          <w:lang w:val="es-ES"/>
        </w:rPr>
        <w:t>incluir</w:t>
      </w:r>
      <w:r w:rsidR="00FB4792" w:rsidRPr="001B7DE8">
        <w:rPr>
          <w:lang w:val="es-ES"/>
        </w:rPr>
        <w:t xml:space="preserve">ía entonces los puestos de Oficial de Administración y Finanzas </w:t>
      </w:r>
      <w:r w:rsidR="00CA4EAE" w:rsidRPr="001B7DE8">
        <w:rPr>
          <w:lang w:val="es-ES"/>
        </w:rPr>
        <w:t>(P</w:t>
      </w:r>
      <w:r w:rsidR="005519BE">
        <w:rPr>
          <w:lang w:val="es-ES"/>
        </w:rPr>
        <w:noBreakHyphen/>
      </w:r>
      <w:r w:rsidR="00CA4EAE" w:rsidRPr="001B7DE8">
        <w:rPr>
          <w:lang w:val="es-ES"/>
        </w:rPr>
        <w:t xml:space="preserve">3) </w:t>
      </w:r>
      <w:r w:rsidR="00FB4792" w:rsidRPr="001B7DE8">
        <w:rPr>
          <w:lang w:val="es-ES"/>
        </w:rPr>
        <w:t>y</w:t>
      </w:r>
      <w:r w:rsidR="00CA4EAE" w:rsidRPr="001B7DE8">
        <w:rPr>
          <w:lang w:val="es-ES"/>
        </w:rPr>
        <w:t xml:space="preserve"> </w:t>
      </w:r>
      <w:r w:rsidR="00FB4792" w:rsidRPr="001B7DE8">
        <w:rPr>
          <w:lang w:val="es-ES"/>
        </w:rPr>
        <w:t xml:space="preserve">Auxiliar Administrativo </w:t>
      </w:r>
      <w:r w:rsidR="00CA4EAE" w:rsidRPr="001B7DE8">
        <w:rPr>
          <w:lang w:val="es-ES"/>
        </w:rPr>
        <w:t>(</w:t>
      </w:r>
      <w:r w:rsidR="000A3562" w:rsidRPr="001B7DE8">
        <w:rPr>
          <w:lang w:val="es-ES"/>
        </w:rPr>
        <w:t>G</w:t>
      </w:r>
      <w:r w:rsidR="005519BE">
        <w:rPr>
          <w:lang w:val="es-ES"/>
        </w:rPr>
        <w:noBreakHyphen/>
      </w:r>
      <w:r w:rsidR="000A3562" w:rsidRPr="001B7DE8">
        <w:rPr>
          <w:lang w:val="es-ES"/>
        </w:rPr>
        <w:t>5</w:t>
      </w:r>
      <w:r w:rsidR="00CA4EAE" w:rsidRPr="001B7DE8">
        <w:rPr>
          <w:lang w:val="es-ES"/>
        </w:rPr>
        <w:t xml:space="preserve">), </w:t>
      </w:r>
      <w:r w:rsidR="007342F8">
        <w:rPr>
          <w:lang w:val="es-ES"/>
        </w:rPr>
        <w:t>que se sufragarían con</w:t>
      </w:r>
      <w:r w:rsidR="0021632E">
        <w:rPr>
          <w:lang w:val="es-ES"/>
        </w:rPr>
        <w:t xml:space="preserve"> cargo </w:t>
      </w:r>
      <w:r w:rsidR="007342F8">
        <w:rPr>
          <w:lang w:val="es-ES"/>
        </w:rPr>
        <w:t>a</w:t>
      </w:r>
      <w:r w:rsidR="0021632E">
        <w:rPr>
          <w:lang w:val="es-ES"/>
        </w:rPr>
        <w:t xml:space="preserve">l </w:t>
      </w:r>
      <w:r w:rsidR="00836152">
        <w:rPr>
          <w:lang w:val="es-ES"/>
        </w:rPr>
        <w:t>fondo fiduciario</w:t>
      </w:r>
      <w:r w:rsidR="00FB4792" w:rsidRPr="001B7DE8">
        <w:rPr>
          <w:lang w:val="es-ES"/>
        </w:rPr>
        <w:t xml:space="preserve"> de la </w:t>
      </w:r>
      <w:r w:rsidR="00CA4EAE" w:rsidRPr="001B7DE8">
        <w:rPr>
          <w:lang w:val="es-ES"/>
        </w:rPr>
        <w:t>Plat</w:t>
      </w:r>
      <w:r w:rsidR="00FB4792" w:rsidRPr="001B7DE8">
        <w:rPr>
          <w:lang w:val="es-ES"/>
        </w:rPr>
        <w:t>a</w:t>
      </w:r>
      <w:r w:rsidR="00CA4EAE" w:rsidRPr="001B7DE8">
        <w:rPr>
          <w:lang w:val="es-ES"/>
        </w:rPr>
        <w:t>form</w:t>
      </w:r>
      <w:r w:rsidR="00FB4792" w:rsidRPr="001B7DE8">
        <w:rPr>
          <w:lang w:val="es-ES"/>
        </w:rPr>
        <w:t>a, para satisfacer las necesidades financieras y administrativas de la secretaría.</w:t>
      </w:r>
      <w:r w:rsidR="001A286B">
        <w:rPr>
          <w:lang w:val="es-ES"/>
        </w:rPr>
        <w:t xml:space="preserve"> </w:t>
      </w:r>
      <w:r w:rsidR="007342F8">
        <w:rPr>
          <w:lang w:val="es-ES"/>
        </w:rPr>
        <w:t>Con</w:t>
      </w:r>
      <w:r w:rsidR="00FB4792" w:rsidRPr="001B7DE8">
        <w:rPr>
          <w:lang w:val="es-ES"/>
        </w:rPr>
        <w:t xml:space="preserve"> esta modalidad, el PNUMA asumiría toda la responsabilidad administrativa y financiera de la gestión de la secretaría</w:t>
      </w:r>
      <w:r w:rsidR="000A3562" w:rsidRPr="001B7DE8">
        <w:rPr>
          <w:lang w:val="es-ES"/>
        </w:rPr>
        <w:t xml:space="preserve">. </w:t>
      </w:r>
      <w:r w:rsidR="00FB4792" w:rsidRPr="001B7DE8">
        <w:rPr>
          <w:lang w:val="es-ES"/>
        </w:rPr>
        <w:t xml:space="preserve">En los casos en que se haya prometido asignar fondos a otro órgano de las </w:t>
      </w:r>
      <w:r w:rsidR="001A286B">
        <w:rPr>
          <w:lang w:val="es-ES"/>
        </w:rPr>
        <w:t>Naciones Unidas</w:t>
      </w:r>
      <w:r w:rsidR="00FB4792" w:rsidRPr="001B7DE8">
        <w:rPr>
          <w:lang w:val="es-ES"/>
        </w:rPr>
        <w:t xml:space="preserve"> para la ejecución de un producto específico,</w:t>
      </w:r>
      <w:r w:rsidR="001A286B">
        <w:rPr>
          <w:lang w:val="es-ES"/>
        </w:rPr>
        <w:t xml:space="preserve"> </w:t>
      </w:r>
      <w:r w:rsidR="00FB4792" w:rsidRPr="001B7DE8">
        <w:rPr>
          <w:lang w:val="es-ES"/>
        </w:rPr>
        <w:t>se dividirán los gastos de apoyo a los programas (7% para la</w:t>
      </w:r>
      <w:r w:rsidR="00D60A67">
        <w:rPr>
          <w:lang w:val="es-ES"/>
        </w:rPr>
        <w:t xml:space="preserve"> entidad receptora y 1% para el </w:t>
      </w:r>
      <w:r w:rsidR="00FB4792" w:rsidRPr="001B7DE8">
        <w:rPr>
          <w:lang w:val="es-ES"/>
        </w:rPr>
        <w:t>PNUMA);</w:t>
      </w:r>
    </w:p>
    <w:p w:rsidR="000A3562" w:rsidRPr="001B7DE8" w:rsidRDefault="00065434" w:rsidP="009C0329">
      <w:pPr>
        <w:pStyle w:val="Normalnumber"/>
        <w:numPr>
          <w:ilvl w:val="1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624"/>
        <w:rPr>
          <w:color w:val="000000"/>
          <w:lang w:val="es-ES"/>
        </w:rPr>
      </w:pPr>
      <w:r w:rsidRPr="001B7DE8">
        <w:rPr>
          <w:b/>
          <w:lang w:val="es-ES"/>
        </w:rPr>
        <w:t>Opción</w:t>
      </w:r>
      <w:r w:rsidR="000A3562" w:rsidRPr="001B7DE8">
        <w:rPr>
          <w:b/>
          <w:lang w:val="es-ES"/>
        </w:rPr>
        <w:t xml:space="preserve"> 2</w:t>
      </w:r>
      <w:r w:rsidR="00381F71" w:rsidRPr="001B7DE8">
        <w:rPr>
          <w:b/>
          <w:lang w:val="es-ES"/>
        </w:rPr>
        <w:t>.</w:t>
      </w:r>
      <w:r w:rsidR="000A3562" w:rsidRPr="001B7DE8">
        <w:rPr>
          <w:b/>
          <w:lang w:val="es-ES"/>
        </w:rPr>
        <w:t>C</w:t>
      </w:r>
      <w:r w:rsidR="00734793" w:rsidRPr="001B7DE8">
        <w:rPr>
          <w:lang w:val="es-ES"/>
        </w:rPr>
        <w:t>.</w:t>
      </w:r>
      <w:r w:rsidR="00381F71" w:rsidRPr="001B7DE8">
        <w:rPr>
          <w:lang w:val="es-ES"/>
        </w:rPr>
        <w:t xml:space="preserve"> </w:t>
      </w:r>
      <w:r w:rsidR="007B6149" w:rsidRPr="001B7DE8">
        <w:rPr>
          <w:lang w:val="es-ES"/>
        </w:rPr>
        <w:t xml:space="preserve">El Director Ejecutivo del PNUMA descentraliza parte de la capacidad administrativa, que es asumida por la secretaría de la </w:t>
      </w:r>
      <w:r w:rsidR="00381F71" w:rsidRPr="001B7DE8">
        <w:rPr>
          <w:lang w:val="es-ES"/>
        </w:rPr>
        <w:t>Plat</w:t>
      </w:r>
      <w:r w:rsidR="007B6149" w:rsidRPr="001B7DE8">
        <w:rPr>
          <w:lang w:val="es-ES"/>
        </w:rPr>
        <w:t>a</w:t>
      </w:r>
      <w:r w:rsidR="00381F71" w:rsidRPr="001B7DE8">
        <w:rPr>
          <w:lang w:val="es-ES"/>
        </w:rPr>
        <w:t>form</w:t>
      </w:r>
      <w:r w:rsidR="007B6149" w:rsidRPr="001B7DE8">
        <w:rPr>
          <w:lang w:val="es-ES"/>
        </w:rPr>
        <w:t>a</w:t>
      </w:r>
      <w:r w:rsidR="009E7CFF" w:rsidRPr="001B7DE8">
        <w:rPr>
          <w:lang w:val="es-ES"/>
        </w:rPr>
        <w:t xml:space="preserve">, la cual </w:t>
      </w:r>
      <w:r w:rsidR="00894CD6">
        <w:rPr>
          <w:lang w:val="es-ES"/>
        </w:rPr>
        <w:t xml:space="preserve">podrá </w:t>
      </w:r>
      <w:r w:rsidR="009E7CFF" w:rsidRPr="001B7DE8">
        <w:rPr>
          <w:lang w:val="es-ES"/>
        </w:rPr>
        <w:t>retene</w:t>
      </w:r>
      <w:r w:rsidR="00894CD6">
        <w:rPr>
          <w:lang w:val="es-ES"/>
        </w:rPr>
        <w:t>r</w:t>
      </w:r>
      <w:r w:rsidR="009E7CFF" w:rsidRPr="001B7DE8">
        <w:rPr>
          <w:lang w:val="es-ES"/>
        </w:rPr>
        <w:t xml:space="preserve"> una parte de los gastos de apoyo </w:t>
      </w:r>
      <w:r w:rsidR="001B7DE8" w:rsidRPr="001B7DE8">
        <w:rPr>
          <w:lang w:val="es-ES"/>
        </w:rPr>
        <w:t>a los programas</w:t>
      </w:r>
      <w:r w:rsidR="009E7CFF" w:rsidRPr="001B7DE8">
        <w:rPr>
          <w:lang w:val="es-ES"/>
        </w:rPr>
        <w:t xml:space="preserve"> que se generen</w:t>
      </w:r>
      <w:r w:rsidR="0047247F" w:rsidRPr="001B7DE8">
        <w:rPr>
          <w:lang w:val="es-ES"/>
        </w:rPr>
        <w:t>.</w:t>
      </w:r>
      <w:r w:rsidR="000A3562" w:rsidRPr="001B7DE8">
        <w:rPr>
          <w:lang w:val="es-ES"/>
        </w:rPr>
        <w:t xml:space="preserve"> </w:t>
      </w:r>
      <w:r w:rsidR="009E7CFF" w:rsidRPr="001B7DE8">
        <w:rPr>
          <w:lang w:val="es-ES"/>
        </w:rPr>
        <w:t>A ese respecto</w:t>
      </w:r>
      <w:r w:rsidR="000A3562" w:rsidRPr="001B7DE8">
        <w:rPr>
          <w:lang w:val="es-ES"/>
        </w:rPr>
        <w:t>,</w:t>
      </w:r>
      <w:r w:rsidR="001A286B">
        <w:rPr>
          <w:lang w:val="es-ES"/>
        </w:rPr>
        <w:t xml:space="preserve"> </w:t>
      </w:r>
      <w:r w:rsidR="009E7CFF" w:rsidRPr="001B7DE8">
        <w:rPr>
          <w:lang w:val="es-ES"/>
        </w:rPr>
        <w:t xml:space="preserve">se devolvería a la secretaría el </w:t>
      </w:r>
      <w:r w:rsidR="000A3562" w:rsidRPr="001B7DE8">
        <w:rPr>
          <w:lang w:val="es-ES"/>
        </w:rPr>
        <w:t>67</w:t>
      </w:r>
      <w:r w:rsidR="009E7CFF" w:rsidRPr="001B7DE8">
        <w:rPr>
          <w:lang w:val="es-ES"/>
        </w:rPr>
        <w:t xml:space="preserve">% del </w:t>
      </w:r>
      <w:r w:rsidR="000A3562" w:rsidRPr="001B7DE8">
        <w:rPr>
          <w:lang w:val="es-ES"/>
        </w:rPr>
        <w:t>13</w:t>
      </w:r>
      <w:r w:rsidR="009E7CFF" w:rsidRPr="001B7DE8">
        <w:rPr>
          <w:lang w:val="es-ES"/>
        </w:rPr>
        <w:t>%</w:t>
      </w:r>
      <w:r w:rsidR="000A3562" w:rsidRPr="001B7DE8">
        <w:rPr>
          <w:lang w:val="es-ES"/>
        </w:rPr>
        <w:t xml:space="preserve"> (</w:t>
      </w:r>
      <w:r w:rsidR="009E7CFF" w:rsidRPr="001B7DE8">
        <w:rPr>
          <w:lang w:val="es-ES"/>
        </w:rPr>
        <w:t xml:space="preserve">un total de </w:t>
      </w:r>
      <w:r w:rsidR="000A3562" w:rsidRPr="001B7DE8">
        <w:rPr>
          <w:lang w:val="es-ES"/>
        </w:rPr>
        <w:t>8</w:t>
      </w:r>
      <w:r w:rsidR="009E7CFF" w:rsidRPr="001B7DE8">
        <w:rPr>
          <w:lang w:val="es-ES"/>
        </w:rPr>
        <w:t>,</w:t>
      </w:r>
      <w:r w:rsidR="000A3562" w:rsidRPr="001B7DE8">
        <w:rPr>
          <w:lang w:val="es-ES"/>
        </w:rPr>
        <w:t>71</w:t>
      </w:r>
      <w:r w:rsidR="009E7CFF" w:rsidRPr="001B7DE8">
        <w:rPr>
          <w:lang w:val="es-ES"/>
        </w:rPr>
        <w:t>%</w:t>
      </w:r>
      <w:r w:rsidR="000A3562" w:rsidRPr="001B7DE8">
        <w:rPr>
          <w:lang w:val="es-ES"/>
        </w:rPr>
        <w:t xml:space="preserve">) </w:t>
      </w:r>
      <w:r w:rsidR="009E7CFF" w:rsidRPr="001B7DE8">
        <w:rPr>
          <w:lang w:val="es-ES"/>
        </w:rPr>
        <w:t xml:space="preserve">en forma de gastos financieros y administrativos directos, incluidos los de personal, y </w:t>
      </w:r>
      <w:r w:rsidR="000A3562" w:rsidRPr="001B7DE8">
        <w:rPr>
          <w:lang w:val="es-ES"/>
        </w:rPr>
        <w:t>33</w:t>
      </w:r>
      <w:r w:rsidR="009E7CFF" w:rsidRPr="001B7DE8">
        <w:rPr>
          <w:lang w:val="es-ES"/>
        </w:rPr>
        <w:t>% del 1</w:t>
      </w:r>
      <w:r w:rsidR="000A3562" w:rsidRPr="001B7DE8">
        <w:rPr>
          <w:lang w:val="es-ES"/>
        </w:rPr>
        <w:t>3</w:t>
      </w:r>
      <w:r w:rsidR="009E7CFF" w:rsidRPr="001B7DE8">
        <w:rPr>
          <w:lang w:val="es-ES"/>
        </w:rPr>
        <w:t>%</w:t>
      </w:r>
      <w:r w:rsidR="000A3562" w:rsidRPr="001B7DE8">
        <w:rPr>
          <w:lang w:val="es-ES"/>
        </w:rPr>
        <w:t xml:space="preserve"> (</w:t>
      </w:r>
      <w:r w:rsidR="009E7CFF" w:rsidRPr="001B7DE8">
        <w:rPr>
          <w:lang w:val="es-ES"/>
        </w:rPr>
        <w:t>un total de</w:t>
      </w:r>
      <w:r w:rsidR="000A3562" w:rsidRPr="001B7DE8">
        <w:rPr>
          <w:lang w:val="es-ES"/>
        </w:rPr>
        <w:t xml:space="preserve"> 4</w:t>
      </w:r>
      <w:r w:rsidR="009E7CFF" w:rsidRPr="001B7DE8">
        <w:rPr>
          <w:lang w:val="es-ES"/>
        </w:rPr>
        <w:t>,</w:t>
      </w:r>
      <w:r w:rsidR="000A3562" w:rsidRPr="001B7DE8">
        <w:rPr>
          <w:lang w:val="es-ES"/>
        </w:rPr>
        <w:t>29</w:t>
      </w:r>
      <w:r w:rsidR="009E7CFF" w:rsidRPr="001B7DE8">
        <w:rPr>
          <w:lang w:val="es-ES"/>
        </w:rPr>
        <w:t>%</w:t>
      </w:r>
      <w:r w:rsidR="000A3562" w:rsidRPr="001B7DE8">
        <w:rPr>
          <w:lang w:val="es-ES"/>
        </w:rPr>
        <w:t xml:space="preserve">) </w:t>
      </w:r>
      <w:r w:rsidR="00894CD6">
        <w:rPr>
          <w:lang w:val="es-ES"/>
        </w:rPr>
        <w:t>se</w:t>
      </w:r>
      <w:r w:rsidR="0021632E">
        <w:rPr>
          <w:lang w:val="es-ES"/>
        </w:rPr>
        <w:t>ría</w:t>
      </w:r>
      <w:r w:rsidR="009E7CFF" w:rsidRPr="001B7DE8">
        <w:rPr>
          <w:lang w:val="es-ES"/>
        </w:rPr>
        <w:t xml:space="preserve"> retenido por el PNUMA y la Oficina de las </w:t>
      </w:r>
      <w:r w:rsidR="001A286B">
        <w:rPr>
          <w:lang w:val="es-ES"/>
        </w:rPr>
        <w:t>Naciones Unidas</w:t>
      </w:r>
      <w:r w:rsidR="009E7CFF" w:rsidRPr="001B7DE8">
        <w:rPr>
          <w:lang w:val="es-ES"/>
        </w:rPr>
        <w:t xml:space="preserve"> en Nairobi de manera compartida para sufragar los servicios institucionales que se presten al </w:t>
      </w:r>
      <w:r w:rsidR="0021632E" w:rsidRPr="001B7DE8">
        <w:rPr>
          <w:lang w:val="es-ES"/>
        </w:rPr>
        <w:t>Fondo Fiduciario</w:t>
      </w:r>
      <w:r w:rsidR="009E7CFF" w:rsidRPr="001B7DE8">
        <w:rPr>
          <w:lang w:val="es-ES"/>
        </w:rPr>
        <w:t>, entre otros,</w:t>
      </w:r>
      <w:r w:rsidR="000A3562" w:rsidRPr="001B7DE8">
        <w:rPr>
          <w:lang w:val="es-ES"/>
        </w:rPr>
        <w:t xml:space="preserve"> </w:t>
      </w:r>
      <w:r w:rsidR="009E7CFF" w:rsidRPr="001B7DE8">
        <w:rPr>
          <w:lang w:val="es-ES"/>
        </w:rPr>
        <w:t>presentación de informes, auditorías, investigaciones, evaluación, gestión financiera, asuntos relacionados con los recursos humanos, tecnologías de la información y las comunicaciones, adquisiciones, cuestiones jurídicas y otros.</w:t>
      </w:r>
      <w:r w:rsidR="000A3562" w:rsidRPr="001B7DE8">
        <w:rPr>
          <w:lang w:val="es-ES"/>
        </w:rPr>
        <w:t xml:space="preserve"> </w:t>
      </w:r>
      <w:r w:rsidR="009E7CFF" w:rsidRPr="001B7DE8">
        <w:rPr>
          <w:lang w:val="es-ES"/>
        </w:rPr>
        <w:t>Esta o</w:t>
      </w:r>
      <w:r w:rsidRPr="001B7DE8">
        <w:rPr>
          <w:lang w:val="es-ES"/>
        </w:rPr>
        <w:t>pción</w:t>
      </w:r>
      <w:r w:rsidR="000A3562" w:rsidRPr="001B7DE8">
        <w:rPr>
          <w:lang w:val="es-ES"/>
        </w:rPr>
        <w:t xml:space="preserve"> ha</w:t>
      </w:r>
      <w:r w:rsidR="009E7CFF" w:rsidRPr="001B7DE8">
        <w:rPr>
          <w:lang w:val="es-ES"/>
        </w:rPr>
        <w:t xml:space="preserve"> </w:t>
      </w:r>
      <w:r w:rsidR="000A3562" w:rsidRPr="001B7DE8">
        <w:rPr>
          <w:lang w:val="es-ES"/>
        </w:rPr>
        <w:t>s</w:t>
      </w:r>
      <w:r w:rsidR="009E7CFF" w:rsidRPr="001B7DE8">
        <w:rPr>
          <w:lang w:val="es-ES"/>
        </w:rPr>
        <w:t xml:space="preserve">ido práctica habitual </w:t>
      </w:r>
      <w:r w:rsidR="001B7DE8" w:rsidRPr="001B7DE8">
        <w:rPr>
          <w:lang w:val="es-ES"/>
        </w:rPr>
        <w:t>en todas</w:t>
      </w:r>
      <w:r w:rsidR="009E7CFF" w:rsidRPr="001B7DE8">
        <w:rPr>
          <w:lang w:val="es-ES"/>
        </w:rPr>
        <w:t xml:space="preserve"> las secretarías de instrumentos mundiales y regionales </w:t>
      </w:r>
      <w:r w:rsidR="00894CD6" w:rsidRPr="001B7DE8">
        <w:rPr>
          <w:lang w:val="es-ES"/>
        </w:rPr>
        <w:t>(acuerdo</w:t>
      </w:r>
      <w:r w:rsidR="00894CD6">
        <w:rPr>
          <w:lang w:val="es-ES"/>
        </w:rPr>
        <w:t>s</w:t>
      </w:r>
      <w:r w:rsidR="00894CD6" w:rsidRPr="001B7DE8">
        <w:rPr>
          <w:lang w:val="es-ES"/>
        </w:rPr>
        <w:t xml:space="preserve"> ambiental</w:t>
      </w:r>
      <w:r w:rsidR="00894CD6">
        <w:rPr>
          <w:lang w:val="es-ES"/>
        </w:rPr>
        <w:t>es</w:t>
      </w:r>
      <w:r w:rsidR="00894CD6" w:rsidRPr="001B7DE8">
        <w:rPr>
          <w:lang w:val="es-ES"/>
        </w:rPr>
        <w:t xml:space="preserve"> multilateral</w:t>
      </w:r>
      <w:r w:rsidR="00894CD6">
        <w:rPr>
          <w:lang w:val="es-ES"/>
        </w:rPr>
        <w:t>es</w:t>
      </w:r>
      <w:r w:rsidR="00894CD6" w:rsidRPr="001B7DE8">
        <w:rPr>
          <w:lang w:val="es-ES"/>
        </w:rPr>
        <w:t>)</w:t>
      </w:r>
      <w:r w:rsidR="00894CD6">
        <w:rPr>
          <w:lang w:val="es-ES"/>
        </w:rPr>
        <w:t xml:space="preserve"> </w:t>
      </w:r>
      <w:r w:rsidR="009E7CFF" w:rsidRPr="001B7DE8">
        <w:rPr>
          <w:lang w:val="es-ES"/>
        </w:rPr>
        <w:t>administrados por el PNUMA</w:t>
      </w:r>
      <w:r w:rsidR="008E34A2" w:rsidRPr="001B7DE8">
        <w:rPr>
          <w:lang w:val="es-ES"/>
        </w:rPr>
        <w:t>.</w:t>
      </w:r>
      <w:r w:rsidR="00381F71" w:rsidRPr="001B7DE8">
        <w:rPr>
          <w:color w:val="000000"/>
          <w:lang w:val="es-ES"/>
        </w:rPr>
        <w:t xml:space="preserve"> </w:t>
      </w:r>
      <w:r w:rsidR="009E7CFF" w:rsidRPr="001B7DE8">
        <w:rPr>
          <w:color w:val="000000"/>
          <w:lang w:val="es-ES"/>
        </w:rPr>
        <w:t>En esta o</w:t>
      </w:r>
      <w:r w:rsidRPr="001B7DE8">
        <w:rPr>
          <w:color w:val="000000"/>
          <w:lang w:val="es-ES"/>
        </w:rPr>
        <w:t>pción</w:t>
      </w:r>
      <w:r w:rsidR="008E34A2" w:rsidRPr="001B7DE8">
        <w:rPr>
          <w:color w:val="000000"/>
          <w:lang w:val="es-ES"/>
        </w:rPr>
        <w:t xml:space="preserve">, </w:t>
      </w:r>
      <w:r w:rsidR="009E7CFF" w:rsidRPr="001B7DE8">
        <w:rPr>
          <w:color w:val="000000"/>
          <w:lang w:val="es-ES"/>
        </w:rPr>
        <w:t xml:space="preserve">es responsabilidad del Director Ejecutivo velar por que se disponga de los recursos y sistemas administrativos adecuados, tanto en el PNUMA/Oficina de las </w:t>
      </w:r>
      <w:r w:rsidR="001A286B">
        <w:rPr>
          <w:color w:val="000000"/>
          <w:lang w:val="es-ES"/>
        </w:rPr>
        <w:t>Naciones Unidas</w:t>
      </w:r>
      <w:r w:rsidR="009E7CFF" w:rsidRPr="001B7DE8">
        <w:rPr>
          <w:color w:val="000000"/>
          <w:lang w:val="es-ES"/>
        </w:rPr>
        <w:t xml:space="preserve"> en Nairobi como en la </w:t>
      </w:r>
      <w:r w:rsidR="00C226FD" w:rsidRPr="001B7DE8">
        <w:rPr>
          <w:color w:val="000000"/>
          <w:lang w:val="es-ES"/>
        </w:rPr>
        <w:t xml:space="preserve">secretaría de la Plataforma, para cumplir las responsabilidades </w:t>
      </w:r>
      <w:r w:rsidR="001B7DE8" w:rsidRPr="001B7DE8">
        <w:rPr>
          <w:color w:val="000000"/>
          <w:lang w:val="es-ES"/>
        </w:rPr>
        <w:t>fiduciari</w:t>
      </w:r>
      <w:r w:rsidR="0021632E">
        <w:rPr>
          <w:color w:val="000000"/>
          <w:lang w:val="es-ES"/>
        </w:rPr>
        <w:t>a</w:t>
      </w:r>
      <w:r w:rsidR="001B7DE8" w:rsidRPr="001B7DE8">
        <w:rPr>
          <w:color w:val="000000"/>
          <w:lang w:val="es-ES"/>
        </w:rPr>
        <w:t>s</w:t>
      </w:r>
      <w:r w:rsidR="00C226FD" w:rsidRPr="001B7DE8">
        <w:rPr>
          <w:color w:val="000000"/>
          <w:lang w:val="es-ES"/>
        </w:rPr>
        <w:t xml:space="preserve"> del PNUMA en lo que respecta a la gestión racional de los recursos de la secretaría de la Plataforma, como sigue:</w:t>
      </w:r>
    </w:p>
    <w:p w:rsidR="000A3562" w:rsidRPr="001B7DE8" w:rsidRDefault="0021632E" w:rsidP="0021632E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color w:val="000000"/>
          <w:lang w:val="es-ES"/>
        </w:rPr>
      </w:pPr>
      <w:r>
        <w:rPr>
          <w:color w:val="000000"/>
          <w:lang w:val="es-ES"/>
        </w:rPr>
        <w:t>i)</w:t>
      </w:r>
      <w:r w:rsidR="000A3562" w:rsidRPr="001B7DE8">
        <w:rPr>
          <w:color w:val="000000"/>
          <w:lang w:val="es-ES"/>
        </w:rPr>
        <w:tab/>
      </w:r>
      <w:r w:rsidR="003D493C" w:rsidRPr="001B7DE8">
        <w:rPr>
          <w:color w:val="000000"/>
          <w:lang w:val="es-ES"/>
        </w:rPr>
        <w:t xml:space="preserve">El Director Ejecutivo asignará a la secretaría el </w:t>
      </w:r>
      <w:r w:rsidR="000A3562" w:rsidRPr="001B7DE8">
        <w:rPr>
          <w:color w:val="000000"/>
          <w:lang w:val="es-ES"/>
        </w:rPr>
        <w:t>67</w:t>
      </w:r>
      <w:r w:rsidR="003D493C" w:rsidRPr="001B7DE8">
        <w:rPr>
          <w:color w:val="000000"/>
          <w:lang w:val="es-ES"/>
        </w:rPr>
        <w:t>%</w:t>
      </w:r>
      <w:r w:rsidR="001A286B">
        <w:rPr>
          <w:color w:val="000000"/>
          <w:lang w:val="es-ES"/>
        </w:rPr>
        <w:t xml:space="preserve"> </w:t>
      </w:r>
      <w:r w:rsidR="003D493C" w:rsidRPr="001B7DE8">
        <w:rPr>
          <w:color w:val="000000"/>
          <w:lang w:val="es-ES"/>
        </w:rPr>
        <w:t xml:space="preserve">de los ingresos anuales por concepto de gastos de apoyo a los programas que se obtengan de todos los fondos fiduciarios de la </w:t>
      </w:r>
      <w:r w:rsidR="000A3562" w:rsidRPr="001B7DE8">
        <w:rPr>
          <w:color w:val="000000"/>
          <w:lang w:val="es-ES"/>
        </w:rPr>
        <w:t>Plat</w:t>
      </w:r>
      <w:r w:rsidR="003D493C" w:rsidRPr="001B7DE8">
        <w:rPr>
          <w:color w:val="000000"/>
          <w:lang w:val="es-ES"/>
        </w:rPr>
        <w:t>a</w:t>
      </w:r>
      <w:r w:rsidR="000A3562" w:rsidRPr="001B7DE8">
        <w:rPr>
          <w:color w:val="000000"/>
          <w:lang w:val="es-ES"/>
        </w:rPr>
        <w:t>form</w:t>
      </w:r>
      <w:r w:rsidR="003D493C" w:rsidRPr="001B7DE8">
        <w:rPr>
          <w:color w:val="000000"/>
          <w:lang w:val="es-ES"/>
        </w:rPr>
        <w:t>a</w:t>
      </w:r>
      <w:r w:rsidR="000A3562" w:rsidRPr="001B7DE8">
        <w:rPr>
          <w:color w:val="000000"/>
          <w:lang w:val="es-ES"/>
        </w:rPr>
        <w:t xml:space="preserve">. </w:t>
      </w:r>
      <w:r w:rsidR="007B6149" w:rsidRPr="001B7DE8">
        <w:rPr>
          <w:lang w:val="es-ES"/>
        </w:rPr>
        <w:t>Ello supone la financiación de los costos totales de los dos puestos de la secretaría de la Plataforma, a saber,</w:t>
      </w:r>
      <w:r w:rsidR="001A286B">
        <w:rPr>
          <w:lang w:val="es-ES"/>
        </w:rPr>
        <w:t xml:space="preserve"> </w:t>
      </w:r>
      <w:r w:rsidR="007B6149" w:rsidRPr="001B7DE8">
        <w:rPr>
          <w:lang w:val="es-ES"/>
        </w:rPr>
        <w:t>Oficial de Administración y Finanzas (P</w:t>
      </w:r>
      <w:r w:rsidR="005519BE">
        <w:rPr>
          <w:lang w:val="es-ES"/>
        </w:rPr>
        <w:noBreakHyphen/>
      </w:r>
      <w:r w:rsidR="007B6149" w:rsidRPr="001B7DE8">
        <w:rPr>
          <w:lang w:val="es-ES"/>
        </w:rPr>
        <w:t>3) y Auxiliar Administrativo (G</w:t>
      </w:r>
      <w:r w:rsidR="005519BE">
        <w:rPr>
          <w:lang w:val="es-ES"/>
        </w:rPr>
        <w:noBreakHyphen/>
      </w:r>
      <w:r w:rsidR="007B6149" w:rsidRPr="001B7DE8">
        <w:rPr>
          <w:lang w:val="es-ES"/>
        </w:rPr>
        <w:t>5) con cargo al</w:t>
      </w:r>
      <w:r w:rsidR="0047247F" w:rsidRPr="001B7DE8">
        <w:rPr>
          <w:lang w:val="es-ES"/>
        </w:rPr>
        <w:t xml:space="preserve"> 67</w:t>
      </w:r>
      <w:r w:rsidR="007B6149" w:rsidRPr="001B7DE8">
        <w:rPr>
          <w:lang w:val="es-ES"/>
        </w:rPr>
        <w:t xml:space="preserve">% de los gastos anuales de apoyo a los programas </w:t>
      </w:r>
      <w:r w:rsidR="00894CD6">
        <w:rPr>
          <w:lang w:val="es-ES"/>
        </w:rPr>
        <w:t>cobrados por e</w:t>
      </w:r>
      <w:r w:rsidR="007B6149" w:rsidRPr="001B7DE8">
        <w:rPr>
          <w:lang w:val="es-ES"/>
        </w:rPr>
        <w:t>l PNUMA</w:t>
      </w:r>
      <w:r w:rsidR="0047247F" w:rsidRPr="001B7DE8">
        <w:rPr>
          <w:lang w:val="es-ES"/>
        </w:rPr>
        <w:t xml:space="preserve">. </w:t>
      </w:r>
      <w:r w:rsidR="003D493C" w:rsidRPr="001B7DE8">
        <w:rPr>
          <w:color w:val="000000"/>
          <w:lang w:val="es-ES"/>
        </w:rPr>
        <w:t xml:space="preserve">El Director Ejecutivo asignará a la secretaría el </w:t>
      </w:r>
      <w:r w:rsidR="000A3562" w:rsidRPr="001B7DE8">
        <w:rPr>
          <w:color w:val="000000"/>
          <w:lang w:val="es-ES"/>
        </w:rPr>
        <w:t>33</w:t>
      </w:r>
      <w:r w:rsidR="003D493C" w:rsidRPr="001B7DE8">
        <w:rPr>
          <w:color w:val="000000"/>
          <w:lang w:val="es-ES"/>
        </w:rPr>
        <w:t>%</w:t>
      </w:r>
      <w:r w:rsidR="001A286B">
        <w:rPr>
          <w:color w:val="000000"/>
          <w:lang w:val="es-ES"/>
        </w:rPr>
        <w:t xml:space="preserve"> </w:t>
      </w:r>
      <w:r w:rsidR="003D493C" w:rsidRPr="001B7DE8">
        <w:rPr>
          <w:color w:val="000000"/>
          <w:lang w:val="es-ES"/>
        </w:rPr>
        <w:t>de los ingresos anuales por concepto de gastos de apoyo a los programas que se obtengan de todos los fondos fiduciarios de la Plataforma para financiar las funciones administrativas esenciales</w:t>
      </w:r>
      <w:r w:rsidR="001A286B">
        <w:rPr>
          <w:color w:val="000000"/>
          <w:lang w:val="es-ES"/>
        </w:rPr>
        <w:t xml:space="preserve"> </w:t>
      </w:r>
      <w:r w:rsidR="003D493C" w:rsidRPr="001B7DE8">
        <w:rPr>
          <w:color w:val="000000"/>
          <w:lang w:val="es-ES"/>
        </w:rPr>
        <w:t xml:space="preserve">que se indican en el apartado </w:t>
      </w:r>
      <w:r w:rsidR="000A3562" w:rsidRPr="001B7DE8">
        <w:rPr>
          <w:color w:val="000000"/>
          <w:lang w:val="es-ES"/>
        </w:rPr>
        <w:t>v</w:t>
      </w:r>
      <w:r w:rsidR="00B81F32" w:rsidRPr="001B7DE8">
        <w:rPr>
          <w:color w:val="000000"/>
          <w:lang w:val="es-ES"/>
        </w:rPr>
        <w:t>)</w:t>
      </w:r>
      <w:r w:rsidR="000A3562" w:rsidRPr="001B7DE8">
        <w:rPr>
          <w:color w:val="000000"/>
          <w:lang w:val="es-ES"/>
        </w:rPr>
        <w:t xml:space="preserve"> </w:t>
      </w:r>
      <w:r w:rsidR="003D493C" w:rsidRPr="001B7DE8">
        <w:rPr>
          <w:color w:val="000000"/>
          <w:lang w:val="es-ES"/>
        </w:rPr>
        <w:t xml:space="preserve">a continuación, con inclusión de las que </w:t>
      </w:r>
      <w:r w:rsidR="00D7323C" w:rsidRPr="001B7DE8">
        <w:rPr>
          <w:color w:val="000000"/>
          <w:lang w:val="es-ES"/>
        </w:rPr>
        <w:t xml:space="preserve">realicen la Oficina de las </w:t>
      </w:r>
      <w:r w:rsidR="001A286B">
        <w:rPr>
          <w:color w:val="000000"/>
          <w:lang w:val="es-ES"/>
        </w:rPr>
        <w:t>Naciones Unidas</w:t>
      </w:r>
      <w:r w:rsidR="00D7323C" w:rsidRPr="001B7DE8">
        <w:rPr>
          <w:color w:val="000000"/>
          <w:lang w:val="es-ES"/>
        </w:rPr>
        <w:t xml:space="preserve"> en Nairobi</w:t>
      </w:r>
      <w:r w:rsidR="000A3562" w:rsidRPr="001B7DE8">
        <w:rPr>
          <w:color w:val="000000"/>
          <w:lang w:val="es-ES"/>
        </w:rPr>
        <w:t xml:space="preserve">, </w:t>
      </w:r>
      <w:r w:rsidR="00D7323C" w:rsidRPr="001B7DE8">
        <w:rPr>
          <w:color w:val="000000"/>
          <w:lang w:val="es-ES"/>
        </w:rPr>
        <w:t xml:space="preserve">Oficina de Servicios de Supervisión Interna de las </w:t>
      </w:r>
      <w:r w:rsidR="001A286B">
        <w:rPr>
          <w:color w:val="000000"/>
          <w:lang w:val="es-ES"/>
        </w:rPr>
        <w:t>Naciones </w:t>
      </w:r>
      <w:r w:rsidR="001A286B" w:rsidRPr="0021632E">
        <w:rPr>
          <w:color w:val="000000"/>
          <w:lang w:val="es-ES"/>
        </w:rPr>
        <w:t>Unidas</w:t>
      </w:r>
      <w:r w:rsidR="00D7323C" w:rsidRPr="0021632E">
        <w:rPr>
          <w:rFonts w:eastAsia="Calibri"/>
          <w:color w:val="000000"/>
          <w:lang w:val="es-ES"/>
        </w:rPr>
        <w:t xml:space="preserve"> </w:t>
      </w:r>
      <w:r w:rsidRPr="0021632E">
        <w:rPr>
          <w:rFonts w:eastAsia="Calibri"/>
          <w:color w:val="000000"/>
          <w:lang w:val="es-ES"/>
        </w:rPr>
        <w:t xml:space="preserve">y </w:t>
      </w:r>
      <w:r w:rsidR="00D7323C" w:rsidRPr="0021632E">
        <w:rPr>
          <w:color w:val="000000"/>
          <w:lang w:val="es-ES"/>
        </w:rPr>
        <w:t>la</w:t>
      </w:r>
      <w:r w:rsidR="00D7323C" w:rsidRPr="001B7DE8">
        <w:rPr>
          <w:color w:val="000000"/>
          <w:lang w:val="es-ES"/>
        </w:rPr>
        <w:t xml:space="preserve"> Junta de Auditores</w:t>
      </w:r>
      <w:r w:rsidR="00B81F32" w:rsidRPr="001B7DE8">
        <w:rPr>
          <w:color w:val="000000"/>
          <w:lang w:val="es-ES"/>
        </w:rPr>
        <w:t>;</w:t>
      </w:r>
    </w:p>
    <w:p w:rsidR="000A3562" w:rsidRPr="001B7DE8" w:rsidRDefault="0021632E" w:rsidP="0021632E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color w:val="000000"/>
          <w:lang w:val="es-ES"/>
        </w:rPr>
      </w:pPr>
      <w:r>
        <w:rPr>
          <w:color w:val="000000"/>
          <w:lang w:val="es-ES"/>
        </w:rPr>
        <w:t>ii)</w:t>
      </w:r>
      <w:r w:rsidR="000A3562" w:rsidRPr="001B7DE8">
        <w:rPr>
          <w:color w:val="000000"/>
          <w:lang w:val="es-ES"/>
        </w:rPr>
        <w:tab/>
      </w:r>
      <w:r w:rsidR="002610D6" w:rsidRPr="001B7DE8">
        <w:rPr>
          <w:color w:val="000000"/>
          <w:lang w:val="es-ES"/>
        </w:rPr>
        <w:t>El Director Ejecutivo actuará con total transparencia con respecto a la asignación de los gastos de apoyo a los programas entre la secretaría y las funciones administrativas esenciales</w:t>
      </w:r>
      <w:r w:rsidR="00B81F32" w:rsidRPr="001B7DE8">
        <w:rPr>
          <w:color w:val="000000"/>
          <w:lang w:val="es-ES"/>
        </w:rPr>
        <w:t>;</w:t>
      </w:r>
    </w:p>
    <w:p w:rsidR="000A3562" w:rsidRPr="001B7DE8" w:rsidRDefault="0021632E" w:rsidP="0021632E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color w:val="000000"/>
          <w:highlight w:val="yellow"/>
          <w:lang w:val="es-ES"/>
        </w:rPr>
      </w:pPr>
      <w:r>
        <w:rPr>
          <w:color w:val="000000"/>
          <w:lang w:val="es-ES"/>
        </w:rPr>
        <w:t>iii)</w:t>
      </w:r>
      <w:r w:rsidR="000A3562" w:rsidRPr="001B7DE8">
        <w:rPr>
          <w:color w:val="000000"/>
          <w:lang w:val="es-ES"/>
        </w:rPr>
        <w:tab/>
      </w:r>
      <w:r w:rsidR="00C226FD" w:rsidRPr="001B7DE8">
        <w:rPr>
          <w:color w:val="000000"/>
          <w:lang w:val="es-ES"/>
        </w:rPr>
        <w:t>En los casos en que los fondos de la secretaría haya</w:t>
      </w:r>
      <w:r w:rsidR="00894CD6">
        <w:rPr>
          <w:color w:val="000000"/>
          <w:lang w:val="es-ES"/>
        </w:rPr>
        <w:t>n</w:t>
      </w:r>
      <w:r w:rsidR="00C226FD" w:rsidRPr="001B7DE8">
        <w:rPr>
          <w:color w:val="000000"/>
          <w:lang w:val="es-ES"/>
        </w:rPr>
        <w:t xml:space="preserve"> sido prometidos a otro órgano de las </w:t>
      </w:r>
      <w:r w:rsidR="001A286B">
        <w:rPr>
          <w:color w:val="000000"/>
          <w:lang w:val="es-ES"/>
        </w:rPr>
        <w:t>Naciones Unidas</w:t>
      </w:r>
      <w:r w:rsidR="00C226FD" w:rsidRPr="001B7DE8">
        <w:rPr>
          <w:color w:val="000000"/>
          <w:lang w:val="es-ES"/>
        </w:rPr>
        <w:t xml:space="preserve"> para la ejecución de un producto específico,</w:t>
      </w:r>
      <w:r w:rsidR="001A286B">
        <w:rPr>
          <w:color w:val="000000"/>
          <w:lang w:val="es-ES"/>
        </w:rPr>
        <w:t xml:space="preserve"> </w:t>
      </w:r>
      <w:r w:rsidR="00C226FD" w:rsidRPr="001B7DE8">
        <w:rPr>
          <w:color w:val="000000"/>
          <w:lang w:val="es-ES"/>
        </w:rPr>
        <w:t>se dividirán los gastos de apoyo a los programas (7% para la entidad receptora, 4,02% para la secretaría de la Plataforma y 1,98%</w:t>
      </w:r>
      <w:r w:rsidR="001A286B">
        <w:rPr>
          <w:color w:val="000000"/>
          <w:lang w:val="es-ES"/>
        </w:rPr>
        <w:t xml:space="preserve"> </w:t>
      </w:r>
      <w:r w:rsidR="00C226FD" w:rsidRPr="001B7DE8">
        <w:rPr>
          <w:color w:val="000000"/>
          <w:lang w:val="es-ES"/>
        </w:rPr>
        <w:t>para el PNUMA);</w:t>
      </w:r>
    </w:p>
    <w:p w:rsidR="000A3562" w:rsidRPr="001B7DE8" w:rsidRDefault="0021632E" w:rsidP="0021632E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color w:val="000000"/>
          <w:lang w:val="es-ES"/>
        </w:rPr>
      </w:pPr>
      <w:r>
        <w:rPr>
          <w:color w:val="000000"/>
          <w:lang w:val="es-ES"/>
        </w:rPr>
        <w:t>iv)</w:t>
      </w:r>
      <w:r w:rsidR="000A3562" w:rsidRPr="001B7DE8">
        <w:rPr>
          <w:color w:val="000000"/>
          <w:lang w:val="es-ES"/>
        </w:rPr>
        <w:tab/>
      </w:r>
      <w:r w:rsidR="00176C8D" w:rsidRPr="001B7DE8">
        <w:rPr>
          <w:color w:val="000000"/>
          <w:lang w:val="es-ES"/>
        </w:rPr>
        <w:t>El PNUMA desempeñará las funciones administrativas esenciales mencionadas</w:t>
      </w:r>
      <w:r w:rsidR="001A286B">
        <w:rPr>
          <w:color w:val="000000"/>
          <w:lang w:val="es-ES"/>
        </w:rPr>
        <w:t xml:space="preserve"> </w:t>
      </w:r>
      <w:r w:rsidR="00176C8D" w:rsidRPr="001B7DE8">
        <w:rPr>
          <w:color w:val="000000"/>
          <w:lang w:val="es-ES"/>
        </w:rPr>
        <w:t xml:space="preserve">en el apartado ii), </w:t>
      </w:r>
      <w:r w:rsidR="000A3562" w:rsidRPr="001B7DE8">
        <w:rPr>
          <w:color w:val="000000"/>
          <w:lang w:val="es-ES"/>
        </w:rPr>
        <w:t>inclu</w:t>
      </w:r>
      <w:r w:rsidR="00176C8D" w:rsidRPr="001B7DE8">
        <w:rPr>
          <w:color w:val="000000"/>
          <w:lang w:val="es-ES"/>
        </w:rPr>
        <w:t>idas, con carácter exclusivo, las siguientes</w:t>
      </w:r>
      <w:r w:rsidR="000A3562" w:rsidRPr="001B7DE8">
        <w:rPr>
          <w:color w:val="000000"/>
          <w:lang w:val="es-ES"/>
        </w:rPr>
        <w:t>: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>Los procesos de contratación, clasificación y selección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lastRenderedPageBreak/>
        <w:t>La gestión de la nómina y la administración de los derechos del personal, incluidos el subsidio de educación, el seguro médico (incluido el apéndice D), las vacaciones en el país de origen y la repatriación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El programa de declaración de la situación financiera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(facturado por la Sede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en Nueva York)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>Las funciones de contabilidad y finanzas, incluida la preparación de los estados financieros, la preparación de créditos y consignaciones, la preparación de pagos e ingresos, la gestión de la corriente en efectivo, la tesorería y la recepción y el registro de las contribuciones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>La administración de las prestaciones por terminación del servicio y posteriores a la jubilación, incluida la administración de las deducciones para el fondo de pensiones y las obligaciones por concepto de seguro médico después de la separación del servicio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>La gestión de los activos no fungibles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>Los servicios de auditoría interna, investigación, inspección y auditoría externa</w:t>
      </w:r>
      <w:r w:rsidR="00B81F32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La participación en el sistema de administración de justicia de las </w:t>
      </w:r>
      <w:r w:rsidR="001A286B">
        <w:rPr>
          <w:color w:val="000000"/>
          <w:lang w:val="es-ES"/>
        </w:rPr>
        <w:t>Naciones Unidas</w:t>
      </w:r>
      <w:r w:rsidR="00D62C8D" w:rsidRPr="001B7DE8">
        <w:rPr>
          <w:color w:val="000000"/>
          <w:lang w:val="es-ES"/>
        </w:rPr>
        <w:t>;</w:t>
      </w:r>
    </w:p>
    <w:p w:rsidR="00D62C8D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Los servicios de flete, valija diplomática, </w:t>
      </w:r>
      <w:r w:rsidR="00D60A67">
        <w:rPr>
          <w:color w:val="000000"/>
          <w:lang w:val="es-ES"/>
        </w:rPr>
        <w:t>visados y expedición de laissez </w:t>
      </w:r>
      <w:r w:rsidRPr="001B7DE8">
        <w:rPr>
          <w:color w:val="000000"/>
          <w:lang w:val="es-ES"/>
        </w:rPr>
        <w:t xml:space="preserve">passer de las </w:t>
      </w:r>
      <w:r w:rsidR="001A286B">
        <w:rPr>
          <w:color w:val="000000"/>
          <w:lang w:val="es-ES"/>
        </w:rPr>
        <w:t>Naciones Unidas</w:t>
      </w:r>
      <w:r w:rsidR="00D62C8D" w:rsidRPr="001B7DE8">
        <w:rPr>
          <w:color w:val="000000"/>
          <w:lang w:val="es-ES"/>
        </w:rPr>
        <w:t>;</w:t>
      </w:r>
    </w:p>
    <w:p w:rsidR="000A3562" w:rsidRPr="001B7DE8" w:rsidRDefault="003D493C" w:rsidP="009C0329">
      <w:pPr>
        <w:pStyle w:val="Normal-pool"/>
        <w:numPr>
          <w:ilvl w:val="0"/>
          <w:numId w:val="3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3119" w:hanging="624"/>
        <w:rPr>
          <w:color w:val="000000"/>
          <w:lang w:val="es-ES"/>
        </w:rPr>
      </w:pPr>
      <w:r w:rsidRPr="001B7DE8">
        <w:rPr>
          <w:color w:val="000000"/>
          <w:lang w:val="es-ES"/>
        </w:rPr>
        <w:t xml:space="preserve">El acceso a los sistemas corporativos de intranet/internet y correo electrónico de las </w:t>
      </w:r>
      <w:r w:rsidR="001A286B">
        <w:rPr>
          <w:color w:val="000000"/>
          <w:lang w:val="es-ES"/>
        </w:rPr>
        <w:t>Naciones Unidas</w:t>
      </w:r>
      <w:r w:rsidRPr="001B7DE8">
        <w:rPr>
          <w:color w:val="000000"/>
          <w:lang w:val="es-ES"/>
        </w:rPr>
        <w:t xml:space="preserve"> y del PNUMA</w:t>
      </w:r>
      <w:r w:rsidR="00D62C8D" w:rsidRPr="001B7DE8">
        <w:rPr>
          <w:color w:val="000000"/>
          <w:lang w:val="es-ES"/>
        </w:rPr>
        <w:t>;</w:t>
      </w:r>
    </w:p>
    <w:p w:rsidR="000A3562" w:rsidRPr="001B7DE8" w:rsidRDefault="0021632E" w:rsidP="0021632E">
      <w:pPr>
        <w:pStyle w:val="Normal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95" w:hanging="624"/>
        <w:rPr>
          <w:color w:val="000000"/>
          <w:lang w:val="es-ES"/>
        </w:rPr>
      </w:pPr>
      <w:r>
        <w:rPr>
          <w:color w:val="000000"/>
          <w:lang w:val="es-ES"/>
        </w:rPr>
        <w:t>v)</w:t>
      </w:r>
      <w:r w:rsidR="00EF73C2" w:rsidRPr="001B7DE8">
        <w:rPr>
          <w:color w:val="000000"/>
          <w:lang w:val="es-ES"/>
        </w:rPr>
        <w:tab/>
      </w:r>
      <w:r w:rsidR="00176C8D" w:rsidRPr="001B7DE8">
        <w:rPr>
          <w:color w:val="000000"/>
          <w:lang w:val="es-ES"/>
        </w:rPr>
        <w:t>La secretaría sufragará los costos de los servicios</w:t>
      </w:r>
      <w:r w:rsidR="001A286B">
        <w:rPr>
          <w:color w:val="000000"/>
          <w:lang w:val="es-ES"/>
        </w:rPr>
        <w:t xml:space="preserve"> </w:t>
      </w:r>
      <w:r w:rsidR="002610D6" w:rsidRPr="001B7DE8">
        <w:rPr>
          <w:color w:val="000000"/>
          <w:lang w:val="es-ES"/>
        </w:rPr>
        <w:t>locales que contrate la secretaría de la Plataforma</w:t>
      </w:r>
      <w:r w:rsidR="000A3562" w:rsidRPr="001B7DE8">
        <w:rPr>
          <w:color w:val="000000"/>
          <w:lang w:val="es-ES"/>
        </w:rPr>
        <w:t xml:space="preserve"> (</w:t>
      </w:r>
      <w:r w:rsidR="00D62C8D" w:rsidRPr="001B7DE8">
        <w:rPr>
          <w:color w:val="000000"/>
          <w:lang w:val="es-ES"/>
        </w:rPr>
        <w:t>s</w:t>
      </w:r>
      <w:r w:rsidR="000A3562" w:rsidRPr="001B7DE8">
        <w:rPr>
          <w:color w:val="000000"/>
          <w:lang w:val="es-ES"/>
        </w:rPr>
        <w:t>ervic</w:t>
      </w:r>
      <w:r w:rsidR="002610D6" w:rsidRPr="001B7DE8">
        <w:rPr>
          <w:color w:val="000000"/>
          <w:lang w:val="es-ES"/>
        </w:rPr>
        <w:t xml:space="preserve">ios que se contraten fuera de la Oficina de las </w:t>
      </w:r>
      <w:r w:rsidR="001A286B">
        <w:rPr>
          <w:color w:val="000000"/>
          <w:lang w:val="es-ES"/>
        </w:rPr>
        <w:t>Naciones Unidas</w:t>
      </w:r>
      <w:r w:rsidR="002610D6" w:rsidRPr="001B7DE8">
        <w:rPr>
          <w:color w:val="000000"/>
          <w:lang w:val="es-ES"/>
        </w:rPr>
        <w:t xml:space="preserve"> en </w:t>
      </w:r>
      <w:r w:rsidR="00D62C8D" w:rsidRPr="001B7DE8">
        <w:rPr>
          <w:color w:val="000000"/>
          <w:lang w:val="es-ES"/>
        </w:rPr>
        <w:t>Nairobi</w:t>
      </w:r>
      <w:r w:rsidR="000A3562" w:rsidRPr="001B7DE8">
        <w:rPr>
          <w:color w:val="000000"/>
          <w:lang w:val="es-ES"/>
        </w:rPr>
        <w:t xml:space="preserve">). </w:t>
      </w:r>
    </w:p>
    <w:p w:rsidR="00F468AE" w:rsidRPr="001B7DE8" w:rsidRDefault="00065434" w:rsidP="009C0329">
      <w:pPr>
        <w:pStyle w:val="NormalNonumber"/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0"/>
        <w:rPr>
          <w:lang w:val="es-ES"/>
        </w:rPr>
      </w:pPr>
      <w:r w:rsidRPr="001B7DE8">
        <w:rPr>
          <w:lang w:val="es-ES"/>
        </w:rPr>
        <w:t xml:space="preserve">Cuadro </w:t>
      </w:r>
      <w:r w:rsidR="000A3562" w:rsidRPr="001B7DE8">
        <w:rPr>
          <w:lang w:val="es-ES"/>
        </w:rPr>
        <w:t>1</w:t>
      </w:r>
    </w:p>
    <w:p w:rsidR="000A3562" w:rsidRPr="001B7DE8" w:rsidRDefault="000A3562" w:rsidP="009C0329">
      <w:pPr>
        <w:pStyle w:val="NormalNonumber"/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es-ES"/>
        </w:rPr>
      </w:pPr>
      <w:r w:rsidRPr="001B7DE8">
        <w:rPr>
          <w:b/>
          <w:lang w:val="es-ES"/>
        </w:rPr>
        <w:t>Compar</w:t>
      </w:r>
      <w:r w:rsidR="00065434" w:rsidRPr="001B7DE8">
        <w:rPr>
          <w:b/>
          <w:lang w:val="es-ES"/>
        </w:rPr>
        <w:t>ación entre las distintas opciones para el establecimi</w:t>
      </w:r>
      <w:r w:rsidR="00D60A67">
        <w:rPr>
          <w:b/>
          <w:lang w:val="es-ES"/>
        </w:rPr>
        <w:t>ento del fondo fiduciario de la </w:t>
      </w:r>
      <w:r w:rsidR="00D62C8D" w:rsidRPr="001B7DE8">
        <w:rPr>
          <w:b/>
          <w:lang w:val="es-ES"/>
        </w:rPr>
        <w:t>Plat</w:t>
      </w:r>
      <w:r w:rsidR="00065434" w:rsidRPr="001B7DE8">
        <w:rPr>
          <w:b/>
          <w:lang w:val="es-ES"/>
        </w:rPr>
        <w:t>a</w:t>
      </w:r>
      <w:r w:rsidR="00D62C8D" w:rsidRPr="001B7DE8">
        <w:rPr>
          <w:b/>
          <w:lang w:val="es-ES"/>
        </w:rPr>
        <w:t>form</w:t>
      </w:r>
      <w:r w:rsidR="00065434" w:rsidRPr="001B7DE8">
        <w:rPr>
          <w:b/>
          <w:lang w:val="es-ES"/>
        </w:rPr>
        <w:t>a</w:t>
      </w: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83"/>
        <w:gridCol w:w="3283"/>
      </w:tblGrid>
      <w:tr w:rsidR="00065434" w:rsidRPr="001B7DE8" w:rsidTr="000A3562">
        <w:trPr>
          <w:tblHeader/>
        </w:trPr>
        <w:tc>
          <w:tcPr>
            <w:tcW w:w="1701" w:type="dxa"/>
            <w:shd w:val="clear" w:color="auto" w:fill="auto"/>
          </w:tcPr>
          <w:p w:rsidR="000A3562" w:rsidRPr="001B7DE8" w:rsidRDefault="000A3562" w:rsidP="009B17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283" w:type="dxa"/>
            <w:shd w:val="clear" w:color="auto" w:fill="auto"/>
          </w:tcPr>
          <w:p w:rsidR="000A3562" w:rsidRPr="001B7DE8" w:rsidRDefault="0083615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F</w:t>
            </w:r>
            <w:r w:rsidR="0013161C">
              <w:rPr>
                <w:i/>
                <w:sz w:val="18"/>
                <w:szCs w:val="18"/>
                <w:lang w:val="es-ES"/>
              </w:rPr>
              <w:t>ondo fiduciario de socios múltiples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83615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Fondo F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>iduciario del PNUMA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Descrip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>ción</w:t>
            </w:r>
            <w:r w:rsidR="00D60A67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E7761A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Un fondo fiduciario de socios múltiples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Pr="001B7DE8">
              <w:rPr>
                <w:sz w:val="18"/>
                <w:szCs w:val="18"/>
                <w:lang w:val="es-ES"/>
              </w:rPr>
              <w:t xml:space="preserve"> es un mecanismo de financiación interinstitucional de socios y donantes múltiples que permite a los asociados fomentar la coherencia, la coordinación y la eficiencia en el logro de objetivos comunes a nivel de los países o a nivel mundial 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5166CE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Los fondos fiduciarios del PNUMA son cuentas establecidas con un mandato específico o con arreglo a acuerdos específicos para registrar ingresos y gastos de contribuciones voluntarias a los efectos de financiar total o parcialmente el costo de actividades compatibles con los objetivos y las políticas de la organización.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Servic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 xml:space="preserve">ios que se </w:t>
            </w:r>
            <w:r w:rsidR="009B170B">
              <w:rPr>
                <w:i/>
                <w:sz w:val="18"/>
                <w:szCs w:val="18"/>
                <w:lang w:val="es-ES"/>
              </w:rPr>
              <w:t>brindan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 xml:space="preserve"> con cargo a los gastos generales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E7761A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Ejecución de proyectos por los órganos participantes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Pr="001B7DE8">
              <w:rPr>
                <w:sz w:val="18"/>
                <w:szCs w:val="18"/>
                <w:lang w:val="es-ES"/>
              </w:rPr>
              <w:t xml:space="preserve">, responsabilidad fiduciaria, incluida la gestión financiera, la contabilidad, las auditorías, la evaluación, los servicios institucionales, las transacciones administrativas, de recursos humanos y financieras, las cuestiones jurídicas, etc. 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E7761A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Responsabilidad fiduciaria, incluida la contabilidad, la gestión financiera y las auditorías.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sz w:val="18"/>
                <w:szCs w:val="18"/>
                <w:lang w:val="es-ES"/>
              </w:rPr>
              <w:t xml:space="preserve">Servicios institucionales como el procesamiento de </w:t>
            </w:r>
            <w:r w:rsidR="001B7DE8" w:rsidRPr="001B7DE8">
              <w:rPr>
                <w:sz w:val="18"/>
                <w:szCs w:val="18"/>
                <w:lang w:val="es-ES"/>
              </w:rPr>
              <w:t>transacciones administrativas, de recursos humanos y financieros</w:t>
            </w:r>
            <w:r w:rsidR="000A3562" w:rsidRPr="001B7DE8">
              <w:rPr>
                <w:sz w:val="18"/>
                <w:szCs w:val="18"/>
                <w:lang w:val="es-ES"/>
              </w:rPr>
              <w:t>, investiga</w:t>
            </w:r>
            <w:r w:rsidR="001B7DE8" w:rsidRPr="001B7DE8">
              <w:rPr>
                <w:sz w:val="18"/>
                <w:szCs w:val="18"/>
                <w:lang w:val="es-ES"/>
              </w:rPr>
              <w:t>ciones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, </w:t>
            </w:r>
            <w:r w:rsidR="001B7DE8" w:rsidRPr="001B7DE8">
              <w:rPr>
                <w:sz w:val="18"/>
                <w:szCs w:val="18"/>
                <w:lang w:val="es-ES"/>
              </w:rPr>
              <w:t>cuestiones jurídicas</w:t>
            </w:r>
            <w:r w:rsidR="00365B9E" w:rsidRPr="001B7DE8">
              <w:rPr>
                <w:sz w:val="18"/>
                <w:szCs w:val="18"/>
                <w:lang w:val="es-ES"/>
              </w:rPr>
              <w:t>,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etc. </w:t>
            </w:r>
            <w:r w:rsidR="001B7DE8" w:rsidRPr="001B7DE8">
              <w:rPr>
                <w:sz w:val="18"/>
                <w:szCs w:val="18"/>
                <w:lang w:val="es-ES"/>
              </w:rPr>
              <w:t>Servicios directos, tales como la gestión de los recursos humanos y financieros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65434" w:rsidP="00D60A67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Pasos para la puesta en marcha del fondo fiduciario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1.</w:t>
            </w:r>
            <w:r w:rsidR="001A286B">
              <w:rPr>
                <w:sz w:val="18"/>
                <w:szCs w:val="18"/>
                <w:lang w:val="es-ES"/>
              </w:rPr>
              <w:t xml:space="preserve"> 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Decisión del </w:t>
            </w:r>
            <w:r w:rsidRPr="001B7DE8">
              <w:rPr>
                <w:sz w:val="18"/>
                <w:szCs w:val="18"/>
                <w:lang w:val="es-ES"/>
              </w:rPr>
              <w:t>Plenar</w:t>
            </w:r>
            <w:r w:rsidR="005F3435" w:rsidRPr="001B7DE8">
              <w:rPr>
                <w:sz w:val="18"/>
                <w:szCs w:val="18"/>
                <w:lang w:val="es-ES"/>
              </w:rPr>
              <w:t>io y aprobación del mandato del Fondo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2. Memorand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o de entendimiento con órganos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3. </w:t>
            </w:r>
            <w:r w:rsidR="00E7761A" w:rsidRPr="001B7DE8">
              <w:rPr>
                <w:sz w:val="18"/>
                <w:szCs w:val="18"/>
                <w:lang w:val="es-ES"/>
              </w:rPr>
              <w:t>Acuerdo administrativo estándar con el primer donante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2610D6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1. Decisión del P</w:t>
            </w:r>
            <w:r w:rsidR="000A3562" w:rsidRPr="001B7DE8">
              <w:rPr>
                <w:sz w:val="18"/>
                <w:szCs w:val="18"/>
                <w:lang w:val="es-ES"/>
              </w:rPr>
              <w:t>lenar</w:t>
            </w:r>
            <w:r w:rsidRPr="001B7DE8">
              <w:rPr>
                <w:sz w:val="18"/>
                <w:szCs w:val="18"/>
                <w:lang w:val="es-ES"/>
              </w:rPr>
              <w:t>io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2. </w:t>
            </w:r>
            <w:r w:rsidR="002610D6" w:rsidRPr="001B7DE8">
              <w:rPr>
                <w:sz w:val="18"/>
                <w:szCs w:val="18"/>
                <w:lang w:val="es-ES"/>
              </w:rPr>
              <w:t>Mandato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3. Ap</w:t>
            </w:r>
            <w:r w:rsidR="00E7761A" w:rsidRPr="001B7DE8">
              <w:rPr>
                <w:sz w:val="18"/>
                <w:szCs w:val="18"/>
                <w:lang w:val="es-ES"/>
              </w:rPr>
              <w:t>robación por el Director Ejecutivo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4. 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Aprobación por la Asamblea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 para el Medio Ambiente</w:t>
            </w:r>
            <w:r w:rsidR="00D62C8D" w:rsidRPr="001B7DE8">
              <w:rPr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sz w:val="18"/>
                <w:szCs w:val="18"/>
                <w:lang w:val="es-ES"/>
              </w:rPr>
              <w:t>post</w:t>
            </w:r>
            <w:r w:rsidR="009B170B">
              <w:rPr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sz w:val="18"/>
                <w:szCs w:val="18"/>
                <w:lang w:val="es-ES"/>
              </w:rPr>
              <w:t>facto</w:t>
            </w:r>
          </w:p>
          <w:p w:rsidR="000A3562" w:rsidRDefault="000A3562" w:rsidP="009B170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12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5. A</w:t>
            </w:r>
            <w:r w:rsidR="00E7761A" w:rsidRPr="001B7DE8">
              <w:rPr>
                <w:sz w:val="18"/>
                <w:szCs w:val="18"/>
                <w:lang w:val="es-ES"/>
              </w:rPr>
              <w:t>cuerdo entre el PNUMA y los donantes</w:t>
            </w:r>
          </w:p>
          <w:p w:rsidR="009B170B" w:rsidRPr="001B7DE8" w:rsidRDefault="009B170B" w:rsidP="009B170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120"/>
              <w:rPr>
                <w:sz w:val="18"/>
                <w:szCs w:val="18"/>
                <w:lang w:val="es-ES"/>
              </w:rPr>
            </w:pP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65434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lastRenderedPageBreak/>
              <w:t>Tiempo necesario para establecer el fondo</w:t>
            </w:r>
          </w:p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3283" w:type="dxa"/>
            <w:shd w:val="clear" w:color="auto" w:fill="auto"/>
          </w:tcPr>
          <w:p w:rsidR="000A3562" w:rsidRPr="001B7DE8" w:rsidRDefault="005F3435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Entre </w:t>
            </w:r>
            <w:r w:rsidR="000A3562" w:rsidRPr="001B7DE8">
              <w:rPr>
                <w:sz w:val="18"/>
                <w:szCs w:val="18"/>
                <w:lang w:val="es-ES"/>
              </w:rPr>
              <w:t>1</w:t>
            </w:r>
            <w:r w:rsidRPr="001B7DE8">
              <w:rPr>
                <w:sz w:val="18"/>
                <w:szCs w:val="18"/>
                <w:lang w:val="es-ES"/>
              </w:rPr>
              <w:t xml:space="preserve"> y 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2 </w:t>
            </w:r>
            <w:r w:rsidRPr="001B7DE8">
              <w:rPr>
                <w:sz w:val="18"/>
                <w:szCs w:val="18"/>
                <w:lang w:val="es-ES"/>
              </w:rPr>
              <w:t>semanas para establecer el fondo una vez que el Plenario lo haya aprobado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035810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Pasados unos días de la adopción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sz w:val="18"/>
                <w:szCs w:val="18"/>
                <w:lang w:val="es-ES"/>
              </w:rPr>
              <w:t>de la decisión por el Plenario, el Director Ejecutivo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 puede dar su aprobación.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La Asamblea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 sobre el Medio Ambiente se reúne en junio de 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2014 </w:t>
            </w:r>
            <w:r w:rsidR="00E7761A" w:rsidRPr="001B7DE8">
              <w:rPr>
                <w:sz w:val="18"/>
                <w:szCs w:val="18"/>
                <w:lang w:val="es-ES"/>
              </w:rPr>
              <w:t xml:space="preserve">y puede dar su aprobación </w:t>
            </w:r>
            <w:r w:rsidR="000A3562" w:rsidRPr="001B7DE8">
              <w:rPr>
                <w:sz w:val="18"/>
                <w:szCs w:val="18"/>
                <w:lang w:val="es-ES"/>
              </w:rPr>
              <w:t>post facto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Go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>bernanza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5F3435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Representantes autorizados del </w:t>
            </w:r>
            <w:r w:rsidR="000A3562" w:rsidRPr="001B7DE8">
              <w:rPr>
                <w:sz w:val="18"/>
                <w:szCs w:val="18"/>
                <w:lang w:val="es-ES"/>
              </w:rPr>
              <w:t>Plenar</w:t>
            </w:r>
            <w:r w:rsidRPr="001B7DE8">
              <w:rPr>
                <w:sz w:val="18"/>
                <w:szCs w:val="18"/>
                <w:lang w:val="es-ES"/>
              </w:rPr>
              <w:t xml:space="preserve">io y órganos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0A3562" w:rsidP="009B17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Plenar</w:t>
            </w:r>
            <w:r w:rsidR="005F3435" w:rsidRPr="001B7DE8">
              <w:rPr>
                <w:sz w:val="18"/>
                <w:szCs w:val="18"/>
                <w:lang w:val="es-ES"/>
              </w:rPr>
              <w:t>io</w:t>
            </w:r>
            <w:r w:rsidRPr="001B7DE8">
              <w:rPr>
                <w:sz w:val="18"/>
                <w:szCs w:val="18"/>
                <w:lang w:val="es-ES"/>
              </w:rPr>
              <w:t xml:space="preserve"> (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y, por ejemplo, por intermedio de la Mesa, si así se delegase </w:t>
            </w:r>
            <w:r w:rsidRPr="001B7DE8">
              <w:rPr>
                <w:sz w:val="18"/>
                <w:szCs w:val="18"/>
                <w:lang w:val="es-ES"/>
              </w:rPr>
              <w:t>)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; la Asamblea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 sobre el Medio Ambiente supervisar</w:t>
            </w:r>
            <w:r w:rsidR="009B170B">
              <w:rPr>
                <w:sz w:val="18"/>
                <w:szCs w:val="18"/>
                <w:lang w:val="es-ES"/>
              </w:rPr>
              <w:t>á</w:t>
            </w:r>
            <w:r w:rsidR="005F3435" w:rsidRPr="001B7DE8">
              <w:rPr>
                <w:sz w:val="18"/>
                <w:szCs w:val="18"/>
                <w:lang w:val="es-ES"/>
              </w:rPr>
              <w:t xml:space="preserve"> todos los fondos fiduciarios del PNUMA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Op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>ortunidades de cooperación interinstitucional</w:t>
            </w:r>
          </w:p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Sí</w:t>
            </w:r>
          </w:p>
          <w:p w:rsidR="000A3562" w:rsidRPr="001B7DE8" w:rsidRDefault="00035810" w:rsidP="009B170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Sobre la base de las ventajas comparativas, los órganos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Pr="001B7DE8">
              <w:rPr>
                <w:sz w:val="18"/>
                <w:szCs w:val="18"/>
                <w:lang w:val="es-ES"/>
              </w:rPr>
              <w:t xml:space="preserve"> ejecutan programas/actividades aprobadas por el Plenario; se ofrece la oportunidad a los órganos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Pr="001B7DE8">
              <w:rPr>
                <w:sz w:val="18"/>
                <w:szCs w:val="18"/>
                <w:lang w:val="es-ES"/>
              </w:rPr>
              <w:t xml:space="preserve"> de participar en la configuración y </w:t>
            </w:r>
            <w:r w:rsidR="009B170B">
              <w:rPr>
                <w:sz w:val="18"/>
                <w:szCs w:val="18"/>
                <w:lang w:val="es-ES"/>
              </w:rPr>
              <w:t>desarrollo del F</w:t>
            </w:r>
            <w:r w:rsidRPr="001B7DE8">
              <w:rPr>
                <w:sz w:val="18"/>
                <w:szCs w:val="18"/>
                <w:lang w:val="es-ES"/>
              </w:rPr>
              <w:t>ondo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Sí</w:t>
            </w:r>
          </w:p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El PNUMA puede autorizar a otros organismos a realizar actividades por intermedio de acuerdos de cooperación interinstitucional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65434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Cuantía de los fondos administrados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0A3562" w:rsidP="004F168F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7</w:t>
            </w:r>
            <w:r w:rsidR="004F168F">
              <w:rPr>
                <w:sz w:val="18"/>
                <w:szCs w:val="18"/>
                <w:lang w:val="es-ES"/>
              </w:rPr>
              <w:t>.</w:t>
            </w:r>
            <w:r w:rsidR="00933D89" w:rsidRPr="001B7DE8">
              <w:rPr>
                <w:sz w:val="18"/>
                <w:szCs w:val="18"/>
                <w:lang w:val="es-ES"/>
              </w:rPr>
              <w:t>000 millones de dólares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Durante 2012 se recibieron </w:t>
            </w:r>
            <w:r w:rsidR="000A3562" w:rsidRPr="001B7DE8">
              <w:rPr>
                <w:sz w:val="18"/>
                <w:szCs w:val="18"/>
                <w:lang w:val="es-ES"/>
              </w:rPr>
              <w:t>660 millon</w:t>
            </w:r>
            <w:r w:rsidRPr="001B7DE8">
              <w:rPr>
                <w:sz w:val="18"/>
                <w:szCs w:val="18"/>
                <w:lang w:val="es-ES"/>
              </w:rPr>
              <w:t>es de dólares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N</w:t>
            </w:r>
            <w:r w:rsidR="00065434" w:rsidRPr="001B7DE8">
              <w:rPr>
                <w:i/>
                <w:sz w:val="18"/>
                <w:szCs w:val="18"/>
                <w:lang w:val="es-ES"/>
              </w:rPr>
              <w:t>úmero de fondos fiduciarios activos administrados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62</w:t>
            </w:r>
            <w:r w:rsidR="007D1BCC" w:rsidRPr="001B7DE8">
              <w:rPr>
                <w:sz w:val="18"/>
                <w:szCs w:val="18"/>
                <w:lang w:val="es-ES"/>
              </w:rPr>
              <w:t>,</w:t>
            </w:r>
            <w:r w:rsidRPr="001B7DE8">
              <w:rPr>
                <w:sz w:val="18"/>
                <w:szCs w:val="18"/>
                <w:lang w:val="es-ES"/>
              </w:rPr>
              <w:t xml:space="preserve"> 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en los que </w:t>
            </w:r>
            <w:r w:rsidR="005F3435" w:rsidRPr="001B7DE8">
              <w:rPr>
                <w:sz w:val="18"/>
                <w:szCs w:val="18"/>
                <w:lang w:val="es-ES"/>
              </w:rPr>
              <w:t>participan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 más de </w:t>
            </w:r>
            <w:r w:rsidRPr="001B7DE8">
              <w:rPr>
                <w:sz w:val="18"/>
                <w:szCs w:val="18"/>
                <w:lang w:val="es-ES"/>
              </w:rPr>
              <w:t xml:space="preserve">40 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órganos y departamentos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A finales de 202 había</w:t>
            </w:r>
            <w:r w:rsidR="009B170B">
              <w:rPr>
                <w:sz w:val="18"/>
                <w:szCs w:val="18"/>
                <w:lang w:val="es-ES"/>
              </w:rPr>
              <w:t xml:space="preserve"> 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123 </w:t>
            </w:r>
            <w:r w:rsidRPr="001B7DE8">
              <w:rPr>
                <w:sz w:val="18"/>
                <w:szCs w:val="18"/>
                <w:lang w:val="es-ES"/>
              </w:rPr>
              <w:t>fondos fiduciarios activos</w:t>
            </w:r>
          </w:p>
          <w:p w:rsidR="000A3562" w:rsidRPr="001B7DE8" w:rsidRDefault="000A3562" w:rsidP="009C032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2868EA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Sistemas vigentes de gestión de fondos fiduciarios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Sí</w:t>
            </w:r>
          </w:p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Toda la información financiera acerca del fondo puede consultarse en el sitio web del dominio público </w:t>
            </w:r>
            <w:r w:rsidR="000A3562" w:rsidRPr="001B7DE8">
              <w:rPr>
                <w:sz w:val="18"/>
                <w:szCs w:val="18"/>
                <w:lang w:val="es-ES"/>
              </w:rPr>
              <w:t>GATEWAY (http://mptf.undp.org)</w:t>
            </w:r>
          </w:p>
        </w:tc>
        <w:tc>
          <w:tcPr>
            <w:tcW w:w="3283" w:type="dxa"/>
            <w:shd w:val="clear" w:color="auto" w:fill="auto"/>
          </w:tcPr>
          <w:p w:rsidR="000A3562" w:rsidRPr="001B7DE8" w:rsidRDefault="00933D89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Sí</w:t>
            </w:r>
          </w:p>
          <w:p w:rsidR="000A356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 xml:space="preserve">IMIS </w:t>
            </w:r>
            <w:r w:rsidR="00933D89" w:rsidRPr="001B7DE8">
              <w:rPr>
                <w:sz w:val="18"/>
                <w:szCs w:val="18"/>
                <w:lang w:val="es-ES"/>
              </w:rPr>
              <w:t>y</w:t>
            </w:r>
            <w:r w:rsidR="007D1BCC" w:rsidRPr="001B7DE8">
              <w:rPr>
                <w:sz w:val="18"/>
                <w:szCs w:val="18"/>
                <w:lang w:val="es-ES"/>
              </w:rPr>
              <w:t>,</w:t>
            </w:r>
            <w:r w:rsidRPr="001B7DE8">
              <w:rPr>
                <w:sz w:val="18"/>
                <w:szCs w:val="18"/>
                <w:lang w:val="es-ES"/>
              </w:rPr>
              <w:t xml:space="preserve"> 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a partir del 1 de julio de </w:t>
            </w:r>
            <w:r w:rsidRPr="001B7DE8">
              <w:rPr>
                <w:sz w:val="18"/>
                <w:szCs w:val="18"/>
                <w:lang w:val="es-ES"/>
              </w:rPr>
              <w:t>2014</w:t>
            </w:r>
            <w:r w:rsidR="007D1BCC" w:rsidRPr="001B7DE8">
              <w:rPr>
                <w:sz w:val="18"/>
                <w:szCs w:val="18"/>
                <w:lang w:val="es-ES"/>
              </w:rPr>
              <w:t>,</w:t>
            </w:r>
            <w:r w:rsidRPr="001B7DE8">
              <w:rPr>
                <w:sz w:val="18"/>
                <w:szCs w:val="18"/>
                <w:lang w:val="es-ES"/>
              </w:rPr>
              <w:t xml:space="preserve"> U</w:t>
            </w:r>
            <w:r w:rsidR="007D1BCC" w:rsidRPr="001B7DE8">
              <w:rPr>
                <w:sz w:val="18"/>
                <w:szCs w:val="18"/>
                <w:lang w:val="es-ES"/>
              </w:rPr>
              <w:t>moja</w:t>
            </w:r>
            <w:r w:rsidRPr="001B7DE8">
              <w:rPr>
                <w:sz w:val="18"/>
                <w:szCs w:val="18"/>
                <w:lang w:val="es-ES"/>
              </w:rPr>
              <w:t xml:space="preserve"> (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requisito para garantizar el cumplimiento de las Normas Internacionales de Contabilidad para el Sector Público a partir del </w:t>
            </w:r>
            <w:r w:rsidRPr="001B7DE8">
              <w:rPr>
                <w:sz w:val="18"/>
                <w:szCs w:val="18"/>
                <w:lang w:val="es-ES"/>
              </w:rPr>
              <w:t>1</w:t>
            </w:r>
            <w:r w:rsidR="007D1BCC" w:rsidRPr="001B7DE8">
              <w:rPr>
                <w:sz w:val="18"/>
                <w:szCs w:val="18"/>
                <w:lang w:val="es-ES"/>
              </w:rPr>
              <w:t xml:space="preserve"> </w:t>
            </w:r>
            <w:r w:rsidR="00933D89" w:rsidRPr="001B7DE8">
              <w:rPr>
                <w:sz w:val="18"/>
                <w:szCs w:val="18"/>
                <w:lang w:val="es-ES"/>
              </w:rPr>
              <w:t xml:space="preserve">de enero de </w:t>
            </w:r>
            <w:r w:rsidRPr="001B7DE8">
              <w:rPr>
                <w:sz w:val="18"/>
                <w:szCs w:val="18"/>
                <w:lang w:val="es-ES"/>
              </w:rPr>
              <w:t>2014)</w:t>
            </w:r>
          </w:p>
        </w:tc>
      </w:tr>
      <w:tr w:rsidR="00065434" w:rsidRPr="001B7DE8" w:rsidTr="000A3562">
        <w:tc>
          <w:tcPr>
            <w:tcW w:w="1701" w:type="dxa"/>
            <w:shd w:val="clear" w:color="auto" w:fill="auto"/>
          </w:tcPr>
          <w:p w:rsidR="000A3562" w:rsidRPr="001B7DE8" w:rsidRDefault="002868EA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i/>
                <w:sz w:val="18"/>
                <w:szCs w:val="18"/>
                <w:lang w:val="es-ES"/>
              </w:rPr>
            </w:pPr>
            <w:r w:rsidRPr="001B7DE8">
              <w:rPr>
                <w:i/>
                <w:sz w:val="18"/>
                <w:szCs w:val="18"/>
                <w:lang w:val="es-ES"/>
              </w:rPr>
              <w:t>Total de gastos</w:t>
            </w:r>
            <w:r w:rsidR="000A3562" w:rsidRPr="001B7DE8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</w:tcPr>
          <w:p w:rsidR="00375882" w:rsidRPr="001B7DE8" w:rsidRDefault="000A356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8</w:t>
            </w:r>
            <w:r w:rsidR="00DE65C4" w:rsidRPr="001B7DE8">
              <w:rPr>
                <w:sz w:val="18"/>
                <w:szCs w:val="18"/>
                <w:lang w:val="es-ES"/>
              </w:rPr>
              <w:t>%</w:t>
            </w:r>
            <w:r w:rsidRPr="001B7DE8">
              <w:rPr>
                <w:sz w:val="18"/>
                <w:szCs w:val="18"/>
                <w:lang w:val="es-ES"/>
              </w:rPr>
              <w:t xml:space="preserve"> (1</w:t>
            </w:r>
            <w:r w:rsidR="00DE65C4" w:rsidRPr="001B7DE8">
              <w:rPr>
                <w:sz w:val="18"/>
                <w:szCs w:val="18"/>
                <w:lang w:val="es-ES"/>
              </w:rPr>
              <w:t>% para el agente administrativ</w:t>
            </w:r>
            <w:r w:rsidR="000C7D06" w:rsidRPr="001B7DE8">
              <w:rPr>
                <w:sz w:val="18"/>
                <w:szCs w:val="18"/>
                <w:lang w:val="es-ES"/>
              </w:rPr>
              <w:t>o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 del fondo </w:t>
            </w:r>
            <w:r w:rsidR="000C7D06" w:rsidRPr="001B7DE8">
              <w:rPr>
                <w:sz w:val="18"/>
                <w:szCs w:val="18"/>
                <w:lang w:val="es-ES"/>
              </w:rPr>
              <w:t>fiduciario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 de socio </w:t>
            </w:r>
            <w:r w:rsidR="000C7D06" w:rsidRPr="001B7DE8">
              <w:rPr>
                <w:sz w:val="18"/>
                <w:szCs w:val="18"/>
                <w:lang w:val="es-ES"/>
              </w:rPr>
              <w:t>múltiples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 y </w:t>
            </w:r>
            <w:r w:rsidRPr="001B7DE8">
              <w:rPr>
                <w:sz w:val="18"/>
                <w:szCs w:val="18"/>
                <w:lang w:val="es-ES"/>
              </w:rPr>
              <w:t>7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% para la ejecución por parte de órganos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Pr="001B7DE8">
              <w:rPr>
                <w:sz w:val="18"/>
                <w:szCs w:val="18"/>
                <w:lang w:val="es-ES"/>
              </w:rPr>
              <w:t>)</w:t>
            </w:r>
            <w:r w:rsidR="007D1BCC" w:rsidRPr="001B7DE8">
              <w:rPr>
                <w:sz w:val="18"/>
                <w:szCs w:val="18"/>
                <w:lang w:val="es-ES"/>
              </w:rPr>
              <w:t>,</w:t>
            </w:r>
            <w:r w:rsidRPr="001B7DE8">
              <w:rPr>
                <w:sz w:val="18"/>
                <w:szCs w:val="18"/>
                <w:lang w:val="es-ES"/>
              </w:rPr>
              <w:t xml:space="preserve"> </w:t>
            </w:r>
            <w:r w:rsidR="00DE65C4" w:rsidRPr="001B7DE8">
              <w:rPr>
                <w:sz w:val="18"/>
                <w:szCs w:val="18"/>
                <w:lang w:val="es-ES"/>
              </w:rPr>
              <w:t>más gastos directos</w:t>
            </w:r>
            <w:r w:rsidR="00375882" w:rsidRPr="001B7DE8">
              <w:rPr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sz w:val="18"/>
                <w:szCs w:val="18"/>
                <w:lang w:val="es-ES"/>
              </w:rPr>
              <w:t>(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3% </w:t>
            </w:r>
            <w:r w:rsidR="009B170B">
              <w:rPr>
                <w:sz w:val="18"/>
                <w:szCs w:val="18"/>
                <w:lang w:val="es-ES"/>
              </w:rPr>
              <w:t>en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 promedio</w:t>
            </w:r>
            <w:r w:rsidRPr="001B7DE8">
              <w:rPr>
                <w:sz w:val="18"/>
                <w:szCs w:val="18"/>
                <w:lang w:val="es-ES"/>
              </w:rPr>
              <w:t xml:space="preserve">) </w:t>
            </w:r>
            <w:r w:rsidR="00DE65C4" w:rsidRPr="001B7DE8">
              <w:rPr>
                <w:sz w:val="18"/>
                <w:szCs w:val="18"/>
                <w:lang w:val="es-ES"/>
              </w:rPr>
              <w:t>p</w:t>
            </w:r>
            <w:r w:rsidR="009B170B">
              <w:rPr>
                <w:sz w:val="18"/>
                <w:szCs w:val="18"/>
                <w:lang w:val="es-ES"/>
              </w:rPr>
              <w:t>ara sufragar las</w:t>
            </w:r>
            <w:r w:rsidR="00DE65C4" w:rsidRPr="001B7DE8">
              <w:rPr>
                <w:sz w:val="18"/>
                <w:szCs w:val="18"/>
                <w:lang w:val="es-ES"/>
              </w:rPr>
              <w:t xml:space="preserve"> func</w:t>
            </w:r>
            <w:r w:rsidR="009B170B">
              <w:rPr>
                <w:sz w:val="18"/>
                <w:szCs w:val="18"/>
                <w:lang w:val="es-ES"/>
              </w:rPr>
              <w:t>iones de secretaría del F</w:t>
            </w:r>
            <w:r w:rsidR="00DE65C4" w:rsidRPr="001B7DE8">
              <w:rPr>
                <w:sz w:val="18"/>
                <w:szCs w:val="18"/>
                <w:lang w:val="es-ES"/>
              </w:rPr>
              <w:t>ondo que desempeñen 2 funcionarios</w:t>
            </w:r>
            <w:r w:rsidR="00774D4E" w:rsidRPr="001B7DE8">
              <w:rPr>
                <w:sz w:val="18"/>
                <w:szCs w:val="18"/>
                <w:lang w:val="es-ES"/>
              </w:rPr>
              <w:t xml:space="preserve"> (financi</w:t>
            </w:r>
            <w:r w:rsidR="00DE65C4" w:rsidRPr="001B7DE8">
              <w:rPr>
                <w:sz w:val="18"/>
                <w:szCs w:val="18"/>
                <w:lang w:val="es-ES"/>
              </w:rPr>
              <w:t>era y administrativa</w:t>
            </w:r>
            <w:r w:rsidR="00774D4E" w:rsidRPr="001B7DE8">
              <w:rPr>
                <w:sz w:val="18"/>
                <w:szCs w:val="18"/>
                <w:lang w:val="es-ES"/>
              </w:rPr>
              <w:t xml:space="preserve">), </w:t>
            </w:r>
            <w:r w:rsidR="000C7D06" w:rsidRPr="001B7DE8">
              <w:rPr>
                <w:sz w:val="18"/>
                <w:szCs w:val="18"/>
                <w:lang w:val="es-ES"/>
              </w:rPr>
              <w:t xml:space="preserve">de la secretaría de la </w:t>
            </w:r>
            <w:r w:rsidR="00E135F5" w:rsidRPr="001B7DE8">
              <w:rPr>
                <w:sz w:val="18"/>
                <w:szCs w:val="18"/>
                <w:lang w:val="es-ES"/>
              </w:rPr>
              <w:t>Plat</w:t>
            </w:r>
            <w:r w:rsidR="000C7D06" w:rsidRPr="001B7DE8">
              <w:rPr>
                <w:sz w:val="18"/>
                <w:szCs w:val="18"/>
                <w:lang w:val="es-ES"/>
              </w:rPr>
              <w:t>a</w:t>
            </w:r>
            <w:r w:rsidR="00E135F5" w:rsidRPr="001B7DE8">
              <w:rPr>
                <w:sz w:val="18"/>
                <w:szCs w:val="18"/>
                <w:lang w:val="es-ES"/>
              </w:rPr>
              <w:t>form</w:t>
            </w:r>
            <w:r w:rsidR="000C7D06" w:rsidRPr="001B7DE8">
              <w:rPr>
                <w:sz w:val="18"/>
                <w:szCs w:val="18"/>
                <w:lang w:val="es-ES"/>
              </w:rPr>
              <w:t xml:space="preserve">a; el </w:t>
            </w:r>
            <w:r w:rsidR="009B170B" w:rsidRPr="001B7DE8">
              <w:rPr>
                <w:sz w:val="18"/>
                <w:szCs w:val="18"/>
                <w:lang w:val="es-ES"/>
              </w:rPr>
              <w:t xml:space="preserve">Fondo Fiduciario </w:t>
            </w:r>
            <w:r w:rsidR="000C7D06" w:rsidRPr="001B7DE8">
              <w:rPr>
                <w:sz w:val="18"/>
                <w:szCs w:val="18"/>
                <w:lang w:val="es-ES"/>
              </w:rPr>
              <w:t>asumirá la porción restante del costo de estos puestos</w:t>
            </w:r>
          </w:p>
          <w:p w:rsidR="00375882" w:rsidRPr="001B7DE8" w:rsidRDefault="0037588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3283" w:type="dxa"/>
            <w:shd w:val="clear" w:color="auto" w:fill="auto"/>
          </w:tcPr>
          <w:p w:rsidR="000A3562" w:rsidRPr="001B7DE8" w:rsidRDefault="00065434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Opción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2</w:t>
            </w:r>
            <w:r w:rsidR="007D1BCC" w:rsidRPr="001B7DE8">
              <w:rPr>
                <w:sz w:val="18"/>
                <w:szCs w:val="18"/>
                <w:lang w:val="es-ES"/>
              </w:rPr>
              <w:t>.</w:t>
            </w:r>
            <w:r w:rsidR="000A3562" w:rsidRPr="001B7DE8">
              <w:rPr>
                <w:sz w:val="18"/>
                <w:szCs w:val="18"/>
                <w:lang w:val="es-ES"/>
              </w:rPr>
              <w:t>A</w:t>
            </w:r>
            <w:r w:rsidR="007D1BCC" w:rsidRPr="001B7DE8">
              <w:rPr>
                <w:sz w:val="18"/>
                <w:szCs w:val="18"/>
                <w:lang w:val="es-ES"/>
              </w:rPr>
              <w:t>: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13</w:t>
            </w:r>
            <w:r w:rsidR="000C7D06" w:rsidRPr="001B7DE8">
              <w:rPr>
                <w:sz w:val="18"/>
                <w:szCs w:val="18"/>
                <w:lang w:val="es-ES"/>
              </w:rPr>
              <w:t>%</w:t>
            </w:r>
            <w:r w:rsidR="00AC2A97" w:rsidRPr="001B7DE8">
              <w:rPr>
                <w:sz w:val="18"/>
                <w:szCs w:val="18"/>
                <w:lang w:val="es-ES"/>
              </w:rPr>
              <w:t>,</w:t>
            </w:r>
            <w:r w:rsidR="008E54AC" w:rsidRPr="001B7DE8">
              <w:rPr>
                <w:sz w:val="18"/>
                <w:szCs w:val="18"/>
                <w:lang w:val="es-ES"/>
              </w:rPr>
              <w:t xml:space="preserve"> </w:t>
            </w:r>
            <w:r w:rsidR="000C7D06" w:rsidRPr="001B7DE8">
              <w:rPr>
                <w:sz w:val="18"/>
                <w:szCs w:val="18"/>
                <w:lang w:val="es-ES"/>
              </w:rPr>
              <w:t xml:space="preserve">que abarca toda la administración del </w:t>
            </w:r>
            <w:r w:rsidR="009B170B" w:rsidRPr="001B7DE8">
              <w:rPr>
                <w:sz w:val="18"/>
                <w:szCs w:val="18"/>
                <w:lang w:val="es-ES"/>
              </w:rPr>
              <w:t xml:space="preserve">Fondo Fiduciario </w:t>
            </w:r>
            <w:r w:rsidR="000C7D06" w:rsidRPr="001B7DE8">
              <w:rPr>
                <w:sz w:val="18"/>
                <w:szCs w:val="18"/>
                <w:lang w:val="es-ES"/>
              </w:rPr>
              <w:t xml:space="preserve">e incluye </w:t>
            </w:r>
            <w:r w:rsidR="005850FD">
              <w:rPr>
                <w:sz w:val="18"/>
                <w:szCs w:val="18"/>
                <w:lang w:val="es-ES"/>
              </w:rPr>
              <w:t xml:space="preserve">la financiación de </w:t>
            </w:r>
            <w:r w:rsidR="000C7D06" w:rsidRPr="001B7DE8">
              <w:rPr>
                <w:sz w:val="18"/>
                <w:szCs w:val="18"/>
                <w:lang w:val="es-ES"/>
              </w:rPr>
              <w:t>2 puestos de secretaría</w:t>
            </w:r>
            <w:r w:rsidR="00375882" w:rsidRPr="001B7DE8">
              <w:rPr>
                <w:sz w:val="18"/>
                <w:szCs w:val="18"/>
                <w:lang w:val="es-ES"/>
              </w:rPr>
              <w:t xml:space="preserve"> (</w:t>
            </w:r>
            <w:r w:rsidR="000C7D06" w:rsidRPr="001B7DE8">
              <w:rPr>
                <w:sz w:val="18"/>
                <w:szCs w:val="18"/>
                <w:lang w:val="es-ES"/>
              </w:rPr>
              <w:t>financiero y administrativo</w:t>
            </w:r>
            <w:r w:rsidR="00375882" w:rsidRPr="001B7DE8">
              <w:rPr>
                <w:sz w:val="18"/>
                <w:szCs w:val="18"/>
                <w:lang w:val="es-ES"/>
              </w:rPr>
              <w:t>)</w:t>
            </w:r>
          </w:p>
          <w:p w:rsidR="000E4EF4" w:rsidRPr="001B7DE8" w:rsidRDefault="00065434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Opción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2</w:t>
            </w:r>
            <w:r w:rsidR="007D1BCC" w:rsidRPr="001B7DE8">
              <w:rPr>
                <w:sz w:val="18"/>
                <w:szCs w:val="18"/>
                <w:lang w:val="es-ES"/>
              </w:rPr>
              <w:t>.</w:t>
            </w:r>
            <w:r w:rsidR="000A3562" w:rsidRPr="001B7DE8">
              <w:rPr>
                <w:sz w:val="18"/>
                <w:szCs w:val="18"/>
                <w:lang w:val="es-ES"/>
              </w:rPr>
              <w:t>B</w:t>
            </w:r>
            <w:r w:rsidR="007D1BCC" w:rsidRPr="001B7DE8">
              <w:rPr>
                <w:sz w:val="18"/>
                <w:szCs w:val="18"/>
                <w:lang w:val="es-ES"/>
              </w:rPr>
              <w:t>: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8</w:t>
            </w:r>
            <w:r w:rsidR="000C7D06" w:rsidRPr="001B7DE8">
              <w:rPr>
                <w:sz w:val="18"/>
                <w:szCs w:val="18"/>
                <w:lang w:val="es-ES"/>
              </w:rPr>
              <w:t>%</w:t>
            </w:r>
            <w:r w:rsidR="00AC2A97" w:rsidRPr="001B7DE8">
              <w:rPr>
                <w:sz w:val="18"/>
                <w:szCs w:val="18"/>
                <w:lang w:val="es-ES"/>
              </w:rPr>
              <w:t>,</w:t>
            </w:r>
            <w:r w:rsidR="008E54AC" w:rsidRPr="001B7DE8">
              <w:rPr>
                <w:sz w:val="18"/>
                <w:szCs w:val="18"/>
                <w:lang w:val="es-ES"/>
              </w:rPr>
              <w:t xml:space="preserve"> 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que abarca toda la administración del </w:t>
            </w:r>
            <w:r w:rsidR="009B170B" w:rsidRPr="001B7DE8">
              <w:rPr>
                <w:sz w:val="18"/>
                <w:szCs w:val="18"/>
                <w:lang w:val="es-ES"/>
              </w:rPr>
              <w:t xml:space="preserve">Fondo Fiduciario 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e incluye </w:t>
            </w:r>
            <w:r w:rsidR="005850FD">
              <w:rPr>
                <w:sz w:val="18"/>
                <w:szCs w:val="18"/>
                <w:lang w:val="es-ES"/>
              </w:rPr>
              <w:t xml:space="preserve">la financiación de </w:t>
            </w:r>
            <w:r w:rsidR="000E4EF4" w:rsidRPr="001B7DE8">
              <w:rPr>
                <w:sz w:val="18"/>
                <w:szCs w:val="18"/>
                <w:lang w:val="es-ES"/>
              </w:rPr>
              <w:t>2 puestos de secretaría (financiero y administrativo)</w:t>
            </w:r>
          </w:p>
          <w:p w:rsidR="000A3562" w:rsidRPr="001B7DE8" w:rsidRDefault="00065434" w:rsidP="005850FD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 w:line="276" w:lineRule="auto"/>
              <w:rPr>
                <w:sz w:val="18"/>
                <w:szCs w:val="18"/>
                <w:lang w:val="es-ES"/>
              </w:rPr>
            </w:pPr>
            <w:r w:rsidRPr="001B7DE8">
              <w:rPr>
                <w:sz w:val="18"/>
                <w:szCs w:val="18"/>
                <w:lang w:val="es-ES"/>
              </w:rPr>
              <w:t>Opción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2</w:t>
            </w:r>
            <w:r w:rsidR="007D1BCC" w:rsidRPr="001B7DE8">
              <w:rPr>
                <w:sz w:val="18"/>
                <w:szCs w:val="18"/>
                <w:lang w:val="es-ES"/>
              </w:rPr>
              <w:t>.</w:t>
            </w:r>
            <w:r w:rsidR="000A3562" w:rsidRPr="001B7DE8">
              <w:rPr>
                <w:sz w:val="18"/>
                <w:szCs w:val="18"/>
                <w:lang w:val="es-ES"/>
              </w:rPr>
              <w:t>C</w:t>
            </w:r>
            <w:r w:rsidR="007D1BCC" w:rsidRPr="001B7DE8">
              <w:rPr>
                <w:sz w:val="18"/>
                <w:szCs w:val="18"/>
                <w:lang w:val="es-ES"/>
              </w:rPr>
              <w:t>: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</w:t>
            </w:r>
            <w:r w:rsidR="007D1BCC" w:rsidRPr="001B7DE8">
              <w:rPr>
                <w:sz w:val="18"/>
                <w:szCs w:val="18"/>
                <w:lang w:val="es-ES"/>
              </w:rPr>
              <w:t>1</w:t>
            </w:r>
            <w:r w:rsidR="000A3562" w:rsidRPr="001B7DE8">
              <w:rPr>
                <w:sz w:val="18"/>
                <w:szCs w:val="18"/>
                <w:lang w:val="es-ES"/>
              </w:rPr>
              <w:t>3</w:t>
            </w:r>
            <w:r w:rsidR="000E4EF4" w:rsidRPr="001B7DE8">
              <w:rPr>
                <w:sz w:val="18"/>
                <w:szCs w:val="18"/>
                <w:lang w:val="es-ES"/>
              </w:rPr>
              <w:t>%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(4</w:t>
            </w:r>
            <w:r w:rsidR="000E4EF4" w:rsidRPr="001B7DE8">
              <w:rPr>
                <w:sz w:val="18"/>
                <w:szCs w:val="18"/>
                <w:lang w:val="es-ES"/>
              </w:rPr>
              <w:t>,</w:t>
            </w:r>
            <w:r w:rsidR="000A3562" w:rsidRPr="001B7DE8">
              <w:rPr>
                <w:sz w:val="18"/>
                <w:szCs w:val="18"/>
                <w:lang w:val="es-ES"/>
              </w:rPr>
              <w:t>3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%, gastos administrativos institucionales del PNUMA/Oficina de las </w:t>
            </w:r>
            <w:r w:rsidR="001A286B">
              <w:rPr>
                <w:sz w:val="18"/>
                <w:szCs w:val="18"/>
                <w:lang w:val="es-ES"/>
              </w:rPr>
              <w:t>Naciones Unidas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 en </w:t>
            </w:r>
            <w:r w:rsidR="007D1BCC" w:rsidRPr="001B7DE8">
              <w:rPr>
                <w:sz w:val="18"/>
                <w:szCs w:val="18"/>
                <w:lang w:val="es-ES"/>
              </w:rPr>
              <w:t>Nairobi;</w:t>
            </w:r>
            <w:r w:rsidR="000A3562" w:rsidRPr="001B7DE8">
              <w:rPr>
                <w:sz w:val="18"/>
                <w:szCs w:val="18"/>
                <w:lang w:val="es-ES"/>
              </w:rPr>
              <w:t xml:space="preserve"> 8</w:t>
            </w:r>
            <w:r w:rsidR="000E4EF4" w:rsidRPr="001B7DE8">
              <w:rPr>
                <w:sz w:val="18"/>
                <w:szCs w:val="18"/>
                <w:lang w:val="es-ES"/>
              </w:rPr>
              <w:t>,</w:t>
            </w:r>
            <w:r w:rsidR="000A3562" w:rsidRPr="001B7DE8">
              <w:rPr>
                <w:sz w:val="18"/>
                <w:szCs w:val="18"/>
                <w:lang w:val="es-ES"/>
              </w:rPr>
              <w:t>7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% devuelto a la secretaría de la </w:t>
            </w:r>
            <w:r w:rsidR="007D1BCC" w:rsidRPr="001B7DE8">
              <w:rPr>
                <w:sz w:val="18"/>
                <w:szCs w:val="18"/>
                <w:lang w:val="es-ES"/>
              </w:rPr>
              <w:t>Plat</w:t>
            </w:r>
            <w:r w:rsidR="000E4EF4" w:rsidRPr="001B7DE8">
              <w:rPr>
                <w:sz w:val="18"/>
                <w:szCs w:val="18"/>
                <w:lang w:val="es-ES"/>
              </w:rPr>
              <w:t>a</w:t>
            </w:r>
            <w:r w:rsidR="007D1BCC" w:rsidRPr="001B7DE8">
              <w:rPr>
                <w:sz w:val="18"/>
                <w:szCs w:val="18"/>
                <w:lang w:val="es-ES"/>
              </w:rPr>
              <w:t>form</w:t>
            </w:r>
            <w:r w:rsidR="000E4EF4" w:rsidRPr="001B7DE8">
              <w:rPr>
                <w:sz w:val="18"/>
                <w:szCs w:val="18"/>
                <w:lang w:val="es-ES"/>
              </w:rPr>
              <w:t>a</w:t>
            </w:r>
            <w:r w:rsidR="007D1BCC" w:rsidRPr="001B7DE8">
              <w:rPr>
                <w:sz w:val="18"/>
                <w:szCs w:val="18"/>
                <w:lang w:val="es-ES"/>
              </w:rPr>
              <w:t xml:space="preserve"> </w:t>
            </w:r>
            <w:r w:rsidR="005850FD">
              <w:rPr>
                <w:sz w:val="18"/>
                <w:szCs w:val="18"/>
                <w:lang w:val="es-ES"/>
              </w:rPr>
              <w:t>en forma de gastos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 financieros y administrativos directos para </w:t>
            </w:r>
            <w:r w:rsidR="005850FD">
              <w:rPr>
                <w:sz w:val="18"/>
                <w:szCs w:val="18"/>
                <w:lang w:val="es-ES"/>
              </w:rPr>
              <w:t>financiar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 </w:t>
            </w:r>
            <w:r w:rsidR="00375882" w:rsidRPr="001B7DE8">
              <w:rPr>
                <w:sz w:val="18"/>
                <w:szCs w:val="18"/>
                <w:lang w:val="es-ES"/>
              </w:rPr>
              <w:t>2</w:t>
            </w:r>
            <w:r w:rsidR="000E4EF4" w:rsidRPr="001B7DE8">
              <w:rPr>
                <w:sz w:val="18"/>
                <w:szCs w:val="18"/>
                <w:lang w:val="es-ES"/>
              </w:rPr>
              <w:t xml:space="preserve"> puestos de la secretaría</w:t>
            </w:r>
            <w:r w:rsidR="00375882" w:rsidRPr="001B7DE8">
              <w:rPr>
                <w:sz w:val="18"/>
                <w:szCs w:val="18"/>
                <w:lang w:val="es-ES"/>
              </w:rPr>
              <w:t xml:space="preserve"> (financi</w:t>
            </w:r>
            <w:r w:rsidR="000E4EF4" w:rsidRPr="001B7DE8">
              <w:rPr>
                <w:sz w:val="18"/>
                <w:szCs w:val="18"/>
                <w:lang w:val="es-ES"/>
              </w:rPr>
              <w:t>ero y administrativo</w:t>
            </w:r>
            <w:r w:rsidR="00375882" w:rsidRPr="001B7DE8">
              <w:rPr>
                <w:sz w:val="18"/>
                <w:szCs w:val="18"/>
                <w:lang w:val="es-ES"/>
              </w:rPr>
              <w:t>)</w:t>
            </w:r>
          </w:p>
        </w:tc>
      </w:tr>
    </w:tbl>
    <w:p w:rsidR="000A3562" w:rsidRPr="001B7DE8" w:rsidRDefault="000A3562" w:rsidP="009C03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"/>
        </w:rPr>
      </w:pPr>
    </w:p>
    <w:p w:rsidR="000A3562" w:rsidRPr="001B7DE8" w:rsidRDefault="000A3562" w:rsidP="009C03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"/>
        </w:rPr>
        <w:sectPr w:rsidR="000A3562" w:rsidRPr="001B7DE8" w:rsidSect="00BF3FE4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907" w:right="994" w:bottom="1411" w:left="1411" w:header="533" w:footer="979" w:gutter="0"/>
          <w:cols w:space="708"/>
          <w:titlePg/>
          <w:docGrid w:linePitch="360"/>
        </w:sectPr>
      </w:pPr>
    </w:p>
    <w:p w:rsidR="00F468AE" w:rsidRPr="001B7DE8" w:rsidRDefault="002868EA" w:rsidP="009C032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0"/>
        <w:rPr>
          <w:lang w:val="es-ES"/>
        </w:rPr>
      </w:pPr>
      <w:r w:rsidRPr="001B7DE8">
        <w:rPr>
          <w:lang w:val="es-ES"/>
        </w:rPr>
        <w:lastRenderedPageBreak/>
        <w:t>Cuadro</w:t>
      </w:r>
      <w:r w:rsidR="00903BD4" w:rsidRPr="001B7DE8">
        <w:rPr>
          <w:lang w:val="es-ES"/>
        </w:rPr>
        <w:t xml:space="preserve"> 2</w:t>
      </w:r>
    </w:p>
    <w:p w:rsidR="002868EA" w:rsidRPr="001B7DE8" w:rsidRDefault="002868EA" w:rsidP="009C032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es-ES"/>
        </w:rPr>
      </w:pPr>
      <w:r w:rsidRPr="009B170B">
        <w:rPr>
          <w:b/>
          <w:lang w:val="es-ES"/>
        </w:rPr>
        <w:t>Comparación entre los gastos indicativos anuales de las distintas opciones de fondos fiduciarios</w:t>
      </w:r>
    </w:p>
    <w:p w:rsidR="008E34A2" w:rsidRPr="001B7DE8" w:rsidRDefault="008E34A2" w:rsidP="009C032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8"/>
          <w:szCs w:val="18"/>
          <w:lang w:val="es-ES"/>
        </w:rPr>
      </w:pPr>
      <w:r w:rsidRPr="001B7DE8">
        <w:rPr>
          <w:sz w:val="18"/>
          <w:szCs w:val="18"/>
          <w:lang w:val="es-ES"/>
        </w:rPr>
        <w:t>(</w:t>
      </w:r>
      <w:r w:rsidR="002868EA" w:rsidRPr="001B7DE8">
        <w:rPr>
          <w:sz w:val="18"/>
          <w:szCs w:val="18"/>
          <w:lang w:val="es-ES"/>
        </w:rPr>
        <w:t>en dólares de los Estados Unidos</w:t>
      </w:r>
      <w:r w:rsidRPr="001B7DE8">
        <w:rPr>
          <w:sz w:val="18"/>
          <w:szCs w:val="18"/>
          <w:lang w:val="es-ES"/>
        </w:rPr>
        <w:t>)</w:t>
      </w:r>
    </w:p>
    <w:tbl>
      <w:tblPr>
        <w:tblW w:w="4453" w:type="pct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05"/>
        <w:gridCol w:w="1205"/>
        <w:gridCol w:w="1135"/>
        <w:gridCol w:w="1135"/>
        <w:gridCol w:w="1205"/>
        <w:gridCol w:w="1205"/>
        <w:gridCol w:w="1132"/>
        <w:gridCol w:w="1135"/>
        <w:tblGridChange w:id="1">
          <w:tblGrid>
            <w:gridCol w:w="3685"/>
            <w:gridCol w:w="1205"/>
            <w:gridCol w:w="1205"/>
            <w:gridCol w:w="1135"/>
            <w:gridCol w:w="1135"/>
            <w:gridCol w:w="1205"/>
            <w:gridCol w:w="1205"/>
            <w:gridCol w:w="1132"/>
            <w:gridCol w:w="1135"/>
          </w:tblGrid>
        </w:tblGridChange>
      </w:tblGrid>
      <w:tr w:rsidR="00874AB6" w:rsidRPr="001B7DE8" w:rsidTr="0014098B">
        <w:trPr>
          <w:trHeight w:val="910"/>
        </w:trPr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BD4" w:rsidRPr="001B7DE8" w:rsidRDefault="00065434" w:rsidP="009C0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Opción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1</w:t>
            </w:r>
          </w:p>
          <w:p w:rsidR="00903BD4" w:rsidRPr="001B7DE8" w:rsidRDefault="002868EA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Oficina del </w:t>
            </w:r>
            <w:r w:rsidR="0013161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fondo fiduciario de socios múltiples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BD4" w:rsidRPr="001B7DE8" w:rsidRDefault="00065434" w:rsidP="009C0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Opción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2</w:t>
            </w:r>
            <w:r w:rsidR="007D1BCC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.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A</w:t>
            </w:r>
          </w:p>
          <w:p w:rsidR="00903BD4" w:rsidRPr="001B7DE8" w:rsidRDefault="002868EA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PNUMA</w:t>
            </w:r>
            <w:r w:rsidR="007D1BCC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,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13% para gastos de apoyo a los programas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BD4" w:rsidRPr="001B7DE8" w:rsidRDefault="00065434" w:rsidP="009C0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Opción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2</w:t>
            </w:r>
            <w:r w:rsidR="008E34A2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.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B</w:t>
            </w:r>
          </w:p>
          <w:p w:rsidR="00903BD4" w:rsidRPr="001B7DE8" w:rsidRDefault="002868EA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PNUMA</w:t>
            </w:r>
            <w:r w:rsidR="008E34A2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,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8% para gastos de apoyo a los programas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BD4" w:rsidRPr="001B7DE8" w:rsidRDefault="00065434" w:rsidP="009C0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Opción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2</w:t>
            </w:r>
            <w:r w:rsidR="008E34A2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.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C</w:t>
            </w:r>
          </w:p>
          <w:p w:rsidR="00903BD4" w:rsidRPr="001B7DE8" w:rsidRDefault="002868EA" w:rsidP="009C0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13% para gastos de apoyo a los programas</w:t>
            </w:r>
            <w:r w:rsidR="008E34A2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,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con</w:t>
            </w:r>
            <w:r w:rsidR="00903BD4"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 xml:space="preserve"> 67</w:t>
            </w:r>
            <w:r w:rsidRPr="001B7DE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s-ES"/>
              </w:rPr>
              <w:t>% de devolución</w:t>
            </w:r>
          </w:p>
        </w:tc>
      </w:tr>
      <w:tr w:rsidR="00152373" w:rsidRPr="001B7DE8" w:rsidTr="00152373">
        <w:tc>
          <w:tcPr>
            <w:tcW w:w="1413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Volume</w:t>
            </w:r>
            <w:r w:rsidR="002868EA"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 xml:space="preserve">n del </w:t>
            </w:r>
            <w:r w:rsidR="009B170B"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 xml:space="preserve">Fondo Fiduciario </w:t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5 000 000</w:t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10 000 000</w:t>
            </w:r>
          </w:p>
        </w:tc>
        <w:tc>
          <w:tcPr>
            <w:tcW w:w="435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5 000 000</w:t>
            </w:r>
          </w:p>
        </w:tc>
        <w:tc>
          <w:tcPr>
            <w:tcW w:w="435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10 000 000</w:t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5 000 000</w:t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10 000 000</w:t>
            </w:r>
          </w:p>
        </w:tc>
        <w:tc>
          <w:tcPr>
            <w:tcW w:w="434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5 000 000</w:t>
            </w:r>
          </w:p>
        </w:tc>
        <w:tc>
          <w:tcPr>
            <w:tcW w:w="435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10 000 000</w:t>
            </w:r>
          </w:p>
        </w:tc>
      </w:tr>
      <w:tr w:rsidR="00FD0B49" w:rsidRPr="001B7DE8" w:rsidTr="00874AB6">
        <w:tc>
          <w:tcPr>
            <w:tcW w:w="1413" w:type="pct"/>
            <w:shd w:val="clear" w:color="auto" w:fill="auto"/>
          </w:tcPr>
          <w:p w:rsidR="00FD0B49" w:rsidRPr="001B7DE8" w:rsidRDefault="002868EA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Gastos de apoyo a los programas/agente administrativo</w:t>
            </w:r>
          </w:p>
        </w:tc>
        <w:tc>
          <w:tcPr>
            <w:tcW w:w="462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370 370</w:t>
            </w:r>
          </w:p>
        </w:tc>
        <w:tc>
          <w:tcPr>
            <w:tcW w:w="462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740 740</w:t>
            </w:r>
          </w:p>
        </w:tc>
        <w:tc>
          <w:tcPr>
            <w:tcW w:w="435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575 221</w:t>
            </w:r>
          </w:p>
        </w:tc>
        <w:tc>
          <w:tcPr>
            <w:tcW w:w="435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1 150 442</w:t>
            </w:r>
          </w:p>
        </w:tc>
        <w:tc>
          <w:tcPr>
            <w:tcW w:w="462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sz w:val="18"/>
                <w:szCs w:val="18"/>
                <w:lang w:val="es-ES"/>
              </w:rPr>
              <w:t>370 370</w:t>
            </w:r>
          </w:p>
        </w:tc>
        <w:tc>
          <w:tcPr>
            <w:tcW w:w="462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740 740</w:t>
            </w:r>
          </w:p>
        </w:tc>
        <w:tc>
          <w:tcPr>
            <w:tcW w:w="434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sz w:val="18"/>
                <w:szCs w:val="18"/>
                <w:lang w:val="es-ES"/>
              </w:rPr>
              <w:t>575 221</w:t>
            </w:r>
          </w:p>
        </w:tc>
        <w:tc>
          <w:tcPr>
            <w:tcW w:w="435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sz w:val="18"/>
                <w:szCs w:val="18"/>
                <w:lang w:val="es-ES"/>
              </w:rPr>
              <w:t>1 150 442</w:t>
            </w:r>
          </w:p>
        </w:tc>
      </w:tr>
      <w:tr w:rsidR="00874AB6" w:rsidRPr="001B7DE8" w:rsidTr="00874AB6">
        <w:tc>
          <w:tcPr>
            <w:tcW w:w="1413" w:type="pct"/>
            <w:shd w:val="clear" w:color="auto" w:fill="auto"/>
          </w:tcPr>
          <w:p w:rsidR="00903BD4" w:rsidRPr="001B7DE8" w:rsidRDefault="002868EA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 xml:space="preserve">Gastos directos para la </w:t>
            </w:r>
            <w:r w:rsidR="008E34A2"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Plat</w:t>
            </w: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a</w:t>
            </w:r>
            <w:r w:rsidR="008E34A2"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form</w:t>
            </w: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462" w:type="pct"/>
            <w:shd w:val="clear" w:color="auto" w:fill="FFFFFF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150 000</w:t>
            </w:r>
            <w:r w:rsidR="00152373" w:rsidRPr="001B7DE8">
              <w:rPr>
                <w:rStyle w:val="FootnoteReference"/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a</w:t>
            </w:r>
          </w:p>
          <w:p w:rsidR="008E545F" w:rsidRPr="001B7DE8" w:rsidRDefault="008E545F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142 000</w:t>
            </w:r>
            <w:r w:rsidR="00152373" w:rsidRPr="001B7DE8">
              <w:rPr>
                <w:rStyle w:val="FootnoteReference"/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b</w:t>
            </w:r>
          </w:p>
          <w:p w:rsidR="009A4E0F" w:rsidRPr="001B7DE8" w:rsidRDefault="009A4E0F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62" w:type="pct"/>
            <w:shd w:val="clear" w:color="auto" w:fill="FFFFFF"/>
          </w:tcPr>
          <w:p w:rsidR="00A71F6E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300 000</w:t>
            </w:r>
            <w:r w:rsidR="00900536"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es-ES"/>
              </w:rPr>
              <w:t>a</w:t>
            </w:r>
            <w:r w:rsidR="00A71F6E"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9A4E0F" w:rsidRPr="001B7DE8" w:rsidRDefault="005519BE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435" w:type="pct"/>
            <w:shd w:val="clear" w:color="auto" w:fill="auto"/>
          </w:tcPr>
          <w:p w:rsidR="00903BD4" w:rsidRPr="001B7DE8" w:rsidRDefault="005519BE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435" w:type="pct"/>
            <w:shd w:val="clear" w:color="auto" w:fill="auto"/>
          </w:tcPr>
          <w:p w:rsidR="00903BD4" w:rsidRPr="001B7DE8" w:rsidRDefault="005519BE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292 000</w:t>
            </w:r>
          </w:p>
        </w:tc>
        <w:tc>
          <w:tcPr>
            <w:tcW w:w="462" w:type="pct"/>
            <w:shd w:val="clear" w:color="auto" w:fill="auto"/>
          </w:tcPr>
          <w:p w:rsidR="00903BD4" w:rsidRPr="001B7DE8" w:rsidRDefault="00903BD4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t>292 000</w:t>
            </w:r>
          </w:p>
        </w:tc>
        <w:tc>
          <w:tcPr>
            <w:tcW w:w="434" w:type="pct"/>
            <w:shd w:val="clear" w:color="auto" w:fill="FFFFFF"/>
          </w:tcPr>
          <w:p w:rsidR="00903BD4" w:rsidRPr="001B7DE8" w:rsidRDefault="005519BE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435" w:type="pct"/>
            <w:shd w:val="clear" w:color="auto" w:fill="FFFFFF"/>
          </w:tcPr>
          <w:p w:rsidR="00903BD4" w:rsidRPr="001B7DE8" w:rsidRDefault="005519BE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/>
              </w:rPr>
              <w:noBreakHyphen/>
            </w:r>
          </w:p>
        </w:tc>
      </w:tr>
      <w:tr w:rsidR="00FD0B49" w:rsidRPr="001B7DE8" w:rsidTr="00874AB6">
        <w:tc>
          <w:tcPr>
            <w:tcW w:w="1413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 xml:space="preserve">Total </w:t>
            </w:r>
            <w:r w:rsidR="002868EA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 xml:space="preserve">de gastos para la </w:t>
            </w:r>
            <w:r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Plat</w:t>
            </w:r>
            <w:r w:rsidR="002868EA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a</w:t>
            </w:r>
            <w:r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form</w:t>
            </w:r>
            <w:r w:rsidR="002868EA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a</w:t>
            </w:r>
            <w:r w:rsidR="002F74E6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2" w:type="pct"/>
            <w:shd w:val="clear" w:color="auto" w:fill="FFFFFF"/>
          </w:tcPr>
          <w:p w:rsidR="00FD0B49" w:rsidRPr="001B7DE8" w:rsidRDefault="008E545F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662</w:t>
            </w:r>
            <w:r w:rsidR="00A71233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2F74E6"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370</w:t>
            </w:r>
          </w:p>
        </w:tc>
        <w:tc>
          <w:tcPr>
            <w:tcW w:w="462" w:type="pct"/>
            <w:shd w:val="clear" w:color="auto" w:fill="FFFFFF"/>
          </w:tcPr>
          <w:p w:rsidR="00FD0B49" w:rsidRPr="001B7DE8" w:rsidRDefault="002F74E6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  <w:t>1 040 740</w:t>
            </w:r>
          </w:p>
        </w:tc>
        <w:tc>
          <w:tcPr>
            <w:tcW w:w="435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575 221</w:t>
            </w:r>
          </w:p>
        </w:tc>
        <w:tc>
          <w:tcPr>
            <w:tcW w:w="435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1 150 442</w:t>
            </w:r>
          </w:p>
        </w:tc>
        <w:tc>
          <w:tcPr>
            <w:tcW w:w="462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662 370</w:t>
            </w:r>
          </w:p>
        </w:tc>
        <w:tc>
          <w:tcPr>
            <w:tcW w:w="462" w:type="pct"/>
            <w:shd w:val="clear" w:color="auto" w:fill="auto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1 032 740</w:t>
            </w:r>
          </w:p>
        </w:tc>
        <w:tc>
          <w:tcPr>
            <w:tcW w:w="434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575 221</w:t>
            </w:r>
          </w:p>
        </w:tc>
        <w:tc>
          <w:tcPr>
            <w:tcW w:w="435" w:type="pct"/>
            <w:shd w:val="clear" w:color="auto" w:fill="FFFFFF"/>
          </w:tcPr>
          <w:p w:rsidR="00FD0B49" w:rsidRPr="001B7DE8" w:rsidRDefault="00FD0B49" w:rsidP="009C03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s-ES"/>
              </w:rPr>
            </w:pPr>
            <w:r w:rsidRPr="001B7DE8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1 150 442</w:t>
            </w:r>
          </w:p>
        </w:tc>
      </w:tr>
    </w:tbl>
    <w:p w:rsidR="00152373" w:rsidRPr="001B7DE8" w:rsidRDefault="00152373" w:rsidP="00D60A67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ind w:left="1247"/>
        <w:rPr>
          <w:sz w:val="18"/>
          <w:szCs w:val="18"/>
          <w:lang w:val="es-ES"/>
        </w:rPr>
      </w:pPr>
      <w:r w:rsidRPr="001B7DE8">
        <w:rPr>
          <w:sz w:val="18"/>
          <w:szCs w:val="18"/>
          <w:lang w:val="es-ES"/>
        </w:rPr>
        <w:tab/>
        <w:t>a</w:t>
      </w:r>
      <w:r w:rsidR="00AE7327" w:rsidRPr="001B7DE8">
        <w:rPr>
          <w:sz w:val="18"/>
          <w:szCs w:val="18"/>
          <w:lang w:val="es-ES"/>
        </w:rPr>
        <w:t xml:space="preserve"> </w:t>
      </w:r>
      <w:r w:rsidR="00DE65C4" w:rsidRPr="001B7DE8">
        <w:rPr>
          <w:sz w:val="18"/>
          <w:szCs w:val="18"/>
          <w:lang w:val="es-ES"/>
        </w:rPr>
        <w:t xml:space="preserve">Gastos indicativos medios de fondos del fondo </w:t>
      </w:r>
      <w:r w:rsidR="001B7DE8" w:rsidRPr="001B7DE8">
        <w:rPr>
          <w:sz w:val="18"/>
          <w:szCs w:val="18"/>
          <w:lang w:val="es-ES"/>
        </w:rPr>
        <w:t>fiduciario</w:t>
      </w:r>
      <w:r w:rsidR="00DE65C4" w:rsidRPr="001B7DE8">
        <w:rPr>
          <w:sz w:val="18"/>
          <w:szCs w:val="18"/>
          <w:lang w:val="es-ES"/>
        </w:rPr>
        <w:t xml:space="preserve"> de socios múltiples</w:t>
      </w:r>
      <w:r w:rsidRPr="001B7DE8">
        <w:rPr>
          <w:sz w:val="18"/>
          <w:szCs w:val="18"/>
          <w:lang w:val="es-ES"/>
        </w:rPr>
        <w:t xml:space="preserve">, </w:t>
      </w:r>
      <w:r w:rsidR="00DE65C4" w:rsidRPr="001B7DE8">
        <w:rPr>
          <w:sz w:val="18"/>
          <w:szCs w:val="18"/>
          <w:lang w:val="es-ES"/>
        </w:rPr>
        <w:t>que se cargarán como gastos directos de la secretaría de la P</w:t>
      </w:r>
      <w:r w:rsidRPr="001B7DE8">
        <w:rPr>
          <w:sz w:val="18"/>
          <w:szCs w:val="18"/>
          <w:lang w:val="es-ES"/>
        </w:rPr>
        <w:t>lat</w:t>
      </w:r>
      <w:r w:rsidR="00DE65C4" w:rsidRPr="001B7DE8">
        <w:rPr>
          <w:sz w:val="18"/>
          <w:szCs w:val="18"/>
          <w:lang w:val="es-ES"/>
        </w:rPr>
        <w:t>a</w:t>
      </w:r>
      <w:r w:rsidRPr="001B7DE8">
        <w:rPr>
          <w:sz w:val="18"/>
          <w:szCs w:val="18"/>
          <w:lang w:val="es-ES"/>
        </w:rPr>
        <w:t>form</w:t>
      </w:r>
      <w:r w:rsidR="00DE65C4" w:rsidRPr="001B7DE8">
        <w:rPr>
          <w:sz w:val="18"/>
          <w:szCs w:val="18"/>
          <w:lang w:val="es-ES"/>
        </w:rPr>
        <w:t>a en su calidad de secretaría del</w:t>
      </w:r>
      <w:r w:rsidR="000B2B3B">
        <w:rPr>
          <w:sz w:val="18"/>
          <w:szCs w:val="18"/>
          <w:lang w:val="es-ES"/>
        </w:rPr>
        <w:t> F</w:t>
      </w:r>
      <w:r w:rsidR="00DE65C4" w:rsidRPr="001B7DE8">
        <w:rPr>
          <w:sz w:val="18"/>
          <w:szCs w:val="18"/>
          <w:lang w:val="es-ES"/>
        </w:rPr>
        <w:t>ondo</w:t>
      </w:r>
      <w:r w:rsidRPr="001B7DE8">
        <w:rPr>
          <w:sz w:val="18"/>
          <w:szCs w:val="18"/>
          <w:lang w:val="es-ES"/>
        </w:rPr>
        <w:t>.</w:t>
      </w:r>
    </w:p>
    <w:p w:rsidR="00152373" w:rsidRPr="001B7DE8" w:rsidRDefault="00152373" w:rsidP="000B2B3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sz w:val="18"/>
          <w:szCs w:val="18"/>
          <w:lang w:val="es-ES"/>
        </w:rPr>
      </w:pPr>
      <w:r w:rsidRPr="001B7DE8">
        <w:rPr>
          <w:sz w:val="18"/>
          <w:szCs w:val="18"/>
          <w:lang w:val="es-ES"/>
        </w:rPr>
        <w:t>b</w:t>
      </w:r>
      <w:r w:rsidR="00AE7327" w:rsidRPr="001B7DE8">
        <w:rPr>
          <w:sz w:val="18"/>
          <w:szCs w:val="18"/>
          <w:lang w:val="es-ES"/>
        </w:rPr>
        <w:t xml:space="preserve"> </w:t>
      </w:r>
      <w:r w:rsidR="00DE65C4" w:rsidRPr="001B7DE8">
        <w:rPr>
          <w:sz w:val="18"/>
          <w:szCs w:val="18"/>
          <w:lang w:val="es-ES"/>
        </w:rPr>
        <w:t>Gastos adicionales del fondo fiduciario para compensar la porción restante del costo de dos puestos (administrativo y financiero</w:t>
      </w:r>
      <w:r w:rsidRPr="001B7DE8">
        <w:rPr>
          <w:sz w:val="18"/>
          <w:szCs w:val="18"/>
          <w:lang w:val="es-ES"/>
        </w:rPr>
        <w:t>).</w:t>
      </w:r>
    </w:p>
    <w:p w:rsidR="00152373" w:rsidRPr="001B7DE8" w:rsidRDefault="00152373" w:rsidP="009C03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/>
          <w:lang w:val="es-ES"/>
        </w:rPr>
        <w:sectPr w:rsidR="00152373" w:rsidRPr="001B7DE8" w:rsidSect="000A3562">
          <w:headerReference w:type="even" r:id="rId18"/>
          <w:headerReference w:type="default" r:id="rId19"/>
          <w:headerReference w:type="first" r:id="rId20"/>
          <w:footerReference w:type="first" r:id="rId21"/>
          <w:pgSz w:w="16838" w:h="11906" w:orient="landscape" w:code="9"/>
          <w:pgMar w:top="907" w:right="992" w:bottom="1418" w:left="1418" w:header="539" w:footer="975" w:gutter="0"/>
          <w:cols w:space="708"/>
          <w:titlePg/>
          <w:docGrid w:linePitch="360"/>
        </w:sectPr>
      </w:pPr>
    </w:p>
    <w:p w:rsidR="00577CD8" w:rsidRPr="001B7DE8" w:rsidRDefault="00C226FD" w:rsidP="009C0329">
      <w:pPr>
        <w:pStyle w:val="Normalnumber"/>
        <w:numPr>
          <w:ilvl w:val="0"/>
          <w:numId w:val="19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firstLine="0"/>
        <w:rPr>
          <w:lang w:val="es-ES"/>
        </w:rPr>
      </w:pPr>
      <w:r w:rsidRPr="001B7DE8">
        <w:rPr>
          <w:lang w:val="es-ES"/>
        </w:rPr>
        <w:lastRenderedPageBreak/>
        <w:t xml:space="preserve">En el cuadro </w:t>
      </w:r>
      <w:r w:rsidR="00903BD4" w:rsidRPr="001B7DE8">
        <w:rPr>
          <w:lang w:val="es-ES"/>
        </w:rPr>
        <w:t xml:space="preserve">2 </w:t>
      </w:r>
      <w:r w:rsidRPr="001B7DE8">
        <w:rPr>
          <w:lang w:val="es-ES"/>
        </w:rPr>
        <w:t>se presenta una comparación entre</w:t>
      </w:r>
      <w:r w:rsidR="001A286B">
        <w:rPr>
          <w:lang w:val="es-ES"/>
        </w:rPr>
        <w:t xml:space="preserve"> </w:t>
      </w:r>
      <w:r w:rsidRPr="001B7DE8">
        <w:rPr>
          <w:lang w:val="es-ES"/>
        </w:rPr>
        <w:t>los gastos que acarrearía</w:t>
      </w:r>
      <w:r w:rsidR="000B2B3B">
        <w:rPr>
          <w:lang w:val="es-ES"/>
        </w:rPr>
        <w:t>n</w:t>
      </w:r>
      <w:r w:rsidRPr="001B7DE8">
        <w:rPr>
          <w:lang w:val="es-ES"/>
        </w:rPr>
        <w:t xml:space="preserve"> para la Plataforma las diversas opciones expuestas</w:t>
      </w:r>
      <w:r w:rsidR="00903BD4" w:rsidRPr="001B7DE8">
        <w:rPr>
          <w:lang w:val="es-ES"/>
        </w:rPr>
        <w:t xml:space="preserve">. </w:t>
      </w:r>
      <w:r w:rsidRPr="001B7DE8">
        <w:rPr>
          <w:lang w:val="es-ES"/>
        </w:rPr>
        <w:t>Se presentan dos hipótesis presupuestarias</w:t>
      </w:r>
      <w:r w:rsidR="00903BD4" w:rsidRPr="001B7DE8">
        <w:rPr>
          <w:lang w:val="es-ES"/>
        </w:rPr>
        <w:t xml:space="preserve"> (5 millon</w:t>
      </w:r>
      <w:r w:rsidRPr="001B7DE8">
        <w:rPr>
          <w:lang w:val="es-ES"/>
        </w:rPr>
        <w:t>es y 1</w:t>
      </w:r>
      <w:r w:rsidR="00903BD4" w:rsidRPr="001B7DE8">
        <w:rPr>
          <w:lang w:val="es-ES"/>
        </w:rPr>
        <w:t>0</w:t>
      </w:r>
      <w:r w:rsidR="00874AB6" w:rsidRPr="001B7DE8">
        <w:rPr>
          <w:lang w:val="es-ES"/>
        </w:rPr>
        <w:t> </w:t>
      </w:r>
      <w:r w:rsidR="00903BD4" w:rsidRPr="001B7DE8">
        <w:rPr>
          <w:lang w:val="es-ES"/>
        </w:rPr>
        <w:t>millon</w:t>
      </w:r>
      <w:r w:rsidRPr="001B7DE8">
        <w:rPr>
          <w:lang w:val="es-ES"/>
        </w:rPr>
        <w:t>es de dólares</w:t>
      </w:r>
      <w:r w:rsidR="00903BD4" w:rsidRPr="001B7DE8">
        <w:rPr>
          <w:lang w:val="es-ES"/>
        </w:rPr>
        <w:t xml:space="preserve">), </w:t>
      </w:r>
      <w:r w:rsidRPr="001B7DE8">
        <w:rPr>
          <w:lang w:val="es-ES"/>
        </w:rPr>
        <w:t>correspondientes a la tasa prevista de gastos anuales de la Plataforma</w:t>
      </w:r>
      <w:r w:rsidR="00903BD4" w:rsidRPr="001B7DE8">
        <w:rPr>
          <w:lang w:val="es-ES"/>
        </w:rPr>
        <w:t xml:space="preserve">. </w:t>
      </w:r>
      <w:r w:rsidRPr="001B7DE8">
        <w:rPr>
          <w:lang w:val="es-ES"/>
        </w:rPr>
        <w:t>Los gastos de apoyo a los programas</w:t>
      </w:r>
      <w:r w:rsidR="00577CD8" w:rsidRPr="001B7DE8">
        <w:rPr>
          <w:lang w:val="es-ES"/>
        </w:rPr>
        <w:t xml:space="preserve"> (</w:t>
      </w:r>
      <w:r w:rsidRPr="001B7DE8">
        <w:rPr>
          <w:lang w:val="es-ES"/>
        </w:rPr>
        <w:t xml:space="preserve">en el caso de las opciones </w:t>
      </w:r>
      <w:r w:rsidR="00577CD8" w:rsidRPr="001B7DE8">
        <w:rPr>
          <w:lang w:val="es-ES"/>
        </w:rPr>
        <w:t>2</w:t>
      </w:r>
      <w:r w:rsidR="00365B9E" w:rsidRPr="001B7DE8">
        <w:rPr>
          <w:lang w:val="es-ES"/>
        </w:rPr>
        <w:t>.</w:t>
      </w:r>
      <w:r w:rsidR="00577CD8" w:rsidRPr="001B7DE8">
        <w:rPr>
          <w:lang w:val="es-ES"/>
        </w:rPr>
        <w:t xml:space="preserve">A, B </w:t>
      </w:r>
      <w:r w:rsidRPr="001B7DE8">
        <w:rPr>
          <w:lang w:val="es-ES"/>
        </w:rPr>
        <w:t xml:space="preserve">y </w:t>
      </w:r>
      <w:r w:rsidR="00577CD8" w:rsidRPr="001B7DE8">
        <w:rPr>
          <w:lang w:val="es-ES"/>
        </w:rPr>
        <w:t xml:space="preserve">C) </w:t>
      </w:r>
      <w:r w:rsidRPr="001B7DE8">
        <w:rPr>
          <w:lang w:val="es-ES"/>
        </w:rPr>
        <w:t>y los gastos del agente administrativo</w:t>
      </w:r>
      <w:r w:rsidR="00577CD8" w:rsidRPr="001B7DE8">
        <w:rPr>
          <w:lang w:val="es-ES"/>
        </w:rPr>
        <w:t xml:space="preserve"> (</w:t>
      </w:r>
      <w:r w:rsidRPr="001B7DE8">
        <w:rPr>
          <w:lang w:val="es-ES"/>
        </w:rPr>
        <w:t>en la opc</w:t>
      </w:r>
      <w:r w:rsidR="00065434" w:rsidRPr="001B7DE8">
        <w:rPr>
          <w:lang w:val="es-ES"/>
        </w:rPr>
        <w:t>ión</w:t>
      </w:r>
      <w:r w:rsidR="00577CD8" w:rsidRPr="001B7DE8">
        <w:rPr>
          <w:lang w:val="es-ES"/>
        </w:rPr>
        <w:t xml:space="preserve"> 1) </w:t>
      </w:r>
      <w:r w:rsidRPr="001B7DE8">
        <w:rPr>
          <w:lang w:val="es-ES"/>
        </w:rPr>
        <w:t>se relacionan con los costos en porcentaje del gasto total en cada una de las opciones</w:t>
      </w:r>
      <w:r w:rsidR="00D62D30" w:rsidRPr="001B7DE8">
        <w:rPr>
          <w:lang w:val="es-ES"/>
        </w:rPr>
        <w:t xml:space="preserve">. </w:t>
      </w:r>
      <w:r w:rsidRPr="001B7DE8">
        <w:rPr>
          <w:lang w:val="es-ES"/>
        </w:rPr>
        <w:t>En las opciones 1 y</w:t>
      </w:r>
      <w:r w:rsidR="00A71F6E" w:rsidRPr="001B7DE8">
        <w:rPr>
          <w:lang w:val="es-ES"/>
        </w:rPr>
        <w:t xml:space="preserve"> 2</w:t>
      </w:r>
      <w:r w:rsidR="00365B9E" w:rsidRPr="001B7DE8">
        <w:rPr>
          <w:lang w:val="es-ES"/>
        </w:rPr>
        <w:t>.</w:t>
      </w:r>
      <w:r w:rsidR="00A71F6E" w:rsidRPr="001B7DE8">
        <w:rPr>
          <w:lang w:val="es-ES"/>
        </w:rPr>
        <w:t xml:space="preserve">B </w:t>
      </w:r>
      <w:r w:rsidRPr="001B7DE8">
        <w:rPr>
          <w:lang w:val="es-ES"/>
        </w:rPr>
        <w:t>la Plataforma incurre en gastos directos para sufragar los gastos de su secretaría en la tarea de garantizar que</w:t>
      </w:r>
      <w:r w:rsidR="00DE65C4" w:rsidRPr="001B7DE8">
        <w:rPr>
          <w:lang w:val="es-ES"/>
        </w:rPr>
        <w:t xml:space="preserve"> </w:t>
      </w:r>
      <w:r w:rsidRPr="001B7DE8">
        <w:rPr>
          <w:lang w:val="es-ES"/>
        </w:rPr>
        <w:t xml:space="preserve">las funciones administrativas y financieras </w:t>
      </w:r>
      <w:r w:rsidR="00DE65C4" w:rsidRPr="001B7DE8">
        <w:rPr>
          <w:lang w:val="es-ES"/>
        </w:rPr>
        <w:t xml:space="preserve">se cumplan independientemente de las asociadas con el agente administrativo o el PNUMA como entidad que acoge la </w:t>
      </w:r>
      <w:r w:rsidR="00AE7327" w:rsidRPr="001B7DE8">
        <w:rPr>
          <w:lang w:val="es-ES"/>
        </w:rPr>
        <w:t>secretar</w:t>
      </w:r>
      <w:r w:rsidR="00DE65C4" w:rsidRPr="001B7DE8">
        <w:rPr>
          <w:lang w:val="es-ES"/>
        </w:rPr>
        <w:t>ía</w:t>
      </w:r>
      <w:r w:rsidR="00D62D30" w:rsidRPr="001B7DE8">
        <w:rPr>
          <w:lang w:val="es-ES"/>
        </w:rPr>
        <w:t>.</w:t>
      </w:r>
    </w:p>
    <w:p w:rsidR="00EB2672" w:rsidRPr="001B7DE8" w:rsidRDefault="00EB2672" w:rsidP="009C03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es-ES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EB2672" w:rsidRPr="001B7DE8" w:rsidTr="00772299">
        <w:tc>
          <w:tcPr>
            <w:tcW w:w="3379" w:type="dxa"/>
          </w:tcPr>
          <w:p w:rsidR="00EB2672" w:rsidRPr="001B7DE8" w:rsidRDefault="00EB267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B2672" w:rsidRPr="001B7DE8" w:rsidRDefault="00EB267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3379" w:type="dxa"/>
          </w:tcPr>
          <w:p w:rsidR="00EB2672" w:rsidRPr="001B7DE8" w:rsidRDefault="00EB2672" w:rsidP="009C032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rPr>
                <w:sz w:val="22"/>
                <w:szCs w:val="22"/>
                <w:lang w:val="es-ES"/>
              </w:rPr>
            </w:pPr>
          </w:p>
        </w:tc>
      </w:tr>
    </w:tbl>
    <w:p w:rsidR="00874AB6" w:rsidRPr="001B7DE8" w:rsidRDefault="00874AB6" w:rsidP="009C032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 w:val="18"/>
          <w:szCs w:val="18"/>
          <w:lang w:val="es-ES"/>
        </w:rPr>
      </w:pPr>
    </w:p>
    <w:sectPr w:rsidR="00874AB6" w:rsidRPr="001B7DE8" w:rsidSect="00874AB6">
      <w:headerReference w:type="first" r:id="rId22"/>
      <w:footerReference w:type="first" r:id="rId23"/>
      <w:pgSz w:w="11906" w:h="16838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2B" w:rsidRDefault="0037362B" w:rsidP="0083613E">
      <w:pPr>
        <w:spacing w:after="0" w:line="240" w:lineRule="auto"/>
      </w:pPr>
      <w:r>
        <w:separator/>
      </w:r>
    </w:p>
  </w:endnote>
  <w:endnote w:type="continuationSeparator" w:id="0">
    <w:p w:rsidR="0037362B" w:rsidRDefault="0037362B" w:rsidP="008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C758E4" w:rsidRDefault="005850FD">
    <w:pPr>
      <w:pStyle w:val="Footer"/>
      <w:rPr>
        <w:rFonts w:ascii="Times New Roman" w:hAnsi="Times New Roman"/>
        <w:b/>
        <w:sz w:val="18"/>
        <w:szCs w:val="18"/>
      </w:rPr>
    </w:pPr>
    <w:r w:rsidRPr="00C758E4">
      <w:rPr>
        <w:rFonts w:ascii="Times New Roman" w:hAnsi="Times New Roman"/>
        <w:b/>
        <w:sz w:val="18"/>
        <w:szCs w:val="18"/>
      </w:rPr>
      <w:fldChar w:fldCharType="begin"/>
    </w:r>
    <w:r w:rsidRPr="00C758E4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C758E4">
      <w:rPr>
        <w:rFonts w:ascii="Times New Roman" w:hAnsi="Times New Roman"/>
        <w:b/>
        <w:sz w:val="18"/>
        <w:szCs w:val="18"/>
      </w:rPr>
      <w:fldChar w:fldCharType="separate"/>
    </w:r>
    <w:r w:rsidR="00672693">
      <w:rPr>
        <w:rFonts w:ascii="Times New Roman" w:hAnsi="Times New Roman"/>
        <w:b/>
        <w:noProof/>
        <w:sz w:val="18"/>
        <w:szCs w:val="18"/>
      </w:rPr>
      <w:t>2</w:t>
    </w:r>
    <w:r w:rsidRPr="00C758E4">
      <w:rPr>
        <w:rFonts w:ascii="Times New Roman" w:hAnsi="Times New Roman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C758E4" w:rsidRDefault="005850FD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C758E4">
      <w:rPr>
        <w:rFonts w:ascii="Times New Roman" w:hAnsi="Times New Roman"/>
        <w:b/>
        <w:sz w:val="18"/>
        <w:szCs w:val="18"/>
      </w:rPr>
      <w:fldChar w:fldCharType="begin"/>
    </w:r>
    <w:r w:rsidRPr="00C758E4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C758E4">
      <w:rPr>
        <w:rFonts w:ascii="Times New Roman" w:hAnsi="Times New Roman"/>
        <w:b/>
        <w:sz w:val="18"/>
        <w:szCs w:val="18"/>
      </w:rPr>
      <w:fldChar w:fldCharType="separate"/>
    </w:r>
    <w:r w:rsidR="00672693">
      <w:rPr>
        <w:rFonts w:ascii="Times New Roman" w:hAnsi="Times New Roman"/>
        <w:b/>
        <w:noProof/>
        <w:sz w:val="18"/>
        <w:szCs w:val="18"/>
      </w:rPr>
      <w:t>7</w:t>
    </w:r>
    <w:r w:rsidRPr="00C758E4">
      <w:rPr>
        <w:rFonts w:ascii="Times New Roman" w:hAnsi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864922" w:rsidRDefault="005850FD" w:rsidP="00864922">
    <w:pPr>
      <w:pStyle w:val="Footer"/>
      <w:tabs>
        <w:tab w:val="clear" w:pos="4513"/>
        <w:tab w:val="clear" w:pos="9026"/>
        <w:tab w:val="left" w:pos="62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K1353508</w:t>
    </w:r>
    <w:r>
      <w:rPr>
        <w:rFonts w:ascii="Times New Roman" w:hAnsi="Times New Roman"/>
        <w:sz w:val="20"/>
        <w:szCs w:val="20"/>
      </w:rPr>
      <w:tab/>
    </w:r>
    <w:r w:rsidR="00D27FDA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1113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0A3562" w:rsidRDefault="005850FD" w:rsidP="0059461F">
    <w:pPr>
      <w:pStyle w:val="Normal-pool"/>
      <w:jc w:val="right"/>
      <w:rPr>
        <w:b/>
      </w:rPr>
    </w:pPr>
    <w:r w:rsidRPr="000A3562">
      <w:rPr>
        <w:b/>
      </w:rPr>
      <w:fldChar w:fldCharType="begin"/>
    </w:r>
    <w:r w:rsidRPr="000A3562">
      <w:rPr>
        <w:b/>
      </w:rPr>
      <w:instrText xml:space="preserve"> PAGE   \* MERGEFORMAT </w:instrText>
    </w:r>
    <w:r w:rsidRPr="000A3562">
      <w:rPr>
        <w:b/>
      </w:rPr>
      <w:fldChar w:fldCharType="separate"/>
    </w:r>
    <w:r w:rsidR="00672693">
      <w:rPr>
        <w:b/>
        <w:noProof/>
      </w:rPr>
      <w:t>9</w:t>
    </w:r>
    <w:r w:rsidRPr="000A3562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F" w:rsidRPr="000A3562" w:rsidRDefault="0059461F" w:rsidP="0059461F">
    <w:pPr>
      <w:pStyle w:val="Normal-pool"/>
      <w:rPr>
        <w:b/>
      </w:rPr>
    </w:pPr>
    <w:r w:rsidRPr="000A3562">
      <w:rPr>
        <w:b/>
      </w:rPr>
      <w:fldChar w:fldCharType="begin"/>
    </w:r>
    <w:r w:rsidRPr="000A3562">
      <w:rPr>
        <w:b/>
      </w:rPr>
      <w:instrText xml:space="preserve"> PAGE   \* MERGEFORMAT </w:instrText>
    </w:r>
    <w:r w:rsidRPr="000A3562">
      <w:rPr>
        <w:b/>
      </w:rPr>
      <w:fldChar w:fldCharType="separate"/>
    </w:r>
    <w:r w:rsidR="00672693">
      <w:rPr>
        <w:b/>
        <w:noProof/>
      </w:rPr>
      <w:t>10</w:t>
    </w:r>
    <w:r w:rsidRPr="000A356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2B" w:rsidRPr="0014098B" w:rsidRDefault="0037362B" w:rsidP="0014098B">
      <w:pPr>
        <w:spacing w:after="120" w:line="240" w:lineRule="auto"/>
        <w:ind w:left="624"/>
        <w:rPr>
          <w:rFonts w:ascii="Times New Roman" w:hAnsi="Times New Roman"/>
          <w:sz w:val="20"/>
          <w:szCs w:val="20"/>
        </w:rPr>
      </w:pPr>
      <w:r w:rsidRPr="0014098B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37362B" w:rsidRDefault="0037362B" w:rsidP="0083613E">
      <w:pPr>
        <w:spacing w:after="0" w:line="240" w:lineRule="auto"/>
      </w:pPr>
      <w:r>
        <w:continuationSeparator/>
      </w:r>
    </w:p>
  </w:footnote>
  <w:footnote w:id="1">
    <w:p w:rsidR="005850FD" w:rsidRPr="00EB2672" w:rsidRDefault="005850FD" w:rsidP="00864922">
      <w:pPr>
        <w:pStyle w:val="FootnoteText"/>
        <w:spacing w:before="20" w:after="40"/>
        <w:ind w:left="1723" w:hanging="476"/>
        <w:rPr>
          <w:sz w:val="18"/>
          <w:szCs w:val="18"/>
          <w:lang w:val="en-US"/>
        </w:rPr>
      </w:pPr>
      <w:r w:rsidRPr="00EB2672">
        <w:rPr>
          <w:rStyle w:val="FootnoteReference"/>
          <w:sz w:val="18"/>
          <w:szCs w:val="18"/>
        </w:rPr>
        <w:sym w:font="Symbol" w:char="F02A"/>
      </w:r>
      <w:r w:rsidRPr="00EB2672">
        <w:rPr>
          <w:sz w:val="18"/>
          <w:szCs w:val="18"/>
        </w:rPr>
        <w:t xml:space="preserve"> IPBES/</w:t>
      </w:r>
      <w:r w:rsidRPr="00EB2672">
        <w:rPr>
          <w:sz w:val="18"/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864922" w:rsidRDefault="005850FD" w:rsidP="00864922">
    <w:pPr>
      <w:pStyle w:val="Header"/>
      <w:pBdr>
        <w:bottom w:val="single" w:sz="4" w:space="1" w:color="auto"/>
      </w:pBdr>
      <w:spacing w:after="120"/>
      <w:rPr>
        <w:rFonts w:ascii="Times New Roman" w:hAnsi="Times New Roman"/>
        <w:b/>
        <w:sz w:val="18"/>
        <w:szCs w:val="18"/>
      </w:rPr>
    </w:pPr>
    <w:r w:rsidRPr="00864922">
      <w:rPr>
        <w:rFonts w:ascii="Times New Roman" w:hAnsi="Times New Roman"/>
        <w:b/>
        <w:sz w:val="18"/>
        <w:szCs w:val="18"/>
        <w:lang w:val="en-US"/>
      </w:rPr>
      <w:t>IPBES/</w:t>
    </w:r>
    <w:r>
      <w:rPr>
        <w:rFonts w:ascii="Times New Roman" w:hAnsi="Times New Roman"/>
        <w:b/>
        <w:sz w:val="18"/>
        <w:szCs w:val="18"/>
        <w:lang w:val="en-US" w:eastAsia="ja-JP"/>
      </w:rPr>
      <w:t>2/6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864922" w:rsidRDefault="005850FD" w:rsidP="00864922">
    <w:pPr>
      <w:pStyle w:val="Header"/>
      <w:pBdr>
        <w:bottom w:val="single" w:sz="4" w:space="1" w:color="auto"/>
      </w:pBdr>
      <w:jc w:val="right"/>
      <w:rPr>
        <w:rFonts w:ascii="Times New Roman" w:hAnsi="Times New Roman"/>
        <w:b/>
        <w:sz w:val="18"/>
        <w:szCs w:val="18"/>
      </w:rPr>
    </w:pPr>
    <w:r w:rsidRPr="00864922">
      <w:rPr>
        <w:rFonts w:ascii="Times New Roman" w:hAnsi="Times New Roman"/>
        <w:b/>
        <w:sz w:val="18"/>
        <w:szCs w:val="18"/>
        <w:lang w:val="en-US"/>
      </w:rPr>
      <w:t>IPBES/</w:t>
    </w:r>
    <w:r>
      <w:rPr>
        <w:rFonts w:ascii="Times New Roman" w:hAnsi="Times New Roman"/>
        <w:b/>
        <w:sz w:val="18"/>
        <w:szCs w:val="18"/>
        <w:lang w:val="en-US" w:eastAsia="ja-JP"/>
      </w:rPr>
      <w:t>2/6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Default="00585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80727" o:spid="_x0000_s2053" type="#_x0000_t136" style="position:absolute;margin-left:0;margin-top:0;width:525.3pt;height:150.0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Default="00585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80728" o:spid="_x0000_s2054" type="#_x0000_t136" style="position:absolute;margin-left:0;margin-top:0;width:525.3pt;height:150.0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FD" w:rsidRPr="00903BD4" w:rsidRDefault="005850FD" w:rsidP="0059461F">
    <w:pPr>
      <w:pStyle w:val="Header"/>
      <w:pBdr>
        <w:bottom w:val="single" w:sz="4" w:space="1" w:color="auto"/>
      </w:pBdr>
      <w:spacing w:after="120"/>
      <w:jc w:val="right"/>
      <w:rPr>
        <w:rFonts w:ascii="Times New Roman" w:hAnsi="Times New Roman"/>
        <w:b/>
        <w:sz w:val="18"/>
        <w:szCs w:val="18"/>
      </w:rPr>
    </w:pPr>
    <w:r w:rsidRPr="00864922">
      <w:rPr>
        <w:rFonts w:ascii="Times New Roman" w:hAnsi="Times New Roman"/>
        <w:b/>
        <w:sz w:val="18"/>
        <w:szCs w:val="18"/>
        <w:lang w:val="en-US"/>
      </w:rPr>
      <w:t>IPBES/</w:t>
    </w:r>
    <w:r>
      <w:rPr>
        <w:rFonts w:ascii="Times New Roman" w:hAnsi="Times New Roman"/>
        <w:b/>
        <w:sz w:val="18"/>
        <w:szCs w:val="18"/>
        <w:lang w:val="en-US" w:eastAsia="ja-JP"/>
      </w:rPr>
      <w:t>2/6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1F" w:rsidRPr="00903BD4" w:rsidRDefault="0059461F" w:rsidP="0059461F">
    <w:pPr>
      <w:pStyle w:val="Header"/>
      <w:pBdr>
        <w:bottom w:val="single" w:sz="4" w:space="1" w:color="auto"/>
      </w:pBdr>
      <w:spacing w:after="120"/>
      <w:rPr>
        <w:rFonts w:ascii="Times New Roman" w:hAnsi="Times New Roman"/>
        <w:b/>
        <w:sz w:val="18"/>
        <w:szCs w:val="18"/>
      </w:rPr>
    </w:pPr>
    <w:r w:rsidRPr="00864922">
      <w:rPr>
        <w:rFonts w:ascii="Times New Roman" w:hAnsi="Times New Roman"/>
        <w:b/>
        <w:sz w:val="18"/>
        <w:szCs w:val="18"/>
        <w:lang w:val="en-US"/>
      </w:rPr>
      <w:t>IPBES/</w:t>
    </w:r>
    <w:r>
      <w:rPr>
        <w:rFonts w:ascii="Times New Roman" w:hAnsi="Times New Roman"/>
        <w:b/>
        <w:sz w:val="18"/>
        <w:szCs w:val="18"/>
        <w:lang w:val="en-US" w:eastAsia="ja-JP"/>
      </w:rPr>
      <w:t>2/6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640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6523"/>
    <w:multiLevelType w:val="hybridMultilevel"/>
    <w:tmpl w:val="CB367C4E"/>
    <w:lvl w:ilvl="0" w:tplc="F11C7108">
      <w:start w:val="1"/>
      <w:numFmt w:val="lowerLetter"/>
      <w:lvlText w:val="(%1)"/>
      <w:lvlJc w:val="left"/>
      <w:pPr>
        <w:ind w:left="22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00974223"/>
    <w:multiLevelType w:val="hybridMultilevel"/>
    <w:tmpl w:val="8C38AA10"/>
    <w:lvl w:ilvl="0" w:tplc="0A64DE08">
      <w:start w:val="1"/>
      <w:numFmt w:val="upperLetter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>
    <w:nsid w:val="034B79E0"/>
    <w:multiLevelType w:val="hybridMultilevel"/>
    <w:tmpl w:val="66845AB4"/>
    <w:lvl w:ilvl="0" w:tplc="2E04DF6C">
      <w:start w:val="1"/>
      <w:numFmt w:val="decimal"/>
      <w:lvlText w:val="%1."/>
      <w:lvlJc w:val="left"/>
      <w:pPr>
        <w:ind w:left="3062" w:hanging="360"/>
      </w:pPr>
    </w:lvl>
    <w:lvl w:ilvl="1" w:tplc="3C7247B2">
      <w:start w:val="1"/>
      <w:numFmt w:val="lowerLetter"/>
      <w:lvlText w:val="%2)"/>
      <w:lvlJc w:val="left"/>
      <w:pPr>
        <w:ind w:left="2522" w:hanging="360"/>
      </w:pPr>
      <w:rPr>
        <w:rFonts w:ascii="Times New Roman" w:eastAsia="Times New Roman" w:hAnsi="Times New Roman" w:cs="Times New Roman"/>
      </w:rPr>
    </w:lvl>
    <w:lvl w:ilvl="2" w:tplc="640C88A4">
      <w:start w:val="1"/>
      <w:numFmt w:val="lowerRoman"/>
      <w:lvlText w:val="(%3)"/>
      <w:lvlJc w:val="right"/>
      <w:pPr>
        <w:ind w:left="3242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962" w:hanging="360"/>
      </w:pPr>
    </w:lvl>
    <w:lvl w:ilvl="4" w:tplc="08090019" w:tentative="1">
      <w:start w:val="1"/>
      <w:numFmt w:val="lowerLetter"/>
      <w:lvlText w:val="%5."/>
      <w:lvlJc w:val="left"/>
      <w:pPr>
        <w:ind w:left="4682" w:hanging="360"/>
      </w:pPr>
    </w:lvl>
    <w:lvl w:ilvl="5" w:tplc="0809001B" w:tentative="1">
      <w:start w:val="1"/>
      <w:numFmt w:val="lowerRoman"/>
      <w:lvlText w:val="%6."/>
      <w:lvlJc w:val="right"/>
      <w:pPr>
        <w:ind w:left="5402" w:hanging="180"/>
      </w:pPr>
    </w:lvl>
    <w:lvl w:ilvl="6" w:tplc="0809000F" w:tentative="1">
      <w:start w:val="1"/>
      <w:numFmt w:val="decimal"/>
      <w:lvlText w:val="%7."/>
      <w:lvlJc w:val="left"/>
      <w:pPr>
        <w:ind w:left="6122" w:hanging="360"/>
      </w:pPr>
    </w:lvl>
    <w:lvl w:ilvl="7" w:tplc="08090019" w:tentative="1">
      <w:start w:val="1"/>
      <w:numFmt w:val="lowerLetter"/>
      <w:lvlText w:val="%8."/>
      <w:lvlJc w:val="left"/>
      <w:pPr>
        <w:ind w:left="6842" w:hanging="360"/>
      </w:pPr>
    </w:lvl>
    <w:lvl w:ilvl="8" w:tplc="08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">
    <w:nsid w:val="03E51F84"/>
    <w:multiLevelType w:val="hybridMultilevel"/>
    <w:tmpl w:val="C5ACDB3E"/>
    <w:lvl w:ilvl="0" w:tplc="C6A07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5256"/>
    <w:multiLevelType w:val="hybridMultilevel"/>
    <w:tmpl w:val="CAD4E12A"/>
    <w:lvl w:ilvl="0" w:tplc="A154A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090E"/>
    <w:multiLevelType w:val="hybridMultilevel"/>
    <w:tmpl w:val="2744E860"/>
    <w:lvl w:ilvl="0" w:tplc="388A549A">
      <w:start w:val="1"/>
      <w:numFmt w:val="lowerLetter"/>
      <w:lvlText w:val="(%1)"/>
      <w:lvlJc w:val="left"/>
      <w:pPr>
        <w:ind w:left="3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560" w:hanging="360"/>
      </w:pPr>
    </w:lvl>
    <w:lvl w:ilvl="2" w:tplc="0809001B" w:tentative="1">
      <w:start w:val="1"/>
      <w:numFmt w:val="lowerRoman"/>
      <w:lvlText w:val="%3."/>
      <w:lvlJc w:val="right"/>
      <w:pPr>
        <w:ind w:left="5280" w:hanging="180"/>
      </w:pPr>
    </w:lvl>
    <w:lvl w:ilvl="3" w:tplc="0809000F" w:tentative="1">
      <w:start w:val="1"/>
      <w:numFmt w:val="decimal"/>
      <w:lvlText w:val="%4."/>
      <w:lvlJc w:val="left"/>
      <w:pPr>
        <w:ind w:left="6000" w:hanging="360"/>
      </w:pPr>
    </w:lvl>
    <w:lvl w:ilvl="4" w:tplc="08090019" w:tentative="1">
      <w:start w:val="1"/>
      <w:numFmt w:val="lowerLetter"/>
      <w:lvlText w:val="%5."/>
      <w:lvlJc w:val="left"/>
      <w:pPr>
        <w:ind w:left="6720" w:hanging="360"/>
      </w:pPr>
    </w:lvl>
    <w:lvl w:ilvl="5" w:tplc="0809001B" w:tentative="1">
      <w:start w:val="1"/>
      <w:numFmt w:val="lowerRoman"/>
      <w:lvlText w:val="%6."/>
      <w:lvlJc w:val="right"/>
      <w:pPr>
        <w:ind w:left="7440" w:hanging="180"/>
      </w:pPr>
    </w:lvl>
    <w:lvl w:ilvl="6" w:tplc="0809000F" w:tentative="1">
      <w:start w:val="1"/>
      <w:numFmt w:val="decimal"/>
      <w:lvlText w:val="%7."/>
      <w:lvlJc w:val="left"/>
      <w:pPr>
        <w:ind w:left="8160" w:hanging="360"/>
      </w:pPr>
    </w:lvl>
    <w:lvl w:ilvl="7" w:tplc="08090019" w:tentative="1">
      <w:start w:val="1"/>
      <w:numFmt w:val="lowerLetter"/>
      <w:lvlText w:val="%8."/>
      <w:lvlJc w:val="left"/>
      <w:pPr>
        <w:ind w:left="8880" w:hanging="360"/>
      </w:pPr>
    </w:lvl>
    <w:lvl w:ilvl="8" w:tplc="08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>
    <w:nsid w:val="09FE02AE"/>
    <w:multiLevelType w:val="hybridMultilevel"/>
    <w:tmpl w:val="DD56B5FC"/>
    <w:lvl w:ilvl="0" w:tplc="85F0A732">
      <w:start w:val="1"/>
      <w:numFmt w:val="lowerLetter"/>
      <w:lvlText w:val="%1."/>
      <w:lvlJc w:val="left"/>
      <w:pPr>
        <w:ind w:left="1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>
    <w:nsid w:val="0B806A84"/>
    <w:multiLevelType w:val="hybridMultilevel"/>
    <w:tmpl w:val="169A9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C6469"/>
    <w:multiLevelType w:val="hybridMultilevel"/>
    <w:tmpl w:val="EEC6AFB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00802B0"/>
    <w:multiLevelType w:val="hybridMultilevel"/>
    <w:tmpl w:val="A2CC0060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26F41F23"/>
    <w:multiLevelType w:val="hybridMultilevel"/>
    <w:tmpl w:val="041CFF40"/>
    <w:lvl w:ilvl="0" w:tplc="04090019">
      <w:start w:val="8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D6299"/>
    <w:multiLevelType w:val="hybridMultilevel"/>
    <w:tmpl w:val="E0DC0BBC"/>
    <w:lvl w:ilvl="0" w:tplc="A05EBA2C">
      <w:start w:val="1"/>
      <w:numFmt w:val="lowerLetter"/>
      <w:lvlText w:val="%1."/>
      <w:lvlJc w:val="left"/>
      <w:pPr>
        <w:ind w:left="3122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6">
    <w:nsid w:val="2E4D7CBE"/>
    <w:multiLevelType w:val="hybridMultilevel"/>
    <w:tmpl w:val="3D2C1EA2"/>
    <w:lvl w:ilvl="0" w:tplc="B8C4BBD4">
      <w:start w:val="5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308B74CA"/>
    <w:multiLevelType w:val="hybridMultilevel"/>
    <w:tmpl w:val="486CD030"/>
    <w:lvl w:ilvl="0" w:tplc="5964EE66">
      <w:start w:val="29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>
    <w:nsid w:val="322C74CA"/>
    <w:multiLevelType w:val="hybridMultilevel"/>
    <w:tmpl w:val="6396E48A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E0C40"/>
    <w:multiLevelType w:val="hybridMultilevel"/>
    <w:tmpl w:val="A7CE276A"/>
    <w:lvl w:ilvl="0" w:tplc="B5B8F8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B5AEA"/>
    <w:multiLevelType w:val="hybridMultilevel"/>
    <w:tmpl w:val="61349C48"/>
    <w:lvl w:ilvl="0" w:tplc="50FC68EA">
      <w:start w:val="1"/>
      <w:numFmt w:val="lowerLetter"/>
      <w:lvlText w:val="(%1)"/>
      <w:lvlJc w:val="left"/>
      <w:pPr>
        <w:ind w:left="22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2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34211C"/>
    <w:multiLevelType w:val="hybridMultilevel"/>
    <w:tmpl w:val="5C62781A"/>
    <w:lvl w:ilvl="0" w:tplc="3252D0F8">
      <w:start w:val="1"/>
      <w:numFmt w:val="lowerLetter"/>
      <w:lvlText w:val="(%1)"/>
      <w:lvlJc w:val="left"/>
      <w:pPr>
        <w:ind w:left="22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4">
    <w:nsid w:val="4B151B58"/>
    <w:multiLevelType w:val="hybridMultilevel"/>
    <w:tmpl w:val="4B241646"/>
    <w:lvl w:ilvl="0" w:tplc="2AEE6954">
      <w:start w:val="3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4F577AE6"/>
    <w:multiLevelType w:val="hybridMultilevel"/>
    <w:tmpl w:val="E29C2650"/>
    <w:lvl w:ilvl="0" w:tplc="EF3ED1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06672A"/>
    <w:multiLevelType w:val="hybridMultilevel"/>
    <w:tmpl w:val="E652802A"/>
    <w:lvl w:ilvl="0" w:tplc="640C88A4">
      <w:start w:val="1"/>
      <w:numFmt w:val="lowerRoman"/>
      <w:lvlText w:val="(%1)"/>
      <w:lvlJc w:val="right"/>
      <w:pPr>
        <w:ind w:left="1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9" w:hanging="360"/>
      </w:pPr>
    </w:lvl>
    <w:lvl w:ilvl="2" w:tplc="0809001B" w:tentative="1">
      <w:start w:val="1"/>
      <w:numFmt w:val="lowerRoman"/>
      <w:lvlText w:val="%3."/>
      <w:lvlJc w:val="right"/>
      <w:pPr>
        <w:ind w:left="3409" w:hanging="180"/>
      </w:pPr>
    </w:lvl>
    <w:lvl w:ilvl="3" w:tplc="0809000F" w:tentative="1">
      <w:start w:val="1"/>
      <w:numFmt w:val="decimal"/>
      <w:lvlText w:val="%4."/>
      <w:lvlJc w:val="left"/>
      <w:pPr>
        <w:ind w:left="4129" w:hanging="360"/>
      </w:pPr>
    </w:lvl>
    <w:lvl w:ilvl="4" w:tplc="08090019" w:tentative="1">
      <w:start w:val="1"/>
      <w:numFmt w:val="lowerLetter"/>
      <w:lvlText w:val="%5."/>
      <w:lvlJc w:val="left"/>
      <w:pPr>
        <w:ind w:left="4849" w:hanging="360"/>
      </w:pPr>
    </w:lvl>
    <w:lvl w:ilvl="5" w:tplc="0809001B" w:tentative="1">
      <w:start w:val="1"/>
      <w:numFmt w:val="lowerRoman"/>
      <w:lvlText w:val="%6."/>
      <w:lvlJc w:val="right"/>
      <w:pPr>
        <w:ind w:left="5569" w:hanging="180"/>
      </w:pPr>
    </w:lvl>
    <w:lvl w:ilvl="6" w:tplc="0809000F" w:tentative="1">
      <w:start w:val="1"/>
      <w:numFmt w:val="decimal"/>
      <w:lvlText w:val="%7."/>
      <w:lvlJc w:val="left"/>
      <w:pPr>
        <w:ind w:left="6289" w:hanging="360"/>
      </w:pPr>
    </w:lvl>
    <w:lvl w:ilvl="7" w:tplc="08090019" w:tentative="1">
      <w:start w:val="1"/>
      <w:numFmt w:val="lowerLetter"/>
      <w:lvlText w:val="%8."/>
      <w:lvlJc w:val="left"/>
      <w:pPr>
        <w:ind w:left="7009" w:hanging="360"/>
      </w:pPr>
    </w:lvl>
    <w:lvl w:ilvl="8" w:tplc="08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8">
    <w:nsid w:val="582672F1"/>
    <w:multiLevelType w:val="hybridMultilevel"/>
    <w:tmpl w:val="9F32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44394"/>
    <w:multiLevelType w:val="hybridMultilevel"/>
    <w:tmpl w:val="E6B088A2"/>
    <w:lvl w:ilvl="0" w:tplc="D9785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003C07"/>
    <w:multiLevelType w:val="hybridMultilevel"/>
    <w:tmpl w:val="2360A57A"/>
    <w:lvl w:ilvl="0" w:tplc="BD8AF860">
      <w:start w:val="30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>
    <w:nsid w:val="69104B05"/>
    <w:multiLevelType w:val="hybridMultilevel"/>
    <w:tmpl w:val="93C8DB8C"/>
    <w:lvl w:ilvl="0" w:tplc="04090019">
      <w:start w:val="7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4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F27AA"/>
    <w:multiLevelType w:val="hybridMultilevel"/>
    <w:tmpl w:val="B8866DFE"/>
    <w:lvl w:ilvl="0" w:tplc="0BAE7EB8">
      <w:start w:val="1"/>
      <w:numFmt w:val="lowerLetter"/>
      <w:lvlText w:val="(%1)"/>
      <w:lvlJc w:val="left"/>
      <w:pPr>
        <w:ind w:left="2232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28"/>
  </w:num>
  <w:num w:numId="5">
    <w:abstractNumId w:val="10"/>
  </w:num>
  <w:num w:numId="6">
    <w:abstractNumId w:val="13"/>
  </w:num>
  <w:num w:numId="7">
    <w:abstractNumId w:val="22"/>
  </w:num>
  <w:num w:numId="8">
    <w:abstractNumId w:val="34"/>
  </w:num>
  <w:num w:numId="9">
    <w:abstractNumId w:val="9"/>
  </w:num>
  <w:num w:numId="10">
    <w:abstractNumId w:val="19"/>
  </w:num>
  <w:num w:numId="11">
    <w:abstractNumId w:val="25"/>
  </w:num>
  <w:num w:numId="12">
    <w:abstractNumId w:val="4"/>
  </w:num>
  <w:num w:numId="13">
    <w:abstractNumId w:val="5"/>
  </w:num>
  <w:num w:numId="14">
    <w:abstractNumId w:val="14"/>
  </w:num>
  <w:num w:numId="15">
    <w:abstractNumId w:val="29"/>
  </w:num>
  <w:num w:numId="16">
    <w:abstractNumId w:val="36"/>
  </w:num>
  <w:num w:numId="17">
    <w:abstractNumId w:val="30"/>
  </w:num>
  <w:num w:numId="18">
    <w:abstractNumId w:val="35"/>
  </w:num>
  <w:num w:numId="19">
    <w:abstractNumId w:val="3"/>
  </w:num>
  <w:num w:numId="20">
    <w:abstractNumId w:val="2"/>
  </w:num>
  <w:num w:numId="21">
    <w:abstractNumId w:val="37"/>
  </w:num>
  <w:num w:numId="22">
    <w:abstractNumId w:val="27"/>
  </w:num>
  <w:num w:numId="23">
    <w:abstractNumId w:val="18"/>
  </w:num>
  <w:num w:numId="24">
    <w:abstractNumId w:val="11"/>
  </w:num>
  <w:num w:numId="25">
    <w:abstractNumId w:val="24"/>
  </w:num>
  <w:num w:numId="26">
    <w:abstractNumId w:val="21"/>
  </w:num>
  <w:num w:numId="27">
    <w:abstractNumId w:val="1"/>
  </w:num>
  <w:num w:numId="28">
    <w:abstractNumId w:val="23"/>
  </w:num>
  <w:num w:numId="29">
    <w:abstractNumId w:val="17"/>
  </w:num>
  <w:num w:numId="30">
    <w:abstractNumId w:val="32"/>
  </w:num>
  <w:num w:numId="31">
    <w:abstractNumId w:val="7"/>
  </w:num>
  <w:num w:numId="32">
    <w:abstractNumId w:val="16"/>
  </w:num>
  <w:num w:numId="33">
    <w:abstractNumId w:val="33"/>
  </w:num>
  <w:num w:numId="34">
    <w:abstractNumId w:val="12"/>
  </w:num>
  <w:num w:numId="35">
    <w:abstractNumId w:val="15"/>
  </w:num>
  <w:num w:numId="36">
    <w:abstractNumId w:val="0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9"/>
    <w:rsid w:val="00001285"/>
    <w:rsid w:val="000047CD"/>
    <w:rsid w:val="00004E55"/>
    <w:rsid w:val="0000599C"/>
    <w:rsid w:val="0003131E"/>
    <w:rsid w:val="00035810"/>
    <w:rsid w:val="00047FD6"/>
    <w:rsid w:val="00052EA5"/>
    <w:rsid w:val="00053B44"/>
    <w:rsid w:val="00054933"/>
    <w:rsid w:val="00061613"/>
    <w:rsid w:val="00061B58"/>
    <w:rsid w:val="00065434"/>
    <w:rsid w:val="00076986"/>
    <w:rsid w:val="00084562"/>
    <w:rsid w:val="00093F5D"/>
    <w:rsid w:val="000A0869"/>
    <w:rsid w:val="000A2D81"/>
    <w:rsid w:val="000A3562"/>
    <w:rsid w:val="000A48C6"/>
    <w:rsid w:val="000A529E"/>
    <w:rsid w:val="000B09F5"/>
    <w:rsid w:val="000B2B3B"/>
    <w:rsid w:val="000C2926"/>
    <w:rsid w:val="000C3B11"/>
    <w:rsid w:val="000C3B14"/>
    <w:rsid w:val="000C7D06"/>
    <w:rsid w:val="000D0D8A"/>
    <w:rsid w:val="000E2242"/>
    <w:rsid w:val="000E2C06"/>
    <w:rsid w:val="000E2CDB"/>
    <w:rsid w:val="000E4EF4"/>
    <w:rsid w:val="000F24E0"/>
    <w:rsid w:val="000F5A90"/>
    <w:rsid w:val="000F62AD"/>
    <w:rsid w:val="000F762B"/>
    <w:rsid w:val="00103EA8"/>
    <w:rsid w:val="00107A32"/>
    <w:rsid w:val="00107E61"/>
    <w:rsid w:val="00113670"/>
    <w:rsid w:val="00113B61"/>
    <w:rsid w:val="0011665F"/>
    <w:rsid w:val="001213BD"/>
    <w:rsid w:val="00121F3A"/>
    <w:rsid w:val="00122DC8"/>
    <w:rsid w:val="001249E6"/>
    <w:rsid w:val="0012576C"/>
    <w:rsid w:val="0013161C"/>
    <w:rsid w:val="001341C6"/>
    <w:rsid w:val="00134E64"/>
    <w:rsid w:val="0014098B"/>
    <w:rsid w:val="00142691"/>
    <w:rsid w:val="001470C2"/>
    <w:rsid w:val="00147AA7"/>
    <w:rsid w:val="00152373"/>
    <w:rsid w:val="0015431C"/>
    <w:rsid w:val="00154D4A"/>
    <w:rsid w:val="001551D5"/>
    <w:rsid w:val="001579CE"/>
    <w:rsid w:val="00160300"/>
    <w:rsid w:val="00161797"/>
    <w:rsid w:val="00163512"/>
    <w:rsid w:val="00164311"/>
    <w:rsid w:val="00166513"/>
    <w:rsid w:val="001717FF"/>
    <w:rsid w:val="001736BD"/>
    <w:rsid w:val="0017596B"/>
    <w:rsid w:val="00176C8D"/>
    <w:rsid w:val="00194F82"/>
    <w:rsid w:val="001A286B"/>
    <w:rsid w:val="001A6600"/>
    <w:rsid w:val="001B11DB"/>
    <w:rsid w:val="001B7DE8"/>
    <w:rsid w:val="001C6D61"/>
    <w:rsid w:val="001C6E6C"/>
    <w:rsid w:val="001D417F"/>
    <w:rsid w:val="001E0C87"/>
    <w:rsid w:val="001E3C94"/>
    <w:rsid w:val="001E7538"/>
    <w:rsid w:val="001F60D5"/>
    <w:rsid w:val="001F6F90"/>
    <w:rsid w:val="002021A1"/>
    <w:rsid w:val="002038AD"/>
    <w:rsid w:val="00213DB1"/>
    <w:rsid w:val="00215BED"/>
    <w:rsid w:val="0021632E"/>
    <w:rsid w:val="00220CE6"/>
    <w:rsid w:val="00221128"/>
    <w:rsid w:val="00221F1F"/>
    <w:rsid w:val="002344B7"/>
    <w:rsid w:val="00243342"/>
    <w:rsid w:val="00243352"/>
    <w:rsid w:val="0024366E"/>
    <w:rsid w:val="002536DD"/>
    <w:rsid w:val="00260B52"/>
    <w:rsid w:val="002610D6"/>
    <w:rsid w:val="00266ADC"/>
    <w:rsid w:val="002868EA"/>
    <w:rsid w:val="0029611F"/>
    <w:rsid w:val="002A24F8"/>
    <w:rsid w:val="002A2BCB"/>
    <w:rsid w:val="002A5CC9"/>
    <w:rsid w:val="002B1275"/>
    <w:rsid w:val="002B1DD4"/>
    <w:rsid w:val="002B21B0"/>
    <w:rsid w:val="002B76E8"/>
    <w:rsid w:val="002C186E"/>
    <w:rsid w:val="002C2BD5"/>
    <w:rsid w:val="002C5534"/>
    <w:rsid w:val="002D60DE"/>
    <w:rsid w:val="002D60FC"/>
    <w:rsid w:val="002D7D7B"/>
    <w:rsid w:val="002E59AA"/>
    <w:rsid w:val="002F03B3"/>
    <w:rsid w:val="002F7206"/>
    <w:rsid w:val="002F74E6"/>
    <w:rsid w:val="003035DF"/>
    <w:rsid w:val="00307CF9"/>
    <w:rsid w:val="00310A38"/>
    <w:rsid w:val="00313866"/>
    <w:rsid w:val="0031519B"/>
    <w:rsid w:val="003238BE"/>
    <w:rsid w:val="0033413C"/>
    <w:rsid w:val="00335D83"/>
    <w:rsid w:val="00336CB6"/>
    <w:rsid w:val="00337C24"/>
    <w:rsid w:val="00341A50"/>
    <w:rsid w:val="00341B3D"/>
    <w:rsid w:val="00344D48"/>
    <w:rsid w:val="0034727B"/>
    <w:rsid w:val="00351AD9"/>
    <w:rsid w:val="003520D6"/>
    <w:rsid w:val="00360F03"/>
    <w:rsid w:val="00361654"/>
    <w:rsid w:val="00363E66"/>
    <w:rsid w:val="00365B9E"/>
    <w:rsid w:val="00367F7C"/>
    <w:rsid w:val="00370E5F"/>
    <w:rsid w:val="0037362B"/>
    <w:rsid w:val="00375882"/>
    <w:rsid w:val="00376E86"/>
    <w:rsid w:val="0038186E"/>
    <w:rsid w:val="00381F71"/>
    <w:rsid w:val="003867B1"/>
    <w:rsid w:val="003A28DF"/>
    <w:rsid w:val="003A5869"/>
    <w:rsid w:val="003B022F"/>
    <w:rsid w:val="003B26D0"/>
    <w:rsid w:val="003B3DA7"/>
    <w:rsid w:val="003B4408"/>
    <w:rsid w:val="003B4914"/>
    <w:rsid w:val="003B55FA"/>
    <w:rsid w:val="003B6D6D"/>
    <w:rsid w:val="003C3AD4"/>
    <w:rsid w:val="003D3BA5"/>
    <w:rsid w:val="003D493C"/>
    <w:rsid w:val="003D7E21"/>
    <w:rsid w:val="003E0949"/>
    <w:rsid w:val="003E76BB"/>
    <w:rsid w:val="003F016E"/>
    <w:rsid w:val="004101CF"/>
    <w:rsid w:val="004139F3"/>
    <w:rsid w:val="0042631D"/>
    <w:rsid w:val="0043001B"/>
    <w:rsid w:val="004430A7"/>
    <w:rsid w:val="00447A1A"/>
    <w:rsid w:val="00452351"/>
    <w:rsid w:val="004531D3"/>
    <w:rsid w:val="00456605"/>
    <w:rsid w:val="00460DD9"/>
    <w:rsid w:val="0047247F"/>
    <w:rsid w:val="00474697"/>
    <w:rsid w:val="00477CE9"/>
    <w:rsid w:val="00477CF3"/>
    <w:rsid w:val="0048265C"/>
    <w:rsid w:val="00482DB0"/>
    <w:rsid w:val="00486024"/>
    <w:rsid w:val="00487FEB"/>
    <w:rsid w:val="004911C4"/>
    <w:rsid w:val="00495A57"/>
    <w:rsid w:val="0049638F"/>
    <w:rsid w:val="00496A5F"/>
    <w:rsid w:val="004A077F"/>
    <w:rsid w:val="004A35BE"/>
    <w:rsid w:val="004A7803"/>
    <w:rsid w:val="004B2523"/>
    <w:rsid w:val="004B3DFF"/>
    <w:rsid w:val="004B4B84"/>
    <w:rsid w:val="004B6B9B"/>
    <w:rsid w:val="004B6CF6"/>
    <w:rsid w:val="004B7608"/>
    <w:rsid w:val="004C1F17"/>
    <w:rsid w:val="004C6C30"/>
    <w:rsid w:val="004D6D5A"/>
    <w:rsid w:val="004E73BF"/>
    <w:rsid w:val="004F168F"/>
    <w:rsid w:val="004F2BDC"/>
    <w:rsid w:val="004F376C"/>
    <w:rsid w:val="00500890"/>
    <w:rsid w:val="00505BCD"/>
    <w:rsid w:val="0051493B"/>
    <w:rsid w:val="0051548F"/>
    <w:rsid w:val="00515E44"/>
    <w:rsid w:val="00516303"/>
    <w:rsid w:val="005166CE"/>
    <w:rsid w:val="00523B59"/>
    <w:rsid w:val="00530106"/>
    <w:rsid w:val="0053360C"/>
    <w:rsid w:val="00535CCE"/>
    <w:rsid w:val="00537EB6"/>
    <w:rsid w:val="005456D5"/>
    <w:rsid w:val="005519BE"/>
    <w:rsid w:val="005554BA"/>
    <w:rsid w:val="00562923"/>
    <w:rsid w:val="00570E78"/>
    <w:rsid w:val="005752AB"/>
    <w:rsid w:val="00577CD8"/>
    <w:rsid w:val="00580D5C"/>
    <w:rsid w:val="00583F54"/>
    <w:rsid w:val="005850FD"/>
    <w:rsid w:val="00590173"/>
    <w:rsid w:val="00591C49"/>
    <w:rsid w:val="00593E84"/>
    <w:rsid w:val="0059461F"/>
    <w:rsid w:val="0059582C"/>
    <w:rsid w:val="005A58AC"/>
    <w:rsid w:val="005B0E47"/>
    <w:rsid w:val="005B2DC3"/>
    <w:rsid w:val="005B47A7"/>
    <w:rsid w:val="005C66D3"/>
    <w:rsid w:val="005D18A9"/>
    <w:rsid w:val="005E0DA6"/>
    <w:rsid w:val="005F23BD"/>
    <w:rsid w:val="005F3435"/>
    <w:rsid w:val="00600B48"/>
    <w:rsid w:val="0061004E"/>
    <w:rsid w:val="00624DDF"/>
    <w:rsid w:val="00644C5E"/>
    <w:rsid w:val="0065222B"/>
    <w:rsid w:val="006538E7"/>
    <w:rsid w:val="0065514A"/>
    <w:rsid w:val="00661F0E"/>
    <w:rsid w:val="00663469"/>
    <w:rsid w:val="00672693"/>
    <w:rsid w:val="006731AA"/>
    <w:rsid w:val="0067528B"/>
    <w:rsid w:val="00680409"/>
    <w:rsid w:val="006875FB"/>
    <w:rsid w:val="00692568"/>
    <w:rsid w:val="006957D5"/>
    <w:rsid w:val="00695869"/>
    <w:rsid w:val="00695D30"/>
    <w:rsid w:val="006974E4"/>
    <w:rsid w:val="006A373D"/>
    <w:rsid w:val="006A4CB3"/>
    <w:rsid w:val="006B0BA3"/>
    <w:rsid w:val="006B408F"/>
    <w:rsid w:val="006C2CD8"/>
    <w:rsid w:val="006C5255"/>
    <w:rsid w:val="006D10DD"/>
    <w:rsid w:val="006D1E48"/>
    <w:rsid w:val="006D3EEB"/>
    <w:rsid w:val="006D48FA"/>
    <w:rsid w:val="006D59FE"/>
    <w:rsid w:val="00700956"/>
    <w:rsid w:val="00701FF7"/>
    <w:rsid w:val="007057FE"/>
    <w:rsid w:val="00711DC6"/>
    <w:rsid w:val="007130C7"/>
    <w:rsid w:val="00726271"/>
    <w:rsid w:val="00732169"/>
    <w:rsid w:val="00732BB6"/>
    <w:rsid w:val="007342F8"/>
    <w:rsid w:val="00734793"/>
    <w:rsid w:val="00735D23"/>
    <w:rsid w:val="00737F89"/>
    <w:rsid w:val="00743A1D"/>
    <w:rsid w:val="007538F4"/>
    <w:rsid w:val="007666BC"/>
    <w:rsid w:val="00772299"/>
    <w:rsid w:val="00774D4E"/>
    <w:rsid w:val="00786851"/>
    <w:rsid w:val="0079119E"/>
    <w:rsid w:val="007911CB"/>
    <w:rsid w:val="00791E07"/>
    <w:rsid w:val="007A1F79"/>
    <w:rsid w:val="007A24E9"/>
    <w:rsid w:val="007A3B82"/>
    <w:rsid w:val="007A3C5B"/>
    <w:rsid w:val="007B0C88"/>
    <w:rsid w:val="007B6149"/>
    <w:rsid w:val="007C53EC"/>
    <w:rsid w:val="007C55B4"/>
    <w:rsid w:val="007C56A2"/>
    <w:rsid w:val="007D04A3"/>
    <w:rsid w:val="007D160F"/>
    <w:rsid w:val="007D1BCC"/>
    <w:rsid w:val="007D5EF9"/>
    <w:rsid w:val="007D6B60"/>
    <w:rsid w:val="007E19E3"/>
    <w:rsid w:val="007F410D"/>
    <w:rsid w:val="007F54DC"/>
    <w:rsid w:val="007F6A48"/>
    <w:rsid w:val="00815494"/>
    <w:rsid w:val="008164F1"/>
    <w:rsid w:val="00827A4D"/>
    <w:rsid w:val="00830178"/>
    <w:rsid w:val="0083123F"/>
    <w:rsid w:val="00835F4E"/>
    <w:rsid w:val="0083613E"/>
    <w:rsid w:val="00836152"/>
    <w:rsid w:val="008371F6"/>
    <w:rsid w:val="00860597"/>
    <w:rsid w:val="00864922"/>
    <w:rsid w:val="00867480"/>
    <w:rsid w:val="00870C11"/>
    <w:rsid w:val="00870C8B"/>
    <w:rsid w:val="008726F2"/>
    <w:rsid w:val="00874AB6"/>
    <w:rsid w:val="00880FDB"/>
    <w:rsid w:val="00881D95"/>
    <w:rsid w:val="00882A37"/>
    <w:rsid w:val="008840CA"/>
    <w:rsid w:val="00884A61"/>
    <w:rsid w:val="00884D43"/>
    <w:rsid w:val="00886564"/>
    <w:rsid w:val="00894CD6"/>
    <w:rsid w:val="008A1B55"/>
    <w:rsid w:val="008B0181"/>
    <w:rsid w:val="008B23E8"/>
    <w:rsid w:val="008B49DD"/>
    <w:rsid w:val="008B67C2"/>
    <w:rsid w:val="008C157D"/>
    <w:rsid w:val="008C2295"/>
    <w:rsid w:val="008C2DBD"/>
    <w:rsid w:val="008C66A6"/>
    <w:rsid w:val="008D158F"/>
    <w:rsid w:val="008D64B4"/>
    <w:rsid w:val="008E34A2"/>
    <w:rsid w:val="008E3710"/>
    <w:rsid w:val="008E545F"/>
    <w:rsid w:val="008E54AC"/>
    <w:rsid w:val="008E6354"/>
    <w:rsid w:val="008F2DB9"/>
    <w:rsid w:val="008F38AE"/>
    <w:rsid w:val="00900536"/>
    <w:rsid w:val="00900684"/>
    <w:rsid w:val="00903BD4"/>
    <w:rsid w:val="00913519"/>
    <w:rsid w:val="00913E94"/>
    <w:rsid w:val="00920101"/>
    <w:rsid w:val="00921B67"/>
    <w:rsid w:val="009240D6"/>
    <w:rsid w:val="009245F6"/>
    <w:rsid w:val="0092697E"/>
    <w:rsid w:val="00927592"/>
    <w:rsid w:val="00927CE9"/>
    <w:rsid w:val="00930C3C"/>
    <w:rsid w:val="00933D89"/>
    <w:rsid w:val="009342E3"/>
    <w:rsid w:val="00934F47"/>
    <w:rsid w:val="009476E8"/>
    <w:rsid w:val="0094786B"/>
    <w:rsid w:val="0096389B"/>
    <w:rsid w:val="00973C44"/>
    <w:rsid w:val="00987C83"/>
    <w:rsid w:val="00990E8A"/>
    <w:rsid w:val="00992190"/>
    <w:rsid w:val="009927C6"/>
    <w:rsid w:val="00993730"/>
    <w:rsid w:val="009A0D50"/>
    <w:rsid w:val="009A2E4C"/>
    <w:rsid w:val="009A4E0F"/>
    <w:rsid w:val="009A5469"/>
    <w:rsid w:val="009A5EEF"/>
    <w:rsid w:val="009A75A9"/>
    <w:rsid w:val="009B170B"/>
    <w:rsid w:val="009B478B"/>
    <w:rsid w:val="009B53E8"/>
    <w:rsid w:val="009B7E5E"/>
    <w:rsid w:val="009C0046"/>
    <w:rsid w:val="009C0329"/>
    <w:rsid w:val="009D5565"/>
    <w:rsid w:val="009D5985"/>
    <w:rsid w:val="009D648A"/>
    <w:rsid w:val="009E1368"/>
    <w:rsid w:val="009E2511"/>
    <w:rsid w:val="009E4383"/>
    <w:rsid w:val="009E6D5F"/>
    <w:rsid w:val="009E7CFF"/>
    <w:rsid w:val="009F0E92"/>
    <w:rsid w:val="009F15ED"/>
    <w:rsid w:val="009F2F35"/>
    <w:rsid w:val="009F62C0"/>
    <w:rsid w:val="00A06B78"/>
    <w:rsid w:val="00A10C80"/>
    <w:rsid w:val="00A2431F"/>
    <w:rsid w:val="00A2687C"/>
    <w:rsid w:val="00A32E8A"/>
    <w:rsid w:val="00A359D2"/>
    <w:rsid w:val="00A43F64"/>
    <w:rsid w:val="00A54659"/>
    <w:rsid w:val="00A60F43"/>
    <w:rsid w:val="00A62F0E"/>
    <w:rsid w:val="00A70B40"/>
    <w:rsid w:val="00A71233"/>
    <w:rsid w:val="00A71F6E"/>
    <w:rsid w:val="00A731B3"/>
    <w:rsid w:val="00A74E85"/>
    <w:rsid w:val="00A825ED"/>
    <w:rsid w:val="00AA2BC9"/>
    <w:rsid w:val="00AB0FF4"/>
    <w:rsid w:val="00AB1186"/>
    <w:rsid w:val="00AB2DB5"/>
    <w:rsid w:val="00AC0235"/>
    <w:rsid w:val="00AC2A97"/>
    <w:rsid w:val="00AC2AB3"/>
    <w:rsid w:val="00AC6C51"/>
    <w:rsid w:val="00AC6E7F"/>
    <w:rsid w:val="00AD2BB9"/>
    <w:rsid w:val="00AE11EF"/>
    <w:rsid w:val="00AE567B"/>
    <w:rsid w:val="00AE7327"/>
    <w:rsid w:val="00AF5D58"/>
    <w:rsid w:val="00AF63B1"/>
    <w:rsid w:val="00AF6E82"/>
    <w:rsid w:val="00B00FF2"/>
    <w:rsid w:val="00B10A3F"/>
    <w:rsid w:val="00B21995"/>
    <w:rsid w:val="00B22711"/>
    <w:rsid w:val="00B30271"/>
    <w:rsid w:val="00B404BA"/>
    <w:rsid w:val="00B468A6"/>
    <w:rsid w:val="00B621AC"/>
    <w:rsid w:val="00B64ECA"/>
    <w:rsid w:val="00B72670"/>
    <w:rsid w:val="00B80989"/>
    <w:rsid w:val="00B81F32"/>
    <w:rsid w:val="00B83AAC"/>
    <w:rsid w:val="00B83CF5"/>
    <w:rsid w:val="00B8612D"/>
    <w:rsid w:val="00B873FD"/>
    <w:rsid w:val="00BA22D2"/>
    <w:rsid w:val="00BC0EAF"/>
    <w:rsid w:val="00BC2797"/>
    <w:rsid w:val="00BC3ACD"/>
    <w:rsid w:val="00BC45A4"/>
    <w:rsid w:val="00BC5F5E"/>
    <w:rsid w:val="00BD044B"/>
    <w:rsid w:val="00BE363E"/>
    <w:rsid w:val="00BE4067"/>
    <w:rsid w:val="00BE4152"/>
    <w:rsid w:val="00BE46A7"/>
    <w:rsid w:val="00BE6286"/>
    <w:rsid w:val="00BF277E"/>
    <w:rsid w:val="00BF37CA"/>
    <w:rsid w:val="00BF3962"/>
    <w:rsid w:val="00BF3FE4"/>
    <w:rsid w:val="00C026CF"/>
    <w:rsid w:val="00C07763"/>
    <w:rsid w:val="00C143E7"/>
    <w:rsid w:val="00C16AF7"/>
    <w:rsid w:val="00C226FD"/>
    <w:rsid w:val="00C26F8C"/>
    <w:rsid w:val="00C2770D"/>
    <w:rsid w:val="00C333DA"/>
    <w:rsid w:val="00C36D24"/>
    <w:rsid w:val="00C5035A"/>
    <w:rsid w:val="00C52C73"/>
    <w:rsid w:val="00C57718"/>
    <w:rsid w:val="00C57AD5"/>
    <w:rsid w:val="00C63230"/>
    <w:rsid w:val="00C6518A"/>
    <w:rsid w:val="00C71438"/>
    <w:rsid w:val="00C758E4"/>
    <w:rsid w:val="00C775CE"/>
    <w:rsid w:val="00C77712"/>
    <w:rsid w:val="00C95C29"/>
    <w:rsid w:val="00C96E4A"/>
    <w:rsid w:val="00CA3CDA"/>
    <w:rsid w:val="00CA4EAE"/>
    <w:rsid w:val="00CB31D4"/>
    <w:rsid w:val="00CB3F05"/>
    <w:rsid w:val="00CB5CE7"/>
    <w:rsid w:val="00CB6AD3"/>
    <w:rsid w:val="00CC586A"/>
    <w:rsid w:val="00CE7A73"/>
    <w:rsid w:val="00CF043F"/>
    <w:rsid w:val="00CF6148"/>
    <w:rsid w:val="00D00E38"/>
    <w:rsid w:val="00D04433"/>
    <w:rsid w:val="00D05399"/>
    <w:rsid w:val="00D1073D"/>
    <w:rsid w:val="00D123F7"/>
    <w:rsid w:val="00D1603B"/>
    <w:rsid w:val="00D217D6"/>
    <w:rsid w:val="00D259C4"/>
    <w:rsid w:val="00D2671A"/>
    <w:rsid w:val="00D27FDA"/>
    <w:rsid w:val="00D32301"/>
    <w:rsid w:val="00D33B75"/>
    <w:rsid w:val="00D469C5"/>
    <w:rsid w:val="00D47822"/>
    <w:rsid w:val="00D60A67"/>
    <w:rsid w:val="00D62C8D"/>
    <w:rsid w:val="00D62D30"/>
    <w:rsid w:val="00D660E4"/>
    <w:rsid w:val="00D72BE5"/>
    <w:rsid w:val="00D7323C"/>
    <w:rsid w:val="00D7373A"/>
    <w:rsid w:val="00D805E0"/>
    <w:rsid w:val="00D8284B"/>
    <w:rsid w:val="00D82F7D"/>
    <w:rsid w:val="00D83A52"/>
    <w:rsid w:val="00D84FCD"/>
    <w:rsid w:val="00D86C19"/>
    <w:rsid w:val="00D91C39"/>
    <w:rsid w:val="00D91C90"/>
    <w:rsid w:val="00DB0EB6"/>
    <w:rsid w:val="00DB23B0"/>
    <w:rsid w:val="00DB7126"/>
    <w:rsid w:val="00DB7FA6"/>
    <w:rsid w:val="00DC1D8E"/>
    <w:rsid w:val="00DC3C60"/>
    <w:rsid w:val="00DC42B4"/>
    <w:rsid w:val="00DD39F9"/>
    <w:rsid w:val="00DD4A54"/>
    <w:rsid w:val="00DE2CEA"/>
    <w:rsid w:val="00DE43D6"/>
    <w:rsid w:val="00DE65C4"/>
    <w:rsid w:val="00E0265B"/>
    <w:rsid w:val="00E060DB"/>
    <w:rsid w:val="00E122C7"/>
    <w:rsid w:val="00E135F5"/>
    <w:rsid w:val="00E228B6"/>
    <w:rsid w:val="00E242D3"/>
    <w:rsid w:val="00E27C56"/>
    <w:rsid w:val="00E322BA"/>
    <w:rsid w:val="00E32C3D"/>
    <w:rsid w:val="00E37274"/>
    <w:rsid w:val="00E401BC"/>
    <w:rsid w:val="00E42E1B"/>
    <w:rsid w:val="00E55504"/>
    <w:rsid w:val="00E64406"/>
    <w:rsid w:val="00E67D78"/>
    <w:rsid w:val="00E714F4"/>
    <w:rsid w:val="00E71E55"/>
    <w:rsid w:val="00E7761A"/>
    <w:rsid w:val="00E778DD"/>
    <w:rsid w:val="00E87C81"/>
    <w:rsid w:val="00E87F5C"/>
    <w:rsid w:val="00E96F58"/>
    <w:rsid w:val="00EB0FE9"/>
    <w:rsid w:val="00EB2672"/>
    <w:rsid w:val="00EB30B8"/>
    <w:rsid w:val="00EB331D"/>
    <w:rsid w:val="00EC0263"/>
    <w:rsid w:val="00EC5A2D"/>
    <w:rsid w:val="00EC734B"/>
    <w:rsid w:val="00ED496A"/>
    <w:rsid w:val="00EE0047"/>
    <w:rsid w:val="00EE43EC"/>
    <w:rsid w:val="00EF29B8"/>
    <w:rsid w:val="00EF2D12"/>
    <w:rsid w:val="00EF73C2"/>
    <w:rsid w:val="00F0059D"/>
    <w:rsid w:val="00F07DF7"/>
    <w:rsid w:val="00F124B5"/>
    <w:rsid w:val="00F207B7"/>
    <w:rsid w:val="00F2147A"/>
    <w:rsid w:val="00F24EBB"/>
    <w:rsid w:val="00F27010"/>
    <w:rsid w:val="00F44A5C"/>
    <w:rsid w:val="00F45F81"/>
    <w:rsid w:val="00F468AE"/>
    <w:rsid w:val="00F468C7"/>
    <w:rsid w:val="00F50234"/>
    <w:rsid w:val="00F52B83"/>
    <w:rsid w:val="00F60366"/>
    <w:rsid w:val="00F60B46"/>
    <w:rsid w:val="00F665E7"/>
    <w:rsid w:val="00F677E3"/>
    <w:rsid w:val="00F72331"/>
    <w:rsid w:val="00F76437"/>
    <w:rsid w:val="00F807D0"/>
    <w:rsid w:val="00F80E35"/>
    <w:rsid w:val="00F82653"/>
    <w:rsid w:val="00F976D1"/>
    <w:rsid w:val="00FA24BB"/>
    <w:rsid w:val="00FA25E1"/>
    <w:rsid w:val="00FA588C"/>
    <w:rsid w:val="00FA73F8"/>
    <w:rsid w:val="00FB1988"/>
    <w:rsid w:val="00FB4792"/>
    <w:rsid w:val="00FC203F"/>
    <w:rsid w:val="00FC46B2"/>
    <w:rsid w:val="00FD0B49"/>
    <w:rsid w:val="00FD10B6"/>
    <w:rsid w:val="00FD67A6"/>
    <w:rsid w:val="00FE0B2C"/>
    <w:rsid w:val="00FE2798"/>
    <w:rsid w:val="00FF16A3"/>
    <w:rsid w:val="00FF18A3"/>
    <w:rsid w:val="00FF306E"/>
    <w:rsid w:val="00FF616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4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B7E5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B7E5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B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E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3E"/>
  </w:style>
  <w:style w:type="paragraph" w:styleId="Footer">
    <w:name w:val="footer"/>
    <w:basedOn w:val="Normal"/>
    <w:link w:val="FooterChar"/>
    <w:uiPriority w:val="99"/>
    <w:unhideWhenUsed/>
    <w:rsid w:val="0083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3E"/>
  </w:style>
  <w:style w:type="character" w:styleId="LineNumber">
    <w:name w:val="line number"/>
    <w:basedOn w:val="DefaultParagraphFont"/>
    <w:uiPriority w:val="99"/>
    <w:semiHidden/>
    <w:unhideWhenUsed/>
    <w:rsid w:val="00336CB6"/>
  </w:style>
  <w:style w:type="paragraph" w:customStyle="1" w:styleId="HCh">
    <w:name w:val="_ H _Ch"/>
    <w:basedOn w:val="Normal"/>
    <w:next w:val="Normal"/>
    <w:rsid w:val="007D6B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paragraph" w:customStyle="1" w:styleId="SingleTxt">
    <w:name w:val="__Single Txt"/>
    <w:basedOn w:val="Normal"/>
    <w:rsid w:val="007D6B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customStyle="1" w:styleId="Bodystyle">
    <w:name w:val="Body style"/>
    <w:basedOn w:val="Normal"/>
    <w:link w:val="BodystyleChar"/>
    <w:autoRedefine/>
    <w:qFormat/>
    <w:rsid w:val="00DD39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/>
      <w:ind w:left="284"/>
    </w:pPr>
    <w:rPr>
      <w:rFonts w:ascii="Garamond" w:eastAsia="MS Mincho" w:hAnsi="Garamond"/>
      <w:bCs/>
      <w:color w:val="000000"/>
      <w:w w:val="103"/>
      <w:kern w:val="32"/>
      <w:sz w:val="24"/>
      <w:szCs w:val="24"/>
    </w:rPr>
  </w:style>
  <w:style w:type="character" w:customStyle="1" w:styleId="BodystyleChar">
    <w:name w:val="Body style Char"/>
    <w:link w:val="Bodystyle"/>
    <w:rsid w:val="00DD39F9"/>
    <w:rPr>
      <w:rFonts w:ascii="Garamond" w:eastAsia="MS Mincho" w:hAnsi="Garamond" w:cs="Times New Roman"/>
      <w:bCs/>
      <w:color w:val="000000"/>
      <w:w w:val="103"/>
      <w:kern w:val="32"/>
      <w:sz w:val="24"/>
      <w:szCs w:val="24"/>
    </w:rPr>
  </w:style>
  <w:style w:type="paragraph" w:customStyle="1" w:styleId="H1">
    <w:name w:val="_ H_1"/>
    <w:basedOn w:val="Normal"/>
    <w:next w:val="SingleTxt"/>
    <w:rsid w:val="00215BE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eastAsia="Times New Roman" w:hAnsi="Times New Roman"/>
      <w:b/>
      <w:spacing w:val="4"/>
      <w:w w:val="103"/>
      <w:kern w:val="14"/>
      <w:sz w:val="24"/>
      <w:szCs w:val="20"/>
    </w:rPr>
  </w:style>
  <w:style w:type="paragraph" w:customStyle="1" w:styleId="H23">
    <w:name w:val="_ H_2/3"/>
    <w:basedOn w:val="H1"/>
    <w:next w:val="SingleTxt"/>
    <w:rsid w:val="00B80989"/>
    <w:pPr>
      <w:spacing w:line="240" w:lineRule="exact"/>
      <w:outlineLvl w:val="1"/>
    </w:pPr>
    <w:rPr>
      <w:spacing w:val="2"/>
      <w:sz w:val="20"/>
    </w:rPr>
  </w:style>
  <w:style w:type="character" w:styleId="EndnoteReference">
    <w:name w:val="endnote reference"/>
    <w:semiHidden/>
    <w:rsid w:val="00221128"/>
    <w:rPr>
      <w:spacing w:val="-5"/>
      <w:w w:val="130"/>
      <w:position w:val="-4"/>
      <w:vertAlign w:val="superscript"/>
    </w:rPr>
  </w:style>
  <w:style w:type="character" w:styleId="FootnoteReference">
    <w:name w:val="footnote reference"/>
    <w:unhideWhenUsed/>
    <w:rsid w:val="00221128"/>
    <w:rPr>
      <w:vertAlign w:val="superscript"/>
    </w:rPr>
  </w:style>
  <w:style w:type="paragraph" w:customStyle="1" w:styleId="Normal-pool">
    <w:name w:val="Normal-pool"/>
    <w:link w:val="Normal-poolChar"/>
    <w:rsid w:val="0022112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/>
      <w:lang w:val="en-GB"/>
    </w:rPr>
  </w:style>
  <w:style w:type="paragraph" w:customStyle="1" w:styleId="NormalNonumber">
    <w:name w:val="Normal_No_number"/>
    <w:basedOn w:val="Normal-pool"/>
    <w:rsid w:val="00221128"/>
    <w:pPr>
      <w:tabs>
        <w:tab w:val="clear" w:pos="4082"/>
      </w:tabs>
      <w:spacing w:after="120"/>
      <w:ind w:left="1247"/>
    </w:pPr>
  </w:style>
  <w:style w:type="table" w:styleId="TableGrid">
    <w:name w:val="Table Grid"/>
    <w:basedOn w:val="TableNormal"/>
    <w:uiPriority w:val="59"/>
    <w:rsid w:val="00624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A2431F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/>
      <w:spacing w:val="5"/>
      <w:w w:val="104"/>
      <w:kern w:val="14"/>
      <w:sz w:val="17"/>
      <w:szCs w:val="20"/>
    </w:rPr>
  </w:style>
  <w:style w:type="character" w:customStyle="1" w:styleId="FootnoteTextChar">
    <w:name w:val="Footnote Text Char"/>
    <w:link w:val="FootnoteText"/>
    <w:semiHidden/>
    <w:rsid w:val="00A2431F"/>
    <w:rPr>
      <w:rFonts w:ascii="Times New Roman" w:eastAsia="Times New Roman" w:hAnsi="Times New Roman" w:cs="Times New Roman"/>
      <w:spacing w:val="5"/>
      <w:w w:val="104"/>
      <w:kern w:val="14"/>
      <w:sz w:val="17"/>
      <w:szCs w:val="20"/>
    </w:rPr>
  </w:style>
  <w:style w:type="paragraph" w:customStyle="1" w:styleId="AATitle">
    <w:name w:val="AA_Title"/>
    <w:basedOn w:val="Normal"/>
    <w:rsid w:val="00B621A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0" w:line="240" w:lineRule="auto"/>
      <w:ind w:right="5103"/>
    </w:pPr>
    <w:rPr>
      <w:rFonts w:ascii="Times New Roman" w:eastAsia="Times New Roman" w:hAnsi="Times New Roman"/>
      <w:b/>
      <w:sz w:val="20"/>
      <w:szCs w:val="20"/>
      <w:lang w:val="fr-CA"/>
    </w:rPr>
  </w:style>
  <w:style w:type="paragraph" w:customStyle="1" w:styleId="AATitle2">
    <w:name w:val="AA_Title2"/>
    <w:basedOn w:val="AATitle"/>
    <w:rsid w:val="00B621AC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B621A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  <w:lang w:val="fr-CA"/>
    </w:rPr>
  </w:style>
  <w:style w:type="paragraph" w:customStyle="1" w:styleId="CH2">
    <w:name w:val="CH2"/>
    <w:basedOn w:val="Normal"/>
    <w:next w:val="Normal"/>
    <w:link w:val="CH2Char"/>
    <w:rsid w:val="00B621AC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 w:line="240" w:lineRule="auto"/>
      <w:ind w:left="1247" w:right="284" w:hanging="1247"/>
    </w:pPr>
    <w:rPr>
      <w:rFonts w:ascii="Times New Roman" w:eastAsia="Times New Roman" w:hAnsi="Times New Roman"/>
      <w:b/>
      <w:sz w:val="24"/>
      <w:szCs w:val="24"/>
      <w:lang w:val="fr-CA"/>
    </w:rPr>
  </w:style>
  <w:style w:type="character" w:customStyle="1" w:styleId="Normal-poolChar">
    <w:name w:val="Normal-pool Char"/>
    <w:link w:val="Normal-pool"/>
    <w:rsid w:val="00EB2672"/>
    <w:rPr>
      <w:rFonts w:ascii="Times New Roman" w:eastAsia="Times New Roman" w:hAnsi="Times New Roman" w:cs="Times New Roman"/>
      <w:sz w:val="20"/>
      <w:szCs w:val="20"/>
    </w:rPr>
  </w:style>
  <w:style w:type="character" w:customStyle="1" w:styleId="CH2Char">
    <w:name w:val="CH2 Char"/>
    <w:link w:val="CH2"/>
    <w:rsid w:val="007F6A48"/>
    <w:rPr>
      <w:rFonts w:ascii="Times New Roman" w:eastAsia="Times New Roman" w:hAnsi="Times New Roman" w:cs="Times New Roman"/>
      <w:b/>
      <w:sz w:val="24"/>
      <w:szCs w:val="24"/>
      <w:lang w:val="fr-CA"/>
    </w:rPr>
  </w:style>
  <w:style w:type="character" w:customStyle="1" w:styleId="Heading1Char">
    <w:name w:val="Heading 1 Char"/>
    <w:link w:val="Heading1"/>
    <w:uiPriority w:val="9"/>
    <w:rsid w:val="007F6A48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51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ZZAnxheader">
    <w:name w:val="ZZ_Anx_header"/>
    <w:basedOn w:val="Normal"/>
    <w:rsid w:val="00D1073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/>
      <w:b/>
      <w:bCs/>
      <w:sz w:val="28"/>
    </w:rPr>
  </w:style>
  <w:style w:type="character" w:styleId="Hyperlink">
    <w:name w:val="Hyperlink"/>
    <w:uiPriority w:val="99"/>
    <w:unhideWhenUsed/>
    <w:rsid w:val="000A3562"/>
    <w:rPr>
      <w:color w:val="0000FF"/>
      <w:u w:val="single"/>
    </w:rPr>
  </w:style>
  <w:style w:type="paragraph" w:customStyle="1" w:styleId="Normalnumber">
    <w:name w:val="Normal_number"/>
    <w:basedOn w:val="Normal-pool"/>
    <w:link w:val="NormalnumberChar"/>
    <w:rsid w:val="008D158F"/>
    <w:pPr>
      <w:tabs>
        <w:tab w:val="clear" w:pos="4082"/>
      </w:tabs>
      <w:spacing w:after="120"/>
    </w:pPr>
    <w:rPr>
      <w:lang w:val="x-none"/>
    </w:rPr>
  </w:style>
  <w:style w:type="character" w:customStyle="1" w:styleId="NormalnumberChar">
    <w:name w:val="Normal_number Char"/>
    <w:link w:val="Normalnumber"/>
    <w:rsid w:val="008D158F"/>
    <w:rPr>
      <w:rFonts w:ascii="Times New Roman" w:eastAsia="Times New Roman" w:hAnsi="Times New Roman"/>
      <w:lang w:val="x-none" w:eastAsia="en-US"/>
    </w:rPr>
  </w:style>
  <w:style w:type="paragraph" w:customStyle="1" w:styleId="CH3">
    <w:name w:val="CH3"/>
    <w:basedOn w:val="Normal-pool"/>
    <w:next w:val="Normalnumber"/>
    <w:rsid w:val="008D158F"/>
    <w:pPr>
      <w:keepNext/>
      <w:keepLines/>
      <w:tabs>
        <w:tab w:val="clear" w:pos="4082"/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Revision">
    <w:name w:val="Revision"/>
    <w:hidden/>
    <w:uiPriority w:val="99"/>
    <w:semiHidden/>
    <w:rsid w:val="003B26D0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48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B7E5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B7E5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B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E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3E"/>
  </w:style>
  <w:style w:type="paragraph" w:styleId="Footer">
    <w:name w:val="footer"/>
    <w:basedOn w:val="Normal"/>
    <w:link w:val="FooterChar"/>
    <w:uiPriority w:val="99"/>
    <w:unhideWhenUsed/>
    <w:rsid w:val="0083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3E"/>
  </w:style>
  <w:style w:type="character" w:styleId="LineNumber">
    <w:name w:val="line number"/>
    <w:basedOn w:val="DefaultParagraphFont"/>
    <w:uiPriority w:val="99"/>
    <w:semiHidden/>
    <w:unhideWhenUsed/>
    <w:rsid w:val="00336CB6"/>
  </w:style>
  <w:style w:type="paragraph" w:customStyle="1" w:styleId="HCh">
    <w:name w:val="_ H _Ch"/>
    <w:basedOn w:val="Normal"/>
    <w:next w:val="Normal"/>
    <w:rsid w:val="007D6B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paragraph" w:customStyle="1" w:styleId="SingleTxt">
    <w:name w:val="__Single Txt"/>
    <w:basedOn w:val="Normal"/>
    <w:rsid w:val="007D6B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customStyle="1" w:styleId="Bodystyle">
    <w:name w:val="Body style"/>
    <w:basedOn w:val="Normal"/>
    <w:link w:val="BodystyleChar"/>
    <w:autoRedefine/>
    <w:qFormat/>
    <w:rsid w:val="00DD39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/>
      <w:ind w:left="284"/>
    </w:pPr>
    <w:rPr>
      <w:rFonts w:ascii="Garamond" w:eastAsia="MS Mincho" w:hAnsi="Garamond"/>
      <w:bCs/>
      <w:color w:val="000000"/>
      <w:w w:val="103"/>
      <w:kern w:val="32"/>
      <w:sz w:val="24"/>
      <w:szCs w:val="24"/>
    </w:rPr>
  </w:style>
  <w:style w:type="character" w:customStyle="1" w:styleId="BodystyleChar">
    <w:name w:val="Body style Char"/>
    <w:link w:val="Bodystyle"/>
    <w:rsid w:val="00DD39F9"/>
    <w:rPr>
      <w:rFonts w:ascii="Garamond" w:eastAsia="MS Mincho" w:hAnsi="Garamond" w:cs="Times New Roman"/>
      <w:bCs/>
      <w:color w:val="000000"/>
      <w:w w:val="103"/>
      <w:kern w:val="32"/>
      <w:sz w:val="24"/>
      <w:szCs w:val="24"/>
    </w:rPr>
  </w:style>
  <w:style w:type="paragraph" w:customStyle="1" w:styleId="H1">
    <w:name w:val="_ H_1"/>
    <w:basedOn w:val="Normal"/>
    <w:next w:val="SingleTxt"/>
    <w:rsid w:val="00215BE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7" w:hanging="1267"/>
      <w:outlineLvl w:val="0"/>
    </w:pPr>
    <w:rPr>
      <w:rFonts w:ascii="Times New Roman" w:eastAsia="Times New Roman" w:hAnsi="Times New Roman"/>
      <w:b/>
      <w:spacing w:val="4"/>
      <w:w w:val="103"/>
      <w:kern w:val="14"/>
      <w:sz w:val="24"/>
      <w:szCs w:val="20"/>
    </w:rPr>
  </w:style>
  <w:style w:type="paragraph" w:customStyle="1" w:styleId="H23">
    <w:name w:val="_ H_2/3"/>
    <w:basedOn w:val="H1"/>
    <w:next w:val="SingleTxt"/>
    <w:rsid w:val="00B80989"/>
    <w:pPr>
      <w:spacing w:line="240" w:lineRule="exact"/>
      <w:outlineLvl w:val="1"/>
    </w:pPr>
    <w:rPr>
      <w:spacing w:val="2"/>
      <w:sz w:val="20"/>
    </w:rPr>
  </w:style>
  <w:style w:type="character" w:styleId="EndnoteReference">
    <w:name w:val="endnote reference"/>
    <w:semiHidden/>
    <w:rsid w:val="00221128"/>
    <w:rPr>
      <w:spacing w:val="-5"/>
      <w:w w:val="130"/>
      <w:position w:val="-4"/>
      <w:vertAlign w:val="superscript"/>
    </w:rPr>
  </w:style>
  <w:style w:type="character" w:styleId="FootnoteReference">
    <w:name w:val="footnote reference"/>
    <w:unhideWhenUsed/>
    <w:rsid w:val="00221128"/>
    <w:rPr>
      <w:vertAlign w:val="superscript"/>
    </w:rPr>
  </w:style>
  <w:style w:type="paragraph" w:customStyle="1" w:styleId="Normal-pool">
    <w:name w:val="Normal-pool"/>
    <w:link w:val="Normal-poolChar"/>
    <w:rsid w:val="0022112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/>
      <w:lang w:val="en-GB"/>
    </w:rPr>
  </w:style>
  <w:style w:type="paragraph" w:customStyle="1" w:styleId="NormalNonumber">
    <w:name w:val="Normal_No_number"/>
    <w:basedOn w:val="Normal-pool"/>
    <w:rsid w:val="00221128"/>
    <w:pPr>
      <w:tabs>
        <w:tab w:val="clear" w:pos="4082"/>
      </w:tabs>
      <w:spacing w:after="120"/>
      <w:ind w:left="1247"/>
    </w:pPr>
  </w:style>
  <w:style w:type="table" w:styleId="TableGrid">
    <w:name w:val="Table Grid"/>
    <w:basedOn w:val="TableNormal"/>
    <w:uiPriority w:val="59"/>
    <w:rsid w:val="00624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A2431F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/>
      <w:spacing w:val="5"/>
      <w:w w:val="104"/>
      <w:kern w:val="14"/>
      <w:sz w:val="17"/>
      <w:szCs w:val="20"/>
    </w:rPr>
  </w:style>
  <w:style w:type="character" w:customStyle="1" w:styleId="FootnoteTextChar">
    <w:name w:val="Footnote Text Char"/>
    <w:link w:val="FootnoteText"/>
    <w:semiHidden/>
    <w:rsid w:val="00A2431F"/>
    <w:rPr>
      <w:rFonts w:ascii="Times New Roman" w:eastAsia="Times New Roman" w:hAnsi="Times New Roman" w:cs="Times New Roman"/>
      <w:spacing w:val="5"/>
      <w:w w:val="104"/>
      <w:kern w:val="14"/>
      <w:sz w:val="17"/>
      <w:szCs w:val="20"/>
    </w:rPr>
  </w:style>
  <w:style w:type="paragraph" w:customStyle="1" w:styleId="AATitle">
    <w:name w:val="AA_Title"/>
    <w:basedOn w:val="Normal"/>
    <w:rsid w:val="00B621A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0" w:line="240" w:lineRule="auto"/>
      <w:ind w:right="5103"/>
    </w:pPr>
    <w:rPr>
      <w:rFonts w:ascii="Times New Roman" w:eastAsia="Times New Roman" w:hAnsi="Times New Roman"/>
      <w:b/>
      <w:sz w:val="20"/>
      <w:szCs w:val="20"/>
      <w:lang w:val="fr-CA"/>
    </w:rPr>
  </w:style>
  <w:style w:type="paragraph" w:customStyle="1" w:styleId="AATitle2">
    <w:name w:val="AA_Title2"/>
    <w:basedOn w:val="AATitle"/>
    <w:rsid w:val="00B621AC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B621A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  <w:lang w:val="fr-CA"/>
    </w:rPr>
  </w:style>
  <w:style w:type="paragraph" w:customStyle="1" w:styleId="CH2">
    <w:name w:val="CH2"/>
    <w:basedOn w:val="Normal"/>
    <w:next w:val="Normal"/>
    <w:link w:val="CH2Char"/>
    <w:rsid w:val="00B621AC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 w:line="240" w:lineRule="auto"/>
      <w:ind w:left="1247" w:right="284" w:hanging="1247"/>
    </w:pPr>
    <w:rPr>
      <w:rFonts w:ascii="Times New Roman" w:eastAsia="Times New Roman" w:hAnsi="Times New Roman"/>
      <w:b/>
      <w:sz w:val="24"/>
      <w:szCs w:val="24"/>
      <w:lang w:val="fr-CA"/>
    </w:rPr>
  </w:style>
  <w:style w:type="character" w:customStyle="1" w:styleId="Normal-poolChar">
    <w:name w:val="Normal-pool Char"/>
    <w:link w:val="Normal-pool"/>
    <w:rsid w:val="00EB2672"/>
    <w:rPr>
      <w:rFonts w:ascii="Times New Roman" w:eastAsia="Times New Roman" w:hAnsi="Times New Roman" w:cs="Times New Roman"/>
      <w:sz w:val="20"/>
      <w:szCs w:val="20"/>
    </w:rPr>
  </w:style>
  <w:style w:type="character" w:customStyle="1" w:styleId="CH2Char">
    <w:name w:val="CH2 Char"/>
    <w:link w:val="CH2"/>
    <w:rsid w:val="007F6A48"/>
    <w:rPr>
      <w:rFonts w:ascii="Times New Roman" w:eastAsia="Times New Roman" w:hAnsi="Times New Roman" w:cs="Times New Roman"/>
      <w:b/>
      <w:sz w:val="24"/>
      <w:szCs w:val="24"/>
      <w:lang w:val="fr-CA"/>
    </w:rPr>
  </w:style>
  <w:style w:type="character" w:customStyle="1" w:styleId="Heading1Char">
    <w:name w:val="Heading 1 Char"/>
    <w:link w:val="Heading1"/>
    <w:uiPriority w:val="9"/>
    <w:rsid w:val="007F6A48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51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ZZAnxheader">
    <w:name w:val="ZZ_Anx_header"/>
    <w:basedOn w:val="Normal"/>
    <w:rsid w:val="00D1073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/>
      <w:b/>
      <w:bCs/>
      <w:sz w:val="28"/>
    </w:rPr>
  </w:style>
  <w:style w:type="character" w:styleId="Hyperlink">
    <w:name w:val="Hyperlink"/>
    <w:uiPriority w:val="99"/>
    <w:unhideWhenUsed/>
    <w:rsid w:val="000A3562"/>
    <w:rPr>
      <w:color w:val="0000FF"/>
      <w:u w:val="single"/>
    </w:rPr>
  </w:style>
  <w:style w:type="paragraph" w:customStyle="1" w:styleId="Normalnumber">
    <w:name w:val="Normal_number"/>
    <w:basedOn w:val="Normal-pool"/>
    <w:link w:val="NormalnumberChar"/>
    <w:rsid w:val="008D158F"/>
    <w:pPr>
      <w:tabs>
        <w:tab w:val="clear" w:pos="4082"/>
      </w:tabs>
      <w:spacing w:after="120"/>
    </w:pPr>
    <w:rPr>
      <w:lang w:val="x-none"/>
    </w:rPr>
  </w:style>
  <w:style w:type="character" w:customStyle="1" w:styleId="NormalnumberChar">
    <w:name w:val="Normal_number Char"/>
    <w:link w:val="Normalnumber"/>
    <w:rsid w:val="008D158F"/>
    <w:rPr>
      <w:rFonts w:ascii="Times New Roman" w:eastAsia="Times New Roman" w:hAnsi="Times New Roman"/>
      <w:lang w:val="x-none" w:eastAsia="en-US"/>
    </w:rPr>
  </w:style>
  <w:style w:type="paragraph" w:customStyle="1" w:styleId="CH3">
    <w:name w:val="CH3"/>
    <w:basedOn w:val="Normal-pool"/>
    <w:next w:val="Normalnumber"/>
    <w:rsid w:val="008D158F"/>
    <w:pPr>
      <w:keepNext/>
      <w:keepLines/>
      <w:tabs>
        <w:tab w:val="clear" w:pos="4082"/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Revision">
    <w:name w:val="Revision"/>
    <w:hidden/>
    <w:uiPriority w:val="99"/>
    <w:semiHidden/>
    <w:rsid w:val="003B26D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mptf.undp.org/portfolio/agency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4336-673A-4FD2-B727-F6690A7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34695</CharactersWithSpaces>
  <SharedDoc>false</SharedDoc>
  <HLinks>
    <vt:vector size="6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http://mptf.undp.org/portfolio/agency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bobwatson</dc:creator>
  <cp:lastModifiedBy>Rohan Shanbhag</cp:lastModifiedBy>
  <cp:revision>2</cp:revision>
  <cp:lastPrinted>2013-11-13T12:41:00Z</cp:lastPrinted>
  <dcterms:created xsi:type="dcterms:W3CDTF">2013-11-26T07:17:00Z</dcterms:created>
  <dcterms:modified xsi:type="dcterms:W3CDTF">2013-11-26T07:17:00Z</dcterms:modified>
</cp:coreProperties>
</file>