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00"/>
      </w:tblPr>
      <w:tblGrid>
        <w:gridCol w:w="1560"/>
        <w:gridCol w:w="4785"/>
        <w:gridCol w:w="3435"/>
      </w:tblGrid>
      <w:tr w:rsidR="00053C64" w:rsidRPr="00C30074" w:rsidTr="00053C6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053C64" w:rsidRPr="00C30074" w:rsidRDefault="00053C64" w:rsidP="00053C64">
            <w:pPr>
              <w:rPr>
                <w:rFonts w:ascii="Univers" w:hAnsi="Univers"/>
                <w:lang w:val="fr-CA"/>
              </w:rPr>
            </w:pPr>
            <w:r w:rsidRPr="00C30074">
              <w:rPr>
                <w:rFonts w:ascii="Arial" w:hAnsi="Arial" w:cs="Arial"/>
                <w:b/>
                <w:sz w:val="27"/>
                <w:szCs w:val="27"/>
                <w:lang w:val="fr-CA"/>
              </w:rPr>
              <w:t>NATIONS UNIES</w:t>
            </w:r>
            <w:r w:rsidRPr="00C30074">
              <w:rPr>
                <w:rFonts w:ascii="Arial" w:hAnsi="Arial" w:cs="Arial"/>
                <w:b/>
                <w:sz w:val="27"/>
                <w:szCs w:val="27"/>
                <w:lang w:val="fr-CA"/>
              </w:rPr>
              <w:br/>
            </w:r>
          </w:p>
        </w:tc>
        <w:tc>
          <w:tcPr>
            <w:tcW w:w="4785" w:type="dxa"/>
          </w:tcPr>
          <w:p w:rsidR="00053C64" w:rsidRPr="00C30074" w:rsidRDefault="00053C64" w:rsidP="00053C64">
            <w:pPr>
              <w:rPr>
                <w:rFonts w:ascii="Univers" w:hAnsi="Univers"/>
                <w:b/>
                <w:sz w:val="27"/>
                <w:szCs w:val="27"/>
                <w:lang w:val="fr-CA"/>
              </w:rPr>
            </w:pPr>
          </w:p>
        </w:tc>
        <w:tc>
          <w:tcPr>
            <w:tcW w:w="3435" w:type="dxa"/>
          </w:tcPr>
          <w:p w:rsidR="00053C64" w:rsidRPr="00C30074" w:rsidRDefault="00053C64" w:rsidP="00053C64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CA"/>
              </w:rPr>
            </w:pPr>
            <w:r w:rsidRPr="00C30074">
              <w:rPr>
                <w:rFonts w:ascii="Arial" w:hAnsi="Arial" w:cs="Arial"/>
                <w:b/>
                <w:sz w:val="64"/>
                <w:szCs w:val="64"/>
                <w:lang w:val="fr-CA"/>
              </w:rPr>
              <w:t>EP</w:t>
            </w:r>
          </w:p>
        </w:tc>
      </w:tr>
      <w:tr w:rsidR="00053C64" w:rsidRPr="00C30074" w:rsidTr="00053C6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053C64" w:rsidRPr="00C30074" w:rsidRDefault="00053C64" w:rsidP="00053C64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53C64" w:rsidRPr="00C30074" w:rsidRDefault="00053C64" w:rsidP="00053C64">
            <w:pPr>
              <w:rPr>
                <w:rFonts w:ascii="Univers" w:hAnsi="Univers"/>
                <w:b/>
                <w:sz w:val="18"/>
                <w:szCs w:val="18"/>
                <w:lang w:val="fr-CA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53C64" w:rsidRPr="00C30074" w:rsidRDefault="00FA6A41" w:rsidP="00FA6A41">
            <w:pPr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28"/>
                <w:lang w:val="fr-CA"/>
              </w:rPr>
              <w:t>IPBES</w:t>
            </w:r>
            <w:r w:rsidR="00053C64" w:rsidRPr="00C30074">
              <w:rPr>
                <w:lang w:val="fr-CA"/>
              </w:rPr>
              <w:t>/2/1</w:t>
            </w:r>
            <w:r w:rsidR="00FF5708" w:rsidRPr="00C30074">
              <w:rPr>
                <w:lang w:val="fr-CA"/>
              </w:rPr>
              <w:t>6</w:t>
            </w:r>
          </w:p>
        </w:tc>
      </w:tr>
      <w:bookmarkStart w:id="0" w:name="_MON_1021710482"/>
      <w:bookmarkStart w:id="1" w:name="_MON_1021710510"/>
      <w:bookmarkEnd w:id="0"/>
      <w:bookmarkEnd w:id="1"/>
      <w:tr w:rsidR="00053C64" w:rsidRPr="00C30074" w:rsidTr="00053C64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C30074" w:rsidRDefault="00053C64" w:rsidP="00053C64">
            <w:pPr>
              <w:rPr>
                <w:lang w:val="fr-CA"/>
              </w:rPr>
            </w:pPr>
            <w:r w:rsidRPr="00C30074">
              <w:rPr>
                <w:lang w:val="fr-CA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8" o:title=""/>
                </v:shape>
                <o:OLEObject Type="Embed" ProgID="Word.Picture.8" ShapeID="_x0000_i1025" DrawAspect="Content" ObjectID="_1446387433" r:id="rId9"/>
              </w:object>
            </w:r>
            <w:r w:rsidR="0049417B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C30074" w:rsidRDefault="00053C64" w:rsidP="00053C64">
            <w:pPr>
              <w:spacing w:before="1200"/>
              <w:rPr>
                <w:rFonts w:ascii="Arial" w:hAnsi="Arial" w:cs="Arial"/>
                <w:b/>
                <w:sz w:val="28"/>
                <w:lang w:val="fr-CA"/>
              </w:rPr>
            </w:pPr>
            <w:r w:rsidRPr="00C30074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Programme </w:t>
            </w:r>
            <w:r w:rsidRPr="00C30074">
              <w:rPr>
                <w:rFonts w:ascii="Arial" w:hAnsi="Arial" w:cs="Arial"/>
                <w:b/>
                <w:sz w:val="28"/>
                <w:szCs w:val="28"/>
                <w:lang w:val="fr-CA"/>
              </w:rPr>
              <w:br/>
              <w:t xml:space="preserve">des Nations Unies </w:t>
            </w:r>
            <w:r w:rsidRPr="00C30074">
              <w:rPr>
                <w:rFonts w:ascii="Arial" w:hAnsi="Arial" w:cs="Arial"/>
                <w:b/>
                <w:sz w:val="28"/>
                <w:szCs w:val="28"/>
                <w:lang w:val="fr-CA"/>
              </w:rPr>
              <w:br/>
              <w:t>pour l’environnement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:rsidR="00053C64" w:rsidRPr="00C30074" w:rsidRDefault="00FF5708" w:rsidP="00053C64">
            <w:pPr>
              <w:spacing w:before="120" w:after="120"/>
              <w:rPr>
                <w:lang w:val="fr-CA"/>
              </w:rPr>
            </w:pPr>
            <w:r w:rsidRPr="00C30074">
              <w:rPr>
                <w:lang w:val="fr-CA"/>
              </w:rPr>
              <w:t>Distr. : générale</w:t>
            </w:r>
            <w:r w:rsidRPr="00C30074">
              <w:rPr>
                <w:lang w:val="fr-CA"/>
              </w:rPr>
              <w:br/>
              <w:t>26</w:t>
            </w:r>
            <w:r w:rsidR="00053C64" w:rsidRPr="00C30074">
              <w:rPr>
                <w:lang w:val="fr-CA"/>
              </w:rPr>
              <w:t> septembre 2013</w:t>
            </w:r>
          </w:p>
          <w:p w:rsidR="00053C64" w:rsidRPr="00C30074" w:rsidRDefault="00053C64" w:rsidP="00053C64">
            <w:pPr>
              <w:spacing w:before="120" w:after="120"/>
              <w:rPr>
                <w:lang w:val="fr-CA"/>
              </w:rPr>
            </w:pPr>
            <w:r w:rsidRPr="00C30074">
              <w:rPr>
                <w:lang w:val="fr-CA"/>
              </w:rPr>
              <w:t>Français</w:t>
            </w:r>
            <w:r w:rsidRPr="00C30074">
              <w:rPr>
                <w:lang w:val="fr-CA"/>
              </w:rPr>
              <w:br/>
              <w:t>Original : anglais</w:t>
            </w:r>
          </w:p>
        </w:tc>
      </w:tr>
    </w:tbl>
    <w:p w:rsidR="00053C64" w:rsidRPr="00C30074" w:rsidRDefault="00053C64" w:rsidP="00053C64">
      <w:pPr>
        <w:pStyle w:val="AATitle"/>
      </w:pPr>
      <w:r w:rsidRPr="00C30074">
        <w:t>Plénière de la Plateforme intergouvernementale scientifique et politique sur la biodiversité et les services écosystémiques</w:t>
      </w:r>
    </w:p>
    <w:p w:rsidR="00053C64" w:rsidRPr="00C30074" w:rsidRDefault="00053C64" w:rsidP="00053C64">
      <w:pPr>
        <w:pStyle w:val="AATitle"/>
      </w:pPr>
      <w:r w:rsidRPr="00C30074">
        <w:t>Deuxième session</w:t>
      </w:r>
    </w:p>
    <w:p w:rsidR="00053C64" w:rsidRPr="00C30074" w:rsidRDefault="00053C64" w:rsidP="00053C64">
      <w:pPr>
        <w:pStyle w:val="AATitle"/>
        <w:rPr>
          <w:b w:val="0"/>
          <w:szCs w:val="22"/>
        </w:rPr>
      </w:pPr>
      <w:r w:rsidRPr="00C30074">
        <w:rPr>
          <w:b w:val="0"/>
          <w:szCs w:val="22"/>
        </w:rPr>
        <w:t xml:space="preserve">Antalya (Turquie), 9-14 décembre 2013 </w:t>
      </w:r>
    </w:p>
    <w:p w:rsidR="000A7562" w:rsidRPr="00C30074" w:rsidRDefault="00053C64" w:rsidP="000A7562">
      <w:pPr>
        <w:pStyle w:val="AATitle"/>
        <w:keepNext w:val="0"/>
        <w:keepLines w:val="0"/>
        <w:rPr>
          <w:b w:val="0"/>
          <w:lang w:eastAsia="ja-JP"/>
        </w:rPr>
      </w:pPr>
      <w:r w:rsidRPr="00C30074">
        <w:rPr>
          <w:b w:val="0"/>
          <w:lang w:eastAsia="ja-JP"/>
        </w:rPr>
        <w:t>Point </w:t>
      </w:r>
      <w:r w:rsidR="00FF5708" w:rsidRPr="00C30074">
        <w:rPr>
          <w:b w:val="0"/>
          <w:lang w:eastAsia="ja-JP"/>
        </w:rPr>
        <w:t>4</w:t>
      </w:r>
      <w:r w:rsidR="0031022F" w:rsidRPr="00C30074">
        <w:rPr>
          <w:b w:val="0"/>
          <w:lang w:eastAsia="ja-JP"/>
        </w:rPr>
        <w:t> </w:t>
      </w:r>
      <w:r w:rsidR="00267A16" w:rsidRPr="00C30074">
        <w:rPr>
          <w:b w:val="0"/>
          <w:lang w:eastAsia="ja-JP"/>
        </w:rPr>
        <w:t>a)</w:t>
      </w:r>
      <w:r w:rsidR="000A7562" w:rsidRPr="00C30074">
        <w:rPr>
          <w:b w:val="0"/>
          <w:lang w:eastAsia="ja-JP"/>
        </w:rPr>
        <w:t xml:space="preserve"> </w:t>
      </w:r>
      <w:r w:rsidR="0031022F" w:rsidRPr="00C30074">
        <w:rPr>
          <w:b w:val="0"/>
          <w:lang w:eastAsia="ja-JP"/>
        </w:rPr>
        <w:t>de l’ordre du jour provisoire</w:t>
      </w:r>
      <w:r w:rsidR="000A7562" w:rsidRPr="00C30074">
        <w:rPr>
          <w:rStyle w:val="FootnoteReference"/>
          <w:b w:val="0"/>
          <w:lang w:eastAsia="ja-JP"/>
        </w:rPr>
        <w:footnoteReference w:customMarkFollows="1" w:id="1"/>
        <w:sym w:font="Symbol" w:char="F02A"/>
      </w:r>
    </w:p>
    <w:p w:rsidR="000A7562" w:rsidRPr="00C30074" w:rsidRDefault="00A166A7" w:rsidP="000A7562">
      <w:pPr>
        <w:pStyle w:val="AATitle"/>
        <w:keepNext w:val="0"/>
        <w:keepLines w:val="0"/>
        <w:spacing w:before="60"/>
      </w:pPr>
      <w:r w:rsidRPr="00C30074">
        <w:t>Programme de travail initial de la Plateforme</w:t>
      </w:r>
      <w:r w:rsidR="0031022F" w:rsidRPr="00C30074">
        <w:t> </w:t>
      </w:r>
      <w:r w:rsidR="00267A16" w:rsidRPr="00C30074">
        <w:t xml:space="preserve">: </w:t>
      </w:r>
      <w:r w:rsidR="00712F17" w:rsidRPr="00C30074">
        <w:t>p</w:t>
      </w:r>
      <w:r w:rsidRPr="00C30074">
        <w:t>rogramme de t</w:t>
      </w:r>
      <w:r w:rsidR="00266500" w:rsidRPr="00C30074">
        <w:t>ravail pour la période 2014-2018</w:t>
      </w:r>
    </w:p>
    <w:p w:rsidR="00C15AAE" w:rsidRPr="00C30074" w:rsidRDefault="004C2D15" w:rsidP="000A7562">
      <w:pPr>
        <w:pStyle w:val="BBTitle"/>
        <w:rPr>
          <w:rFonts w:eastAsia="MS Mincho"/>
        </w:rPr>
      </w:pPr>
      <w:r w:rsidRPr="00C30074">
        <w:t>Cadrage</w:t>
      </w:r>
      <w:r w:rsidR="00F422D2" w:rsidRPr="00C30074">
        <w:t xml:space="preserve"> initial</w:t>
      </w:r>
      <w:r w:rsidR="001E3CAA" w:rsidRPr="00C30074">
        <w:t xml:space="preserve"> des évaluations thématiques et méthodologiques</w:t>
      </w:r>
    </w:p>
    <w:p w:rsidR="000A7562" w:rsidRPr="00C30074" w:rsidRDefault="000A7562" w:rsidP="000A7562">
      <w:pPr>
        <w:pStyle w:val="CH2"/>
      </w:pPr>
      <w:r w:rsidRPr="00C30074">
        <w:tab/>
      </w:r>
      <w:r w:rsidRPr="00C30074">
        <w:tab/>
        <w:t xml:space="preserve">Note </w:t>
      </w:r>
      <w:r w:rsidR="00FA6A41">
        <w:t>du s</w:t>
      </w:r>
      <w:r w:rsidR="00C15AAE" w:rsidRPr="00C30074">
        <w:t>ecré</w:t>
      </w:r>
      <w:r w:rsidRPr="00C30074">
        <w:t>tariat</w:t>
      </w:r>
    </w:p>
    <w:p w:rsidR="0013014F" w:rsidRPr="00C30074" w:rsidRDefault="00712F17" w:rsidP="00B57621">
      <w:pPr>
        <w:pStyle w:val="Normalnumber"/>
        <w:numPr>
          <w:ilvl w:val="0"/>
          <w:numId w:val="8"/>
        </w:numPr>
        <w:tabs>
          <w:tab w:val="clear" w:pos="567"/>
          <w:tab w:val="num" w:pos="113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</w:pPr>
      <w:r w:rsidRPr="00C30074">
        <w:t xml:space="preserve">À </w:t>
      </w:r>
      <w:r w:rsidR="00B57621" w:rsidRPr="00C30074">
        <w:t>ses première et deuxième réunions, tenues respectivement en juin 2013 à Bergen (Norvège) et en août 2013 au Cap (Afrique du Sud), le Bureau de la Plénière de la Plat</w:t>
      </w:r>
      <w:r w:rsidR="00755780" w:rsidRPr="00C30074">
        <w:t>e</w:t>
      </w:r>
      <w:r w:rsidR="00B57621" w:rsidRPr="00C30074">
        <w:t xml:space="preserve">forme intergouvernementale scientifique et politique sur la biodiversité et les services écosystémiques et le Groupe d’experts multidisciplinaire de la Plateforme ont discuté de la nécessité de </w:t>
      </w:r>
      <w:r w:rsidR="008944D9">
        <w:t>faire avancer</w:t>
      </w:r>
      <w:r w:rsidR="00B57621" w:rsidRPr="00C30074">
        <w:t xml:space="preserve"> le programme de travail pour la période 2014-2018, une fois </w:t>
      </w:r>
      <w:r w:rsidR="00C30074" w:rsidRPr="00C30074">
        <w:t>celui-ci</w:t>
      </w:r>
      <w:r w:rsidR="00B57621" w:rsidRPr="00C30074">
        <w:t xml:space="preserve"> examiné et approuvé par la Plénière à sa deuxième session. </w:t>
      </w:r>
      <w:r w:rsidR="002C3011">
        <w:t>Le </w:t>
      </w:r>
      <w:r w:rsidR="00E800D0" w:rsidRPr="00C30074">
        <w:t xml:space="preserve">Bureau et le Groupe d’experts ont convenu de préparer, pour examen par la Plénière à sa deuxième session, </w:t>
      </w:r>
      <w:r w:rsidR="007F3B46" w:rsidRPr="00C30074">
        <w:t xml:space="preserve">des documents de cadrage </w:t>
      </w:r>
      <w:r w:rsidR="00CE6081" w:rsidRPr="00C30074">
        <w:t xml:space="preserve">initial </w:t>
      </w:r>
      <w:r w:rsidR="007F3B46" w:rsidRPr="00C30074">
        <w:t xml:space="preserve">pour un certain nombre d’évaluations </w:t>
      </w:r>
      <w:r w:rsidR="00CD3386" w:rsidRPr="00C30074">
        <w:t>accélérées</w:t>
      </w:r>
      <w:r w:rsidR="007F3B46" w:rsidRPr="00C30074">
        <w:t xml:space="preserve"> </w:t>
      </w:r>
      <w:r w:rsidR="003D01F5" w:rsidRPr="00C30074">
        <w:t xml:space="preserve">et </w:t>
      </w:r>
      <w:r w:rsidR="00CD3386" w:rsidRPr="00C30074">
        <w:t>normales</w:t>
      </w:r>
      <w:r w:rsidR="003D01F5" w:rsidRPr="00C30074">
        <w:t xml:space="preserve"> en se fondant sur la hiérarchisation des demandes, suggestions et contributions </w:t>
      </w:r>
      <w:r w:rsidR="00722B6B" w:rsidRPr="00C30074">
        <w:t>transmises</w:t>
      </w:r>
      <w:r w:rsidR="003D01F5" w:rsidRPr="00C30074">
        <w:t xml:space="preserve"> à la Plateforme et les produits </w:t>
      </w:r>
      <w:r w:rsidR="008944D9">
        <w:t>défini</w:t>
      </w:r>
      <w:r w:rsidR="00755780" w:rsidRPr="00C30074">
        <w:t>s dans le</w:t>
      </w:r>
      <w:r w:rsidR="003D01F5" w:rsidRPr="00C30074">
        <w:t xml:space="preserve"> projet de </w:t>
      </w:r>
      <w:r w:rsidR="00F422D2" w:rsidRPr="00C30074">
        <w:t>programme</w:t>
      </w:r>
      <w:r w:rsidR="003D01F5" w:rsidRPr="00C30074">
        <w:t xml:space="preserve"> de travail pour 2014-2018 (IPBES/2/2). </w:t>
      </w:r>
      <w:r w:rsidR="00CF7B3D" w:rsidRPr="00C30074">
        <w:t xml:space="preserve">Pour établir les documents de cadrage, le Bureau et le Groupe d’experts ont suivi la procédure pertinente décrite dans le document IPBES/2/9, qui </w:t>
      </w:r>
      <w:r w:rsidR="0013014F" w:rsidRPr="00C30074">
        <w:t>présente</w:t>
      </w:r>
      <w:r w:rsidR="00CF7B3D" w:rsidRPr="00C30074">
        <w:t xml:space="preserve"> des </w:t>
      </w:r>
      <w:r w:rsidR="0013014F" w:rsidRPr="00C30074">
        <w:t>projets de procédure pour la préparation des produits de la Plateforme.</w:t>
      </w:r>
    </w:p>
    <w:p w:rsidR="00B57621" w:rsidRPr="00C30074" w:rsidRDefault="00CE6081" w:rsidP="00B57621">
      <w:pPr>
        <w:pStyle w:val="Normalnumber"/>
        <w:numPr>
          <w:ilvl w:val="0"/>
          <w:numId w:val="8"/>
        </w:numPr>
        <w:tabs>
          <w:tab w:val="clear" w:pos="567"/>
          <w:tab w:val="num" w:pos="113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</w:pPr>
      <w:r w:rsidRPr="00C30074">
        <w:t>Les documents de cadrage initial pour l</w:t>
      </w:r>
      <w:r w:rsidR="00BD2BB3" w:rsidRPr="00C30074">
        <w:t>es évaluations,</w:t>
      </w:r>
      <w:r w:rsidRPr="00C30074">
        <w:t xml:space="preserve"> établis par le Bureau et le Groupe de travail</w:t>
      </w:r>
      <w:r w:rsidR="00BD2BB3" w:rsidRPr="00C30074">
        <w:t>,</w:t>
      </w:r>
      <w:r w:rsidR="002C3E4B" w:rsidRPr="00C30074">
        <w:t xml:space="preserve"> sont disponibles sous forme</w:t>
      </w:r>
      <w:r w:rsidRPr="00C30074">
        <w:t xml:space="preserve"> d’additifs à la présente note</w:t>
      </w:r>
      <w:r w:rsidR="001951AA" w:rsidRPr="00C30074">
        <w:t xml:space="preserve"> sous les cotes suivantes :</w:t>
      </w:r>
      <w:r w:rsidR="00B57621" w:rsidRPr="00C30074">
        <w:t xml:space="preserve">  </w:t>
      </w:r>
    </w:p>
    <w:p w:rsidR="000A45F9" w:rsidRPr="00C30074" w:rsidRDefault="002D0F0E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tab/>
        <w:t>a)</w:t>
      </w:r>
      <w:r w:rsidRPr="00C30074">
        <w:rPr>
          <w:rFonts w:cs="Calibri"/>
        </w:rPr>
        <w:tab/>
      </w:r>
      <w:r w:rsidR="001951AA" w:rsidRPr="00C30074">
        <w:rPr>
          <w:rFonts w:cs="Calibri"/>
        </w:rPr>
        <w:t xml:space="preserve">Évaluation thématique </w:t>
      </w:r>
      <w:r w:rsidR="002C3E4B" w:rsidRPr="00C30074">
        <w:rPr>
          <w:rFonts w:cs="Calibri"/>
        </w:rPr>
        <w:t>accélérée</w:t>
      </w:r>
      <w:r w:rsidR="001951AA" w:rsidRPr="00C30074">
        <w:rPr>
          <w:rFonts w:cs="Calibri"/>
        </w:rPr>
        <w:t xml:space="preserve"> </w:t>
      </w:r>
      <w:r w:rsidR="002C3E4B" w:rsidRPr="00C30074">
        <w:rPr>
          <w:rFonts w:cs="Calibri"/>
        </w:rPr>
        <w:t>de</w:t>
      </w:r>
      <w:r w:rsidR="001951AA" w:rsidRPr="00C30074">
        <w:rPr>
          <w:rFonts w:cs="Calibri"/>
        </w:rPr>
        <w:t xml:space="preserve"> la pollinisation et </w:t>
      </w:r>
      <w:r w:rsidR="002C3E4B" w:rsidRPr="00C30074">
        <w:rPr>
          <w:rFonts w:cs="Calibri"/>
        </w:rPr>
        <w:t xml:space="preserve">de </w:t>
      </w:r>
      <w:r w:rsidR="001951AA" w:rsidRPr="00C30074">
        <w:rPr>
          <w:rFonts w:cs="Calibri"/>
        </w:rPr>
        <w:t>la production alimentaire (IPBES/2/16/Add.1)</w:t>
      </w:r>
      <w:r w:rsidR="000A45F9" w:rsidRPr="00C30074">
        <w:rPr>
          <w:rFonts w:cs="Calibri"/>
        </w:rPr>
        <w:t>;</w:t>
      </w:r>
    </w:p>
    <w:p w:rsidR="004930B7" w:rsidRPr="00C30074" w:rsidRDefault="002D0F0E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tab/>
        <w:t>b)</w:t>
      </w:r>
      <w:r w:rsidRPr="00C30074">
        <w:rPr>
          <w:rFonts w:cs="Calibri"/>
        </w:rPr>
        <w:tab/>
      </w:r>
      <w:r w:rsidR="001951AA" w:rsidRPr="00C30074">
        <w:rPr>
          <w:rFonts w:cs="Calibri"/>
        </w:rPr>
        <w:t xml:space="preserve">Évaluation thématique </w:t>
      </w:r>
      <w:r w:rsidR="002C3E4B" w:rsidRPr="00C30074">
        <w:rPr>
          <w:rFonts w:cs="Calibri"/>
        </w:rPr>
        <w:t>normale</w:t>
      </w:r>
      <w:r w:rsidR="001951AA" w:rsidRPr="00C30074">
        <w:rPr>
          <w:rFonts w:cs="Calibri"/>
        </w:rPr>
        <w:t xml:space="preserve"> </w:t>
      </w:r>
      <w:r w:rsidR="002C3E4B" w:rsidRPr="00C30074">
        <w:rPr>
          <w:rFonts w:cs="Calibri"/>
        </w:rPr>
        <w:t>de</w:t>
      </w:r>
      <w:r w:rsidR="001951AA" w:rsidRPr="00C30074">
        <w:rPr>
          <w:rFonts w:cs="Calibri"/>
        </w:rPr>
        <w:t xml:space="preserve"> la dégradation et </w:t>
      </w:r>
      <w:r w:rsidR="00EC152F">
        <w:rPr>
          <w:rFonts w:cs="Calibri"/>
        </w:rPr>
        <w:t xml:space="preserve">de la </w:t>
      </w:r>
      <w:r w:rsidR="001951AA" w:rsidRPr="00C30074">
        <w:rPr>
          <w:rFonts w:cs="Calibri"/>
        </w:rPr>
        <w:t>re</w:t>
      </w:r>
      <w:r w:rsidR="008944D9">
        <w:rPr>
          <w:rFonts w:cs="Calibri"/>
        </w:rPr>
        <w:t>mise en état</w:t>
      </w:r>
      <w:r w:rsidR="001951AA" w:rsidRPr="00C30074">
        <w:rPr>
          <w:rFonts w:cs="Calibri"/>
        </w:rPr>
        <w:t xml:space="preserve"> des </w:t>
      </w:r>
      <w:r w:rsidR="008944D9">
        <w:rPr>
          <w:rFonts w:cs="Calibri"/>
        </w:rPr>
        <w:t>sol</w:t>
      </w:r>
      <w:r w:rsidR="00C16B28" w:rsidRPr="00C30074">
        <w:rPr>
          <w:rFonts w:cs="Calibri"/>
        </w:rPr>
        <w:t>s</w:t>
      </w:r>
      <w:r w:rsidR="001951AA" w:rsidRPr="00C30074">
        <w:rPr>
          <w:rFonts w:cs="Calibri"/>
        </w:rPr>
        <w:t xml:space="preserve"> (IPBES/2/16/Add.2)</w:t>
      </w:r>
      <w:r w:rsidRPr="00C30074">
        <w:rPr>
          <w:rFonts w:cs="Calibri"/>
        </w:rPr>
        <w:t>;</w:t>
      </w:r>
    </w:p>
    <w:p w:rsidR="002D0F0E" w:rsidRPr="00C30074" w:rsidRDefault="002D0F0E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tab/>
        <w:t>c)</w:t>
      </w:r>
      <w:r w:rsidRPr="00C30074">
        <w:rPr>
          <w:rFonts w:cs="Calibri"/>
        </w:rPr>
        <w:tab/>
      </w:r>
      <w:r w:rsidR="0064461D" w:rsidRPr="00C30074">
        <w:rPr>
          <w:rFonts w:cs="Calibri"/>
        </w:rPr>
        <w:t xml:space="preserve">Évaluation thématique normale </w:t>
      </w:r>
      <w:r w:rsidR="006667C0" w:rsidRPr="00C30074">
        <w:rPr>
          <w:rFonts w:cs="Calibri"/>
        </w:rPr>
        <w:t>des</w:t>
      </w:r>
      <w:r w:rsidR="008B3805" w:rsidRPr="00C30074">
        <w:rPr>
          <w:rFonts w:cs="Calibri"/>
        </w:rPr>
        <w:t xml:space="preserve"> </w:t>
      </w:r>
      <w:r w:rsidR="005D307B" w:rsidRPr="00C30074">
        <w:rPr>
          <w:rFonts w:cs="Calibri"/>
        </w:rPr>
        <w:t>espèces exotiques envahissantes</w:t>
      </w:r>
      <w:r w:rsidR="008B3805" w:rsidRPr="00C30074">
        <w:rPr>
          <w:rFonts w:cs="Calibri"/>
        </w:rPr>
        <w:t xml:space="preserve"> et </w:t>
      </w:r>
      <w:r w:rsidR="006667C0" w:rsidRPr="00C30074">
        <w:rPr>
          <w:rFonts w:cs="Calibri"/>
        </w:rPr>
        <w:t>de</w:t>
      </w:r>
      <w:r w:rsidR="008944D9">
        <w:rPr>
          <w:rFonts w:cs="Calibri"/>
        </w:rPr>
        <w:t xml:space="preserve"> la lutte contre</w:t>
      </w:r>
      <w:r w:rsidR="00074393" w:rsidRPr="00C30074">
        <w:rPr>
          <w:rFonts w:cs="Calibri"/>
        </w:rPr>
        <w:t xml:space="preserve"> leur </w:t>
      </w:r>
      <w:r w:rsidR="008944D9">
        <w:rPr>
          <w:rFonts w:cs="Calibri"/>
        </w:rPr>
        <w:t>prolifération</w:t>
      </w:r>
      <w:r w:rsidR="00074393" w:rsidRPr="00C30074">
        <w:rPr>
          <w:rFonts w:cs="Calibri"/>
        </w:rPr>
        <w:t xml:space="preserve"> </w:t>
      </w:r>
      <w:r w:rsidR="005D307B" w:rsidRPr="00C30074">
        <w:rPr>
          <w:rFonts w:cs="Calibri"/>
        </w:rPr>
        <w:t>(IPBES/2/16/Add.3</w:t>
      </w:r>
      <w:r w:rsidR="0064461D" w:rsidRPr="00C30074">
        <w:rPr>
          <w:rFonts w:cs="Calibri"/>
        </w:rPr>
        <w:t>)</w:t>
      </w:r>
      <w:r w:rsidR="00F95743" w:rsidRPr="00C30074">
        <w:rPr>
          <w:rFonts w:cs="Calibri"/>
        </w:rPr>
        <w:t>;</w:t>
      </w:r>
    </w:p>
    <w:p w:rsidR="00F95743" w:rsidRPr="00C30074" w:rsidRDefault="00F95743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tab/>
        <w:t>d)</w:t>
      </w:r>
      <w:r w:rsidRPr="00C30074">
        <w:rPr>
          <w:rFonts w:cs="Calibri"/>
        </w:rPr>
        <w:tab/>
      </w:r>
      <w:r w:rsidR="00575159" w:rsidRPr="00C30074">
        <w:rPr>
          <w:rFonts w:cs="Calibri"/>
        </w:rPr>
        <w:t xml:space="preserve">Évaluation méthodologique </w:t>
      </w:r>
      <w:r w:rsidR="006667C0" w:rsidRPr="00C30074">
        <w:rPr>
          <w:rFonts w:cs="Calibri"/>
        </w:rPr>
        <w:t>accélérée</w:t>
      </w:r>
      <w:r w:rsidR="00575159" w:rsidRPr="00C30074">
        <w:rPr>
          <w:rFonts w:cs="Calibri"/>
        </w:rPr>
        <w:t xml:space="preserve"> </w:t>
      </w:r>
      <w:r w:rsidR="006667C0" w:rsidRPr="00C30074">
        <w:rPr>
          <w:rFonts w:cs="Calibri"/>
        </w:rPr>
        <w:t>de</w:t>
      </w:r>
      <w:r w:rsidR="00575159" w:rsidRPr="00C30074">
        <w:rPr>
          <w:rFonts w:cs="Calibri"/>
        </w:rPr>
        <w:t xml:space="preserve"> </w:t>
      </w:r>
      <w:r w:rsidR="0088633A" w:rsidRPr="00C30074">
        <w:rPr>
          <w:rFonts w:cs="Calibri"/>
        </w:rPr>
        <w:t xml:space="preserve">l’analyse </w:t>
      </w:r>
      <w:r w:rsidR="00C16B28" w:rsidRPr="00C30074">
        <w:rPr>
          <w:rFonts w:cs="Calibri"/>
        </w:rPr>
        <w:t>de</w:t>
      </w:r>
      <w:r w:rsidR="0088633A" w:rsidRPr="00C30074">
        <w:rPr>
          <w:rFonts w:cs="Calibri"/>
        </w:rPr>
        <w:t xml:space="preserve"> scénario</w:t>
      </w:r>
      <w:r w:rsidR="00C16B28" w:rsidRPr="00C30074">
        <w:rPr>
          <w:rFonts w:cs="Calibri"/>
        </w:rPr>
        <w:t>s</w:t>
      </w:r>
      <w:r w:rsidR="0088633A" w:rsidRPr="00C30074">
        <w:rPr>
          <w:rFonts w:cs="Calibri"/>
        </w:rPr>
        <w:t xml:space="preserve"> </w:t>
      </w:r>
      <w:r w:rsidR="0092071D" w:rsidRPr="00C30074">
        <w:rPr>
          <w:rFonts w:cs="Calibri"/>
        </w:rPr>
        <w:t xml:space="preserve">et </w:t>
      </w:r>
      <w:r w:rsidR="004216E0" w:rsidRPr="00C30074">
        <w:rPr>
          <w:rFonts w:cs="Calibri"/>
        </w:rPr>
        <w:t>de</w:t>
      </w:r>
      <w:r w:rsidR="0092071D" w:rsidRPr="00C30074">
        <w:rPr>
          <w:rFonts w:cs="Calibri"/>
        </w:rPr>
        <w:t xml:space="preserve"> </w:t>
      </w:r>
      <w:r w:rsidR="00CF7339">
        <w:rPr>
          <w:rFonts w:cs="Calibri"/>
        </w:rPr>
        <w:t xml:space="preserve">la </w:t>
      </w:r>
      <w:r w:rsidR="004216E0" w:rsidRPr="00C30074">
        <w:rPr>
          <w:rFonts w:cs="Calibri"/>
        </w:rPr>
        <w:t>mod</w:t>
      </w:r>
      <w:r w:rsidR="00CF7339">
        <w:rPr>
          <w:rFonts w:cs="Calibri"/>
        </w:rPr>
        <w:t>élisation</w:t>
      </w:r>
      <w:r w:rsidR="0092071D" w:rsidRPr="00C30074">
        <w:rPr>
          <w:rFonts w:cs="Calibri"/>
        </w:rPr>
        <w:t xml:space="preserve"> </w:t>
      </w:r>
      <w:r w:rsidR="00DB6C9E">
        <w:rPr>
          <w:rFonts w:cs="Calibri"/>
        </w:rPr>
        <w:t xml:space="preserve">dans le cas </w:t>
      </w:r>
      <w:r w:rsidR="0092071D" w:rsidRPr="00C30074">
        <w:rPr>
          <w:rFonts w:cs="Calibri"/>
        </w:rPr>
        <w:t xml:space="preserve">de la biodiversité et des services écosystémiques </w:t>
      </w:r>
      <w:r w:rsidR="00632293" w:rsidRPr="00C30074">
        <w:rPr>
          <w:rFonts w:cs="Calibri"/>
        </w:rPr>
        <w:t>(IPBES/2/16/Add.4</w:t>
      </w:r>
      <w:r w:rsidR="00575159" w:rsidRPr="00C30074">
        <w:rPr>
          <w:rFonts w:cs="Calibri"/>
        </w:rPr>
        <w:t>);</w:t>
      </w:r>
    </w:p>
    <w:p w:rsidR="00537592" w:rsidRPr="00C30074" w:rsidRDefault="00537592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lastRenderedPageBreak/>
        <w:tab/>
        <w:t>e)</w:t>
      </w:r>
      <w:r w:rsidRPr="00C30074">
        <w:rPr>
          <w:rFonts w:cs="Calibri"/>
        </w:rPr>
        <w:tab/>
        <w:t xml:space="preserve">Évaluation méthodologique </w:t>
      </w:r>
      <w:r w:rsidR="004216E0" w:rsidRPr="00C30074">
        <w:rPr>
          <w:rFonts w:cs="Calibri"/>
        </w:rPr>
        <w:t>accélérée</w:t>
      </w:r>
      <w:r w:rsidR="00741DF7" w:rsidRPr="00C30074">
        <w:rPr>
          <w:rFonts w:cs="Calibri"/>
        </w:rPr>
        <w:t xml:space="preserve"> </w:t>
      </w:r>
      <w:r w:rsidR="004216E0" w:rsidRPr="00C30074">
        <w:rPr>
          <w:rFonts w:cs="Calibri"/>
        </w:rPr>
        <w:t>de</w:t>
      </w:r>
      <w:r w:rsidR="00741DF7" w:rsidRPr="00C30074">
        <w:rPr>
          <w:rFonts w:cs="Calibri"/>
        </w:rPr>
        <w:t xml:space="preserve"> la conceptualisation, de l</w:t>
      </w:r>
      <w:r w:rsidR="0018733B">
        <w:rPr>
          <w:rFonts w:cs="Calibri"/>
        </w:rPr>
        <w:t>a détermination</w:t>
      </w:r>
      <w:r w:rsidR="00741DF7" w:rsidRPr="00C30074">
        <w:rPr>
          <w:rFonts w:cs="Calibri"/>
        </w:rPr>
        <w:t xml:space="preserve"> et de la comptabilisation </w:t>
      </w:r>
      <w:r w:rsidR="0018733B" w:rsidRPr="00C30074">
        <w:rPr>
          <w:rFonts w:cs="Calibri"/>
        </w:rPr>
        <w:t>de la valeur</w:t>
      </w:r>
      <w:r w:rsidR="0018733B">
        <w:rPr>
          <w:rFonts w:cs="Calibri"/>
        </w:rPr>
        <w:t xml:space="preserve"> </w:t>
      </w:r>
      <w:r w:rsidR="00741DF7" w:rsidRPr="00C30074">
        <w:rPr>
          <w:rFonts w:cs="Calibri"/>
        </w:rPr>
        <w:t>de la biodiversité et des services écosystémiques (IPBES/2/16/Add.5);</w:t>
      </w:r>
    </w:p>
    <w:p w:rsidR="00741DF7" w:rsidRPr="00C30074" w:rsidRDefault="00741DF7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tab/>
        <w:t>f)</w:t>
      </w:r>
      <w:r w:rsidRPr="00C30074">
        <w:rPr>
          <w:rFonts w:cs="Calibri"/>
        </w:rPr>
        <w:tab/>
      </w:r>
      <w:r w:rsidR="00EC1249" w:rsidRPr="00C30074">
        <w:rPr>
          <w:rFonts w:cs="Calibri"/>
        </w:rPr>
        <w:t xml:space="preserve">Évaluation thématique normale </w:t>
      </w:r>
      <w:r w:rsidR="004216E0" w:rsidRPr="00C30074">
        <w:rPr>
          <w:rFonts w:cs="Calibri"/>
        </w:rPr>
        <w:t>de</w:t>
      </w:r>
      <w:r w:rsidR="00EC1249" w:rsidRPr="00C30074">
        <w:rPr>
          <w:rFonts w:cs="Calibri"/>
        </w:rPr>
        <w:t xml:space="preserve"> l’utilisation durable et </w:t>
      </w:r>
      <w:r w:rsidR="004216E0" w:rsidRPr="00C30074">
        <w:rPr>
          <w:rFonts w:cs="Calibri"/>
        </w:rPr>
        <w:t xml:space="preserve">de </w:t>
      </w:r>
      <w:r w:rsidR="00EC1249" w:rsidRPr="00C30074">
        <w:rPr>
          <w:rFonts w:cs="Calibri"/>
        </w:rPr>
        <w:t xml:space="preserve">la conservation de la biodiversité ainsi </w:t>
      </w:r>
      <w:r w:rsidR="004216E0" w:rsidRPr="00C30074">
        <w:rPr>
          <w:rFonts w:cs="Calibri"/>
        </w:rPr>
        <w:t>que du</w:t>
      </w:r>
      <w:r w:rsidR="00EC1249" w:rsidRPr="00C30074">
        <w:rPr>
          <w:rFonts w:cs="Calibri"/>
        </w:rPr>
        <w:t xml:space="preserve"> renforcement des capacités et </w:t>
      </w:r>
      <w:r w:rsidR="004216E0" w:rsidRPr="00C30074">
        <w:rPr>
          <w:rFonts w:cs="Calibri"/>
        </w:rPr>
        <w:t>d</w:t>
      </w:r>
      <w:r w:rsidR="008B3805" w:rsidRPr="00C30074">
        <w:rPr>
          <w:rFonts w:cs="Calibri"/>
        </w:rPr>
        <w:t>es</w:t>
      </w:r>
      <w:r w:rsidR="00EC1249" w:rsidRPr="00C30074">
        <w:rPr>
          <w:rFonts w:cs="Calibri"/>
        </w:rPr>
        <w:t xml:space="preserve"> outils (IPBES/2/16/Add.6);</w:t>
      </w:r>
    </w:p>
    <w:p w:rsidR="00EC1249" w:rsidRPr="00C30074" w:rsidRDefault="00EC1249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tab/>
        <w:t>g)</w:t>
      </w:r>
      <w:r w:rsidRPr="00C30074">
        <w:rPr>
          <w:rFonts w:cs="Calibri"/>
        </w:rPr>
        <w:tab/>
        <w:t xml:space="preserve">Évaluation thématique normale </w:t>
      </w:r>
      <w:r w:rsidR="004216E0" w:rsidRPr="00C30074">
        <w:rPr>
          <w:rFonts w:cs="Calibri"/>
        </w:rPr>
        <w:t>de</w:t>
      </w:r>
      <w:r w:rsidRPr="00C30074">
        <w:rPr>
          <w:rFonts w:cs="Calibri"/>
        </w:rPr>
        <w:t xml:space="preserve"> l’</w:t>
      </w:r>
      <w:r w:rsidR="00791BC3" w:rsidRPr="00C30074">
        <w:rPr>
          <w:rFonts w:cs="Calibri"/>
        </w:rPr>
        <w:t>agriculture</w:t>
      </w:r>
      <w:r w:rsidRPr="00C30074">
        <w:rPr>
          <w:rFonts w:cs="Calibri"/>
        </w:rPr>
        <w:t xml:space="preserve">, </w:t>
      </w:r>
      <w:r w:rsidR="00C30074" w:rsidRPr="00C30074">
        <w:rPr>
          <w:rFonts w:cs="Calibri"/>
        </w:rPr>
        <w:t xml:space="preserve">de </w:t>
      </w:r>
      <w:r w:rsidRPr="00C30074">
        <w:rPr>
          <w:rFonts w:cs="Calibri"/>
        </w:rPr>
        <w:t xml:space="preserve">la sécurité alimentaire, </w:t>
      </w:r>
      <w:r w:rsidR="00C30074" w:rsidRPr="00C30074">
        <w:rPr>
          <w:rFonts w:cs="Calibri"/>
        </w:rPr>
        <w:t xml:space="preserve">de </w:t>
      </w:r>
      <w:r w:rsidRPr="00C30074">
        <w:rPr>
          <w:rFonts w:cs="Calibri"/>
        </w:rPr>
        <w:t xml:space="preserve">la biodiversité et </w:t>
      </w:r>
      <w:r w:rsidR="00C30074" w:rsidRPr="00C30074">
        <w:rPr>
          <w:rFonts w:cs="Calibri"/>
        </w:rPr>
        <w:t>d</w:t>
      </w:r>
      <w:r w:rsidRPr="00C30074">
        <w:rPr>
          <w:rFonts w:cs="Calibri"/>
        </w:rPr>
        <w:t>es services écosystémiques (IPBES/2/16/Add.7);</w:t>
      </w:r>
    </w:p>
    <w:p w:rsidR="00EC1249" w:rsidRPr="00C30074" w:rsidRDefault="00EC1249" w:rsidP="00791BC3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 w:rsidRPr="00C30074">
        <w:rPr>
          <w:rFonts w:cs="Calibri"/>
        </w:rPr>
        <w:tab/>
        <w:t>h)</w:t>
      </w:r>
      <w:r w:rsidRPr="00C30074">
        <w:rPr>
          <w:rFonts w:cs="Calibri"/>
        </w:rPr>
        <w:tab/>
        <w:t xml:space="preserve">Évaluation thématique normale </w:t>
      </w:r>
      <w:r w:rsidR="004216E0" w:rsidRPr="00C30074">
        <w:rPr>
          <w:rFonts w:cs="Calibri"/>
        </w:rPr>
        <w:t>des</w:t>
      </w:r>
      <w:r w:rsidR="008B3805" w:rsidRPr="00C30074">
        <w:rPr>
          <w:rFonts w:cs="Calibri"/>
        </w:rPr>
        <w:t xml:space="preserve"> </w:t>
      </w:r>
      <w:r w:rsidRPr="00C30074">
        <w:rPr>
          <w:rFonts w:cs="Calibri"/>
        </w:rPr>
        <w:t>espèces migratrices (IPBES/2/16/Add.8).</w:t>
      </w:r>
    </w:p>
    <w:p w:rsidR="00EC1249" w:rsidRPr="00C30074" w:rsidRDefault="00047C65" w:rsidP="002D0F0E">
      <w:pPr>
        <w:pStyle w:val="Normalnumber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247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</w:r>
      <w:r w:rsidR="00EC1249" w:rsidRPr="00C30074">
        <w:rPr>
          <w:rFonts w:cs="Calibri"/>
        </w:rPr>
        <w:t>Les évaluations jugées prioritaires ont été inclu</w:t>
      </w:r>
      <w:r w:rsidR="00C30074" w:rsidRPr="00C30074">
        <w:rPr>
          <w:rFonts w:cs="Calibri"/>
        </w:rPr>
        <w:t>s</w:t>
      </w:r>
      <w:r w:rsidR="00EC1249" w:rsidRPr="00C30074">
        <w:rPr>
          <w:rFonts w:cs="Calibri"/>
        </w:rPr>
        <w:t xml:space="preserve">es comme produits </w:t>
      </w:r>
      <w:r w:rsidR="00791BC3" w:rsidRPr="00C30074">
        <w:rPr>
          <w:rFonts w:cs="Calibri"/>
        </w:rPr>
        <w:t xml:space="preserve">livrables </w:t>
      </w:r>
      <w:r w:rsidR="00EC1249" w:rsidRPr="00C30074">
        <w:rPr>
          <w:rFonts w:cs="Calibri"/>
        </w:rPr>
        <w:t>dans le projet de programme de travail pour la période 2014-2018.</w:t>
      </w:r>
    </w:p>
    <w:p w:rsidR="000A7562" w:rsidRPr="00C30074" w:rsidRDefault="000A7562" w:rsidP="00D650CD">
      <w:pPr>
        <w:pStyle w:val="Normal-pool"/>
        <w:rPr>
          <w:lang w:val="fr-CA"/>
        </w:rPr>
      </w:pP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0A7562" w:rsidRPr="00C30074" w:rsidTr="00E863CA">
        <w:tc>
          <w:tcPr>
            <w:tcW w:w="3237" w:type="dxa"/>
          </w:tcPr>
          <w:p w:rsidR="000A7562" w:rsidRPr="00C30074" w:rsidRDefault="000A7562" w:rsidP="00D650CD">
            <w:pPr>
              <w:pStyle w:val="Normal-pool"/>
              <w:rPr>
                <w:lang w:val="fr-CA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0A7562" w:rsidRPr="00C30074" w:rsidRDefault="000A7562" w:rsidP="00D650CD">
            <w:pPr>
              <w:pStyle w:val="Normal-pool"/>
              <w:rPr>
                <w:lang w:val="fr-CA"/>
              </w:rPr>
            </w:pPr>
          </w:p>
        </w:tc>
        <w:tc>
          <w:tcPr>
            <w:tcW w:w="3238" w:type="dxa"/>
          </w:tcPr>
          <w:p w:rsidR="000A7562" w:rsidRPr="00C30074" w:rsidRDefault="000A7562" w:rsidP="00D650CD">
            <w:pPr>
              <w:pStyle w:val="Normal-pool"/>
              <w:rPr>
                <w:lang w:val="fr-CA"/>
              </w:rPr>
            </w:pPr>
          </w:p>
        </w:tc>
      </w:tr>
    </w:tbl>
    <w:p w:rsidR="000A7562" w:rsidRPr="00C30074" w:rsidRDefault="000A7562" w:rsidP="00D650CD">
      <w:pPr>
        <w:pStyle w:val="Normal-pool"/>
        <w:rPr>
          <w:lang w:val="fr-CA"/>
        </w:rPr>
      </w:pPr>
    </w:p>
    <w:sectPr w:rsidR="000A7562" w:rsidRPr="00C30074" w:rsidSect="00896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FD" w:rsidRDefault="005578FD" w:rsidP="000A7562">
      <w:r>
        <w:separator/>
      </w:r>
    </w:p>
  </w:endnote>
  <w:endnote w:type="continuationSeparator" w:id="0">
    <w:p w:rsidR="005578FD" w:rsidRDefault="005578FD" w:rsidP="000A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3E" w:rsidRPr="00896512" w:rsidRDefault="00C04B3E">
    <w:pPr>
      <w:pStyle w:val="Footer"/>
      <w:rPr>
        <w:b/>
        <w:szCs w:val="18"/>
      </w:rPr>
    </w:pPr>
    <w:r w:rsidRPr="00896512">
      <w:rPr>
        <w:b/>
        <w:szCs w:val="18"/>
      </w:rPr>
      <w:fldChar w:fldCharType="begin"/>
    </w:r>
    <w:r w:rsidRPr="00896512">
      <w:rPr>
        <w:b/>
        <w:szCs w:val="18"/>
      </w:rPr>
      <w:instrText xml:space="preserve"> PAGE   \* MERGEFORMAT </w:instrText>
    </w:r>
    <w:r w:rsidRPr="00896512">
      <w:rPr>
        <w:b/>
        <w:szCs w:val="18"/>
      </w:rPr>
      <w:fldChar w:fldCharType="separate"/>
    </w:r>
    <w:r w:rsidR="0049417B">
      <w:rPr>
        <w:b/>
        <w:noProof/>
        <w:szCs w:val="18"/>
      </w:rPr>
      <w:t>2</w:t>
    </w:r>
    <w:r w:rsidRPr="00896512">
      <w:rPr>
        <w:b/>
        <w:noProof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3E" w:rsidRPr="00896512" w:rsidRDefault="00C04B3E" w:rsidP="00896512">
    <w:pPr>
      <w:pStyle w:val="Footer"/>
      <w:jc w:val="right"/>
      <w:rPr>
        <w:b/>
      </w:rPr>
    </w:pPr>
    <w:r w:rsidRPr="00896512">
      <w:rPr>
        <w:b/>
      </w:rPr>
      <w:fldChar w:fldCharType="begin"/>
    </w:r>
    <w:r w:rsidRPr="00896512">
      <w:rPr>
        <w:b/>
      </w:rPr>
      <w:instrText xml:space="preserve"> PAGE   \* MERGEFORMAT </w:instrText>
    </w:r>
    <w:r w:rsidRPr="00896512">
      <w:rPr>
        <w:b/>
      </w:rPr>
      <w:fldChar w:fldCharType="separate"/>
    </w:r>
    <w:r>
      <w:rPr>
        <w:b/>
        <w:noProof/>
      </w:rPr>
      <w:t>3</w:t>
    </w:r>
    <w:r w:rsidRPr="00896512">
      <w:rPr>
        <w:b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3E" w:rsidRDefault="00C04B3E" w:rsidP="00901758">
    <w:pPr>
      <w:pStyle w:val="Footer"/>
      <w:tabs>
        <w:tab w:val="clear" w:pos="4320"/>
        <w:tab w:val="clear" w:pos="8640"/>
        <w:tab w:val="left" w:pos="624"/>
      </w:tabs>
    </w:pPr>
    <w:r>
      <w:t>K1353286</w:t>
    </w:r>
    <w:r>
      <w:tab/>
    </w:r>
    <w:r w:rsidR="00553732">
      <w:t>15</w:t>
    </w:r>
    <w:r>
      <w:t>1113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FD" w:rsidRDefault="005578FD" w:rsidP="00D650CD">
      <w:pPr>
        <w:spacing w:after="120"/>
        <w:ind w:left="624"/>
      </w:pPr>
      <w:r>
        <w:separator/>
      </w:r>
    </w:p>
  </w:footnote>
  <w:footnote w:type="continuationSeparator" w:id="0">
    <w:p w:rsidR="005578FD" w:rsidRDefault="005578FD" w:rsidP="000A7562">
      <w:r>
        <w:continuationSeparator/>
      </w:r>
    </w:p>
  </w:footnote>
  <w:footnote w:id="1">
    <w:p w:rsidR="00C04B3E" w:rsidRPr="00D650CD" w:rsidRDefault="00C04B3E" w:rsidP="000A7562">
      <w:pPr>
        <w:pStyle w:val="FootnoteText"/>
        <w:rPr>
          <w:szCs w:val="18"/>
          <w:lang w:val="en-US"/>
        </w:rPr>
      </w:pPr>
      <w:r w:rsidRPr="00D650CD">
        <w:rPr>
          <w:rStyle w:val="FootnoteReference"/>
          <w:sz w:val="18"/>
        </w:rPr>
        <w:sym w:font="Symbol" w:char="F02A"/>
      </w:r>
      <w:r w:rsidRPr="00D650CD">
        <w:rPr>
          <w:szCs w:val="18"/>
        </w:rPr>
        <w:t xml:space="preserve"> IPBES/</w:t>
      </w:r>
      <w:r w:rsidRPr="00D650CD">
        <w:rPr>
          <w:szCs w:val="18"/>
          <w:lang w:eastAsia="ja-JP"/>
        </w:rPr>
        <w:t>2/1.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3E" w:rsidRPr="000A7562" w:rsidRDefault="00C04B3E">
    <w:pPr>
      <w:pStyle w:val="Header"/>
      <w:rPr>
        <w:szCs w:val="18"/>
      </w:rPr>
    </w:pPr>
    <w:r w:rsidRPr="000A7562">
      <w:rPr>
        <w:szCs w:val="18"/>
      </w:rPr>
      <w:t>IPBES</w:t>
    </w:r>
    <w:r w:rsidR="00FA6A41">
      <w:rPr>
        <w:szCs w:val="18"/>
        <w:lang w:eastAsia="ja-JP"/>
      </w:rPr>
      <w:t>/2/16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3E" w:rsidRPr="00901758" w:rsidRDefault="00C04B3E" w:rsidP="00901758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309" o:spid="_x0000_s2051" type="#_x0000_t136" style="position:absolute;left:0;text-align:left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CE"/>
          <w10:wrap anchorx="margin" anchory="margin"/>
        </v:shape>
      </w:pict>
    </w:r>
    <w:r w:rsidRPr="000A7562">
      <w:rPr>
        <w:szCs w:val="18"/>
      </w:rPr>
      <w:t>IPBES</w:t>
    </w:r>
    <w:r w:rsidRPr="000A7562">
      <w:rPr>
        <w:szCs w:val="18"/>
        <w:lang w:eastAsia="ja-JP"/>
      </w:rPr>
      <w:t>/2/8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3E" w:rsidRDefault="00C04B3E" w:rsidP="0089651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223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13C5C"/>
    <w:multiLevelType w:val="hybridMultilevel"/>
    <w:tmpl w:val="B57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0EE5"/>
    <w:multiLevelType w:val="hybridMultilevel"/>
    <w:tmpl w:val="2864F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5B21D1"/>
    <w:multiLevelType w:val="hybridMultilevel"/>
    <w:tmpl w:val="A3BE4A60"/>
    <w:lvl w:ilvl="0" w:tplc="D7AED58A">
      <w:start w:val="1"/>
      <w:numFmt w:val="lowerLetter"/>
      <w:lvlText w:val="%1)"/>
      <w:lvlJc w:val="left"/>
      <w:pPr>
        <w:ind w:left="238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7" w:hanging="360"/>
      </w:pPr>
    </w:lvl>
    <w:lvl w:ilvl="2" w:tplc="0409001B" w:tentative="1">
      <w:start w:val="1"/>
      <w:numFmt w:val="lowerRoman"/>
      <w:lvlText w:val="%3."/>
      <w:lvlJc w:val="right"/>
      <w:pPr>
        <w:ind w:left="3627" w:hanging="180"/>
      </w:pPr>
    </w:lvl>
    <w:lvl w:ilvl="3" w:tplc="0409000F" w:tentative="1">
      <w:start w:val="1"/>
      <w:numFmt w:val="decimal"/>
      <w:lvlText w:val="%4."/>
      <w:lvlJc w:val="left"/>
      <w:pPr>
        <w:ind w:left="4347" w:hanging="360"/>
      </w:pPr>
    </w:lvl>
    <w:lvl w:ilvl="4" w:tplc="04090019" w:tentative="1">
      <w:start w:val="1"/>
      <w:numFmt w:val="lowerLetter"/>
      <w:lvlText w:val="%5."/>
      <w:lvlJc w:val="left"/>
      <w:pPr>
        <w:ind w:left="5067" w:hanging="360"/>
      </w:pPr>
    </w:lvl>
    <w:lvl w:ilvl="5" w:tplc="0409001B" w:tentative="1">
      <w:start w:val="1"/>
      <w:numFmt w:val="lowerRoman"/>
      <w:lvlText w:val="%6."/>
      <w:lvlJc w:val="right"/>
      <w:pPr>
        <w:ind w:left="5787" w:hanging="180"/>
      </w:pPr>
    </w:lvl>
    <w:lvl w:ilvl="6" w:tplc="0409000F" w:tentative="1">
      <w:start w:val="1"/>
      <w:numFmt w:val="decimal"/>
      <w:lvlText w:val="%7."/>
      <w:lvlJc w:val="left"/>
      <w:pPr>
        <w:ind w:left="6507" w:hanging="360"/>
      </w:pPr>
    </w:lvl>
    <w:lvl w:ilvl="7" w:tplc="04090019" w:tentative="1">
      <w:start w:val="1"/>
      <w:numFmt w:val="lowerLetter"/>
      <w:lvlText w:val="%8."/>
      <w:lvlJc w:val="left"/>
      <w:pPr>
        <w:ind w:left="7227" w:hanging="360"/>
      </w:pPr>
    </w:lvl>
    <w:lvl w:ilvl="8" w:tplc="040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6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62291BF8"/>
    <w:multiLevelType w:val="multilevel"/>
    <w:tmpl w:val="F4ACF36E"/>
    <w:numStyleLink w:val="Normallist"/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8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7562"/>
    <w:rsid w:val="00005783"/>
    <w:rsid w:val="00011C9F"/>
    <w:rsid w:val="000368B6"/>
    <w:rsid w:val="00047C65"/>
    <w:rsid w:val="00053C64"/>
    <w:rsid w:val="000579B3"/>
    <w:rsid w:val="0006160B"/>
    <w:rsid w:val="00063CBC"/>
    <w:rsid w:val="00070C08"/>
    <w:rsid w:val="00074393"/>
    <w:rsid w:val="00091D4B"/>
    <w:rsid w:val="000A45F9"/>
    <w:rsid w:val="000A7562"/>
    <w:rsid w:val="000B7CDC"/>
    <w:rsid w:val="000F30FD"/>
    <w:rsid w:val="000F7034"/>
    <w:rsid w:val="00111487"/>
    <w:rsid w:val="0013014F"/>
    <w:rsid w:val="00157639"/>
    <w:rsid w:val="00172CC5"/>
    <w:rsid w:val="00180E96"/>
    <w:rsid w:val="0018733B"/>
    <w:rsid w:val="00187B95"/>
    <w:rsid w:val="001951AA"/>
    <w:rsid w:val="001C5E56"/>
    <w:rsid w:val="001E291A"/>
    <w:rsid w:val="001E3CAA"/>
    <w:rsid w:val="001F6691"/>
    <w:rsid w:val="00207780"/>
    <w:rsid w:val="00240259"/>
    <w:rsid w:val="00246E85"/>
    <w:rsid w:val="00253717"/>
    <w:rsid w:val="00266500"/>
    <w:rsid w:val="00267A16"/>
    <w:rsid w:val="0027154C"/>
    <w:rsid w:val="0027208A"/>
    <w:rsid w:val="00283688"/>
    <w:rsid w:val="002863FB"/>
    <w:rsid w:val="002C3011"/>
    <w:rsid w:val="002C3E4B"/>
    <w:rsid w:val="002C5E71"/>
    <w:rsid w:val="002D0F0E"/>
    <w:rsid w:val="002D16D3"/>
    <w:rsid w:val="002F3599"/>
    <w:rsid w:val="002F3B23"/>
    <w:rsid w:val="00302001"/>
    <w:rsid w:val="0031022F"/>
    <w:rsid w:val="0031744A"/>
    <w:rsid w:val="00323164"/>
    <w:rsid w:val="00324A4B"/>
    <w:rsid w:val="00335218"/>
    <w:rsid w:val="003629D0"/>
    <w:rsid w:val="00385651"/>
    <w:rsid w:val="003D01F5"/>
    <w:rsid w:val="003E76F0"/>
    <w:rsid w:val="004216E0"/>
    <w:rsid w:val="004368B0"/>
    <w:rsid w:val="00440599"/>
    <w:rsid w:val="00441480"/>
    <w:rsid w:val="00444484"/>
    <w:rsid w:val="00450B7A"/>
    <w:rsid w:val="00467E7E"/>
    <w:rsid w:val="00471DDC"/>
    <w:rsid w:val="00473B66"/>
    <w:rsid w:val="0048694B"/>
    <w:rsid w:val="004930B7"/>
    <w:rsid w:val="0049417B"/>
    <w:rsid w:val="004A36F0"/>
    <w:rsid w:val="004C2D15"/>
    <w:rsid w:val="004C5FE6"/>
    <w:rsid w:val="004E7321"/>
    <w:rsid w:val="004F0BA2"/>
    <w:rsid w:val="005074D5"/>
    <w:rsid w:val="00507914"/>
    <w:rsid w:val="00526892"/>
    <w:rsid w:val="00531543"/>
    <w:rsid w:val="00537592"/>
    <w:rsid w:val="005534CC"/>
    <w:rsid w:val="00553732"/>
    <w:rsid w:val="00554535"/>
    <w:rsid w:val="005578FD"/>
    <w:rsid w:val="00562CFE"/>
    <w:rsid w:val="00575159"/>
    <w:rsid w:val="005818CC"/>
    <w:rsid w:val="005943B1"/>
    <w:rsid w:val="005A66F6"/>
    <w:rsid w:val="005B2E83"/>
    <w:rsid w:val="005B3257"/>
    <w:rsid w:val="005D307B"/>
    <w:rsid w:val="005D7F6C"/>
    <w:rsid w:val="005F658E"/>
    <w:rsid w:val="006206DA"/>
    <w:rsid w:val="006230CB"/>
    <w:rsid w:val="00626212"/>
    <w:rsid w:val="00627EF6"/>
    <w:rsid w:val="00631ECE"/>
    <w:rsid w:val="00632100"/>
    <w:rsid w:val="00632293"/>
    <w:rsid w:val="00633DC8"/>
    <w:rsid w:val="00634BEB"/>
    <w:rsid w:val="0064461D"/>
    <w:rsid w:val="006539EC"/>
    <w:rsid w:val="00654D41"/>
    <w:rsid w:val="00655818"/>
    <w:rsid w:val="006667C0"/>
    <w:rsid w:val="00680249"/>
    <w:rsid w:val="00682FE8"/>
    <w:rsid w:val="006B34F2"/>
    <w:rsid w:val="006D7D2F"/>
    <w:rsid w:val="006E5A69"/>
    <w:rsid w:val="006E7930"/>
    <w:rsid w:val="007025F9"/>
    <w:rsid w:val="00712F17"/>
    <w:rsid w:val="00722B6B"/>
    <w:rsid w:val="00741DF7"/>
    <w:rsid w:val="00752166"/>
    <w:rsid w:val="007525B0"/>
    <w:rsid w:val="00755780"/>
    <w:rsid w:val="00756712"/>
    <w:rsid w:val="00766558"/>
    <w:rsid w:val="00773C5E"/>
    <w:rsid w:val="00787076"/>
    <w:rsid w:val="007873F6"/>
    <w:rsid w:val="00787C67"/>
    <w:rsid w:val="00791BC3"/>
    <w:rsid w:val="00793CCC"/>
    <w:rsid w:val="007A073A"/>
    <w:rsid w:val="007A2C8F"/>
    <w:rsid w:val="007B17E9"/>
    <w:rsid w:val="007B3E21"/>
    <w:rsid w:val="007B71CD"/>
    <w:rsid w:val="007C2B19"/>
    <w:rsid w:val="007D6772"/>
    <w:rsid w:val="007F1F4B"/>
    <w:rsid w:val="007F3B46"/>
    <w:rsid w:val="00831447"/>
    <w:rsid w:val="008334EC"/>
    <w:rsid w:val="008346D3"/>
    <w:rsid w:val="008370D2"/>
    <w:rsid w:val="008375B0"/>
    <w:rsid w:val="008377C0"/>
    <w:rsid w:val="00843540"/>
    <w:rsid w:val="008452C3"/>
    <w:rsid w:val="00881CFA"/>
    <w:rsid w:val="0088633A"/>
    <w:rsid w:val="008944D9"/>
    <w:rsid w:val="00896001"/>
    <w:rsid w:val="00896512"/>
    <w:rsid w:val="008A3671"/>
    <w:rsid w:val="008B0C31"/>
    <w:rsid w:val="008B3805"/>
    <w:rsid w:val="008E7B8F"/>
    <w:rsid w:val="008F53EC"/>
    <w:rsid w:val="00901758"/>
    <w:rsid w:val="00902424"/>
    <w:rsid w:val="009027FC"/>
    <w:rsid w:val="0090799A"/>
    <w:rsid w:val="00916EFE"/>
    <w:rsid w:val="0092071D"/>
    <w:rsid w:val="00943A04"/>
    <w:rsid w:val="009565EB"/>
    <w:rsid w:val="00961E44"/>
    <w:rsid w:val="0098191C"/>
    <w:rsid w:val="009B6640"/>
    <w:rsid w:val="009D08D6"/>
    <w:rsid w:val="009D1CA4"/>
    <w:rsid w:val="009D2EE2"/>
    <w:rsid w:val="00A00D38"/>
    <w:rsid w:val="00A166A7"/>
    <w:rsid w:val="00A55CC6"/>
    <w:rsid w:val="00A61D9E"/>
    <w:rsid w:val="00A7237F"/>
    <w:rsid w:val="00A942CC"/>
    <w:rsid w:val="00AC1193"/>
    <w:rsid w:val="00AC3573"/>
    <w:rsid w:val="00AC5AB9"/>
    <w:rsid w:val="00AC6730"/>
    <w:rsid w:val="00AD10C7"/>
    <w:rsid w:val="00AD1C53"/>
    <w:rsid w:val="00AF55C7"/>
    <w:rsid w:val="00AF5749"/>
    <w:rsid w:val="00AF63E2"/>
    <w:rsid w:val="00B0209C"/>
    <w:rsid w:val="00B1732F"/>
    <w:rsid w:val="00B2718A"/>
    <w:rsid w:val="00B3180A"/>
    <w:rsid w:val="00B54516"/>
    <w:rsid w:val="00B55D0B"/>
    <w:rsid w:val="00B57621"/>
    <w:rsid w:val="00B646EA"/>
    <w:rsid w:val="00B75766"/>
    <w:rsid w:val="00B8081B"/>
    <w:rsid w:val="00B843AA"/>
    <w:rsid w:val="00B85BD2"/>
    <w:rsid w:val="00B94524"/>
    <w:rsid w:val="00BA39B4"/>
    <w:rsid w:val="00BD261D"/>
    <w:rsid w:val="00BD2BB3"/>
    <w:rsid w:val="00BE23E8"/>
    <w:rsid w:val="00C04B3E"/>
    <w:rsid w:val="00C15AAE"/>
    <w:rsid w:val="00C16B28"/>
    <w:rsid w:val="00C2534F"/>
    <w:rsid w:val="00C30074"/>
    <w:rsid w:val="00C4724B"/>
    <w:rsid w:val="00C70F15"/>
    <w:rsid w:val="00C7622D"/>
    <w:rsid w:val="00CA5FC2"/>
    <w:rsid w:val="00CA736B"/>
    <w:rsid w:val="00CB069E"/>
    <w:rsid w:val="00CB554F"/>
    <w:rsid w:val="00CC0E9D"/>
    <w:rsid w:val="00CC1C7D"/>
    <w:rsid w:val="00CD3386"/>
    <w:rsid w:val="00CD3C21"/>
    <w:rsid w:val="00CD639A"/>
    <w:rsid w:val="00CE2331"/>
    <w:rsid w:val="00CE6081"/>
    <w:rsid w:val="00CF7116"/>
    <w:rsid w:val="00CF7339"/>
    <w:rsid w:val="00CF7B3D"/>
    <w:rsid w:val="00D028F9"/>
    <w:rsid w:val="00D2372A"/>
    <w:rsid w:val="00D26C4B"/>
    <w:rsid w:val="00D2794D"/>
    <w:rsid w:val="00D35D32"/>
    <w:rsid w:val="00D40ECF"/>
    <w:rsid w:val="00D55E8F"/>
    <w:rsid w:val="00D650CD"/>
    <w:rsid w:val="00D70C4A"/>
    <w:rsid w:val="00D70E44"/>
    <w:rsid w:val="00D712AD"/>
    <w:rsid w:val="00D94EB9"/>
    <w:rsid w:val="00DB10E7"/>
    <w:rsid w:val="00DB613C"/>
    <w:rsid w:val="00DB6C9E"/>
    <w:rsid w:val="00DC3CB1"/>
    <w:rsid w:val="00DC4836"/>
    <w:rsid w:val="00DD08E8"/>
    <w:rsid w:val="00DF1D16"/>
    <w:rsid w:val="00E00D64"/>
    <w:rsid w:val="00E03F26"/>
    <w:rsid w:val="00E06785"/>
    <w:rsid w:val="00E07047"/>
    <w:rsid w:val="00E079C1"/>
    <w:rsid w:val="00E128C5"/>
    <w:rsid w:val="00E543E5"/>
    <w:rsid w:val="00E65C86"/>
    <w:rsid w:val="00E7623E"/>
    <w:rsid w:val="00E800D0"/>
    <w:rsid w:val="00E863CA"/>
    <w:rsid w:val="00E871E5"/>
    <w:rsid w:val="00E91A98"/>
    <w:rsid w:val="00E94A43"/>
    <w:rsid w:val="00EB4011"/>
    <w:rsid w:val="00EC1249"/>
    <w:rsid w:val="00EC152F"/>
    <w:rsid w:val="00EC4FC0"/>
    <w:rsid w:val="00ED5135"/>
    <w:rsid w:val="00EE057F"/>
    <w:rsid w:val="00EE663C"/>
    <w:rsid w:val="00F07055"/>
    <w:rsid w:val="00F31107"/>
    <w:rsid w:val="00F31146"/>
    <w:rsid w:val="00F422D2"/>
    <w:rsid w:val="00F73FA4"/>
    <w:rsid w:val="00F95743"/>
    <w:rsid w:val="00FA6A41"/>
    <w:rsid w:val="00FB3A9B"/>
    <w:rsid w:val="00FC085B"/>
    <w:rsid w:val="00FC28D5"/>
    <w:rsid w:val="00FD3911"/>
    <w:rsid w:val="00FE2063"/>
    <w:rsid w:val="00FF5708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footnote reference" w:semiHidden="1" w:unhideWhenUsed="1"/>
    <w:lsdException w:name="annotation reference" w:uiPriority="99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562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FB3A9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semiHidden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semiHidden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customStyle="1" w:styleId="Heading9Char">
    <w:name w:val="Heading 9 Char"/>
    <w:link w:val="Heading9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styleId="Hyperlink">
    <w:name w:val="Hyperlink"/>
    <w:semiHidden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3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E863C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semiHidden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Normal-poolChar">
    <w:name w:val="Normal-pool Char"/>
    <w:link w:val="Normal-pool"/>
    <w:rsid w:val="000A7562"/>
    <w:rPr>
      <w:rFonts w:eastAsia="Times New Roman"/>
      <w:lang w:val="en-GB"/>
    </w:rPr>
  </w:style>
  <w:style w:type="paragraph" w:styleId="ColorfulList-Accent1">
    <w:name w:val="Colorful List Accent 1"/>
    <w:basedOn w:val="Normal"/>
    <w:uiPriority w:val="34"/>
    <w:qFormat/>
    <w:rsid w:val="000A7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A7562"/>
    <w:rPr>
      <w:sz w:val="16"/>
      <w:szCs w:val="16"/>
    </w:rPr>
  </w:style>
  <w:style w:type="character" w:customStyle="1" w:styleId="NormalnumberChar">
    <w:name w:val="Normal_number Char"/>
    <w:link w:val="Normalnumber"/>
    <w:locked/>
    <w:rsid w:val="00E863CA"/>
    <w:rPr>
      <w:rFonts w:eastAsia="Times New Roman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F509-304F-4473-9444-2529311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Mwanza</dc:creator>
  <cp:lastModifiedBy>Rohan</cp:lastModifiedBy>
  <cp:revision>2</cp:revision>
  <cp:lastPrinted>2013-11-15T10:53:00Z</cp:lastPrinted>
  <dcterms:created xsi:type="dcterms:W3CDTF">2013-11-19T14:31:00Z</dcterms:created>
  <dcterms:modified xsi:type="dcterms:W3CDTF">2013-11-19T14:31:00Z</dcterms:modified>
</cp:coreProperties>
</file>