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87" w:rsidRPr="009712CD" w:rsidRDefault="00194D87" w:rsidP="00CE5293">
      <w:pPr>
        <w:pStyle w:val="Normal-pool"/>
        <w:rPr>
          <w:sz w:val="20"/>
          <w:szCs w:val="20"/>
        </w:rPr>
      </w:pPr>
      <w:bookmarkStart w:id="0" w:name="_GoBack"/>
      <w:bookmarkEnd w:id="0"/>
    </w:p>
    <w:tbl>
      <w:tblPr>
        <w:tblW w:w="9780" w:type="dxa"/>
        <w:tblLayout w:type="fixed"/>
        <w:tblLook w:val="0000" w:firstRow="0" w:lastRow="0" w:firstColumn="0" w:lastColumn="0" w:noHBand="0" w:noVBand="0"/>
      </w:tblPr>
      <w:tblGrid>
        <w:gridCol w:w="1560"/>
        <w:gridCol w:w="5208"/>
        <w:gridCol w:w="3012"/>
      </w:tblGrid>
      <w:tr w:rsidR="00194D87" w:rsidRPr="009712CD">
        <w:trPr>
          <w:cantSplit/>
          <w:trHeight w:val="850"/>
        </w:trPr>
        <w:tc>
          <w:tcPr>
            <w:tcW w:w="1560" w:type="dxa"/>
          </w:tcPr>
          <w:p w:rsidR="00194D87" w:rsidRPr="009712CD" w:rsidRDefault="00194D87" w:rsidP="00293850">
            <w:pPr>
              <w:tabs>
                <w:tab w:val="left" w:pos="624"/>
                <w:tab w:val="left" w:pos="1871"/>
                <w:tab w:val="left" w:pos="2495"/>
                <w:tab w:val="left" w:pos="3119"/>
                <w:tab w:val="left" w:pos="3742"/>
              </w:tabs>
              <w:spacing w:line="240" w:lineRule="auto"/>
              <w:rPr>
                <w:rFonts w:ascii="Arial" w:hAnsi="Arial" w:cs="Arial"/>
                <w:b/>
                <w:noProof/>
                <w:sz w:val="27"/>
                <w:szCs w:val="27"/>
              </w:rPr>
            </w:pPr>
            <w:r w:rsidRPr="009712CD">
              <w:rPr>
                <w:rFonts w:ascii="Arial" w:hAnsi="Arial" w:cs="Arial"/>
                <w:b/>
                <w:noProof/>
                <w:sz w:val="27"/>
                <w:szCs w:val="27"/>
              </w:rPr>
              <w:t>UNITED</w:t>
            </w:r>
            <w:r w:rsidRPr="009712CD">
              <w:rPr>
                <w:rFonts w:ascii="Arial" w:hAnsi="Arial" w:cs="Arial"/>
                <w:b/>
                <w:noProof/>
                <w:sz w:val="27"/>
                <w:szCs w:val="27"/>
              </w:rPr>
              <w:br/>
              <w:t>NATIONS</w:t>
            </w:r>
          </w:p>
        </w:tc>
        <w:tc>
          <w:tcPr>
            <w:tcW w:w="5208" w:type="dxa"/>
          </w:tcPr>
          <w:p w:rsidR="00194D87" w:rsidRPr="009712CD" w:rsidRDefault="00194D87" w:rsidP="00293850">
            <w:pPr>
              <w:tabs>
                <w:tab w:val="left" w:pos="624"/>
                <w:tab w:val="left" w:pos="1871"/>
                <w:tab w:val="left" w:pos="2495"/>
                <w:tab w:val="left" w:pos="3119"/>
                <w:tab w:val="left" w:pos="3742"/>
              </w:tabs>
              <w:spacing w:line="240" w:lineRule="auto"/>
              <w:rPr>
                <w:rFonts w:ascii="Univers" w:hAnsi="Univers"/>
                <w:b/>
                <w:sz w:val="27"/>
                <w:szCs w:val="27"/>
              </w:rPr>
            </w:pPr>
          </w:p>
        </w:tc>
        <w:tc>
          <w:tcPr>
            <w:tcW w:w="3012" w:type="dxa"/>
          </w:tcPr>
          <w:p w:rsidR="00194D87" w:rsidRPr="009712CD" w:rsidRDefault="00194D87" w:rsidP="00293850">
            <w:pPr>
              <w:tabs>
                <w:tab w:val="left" w:pos="624"/>
                <w:tab w:val="left" w:pos="1871"/>
                <w:tab w:val="left" w:pos="2495"/>
                <w:tab w:val="left" w:pos="3119"/>
                <w:tab w:val="left" w:pos="3742"/>
              </w:tabs>
              <w:spacing w:line="240" w:lineRule="auto"/>
              <w:jc w:val="right"/>
              <w:rPr>
                <w:rFonts w:ascii="Univers" w:hAnsi="Univers"/>
                <w:b/>
                <w:sz w:val="72"/>
                <w:szCs w:val="72"/>
              </w:rPr>
            </w:pPr>
            <w:r w:rsidRPr="009712CD">
              <w:rPr>
                <w:rFonts w:ascii="Univers" w:hAnsi="Univers"/>
                <w:b/>
                <w:sz w:val="72"/>
                <w:szCs w:val="72"/>
              </w:rPr>
              <w:t>EP</w:t>
            </w:r>
          </w:p>
        </w:tc>
      </w:tr>
      <w:tr w:rsidR="00194D87" w:rsidRPr="009712CD">
        <w:trPr>
          <w:cantSplit/>
          <w:trHeight w:val="281"/>
        </w:trPr>
        <w:tc>
          <w:tcPr>
            <w:tcW w:w="1560" w:type="dxa"/>
            <w:tcBorders>
              <w:bottom w:val="single" w:sz="4" w:space="0" w:color="auto"/>
            </w:tcBorders>
          </w:tcPr>
          <w:p w:rsidR="00194D87" w:rsidRPr="009712CD" w:rsidRDefault="00194D87" w:rsidP="00293850">
            <w:pPr>
              <w:tabs>
                <w:tab w:val="left" w:pos="624"/>
                <w:tab w:val="left" w:pos="1871"/>
                <w:tab w:val="left" w:pos="2495"/>
                <w:tab w:val="left" w:pos="3119"/>
                <w:tab w:val="left" w:pos="3742"/>
              </w:tabs>
              <w:spacing w:line="240" w:lineRule="auto"/>
              <w:rPr>
                <w:noProof/>
                <w:sz w:val="18"/>
                <w:szCs w:val="18"/>
              </w:rPr>
            </w:pPr>
          </w:p>
        </w:tc>
        <w:tc>
          <w:tcPr>
            <w:tcW w:w="5208" w:type="dxa"/>
            <w:tcBorders>
              <w:bottom w:val="single" w:sz="4" w:space="0" w:color="auto"/>
            </w:tcBorders>
          </w:tcPr>
          <w:p w:rsidR="00194D87" w:rsidRPr="009712CD" w:rsidRDefault="00194D87" w:rsidP="00293850">
            <w:pPr>
              <w:tabs>
                <w:tab w:val="left" w:pos="624"/>
                <w:tab w:val="left" w:pos="1871"/>
                <w:tab w:val="left" w:pos="2495"/>
                <w:tab w:val="left" w:pos="3119"/>
                <w:tab w:val="left" w:pos="3742"/>
              </w:tabs>
              <w:spacing w:line="240" w:lineRule="auto"/>
              <w:rPr>
                <w:rFonts w:ascii="Univers" w:hAnsi="Univers"/>
                <w:b/>
                <w:sz w:val="18"/>
                <w:szCs w:val="18"/>
              </w:rPr>
            </w:pPr>
          </w:p>
        </w:tc>
        <w:tc>
          <w:tcPr>
            <w:tcW w:w="3012" w:type="dxa"/>
            <w:tcBorders>
              <w:bottom w:val="single" w:sz="4" w:space="0" w:color="auto"/>
            </w:tcBorders>
          </w:tcPr>
          <w:p w:rsidR="00194D87" w:rsidRPr="009712CD" w:rsidRDefault="00194D87" w:rsidP="00D36134">
            <w:pPr>
              <w:tabs>
                <w:tab w:val="left" w:pos="624"/>
                <w:tab w:val="left" w:pos="1871"/>
                <w:tab w:val="left" w:pos="2495"/>
                <w:tab w:val="left" w:pos="3119"/>
                <w:tab w:val="left" w:pos="3742"/>
              </w:tabs>
              <w:spacing w:after="0" w:line="240" w:lineRule="auto"/>
              <w:rPr>
                <w:rFonts w:ascii="Times New Roman" w:hAnsi="Times New Roman"/>
                <w:noProof/>
                <w:sz w:val="18"/>
                <w:szCs w:val="18"/>
                <w:lang w:eastAsia="ja-JP"/>
              </w:rPr>
            </w:pPr>
            <w:r w:rsidRPr="009712CD">
              <w:rPr>
                <w:rFonts w:ascii="Times New Roman" w:hAnsi="Times New Roman"/>
                <w:b/>
                <w:sz w:val="24"/>
                <w:szCs w:val="24"/>
              </w:rPr>
              <w:t>IPBES</w:t>
            </w:r>
            <w:r w:rsidRPr="009712CD">
              <w:rPr>
                <w:rFonts w:ascii="Times New Roman" w:hAnsi="Times New Roman"/>
                <w:sz w:val="20"/>
                <w:szCs w:val="20"/>
              </w:rPr>
              <w:t>/</w:t>
            </w:r>
            <w:r w:rsidRPr="009712CD">
              <w:rPr>
                <w:rFonts w:ascii="Times New Roman" w:hAnsi="Times New Roman"/>
                <w:sz w:val="20"/>
                <w:szCs w:val="20"/>
                <w:lang w:eastAsia="ja-JP"/>
              </w:rPr>
              <w:t>2/1</w:t>
            </w:r>
            <w:r w:rsidR="0058068F" w:rsidRPr="009712CD">
              <w:rPr>
                <w:rFonts w:ascii="Times New Roman" w:hAnsi="Times New Roman"/>
                <w:sz w:val="20"/>
                <w:szCs w:val="20"/>
                <w:lang w:eastAsia="ja-JP"/>
              </w:rPr>
              <w:t>6/Add.</w:t>
            </w:r>
            <w:r w:rsidR="00D36134" w:rsidRPr="009712CD">
              <w:rPr>
                <w:rFonts w:ascii="Times New Roman" w:hAnsi="Times New Roman"/>
                <w:sz w:val="20"/>
                <w:szCs w:val="20"/>
                <w:lang w:eastAsia="ja-JP"/>
              </w:rPr>
              <w:t>8</w:t>
            </w:r>
          </w:p>
        </w:tc>
      </w:tr>
      <w:tr w:rsidR="00194D87" w:rsidRPr="009712CD">
        <w:trPr>
          <w:cantSplit/>
          <w:trHeight w:val="2549"/>
        </w:trPr>
        <w:tc>
          <w:tcPr>
            <w:tcW w:w="1560" w:type="dxa"/>
            <w:tcBorders>
              <w:top w:val="single" w:sz="4" w:space="0" w:color="auto"/>
              <w:bottom w:val="single" w:sz="24" w:space="0" w:color="auto"/>
            </w:tcBorders>
          </w:tcPr>
          <w:p w:rsidR="00194D87" w:rsidRPr="009712CD" w:rsidRDefault="00194D87" w:rsidP="00293850">
            <w:pPr>
              <w:tabs>
                <w:tab w:val="left" w:pos="624"/>
                <w:tab w:val="left" w:pos="1871"/>
                <w:tab w:val="left" w:pos="2495"/>
                <w:tab w:val="left" w:pos="3119"/>
                <w:tab w:val="left" w:pos="3742"/>
              </w:tabs>
              <w:spacing w:line="240" w:lineRule="auto"/>
              <w:rPr>
                <w:noProof/>
              </w:rPr>
            </w:pPr>
            <w:r w:rsidRPr="009712CD">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color="window">
                  <v:imagedata r:id="rId9" o:title=""/>
                </v:shape>
                <o:OLEObject Type="Embed" ProgID="Word.Picture.8" ShapeID="_x0000_i1025" DrawAspect="Content" ObjectID="_1446632841" r:id="rId10"/>
              </w:object>
            </w:r>
            <w:r w:rsidR="003A3430">
              <w:rPr>
                <w:noProof/>
                <w:lang w:val="en-US"/>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208" w:type="dxa"/>
            <w:tcBorders>
              <w:top w:val="single" w:sz="4" w:space="0" w:color="auto"/>
              <w:bottom w:val="single" w:sz="24" w:space="0" w:color="auto"/>
            </w:tcBorders>
          </w:tcPr>
          <w:p w:rsidR="00194D87" w:rsidRPr="009712CD" w:rsidRDefault="00194D87" w:rsidP="00293850">
            <w:pPr>
              <w:tabs>
                <w:tab w:val="left" w:pos="624"/>
                <w:tab w:val="left" w:pos="1871"/>
                <w:tab w:val="left" w:pos="2495"/>
                <w:tab w:val="left" w:pos="3119"/>
                <w:tab w:val="left" w:pos="3742"/>
              </w:tabs>
              <w:spacing w:before="1400" w:line="240" w:lineRule="auto"/>
              <w:rPr>
                <w:rFonts w:ascii="Univers" w:hAnsi="Univers"/>
                <w:b/>
                <w:sz w:val="28"/>
              </w:rPr>
            </w:pPr>
            <w:r w:rsidRPr="009712CD">
              <w:rPr>
                <w:rFonts w:ascii="Univers" w:hAnsi="Univers"/>
                <w:b/>
                <w:sz w:val="32"/>
                <w:szCs w:val="32"/>
              </w:rPr>
              <w:t>United Nations</w:t>
            </w:r>
            <w:r w:rsidRPr="009712CD">
              <w:rPr>
                <w:rFonts w:ascii="Univers" w:hAnsi="Univers"/>
                <w:b/>
                <w:sz w:val="32"/>
                <w:szCs w:val="32"/>
              </w:rPr>
              <w:br/>
              <w:t xml:space="preserve">Environment </w:t>
            </w:r>
            <w:r w:rsidRPr="009712CD">
              <w:rPr>
                <w:rFonts w:ascii="Univers" w:hAnsi="Univers"/>
                <w:b/>
                <w:sz w:val="32"/>
                <w:szCs w:val="32"/>
              </w:rPr>
              <w:br/>
              <w:t>Programme</w:t>
            </w:r>
          </w:p>
        </w:tc>
        <w:tc>
          <w:tcPr>
            <w:tcW w:w="3012" w:type="dxa"/>
            <w:tcBorders>
              <w:top w:val="single" w:sz="4" w:space="0" w:color="auto"/>
              <w:bottom w:val="single" w:sz="24" w:space="0" w:color="auto"/>
            </w:tcBorders>
          </w:tcPr>
          <w:p w:rsidR="00194D87" w:rsidRPr="009712CD" w:rsidRDefault="00194D87" w:rsidP="00DB3AC1">
            <w:pPr>
              <w:tabs>
                <w:tab w:val="left" w:pos="624"/>
                <w:tab w:val="left" w:pos="1871"/>
                <w:tab w:val="left" w:pos="2495"/>
                <w:tab w:val="left" w:pos="3119"/>
                <w:tab w:val="left" w:pos="3742"/>
              </w:tabs>
              <w:spacing w:before="120" w:after="0" w:line="240" w:lineRule="auto"/>
              <w:rPr>
                <w:rFonts w:ascii="Times New Roman" w:hAnsi="Times New Roman"/>
                <w:sz w:val="20"/>
                <w:szCs w:val="20"/>
              </w:rPr>
            </w:pPr>
            <w:r w:rsidRPr="009712CD">
              <w:rPr>
                <w:rFonts w:ascii="Times New Roman" w:hAnsi="Times New Roman"/>
                <w:sz w:val="20"/>
                <w:szCs w:val="20"/>
              </w:rPr>
              <w:t>Distr.: General</w:t>
            </w:r>
            <w:r w:rsidR="00870972" w:rsidRPr="009712CD">
              <w:rPr>
                <w:rFonts w:ascii="Times New Roman" w:hAnsi="Times New Roman"/>
                <w:sz w:val="20"/>
                <w:szCs w:val="20"/>
              </w:rPr>
              <w:br/>
            </w:r>
            <w:r w:rsidRPr="009712CD">
              <w:rPr>
                <w:rFonts w:ascii="Times New Roman" w:hAnsi="Times New Roman"/>
                <w:sz w:val="20"/>
                <w:szCs w:val="20"/>
                <w:lang w:eastAsia="ja-JP"/>
              </w:rPr>
              <w:t>2</w:t>
            </w:r>
            <w:r w:rsidR="00D36134" w:rsidRPr="009712CD">
              <w:rPr>
                <w:rFonts w:ascii="Times New Roman" w:hAnsi="Times New Roman"/>
                <w:sz w:val="20"/>
                <w:szCs w:val="20"/>
                <w:lang w:eastAsia="ja-JP"/>
              </w:rPr>
              <w:t>4</w:t>
            </w:r>
            <w:r w:rsidRPr="009712CD">
              <w:rPr>
                <w:rFonts w:ascii="Times New Roman" w:hAnsi="Times New Roman"/>
                <w:sz w:val="20"/>
                <w:szCs w:val="20"/>
                <w:lang w:eastAsia="ja-JP"/>
              </w:rPr>
              <w:t xml:space="preserve"> </w:t>
            </w:r>
            <w:r w:rsidR="00D11D69" w:rsidRPr="009712CD">
              <w:rPr>
                <w:rFonts w:ascii="Times New Roman" w:hAnsi="Times New Roman"/>
                <w:sz w:val="20"/>
                <w:szCs w:val="20"/>
                <w:lang w:eastAsia="ja-JP"/>
              </w:rPr>
              <w:t xml:space="preserve">October </w:t>
            </w:r>
            <w:r w:rsidRPr="009712CD">
              <w:rPr>
                <w:rFonts w:ascii="Times New Roman" w:hAnsi="Times New Roman"/>
                <w:sz w:val="20"/>
                <w:szCs w:val="20"/>
                <w:lang w:eastAsia="ja-JP"/>
              </w:rPr>
              <w:t>2013</w:t>
            </w:r>
          </w:p>
          <w:p w:rsidR="00194D87" w:rsidRPr="009712CD" w:rsidRDefault="00194D87" w:rsidP="00DB3AC1">
            <w:pPr>
              <w:tabs>
                <w:tab w:val="left" w:pos="624"/>
                <w:tab w:val="left" w:pos="1871"/>
                <w:tab w:val="left" w:pos="2495"/>
                <w:tab w:val="left" w:pos="3119"/>
                <w:tab w:val="left" w:pos="3742"/>
              </w:tabs>
              <w:spacing w:before="120" w:after="0" w:line="240" w:lineRule="auto"/>
              <w:rPr>
                <w:sz w:val="20"/>
                <w:szCs w:val="20"/>
              </w:rPr>
            </w:pPr>
            <w:r w:rsidRPr="009712CD">
              <w:rPr>
                <w:rFonts w:ascii="Times New Roman" w:hAnsi="Times New Roman"/>
                <w:sz w:val="20"/>
                <w:szCs w:val="20"/>
              </w:rPr>
              <w:t>Original: English</w:t>
            </w:r>
            <w:r w:rsidRPr="009712CD">
              <w:rPr>
                <w:sz w:val="20"/>
                <w:szCs w:val="20"/>
              </w:rPr>
              <w:t xml:space="preserve"> </w:t>
            </w:r>
          </w:p>
        </w:tc>
      </w:tr>
    </w:tbl>
    <w:p w:rsidR="00194D87" w:rsidRPr="009712CD" w:rsidRDefault="00194D87" w:rsidP="00194D87">
      <w:pPr>
        <w:pStyle w:val="AATitle"/>
        <w:keepNext w:val="0"/>
        <w:keepLines w:val="0"/>
        <w:tabs>
          <w:tab w:val="clear" w:pos="4082"/>
          <w:tab w:val="left" w:pos="4395"/>
        </w:tabs>
        <w:ind w:right="4631"/>
        <w:rPr>
          <w:sz w:val="20"/>
          <w:szCs w:val="20"/>
          <w:lang w:val="en-GB"/>
        </w:rPr>
      </w:pPr>
      <w:r w:rsidRPr="009712CD">
        <w:rPr>
          <w:sz w:val="20"/>
          <w:szCs w:val="20"/>
          <w:lang w:val="en-GB"/>
        </w:rPr>
        <w:t xml:space="preserve">Plenary of the Intergovernmental Science-Policy </w:t>
      </w:r>
      <w:r w:rsidRPr="009712CD">
        <w:rPr>
          <w:sz w:val="20"/>
          <w:szCs w:val="20"/>
          <w:lang w:val="en-GB"/>
        </w:rPr>
        <w:br/>
        <w:t>Platform on Biodiversity and Ecosystem Services</w:t>
      </w:r>
    </w:p>
    <w:p w:rsidR="00194D87" w:rsidRPr="009712CD" w:rsidRDefault="00194D87" w:rsidP="00194D87">
      <w:pPr>
        <w:pStyle w:val="AATitle"/>
        <w:keepNext w:val="0"/>
        <w:keepLines w:val="0"/>
        <w:rPr>
          <w:sz w:val="20"/>
          <w:szCs w:val="20"/>
          <w:lang w:val="en-GB"/>
        </w:rPr>
      </w:pPr>
      <w:r w:rsidRPr="009712CD">
        <w:rPr>
          <w:sz w:val="20"/>
          <w:szCs w:val="20"/>
          <w:lang w:val="en-GB"/>
        </w:rPr>
        <w:t>Second session</w:t>
      </w:r>
    </w:p>
    <w:p w:rsidR="00194D87" w:rsidRPr="009712CD" w:rsidRDefault="00194D87" w:rsidP="008A5A06">
      <w:pPr>
        <w:pStyle w:val="AATitle"/>
        <w:rPr>
          <w:b w:val="0"/>
          <w:sz w:val="20"/>
          <w:szCs w:val="20"/>
          <w:lang w:val="en-GB"/>
        </w:rPr>
      </w:pPr>
      <w:r w:rsidRPr="009712CD">
        <w:rPr>
          <w:b w:val="0"/>
          <w:sz w:val="20"/>
          <w:szCs w:val="20"/>
          <w:lang w:val="en-GB"/>
        </w:rPr>
        <w:t>Antalya, Turkey, 9–14 December 2013</w:t>
      </w:r>
    </w:p>
    <w:p w:rsidR="00D27251" w:rsidRPr="009712CD" w:rsidRDefault="00D27251" w:rsidP="00D27251">
      <w:pPr>
        <w:pStyle w:val="AATitle"/>
        <w:keepNext w:val="0"/>
        <w:keepLines w:val="0"/>
        <w:tabs>
          <w:tab w:val="clear" w:pos="1814"/>
          <w:tab w:val="clear" w:pos="2381"/>
          <w:tab w:val="clear" w:pos="2948"/>
          <w:tab w:val="clear" w:pos="3515"/>
          <w:tab w:val="left" w:pos="624"/>
          <w:tab w:val="left" w:pos="1871"/>
          <w:tab w:val="left" w:pos="2495"/>
          <w:tab w:val="left" w:pos="3119"/>
        </w:tabs>
        <w:outlineLvl w:val="0"/>
        <w:rPr>
          <w:b w:val="0"/>
          <w:sz w:val="20"/>
          <w:szCs w:val="20"/>
          <w:lang w:val="en-GB" w:eastAsia="ja-JP"/>
        </w:rPr>
      </w:pPr>
      <w:r w:rsidRPr="009712CD">
        <w:rPr>
          <w:b w:val="0"/>
          <w:sz w:val="20"/>
          <w:szCs w:val="20"/>
          <w:lang w:val="en-GB" w:eastAsia="ja-JP"/>
        </w:rPr>
        <w:t>Item 4 (a) of the provisional agenda</w:t>
      </w:r>
      <w:r w:rsidRPr="009712CD">
        <w:rPr>
          <w:rStyle w:val="FootnoteReference"/>
          <w:b w:val="0"/>
          <w:szCs w:val="20"/>
          <w:lang w:val="en-GB" w:eastAsia="ja-JP"/>
        </w:rPr>
        <w:footnoteReference w:customMarkFollows="1" w:id="1"/>
        <w:sym w:font="Symbol" w:char="F02A"/>
      </w:r>
    </w:p>
    <w:p w:rsidR="00D36134" w:rsidRPr="009712CD" w:rsidRDefault="00D36134" w:rsidP="00FB4629">
      <w:pPr>
        <w:pStyle w:val="AATitle2"/>
        <w:spacing w:before="60"/>
        <w:rPr>
          <w:sz w:val="20"/>
          <w:szCs w:val="20"/>
          <w:lang w:val="en-GB"/>
        </w:rPr>
      </w:pPr>
      <w:r w:rsidRPr="009712CD">
        <w:rPr>
          <w:sz w:val="20"/>
          <w:szCs w:val="20"/>
          <w:lang w:val="en-GB"/>
        </w:rPr>
        <w:t>Initial work programme of the Platform</w:t>
      </w:r>
      <w:r w:rsidR="00D27251" w:rsidRPr="009712CD">
        <w:rPr>
          <w:sz w:val="20"/>
          <w:szCs w:val="20"/>
          <w:lang w:val="en-GB"/>
        </w:rPr>
        <w:t xml:space="preserve">: </w:t>
      </w:r>
      <w:r w:rsidR="0088054F" w:rsidRPr="009712CD">
        <w:rPr>
          <w:sz w:val="20"/>
          <w:szCs w:val="20"/>
          <w:lang w:val="en-GB"/>
        </w:rPr>
        <w:br/>
      </w:r>
      <w:r w:rsidR="00D27251" w:rsidRPr="009712CD">
        <w:rPr>
          <w:sz w:val="20"/>
          <w:szCs w:val="20"/>
          <w:lang w:val="en-GB"/>
        </w:rPr>
        <w:t>w</w:t>
      </w:r>
      <w:r w:rsidRPr="009712CD">
        <w:rPr>
          <w:sz w:val="20"/>
          <w:szCs w:val="20"/>
          <w:lang w:val="en-GB"/>
        </w:rPr>
        <w:t>ork programme 2014</w:t>
      </w:r>
      <w:r w:rsidR="00BB286F" w:rsidRPr="001A1175">
        <w:rPr>
          <w:lang w:val="en-GB"/>
        </w:rPr>
        <w:t>–</w:t>
      </w:r>
      <w:r w:rsidRPr="009712CD">
        <w:rPr>
          <w:sz w:val="20"/>
          <w:szCs w:val="20"/>
          <w:lang w:val="en-GB"/>
        </w:rPr>
        <w:t>2018</w:t>
      </w:r>
    </w:p>
    <w:p w:rsidR="00D11D69" w:rsidRPr="009712CD" w:rsidRDefault="00D36134" w:rsidP="00D36134">
      <w:pPr>
        <w:pStyle w:val="BBTitle"/>
        <w:rPr>
          <w:lang w:val="en-GB"/>
        </w:rPr>
      </w:pPr>
      <w:r w:rsidRPr="009712CD">
        <w:rPr>
          <w:lang w:val="en-GB"/>
        </w:rPr>
        <w:t>Initial scop</w:t>
      </w:r>
      <w:r w:rsidR="0088054F" w:rsidRPr="009712CD">
        <w:rPr>
          <w:lang w:val="en-GB"/>
        </w:rPr>
        <w:t>ing</w:t>
      </w:r>
      <w:r w:rsidRPr="009712CD">
        <w:rPr>
          <w:lang w:val="en-GB"/>
        </w:rPr>
        <w:t xml:space="preserve"> for the </w:t>
      </w:r>
      <w:r w:rsidR="0088054F" w:rsidRPr="009712CD">
        <w:rPr>
          <w:lang w:val="en-GB"/>
        </w:rPr>
        <w:t>t</w:t>
      </w:r>
      <w:r w:rsidRPr="009712CD">
        <w:rPr>
          <w:lang w:val="en-GB"/>
        </w:rPr>
        <w:t xml:space="preserve">hematic </w:t>
      </w:r>
      <w:r w:rsidR="0088054F" w:rsidRPr="009712CD">
        <w:rPr>
          <w:lang w:val="en-GB"/>
        </w:rPr>
        <w:t>a</w:t>
      </w:r>
      <w:r w:rsidRPr="009712CD">
        <w:rPr>
          <w:lang w:val="en-GB"/>
        </w:rPr>
        <w:t>ssessment o</w:t>
      </w:r>
      <w:r w:rsidR="0088054F" w:rsidRPr="009712CD">
        <w:rPr>
          <w:lang w:val="en-GB"/>
        </w:rPr>
        <w:t>f</w:t>
      </w:r>
      <w:r w:rsidRPr="009712CD">
        <w:rPr>
          <w:lang w:val="en-GB"/>
        </w:rPr>
        <w:t xml:space="preserve"> </w:t>
      </w:r>
      <w:r w:rsidR="0088054F" w:rsidRPr="009712CD">
        <w:rPr>
          <w:lang w:val="en-GB"/>
        </w:rPr>
        <w:t>m</w:t>
      </w:r>
      <w:r w:rsidRPr="009712CD">
        <w:rPr>
          <w:lang w:val="en-GB"/>
        </w:rPr>
        <w:t xml:space="preserve">igratory </w:t>
      </w:r>
      <w:r w:rsidR="0088054F" w:rsidRPr="009712CD">
        <w:rPr>
          <w:lang w:val="en-GB"/>
        </w:rPr>
        <w:t>s</w:t>
      </w:r>
      <w:r w:rsidRPr="009712CD">
        <w:rPr>
          <w:lang w:val="en-GB"/>
        </w:rPr>
        <w:t>pecies</w:t>
      </w:r>
    </w:p>
    <w:p w:rsidR="0088054F" w:rsidRPr="009712CD" w:rsidRDefault="00641714" w:rsidP="00641714">
      <w:pPr>
        <w:pStyle w:val="CH2"/>
        <w:rPr>
          <w:lang w:val="en-GB"/>
        </w:rPr>
      </w:pPr>
      <w:r w:rsidRPr="009712CD">
        <w:rPr>
          <w:lang w:val="en-GB"/>
        </w:rPr>
        <w:tab/>
      </w:r>
      <w:r w:rsidRPr="009712CD">
        <w:rPr>
          <w:lang w:val="en-GB"/>
        </w:rPr>
        <w:tab/>
      </w:r>
      <w:r w:rsidR="0088054F" w:rsidRPr="009712CD">
        <w:rPr>
          <w:lang w:val="en-GB"/>
        </w:rPr>
        <w:t>Note by the secretariat</w:t>
      </w:r>
    </w:p>
    <w:p w:rsidR="0088054F" w:rsidRPr="009712CD" w:rsidRDefault="00641714" w:rsidP="00641714">
      <w:pPr>
        <w:pStyle w:val="CH1"/>
        <w:rPr>
          <w:lang w:val="en-GB"/>
        </w:rPr>
      </w:pPr>
      <w:r w:rsidRPr="009712CD">
        <w:rPr>
          <w:lang w:val="en-GB"/>
        </w:rPr>
        <w:tab/>
        <w:t>I.</w:t>
      </w:r>
      <w:r w:rsidRPr="009712CD">
        <w:rPr>
          <w:lang w:val="en-GB"/>
        </w:rPr>
        <w:tab/>
      </w:r>
      <w:r w:rsidR="0088054F" w:rsidRPr="009712CD">
        <w:rPr>
          <w:lang w:val="en-GB"/>
        </w:rPr>
        <w:t>Introduction</w:t>
      </w:r>
    </w:p>
    <w:p w:rsidR="0088054F" w:rsidRPr="009712CD" w:rsidRDefault="0088054F" w:rsidP="00FB4629">
      <w:pPr>
        <w:pStyle w:val="Normalnumber"/>
        <w:rPr>
          <w:sz w:val="20"/>
          <w:szCs w:val="20"/>
          <w:lang w:val="en-GB"/>
        </w:rPr>
      </w:pPr>
      <w:r w:rsidRPr="009712CD">
        <w:rPr>
          <w:sz w:val="20"/>
          <w:szCs w:val="20"/>
          <w:lang w:val="en-GB"/>
        </w:rPr>
        <w:t>Recognizing that it would be necessary to move forward w</w:t>
      </w:r>
      <w:r w:rsidR="00AC31BB" w:rsidRPr="009712CD">
        <w:rPr>
          <w:sz w:val="20"/>
          <w:szCs w:val="20"/>
          <w:lang w:val="en-GB"/>
        </w:rPr>
        <w:t>ith the work programme for 2014‒</w:t>
      </w:r>
      <w:r w:rsidRPr="009712CD">
        <w:rPr>
          <w:sz w:val="20"/>
          <w:szCs w:val="20"/>
          <w:lang w:val="en-GB"/>
        </w:rPr>
        <w:t>2018 following its approval by the Plenary of the Intergovernmental Science</w:t>
      </w:r>
      <w:r w:rsidRPr="009712CD">
        <w:rPr>
          <w:sz w:val="20"/>
          <w:szCs w:val="20"/>
          <w:lang w:val="en-GB"/>
        </w:rPr>
        <w:noBreakHyphen/>
        <w:t>Policy Platform for Biodiversity and Ecosystem Services at its second session, the Bureau and the Multidisciplinary Expert Panel agreed to prepare, for consideration by the Plenary at that session, a number of initial scoping documents based on the prioritization of requests, suggestions and inputs put to the Platform and the deliverables set out in the draft work programme (IPBES/2/2). The present note sets out the initial scoping for a proposed thematic assessment of migratory species. It has been developed in accordance with the draft procedures for the preparation of the Platform’s deliverables (IPBES/2/9).</w:t>
      </w:r>
      <w:r w:rsidRPr="009712CD">
        <w:rPr>
          <w:sz w:val="20"/>
          <w:szCs w:val="20"/>
          <w:lang w:val="en-GB"/>
        </w:rPr>
        <w:tab/>
      </w:r>
    </w:p>
    <w:p w:rsidR="00D36134" w:rsidRPr="009712CD" w:rsidRDefault="00D36134" w:rsidP="00C91306">
      <w:pPr>
        <w:pStyle w:val="CH1"/>
        <w:rPr>
          <w:lang w:val="en-GB"/>
        </w:rPr>
      </w:pPr>
      <w:r w:rsidRPr="009712CD">
        <w:rPr>
          <w:lang w:val="en-GB"/>
        </w:rPr>
        <w:tab/>
        <w:t>I</w:t>
      </w:r>
      <w:r w:rsidR="0088054F" w:rsidRPr="009712CD">
        <w:rPr>
          <w:lang w:val="en-GB"/>
        </w:rPr>
        <w:t>I.</w:t>
      </w:r>
      <w:r w:rsidRPr="009712CD">
        <w:rPr>
          <w:lang w:val="en-GB"/>
        </w:rPr>
        <w:tab/>
      </w:r>
      <w:r w:rsidR="0088054F" w:rsidRPr="009712CD">
        <w:rPr>
          <w:lang w:val="en-GB"/>
        </w:rPr>
        <w:t>S</w:t>
      </w:r>
      <w:r w:rsidRPr="009712CD">
        <w:rPr>
          <w:lang w:val="en-GB"/>
        </w:rPr>
        <w:t>cope, rationale and utility</w:t>
      </w:r>
    </w:p>
    <w:p w:rsidR="00D36134" w:rsidRPr="009712CD" w:rsidRDefault="00D36134" w:rsidP="00C91306">
      <w:pPr>
        <w:pStyle w:val="CH2"/>
        <w:rPr>
          <w:lang w:val="en-GB"/>
        </w:rPr>
      </w:pPr>
      <w:r w:rsidRPr="009712CD">
        <w:rPr>
          <w:lang w:val="en-GB"/>
        </w:rPr>
        <w:tab/>
        <w:t>A.</w:t>
      </w:r>
      <w:r w:rsidRPr="009712CD">
        <w:rPr>
          <w:lang w:val="en-GB"/>
        </w:rPr>
        <w:tab/>
        <w:t>Scope</w:t>
      </w:r>
    </w:p>
    <w:p w:rsidR="00D36134" w:rsidRPr="009712CD" w:rsidRDefault="0088054F" w:rsidP="00D36134">
      <w:pPr>
        <w:pStyle w:val="Normalnumber"/>
        <w:rPr>
          <w:sz w:val="20"/>
          <w:szCs w:val="20"/>
          <w:lang w:val="en-GB"/>
        </w:rPr>
      </w:pPr>
      <w:r w:rsidRPr="009712CD">
        <w:rPr>
          <w:sz w:val="20"/>
          <w:szCs w:val="20"/>
          <w:lang w:val="en-GB"/>
        </w:rPr>
        <w:t>The proposed a</w:t>
      </w:r>
      <w:r w:rsidR="00D36134" w:rsidRPr="009712CD">
        <w:rPr>
          <w:sz w:val="20"/>
          <w:szCs w:val="20"/>
          <w:lang w:val="en-GB"/>
        </w:rPr>
        <w:t>ssess</w:t>
      </w:r>
      <w:r w:rsidRPr="009712CD">
        <w:rPr>
          <w:sz w:val="20"/>
          <w:szCs w:val="20"/>
          <w:lang w:val="en-GB"/>
        </w:rPr>
        <w:t>ment would evaluate</w:t>
      </w:r>
      <w:r w:rsidR="00D36134" w:rsidRPr="009712CD">
        <w:rPr>
          <w:sz w:val="20"/>
          <w:szCs w:val="20"/>
          <w:lang w:val="en-GB"/>
        </w:rPr>
        <w:t xml:space="preserve"> the state of knowledge </w:t>
      </w:r>
      <w:r w:rsidRPr="009712CD">
        <w:rPr>
          <w:sz w:val="20"/>
          <w:szCs w:val="20"/>
          <w:lang w:val="en-GB"/>
        </w:rPr>
        <w:t xml:space="preserve">surrounding </w:t>
      </w:r>
      <w:r w:rsidR="00D36134" w:rsidRPr="009712CD">
        <w:rPr>
          <w:sz w:val="20"/>
          <w:szCs w:val="20"/>
          <w:lang w:val="en-GB"/>
        </w:rPr>
        <w:t>key concerns</w:t>
      </w:r>
      <w:r w:rsidR="00C91306" w:rsidRPr="009712CD">
        <w:rPr>
          <w:sz w:val="20"/>
          <w:szCs w:val="20"/>
          <w:lang w:val="en-GB"/>
        </w:rPr>
        <w:t xml:space="preserve"> </w:t>
      </w:r>
      <w:r w:rsidRPr="009712CD">
        <w:rPr>
          <w:sz w:val="20"/>
          <w:szCs w:val="20"/>
          <w:lang w:val="en-GB"/>
        </w:rPr>
        <w:t>relating to</w:t>
      </w:r>
      <w:r w:rsidR="00D36134" w:rsidRPr="009712CD">
        <w:rPr>
          <w:sz w:val="20"/>
          <w:szCs w:val="20"/>
          <w:lang w:val="en-GB"/>
        </w:rPr>
        <w:t xml:space="preserve"> the conservation and sustainable use of migratory species. </w:t>
      </w:r>
    </w:p>
    <w:p w:rsidR="00D36134" w:rsidRPr="009712CD" w:rsidRDefault="00D36134" w:rsidP="00C91306">
      <w:pPr>
        <w:pStyle w:val="CH2"/>
        <w:rPr>
          <w:lang w:val="en-GB"/>
        </w:rPr>
      </w:pPr>
      <w:r w:rsidRPr="009712CD">
        <w:rPr>
          <w:lang w:val="en-GB"/>
        </w:rPr>
        <w:tab/>
        <w:t>B.</w:t>
      </w:r>
      <w:r w:rsidRPr="009712CD">
        <w:rPr>
          <w:lang w:val="en-GB"/>
        </w:rPr>
        <w:tab/>
        <w:t>Rationale</w:t>
      </w:r>
    </w:p>
    <w:p w:rsidR="00D36134" w:rsidRPr="009712CD" w:rsidRDefault="00D36134" w:rsidP="00D36134">
      <w:pPr>
        <w:pStyle w:val="Normalnumber"/>
        <w:rPr>
          <w:lang w:val="en-GB"/>
        </w:rPr>
      </w:pPr>
      <w:r w:rsidRPr="009712CD">
        <w:rPr>
          <w:sz w:val="20"/>
          <w:szCs w:val="20"/>
          <w:lang w:val="en-GB"/>
        </w:rPr>
        <w:t>Migratory species of wild animals are essential components of the ecosystems that support</w:t>
      </w:r>
      <w:r w:rsidR="00F02E62" w:rsidRPr="009712CD">
        <w:rPr>
          <w:sz w:val="20"/>
          <w:szCs w:val="20"/>
          <w:lang w:val="en-GB"/>
        </w:rPr>
        <w:t xml:space="preserve"> all</w:t>
      </w:r>
      <w:r w:rsidRPr="009712CD">
        <w:rPr>
          <w:sz w:val="20"/>
          <w:szCs w:val="20"/>
          <w:lang w:val="en-GB"/>
        </w:rPr>
        <w:t xml:space="preserve"> life on Earth. They are often keystone species that give structure to and connect ecosystems. They are also a </w:t>
      </w:r>
      <w:r w:rsidR="0088054F" w:rsidRPr="009712CD">
        <w:rPr>
          <w:sz w:val="20"/>
          <w:szCs w:val="20"/>
          <w:lang w:val="en-GB"/>
        </w:rPr>
        <w:t>natural re</w:t>
      </w:r>
      <w:r w:rsidRPr="009712CD">
        <w:rPr>
          <w:sz w:val="20"/>
          <w:szCs w:val="20"/>
          <w:lang w:val="en-GB"/>
        </w:rPr>
        <w:t>source of significant value, providing a wide range of provisioning, supporting,</w:t>
      </w:r>
      <w:r w:rsidR="00D27251" w:rsidRPr="009712CD">
        <w:rPr>
          <w:sz w:val="20"/>
          <w:szCs w:val="20"/>
          <w:lang w:val="en-GB"/>
        </w:rPr>
        <w:t xml:space="preserve"> </w:t>
      </w:r>
      <w:r w:rsidRPr="009712CD">
        <w:rPr>
          <w:sz w:val="20"/>
          <w:szCs w:val="20"/>
          <w:lang w:val="en-GB"/>
        </w:rPr>
        <w:t>regulating and cultural ecosystem services on which we all depend. These</w:t>
      </w:r>
      <w:r w:rsidR="0088054F" w:rsidRPr="009712CD">
        <w:rPr>
          <w:sz w:val="20"/>
          <w:szCs w:val="20"/>
          <w:lang w:val="en-GB"/>
        </w:rPr>
        <w:t xml:space="preserve"> ecosystem services</w:t>
      </w:r>
      <w:r w:rsidRPr="009712CD">
        <w:rPr>
          <w:sz w:val="20"/>
          <w:szCs w:val="20"/>
          <w:lang w:val="en-GB"/>
        </w:rPr>
        <w:t xml:space="preserve"> include the provision of food, seed and nutrient dispersal, pollination, and cultural, intellectual and spiritual inspiration. Migratory species play an important role in people’s livelihoods and local, national and regional economies</w:t>
      </w:r>
      <w:r w:rsidRPr="009712CD">
        <w:rPr>
          <w:lang w:val="en-GB"/>
        </w:rPr>
        <w:t xml:space="preserve">. </w:t>
      </w:r>
    </w:p>
    <w:p w:rsidR="00D36134" w:rsidRPr="009712CD" w:rsidRDefault="00D36134" w:rsidP="00D36134">
      <w:pPr>
        <w:pStyle w:val="Normalnumber"/>
        <w:rPr>
          <w:sz w:val="20"/>
          <w:szCs w:val="20"/>
          <w:lang w:val="en-GB"/>
        </w:rPr>
      </w:pPr>
      <w:r w:rsidRPr="009712CD">
        <w:rPr>
          <w:sz w:val="20"/>
          <w:szCs w:val="20"/>
          <w:lang w:val="en-GB"/>
        </w:rPr>
        <w:lastRenderedPageBreak/>
        <w:t xml:space="preserve">At the same time, migratory species are </w:t>
      </w:r>
      <w:r w:rsidR="008C324F" w:rsidRPr="009712CD">
        <w:rPr>
          <w:sz w:val="20"/>
          <w:szCs w:val="20"/>
          <w:lang w:val="en-GB"/>
        </w:rPr>
        <w:t>extremely</w:t>
      </w:r>
      <w:r w:rsidRPr="009712CD">
        <w:rPr>
          <w:sz w:val="20"/>
          <w:szCs w:val="20"/>
          <w:lang w:val="en-GB"/>
        </w:rPr>
        <w:t xml:space="preserve"> vulnerable as a result of their long migrations, which involve many risks. They are, on average, subject to a greater number and variety of threats than non-migratory species because their requirements are greater</w:t>
      </w:r>
      <w:r w:rsidR="008C324F" w:rsidRPr="009712CD">
        <w:rPr>
          <w:sz w:val="20"/>
          <w:szCs w:val="20"/>
          <w:lang w:val="en-GB"/>
        </w:rPr>
        <w:t>;</w:t>
      </w:r>
      <w:r w:rsidRPr="009712CD">
        <w:rPr>
          <w:sz w:val="20"/>
          <w:szCs w:val="20"/>
          <w:lang w:val="en-GB"/>
        </w:rPr>
        <w:t xml:space="preserve"> they need </w:t>
      </w:r>
      <w:r w:rsidR="008C324F" w:rsidRPr="009712CD">
        <w:rPr>
          <w:sz w:val="20"/>
          <w:szCs w:val="20"/>
          <w:lang w:val="en-GB"/>
        </w:rPr>
        <w:t xml:space="preserve">a favourable </w:t>
      </w:r>
      <w:r w:rsidRPr="009712CD">
        <w:rPr>
          <w:sz w:val="20"/>
          <w:szCs w:val="20"/>
          <w:lang w:val="en-GB"/>
        </w:rPr>
        <w:t>habitat</w:t>
      </w:r>
      <w:r w:rsidR="00B03435" w:rsidRPr="009712CD">
        <w:rPr>
          <w:sz w:val="20"/>
          <w:szCs w:val="20"/>
          <w:lang w:val="en-GB"/>
        </w:rPr>
        <w:t xml:space="preserve"> not only</w:t>
      </w:r>
      <w:r w:rsidRPr="009712CD">
        <w:rPr>
          <w:sz w:val="20"/>
          <w:szCs w:val="20"/>
          <w:lang w:val="en-GB"/>
        </w:rPr>
        <w:t xml:space="preserve"> for reproduction</w:t>
      </w:r>
      <w:r w:rsidR="008C324F" w:rsidRPr="009712CD">
        <w:rPr>
          <w:sz w:val="20"/>
          <w:szCs w:val="20"/>
          <w:lang w:val="en-GB"/>
        </w:rPr>
        <w:t>,</w:t>
      </w:r>
      <w:r w:rsidRPr="009712CD">
        <w:rPr>
          <w:sz w:val="20"/>
          <w:szCs w:val="20"/>
          <w:lang w:val="en-GB"/>
        </w:rPr>
        <w:t xml:space="preserve"> but also during their off-season and all along their migratory routes. In an ever-changing world, human pressure is high on some of those habitats, and </w:t>
      </w:r>
      <w:r w:rsidR="008C324F" w:rsidRPr="009712CD">
        <w:rPr>
          <w:sz w:val="20"/>
          <w:szCs w:val="20"/>
          <w:lang w:val="en-GB"/>
        </w:rPr>
        <w:t xml:space="preserve">often </w:t>
      </w:r>
      <w:r w:rsidRPr="009712CD">
        <w:rPr>
          <w:sz w:val="20"/>
          <w:szCs w:val="20"/>
          <w:lang w:val="en-GB"/>
        </w:rPr>
        <w:t xml:space="preserve">also on the animals themselves </w:t>
      </w:r>
      <w:r w:rsidR="008C324F" w:rsidRPr="009712CD">
        <w:rPr>
          <w:sz w:val="20"/>
          <w:szCs w:val="20"/>
          <w:lang w:val="en-GB"/>
        </w:rPr>
        <w:t xml:space="preserve">owing to </w:t>
      </w:r>
      <w:r w:rsidRPr="009712CD">
        <w:rPr>
          <w:sz w:val="20"/>
          <w:szCs w:val="20"/>
          <w:lang w:val="en-GB"/>
        </w:rPr>
        <w:t>unsustainable hunting</w:t>
      </w:r>
      <w:r w:rsidR="008C324F" w:rsidRPr="009712CD">
        <w:rPr>
          <w:sz w:val="20"/>
          <w:szCs w:val="20"/>
          <w:lang w:val="en-GB"/>
        </w:rPr>
        <w:t xml:space="preserve"> and</w:t>
      </w:r>
      <w:r w:rsidRPr="009712CD">
        <w:rPr>
          <w:sz w:val="20"/>
          <w:szCs w:val="20"/>
          <w:lang w:val="en-GB"/>
        </w:rPr>
        <w:t xml:space="preserve"> incidental catch,</w:t>
      </w:r>
      <w:r w:rsidR="008C324F" w:rsidRPr="009712CD">
        <w:rPr>
          <w:sz w:val="20"/>
          <w:szCs w:val="20"/>
          <w:lang w:val="en-GB"/>
        </w:rPr>
        <w:t xml:space="preserve"> for example</w:t>
      </w:r>
      <w:r w:rsidRPr="009712CD">
        <w:rPr>
          <w:sz w:val="20"/>
          <w:szCs w:val="20"/>
          <w:lang w:val="en-GB"/>
        </w:rPr>
        <w:t>. As a result, many migratory species that were once common are becoming increasingly rare.</w:t>
      </w:r>
    </w:p>
    <w:p w:rsidR="00D36134" w:rsidRPr="009712CD" w:rsidRDefault="00D36134" w:rsidP="00C91306">
      <w:pPr>
        <w:pStyle w:val="CH2"/>
        <w:tabs>
          <w:tab w:val="clear" w:pos="851"/>
          <w:tab w:val="right" w:pos="993"/>
        </w:tabs>
        <w:rPr>
          <w:lang w:val="en-GB"/>
        </w:rPr>
      </w:pPr>
      <w:r w:rsidRPr="009712CD">
        <w:rPr>
          <w:lang w:val="en-GB"/>
        </w:rPr>
        <w:tab/>
        <w:t>C.</w:t>
      </w:r>
      <w:r w:rsidRPr="009712CD">
        <w:rPr>
          <w:lang w:val="en-GB"/>
        </w:rPr>
        <w:tab/>
        <w:t>Utility</w:t>
      </w:r>
    </w:p>
    <w:p w:rsidR="00D36134" w:rsidRPr="009712CD" w:rsidRDefault="00D36134" w:rsidP="00D36134">
      <w:pPr>
        <w:pStyle w:val="Normalnumber"/>
        <w:rPr>
          <w:sz w:val="20"/>
          <w:szCs w:val="20"/>
          <w:lang w:val="en-GB"/>
        </w:rPr>
      </w:pPr>
      <w:r w:rsidRPr="009712CD">
        <w:rPr>
          <w:sz w:val="20"/>
          <w:szCs w:val="20"/>
          <w:lang w:val="en-GB"/>
        </w:rPr>
        <w:t>The assessment would support policy formulation and implementation under the C</w:t>
      </w:r>
      <w:r w:rsidR="008C324F" w:rsidRPr="009712CD">
        <w:rPr>
          <w:sz w:val="20"/>
          <w:szCs w:val="20"/>
          <w:lang w:val="en-GB"/>
        </w:rPr>
        <w:t>onvention on the Conservation of Migratory Species of Wild Animals</w:t>
      </w:r>
      <w:r w:rsidRPr="009712CD">
        <w:rPr>
          <w:sz w:val="20"/>
          <w:szCs w:val="20"/>
          <w:lang w:val="en-GB"/>
        </w:rPr>
        <w:t xml:space="preserve">, its related instruments, and other </w:t>
      </w:r>
      <w:r w:rsidR="008C324F" w:rsidRPr="009712CD">
        <w:rPr>
          <w:sz w:val="20"/>
          <w:szCs w:val="20"/>
          <w:lang w:val="en-GB"/>
        </w:rPr>
        <w:t>m</w:t>
      </w:r>
      <w:r w:rsidRPr="009712CD">
        <w:rPr>
          <w:sz w:val="20"/>
          <w:szCs w:val="20"/>
          <w:lang w:val="en-GB"/>
        </w:rPr>
        <w:t xml:space="preserve">ultilateral </w:t>
      </w:r>
      <w:r w:rsidR="008C324F" w:rsidRPr="009712CD">
        <w:rPr>
          <w:sz w:val="20"/>
          <w:szCs w:val="20"/>
          <w:lang w:val="en-GB"/>
        </w:rPr>
        <w:t>e</w:t>
      </w:r>
      <w:r w:rsidRPr="009712CD">
        <w:rPr>
          <w:sz w:val="20"/>
          <w:szCs w:val="20"/>
          <w:lang w:val="en-GB"/>
        </w:rPr>
        <w:t xml:space="preserve">nvironmental </w:t>
      </w:r>
      <w:r w:rsidR="008C324F" w:rsidRPr="009712CD">
        <w:rPr>
          <w:sz w:val="20"/>
          <w:szCs w:val="20"/>
          <w:lang w:val="en-GB"/>
        </w:rPr>
        <w:t>a</w:t>
      </w:r>
      <w:r w:rsidRPr="009712CD">
        <w:rPr>
          <w:sz w:val="20"/>
          <w:szCs w:val="20"/>
          <w:lang w:val="en-GB"/>
        </w:rPr>
        <w:t>greements. It would contribute to the implementation of the Strategic Plan for Migratory Species 2015</w:t>
      </w:r>
      <w:r w:rsidR="008C324F" w:rsidRPr="009712CD">
        <w:rPr>
          <w:sz w:val="20"/>
          <w:szCs w:val="20"/>
          <w:lang w:val="en-GB"/>
        </w:rPr>
        <w:t>–</w:t>
      </w:r>
      <w:r w:rsidRPr="009712CD">
        <w:rPr>
          <w:sz w:val="20"/>
          <w:szCs w:val="20"/>
          <w:lang w:val="en-GB"/>
        </w:rPr>
        <w:t>2023 and the Strategic Plan for Biodiversity 2011</w:t>
      </w:r>
      <w:r w:rsidR="008C324F" w:rsidRPr="009712CD">
        <w:rPr>
          <w:sz w:val="20"/>
          <w:szCs w:val="20"/>
          <w:lang w:val="en-GB"/>
        </w:rPr>
        <w:t>–</w:t>
      </w:r>
      <w:r w:rsidRPr="009712CD">
        <w:rPr>
          <w:sz w:val="20"/>
          <w:szCs w:val="20"/>
          <w:lang w:val="en-GB"/>
        </w:rPr>
        <w:t xml:space="preserve">2020 by providing the baseline science and information </w:t>
      </w:r>
      <w:r w:rsidR="008C324F" w:rsidRPr="009712CD">
        <w:rPr>
          <w:sz w:val="20"/>
          <w:szCs w:val="20"/>
          <w:lang w:val="en-GB"/>
        </w:rPr>
        <w:t xml:space="preserve">that </w:t>
      </w:r>
      <w:r w:rsidRPr="009712CD">
        <w:rPr>
          <w:sz w:val="20"/>
          <w:szCs w:val="20"/>
          <w:lang w:val="en-GB"/>
        </w:rPr>
        <w:t>policymakers need</w:t>
      </w:r>
      <w:r w:rsidR="008C324F" w:rsidRPr="009712CD">
        <w:rPr>
          <w:sz w:val="20"/>
          <w:szCs w:val="20"/>
          <w:lang w:val="en-GB"/>
        </w:rPr>
        <w:t xml:space="preserve"> in order</w:t>
      </w:r>
      <w:r w:rsidRPr="009712CD">
        <w:rPr>
          <w:sz w:val="20"/>
          <w:szCs w:val="20"/>
          <w:lang w:val="en-GB"/>
        </w:rPr>
        <w:t xml:space="preserve"> to consider and communicate more explicitly the impacts of migratory species as mobile links between ecosystems. It </w:t>
      </w:r>
      <w:r w:rsidR="008C324F" w:rsidRPr="009712CD">
        <w:rPr>
          <w:sz w:val="20"/>
          <w:szCs w:val="20"/>
          <w:lang w:val="en-GB"/>
        </w:rPr>
        <w:t>should</w:t>
      </w:r>
      <w:r w:rsidRPr="009712CD">
        <w:rPr>
          <w:sz w:val="20"/>
          <w:szCs w:val="20"/>
          <w:lang w:val="en-GB"/>
        </w:rPr>
        <w:t xml:space="preserve"> be </w:t>
      </w:r>
      <w:r w:rsidR="00E83C2F" w:rsidRPr="009712CD">
        <w:rPr>
          <w:sz w:val="20"/>
          <w:szCs w:val="20"/>
          <w:lang w:val="en-GB"/>
        </w:rPr>
        <w:t>noted that a number of reviews on different taxonomic groups, in particular terrestrial mammals, sharks, marine turtles and freshwater fish, have been carried out under the Convention on Migratory Species.</w:t>
      </w:r>
      <w:r w:rsidRPr="009712CD">
        <w:rPr>
          <w:sz w:val="20"/>
          <w:szCs w:val="20"/>
          <w:lang w:val="en-GB"/>
        </w:rPr>
        <w:t xml:space="preserve"> </w:t>
      </w:r>
      <w:r w:rsidR="00E83C2F" w:rsidRPr="009712CD">
        <w:rPr>
          <w:sz w:val="20"/>
          <w:szCs w:val="20"/>
          <w:lang w:val="en-GB"/>
        </w:rPr>
        <w:t>A</w:t>
      </w:r>
      <w:r w:rsidRPr="009712CD">
        <w:rPr>
          <w:sz w:val="20"/>
          <w:szCs w:val="20"/>
          <w:lang w:val="en-GB"/>
        </w:rPr>
        <w:t xml:space="preserve">n overall assessment of migratory species </w:t>
      </w:r>
      <w:r w:rsidR="00E83C2F" w:rsidRPr="009712CD">
        <w:rPr>
          <w:sz w:val="20"/>
          <w:szCs w:val="20"/>
          <w:lang w:val="en-GB"/>
        </w:rPr>
        <w:t>has not, however, been undertaken</w:t>
      </w:r>
      <w:r w:rsidRPr="009712CD">
        <w:rPr>
          <w:sz w:val="20"/>
          <w:szCs w:val="20"/>
          <w:lang w:val="en-GB"/>
        </w:rPr>
        <w:t>.</w:t>
      </w:r>
    </w:p>
    <w:p w:rsidR="00D36134" w:rsidRPr="009712CD" w:rsidRDefault="00C91306" w:rsidP="00C91306">
      <w:pPr>
        <w:pStyle w:val="CH1"/>
        <w:rPr>
          <w:lang w:val="en-GB"/>
        </w:rPr>
      </w:pPr>
      <w:r w:rsidRPr="009712CD">
        <w:rPr>
          <w:lang w:val="en-GB"/>
        </w:rPr>
        <w:tab/>
      </w:r>
      <w:r w:rsidR="00D36134" w:rsidRPr="009712CD">
        <w:rPr>
          <w:lang w:val="en-GB"/>
        </w:rPr>
        <w:t>II</w:t>
      </w:r>
      <w:r w:rsidR="00E83C2F" w:rsidRPr="009712CD">
        <w:rPr>
          <w:lang w:val="en-GB"/>
        </w:rPr>
        <w:t>I</w:t>
      </w:r>
      <w:r w:rsidR="00D36134" w:rsidRPr="009712CD">
        <w:rPr>
          <w:lang w:val="en-GB"/>
        </w:rPr>
        <w:t>.</w:t>
      </w:r>
      <w:r w:rsidR="00D36134" w:rsidRPr="009712CD">
        <w:rPr>
          <w:lang w:val="en-GB"/>
        </w:rPr>
        <w:tab/>
      </w:r>
      <w:r w:rsidR="003A1138" w:rsidRPr="009712CD">
        <w:rPr>
          <w:lang w:val="en-GB"/>
        </w:rPr>
        <w:t>C</w:t>
      </w:r>
      <w:r w:rsidR="00D36134" w:rsidRPr="009712CD">
        <w:rPr>
          <w:lang w:val="en-GB"/>
        </w:rPr>
        <w:t>hapter outline</w:t>
      </w:r>
    </w:p>
    <w:p w:rsidR="00E83C2F" w:rsidRPr="009712CD" w:rsidRDefault="00E83C2F" w:rsidP="00B36A9F">
      <w:pPr>
        <w:pStyle w:val="Normalnumber"/>
        <w:rPr>
          <w:sz w:val="20"/>
          <w:szCs w:val="20"/>
          <w:lang w:val="en-GB"/>
        </w:rPr>
      </w:pPr>
      <w:r w:rsidRPr="009712CD">
        <w:rPr>
          <w:sz w:val="20"/>
          <w:szCs w:val="20"/>
          <w:lang w:val="en-GB"/>
        </w:rPr>
        <w:t>It is contemplated that the proposed thematic assessment will be presented in an eight-chapter report, as set out below.</w:t>
      </w:r>
    </w:p>
    <w:p w:rsidR="00D36134" w:rsidRPr="009712CD" w:rsidRDefault="00D36134" w:rsidP="00B36A9F">
      <w:pPr>
        <w:pStyle w:val="Normalnumber"/>
        <w:rPr>
          <w:sz w:val="20"/>
          <w:szCs w:val="20"/>
          <w:lang w:val="en-GB"/>
        </w:rPr>
      </w:pPr>
      <w:r w:rsidRPr="009712CD">
        <w:rPr>
          <w:sz w:val="20"/>
          <w:szCs w:val="20"/>
          <w:lang w:val="en-GB"/>
        </w:rPr>
        <w:t>Chapte</w:t>
      </w:r>
      <w:r w:rsidR="00AC31BB" w:rsidRPr="009712CD">
        <w:rPr>
          <w:sz w:val="20"/>
          <w:szCs w:val="20"/>
          <w:lang w:val="en-GB"/>
        </w:rPr>
        <w:t>r 1.</w:t>
      </w:r>
      <w:r w:rsidR="00E83C2F" w:rsidRPr="009712CD">
        <w:rPr>
          <w:sz w:val="20"/>
          <w:szCs w:val="20"/>
          <w:lang w:val="en-GB"/>
        </w:rPr>
        <w:t xml:space="preserve"> </w:t>
      </w:r>
      <w:r w:rsidRPr="009712CD">
        <w:rPr>
          <w:sz w:val="20"/>
          <w:szCs w:val="20"/>
          <w:lang w:val="en-GB"/>
        </w:rPr>
        <w:t>Introduction to migratory species</w:t>
      </w:r>
      <w:r w:rsidR="00E83C2F" w:rsidRPr="009712CD">
        <w:rPr>
          <w:sz w:val="20"/>
          <w:szCs w:val="20"/>
          <w:lang w:val="en-GB"/>
        </w:rPr>
        <w:t>:</w:t>
      </w:r>
    </w:p>
    <w:p w:rsidR="00D36134" w:rsidRPr="009712CD" w:rsidRDefault="00D36134" w:rsidP="002D1797">
      <w:pPr>
        <w:pStyle w:val="NormalNonumber"/>
        <w:numPr>
          <w:ilvl w:val="0"/>
          <w:numId w:val="6"/>
        </w:numPr>
        <w:rPr>
          <w:sz w:val="20"/>
          <w:szCs w:val="20"/>
          <w:lang w:val="en-GB"/>
        </w:rPr>
      </w:pPr>
      <w:r w:rsidRPr="009712CD">
        <w:rPr>
          <w:sz w:val="20"/>
          <w:szCs w:val="20"/>
          <w:lang w:val="en-GB"/>
        </w:rPr>
        <w:t>Definition of migratory species</w:t>
      </w:r>
      <w:r w:rsidR="00E83C2F" w:rsidRPr="009712CD">
        <w:rPr>
          <w:sz w:val="20"/>
          <w:szCs w:val="20"/>
          <w:lang w:val="en-GB"/>
        </w:rPr>
        <w:t>;</w:t>
      </w:r>
    </w:p>
    <w:p w:rsidR="00D36134" w:rsidRPr="009712CD" w:rsidRDefault="00C91306" w:rsidP="002D1797">
      <w:pPr>
        <w:pStyle w:val="NormalNonumber"/>
        <w:numPr>
          <w:ilvl w:val="0"/>
          <w:numId w:val="6"/>
        </w:numPr>
        <w:rPr>
          <w:sz w:val="20"/>
          <w:szCs w:val="20"/>
          <w:lang w:val="en-GB"/>
        </w:rPr>
      </w:pPr>
      <w:r w:rsidRPr="009712CD">
        <w:rPr>
          <w:sz w:val="20"/>
          <w:szCs w:val="20"/>
          <w:lang w:val="en-GB"/>
        </w:rPr>
        <w:t>Types of migration</w:t>
      </w:r>
      <w:r w:rsidR="00E83C2F" w:rsidRPr="009712CD">
        <w:rPr>
          <w:sz w:val="20"/>
          <w:szCs w:val="20"/>
          <w:lang w:val="en-GB"/>
        </w:rPr>
        <w:t>;</w:t>
      </w:r>
    </w:p>
    <w:p w:rsidR="00D36134" w:rsidRPr="009712CD" w:rsidRDefault="00D36134" w:rsidP="002D1797">
      <w:pPr>
        <w:pStyle w:val="NormalNonumber"/>
        <w:numPr>
          <w:ilvl w:val="0"/>
          <w:numId w:val="6"/>
        </w:numPr>
        <w:rPr>
          <w:sz w:val="20"/>
          <w:szCs w:val="20"/>
          <w:lang w:val="en-GB"/>
        </w:rPr>
      </w:pPr>
      <w:r w:rsidRPr="009712CD">
        <w:rPr>
          <w:sz w:val="20"/>
          <w:szCs w:val="20"/>
          <w:lang w:val="en-GB"/>
        </w:rPr>
        <w:t>Threats to migratory species</w:t>
      </w:r>
      <w:r w:rsidR="00E83C2F" w:rsidRPr="009712CD">
        <w:rPr>
          <w:sz w:val="20"/>
          <w:szCs w:val="20"/>
          <w:lang w:val="en-GB"/>
        </w:rPr>
        <w:t>.</w:t>
      </w:r>
    </w:p>
    <w:p w:rsidR="00D36134" w:rsidRPr="009712CD" w:rsidRDefault="00D36134" w:rsidP="00B36A9F">
      <w:pPr>
        <w:pStyle w:val="Normalnumber"/>
        <w:rPr>
          <w:lang w:val="en-GB"/>
        </w:rPr>
      </w:pPr>
      <w:r w:rsidRPr="009712CD">
        <w:rPr>
          <w:sz w:val="20"/>
          <w:szCs w:val="20"/>
          <w:lang w:val="en-GB"/>
        </w:rPr>
        <w:t>Chapter 2</w:t>
      </w:r>
      <w:r w:rsidR="00AC31BB" w:rsidRPr="009712CD">
        <w:rPr>
          <w:sz w:val="20"/>
          <w:szCs w:val="20"/>
          <w:lang w:val="en-GB"/>
        </w:rPr>
        <w:t>.</w:t>
      </w:r>
      <w:r w:rsidR="00E83C2F" w:rsidRPr="009712CD">
        <w:rPr>
          <w:sz w:val="20"/>
          <w:szCs w:val="20"/>
          <w:lang w:val="en-GB"/>
        </w:rPr>
        <w:t xml:space="preserve"> </w:t>
      </w:r>
      <w:r w:rsidRPr="009712CD">
        <w:rPr>
          <w:sz w:val="20"/>
          <w:szCs w:val="20"/>
          <w:lang w:val="en-GB"/>
        </w:rPr>
        <w:t>Assessment of the ecological function of migratory species in ecosystems</w:t>
      </w:r>
      <w:r w:rsidR="00E83C2F" w:rsidRPr="009712CD">
        <w:rPr>
          <w:sz w:val="20"/>
          <w:szCs w:val="20"/>
          <w:lang w:val="en-GB"/>
        </w:rPr>
        <w:t>:</w:t>
      </w:r>
    </w:p>
    <w:p w:rsidR="00D36134" w:rsidRPr="009712CD" w:rsidRDefault="00D36134" w:rsidP="002D1797">
      <w:pPr>
        <w:pStyle w:val="Normalnumber"/>
        <w:numPr>
          <w:ilvl w:val="0"/>
          <w:numId w:val="5"/>
        </w:numPr>
        <w:ind w:left="1276" w:firstLine="567"/>
        <w:rPr>
          <w:sz w:val="20"/>
          <w:szCs w:val="20"/>
          <w:lang w:val="en-GB"/>
        </w:rPr>
      </w:pPr>
      <w:r w:rsidRPr="009712CD">
        <w:rPr>
          <w:sz w:val="20"/>
          <w:szCs w:val="20"/>
          <w:lang w:val="en-GB"/>
        </w:rPr>
        <w:t>Linking resources (e.g.</w:t>
      </w:r>
      <w:r w:rsidR="00E83C2F" w:rsidRPr="009712CD">
        <w:rPr>
          <w:sz w:val="20"/>
          <w:szCs w:val="20"/>
          <w:lang w:val="en-GB"/>
        </w:rPr>
        <w:t>,</w:t>
      </w:r>
      <w:r w:rsidRPr="009712CD">
        <w:rPr>
          <w:sz w:val="20"/>
          <w:szCs w:val="20"/>
          <w:lang w:val="en-GB"/>
        </w:rPr>
        <w:t xml:space="preserve"> transporting organic material, nutrients, minerals</w:t>
      </w:r>
      <w:r w:rsidR="00E83C2F" w:rsidRPr="009712CD">
        <w:rPr>
          <w:sz w:val="20"/>
          <w:szCs w:val="20"/>
          <w:lang w:val="en-GB"/>
        </w:rPr>
        <w:t>, etc</w:t>
      </w:r>
      <w:r w:rsidRPr="009712CD">
        <w:rPr>
          <w:sz w:val="20"/>
          <w:szCs w:val="20"/>
          <w:lang w:val="en-GB"/>
        </w:rPr>
        <w:t>.)</w:t>
      </w:r>
      <w:r w:rsidR="00E83C2F" w:rsidRPr="009712CD">
        <w:rPr>
          <w:sz w:val="20"/>
          <w:szCs w:val="20"/>
          <w:lang w:val="en-GB"/>
        </w:rPr>
        <w:t>;</w:t>
      </w:r>
    </w:p>
    <w:p w:rsidR="00D36134" w:rsidRPr="009712CD" w:rsidRDefault="00D36134" w:rsidP="002D1797">
      <w:pPr>
        <w:pStyle w:val="Normalnumber"/>
        <w:numPr>
          <w:ilvl w:val="0"/>
          <w:numId w:val="5"/>
        </w:numPr>
        <w:ind w:left="1276" w:firstLine="567"/>
        <w:rPr>
          <w:sz w:val="20"/>
          <w:szCs w:val="20"/>
          <w:lang w:val="en-GB"/>
        </w:rPr>
      </w:pPr>
      <w:r w:rsidRPr="009712CD">
        <w:rPr>
          <w:sz w:val="20"/>
          <w:szCs w:val="20"/>
          <w:lang w:val="en-GB"/>
        </w:rPr>
        <w:t>Linking genetic pools (e.g.</w:t>
      </w:r>
      <w:r w:rsidR="00E83C2F" w:rsidRPr="009712CD">
        <w:rPr>
          <w:sz w:val="20"/>
          <w:szCs w:val="20"/>
          <w:lang w:val="en-GB"/>
        </w:rPr>
        <w:t xml:space="preserve">, </w:t>
      </w:r>
      <w:r w:rsidRPr="009712CD">
        <w:rPr>
          <w:sz w:val="20"/>
          <w:szCs w:val="20"/>
          <w:lang w:val="en-GB"/>
        </w:rPr>
        <w:t>seed dispersal and pollination</w:t>
      </w:r>
      <w:r w:rsidR="00E83C2F" w:rsidRPr="009712CD">
        <w:rPr>
          <w:sz w:val="20"/>
          <w:szCs w:val="20"/>
          <w:lang w:val="en-GB"/>
        </w:rPr>
        <w:t>, etc.</w:t>
      </w:r>
      <w:r w:rsidRPr="009712CD">
        <w:rPr>
          <w:sz w:val="20"/>
          <w:szCs w:val="20"/>
          <w:lang w:val="en-GB"/>
        </w:rPr>
        <w:t>)</w:t>
      </w:r>
      <w:r w:rsidR="00E83C2F" w:rsidRPr="009712CD">
        <w:rPr>
          <w:sz w:val="20"/>
          <w:szCs w:val="20"/>
          <w:lang w:val="en-GB"/>
        </w:rPr>
        <w:t>;</w:t>
      </w:r>
    </w:p>
    <w:p w:rsidR="00D36134" w:rsidRPr="009712CD" w:rsidRDefault="00D36134" w:rsidP="002D1797">
      <w:pPr>
        <w:pStyle w:val="Normalnumber"/>
        <w:numPr>
          <w:ilvl w:val="0"/>
          <w:numId w:val="5"/>
        </w:numPr>
        <w:ind w:left="1276" w:firstLine="567"/>
        <w:rPr>
          <w:sz w:val="20"/>
          <w:szCs w:val="20"/>
          <w:lang w:val="en-GB"/>
        </w:rPr>
      </w:pPr>
      <w:r w:rsidRPr="009712CD">
        <w:rPr>
          <w:sz w:val="20"/>
          <w:szCs w:val="20"/>
          <w:lang w:val="en-GB"/>
        </w:rPr>
        <w:t>Linking processes (e.g.</w:t>
      </w:r>
      <w:r w:rsidR="00E83C2F" w:rsidRPr="009712CD">
        <w:rPr>
          <w:sz w:val="20"/>
          <w:szCs w:val="20"/>
          <w:lang w:val="en-GB"/>
        </w:rPr>
        <w:t>,</w:t>
      </w:r>
      <w:r w:rsidRPr="009712CD">
        <w:rPr>
          <w:sz w:val="20"/>
          <w:szCs w:val="20"/>
          <w:lang w:val="en-GB"/>
        </w:rPr>
        <w:t xml:space="preserve"> grazing</w:t>
      </w:r>
      <w:r w:rsidR="00E83C2F" w:rsidRPr="009712CD">
        <w:rPr>
          <w:sz w:val="20"/>
          <w:szCs w:val="20"/>
          <w:lang w:val="en-GB"/>
        </w:rPr>
        <w:t>,</w:t>
      </w:r>
      <w:r w:rsidRPr="009712CD">
        <w:rPr>
          <w:sz w:val="20"/>
          <w:szCs w:val="20"/>
          <w:lang w:val="en-GB"/>
        </w:rPr>
        <w:t xml:space="preserve"> which structures the development of plant communities)</w:t>
      </w:r>
      <w:r w:rsidR="00E83C2F" w:rsidRPr="009712CD">
        <w:rPr>
          <w:sz w:val="20"/>
          <w:szCs w:val="20"/>
          <w:lang w:val="en-GB"/>
        </w:rPr>
        <w:t>.</w:t>
      </w:r>
    </w:p>
    <w:p w:rsidR="00D36134" w:rsidRPr="009712CD" w:rsidRDefault="00AC31BB" w:rsidP="00B36A9F">
      <w:pPr>
        <w:pStyle w:val="Normalnumber"/>
        <w:rPr>
          <w:sz w:val="20"/>
          <w:szCs w:val="20"/>
          <w:lang w:val="en-GB"/>
        </w:rPr>
      </w:pPr>
      <w:r w:rsidRPr="009712CD">
        <w:rPr>
          <w:sz w:val="20"/>
          <w:szCs w:val="20"/>
          <w:lang w:val="en-GB"/>
        </w:rPr>
        <w:t>Chapter 3.</w:t>
      </w:r>
      <w:r w:rsidR="00E83C2F" w:rsidRPr="009712CD">
        <w:rPr>
          <w:sz w:val="20"/>
          <w:szCs w:val="20"/>
          <w:lang w:val="en-GB"/>
        </w:rPr>
        <w:t xml:space="preserve"> </w:t>
      </w:r>
      <w:r w:rsidR="00D36134" w:rsidRPr="009712CD">
        <w:rPr>
          <w:sz w:val="20"/>
          <w:szCs w:val="20"/>
          <w:lang w:val="en-GB"/>
        </w:rPr>
        <w:t>Assessment of the economic valuation of ecosystem services provided by migratory species</w:t>
      </w:r>
      <w:r w:rsidR="00E83C2F" w:rsidRPr="009712CD">
        <w:rPr>
          <w:sz w:val="20"/>
          <w:szCs w:val="20"/>
          <w:lang w:val="en-GB"/>
        </w:rPr>
        <w:t>:</w:t>
      </w:r>
    </w:p>
    <w:p w:rsidR="00D36134" w:rsidRPr="009712CD" w:rsidRDefault="00E83C2F" w:rsidP="002D1797">
      <w:pPr>
        <w:pStyle w:val="Normalnumber"/>
        <w:numPr>
          <w:ilvl w:val="0"/>
          <w:numId w:val="7"/>
        </w:numPr>
        <w:ind w:left="1276" w:firstLine="567"/>
        <w:rPr>
          <w:sz w:val="20"/>
          <w:szCs w:val="20"/>
          <w:lang w:val="en-GB"/>
        </w:rPr>
      </w:pPr>
      <w:r w:rsidRPr="009712CD">
        <w:rPr>
          <w:sz w:val="20"/>
          <w:szCs w:val="20"/>
          <w:lang w:val="en-GB"/>
        </w:rPr>
        <w:t>The v</w:t>
      </w:r>
      <w:r w:rsidR="00D36134" w:rsidRPr="009712CD">
        <w:rPr>
          <w:sz w:val="20"/>
          <w:szCs w:val="20"/>
          <w:lang w:val="en-GB"/>
        </w:rPr>
        <w:t>alue of select provisioning, supporting, regulating and cultural ecosystems services provided by migratory species</w:t>
      </w:r>
      <w:r w:rsidR="00436890" w:rsidRPr="009712CD">
        <w:rPr>
          <w:sz w:val="20"/>
          <w:szCs w:val="20"/>
          <w:lang w:val="en-GB"/>
        </w:rPr>
        <w:t>;</w:t>
      </w:r>
    </w:p>
    <w:p w:rsidR="00D36134" w:rsidRPr="009712CD" w:rsidRDefault="00D36134" w:rsidP="002D1797">
      <w:pPr>
        <w:pStyle w:val="Normalnumber"/>
        <w:numPr>
          <w:ilvl w:val="0"/>
          <w:numId w:val="7"/>
        </w:numPr>
        <w:ind w:left="1276" w:firstLine="567"/>
        <w:rPr>
          <w:sz w:val="20"/>
          <w:szCs w:val="20"/>
          <w:lang w:val="en-GB"/>
        </w:rPr>
      </w:pPr>
      <w:r w:rsidRPr="009712CD">
        <w:rPr>
          <w:sz w:val="20"/>
          <w:szCs w:val="20"/>
          <w:lang w:val="en-GB"/>
        </w:rPr>
        <w:t xml:space="preserve">Ways of integrating the value </w:t>
      </w:r>
      <w:r w:rsidR="00E83C2F" w:rsidRPr="009712CD">
        <w:rPr>
          <w:sz w:val="20"/>
          <w:szCs w:val="20"/>
          <w:lang w:val="en-GB"/>
        </w:rPr>
        <w:t xml:space="preserve">of </w:t>
      </w:r>
      <w:r w:rsidRPr="009712CD">
        <w:rPr>
          <w:bCs/>
          <w:sz w:val="20"/>
          <w:szCs w:val="20"/>
          <w:lang w:val="en-GB"/>
        </w:rPr>
        <w:t xml:space="preserve">migratory species and their habitats into international, </w:t>
      </w:r>
      <w:r w:rsidRPr="009712CD">
        <w:rPr>
          <w:sz w:val="20"/>
          <w:szCs w:val="20"/>
          <w:lang w:val="en-GB"/>
        </w:rPr>
        <w:t>national</w:t>
      </w:r>
      <w:r w:rsidR="00E83C2F" w:rsidRPr="009712CD">
        <w:rPr>
          <w:sz w:val="20"/>
          <w:szCs w:val="20"/>
          <w:lang w:val="en-GB"/>
        </w:rPr>
        <w:t xml:space="preserve"> </w:t>
      </w:r>
      <w:r w:rsidRPr="009712CD">
        <w:rPr>
          <w:sz w:val="20"/>
          <w:szCs w:val="20"/>
          <w:lang w:val="en-GB"/>
        </w:rPr>
        <w:t>and local development and poverty reduction strategies and planning processes</w:t>
      </w:r>
      <w:r w:rsidR="00436890" w:rsidRPr="009712CD">
        <w:rPr>
          <w:sz w:val="20"/>
          <w:szCs w:val="20"/>
          <w:lang w:val="en-GB"/>
        </w:rPr>
        <w:t>.</w:t>
      </w:r>
    </w:p>
    <w:p w:rsidR="00D36134" w:rsidRPr="009712CD" w:rsidRDefault="00AC31BB" w:rsidP="00436890">
      <w:pPr>
        <w:pStyle w:val="Normalnumber"/>
        <w:rPr>
          <w:sz w:val="20"/>
          <w:szCs w:val="20"/>
          <w:lang w:val="en-GB"/>
        </w:rPr>
      </w:pPr>
      <w:r w:rsidRPr="009712CD">
        <w:rPr>
          <w:sz w:val="20"/>
          <w:szCs w:val="20"/>
          <w:lang w:val="en-GB"/>
        </w:rPr>
        <w:t>Chapter 4.</w:t>
      </w:r>
      <w:r w:rsidR="00E83C2F" w:rsidRPr="009712CD">
        <w:rPr>
          <w:sz w:val="20"/>
          <w:szCs w:val="20"/>
          <w:lang w:val="en-GB"/>
        </w:rPr>
        <w:t xml:space="preserve"> </w:t>
      </w:r>
      <w:r w:rsidR="00D36134" w:rsidRPr="009712CD">
        <w:rPr>
          <w:sz w:val="20"/>
          <w:szCs w:val="20"/>
          <w:lang w:val="en-GB"/>
        </w:rPr>
        <w:t>Assessment of climate change impacts on migratory species</w:t>
      </w:r>
      <w:r w:rsidR="00E83C2F" w:rsidRPr="009712CD">
        <w:rPr>
          <w:sz w:val="20"/>
          <w:szCs w:val="20"/>
          <w:lang w:val="en-GB"/>
        </w:rPr>
        <w:t>:</w:t>
      </w:r>
    </w:p>
    <w:p w:rsidR="00D36134" w:rsidRPr="009712CD" w:rsidRDefault="00D36134" w:rsidP="002D1797">
      <w:pPr>
        <w:pStyle w:val="Normalnumber"/>
        <w:numPr>
          <w:ilvl w:val="0"/>
          <w:numId w:val="8"/>
        </w:numPr>
        <w:ind w:hanging="284"/>
        <w:rPr>
          <w:sz w:val="20"/>
          <w:szCs w:val="20"/>
          <w:lang w:val="en-GB"/>
        </w:rPr>
      </w:pPr>
      <w:r w:rsidRPr="009712CD">
        <w:rPr>
          <w:sz w:val="20"/>
          <w:szCs w:val="20"/>
          <w:lang w:val="en-GB"/>
        </w:rPr>
        <w:t>Habitat loss/alterations</w:t>
      </w:r>
      <w:r w:rsidR="00E83C2F" w:rsidRPr="009712CD">
        <w:rPr>
          <w:sz w:val="20"/>
          <w:szCs w:val="20"/>
          <w:lang w:val="en-GB"/>
        </w:rPr>
        <w:t>;</w:t>
      </w:r>
    </w:p>
    <w:p w:rsidR="00D36134" w:rsidRPr="009712CD" w:rsidRDefault="00D36134" w:rsidP="002D1797">
      <w:pPr>
        <w:pStyle w:val="Normalnumber"/>
        <w:numPr>
          <w:ilvl w:val="0"/>
          <w:numId w:val="8"/>
        </w:numPr>
        <w:ind w:hanging="284"/>
        <w:rPr>
          <w:sz w:val="20"/>
          <w:szCs w:val="20"/>
          <w:lang w:val="en-GB"/>
        </w:rPr>
      </w:pPr>
      <w:r w:rsidRPr="009712CD">
        <w:rPr>
          <w:sz w:val="20"/>
          <w:szCs w:val="20"/>
          <w:lang w:val="en-GB"/>
        </w:rPr>
        <w:t>Changing resource availability</w:t>
      </w:r>
      <w:r w:rsidR="00E83C2F" w:rsidRPr="009712CD">
        <w:rPr>
          <w:sz w:val="20"/>
          <w:szCs w:val="20"/>
          <w:lang w:val="en-GB"/>
        </w:rPr>
        <w:t>;</w:t>
      </w:r>
    </w:p>
    <w:p w:rsidR="00D36134" w:rsidRPr="009712CD" w:rsidRDefault="00D36134" w:rsidP="002D1797">
      <w:pPr>
        <w:pStyle w:val="Normalnumber"/>
        <w:numPr>
          <w:ilvl w:val="0"/>
          <w:numId w:val="8"/>
        </w:numPr>
        <w:ind w:hanging="284"/>
        <w:rPr>
          <w:sz w:val="20"/>
          <w:szCs w:val="20"/>
          <w:lang w:val="en-GB"/>
        </w:rPr>
      </w:pPr>
      <w:r w:rsidRPr="009712CD">
        <w:rPr>
          <w:sz w:val="20"/>
          <w:szCs w:val="20"/>
          <w:lang w:val="en-GB"/>
        </w:rPr>
        <w:t>Changing phenology</w:t>
      </w:r>
      <w:r w:rsidR="00E83C2F" w:rsidRPr="009712CD">
        <w:rPr>
          <w:sz w:val="20"/>
          <w:szCs w:val="20"/>
          <w:lang w:val="en-GB"/>
        </w:rPr>
        <w:t>;</w:t>
      </w:r>
    </w:p>
    <w:p w:rsidR="00D36134" w:rsidRPr="009712CD" w:rsidRDefault="00E83C2F" w:rsidP="002D1797">
      <w:pPr>
        <w:pStyle w:val="Normalnumber"/>
        <w:numPr>
          <w:ilvl w:val="0"/>
          <w:numId w:val="8"/>
        </w:numPr>
        <w:ind w:hanging="284"/>
        <w:rPr>
          <w:sz w:val="20"/>
          <w:szCs w:val="20"/>
          <w:lang w:val="en-GB"/>
        </w:rPr>
      </w:pPr>
      <w:r w:rsidRPr="009712CD">
        <w:rPr>
          <w:sz w:val="20"/>
          <w:szCs w:val="20"/>
          <w:lang w:val="en-GB"/>
        </w:rPr>
        <w:t>Halting</w:t>
      </w:r>
      <w:r w:rsidR="00D36134" w:rsidRPr="009712CD">
        <w:rPr>
          <w:sz w:val="20"/>
          <w:szCs w:val="20"/>
          <w:lang w:val="en-GB"/>
        </w:rPr>
        <w:t xml:space="preserve"> migration</w:t>
      </w:r>
      <w:r w:rsidRPr="009712CD">
        <w:rPr>
          <w:sz w:val="20"/>
          <w:szCs w:val="20"/>
          <w:lang w:val="en-GB"/>
        </w:rPr>
        <w:t>;</w:t>
      </w:r>
    </w:p>
    <w:p w:rsidR="00D36134" w:rsidRPr="009712CD" w:rsidRDefault="00D36134" w:rsidP="002D1797">
      <w:pPr>
        <w:pStyle w:val="Normalnumber"/>
        <w:numPr>
          <w:ilvl w:val="0"/>
          <w:numId w:val="8"/>
        </w:numPr>
        <w:ind w:hanging="284"/>
        <w:rPr>
          <w:sz w:val="20"/>
          <w:szCs w:val="20"/>
          <w:lang w:val="en-GB"/>
        </w:rPr>
      </w:pPr>
      <w:r w:rsidRPr="009712CD">
        <w:rPr>
          <w:sz w:val="20"/>
          <w:szCs w:val="20"/>
          <w:lang w:val="en-GB"/>
        </w:rPr>
        <w:t>Policy responses</w:t>
      </w:r>
      <w:r w:rsidR="00436890" w:rsidRPr="009712CD">
        <w:rPr>
          <w:sz w:val="20"/>
          <w:szCs w:val="20"/>
          <w:lang w:val="en-GB"/>
        </w:rPr>
        <w:t>.</w:t>
      </w:r>
    </w:p>
    <w:p w:rsidR="00D36134" w:rsidRPr="009712CD" w:rsidRDefault="00AC31BB" w:rsidP="00436890">
      <w:pPr>
        <w:pStyle w:val="Normalnumber"/>
        <w:rPr>
          <w:sz w:val="20"/>
          <w:szCs w:val="20"/>
          <w:lang w:val="en-GB"/>
        </w:rPr>
      </w:pPr>
      <w:r w:rsidRPr="009712CD">
        <w:rPr>
          <w:sz w:val="20"/>
          <w:szCs w:val="20"/>
          <w:lang w:val="en-GB"/>
        </w:rPr>
        <w:t>Chapter 5.</w:t>
      </w:r>
      <w:r w:rsidR="00D36134" w:rsidRPr="009712CD">
        <w:rPr>
          <w:sz w:val="20"/>
          <w:szCs w:val="20"/>
          <w:lang w:val="en-GB"/>
        </w:rPr>
        <w:t xml:space="preserve"> Assessment of traditional knowledge of migratory species</w:t>
      </w:r>
      <w:r w:rsidR="00E83C2F" w:rsidRPr="009712CD">
        <w:rPr>
          <w:sz w:val="20"/>
          <w:szCs w:val="20"/>
          <w:lang w:val="en-GB"/>
        </w:rPr>
        <w:t>:</w:t>
      </w:r>
    </w:p>
    <w:p w:rsidR="00D36134" w:rsidRPr="009712CD" w:rsidRDefault="00E83C2F" w:rsidP="002D1797">
      <w:pPr>
        <w:pStyle w:val="Normalnumber"/>
        <w:numPr>
          <w:ilvl w:val="0"/>
          <w:numId w:val="9"/>
        </w:numPr>
        <w:ind w:hanging="644"/>
        <w:rPr>
          <w:sz w:val="20"/>
          <w:szCs w:val="20"/>
          <w:lang w:val="en-GB"/>
        </w:rPr>
      </w:pPr>
      <w:r w:rsidRPr="009712CD">
        <w:rPr>
          <w:sz w:val="20"/>
          <w:szCs w:val="20"/>
          <w:lang w:val="en-GB"/>
        </w:rPr>
        <w:t>The i</w:t>
      </w:r>
      <w:r w:rsidR="00D36134" w:rsidRPr="009712CD">
        <w:rPr>
          <w:sz w:val="20"/>
          <w:szCs w:val="20"/>
          <w:lang w:val="en-GB"/>
        </w:rPr>
        <w:t>mportance of traditional knowledge of migratory species</w:t>
      </w:r>
      <w:r w:rsidRPr="009712CD">
        <w:rPr>
          <w:sz w:val="20"/>
          <w:szCs w:val="20"/>
          <w:lang w:val="en-GB"/>
        </w:rPr>
        <w:t>;</w:t>
      </w:r>
    </w:p>
    <w:p w:rsidR="00D36134" w:rsidRPr="009712CD" w:rsidRDefault="00D36134" w:rsidP="002D1797">
      <w:pPr>
        <w:pStyle w:val="Normalnumber"/>
        <w:numPr>
          <w:ilvl w:val="0"/>
          <w:numId w:val="9"/>
        </w:numPr>
        <w:ind w:hanging="644"/>
        <w:rPr>
          <w:sz w:val="20"/>
          <w:szCs w:val="20"/>
          <w:lang w:val="en-GB"/>
        </w:rPr>
      </w:pPr>
      <w:r w:rsidRPr="009712CD">
        <w:rPr>
          <w:sz w:val="20"/>
          <w:szCs w:val="20"/>
          <w:lang w:val="en-GB"/>
        </w:rPr>
        <w:t>Case studies on select avian, marine and terrestrial migratory species</w:t>
      </w:r>
      <w:r w:rsidR="00436890" w:rsidRPr="009712CD">
        <w:rPr>
          <w:sz w:val="20"/>
          <w:szCs w:val="20"/>
          <w:lang w:val="en-GB"/>
        </w:rPr>
        <w:t>.</w:t>
      </w:r>
    </w:p>
    <w:p w:rsidR="00D36134" w:rsidRPr="009712CD" w:rsidRDefault="00AC31BB" w:rsidP="00436890">
      <w:pPr>
        <w:pStyle w:val="Normalnumber"/>
        <w:rPr>
          <w:sz w:val="20"/>
          <w:szCs w:val="20"/>
          <w:lang w:val="en-GB"/>
        </w:rPr>
      </w:pPr>
      <w:r w:rsidRPr="009712CD">
        <w:rPr>
          <w:sz w:val="20"/>
          <w:szCs w:val="20"/>
          <w:lang w:val="en-GB"/>
        </w:rPr>
        <w:t>Chapter 6.</w:t>
      </w:r>
      <w:r w:rsidR="00E83C2F" w:rsidRPr="009712CD">
        <w:rPr>
          <w:sz w:val="20"/>
          <w:szCs w:val="20"/>
          <w:lang w:val="en-GB"/>
        </w:rPr>
        <w:t xml:space="preserve"> </w:t>
      </w:r>
      <w:r w:rsidR="00D36134" w:rsidRPr="009712CD">
        <w:rPr>
          <w:sz w:val="20"/>
          <w:szCs w:val="20"/>
          <w:lang w:val="en-GB"/>
        </w:rPr>
        <w:t>Assessment of migratory species in areas beyond national jurisdiction</w:t>
      </w:r>
      <w:r w:rsidR="00E83C2F" w:rsidRPr="009712CD">
        <w:rPr>
          <w:sz w:val="20"/>
          <w:szCs w:val="20"/>
          <w:lang w:val="en-GB"/>
        </w:rPr>
        <w:t>:</w:t>
      </w:r>
    </w:p>
    <w:p w:rsidR="00D36134" w:rsidRPr="009712CD" w:rsidRDefault="00E83C2F" w:rsidP="002D1797">
      <w:pPr>
        <w:pStyle w:val="Normalnumber"/>
        <w:numPr>
          <w:ilvl w:val="0"/>
          <w:numId w:val="10"/>
        </w:numPr>
        <w:ind w:hanging="1004"/>
        <w:rPr>
          <w:sz w:val="20"/>
          <w:szCs w:val="20"/>
          <w:lang w:val="en-GB"/>
        </w:rPr>
      </w:pPr>
      <w:r w:rsidRPr="009712CD">
        <w:rPr>
          <w:sz w:val="20"/>
          <w:szCs w:val="20"/>
          <w:lang w:val="en-GB"/>
        </w:rPr>
        <w:t>The i</w:t>
      </w:r>
      <w:r w:rsidR="00D36134" w:rsidRPr="009712CD">
        <w:rPr>
          <w:sz w:val="20"/>
          <w:szCs w:val="20"/>
          <w:lang w:val="en-GB"/>
        </w:rPr>
        <w:t xml:space="preserve">mportance of </w:t>
      </w:r>
      <w:r w:rsidRPr="009712CD">
        <w:rPr>
          <w:sz w:val="20"/>
          <w:szCs w:val="20"/>
          <w:lang w:val="en-GB"/>
        </w:rPr>
        <w:t>areas beyond national jurisdiction</w:t>
      </w:r>
      <w:r w:rsidR="00D36134" w:rsidRPr="009712CD">
        <w:rPr>
          <w:sz w:val="20"/>
          <w:szCs w:val="20"/>
          <w:lang w:val="en-GB"/>
        </w:rPr>
        <w:t xml:space="preserve"> for migratory species</w:t>
      </w:r>
      <w:r w:rsidRPr="009712CD">
        <w:rPr>
          <w:sz w:val="20"/>
          <w:szCs w:val="20"/>
          <w:lang w:val="en-GB"/>
        </w:rPr>
        <w:t>;</w:t>
      </w:r>
    </w:p>
    <w:p w:rsidR="00D36134" w:rsidRPr="009712CD" w:rsidRDefault="00E83C2F" w:rsidP="002D1797">
      <w:pPr>
        <w:pStyle w:val="Normalnumber"/>
        <w:numPr>
          <w:ilvl w:val="0"/>
          <w:numId w:val="10"/>
        </w:numPr>
        <w:tabs>
          <w:tab w:val="clear" w:pos="1814"/>
          <w:tab w:val="clear" w:pos="2381"/>
          <w:tab w:val="clear" w:pos="2948"/>
          <w:tab w:val="clear" w:pos="3515"/>
          <w:tab w:val="left" w:pos="2410"/>
        </w:tabs>
        <w:ind w:left="1276" w:firstLine="567"/>
        <w:rPr>
          <w:sz w:val="20"/>
          <w:szCs w:val="20"/>
          <w:lang w:val="en-GB"/>
        </w:rPr>
      </w:pPr>
      <w:r w:rsidRPr="009712CD">
        <w:rPr>
          <w:sz w:val="20"/>
          <w:szCs w:val="20"/>
          <w:lang w:val="en-GB"/>
        </w:rPr>
        <w:lastRenderedPageBreak/>
        <w:t>The e</w:t>
      </w:r>
      <w:r w:rsidR="00D36134" w:rsidRPr="009712CD">
        <w:rPr>
          <w:sz w:val="20"/>
          <w:szCs w:val="20"/>
          <w:lang w:val="en-GB"/>
        </w:rPr>
        <w:t xml:space="preserve">ffectiveness of policies governing </w:t>
      </w:r>
      <w:r w:rsidRPr="009712CD">
        <w:rPr>
          <w:sz w:val="20"/>
          <w:szCs w:val="20"/>
          <w:lang w:val="en-GB"/>
        </w:rPr>
        <w:t>areas beyond national jurisdiction</w:t>
      </w:r>
      <w:r w:rsidR="00D36134" w:rsidRPr="009712CD">
        <w:rPr>
          <w:sz w:val="20"/>
          <w:szCs w:val="20"/>
          <w:lang w:val="en-GB"/>
        </w:rPr>
        <w:t xml:space="preserve"> in protecting and managing migratory species</w:t>
      </w:r>
      <w:r w:rsidRPr="009712CD">
        <w:rPr>
          <w:sz w:val="20"/>
          <w:szCs w:val="20"/>
          <w:lang w:val="en-GB"/>
        </w:rPr>
        <w:t>;</w:t>
      </w:r>
    </w:p>
    <w:p w:rsidR="00D36134" w:rsidRPr="009712CD" w:rsidRDefault="00D36134" w:rsidP="002D1797">
      <w:pPr>
        <w:pStyle w:val="Normalnumber"/>
        <w:numPr>
          <w:ilvl w:val="0"/>
          <w:numId w:val="10"/>
        </w:numPr>
        <w:tabs>
          <w:tab w:val="clear" w:pos="1814"/>
          <w:tab w:val="clear" w:pos="2381"/>
          <w:tab w:val="clear" w:pos="2948"/>
          <w:tab w:val="clear" w:pos="3515"/>
          <w:tab w:val="left" w:pos="2410"/>
        </w:tabs>
        <w:ind w:left="1276" w:firstLine="567"/>
        <w:rPr>
          <w:sz w:val="20"/>
          <w:szCs w:val="20"/>
          <w:lang w:val="en-GB"/>
        </w:rPr>
      </w:pPr>
      <w:r w:rsidRPr="009712CD">
        <w:rPr>
          <w:sz w:val="20"/>
          <w:szCs w:val="20"/>
          <w:lang w:val="en-GB"/>
        </w:rPr>
        <w:t xml:space="preserve">Recommendations for more effective policies for the conservation and sustainable use of migratory species in </w:t>
      </w:r>
      <w:r w:rsidR="00E83C2F" w:rsidRPr="009712CD">
        <w:rPr>
          <w:sz w:val="20"/>
          <w:szCs w:val="20"/>
          <w:lang w:val="en-GB"/>
        </w:rPr>
        <w:t>areas beyond national jurisdiction.</w:t>
      </w:r>
      <w:r w:rsidRPr="009712CD">
        <w:rPr>
          <w:sz w:val="20"/>
          <w:szCs w:val="20"/>
          <w:lang w:val="en-GB"/>
        </w:rPr>
        <w:t xml:space="preserve"> </w:t>
      </w:r>
    </w:p>
    <w:p w:rsidR="00D36134" w:rsidRPr="009712CD" w:rsidRDefault="00AC31BB" w:rsidP="00436890">
      <w:pPr>
        <w:pStyle w:val="Normalnumber"/>
        <w:rPr>
          <w:sz w:val="20"/>
          <w:szCs w:val="20"/>
          <w:lang w:val="en-GB"/>
        </w:rPr>
      </w:pPr>
      <w:r w:rsidRPr="009712CD">
        <w:rPr>
          <w:sz w:val="20"/>
          <w:szCs w:val="20"/>
          <w:lang w:val="en-GB"/>
        </w:rPr>
        <w:t>Chapter 7.</w:t>
      </w:r>
      <w:r w:rsidR="00D36134" w:rsidRPr="009712CD">
        <w:rPr>
          <w:sz w:val="20"/>
          <w:szCs w:val="20"/>
          <w:lang w:val="en-GB"/>
        </w:rPr>
        <w:t xml:space="preserve"> Assessment of protected area systems in </w:t>
      </w:r>
      <w:r w:rsidR="00E83C2F" w:rsidRPr="009712CD">
        <w:rPr>
          <w:sz w:val="20"/>
          <w:szCs w:val="20"/>
          <w:lang w:val="en-GB"/>
        </w:rPr>
        <w:t xml:space="preserve">the </w:t>
      </w:r>
      <w:r w:rsidR="00D36134" w:rsidRPr="009712CD">
        <w:rPr>
          <w:sz w:val="20"/>
          <w:szCs w:val="20"/>
          <w:lang w:val="en-GB"/>
        </w:rPr>
        <w:t>light of the needs of migratory species</w:t>
      </w:r>
      <w:r w:rsidR="00E83C2F" w:rsidRPr="009712CD">
        <w:rPr>
          <w:sz w:val="20"/>
          <w:szCs w:val="20"/>
          <w:lang w:val="en-GB"/>
        </w:rPr>
        <w:t>:</w:t>
      </w:r>
    </w:p>
    <w:p w:rsidR="00D36134" w:rsidRPr="009712CD" w:rsidRDefault="00E83C2F" w:rsidP="002D1797">
      <w:pPr>
        <w:pStyle w:val="Normalnumber"/>
        <w:numPr>
          <w:ilvl w:val="0"/>
          <w:numId w:val="11"/>
        </w:numPr>
        <w:tabs>
          <w:tab w:val="clear" w:pos="1814"/>
          <w:tab w:val="clear" w:pos="2948"/>
        </w:tabs>
        <w:ind w:left="1276" w:firstLine="567"/>
        <w:rPr>
          <w:sz w:val="20"/>
          <w:szCs w:val="20"/>
          <w:lang w:val="en-GB"/>
        </w:rPr>
      </w:pPr>
      <w:r w:rsidRPr="009712CD">
        <w:rPr>
          <w:sz w:val="20"/>
          <w:szCs w:val="20"/>
          <w:lang w:val="en-GB"/>
        </w:rPr>
        <w:t>The e</w:t>
      </w:r>
      <w:r w:rsidR="00D36134" w:rsidRPr="009712CD">
        <w:rPr>
          <w:sz w:val="20"/>
          <w:szCs w:val="20"/>
          <w:lang w:val="en-GB"/>
        </w:rPr>
        <w:t>xtent to which, and the manner in which, existing major protected area systems and initiatives aimed at promoting ecological networks address the needs of migratory species throughout their life cycles and migratory ranges</w:t>
      </w:r>
      <w:r w:rsidRPr="009712CD">
        <w:rPr>
          <w:sz w:val="20"/>
          <w:szCs w:val="20"/>
          <w:lang w:val="en-GB"/>
        </w:rPr>
        <w:t>;</w:t>
      </w:r>
    </w:p>
    <w:p w:rsidR="00D36134" w:rsidRPr="009712CD" w:rsidRDefault="00E83C2F" w:rsidP="002D1797">
      <w:pPr>
        <w:pStyle w:val="Normalnumber"/>
        <w:numPr>
          <w:ilvl w:val="0"/>
          <w:numId w:val="11"/>
        </w:numPr>
        <w:tabs>
          <w:tab w:val="clear" w:pos="1814"/>
          <w:tab w:val="clear" w:pos="2948"/>
        </w:tabs>
        <w:ind w:left="1276" w:firstLine="567"/>
        <w:rPr>
          <w:sz w:val="20"/>
          <w:szCs w:val="20"/>
          <w:lang w:val="en-GB"/>
        </w:rPr>
      </w:pPr>
      <w:r w:rsidRPr="009712CD">
        <w:rPr>
          <w:sz w:val="20"/>
          <w:szCs w:val="20"/>
          <w:lang w:val="en-GB"/>
        </w:rPr>
        <w:t>The c</w:t>
      </w:r>
      <w:r w:rsidR="00D36134" w:rsidRPr="009712CD">
        <w:rPr>
          <w:sz w:val="20"/>
          <w:szCs w:val="20"/>
          <w:lang w:val="en-GB"/>
        </w:rPr>
        <w:t>urrent use and potential future use of ecological network concepts and approaches</w:t>
      </w:r>
      <w:r w:rsidR="00BF7A98" w:rsidRPr="009712CD">
        <w:rPr>
          <w:sz w:val="20"/>
          <w:szCs w:val="20"/>
          <w:lang w:val="en-GB"/>
        </w:rPr>
        <w:t>;</w:t>
      </w:r>
    </w:p>
    <w:p w:rsidR="00D36134" w:rsidRPr="009712CD" w:rsidRDefault="00D36134" w:rsidP="002D1797">
      <w:pPr>
        <w:pStyle w:val="Normalnumber"/>
        <w:numPr>
          <w:ilvl w:val="0"/>
          <w:numId w:val="11"/>
        </w:numPr>
        <w:tabs>
          <w:tab w:val="clear" w:pos="1814"/>
          <w:tab w:val="clear" w:pos="2948"/>
        </w:tabs>
        <w:ind w:left="1276" w:firstLine="567"/>
        <w:rPr>
          <w:sz w:val="20"/>
          <w:szCs w:val="20"/>
          <w:lang w:val="en-GB"/>
        </w:rPr>
      </w:pPr>
      <w:r w:rsidRPr="009712CD">
        <w:rPr>
          <w:sz w:val="20"/>
          <w:szCs w:val="20"/>
          <w:lang w:val="en-GB"/>
        </w:rPr>
        <w:t>Opportunities for enhancing the effectiveness of and synergies between relevant initiatives and programmes on protected areas and ecological networks in respect of the conservation needs of migratory species</w:t>
      </w:r>
      <w:r w:rsidR="000D57BE" w:rsidRPr="009712CD">
        <w:rPr>
          <w:sz w:val="20"/>
          <w:szCs w:val="20"/>
          <w:lang w:val="en-GB"/>
        </w:rPr>
        <w:t>.</w:t>
      </w:r>
    </w:p>
    <w:p w:rsidR="000A7BDF" w:rsidRPr="009712CD" w:rsidRDefault="00AC31BB" w:rsidP="000A7BDF">
      <w:pPr>
        <w:pStyle w:val="Normalnumber"/>
        <w:rPr>
          <w:sz w:val="20"/>
          <w:szCs w:val="20"/>
          <w:lang w:val="en-GB"/>
        </w:rPr>
      </w:pPr>
      <w:r w:rsidRPr="009712CD">
        <w:rPr>
          <w:sz w:val="20"/>
          <w:szCs w:val="20"/>
          <w:lang w:val="en-GB"/>
        </w:rPr>
        <w:t>Chapter 8.</w:t>
      </w:r>
      <w:r w:rsidR="00BF7A98" w:rsidRPr="009712CD">
        <w:rPr>
          <w:sz w:val="20"/>
          <w:szCs w:val="20"/>
          <w:lang w:val="en-GB"/>
        </w:rPr>
        <w:t xml:space="preserve"> </w:t>
      </w:r>
      <w:r w:rsidR="00D36134" w:rsidRPr="009712CD">
        <w:rPr>
          <w:sz w:val="20"/>
          <w:szCs w:val="20"/>
          <w:lang w:val="en-GB"/>
        </w:rPr>
        <w:t xml:space="preserve">Options for </w:t>
      </w:r>
      <w:r w:rsidR="00BF7A98" w:rsidRPr="009712CD">
        <w:rPr>
          <w:sz w:val="20"/>
          <w:szCs w:val="20"/>
          <w:lang w:val="en-GB"/>
        </w:rPr>
        <w:t xml:space="preserve">the </w:t>
      </w:r>
      <w:r w:rsidR="00D36134" w:rsidRPr="009712CD">
        <w:rPr>
          <w:sz w:val="20"/>
          <w:szCs w:val="20"/>
          <w:lang w:val="en-GB"/>
        </w:rPr>
        <w:t xml:space="preserve">enhanced integration of </w:t>
      </w:r>
      <w:r w:rsidR="00F02E62" w:rsidRPr="009712CD">
        <w:rPr>
          <w:sz w:val="20"/>
          <w:szCs w:val="20"/>
          <w:lang w:val="en-GB"/>
        </w:rPr>
        <w:t xml:space="preserve">issues relating to </w:t>
      </w:r>
      <w:r w:rsidR="00D36134" w:rsidRPr="009712CD">
        <w:rPr>
          <w:sz w:val="20"/>
          <w:szCs w:val="20"/>
          <w:lang w:val="en-GB"/>
        </w:rPr>
        <w:t xml:space="preserve">migratory species in appraisals </w:t>
      </w:r>
      <w:r w:rsidR="00BF7A98" w:rsidRPr="009712CD">
        <w:rPr>
          <w:sz w:val="20"/>
          <w:szCs w:val="20"/>
          <w:lang w:val="en-GB"/>
        </w:rPr>
        <w:t xml:space="preserve">and </w:t>
      </w:r>
      <w:r w:rsidR="00D36134" w:rsidRPr="009712CD">
        <w:rPr>
          <w:sz w:val="20"/>
          <w:szCs w:val="20"/>
          <w:lang w:val="en-GB"/>
        </w:rPr>
        <w:t>policy</w:t>
      </w:r>
      <w:r w:rsidR="00BF7A98" w:rsidRPr="009712CD">
        <w:rPr>
          <w:sz w:val="20"/>
          <w:szCs w:val="20"/>
          <w:lang w:val="en-GB"/>
        </w:rPr>
        <w:t>making</w:t>
      </w:r>
      <w:r w:rsidR="00D36134" w:rsidRPr="009712CD">
        <w:rPr>
          <w:sz w:val="20"/>
          <w:szCs w:val="20"/>
          <w:lang w:val="en-GB"/>
        </w:rPr>
        <w:t xml:space="preserve"> and decision-making processes.</w:t>
      </w:r>
    </w:p>
    <w:p w:rsidR="00D36134" w:rsidRPr="009712CD" w:rsidRDefault="000A7BDF" w:rsidP="000A7BDF">
      <w:pPr>
        <w:pStyle w:val="CH1"/>
        <w:rPr>
          <w:lang w:val="en-GB"/>
        </w:rPr>
      </w:pPr>
      <w:r w:rsidRPr="009712CD">
        <w:rPr>
          <w:lang w:val="en-GB"/>
        </w:rPr>
        <w:tab/>
      </w:r>
      <w:r w:rsidR="000D57BE" w:rsidRPr="009712CD">
        <w:rPr>
          <w:lang w:val="en-GB"/>
        </w:rPr>
        <w:t>I</w:t>
      </w:r>
      <w:r w:rsidR="00AB1405" w:rsidRPr="009712CD">
        <w:rPr>
          <w:lang w:val="en-GB"/>
        </w:rPr>
        <w:t>V</w:t>
      </w:r>
      <w:r w:rsidR="000D57BE" w:rsidRPr="009712CD">
        <w:rPr>
          <w:lang w:val="en-GB"/>
        </w:rPr>
        <w:t>.</w:t>
      </w:r>
      <w:r w:rsidR="00D36134" w:rsidRPr="009712CD">
        <w:rPr>
          <w:lang w:val="en-GB"/>
        </w:rPr>
        <w:tab/>
        <w:t>Process and timetable</w:t>
      </w:r>
    </w:p>
    <w:p w:rsidR="00AB1405" w:rsidRPr="009712CD" w:rsidRDefault="00AB1405" w:rsidP="00FB4629">
      <w:pPr>
        <w:pStyle w:val="Normalnumber"/>
        <w:rPr>
          <w:sz w:val="20"/>
          <w:szCs w:val="20"/>
          <w:lang w:val="en-GB"/>
        </w:rPr>
      </w:pPr>
      <w:r w:rsidRPr="009712CD">
        <w:rPr>
          <w:sz w:val="20"/>
          <w:szCs w:val="20"/>
          <w:lang w:val="en-GB"/>
        </w:rPr>
        <w:t>The process for undertaking the proposed thematic assessment and the timetable for carrying it out are outlined in the following table</w:t>
      </w:r>
      <w:r w:rsidR="00245DB1">
        <w:rPr>
          <w:sz w:val="20"/>
          <w:szCs w:val="20"/>
          <w:lang w:val="en-GB"/>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559"/>
        <w:gridCol w:w="5918"/>
      </w:tblGrid>
      <w:tr w:rsidR="00AB1405" w:rsidRPr="009712CD" w:rsidTr="001C04DE">
        <w:trPr>
          <w:trHeight w:val="584"/>
          <w:tblHeader/>
        </w:trPr>
        <w:tc>
          <w:tcPr>
            <w:tcW w:w="2410" w:type="dxa"/>
            <w:gridSpan w:val="2"/>
            <w:vAlign w:val="center"/>
          </w:tcPr>
          <w:p w:rsidR="00AB1405" w:rsidRPr="009712CD" w:rsidDel="00AB1405" w:rsidRDefault="00245DB1" w:rsidP="00D2124E">
            <w:pPr>
              <w:keepLines/>
              <w:tabs>
                <w:tab w:val="left" w:pos="426"/>
                <w:tab w:val="num" w:pos="1353"/>
              </w:tabs>
              <w:autoSpaceDE w:val="0"/>
              <w:autoSpaceDN w:val="0"/>
              <w:adjustRightInd w:val="0"/>
              <w:spacing w:before="20" w:after="20"/>
              <w:rPr>
                <w:rFonts w:ascii="Times New Roman" w:eastAsia="SimSun" w:hAnsi="Times New Roman"/>
                <w:i/>
                <w:sz w:val="20"/>
                <w:szCs w:val="20"/>
                <w:lang w:eastAsia="zh-CN"/>
              </w:rPr>
            </w:pPr>
            <w:bookmarkStart w:id="1" w:name="OLE_LINK1"/>
            <w:r>
              <w:rPr>
                <w:rFonts w:ascii="Times New Roman" w:eastAsia="SimSun" w:hAnsi="Times New Roman"/>
                <w:i/>
                <w:sz w:val="20"/>
                <w:szCs w:val="20"/>
                <w:lang w:eastAsia="zh-CN"/>
              </w:rPr>
              <w:t>Time frame</w:t>
            </w:r>
          </w:p>
        </w:tc>
        <w:tc>
          <w:tcPr>
            <w:tcW w:w="5918" w:type="dxa"/>
            <w:vAlign w:val="center"/>
          </w:tcPr>
          <w:p w:rsidR="00AB1405" w:rsidRPr="009712CD" w:rsidRDefault="00AB1405" w:rsidP="00D2124E">
            <w:pPr>
              <w:keepLines/>
              <w:tabs>
                <w:tab w:val="left" w:pos="426"/>
                <w:tab w:val="num" w:pos="1353"/>
              </w:tabs>
              <w:autoSpaceDE w:val="0"/>
              <w:autoSpaceDN w:val="0"/>
              <w:adjustRightInd w:val="0"/>
              <w:spacing w:before="20" w:after="20"/>
              <w:rPr>
                <w:rFonts w:ascii="Times New Roman" w:eastAsia="SimSun" w:hAnsi="Times New Roman"/>
                <w:i/>
                <w:sz w:val="20"/>
                <w:szCs w:val="20"/>
                <w:lang w:eastAsia="zh-CN"/>
              </w:rPr>
            </w:pPr>
            <w:r w:rsidRPr="009712CD">
              <w:rPr>
                <w:rFonts w:ascii="Times New Roman" w:eastAsia="SimSun" w:hAnsi="Times New Roman"/>
                <w:i/>
                <w:sz w:val="20"/>
                <w:szCs w:val="20"/>
                <w:lang w:eastAsia="zh-CN"/>
              </w:rPr>
              <w:t>Actions</w:t>
            </w:r>
          </w:p>
        </w:tc>
      </w:tr>
      <w:tr w:rsidR="00D36134" w:rsidRPr="009712CD" w:rsidTr="001C04DE">
        <w:trPr>
          <w:trHeight w:val="584"/>
        </w:trPr>
        <w:tc>
          <w:tcPr>
            <w:tcW w:w="851" w:type="dxa"/>
            <w:vMerge w:val="restart"/>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r w:rsidRPr="009712CD">
              <w:rPr>
                <w:rFonts w:ascii="Times New Roman" w:eastAsia="SimSun" w:hAnsi="Times New Roman"/>
                <w:sz w:val="20"/>
                <w:szCs w:val="20"/>
                <w:lang w:eastAsia="zh-CN"/>
              </w:rPr>
              <w:t>2013</w:t>
            </w:r>
          </w:p>
        </w:tc>
        <w:tc>
          <w:tcPr>
            <w:tcW w:w="1559" w:type="dxa"/>
            <w:vAlign w:val="center"/>
          </w:tcPr>
          <w:p w:rsidR="00D36134" w:rsidRPr="009712CD" w:rsidRDefault="00AB1405"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Fourth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The Plenary review</w:t>
            </w:r>
            <w:r w:rsidR="00AB1405"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and approve</w:t>
            </w:r>
            <w:r w:rsidR="00AB1405"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the initial scoping</w:t>
            </w:r>
            <w:r w:rsidR="00817A84" w:rsidRPr="009712CD">
              <w:rPr>
                <w:rFonts w:ascii="Times New Roman" w:eastAsia="SimSun" w:hAnsi="Times New Roman"/>
                <w:sz w:val="19"/>
                <w:szCs w:val="19"/>
                <w:lang w:eastAsia="zh-CN"/>
              </w:rPr>
              <w:t xml:space="preserve"> exercise</w:t>
            </w:r>
            <w:r w:rsidRPr="009712CD">
              <w:rPr>
                <w:rFonts w:ascii="Times New Roman" w:eastAsia="SimSun" w:hAnsi="Times New Roman"/>
                <w:sz w:val="19"/>
                <w:szCs w:val="19"/>
                <w:lang w:eastAsia="zh-CN"/>
              </w:rPr>
              <w:t xml:space="preserve"> prepared by the M</w:t>
            </w:r>
            <w:r w:rsidR="00AB1405" w:rsidRPr="009712CD">
              <w:rPr>
                <w:rFonts w:ascii="Times New Roman" w:eastAsia="SimSun" w:hAnsi="Times New Roman"/>
                <w:sz w:val="19"/>
                <w:szCs w:val="19"/>
                <w:lang w:eastAsia="zh-CN"/>
              </w:rPr>
              <w:t>ultidisciplinary Expert Panel</w:t>
            </w:r>
            <w:r w:rsidRPr="009712CD">
              <w:rPr>
                <w:rFonts w:ascii="Times New Roman" w:eastAsia="SimSun" w:hAnsi="Times New Roman"/>
                <w:sz w:val="19"/>
                <w:szCs w:val="19"/>
                <w:lang w:eastAsia="zh-CN"/>
              </w:rPr>
              <w:t xml:space="preserve"> and request</w:t>
            </w:r>
            <w:r w:rsidR="00AB1405"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the P</w:t>
            </w:r>
            <w:r w:rsidR="00AB1405" w:rsidRPr="009712CD">
              <w:rPr>
                <w:rFonts w:ascii="Times New Roman" w:eastAsia="SimSun" w:hAnsi="Times New Roman"/>
                <w:sz w:val="19"/>
                <w:szCs w:val="19"/>
                <w:lang w:eastAsia="zh-CN"/>
              </w:rPr>
              <w:t>anel</w:t>
            </w:r>
            <w:r w:rsidRPr="009712CD">
              <w:rPr>
                <w:rFonts w:ascii="Times New Roman" w:eastAsia="SimSun" w:hAnsi="Times New Roman"/>
                <w:sz w:val="19"/>
                <w:szCs w:val="19"/>
                <w:lang w:eastAsia="zh-CN"/>
              </w:rPr>
              <w:t xml:space="preserve"> and</w:t>
            </w:r>
            <w:r w:rsidR="00AB1405" w:rsidRPr="009712CD">
              <w:rPr>
                <w:rFonts w:ascii="Times New Roman" w:eastAsia="SimSun" w:hAnsi="Times New Roman"/>
                <w:sz w:val="19"/>
                <w:szCs w:val="19"/>
                <w:lang w:eastAsia="zh-CN"/>
              </w:rPr>
              <w:t xml:space="preserve"> the</w:t>
            </w:r>
            <w:r w:rsidRPr="009712CD">
              <w:rPr>
                <w:rFonts w:ascii="Times New Roman" w:eastAsia="SimSun" w:hAnsi="Times New Roman"/>
                <w:sz w:val="19"/>
                <w:szCs w:val="19"/>
                <w:lang w:eastAsia="zh-CN"/>
              </w:rPr>
              <w:t xml:space="preserve"> Bureau, within an agreed cost envelope, to proceed with a full assessment after the detailed scoping study (</w:t>
            </w:r>
            <w:r w:rsidR="00AB1405" w:rsidRPr="009712CD">
              <w:rPr>
                <w:rFonts w:ascii="Times New Roman" w:eastAsia="SimSun" w:hAnsi="Times New Roman"/>
                <w:sz w:val="19"/>
                <w:szCs w:val="19"/>
                <w:lang w:eastAsia="zh-CN"/>
              </w:rPr>
              <w:t xml:space="preserve">14 </w:t>
            </w:r>
            <w:r w:rsidRPr="009712CD">
              <w:rPr>
                <w:rFonts w:ascii="Times New Roman" w:eastAsia="SimSun" w:hAnsi="Times New Roman"/>
                <w:sz w:val="19"/>
                <w:szCs w:val="19"/>
                <w:lang w:eastAsia="zh-CN"/>
              </w:rPr>
              <w:t>December 2013)</w:t>
            </w:r>
          </w:p>
        </w:tc>
      </w:tr>
      <w:tr w:rsidR="00D36134" w:rsidRPr="009712CD" w:rsidTr="001C04DE">
        <w:trPr>
          <w:trHeight w:val="58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AB1405"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Fourth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AB1405" w:rsidRPr="009712CD">
              <w:rPr>
                <w:rFonts w:ascii="Times New Roman" w:eastAsia="SimSun" w:hAnsi="Times New Roman"/>
                <w:sz w:val="19"/>
                <w:szCs w:val="19"/>
                <w:lang w:eastAsia="zh-CN"/>
              </w:rPr>
              <w:t>Panel,</w:t>
            </w:r>
            <w:r w:rsidRPr="009712CD">
              <w:rPr>
                <w:rFonts w:ascii="Times New Roman" w:eastAsia="SimSun" w:hAnsi="Times New Roman"/>
                <w:sz w:val="19"/>
                <w:szCs w:val="19"/>
                <w:lang w:eastAsia="zh-CN"/>
              </w:rPr>
              <w:t xml:space="preserve"> through the </w:t>
            </w:r>
            <w:r w:rsidR="00AB1405"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ecretariat</w:t>
            </w:r>
            <w:r w:rsidR="00AB1405"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 xml:space="preserve"> request</w:t>
            </w:r>
            <w:r w:rsidR="00193420"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nominations from Governments and other stakeholders </w:t>
            </w:r>
            <w:r w:rsidR="00B03435" w:rsidRPr="009712CD">
              <w:rPr>
                <w:rFonts w:ascii="Times New Roman" w:eastAsia="SimSun" w:hAnsi="Times New Roman"/>
                <w:sz w:val="19"/>
                <w:szCs w:val="19"/>
                <w:lang w:eastAsia="zh-CN"/>
              </w:rPr>
              <w:t>for</w:t>
            </w:r>
            <w:r w:rsidR="00BE7C8F" w:rsidRPr="009712CD">
              <w:rPr>
                <w:rFonts w:ascii="Times New Roman" w:eastAsia="SimSun" w:hAnsi="Times New Roman"/>
                <w:sz w:val="19"/>
                <w:szCs w:val="19"/>
                <w:lang w:eastAsia="zh-CN"/>
              </w:rPr>
              <w:t xml:space="preserve"> </w:t>
            </w:r>
            <w:r w:rsidRPr="009712CD">
              <w:rPr>
                <w:rFonts w:ascii="Times New Roman" w:eastAsia="SimSun" w:hAnsi="Times New Roman"/>
                <w:sz w:val="19"/>
                <w:szCs w:val="19"/>
                <w:lang w:eastAsia="zh-CN"/>
              </w:rPr>
              <w:t>experts to assist with the scoping</w:t>
            </w:r>
            <w:r w:rsidR="00AB1405" w:rsidRPr="009712CD">
              <w:rPr>
                <w:rFonts w:ascii="Times New Roman" w:eastAsia="SimSun" w:hAnsi="Times New Roman"/>
                <w:sz w:val="19"/>
                <w:szCs w:val="19"/>
                <w:lang w:eastAsia="zh-CN"/>
              </w:rPr>
              <w:t xml:space="preserve"> process</w:t>
            </w:r>
            <w:r w:rsidRPr="009712CD">
              <w:rPr>
                <w:rFonts w:ascii="Times New Roman" w:eastAsia="SimSun" w:hAnsi="Times New Roman"/>
                <w:sz w:val="19"/>
                <w:szCs w:val="19"/>
                <w:lang w:eastAsia="zh-CN"/>
              </w:rPr>
              <w:t xml:space="preserve"> (</w:t>
            </w:r>
            <w:r w:rsidR="00AB1405" w:rsidRPr="009712CD">
              <w:rPr>
                <w:rFonts w:ascii="Times New Roman" w:eastAsia="SimSun" w:hAnsi="Times New Roman"/>
                <w:sz w:val="19"/>
                <w:szCs w:val="19"/>
                <w:lang w:eastAsia="zh-CN"/>
              </w:rPr>
              <w:t xml:space="preserve">16 </w:t>
            </w:r>
            <w:r w:rsidRPr="009712CD">
              <w:rPr>
                <w:rFonts w:ascii="Times New Roman" w:eastAsia="SimSun" w:hAnsi="Times New Roman"/>
                <w:sz w:val="19"/>
                <w:szCs w:val="19"/>
                <w:lang w:eastAsia="zh-CN"/>
              </w:rPr>
              <w:t xml:space="preserve">December </w:t>
            </w:r>
            <w:r w:rsidR="00AC31BB" w:rsidRPr="009712CD">
              <w:rPr>
                <w:rFonts w:ascii="Times New Roman" w:eastAsia="SimSun" w:hAnsi="Times New Roman"/>
                <w:sz w:val="19"/>
                <w:szCs w:val="19"/>
                <w:lang w:eastAsia="zh-CN"/>
              </w:rPr>
              <w:t>2013‒</w:t>
            </w:r>
            <w:r w:rsidR="00AB1405" w:rsidRPr="009712CD">
              <w:rPr>
                <w:rFonts w:ascii="Times New Roman" w:eastAsia="SimSun" w:hAnsi="Times New Roman"/>
                <w:sz w:val="19"/>
                <w:szCs w:val="19"/>
                <w:lang w:eastAsia="zh-CN"/>
              </w:rPr>
              <w:t>31</w:t>
            </w:r>
            <w:r w:rsidR="007823BE" w:rsidRPr="009712CD">
              <w:rPr>
                <w:rFonts w:ascii="Times New Roman" w:eastAsia="SimSun" w:hAnsi="Times New Roman"/>
                <w:sz w:val="19"/>
                <w:szCs w:val="19"/>
                <w:lang w:eastAsia="zh-CN"/>
              </w:rPr>
              <w:t> </w:t>
            </w:r>
            <w:r w:rsidRPr="009712CD">
              <w:rPr>
                <w:rFonts w:ascii="Times New Roman" w:eastAsia="SimSun" w:hAnsi="Times New Roman"/>
                <w:sz w:val="19"/>
                <w:szCs w:val="19"/>
                <w:lang w:eastAsia="zh-CN"/>
              </w:rPr>
              <w:t>January 2014)</w:t>
            </w:r>
          </w:p>
        </w:tc>
      </w:tr>
      <w:tr w:rsidR="00D36134" w:rsidRPr="009712CD" w:rsidTr="001C04DE">
        <w:trPr>
          <w:trHeight w:val="584"/>
        </w:trPr>
        <w:tc>
          <w:tcPr>
            <w:tcW w:w="851" w:type="dxa"/>
            <w:vMerge w:val="restart"/>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r w:rsidRPr="009712CD">
              <w:rPr>
                <w:rFonts w:ascii="Times New Roman" w:eastAsia="SimSun" w:hAnsi="Times New Roman"/>
                <w:sz w:val="20"/>
                <w:szCs w:val="20"/>
                <w:lang w:eastAsia="zh-CN"/>
              </w:rPr>
              <w:t>2014</w:t>
            </w:r>
          </w:p>
        </w:tc>
        <w:tc>
          <w:tcPr>
            <w:tcW w:w="1559" w:type="dxa"/>
            <w:vAlign w:val="center"/>
          </w:tcPr>
          <w:p w:rsidR="00D36134" w:rsidRPr="009712CD" w:rsidRDefault="00AB1405"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First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The P</w:t>
            </w:r>
            <w:r w:rsidR="00AB1405" w:rsidRPr="009712CD">
              <w:rPr>
                <w:rFonts w:ascii="Times New Roman" w:eastAsia="SimSun" w:hAnsi="Times New Roman"/>
                <w:sz w:val="19"/>
                <w:szCs w:val="19"/>
                <w:lang w:eastAsia="zh-CN"/>
              </w:rPr>
              <w:t>anel</w:t>
            </w:r>
            <w:r w:rsidRPr="009712CD">
              <w:rPr>
                <w:rFonts w:ascii="Times New Roman" w:eastAsia="SimSun" w:hAnsi="Times New Roman"/>
                <w:sz w:val="19"/>
                <w:szCs w:val="19"/>
                <w:lang w:eastAsia="zh-CN"/>
              </w:rPr>
              <w:t>, via e-mail and teleconferences, select</w:t>
            </w:r>
            <w:r w:rsidR="00AB1405"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experts for the scoping study using the approved selection criteria </w:t>
            </w:r>
            <w:r w:rsidR="00967753" w:rsidRPr="009712CD">
              <w:rPr>
                <w:rFonts w:ascii="Times New Roman" w:eastAsia="SimSun" w:hAnsi="Times New Roman"/>
                <w:sz w:val="19"/>
                <w:szCs w:val="19"/>
                <w:lang w:eastAsia="zh-CN"/>
              </w:rPr>
              <w:t>(see I</w:t>
            </w:r>
            <w:r w:rsidR="00667509" w:rsidRPr="009712CD">
              <w:rPr>
                <w:rFonts w:ascii="Times New Roman" w:eastAsia="SimSun" w:hAnsi="Times New Roman"/>
                <w:sz w:val="19"/>
                <w:szCs w:val="19"/>
                <w:lang w:eastAsia="zh-CN"/>
              </w:rPr>
              <w:t>PBES/2/9</w:t>
            </w:r>
            <w:r w:rsidR="00967753" w:rsidRPr="009712CD">
              <w:rPr>
                <w:rFonts w:ascii="Times New Roman" w:eastAsia="SimSun" w:hAnsi="Times New Roman"/>
                <w:sz w:val="19"/>
                <w:szCs w:val="19"/>
                <w:lang w:eastAsia="zh-CN"/>
              </w:rPr>
              <w:t>)</w:t>
            </w:r>
            <w:r w:rsidR="00667509" w:rsidRPr="009712CD">
              <w:rPr>
                <w:rFonts w:ascii="Times New Roman" w:eastAsia="SimSun" w:hAnsi="Times New Roman"/>
                <w:sz w:val="19"/>
                <w:szCs w:val="19"/>
                <w:lang w:eastAsia="zh-CN"/>
              </w:rPr>
              <w:t xml:space="preserve"> </w:t>
            </w:r>
            <w:r w:rsidRPr="009712CD">
              <w:rPr>
                <w:rFonts w:ascii="Times New Roman" w:eastAsia="SimSun" w:hAnsi="Times New Roman"/>
                <w:sz w:val="19"/>
                <w:szCs w:val="19"/>
                <w:lang w:eastAsia="zh-CN"/>
              </w:rPr>
              <w:t>(1</w:t>
            </w:r>
            <w:r w:rsidR="00AB1405"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14 February 2014)</w:t>
            </w:r>
          </w:p>
        </w:tc>
      </w:tr>
      <w:tr w:rsidR="00D36134" w:rsidRPr="009712CD" w:rsidTr="001C04DE">
        <w:trPr>
          <w:trHeight w:val="58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AB1405"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Second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AB1405" w:rsidRPr="009712CD">
              <w:rPr>
                <w:rFonts w:ascii="Times New Roman" w:eastAsia="SimSun" w:hAnsi="Times New Roman"/>
                <w:sz w:val="19"/>
                <w:szCs w:val="19"/>
                <w:lang w:eastAsia="zh-CN"/>
              </w:rPr>
              <w:t>Panel</w:t>
            </w:r>
            <w:r w:rsidRPr="009712CD">
              <w:rPr>
                <w:rFonts w:ascii="Times New Roman" w:eastAsia="SimSun" w:hAnsi="Times New Roman"/>
                <w:sz w:val="19"/>
                <w:szCs w:val="19"/>
                <w:lang w:eastAsia="zh-CN"/>
              </w:rPr>
              <w:t xml:space="preserve"> and </w:t>
            </w:r>
            <w:r w:rsidR="00AB1405" w:rsidRPr="009712CD">
              <w:rPr>
                <w:rFonts w:ascii="Times New Roman" w:eastAsia="SimSun" w:hAnsi="Times New Roman"/>
                <w:sz w:val="19"/>
                <w:szCs w:val="19"/>
                <w:lang w:eastAsia="zh-CN"/>
              </w:rPr>
              <w:t xml:space="preserve">the </w:t>
            </w:r>
            <w:r w:rsidRPr="009712CD">
              <w:rPr>
                <w:rFonts w:ascii="Times New Roman" w:eastAsia="SimSun" w:hAnsi="Times New Roman"/>
                <w:sz w:val="19"/>
                <w:szCs w:val="19"/>
                <w:lang w:eastAsia="zh-CN"/>
              </w:rPr>
              <w:t>Bureau oversee the detailed scoping</w:t>
            </w:r>
            <w:r w:rsidR="00AB1405" w:rsidRPr="009712CD">
              <w:rPr>
                <w:rFonts w:ascii="Times New Roman" w:eastAsia="SimSun" w:hAnsi="Times New Roman"/>
                <w:sz w:val="19"/>
                <w:szCs w:val="19"/>
                <w:lang w:eastAsia="zh-CN"/>
              </w:rPr>
              <w:t xml:space="preserve"> exercise</w:t>
            </w:r>
            <w:r w:rsidRPr="009712CD">
              <w:rPr>
                <w:rFonts w:ascii="Times New Roman" w:eastAsia="SimSun" w:hAnsi="Times New Roman"/>
                <w:sz w:val="19"/>
                <w:szCs w:val="19"/>
                <w:lang w:eastAsia="zh-CN"/>
              </w:rPr>
              <w:t xml:space="preserve">, including outline, costs and feasibility (3 months). A scoping meeting </w:t>
            </w:r>
            <w:r w:rsidR="00AB1405" w:rsidRPr="009712CD">
              <w:rPr>
                <w:rFonts w:ascii="Times New Roman" w:eastAsia="SimSun" w:hAnsi="Times New Roman"/>
                <w:sz w:val="19"/>
                <w:szCs w:val="19"/>
                <w:lang w:eastAsia="zh-CN"/>
              </w:rPr>
              <w:t>is</w:t>
            </w:r>
            <w:r w:rsidRPr="009712CD">
              <w:rPr>
                <w:rFonts w:ascii="Times New Roman" w:eastAsia="SimSun" w:hAnsi="Times New Roman"/>
                <w:sz w:val="19"/>
                <w:szCs w:val="19"/>
                <w:lang w:eastAsia="zh-CN"/>
              </w:rPr>
              <w:t xml:space="preserve"> held </w:t>
            </w:r>
            <w:r w:rsidR="00AB1405" w:rsidRPr="009712CD">
              <w:rPr>
                <w:rFonts w:ascii="Times New Roman" w:eastAsia="SimSun" w:hAnsi="Times New Roman"/>
                <w:sz w:val="19"/>
                <w:szCs w:val="19"/>
                <w:lang w:eastAsia="zh-CN"/>
              </w:rPr>
              <w:t xml:space="preserve">at the </w:t>
            </w:r>
            <w:r w:rsidRPr="009712CD">
              <w:rPr>
                <w:rFonts w:ascii="Times New Roman" w:eastAsia="SimSun" w:hAnsi="Times New Roman"/>
                <w:sz w:val="19"/>
                <w:szCs w:val="19"/>
                <w:lang w:eastAsia="zh-CN"/>
              </w:rPr>
              <w:t>beginning of April 2014</w:t>
            </w:r>
          </w:p>
        </w:tc>
      </w:tr>
      <w:tr w:rsidR="00D36134" w:rsidRPr="009712CD" w:rsidTr="001C04DE">
        <w:trPr>
          <w:trHeight w:val="58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7823BE"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Second </w:t>
            </w:r>
            <w:r w:rsidR="00BE7C8F" w:rsidRPr="009712CD">
              <w:rPr>
                <w:rFonts w:ascii="Times New Roman" w:eastAsia="SimSun" w:hAnsi="Times New Roman"/>
                <w:sz w:val="19"/>
                <w:szCs w:val="19"/>
                <w:lang w:eastAsia="zh-CN"/>
              </w:rPr>
              <w:t>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detailed scoping report </w:t>
            </w:r>
            <w:r w:rsidR="00BE7C8F" w:rsidRPr="009712CD">
              <w:rPr>
                <w:rFonts w:ascii="Times New Roman" w:eastAsia="SimSun" w:hAnsi="Times New Roman"/>
                <w:sz w:val="19"/>
                <w:szCs w:val="19"/>
                <w:lang w:eastAsia="zh-CN"/>
              </w:rPr>
              <w:t>is</w:t>
            </w:r>
            <w:r w:rsidRPr="009712CD">
              <w:rPr>
                <w:rFonts w:ascii="Times New Roman" w:eastAsia="SimSun" w:hAnsi="Times New Roman"/>
                <w:sz w:val="19"/>
                <w:szCs w:val="19"/>
                <w:lang w:eastAsia="zh-CN"/>
              </w:rPr>
              <w:t xml:space="preserve"> sent to </w:t>
            </w:r>
            <w:r w:rsidR="00BE7C8F" w:rsidRPr="009712CD">
              <w:rPr>
                <w:rFonts w:ascii="Times New Roman" w:eastAsia="SimSun" w:hAnsi="Times New Roman"/>
                <w:sz w:val="19"/>
                <w:szCs w:val="19"/>
                <w:lang w:eastAsia="zh-CN"/>
              </w:rPr>
              <w:t>m</w:t>
            </w:r>
            <w:r w:rsidRPr="009712CD">
              <w:rPr>
                <w:rFonts w:ascii="Times New Roman" w:eastAsia="SimSun" w:hAnsi="Times New Roman"/>
                <w:sz w:val="19"/>
                <w:szCs w:val="19"/>
                <w:lang w:eastAsia="zh-CN"/>
              </w:rPr>
              <w:t xml:space="preserve">embers of the Platform and other stakeholders for review and comment for two weeks in the </w:t>
            </w:r>
            <w:r w:rsidR="00BE7C8F" w:rsidRPr="009712CD">
              <w:rPr>
                <w:rFonts w:ascii="Times New Roman" w:eastAsia="SimSun" w:hAnsi="Times New Roman"/>
                <w:sz w:val="19"/>
                <w:szCs w:val="19"/>
                <w:lang w:eastAsia="zh-CN"/>
              </w:rPr>
              <w:t>second</w:t>
            </w:r>
            <w:r w:rsidRPr="009712CD">
              <w:rPr>
                <w:rFonts w:ascii="Times New Roman" w:eastAsia="SimSun" w:hAnsi="Times New Roman"/>
                <w:sz w:val="19"/>
                <w:szCs w:val="19"/>
                <w:lang w:eastAsia="zh-CN"/>
              </w:rPr>
              <w:t xml:space="preserve"> half of April 2014</w:t>
            </w:r>
          </w:p>
        </w:tc>
      </w:tr>
      <w:tr w:rsidR="00D36134" w:rsidRPr="009712CD" w:rsidTr="001C04DE">
        <w:trPr>
          <w:trHeight w:val="27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7823BE"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Second </w:t>
            </w:r>
            <w:r w:rsidR="00BE7C8F" w:rsidRPr="009712CD">
              <w:rPr>
                <w:rFonts w:ascii="Times New Roman" w:eastAsia="SimSun" w:hAnsi="Times New Roman"/>
                <w:sz w:val="19"/>
                <w:szCs w:val="19"/>
                <w:lang w:eastAsia="zh-CN"/>
              </w:rPr>
              <w:t>quarter</w:t>
            </w:r>
          </w:p>
        </w:tc>
        <w:tc>
          <w:tcPr>
            <w:tcW w:w="5918"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On the basis of </w:t>
            </w:r>
            <w:r w:rsidR="00D36134" w:rsidRPr="009712CD">
              <w:rPr>
                <w:rFonts w:ascii="Times New Roman" w:eastAsia="SimSun" w:hAnsi="Times New Roman"/>
                <w:sz w:val="19"/>
                <w:szCs w:val="19"/>
                <w:lang w:eastAsia="zh-CN"/>
              </w:rPr>
              <w:t xml:space="preserve">the results of the detailed scoping exercise and comments received from </w:t>
            </w:r>
            <w:r w:rsidRPr="009712CD">
              <w:rPr>
                <w:rFonts w:ascii="Times New Roman" w:eastAsia="SimSun" w:hAnsi="Times New Roman"/>
                <w:sz w:val="19"/>
                <w:szCs w:val="19"/>
                <w:lang w:eastAsia="zh-CN"/>
              </w:rPr>
              <w:t>m</w:t>
            </w:r>
            <w:r w:rsidR="00D36134" w:rsidRPr="009712CD">
              <w:rPr>
                <w:rFonts w:ascii="Times New Roman" w:eastAsia="SimSun" w:hAnsi="Times New Roman"/>
                <w:sz w:val="19"/>
                <w:szCs w:val="19"/>
                <w:lang w:eastAsia="zh-CN"/>
              </w:rPr>
              <w:t xml:space="preserve">embers of the Platform and other stakeholders, the </w:t>
            </w:r>
            <w:r w:rsidRPr="009712CD">
              <w:rPr>
                <w:rFonts w:ascii="Times New Roman" w:eastAsia="SimSun" w:hAnsi="Times New Roman"/>
                <w:sz w:val="19"/>
                <w:szCs w:val="19"/>
                <w:lang w:eastAsia="zh-CN"/>
              </w:rPr>
              <w:t xml:space="preserve">Panel </w:t>
            </w:r>
            <w:r w:rsidR="00D36134" w:rsidRPr="009712CD">
              <w:rPr>
                <w:rFonts w:ascii="Times New Roman" w:eastAsia="SimSun" w:hAnsi="Times New Roman"/>
                <w:sz w:val="19"/>
                <w:szCs w:val="19"/>
                <w:lang w:eastAsia="zh-CN"/>
              </w:rPr>
              <w:t>and</w:t>
            </w:r>
            <w:r w:rsidRPr="009712CD">
              <w:rPr>
                <w:rFonts w:ascii="Times New Roman" w:eastAsia="SimSun" w:hAnsi="Times New Roman"/>
                <w:sz w:val="19"/>
                <w:szCs w:val="19"/>
                <w:lang w:eastAsia="zh-CN"/>
              </w:rPr>
              <w:t xml:space="preserve"> the</w:t>
            </w:r>
            <w:r w:rsidR="00D36134" w:rsidRPr="009712CD">
              <w:rPr>
                <w:rFonts w:ascii="Times New Roman" w:eastAsia="SimSun" w:hAnsi="Times New Roman"/>
                <w:sz w:val="19"/>
                <w:szCs w:val="19"/>
                <w:lang w:eastAsia="zh-CN"/>
              </w:rPr>
              <w:t xml:space="preserve"> Bureau decide whether to proceed with the assessment, assuming </w:t>
            </w:r>
            <w:r w:rsidRPr="009712CD">
              <w:rPr>
                <w:rFonts w:ascii="Times New Roman" w:eastAsia="SimSun" w:hAnsi="Times New Roman"/>
                <w:sz w:val="19"/>
                <w:szCs w:val="19"/>
                <w:lang w:eastAsia="zh-CN"/>
              </w:rPr>
              <w:t xml:space="preserve">that </w:t>
            </w:r>
            <w:r w:rsidR="00D36134" w:rsidRPr="009712CD">
              <w:rPr>
                <w:rFonts w:ascii="Times New Roman" w:eastAsia="SimSun" w:hAnsi="Times New Roman"/>
                <w:sz w:val="19"/>
                <w:szCs w:val="19"/>
                <w:lang w:eastAsia="zh-CN"/>
              </w:rPr>
              <w:t xml:space="preserve">it </w:t>
            </w:r>
            <w:r w:rsidRPr="009712CD">
              <w:rPr>
                <w:rFonts w:ascii="Times New Roman" w:eastAsia="SimSun" w:hAnsi="Times New Roman"/>
                <w:sz w:val="19"/>
                <w:szCs w:val="19"/>
                <w:lang w:eastAsia="zh-CN"/>
              </w:rPr>
              <w:t xml:space="preserve">can </w:t>
            </w:r>
            <w:r w:rsidR="00D36134" w:rsidRPr="009712CD">
              <w:rPr>
                <w:rFonts w:ascii="Times New Roman" w:eastAsia="SimSun" w:hAnsi="Times New Roman"/>
                <w:sz w:val="19"/>
                <w:szCs w:val="19"/>
                <w:lang w:eastAsia="zh-CN"/>
              </w:rPr>
              <w:t>be conducted within the budget envelope approved by the Plenary</w:t>
            </w:r>
            <w:r w:rsidRPr="009712CD">
              <w:rPr>
                <w:rFonts w:ascii="Times New Roman" w:eastAsia="SimSun" w:hAnsi="Times New Roman"/>
                <w:sz w:val="19"/>
                <w:szCs w:val="19"/>
                <w:lang w:eastAsia="zh-CN"/>
              </w:rPr>
              <w:t>,</w:t>
            </w:r>
            <w:r w:rsidR="00D36134" w:rsidRPr="009712CD">
              <w:rPr>
                <w:rFonts w:ascii="Times New Roman" w:eastAsia="SimSun" w:hAnsi="Times New Roman"/>
                <w:sz w:val="19"/>
                <w:szCs w:val="19"/>
                <w:lang w:eastAsia="zh-CN"/>
              </w:rPr>
              <w:t xml:space="preserve"> in the</w:t>
            </w:r>
            <w:r w:rsidRPr="009712CD">
              <w:rPr>
                <w:rFonts w:ascii="Times New Roman" w:eastAsia="SimSun" w:hAnsi="Times New Roman"/>
                <w:sz w:val="19"/>
                <w:szCs w:val="19"/>
                <w:lang w:eastAsia="zh-CN"/>
              </w:rPr>
              <w:t xml:space="preserve"> first</w:t>
            </w:r>
            <w:r w:rsidR="00D36134" w:rsidRPr="009712CD">
              <w:rPr>
                <w:rFonts w:ascii="Times New Roman" w:eastAsia="SimSun" w:hAnsi="Times New Roman"/>
                <w:sz w:val="19"/>
                <w:szCs w:val="19"/>
                <w:lang w:eastAsia="zh-CN"/>
              </w:rPr>
              <w:t xml:space="preserve"> half of May 2014</w:t>
            </w:r>
          </w:p>
        </w:tc>
      </w:tr>
      <w:tr w:rsidR="00D36134" w:rsidRPr="009712CD" w:rsidTr="001C04DE">
        <w:trPr>
          <w:trHeight w:val="866"/>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Second quarter</w:t>
            </w:r>
          </w:p>
        </w:tc>
        <w:tc>
          <w:tcPr>
            <w:tcW w:w="5918" w:type="dxa"/>
            <w:vAlign w:val="center"/>
          </w:tcPr>
          <w:p w:rsidR="00D2124E"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BE7C8F" w:rsidRPr="009712CD">
              <w:rPr>
                <w:rFonts w:ascii="Times New Roman" w:eastAsia="SimSun" w:hAnsi="Times New Roman"/>
                <w:sz w:val="19"/>
                <w:szCs w:val="19"/>
                <w:lang w:eastAsia="zh-CN"/>
              </w:rPr>
              <w:t>Panel,</w:t>
            </w:r>
            <w:r w:rsidRPr="009712CD">
              <w:rPr>
                <w:rFonts w:ascii="Times New Roman" w:eastAsia="SimSun" w:hAnsi="Times New Roman"/>
                <w:sz w:val="19"/>
                <w:szCs w:val="19"/>
                <w:lang w:eastAsia="zh-CN"/>
              </w:rPr>
              <w:t xml:space="preserve"> through the </w:t>
            </w:r>
            <w:r w:rsidR="007823BE" w:rsidRPr="009712CD">
              <w:rPr>
                <w:rFonts w:ascii="Times New Roman" w:eastAsia="SimSun" w:hAnsi="Times New Roman"/>
                <w:sz w:val="19"/>
                <w:szCs w:val="19"/>
                <w:lang w:eastAsia="zh-CN"/>
              </w:rPr>
              <w:t>secretariat</w:t>
            </w:r>
            <w:r w:rsidR="00BE7C8F"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 xml:space="preserve"> request</w:t>
            </w:r>
            <w:r w:rsidR="00BE7C8F"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 nominations from Governments and other stakeholders </w:t>
            </w:r>
            <w:r w:rsidR="00B03435" w:rsidRPr="009712CD">
              <w:rPr>
                <w:rFonts w:ascii="Times New Roman" w:eastAsia="SimSun" w:hAnsi="Times New Roman"/>
                <w:sz w:val="19"/>
                <w:szCs w:val="19"/>
                <w:lang w:eastAsia="zh-CN"/>
              </w:rPr>
              <w:t>for</w:t>
            </w:r>
            <w:r w:rsidRPr="009712CD">
              <w:rPr>
                <w:rFonts w:ascii="Times New Roman" w:eastAsia="SimSun" w:hAnsi="Times New Roman"/>
                <w:sz w:val="19"/>
                <w:szCs w:val="19"/>
                <w:lang w:eastAsia="zh-CN"/>
              </w:rPr>
              <w:t xml:space="preserve"> experts to prepare the </w:t>
            </w:r>
            <w:r w:rsidR="00BE7C8F" w:rsidRPr="009712CD">
              <w:rPr>
                <w:rFonts w:ascii="Times New Roman" w:eastAsia="SimSun" w:hAnsi="Times New Roman"/>
                <w:sz w:val="19"/>
                <w:szCs w:val="19"/>
                <w:lang w:eastAsia="zh-CN"/>
              </w:rPr>
              <w:t>r</w:t>
            </w:r>
            <w:r w:rsidRPr="009712CD">
              <w:rPr>
                <w:rFonts w:ascii="Times New Roman" w:eastAsia="SimSun" w:hAnsi="Times New Roman"/>
                <w:sz w:val="19"/>
                <w:szCs w:val="19"/>
                <w:lang w:eastAsia="zh-CN"/>
              </w:rPr>
              <w:t>eport</w:t>
            </w:r>
            <w:r w:rsidR="00BE7C8F" w:rsidRPr="009712CD">
              <w:rPr>
                <w:rFonts w:ascii="Times New Roman" w:eastAsia="SimSun" w:hAnsi="Times New Roman"/>
                <w:sz w:val="19"/>
                <w:szCs w:val="19"/>
                <w:lang w:eastAsia="zh-CN"/>
              </w:rPr>
              <w:t>. Nominations are</w:t>
            </w:r>
            <w:r w:rsidRPr="009712CD">
              <w:rPr>
                <w:rFonts w:ascii="Times New Roman" w:eastAsia="SimSun" w:hAnsi="Times New Roman"/>
                <w:sz w:val="19"/>
                <w:szCs w:val="19"/>
                <w:lang w:eastAsia="zh-CN"/>
              </w:rPr>
              <w:t xml:space="preserve"> to be submitted by the end of June 2014 (1.5 months)</w:t>
            </w:r>
          </w:p>
        </w:tc>
      </w:tr>
      <w:tr w:rsidR="00D36134" w:rsidRPr="009712CD" w:rsidTr="001C04DE">
        <w:trPr>
          <w:trHeight w:val="58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Third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BE7C8F" w:rsidRPr="009712CD">
              <w:rPr>
                <w:rFonts w:ascii="Times New Roman" w:eastAsia="SimSun" w:hAnsi="Times New Roman"/>
                <w:sz w:val="19"/>
                <w:szCs w:val="19"/>
                <w:lang w:eastAsia="zh-CN"/>
              </w:rPr>
              <w:t>Panel</w:t>
            </w:r>
            <w:r w:rsidRPr="009712CD">
              <w:rPr>
                <w:rFonts w:ascii="Times New Roman" w:eastAsia="SimSun" w:hAnsi="Times New Roman"/>
                <w:sz w:val="19"/>
                <w:szCs w:val="19"/>
                <w:lang w:eastAsia="zh-CN"/>
              </w:rPr>
              <w:t xml:space="preserve"> selects the </w:t>
            </w:r>
            <w:r w:rsidR="00BE7C8F" w:rsidRPr="009712CD">
              <w:rPr>
                <w:rFonts w:ascii="Times New Roman" w:eastAsia="SimSun" w:hAnsi="Times New Roman"/>
                <w:sz w:val="19"/>
                <w:szCs w:val="19"/>
                <w:lang w:eastAsia="zh-CN"/>
              </w:rPr>
              <w:t>r</w:t>
            </w:r>
            <w:r w:rsidRPr="009712CD">
              <w:rPr>
                <w:rFonts w:ascii="Times New Roman" w:eastAsia="SimSun" w:hAnsi="Times New Roman"/>
                <w:sz w:val="19"/>
                <w:szCs w:val="19"/>
                <w:lang w:eastAsia="zh-CN"/>
              </w:rPr>
              <w:t>eport co-chairs,</w:t>
            </w:r>
            <w:r w:rsidR="00BE7C8F" w:rsidRPr="009712CD">
              <w:rPr>
                <w:rFonts w:ascii="Times New Roman" w:eastAsia="SimSun" w:hAnsi="Times New Roman"/>
                <w:sz w:val="19"/>
                <w:szCs w:val="19"/>
                <w:lang w:eastAsia="zh-CN"/>
              </w:rPr>
              <w:t xml:space="preserve"> coordinating lead authors</w:t>
            </w:r>
            <w:r w:rsidRPr="009712CD">
              <w:rPr>
                <w:rFonts w:ascii="Times New Roman" w:eastAsia="SimSun" w:hAnsi="Times New Roman"/>
                <w:sz w:val="19"/>
                <w:szCs w:val="19"/>
                <w:lang w:eastAsia="zh-CN"/>
              </w:rPr>
              <w:t>,</w:t>
            </w:r>
            <w:r w:rsidR="00BE7C8F" w:rsidRPr="009712CD">
              <w:rPr>
                <w:rFonts w:ascii="Times New Roman" w:eastAsia="SimSun" w:hAnsi="Times New Roman"/>
                <w:sz w:val="19"/>
                <w:szCs w:val="19"/>
                <w:lang w:eastAsia="zh-CN"/>
              </w:rPr>
              <w:t xml:space="preserve"> lead authors</w:t>
            </w:r>
            <w:r w:rsidRPr="009712CD">
              <w:rPr>
                <w:rFonts w:ascii="Times New Roman" w:eastAsia="SimSun" w:hAnsi="Times New Roman"/>
                <w:sz w:val="19"/>
                <w:szCs w:val="19"/>
                <w:lang w:eastAsia="zh-CN"/>
              </w:rPr>
              <w:t xml:space="preserve"> and </w:t>
            </w:r>
            <w:r w:rsidR="00BE7C8F" w:rsidRPr="009712CD">
              <w:rPr>
                <w:rFonts w:ascii="Times New Roman" w:eastAsia="SimSun" w:hAnsi="Times New Roman"/>
                <w:sz w:val="19"/>
                <w:szCs w:val="19"/>
                <w:lang w:eastAsia="zh-CN"/>
              </w:rPr>
              <w:t>review editors</w:t>
            </w:r>
            <w:r w:rsidRPr="009712CD">
              <w:rPr>
                <w:rFonts w:ascii="Times New Roman" w:eastAsia="SimSun" w:hAnsi="Times New Roman"/>
                <w:sz w:val="19"/>
                <w:szCs w:val="19"/>
                <w:lang w:eastAsia="zh-CN"/>
              </w:rPr>
              <w:t xml:space="preserve"> using the selection criteria</w:t>
            </w:r>
            <w:r w:rsidR="00917671" w:rsidRPr="009712CD">
              <w:rPr>
                <w:rFonts w:ascii="Times New Roman" w:eastAsia="SimSun" w:hAnsi="Times New Roman"/>
                <w:sz w:val="19"/>
                <w:szCs w:val="19"/>
                <w:lang w:eastAsia="zh-CN"/>
              </w:rPr>
              <w:t xml:space="preserve"> (see IPBES/2/9) </w:t>
            </w:r>
            <w:r w:rsidR="00BE7C8F" w:rsidRPr="009712CD">
              <w:rPr>
                <w:rFonts w:ascii="Times New Roman" w:eastAsia="SimSun" w:hAnsi="Times New Roman"/>
                <w:sz w:val="19"/>
                <w:szCs w:val="19"/>
                <w:lang w:eastAsia="zh-CN"/>
              </w:rPr>
              <w:t xml:space="preserve">during the period from </w:t>
            </w:r>
            <w:r w:rsidRPr="009712CD">
              <w:rPr>
                <w:rFonts w:ascii="Times New Roman" w:eastAsia="SimSun" w:hAnsi="Times New Roman"/>
                <w:sz w:val="19"/>
                <w:szCs w:val="19"/>
                <w:lang w:eastAsia="zh-CN"/>
              </w:rPr>
              <w:t xml:space="preserve">1 July </w:t>
            </w:r>
            <w:r w:rsidR="00BE7C8F" w:rsidRPr="009712CD">
              <w:rPr>
                <w:rFonts w:ascii="Times New Roman" w:eastAsia="SimSun" w:hAnsi="Times New Roman"/>
                <w:sz w:val="19"/>
                <w:szCs w:val="19"/>
                <w:lang w:eastAsia="zh-CN"/>
              </w:rPr>
              <w:t xml:space="preserve">to </w:t>
            </w:r>
            <w:r w:rsidRPr="009712CD">
              <w:rPr>
                <w:rFonts w:ascii="Times New Roman" w:eastAsia="SimSun" w:hAnsi="Times New Roman"/>
                <w:sz w:val="19"/>
                <w:szCs w:val="19"/>
                <w:lang w:eastAsia="zh-CN"/>
              </w:rPr>
              <w:t>15 August 2014 (1.5 months)</w:t>
            </w:r>
          </w:p>
        </w:tc>
      </w:tr>
      <w:bookmarkEnd w:id="1"/>
      <w:tr w:rsidR="00D36134" w:rsidRPr="009712CD" w:rsidTr="001C04DE">
        <w:trPr>
          <w:trHeight w:val="584"/>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Third/fourth quarters</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BE7C8F" w:rsidRPr="009712CD">
              <w:rPr>
                <w:rFonts w:ascii="Times New Roman" w:eastAsia="SimSun" w:hAnsi="Times New Roman"/>
                <w:sz w:val="19"/>
                <w:szCs w:val="19"/>
                <w:lang w:eastAsia="zh-CN"/>
              </w:rPr>
              <w:t>r</w:t>
            </w:r>
            <w:r w:rsidRPr="009712CD">
              <w:rPr>
                <w:rFonts w:ascii="Times New Roman" w:eastAsia="SimSun" w:hAnsi="Times New Roman"/>
                <w:sz w:val="19"/>
                <w:szCs w:val="19"/>
                <w:lang w:eastAsia="zh-CN"/>
              </w:rPr>
              <w:t>eport co-chairs,</w:t>
            </w:r>
            <w:r w:rsidR="00BE7C8F" w:rsidRPr="009712CD">
              <w:rPr>
                <w:rFonts w:ascii="Times New Roman" w:eastAsia="SimSun" w:hAnsi="Times New Roman"/>
                <w:sz w:val="19"/>
                <w:szCs w:val="19"/>
                <w:lang w:eastAsia="zh-CN"/>
              </w:rPr>
              <w:t xml:space="preserve"> coordinating lead authors </w:t>
            </w:r>
            <w:r w:rsidRPr="009712CD">
              <w:rPr>
                <w:rFonts w:ascii="Times New Roman" w:eastAsia="SimSun" w:hAnsi="Times New Roman"/>
                <w:sz w:val="19"/>
                <w:szCs w:val="19"/>
                <w:lang w:eastAsia="zh-CN"/>
              </w:rPr>
              <w:t xml:space="preserve">and </w:t>
            </w:r>
            <w:r w:rsidR="00BE7C8F" w:rsidRPr="009712CD">
              <w:rPr>
                <w:rFonts w:ascii="Times New Roman" w:eastAsia="SimSun" w:hAnsi="Times New Roman"/>
                <w:sz w:val="19"/>
                <w:szCs w:val="19"/>
                <w:lang w:eastAsia="zh-CN"/>
              </w:rPr>
              <w:t>lead authors</w:t>
            </w:r>
            <w:r w:rsidRPr="009712CD">
              <w:rPr>
                <w:rFonts w:ascii="Times New Roman" w:eastAsia="SimSun" w:hAnsi="Times New Roman"/>
                <w:sz w:val="19"/>
                <w:szCs w:val="19"/>
                <w:lang w:eastAsia="zh-CN"/>
              </w:rPr>
              <w:t xml:space="preserve"> prepare the first draft</w:t>
            </w:r>
            <w:r w:rsidR="00BE7C8F" w:rsidRPr="009712CD">
              <w:rPr>
                <w:rFonts w:ascii="Times New Roman" w:eastAsia="SimSun" w:hAnsi="Times New Roman"/>
                <w:sz w:val="19"/>
                <w:szCs w:val="19"/>
                <w:lang w:eastAsia="zh-CN"/>
              </w:rPr>
              <w:t xml:space="preserve"> </w:t>
            </w:r>
            <w:r w:rsidRPr="009712CD">
              <w:rPr>
                <w:rFonts w:ascii="Times New Roman" w:eastAsia="SimSun" w:hAnsi="Times New Roman"/>
                <w:sz w:val="19"/>
                <w:szCs w:val="19"/>
                <w:lang w:eastAsia="zh-CN"/>
              </w:rPr>
              <w:t>report by mid</w:t>
            </w:r>
            <w:r w:rsidR="00B03435"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February 2015 (6</w:t>
            </w:r>
            <w:r w:rsidR="00BE7C8F" w:rsidRPr="009712CD">
              <w:rPr>
                <w:rFonts w:ascii="Times New Roman" w:eastAsia="SimSun" w:hAnsi="Times New Roman"/>
                <w:sz w:val="19"/>
                <w:szCs w:val="19"/>
                <w:lang w:eastAsia="zh-CN"/>
              </w:rPr>
              <w:t> </w:t>
            </w:r>
            <w:r w:rsidRPr="009712CD">
              <w:rPr>
                <w:rFonts w:ascii="Times New Roman" w:eastAsia="SimSun" w:hAnsi="Times New Roman"/>
                <w:sz w:val="19"/>
                <w:szCs w:val="19"/>
                <w:lang w:eastAsia="zh-CN"/>
              </w:rPr>
              <w:t xml:space="preserve">months). A first author meeting </w:t>
            </w:r>
            <w:r w:rsidR="00BE7C8F" w:rsidRPr="009712CD">
              <w:rPr>
                <w:rFonts w:ascii="Times New Roman" w:eastAsia="SimSun" w:hAnsi="Times New Roman"/>
                <w:sz w:val="19"/>
                <w:szCs w:val="19"/>
                <w:lang w:eastAsia="zh-CN"/>
              </w:rPr>
              <w:t>is</w:t>
            </w:r>
            <w:r w:rsidRPr="009712CD">
              <w:rPr>
                <w:rFonts w:ascii="Times New Roman" w:eastAsia="SimSun" w:hAnsi="Times New Roman"/>
                <w:sz w:val="19"/>
                <w:szCs w:val="19"/>
                <w:lang w:eastAsia="zh-CN"/>
              </w:rPr>
              <w:t xml:space="preserve"> held in September 2014</w:t>
            </w:r>
          </w:p>
        </w:tc>
      </w:tr>
      <w:tr w:rsidR="00D36134" w:rsidRPr="009712CD" w:rsidTr="001C04DE">
        <w:trPr>
          <w:trHeight w:val="504"/>
        </w:trPr>
        <w:tc>
          <w:tcPr>
            <w:tcW w:w="851" w:type="dxa"/>
            <w:vMerge w:val="restart"/>
            <w:vAlign w:val="center"/>
          </w:tcPr>
          <w:p w:rsidR="00D36134" w:rsidRPr="009712CD" w:rsidRDefault="00D36134" w:rsidP="00DB3AC1">
            <w:pPr>
              <w:keepNext/>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r w:rsidRPr="009712CD">
              <w:rPr>
                <w:rFonts w:ascii="Times New Roman" w:eastAsia="SimSun" w:hAnsi="Times New Roman"/>
                <w:sz w:val="20"/>
                <w:szCs w:val="20"/>
                <w:lang w:eastAsia="zh-CN"/>
              </w:rPr>
              <w:lastRenderedPageBreak/>
              <w:t>2015</w:t>
            </w:r>
          </w:p>
        </w:tc>
        <w:tc>
          <w:tcPr>
            <w:tcW w:w="1559" w:type="dxa"/>
            <w:vAlign w:val="center"/>
          </w:tcPr>
          <w:p w:rsidR="00D36134" w:rsidRPr="009712CD" w:rsidRDefault="00BE7C8F" w:rsidP="00DB3AC1">
            <w:pPr>
              <w:keepNext/>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First quarter</w:t>
            </w:r>
          </w:p>
        </w:tc>
        <w:tc>
          <w:tcPr>
            <w:tcW w:w="5918" w:type="dxa"/>
            <w:vAlign w:val="center"/>
          </w:tcPr>
          <w:p w:rsidR="00D36134" w:rsidRPr="009712CD" w:rsidRDefault="00D36134" w:rsidP="00DB3AC1">
            <w:pPr>
              <w:keepNext/>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The first draft</w:t>
            </w:r>
            <w:r w:rsidR="00BE7C8F" w:rsidRPr="009712CD">
              <w:rPr>
                <w:rFonts w:ascii="Times New Roman" w:eastAsia="SimSun" w:hAnsi="Times New Roman"/>
                <w:sz w:val="19"/>
                <w:szCs w:val="19"/>
                <w:lang w:eastAsia="zh-CN"/>
              </w:rPr>
              <w:t xml:space="preserve"> </w:t>
            </w:r>
            <w:r w:rsidRPr="009712CD">
              <w:rPr>
                <w:rFonts w:ascii="Times New Roman" w:eastAsia="SimSun" w:hAnsi="Times New Roman"/>
                <w:sz w:val="19"/>
                <w:szCs w:val="19"/>
                <w:lang w:eastAsia="zh-CN"/>
              </w:rPr>
              <w:t xml:space="preserve">report is reviewed by experts until </w:t>
            </w:r>
            <w:r w:rsidR="00BE7C8F" w:rsidRPr="009712CD">
              <w:rPr>
                <w:rFonts w:ascii="Times New Roman" w:eastAsia="SimSun" w:hAnsi="Times New Roman"/>
                <w:sz w:val="19"/>
                <w:szCs w:val="19"/>
                <w:lang w:eastAsia="zh-CN"/>
              </w:rPr>
              <w:t xml:space="preserve">the </w:t>
            </w:r>
            <w:r w:rsidRPr="009712CD">
              <w:rPr>
                <w:rFonts w:ascii="Times New Roman" w:eastAsia="SimSun" w:hAnsi="Times New Roman"/>
                <w:sz w:val="19"/>
                <w:szCs w:val="19"/>
                <w:lang w:eastAsia="zh-CN"/>
              </w:rPr>
              <w:t>end of March 2015 (1.5</w:t>
            </w:r>
            <w:r w:rsidR="00BE7C8F"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2 months)</w:t>
            </w:r>
          </w:p>
        </w:tc>
      </w:tr>
      <w:tr w:rsidR="00D36134" w:rsidRPr="009712CD" w:rsidTr="001C04DE">
        <w:trPr>
          <w:trHeight w:val="567"/>
        </w:trPr>
        <w:tc>
          <w:tcPr>
            <w:tcW w:w="851" w:type="dxa"/>
            <w:vMerge/>
          </w:tcPr>
          <w:p w:rsidR="00D36134" w:rsidRPr="009712CD" w:rsidRDefault="00D36134" w:rsidP="00DB3AC1">
            <w:pPr>
              <w:keepNext/>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B3AC1">
            <w:pPr>
              <w:keepNext/>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Second quarter</w:t>
            </w:r>
          </w:p>
        </w:tc>
        <w:tc>
          <w:tcPr>
            <w:tcW w:w="5918" w:type="dxa"/>
            <w:vAlign w:val="center"/>
          </w:tcPr>
          <w:p w:rsidR="00D36134" w:rsidRPr="009712CD" w:rsidRDefault="00D36134" w:rsidP="00DB3AC1">
            <w:pPr>
              <w:keepNext/>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BE7C8F" w:rsidRPr="009712CD">
              <w:rPr>
                <w:rFonts w:ascii="Times New Roman" w:eastAsia="SimSun" w:hAnsi="Times New Roman"/>
                <w:sz w:val="19"/>
                <w:szCs w:val="19"/>
                <w:lang w:eastAsia="zh-CN"/>
              </w:rPr>
              <w:t>r</w:t>
            </w:r>
            <w:r w:rsidRPr="009712CD">
              <w:rPr>
                <w:rFonts w:ascii="Times New Roman" w:eastAsia="SimSun" w:hAnsi="Times New Roman"/>
                <w:sz w:val="19"/>
                <w:szCs w:val="19"/>
                <w:lang w:eastAsia="zh-CN"/>
              </w:rPr>
              <w:t xml:space="preserve">eport co-chairs, </w:t>
            </w:r>
            <w:r w:rsidR="00BE7C8F" w:rsidRPr="009712CD">
              <w:rPr>
                <w:rFonts w:ascii="Times New Roman" w:eastAsia="SimSun" w:hAnsi="Times New Roman"/>
                <w:sz w:val="19"/>
                <w:szCs w:val="19"/>
                <w:lang w:eastAsia="zh-CN"/>
              </w:rPr>
              <w:t>coordinating lead authors and lead authors</w:t>
            </w:r>
            <w:r w:rsidRPr="009712CD">
              <w:rPr>
                <w:rFonts w:ascii="Times New Roman" w:eastAsia="SimSun" w:hAnsi="Times New Roman"/>
                <w:sz w:val="19"/>
                <w:szCs w:val="19"/>
                <w:lang w:eastAsia="zh-CN"/>
              </w:rPr>
              <w:t xml:space="preserve"> prepare the second draft report and a first draft </w:t>
            </w:r>
            <w:r w:rsidR="00BE7C8F" w:rsidRPr="009712CD">
              <w:rPr>
                <w:rFonts w:ascii="Times New Roman" w:eastAsia="SimSun" w:hAnsi="Times New Roman"/>
                <w:sz w:val="19"/>
                <w:szCs w:val="19"/>
                <w:lang w:eastAsia="zh-CN"/>
              </w:rPr>
              <w:t>summary for policymakers</w:t>
            </w:r>
            <w:r w:rsidRPr="009712CD">
              <w:rPr>
                <w:rFonts w:ascii="Times New Roman" w:eastAsia="SimSun" w:hAnsi="Times New Roman"/>
                <w:sz w:val="19"/>
                <w:szCs w:val="19"/>
                <w:lang w:eastAsia="zh-CN"/>
              </w:rPr>
              <w:t xml:space="preserve"> under the guidance of </w:t>
            </w:r>
            <w:r w:rsidR="007823BE" w:rsidRPr="009712CD">
              <w:rPr>
                <w:rFonts w:ascii="Times New Roman" w:eastAsia="SimSun" w:hAnsi="Times New Roman"/>
                <w:sz w:val="19"/>
                <w:szCs w:val="19"/>
                <w:lang w:eastAsia="zh-CN"/>
              </w:rPr>
              <w:t xml:space="preserve">the </w:t>
            </w:r>
            <w:r w:rsidRPr="009712CD">
              <w:rPr>
                <w:rFonts w:ascii="Times New Roman" w:eastAsia="SimSun" w:hAnsi="Times New Roman"/>
                <w:sz w:val="19"/>
                <w:szCs w:val="19"/>
                <w:lang w:eastAsia="zh-CN"/>
              </w:rPr>
              <w:t xml:space="preserve">review editors and </w:t>
            </w:r>
            <w:r w:rsidR="00BE7C8F" w:rsidRPr="009712CD">
              <w:rPr>
                <w:rFonts w:ascii="Times New Roman" w:eastAsia="SimSun" w:hAnsi="Times New Roman"/>
                <w:sz w:val="19"/>
                <w:szCs w:val="19"/>
                <w:lang w:eastAsia="zh-CN"/>
              </w:rPr>
              <w:t>the Panel</w:t>
            </w:r>
            <w:r w:rsidRPr="009712CD">
              <w:rPr>
                <w:rFonts w:ascii="Times New Roman" w:eastAsia="SimSun" w:hAnsi="Times New Roman"/>
                <w:sz w:val="19"/>
                <w:szCs w:val="19"/>
                <w:lang w:eastAsia="zh-CN"/>
              </w:rPr>
              <w:t xml:space="preserve"> from April to June 2015 (3 months). A second author meeting </w:t>
            </w:r>
            <w:r w:rsidR="00BE7C8F" w:rsidRPr="009712CD">
              <w:rPr>
                <w:rFonts w:ascii="Times New Roman" w:eastAsia="SimSun" w:hAnsi="Times New Roman"/>
                <w:sz w:val="19"/>
                <w:szCs w:val="19"/>
                <w:lang w:eastAsia="zh-CN"/>
              </w:rPr>
              <w:t>is</w:t>
            </w:r>
            <w:r w:rsidRPr="009712CD">
              <w:rPr>
                <w:rFonts w:ascii="Times New Roman" w:eastAsia="SimSun" w:hAnsi="Times New Roman"/>
                <w:sz w:val="19"/>
                <w:szCs w:val="19"/>
                <w:lang w:eastAsia="zh-CN"/>
              </w:rPr>
              <w:t xml:space="preserve"> held in June 2015</w:t>
            </w:r>
          </w:p>
        </w:tc>
      </w:tr>
      <w:tr w:rsidR="00D36134" w:rsidRPr="009712CD" w:rsidTr="001C04DE">
        <w:trPr>
          <w:trHeight w:val="547"/>
        </w:trPr>
        <w:tc>
          <w:tcPr>
            <w:tcW w:w="851" w:type="dxa"/>
            <w:vMerge/>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Third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The second draft report and the first</w:t>
            </w:r>
            <w:r w:rsidR="00BE7C8F" w:rsidRPr="009712CD">
              <w:rPr>
                <w:rFonts w:ascii="Times New Roman" w:eastAsia="SimSun" w:hAnsi="Times New Roman"/>
                <w:sz w:val="19"/>
                <w:szCs w:val="19"/>
                <w:lang w:eastAsia="zh-CN"/>
              </w:rPr>
              <w:t xml:space="preserve"> summary for policymakers</w:t>
            </w:r>
            <w:r w:rsidRPr="009712CD">
              <w:rPr>
                <w:rFonts w:ascii="Times New Roman" w:eastAsia="SimSun" w:hAnsi="Times New Roman"/>
                <w:sz w:val="19"/>
                <w:szCs w:val="19"/>
                <w:lang w:eastAsia="zh-CN"/>
              </w:rPr>
              <w:t xml:space="preserve"> are reviewed by experts, Governments and other stakeholders during July and August 2015 (2 months)</w:t>
            </w:r>
          </w:p>
        </w:tc>
      </w:tr>
      <w:tr w:rsidR="00D36134" w:rsidRPr="009712CD" w:rsidTr="001C04DE">
        <w:trPr>
          <w:trHeight w:val="215"/>
        </w:trPr>
        <w:tc>
          <w:tcPr>
            <w:tcW w:w="851" w:type="dxa"/>
            <w:vMerge/>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Third/fourth quarters</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BE7C8F" w:rsidRPr="009712CD">
              <w:rPr>
                <w:rFonts w:ascii="Times New Roman" w:eastAsia="SimSun" w:hAnsi="Times New Roman"/>
                <w:sz w:val="19"/>
                <w:szCs w:val="19"/>
                <w:lang w:eastAsia="zh-CN"/>
              </w:rPr>
              <w:t>r</w:t>
            </w:r>
            <w:r w:rsidRPr="009712CD">
              <w:rPr>
                <w:rFonts w:ascii="Times New Roman" w:eastAsia="SimSun" w:hAnsi="Times New Roman"/>
                <w:sz w:val="19"/>
                <w:szCs w:val="19"/>
                <w:lang w:eastAsia="zh-CN"/>
              </w:rPr>
              <w:t xml:space="preserve">eport co-chairs, </w:t>
            </w:r>
            <w:r w:rsidR="00BE7C8F" w:rsidRPr="009712CD">
              <w:rPr>
                <w:rFonts w:ascii="Times New Roman" w:eastAsia="SimSun" w:hAnsi="Times New Roman"/>
                <w:sz w:val="19"/>
                <w:szCs w:val="19"/>
                <w:lang w:eastAsia="zh-CN"/>
              </w:rPr>
              <w:t>coordinating lead authors and lead authors</w:t>
            </w:r>
            <w:r w:rsidRPr="009712CD">
              <w:rPr>
                <w:rFonts w:ascii="Times New Roman" w:eastAsia="SimSun" w:hAnsi="Times New Roman"/>
                <w:sz w:val="19"/>
                <w:szCs w:val="19"/>
                <w:lang w:eastAsia="zh-CN"/>
              </w:rPr>
              <w:t xml:space="preserve"> prepare the final draft report and the final draft </w:t>
            </w:r>
            <w:r w:rsidR="00BE7C8F" w:rsidRPr="009712CD">
              <w:rPr>
                <w:rFonts w:ascii="Times New Roman" w:eastAsia="SimSun" w:hAnsi="Times New Roman"/>
                <w:sz w:val="19"/>
                <w:szCs w:val="19"/>
                <w:lang w:eastAsia="zh-CN"/>
              </w:rPr>
              <w:t xml:space="preserve">summary for policymakers </w:t>
            </w:r>
            <w:r w:rsidRPr="009712CD">
              <w:rPr>
                <w:rFonts w:ascii="Times New Roman" w:eastAsia="SimSun" w:hAnsi="Times New Roman"/>
                <w:sz w:val="19"/>
                <w:szCs w:val="19"/>
                <w:lang w:eastAsia="zh-CN"/>
              </w:rPr>
              <w:t xml:space="preserve">under the guidance of </w:t>
            </w:r>
            <w:r w:rsidR="007823BE" w:rsidRPr="009712CD">
              <w:rPr>
                <w:rFonts w:ascii="Times New Roman" w:eastAsia="SimSun" w:hAnsi="Times New Roman"/>
                <w:sz w:val="19"/>
                <w:szCs w:val="19"/>
                <w:lang w:eastAsia="zh-CN"/>
              </w:rPr>
              <w:t xml:space="preserve">the </w:t>
            </w:r>
            <w:r w:rsidRPr="009712CD">
              <w:rPr>
                <w:rFonts w:ascii="Times New Roman" w:eastAsia="SimSun" w:hAnsi="Times New Roman"/>
                <w:sz w:val="19"/>
                <w:szCs w:val="19"/>
                <w:lang w:eastAsia="zh-CN"/>
              </w:rPr>
              <w:t xml:space="preserve">review editors and </w:t>
            </w:r>
            <w:r w:rsidR="00BE7C8F" w:rsidRPr="009712CD">
              <w:rPr>
                <w:rFonts w:ascii="Times New Roman" w:eastAsia="SimSun" w:hAnsi="Times New Roman"/>
                <w:sz w:val="19"/>
                <w:szCs w:val="19"/>
                <w:lang w:eastAsia="zh-CN"/>
              </w:rPr>
              <w:t>the Panel</w:t>
            </w:r>
            <w:r w:rsidRPr="009712CD">
              <w:rPr>
                <w:rFonts w:ascii="Times New Roman" w:eastAsia="SimSun" w:hAnsi="Times New Roman"/>
                <w:sz w:val="19"/>
                <w:szCs w:val="19"/>
                <w:lang w:eastAsia="zh-CN"/>
              </w:rPr>
              <w:t xml:space="preserve"> during September and October 2015 (2</w:t>
            </w:r>
            <w:r w:rsidR="00BE7C8F" w:rsidRPr="009712CD">
              <w:rPr>
                <w:rFonts w:ascii="Times New Roman" w:eastAsia="SimSun" w:hAnsi="Times New Roman"/>
                <w:sz w:val="19"/>
                <w:szCs w:val="19"/>
                <w:lang w:eastAsia="zh-CN"/>
              </w:rPr>
              <w:t> </w:t>
            </w:r>
            <w:r w:rsidRPr="009712CD">
              <w:rPr>
                <w:rFonts w:ascii="Times New Roman" w:eastAsia="SimSun" w:hAnsi="Times New Roman"/>
                <w:sz w:val="19"/>
                <w:szCs w:val="19"/>
                <w:lang w:eastAsia="zh-CN"/>
              </w:rPr>
              <w:t xml:space="preserve">months). A third author meeting </w:t>
            </w:r>
            <w:r w:rsidR="00BE7C8F" w:rsidRPr="009712CD">
              <w:rPr>
                <w:rFonts w:ascii="Times New Roman" w:eastAsia="SimSun" w:hAnsi="Times New Roman"/>
                <w:sz w:val="19"/>
                <w:szCs w:val="19"/>
                <w:lang w:eastAsia="zh-CN"/>
              </w:rPr>
              <w:t>is</w:t>
            </w:r>
            <w:r w:rsidRPr="009712CD">
              <w:rPr>
                <w:rFonts w:ascii="Times New Roman" w:eastAsia="SimSun" w:hAnsi="Times New Roman"/>
                <w:sz w:val="19"/>
                <w:szCs w:val="19"/>
                <w:lang w:eastAsia="zh-CN"/>
              </w:rPr>
              <w:t xml:space="preserve"> held in October 2015</w:t>
            </w:r>
          </w:p>
        </w:tc>
      </w:tr>
      <w:tr w:rsidR="00D36134" w:rsidRPr="009712CD" w:rsidTr="001C04DE">
        <w:trPr>
          <w:trHeight w:val="479"/>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Fourth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8839C0" w:rsidRPr="009712CD">
              <w:rPr>
                <w:rFonts w:ascii="Times New Roman" w:eastAsia="SimSun" w:hAnsi="Times New Roman"/>
                <w:sz w:val="19"/>
                <w:szCs w:val="19"/>
                <w:lang w:eastAsia="zh-CN"/>
              </w:rPr>
              <w:t>s</w:t>
            </w:r>
            <w:r w:rsidRPr="009712CD">
              <w:rPr>
                <w:rFonts w:ascii="Times New Roman" w:eastAsia="SimSun" w:hAnsi="Times New Roman"/>
                <w:sz w:val="19"/>
                <w:szCs w:val="19"/>
                <w:lang w:eastAsia="zh-CN"/>
              </w:rPr>
              <w:t xml:space="preserve">ummary for </w:t>
            </w:r>
            <w:r w:rsidR="008839C0" w:rsidRPr="009712CD">
              <w:rPr>
                <w:rFonts w:ascii="Times New Roman" w:eastAsia="SimSun" w:hAnsi="Times New Roman"/>
                <w:sz w:val="19"/>
                <w:szCs w:val="19"/>
                <w:lang w:eastAsia="zh-CN"/>
              </w:rPr>
              <w:t>p</w:t>
            </w:r>
            <w:r w:rsidRPr="009712CD">
              <w:rPr>
                <w:rFonts w:ascii="Times New Roman" w:eastAsia="SimSun" w:hAnsi="Times New Roman"/>
                <w:sz w:val="19"/>
                <w:szCs w:val="19"/>
                <w:lang w:eastAsia="zh-CN"/>
              </w:rPr>
              <w:t xml:space="preserve">olicymakers is translated into all </w:t>
            </w:r>
            <w:r w:rsidR="008839C0" w:rsidRPr="009712CD">
              <w:rPr>
                <w:rFonts w:ascii="Times New Roman" w:eastAsia="SimSun" w:hAnsi="Times New Roman"/>
                <w:sz w:val="19"/>
                <w:szCs w:val="19"/>
                <w:lang w:eastAsia="zh-CN"/>
              </w:rPr>
              <w:t>the official languages of the United Nations by</w:t>
            </w:r>
            <w:r w:rsidRPr="009712CD">
              <w:rPr>
                <w:rFonts w:ascii="Times New Roman" w:eastAsia="SimSun" w:hAnsi="Times New Roman"/>
                <w:sz w:val="19"/>
                <w:szCs w:val="19"/>
                <w:lang w:eastAsia="zh-CN"/>
              </w:rPr>
              <w:t xml:space="preserve"> mid</w:t>
            </w:r>
            <w:r w:rsidR="008839C0" w:rsidRPr="009712CD">
              <w:rPr>
                <w:rFonts w:ascii="Times New Roman" w:eastAsia="SimSun" w:hAnsi="Times New Roman"/>
                <w:sz w:val="19"/>
                <w:szCs w:val="19"/>
                <w:lang w:eastAsia="zh-CN"/>
              </w:rPr>
              <w:noBreakHyphen/>
            </w:r>
            <w:r w:rsidRPr="009712CD">
              <w:rPr>
                <w:rFonts w:ascii="Times New Roman" w:eastAsia="SimSun" w:hAnsi="Times New Roman"/>
                <w:sz w:val="19"/>
                <w:szCs w:val="19"/>
                <w:lang w:eastAsia="zh-CN"/>
              </w:rPr>
              <w:t>December 2015 (1.5</w:t>
            </w:r>
            <w:r w:rsidR="007823BE" w:rsidRPr="009712CD">
              <w:rPr>
                <w:rFonts w:ascii="Times New Roman" w:eastAsia="SimSun" w:hAnsi="Times New Roman"/>
                <w:sz w:val="19"/>
                <w:szCs w:val="19"/>
                <w:lang w:eastAsia="zh-CN"/>
              </w:rPr>
              <w:t> </w:t>
            </w:r>
            <w:r w:rsidRPr="009712CD">
              <w:rPr>
                <w:rFonts w:ascii="Times New Roman" w:eastAsia="SimSun" w:hAnsi="Times New Roman"/>
                <w:sz w:val="19"/>
                <w:szCs w:val="19"/>
                <w:lang w:eastAsia="zh-CN"/>
              </w:rPr>
              <w:t>months)</w:t>
            </w:r>
          </w:p>
        </w:tc>
      </w:tr>
      <w:tr w:rsidR="00D36134" w:rsidRPr="009712CD" w:rsidTr="001C04DE">
        <w:trPr>
          <w:trHeight w:val="242"/>
        </w:trPr>
        <w:tc>
          <w:tcPr>
            <w:tcW w:w="851" w:type="dxa"/>
            <w:vMerge w:val="restart"/>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r w:rsidRPr="009712CD">
              <w:rPr>
                <w:rFonts w:ascii="Times New Roman" w:eastAsia="SimSun" w:hAnsi="Times New Roman"/>
                <w:sz w:val="20"/>
                <w:szCs w:val="20"/>
                <w:lang w:eastAsia="zh-CN"/>
              </w:rPr>
              <w:t>2016</w:t>
            </w: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First quarter</w:t>
            </w:r>
          </w:p>
        </w:tc>
        <w:tc>
          <w:tcPr>
            <w:tcW w:w="5918" w:type="dxa"/>
            <w:vAlign w:val="center"/>
          </w:tcPr>
          <w:p w:rsidR="00D36134" w:rsidRPr="009712CD" w:rsidRDefault="00D36134"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final draft report and </w:t>
            </w:r>
            <w:r w:rsidR="008839C0" w:rsidRPr="009712CD">
              <w:rPr>
                <w:rFonts w:ascii="Times New Roman" w:eastAsia="SimSun" w:hAnsi="Times New Roman"/>
                <w:sz w:val="19"/>
                <w:szCs w:val="19"/>
                <w:lang w:eastAsia="zh-CN"/>
              </w:rPr>
              <w:t>summary for policymakers</w:t>
            </w:r>
            <w:r w:rsidRPr="009712CD">
              <w:rPr>
                <w:rFonts w:ascii="Times New Roman" w:eastAsia="SimSun" w:hAnsi="Times New Roman"/>
                <w:sz w:val="19"/>
                <w:szCs w:val="19"/>
                <w:lang w:eastAsia="zh-CN"/>
              </w:rPr>
              <w:t xml:space="preserve"> are sent to Governments and other stakeholders for final review during January and February 2016 (1.5</w:t>
            </w:r>
            <w:r w:rsidR="008839C0" w:rsidRPr="009712CD">
              <w:rPr>
                <w:rFonts w:ascii="Times New Roman" w:eastAsia="SimSun" w:hAnsi="Times New Roman"/>
                <w:sz w:val="19"/>
                <w:szCs w:val="19"/>
                <w:lang w:eastAsia="zh-CN"/>
              </w:rPr>
              <w:t>–</w:t>
            </w:r>
            <w:r w:rsidRPr="009712CD">
              <w:rPr>
                <w:rFonts w:ascii="Times New Roman" w:eastAsia="SimSun" w:hAnsi="Times New Roman"/>
                <w:sz w:val="19"/>
                <w:szCs w:val="19"/>
                <w:lang w:eastAsia="zh-CN"/>
              </w:rPr>
              <w:t>2 months). Written comments from Governments on the draft</w:t>
            </w:r>
            <w:r w:rsidR="008839C0" w:rsidRPr="009712CD">
              <w:rPr>
                <w:rFonts w:ascii="Times New Roman" w:eastAsia="SimSun" w:hAnsi="Times New Roman"/>
                <w:sz w:val="19"/>
                <w:szCs w:val="19"/>
                <w:lang w:eastAsia="zh-CN"/>
              </w:rPr>
              <w:t xml:space="preserve"> summary for policymakers</w:t>
            </w:r>
            <w:r w:rsidRPr="009712CD">
              <w:rPr>
                <w:rFonts w:ascii="Times New Roman" w:eastAsia="SimSun" w:hAnsi="Times New Roman"/>
                <w:sz w:val="19"/>
                <w:szCs w:val="19"/>
                <w:lang w:eastAsia="zh-CN"/>
              </w:rPr>
              <w:t xml:space="preserve"> are strongly encouraged</w:t>
            </w:r>
            <w:r w:rsidR="008839C0" w:rsidRPr="009712CD">
              <w:rPr>
                <w:rFonts w:ascii="Times New Roman" w:eastAsia="SimSun" w:hAnsi="Times New Roman"/>
                <w:sz w:val="19"/>
                <w:szCs w:val="19"/>
                <w:lang w:eastAsia="zh-CN"/>
              </w:rPr>
              <w:t>. Such comments must be submitted</w:t>
            </w:r>
            <w:r w:rsidRPr="009712CD">
              <w:rPr>
                <w:rFonts w:ascii="Times New Roman" w:eastAsia="SimSun" w:hAnsi="Times New Roman"/>
                <w:sz w:val="19"/>
                <w:szCs w:val="19"/>
                <w:lang w:eastAsia="zh-CN"/>
              </w:rPr>
              <w:t xml:space="preserve"> to the secretariat one week prior to the </w:t>
            </w:r>
            <w:r w:rsidR="008839C0" w:rsidRPr="009712CD">
              <w:rPr>
                <w:rFonts w:ascii="Times New Roman" w:eastAsia="SimSun" w:hAnsi="Times New Roman"/>
                <w:sz w:val="19"/>
                <w:szCs w:val="19"/>
                <w:lang w:eastAsia="zh-CN"/>
              </w:rPr>
              <w:t xml:space="preserve">fourth session of the </w:t>
            </w:r>
            <w:r w:rsidRPr="009712CD">
              <w:rPr>
                <w:rFonts w:ascii="Times New Roman" w:eastAsia="SimSun" w:hAnsi="Times New Roman"/>
                <w:sz w:val="19"/>
                <w:szCs w:val="19"/>
                <w:lang w:eastAsia="zh-CN"/>
              </w:rPr>
              <w:t>Plenary</w:t>
            </w:r>
          </w:p>
        </w:tc>
      </w:tr>
      <w:tr w:rsidR="00D36134" w:rsidRPr="009712CD" w:rsidTr="001C04DE">
        <w:trPr>
          <w:trHeight w:val="242"/>
        </w:trPr>
        <w:tc>
          <w:tcPr>
            <w:tcW w:w="851" w:type="dxa"/>
            <w:vMerge/>
            <w:vAlign w:val="center"/>
          </w:tcPr>
          <w:p w:rsidR="00D36134" w:rsidRPr="009712CD" w:rsidRDefault="00D36134" w:rsidP="00D2124E">
            <w:pPr>
              <w:keepLines/>
              <w:tabs>
                <w:tab w:val="left" w:pos="426"/>
                <w:tab w:val="num" w:pos="1353"/>
              </w:tabs>
              <w:autoSpaceDE w:val="0"/>
              <w:autoSpaceDN w:val="0"/>
              <w:adjustRightInd w:val="0"/>
              <w:spacing w:before="20" w:after="20"/>
              <w:jc w:val="center"/>
              <w:rPr>
                <w:rFonts w:ascii="Times New Roman" w:eastAsia="SimSun" w:hAnsi="Times New Roman"/>
                <w:sz w:val="20"/>
                <w:szCs w:val="20"/>
                <w:lang w:eastAsia="zh-CN"/>
              </w:rPr>
            </w:pPr>
          </w:p>
        </w:tc>
        <w:tc>
          <w:tcPr>
            <w:tcW w:w="1559" w:type="dxa"/>
            <w:vAlign w:val="center"/>
          </w:tcPr>
          <w:p w:rsidR="00D36134" w:rsidRPr="009712CD" w:rsidRDefault="00BE7C8F"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First quarter</w:t>
            </w:r>
          </w:p>
        </w:tc>
        <w:tc>
          <w:tcPr>
            <w:tcW w:w="5918" w:type="dxa"/>
            <w:vAlign w:val="center"/>
          </w:tcPr>
          <w:p w:rsidR="00D36134" w:rsidRPr="009712CD" w:rsidRDefault="008839C0" w:rsidP="00D2124E">
            <w:pPr>
              <w:keepLines/>
              <w:tabs>
                <w:tab w:val="left" w:pos="426"/>
                <w:tab w:val="num" w:pos="1353"/>
              </w:tabs>
              <w:autoSpaceDE w:val="0"/>
              <w:autoSpaceDN w:val="0"/>
              <w:adjustRightInd w:val="0"/>
              <w:spacing w:before="20" w:after="20"/>
              <w:rPr>
                <w:rFonts w:ascii="Times New Roman" w:eastAsia="SimSun" w:hAnsi="Times New Roman"/>
                <w:sz w:val="19"/>
                <w:szCs w:val="19"/>
                <w:lang w:eastAsia="zh-CN"/>
              </w:rPr>
            </w:pPr>
            <w:r w:rsidRPr="009712CD">
              <w:rPr>
                <w:rFonts w:ascii="Times New Roman" w:eastAsia="SimSun" w:hAnsi="Times New Roman"/>
                <w:sz w:val="19"/>
                <w:szCs w:val="19"/>
                <w:lang w:eastAsia="zh-CN"/>
              </w:rPr>
              <w:t xml:space="preserve">The </w:t>
            </w:r>
            <w:r w:rsidR="00D36134" w:rsidRPr="009712CD">
              <w:rPr>
                <w:rFonts w:ascii="Times New Roman" w:eastAsia="SimSun" w:hAnsi="Times New Roman"/>
                <w:sz w:val="19"/>
                <w:szCs w:val="19"/>
                <w:lang w:eastAsia="zh-CN"/>
              </w:rPr>
              <w:t xml:space="preserve">Plenary reviews and accepts the report and reviews and approves the </w:t>
            </w:r>
            <w:r w:rsidRPr="009712CD">
              <w:rPr>
                <w:rFonts w:ascii="Times New Roman" w:eastAsia="SimSun" w:hAnsi="Times New Roman"/>
                <w:sz w:val="19"/>
                <w:szCs w:val="19"/>
                <w:lang w:eastAsia="zh-CN"/>
              </w:rPr>
              <w:t>summary for policymakers</w:t>
            </w:r>
            <w:r w:rsidR="00D36134" w:rsidRPr="009712CD">
              <w:rPr>
                <w:rFonts w:ascii="Times New Roman" w:eastAsia="SimSun" w:hAnsi="Times New Roman"/>
                <w:sz w:val="19"/>
                <w:szCs w:val="19"/>
                <w:lang w:eastAsia="zh-CN"/>
              </w:rPr>
              <w:t xml:space="preserve"> </w:t>
            </w:r>
            <w:r w:rsidRPr="009712CD">
              <w:rPr>
                <w:rFonts w:ascii="Times New Roman" w:eastAsia="SimSun" w:hAnsi="Times New Roman"/>
                <w:sz w:val="19"/>
                <w:szCs w:val="19"/>
                <w:lang w:eastAsia="zh-CN"/>
              </w:rPr>
              <w:t xml:space="preserve">at its fourth session </w:t>
            </w:r>
            <w:r w:rsidR="00D36134" w:rsidRPr="009712CD">
              <w:rPr>
                <w:rFonts w:ascii="Times New Roman" w:eastAsia="SimSun" w:hAnsi="Times New Roman"/>
                <w:sz w:val="19"/>
                <w:szCs w:val="19"/>
                <w:lang w:eastAsia="zh-CN"/>
              </w:rPr>
              <w:t>in March 2016</w:t>
            </w:r>
          </w:p>
        </w:tc>
      </w:tr>
    </w:tbl>
    <w:p w:rsidR="00D36134" w:rsidRPr="009712CD" w:rsidRDefault="00C91306" w:rsidP="00C91306">
      <w:pPr>
        <w:pStyle w:val="CH1"/>
        <w:rPr>
          <w:lang w:val="en-GB"/>
        </w:rPr>
      </w:pPr>
      <w:r w:rsidRPr="009712CD">
        <w:rPr>
          <w:lang w:val="en-GB"/>
        </w:rPr>
        <w:tab/>
      </w:r>
      <w:r w:rsidR="00614485" w:rsidRPr="009712CD">
        <w:rPr>
          <w:lang w:val="en-GB"/>
        </w:rPr>
        <w:t>V.</w:t>
      </w:r>
      <w:r w:rsidR="00D36134" w:rsidRPr="009712CD">
        <w:rPr>
          <w:lang w:val="en-GB"/>
        </w:rPr>
        <w:tab/>
        <w:t>Cost estimate</w:t>
      </w:r>
    </w:p>
    <w:p w:rsidR="008839C0" w:rsidRPr="009712CD" w:rsidRDefault="008839C0" w:rsidP="00FB4629">
      <w:pPr>
        <w:pStyle w:val="Normalnumber"/>
        <w:rPr>
          <w:sz w:val="20"/>
          <w:szCs w:val="20"/>
          <w:lang w:val="en-GB"/>
        </w:rPr>
      </w:pPr>
      <w:r w:rsidRPr="009712CD">
        <w:rPr>
          <w:sz w:val="20"/>
          <w:szCs w:val="20"/>
          <w:lang w:val="en-GB"/>
        </w:rPr>
        <w:t>The table below shows the estimated cost of conducting the assessment and preparing the thematic assessment report.</w:t>
      </w:r>
    </w:p>
    <w:p w:rsidR="008839C0" w:rsidRPr="009712CD" w:rsidRDefault="008839C0" w:rsidP="00FB4629">
      <w:pPr>
        <w:pStyle w:val="Normalnumber"/>
        <w:numPr>
          <w:ilvl w:val="0"/>
          <w:numId w:val="0"/>
        </w:numPr>
        <w:ind w:left="1247"/>
        <w:rPr>
          <w:sz w:val="18"/>
          <w:szCs w:val="18"/>
          <w:lang w:val="en-GB"/>
        </w:rPr>
      </w:pPr>
      <w:r w:rsidRPr="009712CD">
        <w:rPr>
          <w:sz w:val="18"/>
          <w:szCs w:val="18"/>
          <w:lang w:val="en-GB"/>
        </w:rPr>
        <w:t>(United States dollars)</w:t>
      </w:r>
    </w:p>
    <w:tbl>
      <w:tblPr>
        <w:tblW w:w="8263"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261"/>
        <w:gridCol w:w="3260"/>
        <w:gridCol w:w="892"/>
      </w:tblGrid>
      <w:tr w:rsidR="00D36134" w:rsidRPr="009712CD" w:rsidTr="001C04DE">
        <w:trPr>
          <w:tblHeader/>
        </w:trPr>
        <w:tc>
          <w:tcPr>
            <w:tcW w:w="85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i/>
                <w:sz w:val="20"/>
                <w:szCs w:val="20"/>
                <w:lang w:eastAsia="zh-CN"/>
              </w:rPr>
            </w:pPr>
            <w:r w:rsidRPr="009712CD">
              <w:rPr>
                <w:rFonts w:ascii="Times New Roman" w:eastAsia="SimSun" w:hAnsi="Times New Roman"/>
                <w:i/>
                <w:sz w:val="20"/>
                <w:szCs w:val="20"/>
                <w:lang w:eastAsia="zh-CN"/>
              </w:rPr>
              <w:t>Year</w:t>
            </w:r>
          </w:p>
        </w:tc>
        <w:tc>
          <w:tcPr>
            <w:tcW w:w="3261"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i/>
                <w:sz w:val="20"/>
                <w:szCs w:val="20"/>
                <w:lang w:eastAsia="zh-CN"/>
              </w:rPr>
            </w:pPr>
            <w:r w:rsidRPr="009712CD">
              <w:rPr>
                <w:rFonts w:ascii="Times New Roman" w:eastAsia="SimSun" w:hAnsi="Times New Roman"/>
                <w:i/>
                <w:sz w:val="20"/>
                <w:szCs w:val="20"/>
                <w:lang w:eastAsia="zh-CN"/>
              </w:rPr>
              <w:t xml:space="preserve">Cost </w:t>
            </w:r>
            <w:r w:rsidR="008839C0" w:rsidRPr="009712CD">
              <w:rPr>
                <w:rFonts w:ascii="Times New Roman" w:eastAsia="SimSun" w:hAnsi="Times New Roman"/>
                <w:i/>
                <w:sz w:val="20"/>
                <w:szCs w:val="20"/>
                <w:lang w:eastAsia="zh-CN"/>
              </w:rPr>
              <w:t>i</w:t>
            </w:r>
            <w:r w:rsidRPr="009712CD">
              <w:rPr>
                <w:rFonts w:ascii="Times New Roman" w:eastAsia="SimSun" w:hAnsi="Times New Roman"/>
                <w:i/>
                <w:sz w:val="20"/>
                <w:szCs w:val="20"/>
                <w:lang w:eastAsia="zh-CN"/>
              </w:rPr>
              <w:t>tem</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i/>
                <w:sz w:val="20"/>
                <w:szCs w:val="20"/>
                <w:lang w:eastAsia="zh-CN"/>
              </w:rPr>
            </w:pPr>
            <w:r w:rsidRPr="009712CD">
              <w:rPr>
                <w:rFonts w:ascii="Times New Roman" w:eastAsia="SimSun" w:hAnsi="Times New Roman"/>
                <w:i/>
                <w:sz w:val="20"/>
                <w:szCs w:val="20"/>
                <w:lang w:eastAsia="zh-CN"/>
              </w:rPr>
              <w:t>Assumptions</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i/>
                <w:sz w:val="20"/>
                <w:szCs w:val="20"/>
                <w:lang w:eastAsia="zh-CN"/>
              </w:rPr>
            </w:pPr>
            <w:r w:rsidRPr="009712CD">
              <w:rPr>
                <w:rFonts w:ascii="Times New Roman" w:eastAsia="SimSun" w:hAnsi="Times New Roman"/>
                <w:i/>
                <w:sz w:val="20"/>
                <w:szCs w:val="20"/>
                <w:lang w:eastAsia="zh-CN"/>
              </w:rPr>
              <w:t>Cost</w:t>
            </w:r>
          </w:p>
        </w:tc>
      </w:tr>
      <w:tr w:rsidR="00D36134" w:rsidRPr="009712CD" w:rsidTr="001C04DE">
        <w:tc>
          <w:tcPr>
            <w:tcW w:w="850"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2014</w:t>
            </w:r>
          </w:p>
        </w:tc>
        <w:tc>
          <w:tcPr>
            <w:tcW w:w="3261"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Scoping meeting (M</w:t>
            </w:r>
            <w:r w:rsidR="008839C0" w:rsidRPr="009712CD">
              <w:rPr>
                <w:rFonts w:ascii="Times New Roman" w:eastAsia="SimSun" w:hAnsi="Times New Roman"/>
                <w:sz w:val="20"/>
                <w:szCs w:val="20"/>
                <w:lang w:eastAsia="zh-CN"/>
              </w:rPr>
              <w:t>ultidisciplinary Expert Panel</w:t>
            </w:r>
            <w:r w:rsidRPr="009712CD">
              <w:rPr>
                <w:rFonts w:ascii="Times New Roman" w:eastAsia="SimSun" w:hAnsi="Times New Roman"/>
                <w:sz w:val="20"/>
                <w:szCs w:val="20"/>
                <w:lang w:eastAsia="zh-CN"/>
              </w:rPr>
              <w:t xml:space="preserve"> and Bureau </w:t>
            </w:r>
            <w:r w:rsidR="008839C0" w:rsidRPr="009712CD">
              <w:rPr>
                <w:rFonts w:ascii="Times New Roman" w:eastAsia="SimSun" w:hAnsi="Times New Roman"/>
                <w:sz w:val="20"/>
                <w:szCs w:val="20"/>
                <w:lang w:eastAsia="zh-CN"/>
              </w:rPr>
              <w:t>members,</w:t>
            </w:r>
            <w:r w:rsidRPr="009712CD">
              <w:rPr>
                <w:rFonts w:ascii="Times New Roman" w:eastAsia="SimSun" w:hAnsi="Times New Roman"/>
                <w:sz w:val="20"/>
                <w:szCs w:val="20"/>
                <w:lang w:eastAsia="zh-CN"/>
              </w:rPr>
              <w:t xml:space="preserve"> experts)</w:t>
            </w:r>
          </w:p>
        </w:tc>
        <w:tc>
          <w:tcPr>
            <w:tcW w:w="3260" w:type="dxa"/>
          </w:tcPr>
          <w:p w:rsidR="00D36134" w:rsidRPr="009712CD" w:rsidRDefault="00D36134" w:rsidP="001C04D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Meeting costs (1 week, 25</w:t>
            </w:r>
            <w:r w:rsidR="001C04DE">
              <w:rPr>
                <w:rFonts w:ascii="Times New Roman" w:eastAsia="SimSun" w:hAnsi="Times New Roman"/>
                <w:sz w:val="20"/>
                <w:szCs w:val="20"/>
                <w:lang w:eastAsia="zh-CN"/>
              </w:rPr>
              <w:t> </w:t>
            </w:r>
            <w:r w:rsidRPr="009712CD">
              <w:rPr>
                <w:rFonts w:ascii="Times New Roman" w:eastAsia="SimSun" w:hAnsi="Times New Roman"/>
                <w:sz w:val="20"/>
                <w:szCs w:val="20"/>
                <w:lang w:eastAsia="zh-CN"/>
              </w:rPr>
              <w:t>participants) (25</w:t>
            </w:r>
            <w:r w:rsidR="008839C0" w:rsidRPr="009712CD">
              <w:rPr>
                <w:rFonts w:ascii="Times New Roman" w:eastAsia="SimSun" w:hAnsi="Times New Roman"/>
                <w:sz w:val="20"/>
                <w:szCs w:val="20"/>
                <w:lang w:eastAsia="zh-CN"/>
              </w:rPr>
              <w:t xml:space="preserve"> per cent</w:t>
            </w:r>
            <w:r w:rsidR="00AC31BB" w:rsidRPr="009712CD">
              <w:rPr>
                <w:rFonts w:ascii="Times New Roman" w:eastAsia="SimSun" w:hAnsi="Times New Roman"/>
                <w:sz w:val="20"/>
                <w:szCs w:val="20"/>
                <w:lang w:eastAsia="zh-CN"/>
              </w:rPr>
              <w:t xml:space="preserve"> in </w:t>
            </w:r>
            <w:r w:rsidRPr="009712CD">
              <w:rPr>
                <w:rFonts w:ascii="Times New Roman" w:eastAsia="SimSun" w:hAnsi="Times New Roman"/>
                <w:sz w:val="20"/>
                <w:szCs w:val="20"/>
                <w:lang w:eastAsia="zh-CN"/>
              </w:rPr>
              <w:t>kind)</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7</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500</w:t>
            </w:r>
          </w:p>
        </w:tc>
      </w:tr>
      <w:tr w:rsidR="00D36134" w:rsidRPr="009712CD" w:rsidTr="001C04DE">
        <w:trPr>
          <w:trHeight w:val="187"/>
        </w:trPr>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Travel and DSA (19 x </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3</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000)</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57</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First author meeting (65</w:t>
            </w:r>
            <w:r w:rsidR="00021598" w:rsidRPr="009712CD">
              <w:rPr>
                <w:rFonts w:ascii="Times New Roman" w:eastAsia="SimSun" w:hAnsi="Times New Roman"/>
                <w:sz w:val="20"/>
                <w:szCs w:val="20"/>
                <w:lang w:eastAsia="zh-CN"/>
              </w:rPr>
              <w:t> </w:t>
            </w:r>
            <w:r w:rsidR="008839C0" w:rsidRPr="009712CD">
              <w:rPr>
                <w:rFonts w:ascii="Times New Roman" w:eastAsia="SimSun" w:hAnsi="Times New Roman"/>
                <w:sz w:val="20"/>
                <w:szCs w:val="20"/>
                <w:lang w:eastAsia="zh-CN"/>
              </w:rPr>
              <w:t>c</w:t>
            </w:r>
            <w:r w:rsidRPr="009712CD">
              <w:rPr>
                <w:rFonts w:ascii="Times New Roman" w:eastAsia="SimSun" w:hAnsi="Times New Roman"/>
                <w:sz w:val="20"/>
                <w:szCs w:val="20"/>
                <w:lang w:eastAsia="zh-CN"/>
              </w:rPr>
              <w:t>o-</w:t>
            </w:r>
            <w:r w:rsidR="008839C0" w:rsidRPr="009712CD">
              <w:rPr>
                <w:rFonts w:ascii="Times New Roman" w:eastAsia="SimSun" w:hAnsi="Times New Roman"/>
                <w:sz w:val="20"/>
                <w:szCs w:val="20"/>
                <w:lang w:eastAsia="zh-CN"/>
              </w:rPr>
              <w:t>c</w:t>
            </w:r>
            <w:r w:rsidRPr="009712CD">
              <w:rPr>
                <w:rFonts w:ascii="Times New Roman" w:eastAsia="SimSun" w:hAnsi="Times New Roman"/>
                <w:sz w:val="20"/>
                <w:szCs w:val="20"/>
                <w:lang w:eastAsia="zh-CN"/>
              </w:rPr>
              <w:t xml:space="preserve">hairs, </w:t>
            </w:r>
            <w:r w:rsidR="008839C0" w:rsidRPr="009712CD">
              <w:rPr>
                <w:rFonts w:ascii="Times New Roman" w:eastAsia="SimSun" w:hAnsi="Times New Roman"/>
                <w:sz w:val="20"/>
                <w:szCs w:val="20"/>
                <w:lang w:eastAsia="zh-CN"/>
              </w:rPr>
              <w:t>coordinating lead authors</w:t>
            </w:r>
            <w:r w:rsidR="00B03435" w:rsidRPr="009712CD">
              <w:rPr>
                <w:rFonts w:ascii="Times New Roman" w:eastAsia="SimSun" w:hAnsi="Times New Roman"/>
                <w:sz w:val="20"/>
                <w:szCs w:val="20"/>
                <w:lang w:eastAsia="zh-CN"/>
              </w:rPr>
              <w:t xml:space="preserve"> and</w:t>
            </w:r>
            <w:r w:rsidR="008839C0" w:rsidRPr="009712CD">
              <w:rPr>
                <w:rFonts w:ascii="Times New Roman" w:eastAsia="SimSun" w:hAnsi="Times New Roman"/>
                <w:sz w:val="20"/>
                <w:szCs w:val="20"/>
                <w:lang w:eastAsia="zh-CN"/>
              </w:rPr>
              <w:t xml:space="preserve"> lead authors, plus </w:t>
            </w:r>
            <w:r w:rsidRPr="009712CD">
              <w:rPr>
                <w:rFonts w:ascii="Times New Roman" w:eastAsia="SimSun" w:hAnsi="Times New Roman"/>
                <w:sz w:val="20"/>
                <w:szCs w:val="20"/>
                <w:lang w:eastAsia="zh-CN"/>
              </w:rPr>
              <w:t>4</w:t>
            </w:r>
            <w:r w:rsidR="00021598" w:rsidRPr="009712CD">
              <w:rPr>
                <w:rFonts w:ascii="Times New Roman" w:eastAsia="SimSun" w:hAnsi="Times New Roman"/>
                <w:sz w:val="20"/>
                <w:szCs w:val="20"/>
                <w:lang w:eastAsia="zh-CN"/>
              </w:rPr>
              <w:t> </w:t>
            </w:r>
            <w:r w:rsidR="008839C0" w:rsidRPr="009712CD">
              <w:rPr>
                <w:rFonts w:ascii="Times New Roman" w:eastAsia="SimSun" w:hAnsi="Times New Roman"/>
                <w:sz w:val="20"/>
                <w:szCs w:val="20"/>
                <w:lang w:eastAsia="zh-CN"/>
              </w:rPr>
              <w:t>Panel</w:t>
            </w:r>
            <w:r w:rsidRPr="009712CD">
              <w:rPr>
                <w:rFonts w:ascii="Times New Roman" w:eastAsia="SimSun" w:hAnsi="Times New Roman"/>
                <w:sz w:val="20"/>
                <w:szCs w:val="20"/>
                <w:lang w:eastAsia="zh-CN"/>
              </w:rPr>
              <w:t>/Bureau</w:t>
            </w:r>
            <w:r w:rsidR="008839C0" w:rsidRPr="009712CD">
              <w:rPr>
                <w:rFonts w:ascii="Times New Roman" w:eastAsia="SimSun" w:hAnsi="Times New Roman"/>
                <w:sz w:val="20"/>
                <w:szCs w:val="20"/>
                <w:lang w:eastAsia="zh-CN"/>
              </w:rPr>
              <w:t xml:space="preserve"> members, plus </w:t>
            </w:r>
            <w:r w:rsidRPr="009712CD">
              <w:rPr>
                <w:rFonts w:ascii="Times New Roman" w:eastAsia="SimSun" w:hAnsi="Times New Roman"/>
                <w:sz w:val="20"/>
                <w:szCs w:val="20"/>
                <w:lang w:eastAsia="zh-CN"/>
              </w:rPr>
              <w:t>1 technical support staff</w:t>
            </w:r>
            <w:r w:rsidR="008839C0" w:rsidRPr="009712CD">
              <w:rPr>
                <w:rFonts w:ascii="Times New Roman" w:eastAsia="SimSun" w:hAnsi="Times New Roman"/>
                <w:sz w:val="20"/>
                <w:szCs w:val="20"/>
                <w:lang w:eastAsia="zh-CN"/>
              </w:rPr>
              <w:t xml:space="preserve"> member</w:t>
            </w:r>
            <w:r w:rsidRPr="009712CD">
              <w:rPr>
                <w:rFonts w:ascii="Times New Roman" w:eastAsia="SimSun" w:hAnsi="Times New Roman"/>
                <w:sz w:val="20"/>
                <w:szCs w:val="20"/>
                <w:lang w:eastAsia="zh-CN"/>
              </w:rPr>
              <w: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Meeting costs (1 week, 70 participants) (25</w:t>
            </w:r>
            <w:r w:rsidR="00B03435" w:rsidRPr="009712CD">
              <w:rPr>
                <w:rFonts w:ascii="Times New Roman" w:eastAsia="SimSun" w:hAnsi="Times New Roman"/>
                <w:sz w:val="20"/>
                <w:szCs w:val="20"/>
                <w:lang w:eastAsia="zh-CN"/>
              </w:rPr>
              <w:t xml:space="preserve"> per cent</w:t>
            </w:r>
            <w:r w:rsidRPr="009712CD">
              <w:rPr>
                <w:rFonts w:ascii="Times New Roman" w:eastAsia="SimSun" w:hAnsi="Times New Roman"/>
                <w:sz w:val="20"/>
                <w:szCs w:val="20"/>
                <w:lang w:eastAsia="zh-CN"/>
              </w:rPr>
              <w:t xml:space="preserve"> in</w:t>
            </w:r>
            <w:r w:rsidR="00B03435"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kind)</w:t>
            </w:r>
          </w:p>
        </w:tc>
        <w:tc>
          <w:tcPr>
            <w:tcW w:w="892" w:type="dxa"/>
          </w:tcPr>
          <w:p w:rsidR="00D36134" w:rsidRPr="009712CD" w:rsidRDefault="00AC31BB"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15 </w:t>
            </w:r>
            <w:r w:rsidR="00D36134" w:rsidRPr="009712CD">
              <w:rPr>
                <w:rFonts w:ascii="Times New Roman" w:eastAsia="SimSun" w:hAnsi="Times New Roman"/>
                <w:sz w:val="20"/>
                <w:szCs w:val="20"/>
                <w:lang w:eastAsia="zh-CN"/>
              </w:rPr>
              <w:t>000</w:t>
            </w:r>
          </w:p>
        </w:tc>
      </w:tr>
      <w:tr w:rsidR="00D36134" w:rsidRPr="009712CD" w:rsidTr="001C04DE">
        <w:trPr>
          <w:trHeight w:val="339"/>
        </w:trPr>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Merge/>
            <w:tcBorders>
              <w:bottom w:val="single" w:sz="4" w:space="0" w:color="auto"/>
            </w:tcBorders>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0"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Travel and DSA (53 x </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3</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000)</w:t>
            </w:r>
          </w:p>
        </w:tc>
        <w:tc>
          <w:tcPr>
            <w:tcW w:w="892"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159</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rPr>
          <w:trHeight w:val="361"/>
        </w:trPr>
        <w:tc>
          <w:tcPr>
            <w:tcW w:w="850" w:type="dxa"/>
            <w:vMerge/>
            <w:tcBorders>
              <w:bottom w:val="single" w:sz="4" w:space="0" w:color="auto"/>
            </w:tcBorders>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Technical support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1 </w:t>
            </w:r>
            <w:r w:rsidR="008839C0" w:rsidRPr="009712CD">
              <w:rPr>
                <w:rFonts w:ascii="Times New Roman" w:eastAsia="SimSun" w:hAnsi="Times New Roman"/>
                <w:sz w:val="20"/>
                <w:szCs w:val="20"/>
                <w:lang w:eastAsia="zh-CN"/>
              </w:rPr>
              <w:t>full-time equivalent</w:t>
            </w:r>
            <w:r w:rsidRPr="009712CD">
              <w:rPr>
                <w:rFonts w:ascii="Times New Roman" w:eastAsia="SimSun" w:hAnsi="Times New Roman"/>
                <w:sz w:val="20"/>
                <w:szCs w:val="20"/>
                <w:lang w:eastAsia="zh-CN"/>
              </w:rPr>
              <w:t xml:space="preserve"> professional position (50</w:t>
            </w:r>
            <w:r w:rsidR="008839C0" w:rsidRPr="009712CD">
              <w:rPr>
                <w:rFonts w:ascii="Times New Roman" w:eastAsia="SimSun" w:hAnsi="Times New Roman"/>
                <w:sz w:val="20"/>
                <w:szCs w:val="20"/>
                <w:lang w:eastAsia="zh-CN"/>
              </w:rPr>
              <w:t xml:space="preserve"> per cent</w:t>
            </w:r>
            <w:r w:rsidR="00AC31BB" w:rsidRPr="009712CD">
              <w:rPr>
                <w:rFonts w:ascii="Times New Roman" w:eastAsia="SimSun" w:hAnsi="Times New Roman"/>
                <w:sz w:val="20"/>
                <w:szCs w:val="20"/>
                <w:lang w:eastAsia="zh-CN"/>
              </w:rPr>
              <w:t xml:space="preserve"> in </w:t>
            </w:r>
            <w:r w:rsidRPr="009712CD">
              <w:rPr>
                <w:rFonts w:ascii="Times New Roman" w:eastAsia="SimSun" w:hAnsi="Times New Roman"/>
                <w:sz w:val="20"/>
                <w:szCs w:val="20"/>
                <w:lang w:eastAsia="zh-CN"/>
              </w:rPr>
              <w:t>kind)</w:t>
            </w:r>
          </w:p>
        </w:tc>
        <w:tc>
          <w:tcPr>
            <w:tcW w:w="892"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75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c>
          <w:tcPr>
            <w:tcW w:w="850"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rPr>
                <w:rFonts w:ascii="Times New Roman" w:eastAsia="SimSun" w:hAnsi="Times New Roman"/>
                <w:sz w:val="20"/>
                <w:szCs w:val="20"/>
                <w:lang w:eastAsia="zh-CN"/>
              </w:rPr>
            </w:pPr>
            <w:r w:rsidRPr="009712CD">
              <w:rPr>
                <w:rFonts w:ascii="Times New Roman" w:eastAsia="SimSun" w:hAnsi="Times New Roman"/>
                <w:sz w:val="20"/>
                <w:szCs w:val="20"/>
                <w:lang w:eastAsia="zh-CN"/>
              </w:rPr>
              <w:t>2015</w:t>
            </w:r>
          </w:p>
        </w:tc>
        <w:tc>
          <w:tcPr>
            <w:tcW w:w="3261"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Second author meeting (65</w:t>
            </w:r>
            <w:r w:rsidR="00021598" w:rsidRPr="009712CD">
              <w:rPr>
                <w:rFonts w:ascii="Times New Roman" w:eastAsia="SimSun" w:hAnsi="Times New Roman"/>
                <w:sz w:val="20"/>
                <w:szCs w:val="20"/>
                <w:lang w:eastAsia="zh-CN"/>
              </w:rPr>
              <w:t> </w:t>
            </w:r>
            <w:r w:rsidR="008839C0" w:rsidRPr="009712CD">
              <w:rPr>
                <w:rFonts w:ascii="Times New Roman" w:eastAsia="SimSun" w:hAnsi="Times New Roman"/>
                <w:sz w:val="20"/>
                <w:szCs w:val="20"/>
                <w:lang w:eastAsia="zh-CN"/>
              </w:rPr>
              <w:t>co-c</w:t>
            </w:r>
            <w:r w:rsidRPr="009712CD">
              <w:rPr>
                <w:rFonts w:ascii="Times New Roman" w:eastAsia="SimSun" w:hAnsi="Times New Roman"/>
                <w:sz w:val="20"/>
                <w:szCs w:val="20"/>
                <w:lang w:eastAsia="zh-CN"/>
              </w:rPr>
              <w:t>hairs,</w:t>
            </w:r>
            <w:r w:rsidR="008839C0" w:rsidRPr="009712CD">
              <w:rPr>
                <w:rFonts w:ascii="Times New Roman" w:eastAsia="SimSun" w:hAnsi="Times New Roman"/>
                <w:sz w:val="20"/>
                <w:szCs w:val="20"/>
                <w:lang w:eastAsia="zh-CN"/>
              </w:rPr>
              <w:t xml:space="preserve"> coordinating lead authors</w:t>
            </w:r>
            <w:r w:rsidR="00B03435" w:rsidRPr="009712CD">
              <w:rPr>
                <w:rFonts w:ascii="Times New Roman" w:eastAsia="SimSun" w:hAnsi="Times New Roman"/>
                <w:sz w:val="20"/>
                <w:szCs w:val="20"/>
                <w:lang w:eastAsia="zh-CN"/>
              </w:rPr>
              <w:t xml:space="preserve"> and</w:t>
            </w:r>
            <w:r w:rsidR="008839C0" w:rsidRPr="009712CD">
              <w:rPr>
                <w:rFonts w:ascii="Times New Roman" w:eastAsia="SimSun" w:hAnsi="Times New Roman"/>
                <w:sz w:val="20"/>
                <w:szCs w:val="20"/>
                <w:lang w:eastAsia="zh-CN"/>
              </w:rPr>
              <w:t xml:space="preserve"> lead authors, plus </w:t>
            </w:r>
            <w:r w:rsidRPr="009712CD">
              <w:rPr>
                <w:rFonts w:ascii="Times New Roman" w:eastAsia="SimSun" w:hAnsi="Times New Roman"/>
                <w:sz w:val="20"/>
                <w:szCs w:val="20"/>
                <w:lang w:eastAsia="zh-CN"/>
              </w:rPr>
              <w:t>16</w:t>
            </w:r>
            <w:r w:rsidR="00021598" w:rsidRPr="009712CD">
              <w:rPr>
                <w:rFonts w:ascii="Times New Roman" w:eastAsia="SimSun" w:hAnsi="Times New Roman"/>
                <w:sz w:val="20"/>
                <w:szCs w:val="20"/>
                <w:lang w:eastAsia="zh-CN"/>
              </w:rPr>
              <w:t> </w:t>
            </w:r>
            <w:r w:rsidR="008839C0" w:rsidRPr="009712CD">
              <w:rPr>
                <w:rFonts w:ascii="Times New Roman" w:eastAsia="SimSun" w:hAnsi="Times New Roman"/>
                <w:sz w:val="20"/>
                <w:szCs w:val="20"/>
                <w:lang w:eastAsia="zh-CN"/>
              </w:rPr>
              <w:t>review editor</w:t>
            </w:r>
            <w:r w:rsidRPr="009712CD">
              <w:rPr>
                <w:rFonts w:ascii="Times New Roman" w:eastAsia="SimSun" w:hAnsi="Times New Roman"/>
                <w:sz w:val="20"/>
                <w:szCs w:val="20"/>
                <w:lang w:eastAsia="zh-CN"/>
              </w:rPr>
              <w:t>s</w:t>
            </w:r>
            <w:r w:rsidR="008839C0" w:rsidRPr="009712CD">
              <w:rPr>
                <w:rFonts w:ascii="Times New Roman" w:eastAsia="SimSun" w:hAnsi="Times New Roman"/>
                <w:sz w:val="20"/>
                <w:szCs w:val="20"/>
                <w:lang w:eastAsia="zh-CN"/>
              </w:rPr>
              <w:t>, plus</w:t>
            </w:r>
            <w:r w:rsidRPr="009712CD">
              <w:rPr>
                <w:rFonts w:ascii="Times New Roman" w:eastAsia="SimSun" w:hAnsi="Times New Roman"/>
                <w:sz w:val="20"/>
                <w:szCs w:val="20"/>
                <w:lang w:eastAsia="zh-CN"/>
              </w:rPr>
              <w:t xml:space="preserve"> 4</w:t>
            </w:r>
            <w:r w:rsidR="00021598" w:rsidRPr="009712CD">
              <w:rPr>
                <w:rFonts w:ascii="Times New Roman" w:eastAsia="SimSun" w:hAnsi="Times New Roman"/>
                <w:sz w:val="20"/>
                <w:szCs w:val="20"/>
                <w:lang w:eastAsia="zh-CN"/>
              </w:rPr>
              <w:t> </w:t>
            </w:r>
            <w:r w:rsidR="008839C0" w:rsidRPr="009712CD">
              <w:rPr>
                <w:rFonts w:ascii="Times New Roman" w:eastAsia="SimSun" w:hAnsi="Times New Roman"/>
                <w:sz w:val="20"/>
                <w:szCs w:val="20"/>
                <w:lang w:eastAsia="zh-CN"/>
              </w:rPr>
              <w:t>Panel</w:t>
            </w:r>
            <w:r w:rsidRPr="009712CD">
              <w:rPr>
                <w:rFonts w:ascii="Times New Roman" w:eastAsia="SimSun" w:hAnsi="Times New Roman"/>
                <w:sz w:val="20"/>
                <w:szCs w:val="20"/>
                <w:lang w:eastAsia="zh-CN"/>
              </w:rPr>
              <w:t>/Bureau</w:t>
            </w:r>
            <w:r w:rsidR="008839C0" w:rsidRPr="009712CD">
              <w:rPr>
                <w:rFonts w:ascii="Times New Roman" w:eastAsia="SimSun" w:hAnsi="Times New Roman"/>
                <w:sz w:val="20"/>
                <w:szCs w:val="20"/>
                <w:lang w:eastAsia="zh-CN"/>
              </w:rPr>
              <w:t xml:space="preserve"> members, plus 1</w:t>
            </w:r>
            <w:r w:rsidRPr="009712CD">
              <w:rPr>
                <w:rFonts w:ascii="Times New Roman" w:eastAsia="SimSun" w:hAnsi="Times New Roman"/>
                <w:sz w:val="20"/>
                <w:szCs w:val="20"/>
                <w:lang w:eastAsia="zh-CN"/>
              </w:rPr>
              <w:t xml:space="preserve"> technical support staff</w:t>
            </w:r>
            <w:r w:rsidR="008839C0" w:rsidRPr="009712CD">
              <w:rPr>
                <w:rFonts w:ascii="Times New Roman" w:eastAsia="SimSun" w:hAnsi="Times New Roman"/>
                <w:sz w:val="20"/>
                <w:szCs w:val="20"/>
                <w:lang w:eastAsia="zh-CN"/>
              </w:rPr>
              <w:t xml:space="preserve"> member</w:t>
            </w:r>
            <w:r w:rsidRPr="009712CD">
              <w:rPr>
                <w:rFonts w:ascii="Times New Roman" w:eastAsia="SimSun" w:hAnsi="Times New Roman"/>
                <w:sz w:val="20"/>
                <w:szCs w:val="20"/>
                <w:lang w:eastAsia="zh-CN"/>
              </w:rPr>
              <w: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Meeting costs (1 week, 86 participants) (25</w:t>
            </w:r>
            <w:r w:rsidR="008839C0" w:rsidRPr="009712CD">
              <w:rPr>
                <w:rFonts w:ascii="Times New Roman" w:eastAsia="SimSun" w:hAnsi="Times New Roman"/>
                <w:sz w:val="20"/>
                <w:szCs w:val="20"/>
                <w:lang w:eastAsia="zh-CN"/>
              </w:rPr>
              <w:t xml:space="preserve"> per cent </w:t>
            </w:r>
            <w:r w:rsidR="00AC31BB" w:rsidRPr="009712CD">
              <w:rPr>
                <w:rFonts w:ascii="Times New Roman" w:eastAsia="SimSun" w:hAnsi="Times New Roman"/>
                <w:sz w:val="20"/>
                <w:szCs w:val="20"/>
                <w:lang w:eastAsia="zh-CN"/>
              </w:rPr>
              <w:t xml:space="preserve">in </w:t>
            </w:r>
            <w:r w:rsidRPr="009712CD">
              <w:rPr>
                <w:rFonts w:ascii="Times New Roman" w:eastAsia="SimSun" w:hAnsi="Times New Roman"/>
                <w:sz w:val="20"/>
                <w:szCs w:val="20"/>
                <w:lang w:eastAsia="zh-CN"/>
              </w:rPr>
              <w:t>kind)</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rPr>
          <w:trHeight w:val="361"/>
        </w:trPr>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rPr>
                <w:rFonts w:ascii="Times New Roman" w:eastAsia="SimSun" w:hAnsi="Times New Roman"/>
                <w:sz w:val="20"/>
                <w:szCs w:val="20"/>
                <w:lang w:eastAsia="zh-CN"/>
              </w:rPr>
            </w:pPr>
          </w:p>
        </w:tc>
        <w:tc>
          <w:tcPr>
            <w:tcW w:w="3261" w:type="dxa"/>
            <w:vMerge/>
            <w:tcBorders>
              <w:bottom w:val="single" w:sz="4" w:space="0" w:color="auto"/>
            </w:tcBorders>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0"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Travel and DSA (65 x </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3</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000)</w:t>
            </w:r>
          </w:p>
        </w:tc>
        <w:tc>
          <w:tcPr>
            <w:tcW w:w="892"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195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Third author meeting (</w:t>
            </w:r>
            <w:r w:rsidR="00F02E62" w:rsidRPr="009712CD">
              <w:rPr>
                <w:rFonts w:ascii="Times New Roman" w:eastAsia="SimSun" w:hAnsi="Times New Roman"/>
                <w:sz w:val="20"/>
                <w:szCs w:val="20"/>
                <w:lang w:eastAsia="zh-CN"/>
              </w:rPr>
              <w:t>65</w:t>
            </w:r>
            <w:r w:rsidR="00021598" w:rsidRPr="009712CD">
              <w:rPr>
                <w:rFonts w:ascii="Times New Roman" w:eastAsia="SimSun" w:hAnsi="Times New Roman"/>
                <w:sz w:val="20"/>
                <w:szCs w:val="20"/>
                <w:lang w:eastAsia="zh-CN"/>
              </w:rPr>
              <w:t> </w:t>
            </w:r>
            <w:r w:rsidR="00B12E37" w:rsidRPr="009712CD">
              <w:rPr>
                <w:rFonts w:ascii="Times New Roman" w:eastAsia="SimSun" w:hAnsi="Times New Roman"/>
                <w:sz w:val="20"/>
                <w:szCs w:val="20"/>
                <w:lang w:eastAsia="zh-CN"/>
              </w:rPr>
              <w:t>c</w:t>
            </w:r>
            <w:r w:rsidRPr="009712CD">
              <w:rPr>
                <w:rFonts w:ascii="Times New Roman" w:eastAsia="SimSun" w:hAnsi="Times New Roman"/>
                <w:sz w:val="20"/>
                <w:szCs w:val="20"/>
                <w:lang w:eastAsia="zh-CN"/>
              </w:rPr>
              <w:t>o-</w:t>
            </w:r>
            <w:r w:rsidR="00B12E37" w:rsidRPr="009712CD">
              <w:rPr>
                <w:rFonts w:ascii="Times New Roman" w:eastAsia="SimSun" w:hAnsi="Times New Roman"/>
                <w:sz w:val="20"/>
                <w:szCs w:val="20"/>
                <w:lang w:eastAsia="zh-CN"/>
              </w:rPr>
              <w:t>c</w:t>
            </w:r>
            <w:r w:rsidRPr="009712CD">
              <w:rPr>
                <w:rFonts w:ascii="Times New Roman" w:eastAsia="SimSun" w:hAnsi="Times New Roman"/>
                <w:sz w:val="20"/>
                <w:szCs w:val="20"/>
                <w:lang w:eastAsia="zh-CN"/>
              </w:rPr>
              <w:t xml:space="preserve">hairs, </w:t>
            </w:r>
            <w:r w:rsidR="00B12E37" w:rsidRPr="009712CD">
              <w:rPr>
                <w:rFonts w:ascii="Times New Roman" w:eastAsia="SimSun" w:hAnsi="Times New Roman"/>
                <w:sz w:val="20"/>
                <w:szCs w:val="20"/>
                <w:lang w:eastAsia="zh-CN"/>
              </w:rPr>
              <w:t>coordinating lead authors</w:t>
            </w:r>
            <w:r w:rsidR="00B03435" w:rsidRPr="009712CD">
              <w:rPr>
                <w:rFonts w:ascii="Times New Roman" w:eastAsia="SimSun" w:hAnsi="Times New Roman"/>
                <w:sz w:val="20"/>
                <w:szCs w:val="20"/>
                <w:lang w:eastAsia="zh-CN"/>
              </w:rPr>
              <w:t xml:space="preserve"> and</w:t>
            </w:r>
            <w:r w:rsidR="00B12E37" w:rsidRPr="009712CD">
              <w:rPr>
                <w:rFonts w:ascii="Times New Roman" w:eastAsia="SimSun" w:hAnsi="Times New Roman"/>
                <w:sz w:val="20"/>
                <w:szCs w:val="20"/>
                <w:lang w:eastAsia="zh-CN"/>
              </w:rPr>
              <w:t xml:space="preserve"> lead authors, plus </w:t>
            </w:r>
            <w:r w:rsidR="005770B1" w:rsidRPr="009712CD">
              <w:rPr>
                <w:rFonts w:ascii="Times New Roman" w:eastAsia="SimSun" w:hAnsi="Times New Roman"/>
                <w:sz w:val="20"/>
                <w:szCs w:val="20"/>
                <w:lang w:eastAsia="zh-CN"/>
              </w:rPr>
              <w:t>16</w:t>
            </w:r>
            <w:r w:rsidR="00021598" w:rsidRPr="009712CD">
              <w:rPr>
                <w:rFonts w:ascii="Times New Roman" w:eastAsia="SimSun" w:hAnsi="Times New Roman"/>
                <w:sz w:val="20"/>
                <w:szCs w:val="20"/>
                <w:lang w:eastAsia="zh-CN"/>
              </w:rPr>
              <w:t> </w:t>
            </w:r>
            <w:r w:rsidR="00B12E37" w:rsidRPr="009712CD">
              <w:rPr>
                <w:rFonts w:ascii="Times New Roman" w:eastAsia="SimSun" w:hAnsi="Times New Roman"/>
                <w:sz w:val="20"/>
                <w:szCs w:val="20"/>
                <w:lang w:eastAsia="zh-CN"/>
              </w:rPr>
              <w:t>review editors, plus</w:t>
            </w:r>
            <w:r w:rsidRPr="009712CD">
              <w:rPr>
                <w:rFonts w:ascii="Times New Roman" w:eastAsia="SimSun" w:hAnsi="Times New Roman"/>
                <w:sz w:val="20"/>
                <w:szCs w:val="20"/>
                <w:lang w:eastAsia="zh-CN"/>
              </w:rPr>
              <w:t xml:space="preserve"> 4</w:t>
            </w:r>
            <w:r w:rsidR="00021598" w:rsidRPr="009712CD">
              <w:rPr>
                <w:rFonts w:ascii="Times New Roman" w:eastAsia="SimSun" w:hAnsi="Times New Roman"/>
                <w:sz w:val="20"/>
                <w:szCs w:val="20"/>
                <w:lang w:eastAsia="zh-CN"/>
              </w:rPr>
              <w:t> </w:t>
            </w:r>
            <w:r w:rsidR="00B12E37" w:rsidRPr="009712CD">
              <w:rPr>
                <w:rFonts w:ascii="Times New Roman" w:eastAsia="SimSun" w:hAnsi="Times New Roman"/>
                <w:sz w:val="20"/>
                <w:szCs w:val="20"/>
                <w:lang w:eastAsia="zh-CN"/>
              </w:rPr>
              <w:t>Panel</w:t>
            </w:r>
            <w:r w:rsidRPr="009712CD">
              <w:rPr>
                <w:rFonts w:ascii="Times New Roman" w:eastAsia="SimSun" w:hAnsi="Times New Roman"/>
                <w:sz w:val="20"/>
                <w:szCs w:val="20"/>
                <w:lang w:eastAsia="zh-CN"/>
              </w:rPr>
              <w:t>/Bureau</w:t>
            </w:r>
            <w:r w:rsidR="00D22A83" w:rsidRPr="009712CD">
              <w:rPr>
                <w:rFonts w:ascii="Times New Roman" w:eastAsia="SimSun" w:hAnsi="Times New Roman"/>
                <w:sz w:val="20"/>
                <w:szCs w:val="20"/>
                <w:lang w:eastAsia="zh-CN"/>
              </w:rPr>
              <w:t xml:space="preserve"> members</w:t>
            </w:r>
            <w:r w:rsidR="00B12E37" w:rsidRPr="009712CD">
              <w:rPr>
                <w:rFonts w:ascii="Times New Roman" w:eastAsia="SimSun" w:hAnsi="Times New Roman"/>
                <w:sz w:val="20"/>
                <w:szCs w:val="20"/>
                <w:lang w:eastAsia="zh-CN"/>
              </w:rPr>
              <w:t xml:space="preserve">, plus </w:t>
            </w:r>
            <w:r w:rsidRPr="009712CD">
              <w:rPr>
                <w:rFonts w:ascii="Times New Roman" w:eastAsia="SimSun" w:hAnsi="Times New Roman"/>
                <w:sz w:val="20"/>
                <w:szCs w:val="20"/>
                <w:lang w:eastAsia="zh-CN"/>
              </w:rPr>
              <w:t>1 technical support staff</w:t>
            </w:r>
            <w:r w:rsidR="00B12E37" w:rsidRPr="009712CD">
              <w:rPr>
                <w:rFonts w:ascii="Times New Roman" w:eastAsia="SimSun" w:hAnsi="Times New Roman"/>
                <w:sz w:val="20"/>
                <w:szCs w:val="20"/>
                <w:lang w:eastAsia="zh-CN"/>
              </w:rPr>
              <w:t xml:space="preserve"> member</w:t>
            </w:r>
            <w:r w:rsidRPr="009712CD">
              <w:rPr>
                <w:rFonts w:ascii="Times New Roman" w:eastAsia="SimSun" w:hAnsi="Times New Roman"/>
                <w:sz w:val="20"/>
                <w:szCs w:val="20"/>
                <w:lang w:eastAsia="zh-CN"/>
              </w:rPr>
              <w: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Meeting costs (1 week, 86 participants) (25</w:t>
            </w:r>
            <w:r w:rsidR="008839C0" w:rsidRPr="009712CD">
              <w:rPr>
                <w:rFonts w:ascii="Times New Roman" w:eastAsia="SimSun" w:hAnsi="Times New Roman"/>
                <w:sz w:val="20"/>
                <w:szCs w:val="20"/>
                <w:lang w:eastAsia="zh-CN"/>
              </w:rPr>
              <w:t xml:space="preserve"> per cent</w:t>
            </w:r>
            <w:r w:rsidRPr="009712CD">
              <w:rPr>
                <w:rFonts w:ascii="Times New Roman" w:eastAsia="SimSun" w:hAnsi="Times New Roman"/>
                <w:sz w:val="20"/>
                <w:szCs w:val="20"/>
                <w:lang w:eastAsia="zh-CN"/>
              </w:rPr>
              <w:t xml:space="preserve"> in</w:t>
            </w:r>
            <w:r w:rsidR="00B03435"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kind)</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rPr>
          <w:trHeight w:val="339"/>
        </w:trPr>
        <w:tc>
          <w:tcPr>
            <w:tcW w:w="850" w:type="dxa"/>
            <w:vMerge/>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Merge/>
            <w:tcBorders>
              <w:bottom w:val="single" w:sz="4" w:space="0" w:color="auto"/>
            </w:tcBorders>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0" w:type="dxa"/>
            <w:tcBorders>
              <w:bottom w:val="single" w:sz="4" w:space="0" w:color="auto"/>
            </w:tcBorders>
          </w:tcPr>
          <w:p w:rsidR="00021598"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Travel and DSA (65 x </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3</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000)</w:t>
            </w:r>
          </w:p>
        </w:tc>
        <w:tc>
          <w:tcPr>
            <w:tcW w:w="892"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195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rPr>
          <w:trHeight w:val="361"/>
        </w:trPr>
        <w:tc>
          <w:tcPr>
            <w:tcW w:w="850" w:type="dxa"/>
            <w:vMerge/>
            <w:tcBorders>
              <w:bottom w:val="single" w:sz="4" w:space="0" w:color="auto"/>
            </w:tcBorders>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Technical support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1 </w:t>
            </w:r>
            <w:r w:rsidR="008839C0" w:rsidRPr="009712CD">
              <w:rPr>
                <w:rFonts w:ascii="Times New Roman" w:eastAsia="SimSun" w:hAnsi="Times New Roman"/>
                <w:sz w:val="20"/>
                <w:szCs w:val="20"/>
                <w:lang w:eastAsia="zh-CN"/>
              </w:rPr>
              <w:t>full-time equivalent</w:t>
            </w:r>
            <w:r w:rsidRPr="009712CD">
              <w:rPr>
                <w:rFonts w:ascii="Times New Roman" w:eastAsia="SimSun" w:hAnsi="Times New Roman"/>
                <w:sz w:val="20"/>
                <w:szCs w:val="20"/>
                <w:lang w:eastAsia="zh-CN"/>
              </w:rPr>
              <w:t xml:space="preserve"> professional position (50</w:t>
            </w:r>
            <w:r w:rsidR="008839C0" w:rsidRPr="009712CD">
              <w:rPr>
                <w:rFonts w:ascii="Times New Roman" w:eastAsia="SimSun" w:hAnsi="Times New Roman"/>
                <w:sz w:val="20"/>
                <w:szCs w:val="20"/>
                <w:lang w:eastAsia="zh-CN"/>
              </w:rPr>
              <w:t xml:space="preserve"> per cent</w:t>
            </w:r>
            <w:r w:rsidRPr="009712CD">
              <w:rPr>
                <w:rFonts w:ascii="Times New Roman" w:eastAsia="SimSun" w:hAnsi="Times New Roman"/>
                <w:sz w:val="20"/>
                <w:szCs w:val="20"/>
                <w:lang w:eastAsia="zh-CN"/>
              </w:rPr>
              <w:t xml:space="preserve"> in</w:t>
            </w:r>
            <w:r w:rsidR="00B03435"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kind)</w:t>
            </w:r>
          </w:p>
        </w:tc>
        <w:tc>
          <w:tcPr>
            <w:tcW w:w="892" w:type="dxa"/>
            <w:tcBorders>
              <w:bottom w:val="single" w:sz="4" w:space="0" w:color="auto"/>
            </w:tcBorders>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75</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rPr>
          <w:trHeight w:val="357"/>
        </w:trPr>
        <w:tc>
          <w:tcPr>
            <w:tcW w:w="850" w:type="dxa"/>
            <w:vMerge w:val="restart"/>
            <w:vAlign w:val="center"/>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2016</w:t>
            </w:r>
          </w:p>
        </w:tc>
        <w:tc>
          <w:tcPr>
            <w:tcW w:w="3261" w:type="dxa"/>
            <w:vAlign w:val="center"/>
          </w:tcPr>
          <w:p w:rsidR="00D36134" w:rsidRPr="009712CD" w:rsidRDefault="00B12E37"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Participation by </w:t>
            </w:r>
            <w:r w:rsidR="00D36134" w:rsidRPr="009712CD">
              <w:rPr>
                <w:rFonts w:ascii="Times New Roman" w:eastAsia="SimSun" w:hAnsi="Times New Roman"/>
                <w:sz w:val="20"/>
                <w:szCs w:val="20"/>
                <w:lang w:eastAsia="zh-CN"/>
              </w:rPr>
              <w:t>2</w:t>
            </w:r>
            <w:r w:rsidR="00DD6269" w:rsidRPr="009712CD">
              <w:rPr>
                <w:rFonts w:ascii="Times New Roman" w:eastAsia="SimSun" w:hAnsi="Times New Roman"/>
                <w:sz w:val="20"/>
                <w:szCs w:val="20"/>
                <w:lang w:eastAsia="zh-CN"/>
              </w:rPr>
              <w:t> </w:t>
            </w:r>
            <w:r w:rsidRPr="009712CD">
              <w:rPr>
                <w:rFonts w:ascii="Times New Roman" w:eastAsia="SimSun" w:hAnsi="Times New Roman"/>
                <w:sz w:val="20"/>
                <w:szCs w:val="20"/>
                <w:lang w:eastAsia="zh-CN"/>
              </w:rPr>
              <w:t>c</w:t>
            </w:r>
            <w:r w:rsidR="00D36134" w:rsidRPr="009712CD">
              <w:rPr>
                <w:rFonts w:ascii="Times New Roman" w:eastAsia="SimSun" w:hAnsi="Times New Roman"/>
                <w:sz w:val="20"/>
                <w:szCs w:val="20"/>
                <w:lang w:eastAsia="zh-CN"/>
              </w:rPr>
              <w:t>o</w:t>
            </w:r>
            <w:r w:rsidRPr="009712CD">
              <w:rPr>
                <w:rFonts w:ascii="Times New Roman" w:eastAsia="SimSun" w:hAnsi="Times New Roman"/>
                <w:sz w:val="20"/>
                <w:szCs w:val="20"/>
                <w:lang w:eastAsia="zh-CN"/>
              </w:rPr>
              <w:noBreakHyphen/>
              <w:t>c</w:t>
            </w:r>
            <w:r w:rsidR="00D36134" w:rsidRPr="009712CD">
              <w:rPr>
                <w:rFonts w:ascii="Times New Roman" w:eastAsia="SimSun" w:hAnsi="Times New Roman"/>
                <w:sz w:val="20"/>
                <w:szCs w:val="20"/>
                <w:lang w:eastAsia="zh-CN"/>
              </w:rPr>
              <w:t>hairs and 2</w:t>
            </w:r>
            <w:r w:rsidR="00DD6269" w:rsidRPr="009712CD">
              <w:rPr>
                <w:rFonts w:ascii="Times New Roman" w:eastAsia="SimSun" w:hAnsi="Times New Roman"/>
                <w:sz w:val="20"/>
                <w:szCs w:val="20"/>
                <w:lang w:eastAsia="zh-CN"/>
              </w:rPr>
              <w:t> </w:t>
            </w:r>
            <w:r w:rsidRPr="009712CD">
              <w:rPr>
                <w:rFonts w:ascii="Times New Roman" w:eastAsia="SimSun" w:hAnsi="Times New Roman"/>
                <w:sz w:val="20"/>
                <w:szCs w:val="20"/>
                <w:lang w:eastAsia="zh-CN"/>
              </w:rPr>
              <w:t>coordinating lead authors in the fourth session of the Plenary</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Travel and DSA (3 x </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3</w:t>
            </w:r>
            <w:r w:rsidR="008839C0"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000)</w:t>
            </w: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9</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Del="001E184E" w:rsidTr="001C04DE">
        <w:trPr>
          <w:trHeight w:val="560"/>
        </w:trPr>
        <w:tc>
          <w:tcPr>
            <w:tcW w:w="850" w:type="dxa"/>
            <w:vMerge/>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1"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Dissemination </w:t>
            </w:r>
            <w:r w:rsidR="00B12E37" w:rsidRPr="009712CD">
              <w:rPr>
                <w:rFonts w:ascii="Times New Roman" w:eastAsia="SimSun" w:hAnsi="Times New Roman"/>
                <w:sz w:val="20"/>
                <w:szCs w:val="20"/>
                <w:lang w:eastAsia="zh-CN"/>
              </w:rPr>
              <w:t xml:space="preserve">and outreach </w:t>
            </w:r>
            <w:r w:rsidRPr="009712CD">
              <w:rPr>
                <w:rFonts w:ascii="Times New Roman" w:eastAsia="SimSun" w:hAnsi="Times New Roman"/>
                <w:sz w:val="20"/>
                <w:szCs w:val="20"/>
                <w:lang w:eastAsia="zh-CN"/>
              </w:rPr>
              <w:t>(</w:t>
            </w:r>
            <w:r w:rsidR="00B12E37" w:rsidRPr="009712CD">
              <w:rPr>
                <w:rFonts w:ascii="Times New Roman" w:eastAsia="SimSun" w:hAnsi="Times New Roman"/>
                <w:sz w:val="20"/>
                <w:szCs w:val="20"/>
                <w:lang w:eastAsia="zh-CN"/>
              </w:rPr>
              <w:t>summary for policymakers (</w:t>
            </w:r>
            <w:r w:rsidR="00FE1E0B" w:rsidRPr="009712CD">
              <w:rPr>
                <w:rFonts w:ascii="Times New Roman" w:eastAsia="SimSun" w:hAnsi="Times New Roman"/>
                <w:sz w:val="20"/>
                <w:szCs w:val="20"/>
                <w:lang w:eastAsia="zh-CN"/>
              </w:rPr>
              <w:t>10 </w:t>
            </w:r>
            <w:r w:rsidR="00B12E37" w:rsidRPr="009712CD">
              <w:rPr>
                <w:rFonts w:ascii="Times New Roman" w:eastAsia="SimSun" w:hAnsi="Times New Roman"/>
                <w:sz w:val="20"/>
                <w:szCs w:val="20"/>
                <w:lang w:eastAsia="zh-CN"/>
              </w:rPr>
              <w:t>pages) and report</w:t>
            </w:r>
            <w:r w:rsidRPr="009712CD">
              <w:rPr>
                <w:rFonts w:ascii="Times New Roman" w:eastAsia="SimSun" w:hAnsi="Times New Roman"/>
                <w:sz w:val="20"/>
                <w:szCs w:val="20"/>
                <w:lang w:eastAsia="zh-CN"/>
              </w:rPr>
              <w:t xml:space="preserve"> </w:t>
            </w:r>
            <w:r w:rsidR="00B12E37" w:rsidRPr="009712CD">
              <w:rPr>
                <w:rFonts w:ascii="Times New Roman" w:eastAsia="SimSun" w:hAnsi="Times New Roman"/>
                <w:sz w:val="20"/>
                <w:szCs w:val="20"/>
                <w:lang w:eastAsia="zh-CN"/>
              </w:rPr>
              <w:t>(</w:t>
            </w:r>
            <w:r w:rsidRPr="009712CD">
              <w:rPr>
                <w:rFonts w:ascii="Times New Roman" w:eastAsia="SimSun" w:hAnsi="Times New Roman"/>
                <w:sz w:val="20"/>
                <w:szCs w:val="20"/>
                <w:lang w:eastAsia="zh-CN"/>
              </w:rPr>
              <w:t>200</w:t>
            </w:r>
            <w:r w:rsidR="00B12E37"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p</w:t>
            </w:r>
            <w:r w:rsidR="00B12E37" w:rsidRPr="009712CD">
              <w:rPr>
                <w:rFonts w:ascii="Times New Roman" w:eastAsia="SimSun" w:hAnsi="Times New Roman"/>
                <w:sz w:val="20"/>
                <w:szCs w:val="20"/>
                <w:lang w:eastAsia="zh-CN"/>
              </w:rPr>
              <w:t>ages)</w:t>
            </w:r>
            <w:r w:rsidR="00FE1E0B" w:rsidRPr="009712CD">
              <w:rPr>
                <w:rFonts w:ascii="Times New Roman" w:eastAsia="SimSun" w:hAnsi="Times New Roman"/>
                <w:sz w:val="20"/>
                <w:szCs w:val="20"/>
                <w:lang w:eastAsia="zh-CN"/>
              </w:rPr>
              <w:t>)</w:t>
            </w: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r w:rsidRPr="009712CD">
              <w:rPr>
                <w:rFonts w:ascii="Times New Roman" w:eastAsia="SimSun" w:hAnsi="Times New Roman"/>
                <w:sz w:val="20"/>
                <w:szCs w:val="20"/>
                <w:lang w:eastAsia="zh-CN"/>
              </w:rPr>
              <w:t xml:space="preserve">Translation of </w:t>
            </w:r>
            <w:r w:rsidR="00B12E37" w:rsidRPr="009712CD">
              <w:rPr>
                <w:rFonts w:ascii="Times New Roman" w:eastAsia="SimSun" w:hAnsi="Times New Roman"/>
                <w:sz w:val="20"/>
                <w:szCs w:val="20"/>
                <w:lang w:eastAsia="zh-CN"/>
              </w:rPr>
              <w:t xml:space="preserve">the summary for policymakers into </w:t>
            </w:r>
            <w:r w:rsidR="00B03435" w:rsidRPr="009712CD">
              <w:rPr>
                <w:rFonts w:ascii="Times New Roman" w:eastAsia="SimSun" w:hAnsi="Times New Roman"/>
                <w:sz w:val="20"/>
                <w:szCs w:val="20"/>
                <w:lang w:eastAsia="zh-CN"/>
              </w:rPr>
              <w:t>all the</w:t>
            </w:r>
            <w:r w:rsidR="00B12E37" w:rsidRPr="009712CD">
              <w:rPr>
                <w:rFonts w:ascii="Times New Roman" w:eastAsia="SimSun" w:hAnsi="Times New Roman"/>
                <w:sz w:val="20"/>
                <w:szCs w:val="20"/>
                <w:lang w:eastAsia="zh-CN"/>
              </w:rPr>
              <w:t xml:space="preserve"> official languages of the United Nations</w:t>
            </w:r>
            <w:r w:rsidRPr="009712CD">
              <w:rPr>
                <w:rFonts w:ascii="Times New Roman" w:eastAsia="SimSun" w:hAnsi="Times New Roman"/>
                <w:sz w:val="20"/>
                <w:szCs w:val="20"/>
                <w:lang w:eastAsia="zh-CN"/>
              </w:rPr>
              <w:t>, publication</w:t>
            </w:r>
            <w:r w:rsidR="00B03435" w:rsidRPr="009712CD">
              <w:rPr>
                <w:rFonts w:ascii="Times New Roman" w:eastAsia="SimSun" w:hAnsi="Times New Roman"/>
                <w:sz w:val="20"/>
                <w:szCs w:val="20"/>
                <w:lang w:eastAsia="zh-CN"/>
              </w:rPr>
              <w:t xml:space="preserve"> and</w:t>
            </w:r>
            <w:r w:rsidRPr="009712CD">
              <w:rPr>
                <w:rFonts w:ascii="Times New Roman" w:eastAsia="SimSun" w:hAnsi="Times New Roman"/>
                <w:sz w:val="20"/>
                <w:szCs w:val="20"/>
                <w:lang w:eastAsia="zh-CN"/>
              </w:rPr>
              <w:t xml:space="preserve"> outreach</w:t>
            </w:r>
          </w:p>
        </w:tc>
        <w:tc>
          <w:tcPr>
            <w:tcW w:w="892" w:type="dxa"/>
          </w:tcPr>
          <w:p w:rsidR="00D36134" w:rsidRPr="009712CD" w:rsidDel="001E184E"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sz w:val="20"/>
                <w:szCs w:val="20"/>
                <w:lang w:eastAsia="zh-CN"/>
              </w:rPr>
            </w:pPr>
            <w:r w:rsidRPr="009712CD">
              <w:rPr>
                <w:rFonts w:ascii="Times New Roman" w:eastAsia="SimSun" w:hAnsi="Times New Roman"/>
                <w:sz w:val="20"/>
                <w:szCs w:val="20"/>
                <w:lang w:eastAsia="zh-CN"/>
              </w:rPr>
              <w:t>117</w:t>
            </w:r>
            <w:r w:rsidR="008839C0" w:rsidRPr="009712CD">
              <w:rPr>
                <w:rFonts w:ascii="Times New Roman" w:eastAsia="SimSun" w:hAnsi="Times New Roman"/>
                <w:sz w:val="20"/>
                <w:szCs w:val="20"/>
                <w:lang w:eastAsia="zh-CN"/>
              </w:rPr>
              <w:t xml:space="preserve"> </w:t>
            </w:r>
            <w:r w:rsidRPr="009712CD">
              <w:rPr>
                <w:rFonts w:ascii="Times New Roman" w:eastAsia="SimSun" w:hAnsi="Times New Roman"/>
                <w:sz w:val="20"/>
                <w:szCs w:val="20"/>
                <w:lang w:eastAsia="zh-CN"/>
              </w:rPr>
              <w:t>000</w:t>
            </w:r>
          </w:p>
        </w:tc>
      </w:tr>
      <w:tr w:rsidR="00D36134" w:rsidRPr="009712CD" w:rsidTr="001C04DE">
        <w:tc>
          <w:tcPr>
            <w:tcW w:w="85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b/>
                <w:sz w:val="20"/>
                <w:szCs w:val="20"/>
                <w:lang w:eastAsia="zh-CN"/>
              </w:rPr>
            </w:pPr>
            <w:r w:rsidRPr="009712CD">
              <w:rPr>
                <w:rFonts w:ascii="Times New Roman" w:eastAsia="SimSun" w:hAnsi="Times New Roman"/>
                <w:b/>
                <w:sz w:val="20"/>
                <w:szCs w:val="20"/>
                <w:lang w:eastAsia="zh-CN"/>
              </w:rPr>
              <w:t>Total</w:t>
            </w:r>
          </w:p>
        </w:tc>
        <w:tc>
          <w:tcPr>
            <w:tcW w:w="3261"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3260"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rPr>
                <w:rFonts w:ascii="Times New Roman" w:eastAsia="SimSun" w:hAnsi="Times New Roman"/>
                <w:sz w:val="20"/>
                <w:szCs w:val="20"/>
                <w:lang w:eastAsia="zh-CN"/>
              </w:rPr>
            </w:pPr>
          </w:p>
        </w:tc>
        <w:tc>
          <w:tcPr>
            <w:tcW w:w="892" w:type="dxa"/>
          </w:tcPr>
          <w:p w:rsidR="00D36134" w:rsidRPr="009712CD" w:rsidRDefault="00D36134" w:rsidP="00D2124E">
            <w:pPr>
              <w:pStyle w:val="ColorfulList-Accent1"/>
              <w:tabs>
                <w:tab w:val="left" w:pos="426"/>
              </w:tabs>
              <w:autoSpaceDE w:val="0"/>
              <w:autoSpaceDN w:val="0"/>
              <w:adjustRightInd w:val="0"/>
              <w:spacing w:before="20" w:after="20"/>
              <w:ind w:left="0"/>
              <w:contextualSpacing w:val="0"/>
              <w:jc w:val="right"/>
              <w:rPr>
                <w:rFonts w:ascii="Times New Roman" w:eastAsia="SimSun" w:hAnsi="Times New Roman"/>
                <w:b/>
                <w:sz w:val="20"/>
                <w:szCs w:val="20"/>
                <w:lang w:eastAsia="zh-CN"/>
              </w:rPr>
            </w:pPr>
            <w:r w:rsidRPr="009712CD">
              <w:rPr>
                <w:rFonts w:ascii="Times New Roman" w:eastAsia="SimSun" w:hAnsi="Times New Roman"/>
                <w:b/>
                <w:sz w:val="20"/>
                <w:szCs w:val="20"/>
                <w:lang w:eastAsia="zh-CN"/>
              </w:rPr>
              <w:t>934</w:t>
            </w:r>
            <w:r w:rsidR="008839C0" w:rsidRPr="009712CD">
              <w:rPr>
                <w:rFonts w:ascii="Times New Roman" w:eastAsia="SimSun" w:hAnsi="Times New Roman"/>
                <w:b/>
                <w:sz w:val="20"/>
                <w:szCs w:val="20"/>
                <w:lang w:eastAsia="zh-CN"/>
              </w:rPr>
              <w:t xml:space="preserve"> </w:t>
            </w:r>
            <w:r w:rsidRPr="009712CD">
              <w:rPr>
                <w:rFonts w:ascii="Times New Roman" w:eastAsia="SimSun" w:hAnsi="Times New Roman"/>
                <w:b/>
                <w:sz w:val="20"/>
                <w:szCs w:val="20"/>
                <w:lang w:eastAsia="zh-CN"/>
              </w:rPr>
              <w:t>500</w:t>
            </w:r>
          </w:p>
        </w:tc>
      </w:tr>
    </w:tbl>
    <w:p w:rsidR="00614485" w:rsidRPr="001C04DE" w:rsidRDefault="00614485" w:rsidP="001C04DE">
      <w:pPr>
        <w:pStyle w:val="Normal-pool"/>
        <w:rPr>
          <w:sz w:val="20"/>
          <w:szCs w:val="20"/>
        </w:rPr>
      </w:pPr>
    </w:p>
    <w:tbl>
      <w:tblPr>
        <w:tblW w:w="0" w:type="auto"/>
        <w:tblLook w:val="01E0" w:firstRow="1" w:lastRow="1" w:firstColumn="1" w:lastColumn="1" w:noHBand="0" w:noVBand="0"/>
      </w:tblPr>
      <w:tblGrid>
        <w:gridCol w:w="3237"/>
        <w:gridCol w:w="3237"/>
        <w:gridCol w:w="3238"/>
      </w:tblGrid>
      <w:tr w:rsidR="00614485" w:rsidRPr="001C04DE" w:rsidTr="00614485">
        <w:tc>
          <w:tcPr>
            <w:tcW w:w="3237" w:type="dxa"/>
          </w:tcPr>
          <w:p w:rsidR="00614485" w:rsidRPr="001C04DE" w:rsidRDefault="00614485" w:rsidP="001C04DE">
            <w:pPr>
              <w:pStyle w:val="Normal-pool"/>
              <w:rPr>
                <w:sz w:val="20"/>
                <w:szCs w:val="20"/>
              </w:rPr>
            </w:pPr>
          </w:p>
        </w:tc>
        <w:tc>
          <w:tcPr>
            <w:tcW w:w="3237" w:type="dxa"/>
            <w:tcBorders>
              <w:bottom w:val="single" w:sz="4" w:space="0" w:color="auto"/>
            </w:tcBorders>
          </w:tcPr>
          <w:p w:rsidR="00614485" w:rsidRPr="001C04DE" w:rsidRDefault="00614485" w:rsidP="001C04DE">
            <w:pPr>
              <w:pStyle w:val="Normal-pool"/>
              <w:rPr>
                <w:sz w:val="20"/>
                <w:szCs w:val="20"/>
              </w:rPr>
            </w:pPr>
          </w:p>
        </w:tc>
        <w:tc>
          <w:tcPr>
            <w:tcW w:w="3238" w:type="dxa"/>
          </w:tcPr>
          <w:p w:rsidR="00614485" w:rsidRPr="001C04DE" w:rsidRDefault="00614485" w:rsidP="001C04DE">
            <w:pPr>
              <w:pStyle w:val="Normal-pool"/>
              <w:rPr>
                <w:sz w:val="20"/>
                <w:szCs w:val="20"/>
              </w:rPr>
            </w:pPr>
          </w:p>
        </w:tc>
      </w:tr>
    </w:tbl>
    <w:p w:rsidR="00D36134" w:rsidRPr="001C04DE" w:rsidRDefault="00D36134" w:rsidP="001C04DE">
      <w:pPr>
        <w:pStyle w:val="Normal-pool"/>
        <w:rPr>
          <w:sz w:val="20"/>
          <w:szCs w:val="20"/>
        </w:rPr>
      </w:pPr>
    </w:p>
    <w:sectPr w:rsidR="00D36134" w:rsidRPr="001C04DE" w:rsidSect="00713D8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3" w:rsidRDefault="00912E53">
      <w:r>
        <w:separator/>
      </w:r>
    </w:p>
  </w:endnote>
  <w:endnote w:type="continuationSeparator" w:id="0">
    <w:p w:rsidR="00912E53" w:rsidRDefault="009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man">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Default="00F02E62">
    <w:pPr>
      <w:pStyle w:val="Footer"/>
    </w:pPr>
    <w:r>
      <w:rPr>
        <w:rStyle w:val="PageNumber"/>
      </w:rPr>
      <w:fldChar w:fldCharType="begin"/>
    </w:r>
    <w:r>
      <w:rPr>
        <w:rStyle w:val="PageNumber"/>
      </w:rPr>
      <w:instrText xml:space="preserve"> PAGE </w:instrText>
    </w:r>
    <w:r>
      <w:rPr>
        <w:rStyle w:val="PageNumber"/>
      </w:rPr>
      <w:fldChar w:fldCharType="separate"/>
    </w:r>
    <w:r w:rsidR="003A343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Default="00F02E6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3A3430">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864922" w:rsidRDefault="00F02E62" w:rsidP="00194D87">
    <w:pPr>
      <w:pStyle w:val="Footer"/>
      <w:tabs>
        <w:tab w:val="clear" w:pos="4320"/>
        <w:tab w:val="clear" w:pos="8640"/>
        <w:tab w:val="left" w:pos="624"/>
      </w:tabs>
      <w:rPr>
        <w:rFonts w:ascii="Times New Roman" w:hAnsi="Times New Roman"/>
        <w:sz w:val="20"/>
        <w:szCs w:val="20"/>
      </w:rPr>
    </w:pPr>
    <w:r>
      <w:rPr>
        <w:rFonts w:ascii="Times New Roman" w:hAnsi="Times New Roman"/>
        <w:sz w:val="20"/>
        <w:szCs w:val="20"/>
      </w:rPr>
      <w:t>K1353783</w:t>
    </w:r>
    <w:r>
      <w:rPr>
        <w:rFonts w:ascii="Times New Roman" w:hAnsi="Times New Roman"/>
        <w:sz w:val="20"/>
        <w:szCs w:val="20"/>
      </w:rPr>
      <w:tab/>
    </w:r>
    <w:r w:rsidR="001C04DE">
      <w:rPr>
        <w:rFonts w:ascii="Times New Roman" w:hAnsi="Times New Roman"/>
        <w:sz w:val="20"/>
        <w:szCs w:val="20"/>
      </w:rPr>
      <w:t>1</w:t>
    </w:r>
    <w:r w:rsidR="0028361B">
      <w:rPr>
        <w:rFonts w:ascii="Times New Roman" w:hAnsi="Times New Roman"/>
        <w:sz w:val="20"/>
        <w:szCs w:val="20"/>
      </w:rPr>
      <w:t>5</w:t>
    </w:r>
    <w:r w:rsidR="001C04DE">
      <w:rPr>
        <w:rFonts w:ascii="Times New Roman" w:hAnsi="Times New Roman"/>
        <w:sz w:val="20"/>
        <w:szCs w:val="20"/>
      </w:rPr>
      <w:t>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3" w:rsidRPr="00A53029" w:rsidRDefault="00912E53" w:rsidP="00A53029">
      <w:pPr>
        <w:spacing w:after="120" w:line="240" w:lineRule="auto"/>
        <w:ind w:left="624"/>
        <w:rPr>
          <w:rFonts w:ascii="Times New Roman" w:hAnsi="Times New Roman"/>
          <w:sz w:val="20"/>
          <w:szCs w:val="20"/>
        </w:rPr>
      </w:pPr>
      <w:r w:rsidRPr="00A53029">
        <w:rPr>
          <w:rFonts w:ascii="Times New Roman" w:hAnsi="Times New Roman"/>
          <w:sz w:val="20"/>
          <w:szCs w:val="20"/>
        </w:rPr>
        <w:separator/>
      </w:r>
    </w:p>
  </w:footnote>
  <w:footnote w:type="continuationSeparator" w:id="0">
    <w:p w:rsidR="00912E53" w:rsidRDefault="00912E53">
      <w:r>
        <w:continuationSeparator/>
      </w:r>
    </w:p>
  </w:footnote>
  <w:footnote w:id="1">
    <w:p w:rsidR="00F02E62" w:rsidRPr="00722F99" w:rsidRDefault="00F02E62" w:rsidP="00D27251">
      <w:pPr>
        <w:pStyle w:val="FootnoteText"/>
        <w:rPr>
          <w:szCs w:val="18"/>
          <w:lang w:val="en-US"/>
        </w:rPr>
      </w:pPr>
      <w:r w:rsidRPr="00722F99">
        <w:rPr>
          <w:rStyle w:val="FootnoteReference"/>
          <w:sz w:val="18"/>
        </w:rPr>
        <w:sym w:font="Symbol" w:char="F02A"/>
      </w:r>
      <w:r w:rsidRPr="00722F99">
        <w:rPr>
          <w:szCs w:val="18"/>
        </w:rPr>
        <w:t xml:space="preserve"> IPBES/</w:t>
      </w:r>
      <w:r w:rsidRPr="00722F99">
        <w:rPr>
          <w:szCs w:val="18"/>
          <w:lang w:eastAsia="ja-JP"/>
        </w:rPr>
        <w:t>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194D87" w:rsidRDefault="00F02E62" w:rsidP="00194D87">
    <w:pPr>
      <w:pStyle w:val="Header"/>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w:t>
    </w:r>
    <w:r>
      <w:rPr>
        <w:rFonts w:ascii="Times New Roman" w:hAnsi="Times New Roman"/>
        <w:szCs w:val="18"/>
        <w:lang w:val="en-US" w:eastAsia="ja-JP"/>
      </w:rPr>
      <w:t>16/Add.8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194D87" w:rsidRDefault="00F02E62" w:rsidP="00194D87">
    <w:pPr>
      <w:pStyle w:val="Header"/>
      <w:jc w:val="right"/>
      <w:rPr>
        <w:rFonts w:ascii="Times New Roman" w:hAnsi="Times New Roman"/>
        <w:szCs w:val="18"/>
      </w:rPr>
    </w:pPr>
    <w:r w:rsidRPr="00194D87">
      <w:rPr>
        <w:rFonts w:ascii="Times New Roman" w:hAnsi="Times New Roman"/>
        <w:szCs w:val="18"/>
        <w:lang w:val="en-US"/>
      </w:rPr>
      <w:t>IPBES/</w:t>
    </w:r>
    <w:r w:rsidRPr="00194D87">
      <w:rPr>
        <w:rFonts w:ascii="Times New Roman" w:hAnsi="Times New Roman"/>
        <w:szCs w:val="18"/>
        <w:lang w:val="en-US" w:eastAsia="ja-JP"/>
      </w:rPr>
      <w:t>2/1</w:t>
    </w:r>
    <w:r>
      <w:rPr>
        <w:rFonts w:ascii="Times New Roman" w:hAnsi="Times New Roman"/>
        <w:szCs w:val="18"/>
        <w:lang w:val="en-US" w:eastAsia="ja-JP"/>
      </w:rPr>
      <w:t>6/Add.8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E62" w:rsidRPr="00762016" w:rsidRDefault="00F02E62" w:rsidP="00762016">
    <w:pPr>
      <w:pStyle w:val="Header"/>
      <w:pBdr>
        <w:bottom w:val="none" w:sz="0" w:space="0"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EA"/>
    <w:multiLevelType w:val="hybridMultilevel"/>
    <w:tmpl w:val="0846A802"/>
    <w:lvl w:ilvl="0" w:tplc="48F8DB56">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
    <w:nsid w:val="10F13139"/>
    <w:multiLevelType w:val="hybridMultilevel"/>
    <w:tmpl w:val="2310A256"/>
    <w:lvl w:ilvl="0" w:tplc="FCCA9120">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2427F18"/>
    <w:multiLevelType w:val="hybridMultilevel"/>
    <w:tmpl w:val="57BE86B2"/>
    <w:lvl w:ilvl="0" w:tplc="10F62AC2">
      <w:start w:val="1"/>
      <w:numFmt w:val="lowerLetter"/>
      <w:lvlText w:val="(%1)"/>
      <w:lvlJc w:val="left"/>
      <w:pPr>
        <w:ind w:left="2177" w:hanging="360"/>
      </w:pPr>
      <w:rPr>
        <w:rFonts w:hint="default"/>
      </w:r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nsid w:val="250B3E2F"/>
    <w:multiLevelType w:val="hybridMultilevel"/>
    <w:tmpl w:val="33DE3896"/>
    <w:lvl w:ilvl="0" w:tplc="737251C4">
      <w:start w:val="1"/>
      <w:numFmt w:val="lowerLetter"/>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5">
    <w:nsid w:val="31ED044C"/>
    <w:multiLevelType w:val="hybridMultilevel"/>
    <w:tmpl w:val="3872C5B2"/>
    <w:lvl w:ilvl="0" w:tplc="066E2DC4">
      <w:start w:val="1"/>
      <w:numFmt w:val="lowerLetter"/>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6">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nsid w:val="39AB23C5"/>
    <w:multiLevelType w:val="hybridMultilevel"/>
    <w:tmpl w:val="3364EC20"/>
    <w:lvl w:ilvl="0" w:tplc="C2C0F12E">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nsid w:val="4A6A13CB"/>
    <w:multiLevelType w:val="hybridMultilevel"/>
    <w:tmpl w:val="916C57B6"/>
    <w:lvl w:ilvl="0" w:tplc="A51A79C8">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605F702C"/>
    <w:multiLevelType w:val="hybridMultilevel"/>
    <w:tmpl w:val="12267862"/>
    <w:lvl w:ilvl="0" w:tplc="E21E15D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62291BF8"/>
    <w:multiLevelType w:val="multilevel"/>
    <w:tmpl w:val="F4ACF36E"/>
    <w:numStyleLink w:val="Normallist"/>
  </w:abstractNum>
  <w:num w:numId="1">
    <w:abstractNumId w:val="9"/>
  </w:num>
  <w:num w:numId="2">
    <w:abstractNumId w:val="2"/>
  </w:num>
  <w:num w:numId="3">
    <w:abstractNumId w:val="6"/>
  </w:num>
  <w:num w:numId="4">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5">
    <w:abstractNumId w:val="3"/>
  </w:num>
  <w:num w:numId="6">
    <w:abstractNumId w:val="0"/>
  </w:num>
  <w:num w:numId="7">
    <w:abstractNumId w:val="10"/>
  </w:num>
  <w:num w:numId="8">
    <w:abstractNumId w:val="5"/>
  </w:num>
  <w:num w:numId="9">
    <w:abstractNumId w:val="4"/>
  </w:num>
  <w:num w:numId="10">
    <w:abstractNumId w:val="7"/>
  </w:num>
  <w:num w:numId="11">
    <w:abstractNumId w:val="1"/>
  </w:num>
  <w:num w:numId="12">
    <w:abstractNumId w:val="8"/>
  </w:num>
  <w:num w:numId="13">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4">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5">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6">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7">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8">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19">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0">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1">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2">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 w:numId="23">
    <w:abstractNumId w:val="11"/>
    <w:lvlOverride w:ilvl="0">
      <w:lvl w:ilvl="0">
        <w:start w:val="1"/>
        <w:numFmt w:val="decimal"/>
        <w:pStyle w:val="Normalnumber"/>
        <w:lvlText w:val="%1."/>
        <w:lvlJc w:val="left"/>
        <w:pPr>
          <w:tabs>
            <w:tab w:val="num" w:pos="567"/>
          </w:tabs>
          <w:ind w:left="1247" w:firstLine="0"/>
        </w:pPr>
        <w:rPr>
          <w:rFonts w:hint="default"/>
          <w:b w:val="0"/>
          <w:sz w:val="20"/>
          <w:szCs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7"/>
    <w:rsid w:val="000149E6"/>
    <w:rsid w:val="000179E3"/>
    <w:rsid w:val="00021598"/>
    <w:rsid w:val="000247B0"/>
    <w:rsid w:val="000249A3"/>
    <w:rsid w:val="0002522A"/>
    <w:rsid w:val="00026997"/>
    <w:rsid w:val="00033E0B"/>
    <w:rsid w:val="00035EDE"/>
    <w:rsid w:val="00046CB9"/>
    <w:rsid w:val="000509B4"/>
    <w:rsid w:val="000537AB"/>
    <w:rsid w:val="0006035B"/>
    <w:rsid w:val="0007166E"/>
    <w:rsid w:val="0007169A"/>
    <w:rsid w:val="00071886"/>
    <w:rsid w:val="000742BC"/>
    <w:rsid w:val="00082A0C"/>
    <w:rsid w:val="00083504"/>
    <w:rsid w:val="0009640C"/>
    <w:rsid w:val="000A7BDF"/>
    <w:rsid w:val="000B199B"/>
    <w:rsid w:val="000B21D5"/>
    <w:rsid w:val="000B22A2"/>
    <w:rsid w:val="000C2A52"/>
    <w:rsid w:val="000D33C0"/>
    <w:rsid w:val="000D57BE"/>
    <w:rsid w:val="000D6941"/>
    <w:rsid w:val="000F4B6E"/>
    <w:rsid w:val="00115F01"/>
    <w:rsid w:val="001202E3"/>
    <w:rsid w:val="00123699"/>
    <w:rsid w:val="00124914"/>
    <w:rsid w:val="0013059D"/>
    <w:rsid w:val="00141A55"/>
    <w:rsid w:val="00142406"/>
    <w:rsid w:val="001446A3"/>
    <w:rsid w:val="00155395"/>
    <w:rsid w:val="00164791"/>
    <w:rsid w:val="00166EBC"/>
    <w:rsid w:val="00170D52"/>
    <w:rsid w:val="00171546"/>
    <w:rsid w:val="00181EC8"/>
    <w:rsid w:val="00184349"/>
    <w:rsid w:val="001867F5"/>
    <w:rsid w:val="00193420"/>
    <w:rsid w:val="00194D87"/>
    <w:rsid w:val="00195F33"/>
    <w:rsid w:val="001B1617"/>
    <w:rsid w:val="001B4122"/>
    <w:rsid w:val="001B4912"/>
    <w:rsid w:val="001B504B"/>
    <w:rsid w:val="001C04DE"/>
    <w:rsid w:val="001D0608"/>
    <w:rsid w:val="001D3874"/>
    <w:rsid w:val="001D7E75"/>
    <w:rsid w:val="001E56D2"/>
    <w:rsid w:val="001E7D56"/>
    <w:rsid w:val="001F1737"/>
    <w:rsid w:val="001F60D3"/>
    <w:rsid w:val="001F75DE"/>
    <w:rsid w:val="00200D58"/>
    <w:rsid w:val="002013BE"/>
    <w:rsid w:val="002063A4"/>
    <w:rsid w:val="0021145B"/>
    <w:rsid w:val="00221178"/>
    <w:rsid w:val="002324CD"/>
    <w:rsid w:val="002417AA"/>
    <w:rsid w:val="00243D36"/>
    <w:rsid w:val="00245DB1"/>
    <w:rsid w:val="00247707"/>
    <w:rsid w:val="00276A91"/>
    <w:rsid w:val="002826F5"/>
    <w:rsid w:val="0028361B"/>
    <w:rsid w:val="00286740"/>
    <w:rsid w:val="002929D8"/>
    <w:rsid w:val="00293850"/>
    <w:rsid w:val="00294B6A"/>
    <w:rsid w:val="002A237D"/>
    <w:rsid w:val="002A4C53"/>
    <w:rsid w:val="002B0672"/>
    <w:rsid w:val="002B1B4C"/>
    <w:rsid w:val="002B247F"/>
    <w:rsid w:val="002B3767"/>
    <w:rsid w:val="002C145D"/>
    <w:rsid w:val="002C2C3E"/>
    <w:rsid w:val="002C533E"/>
    <w:rsid w:val="002D027F"/>
    <w:rsid w:val="002D1797"/>
    <w:rsid w:val="002D7A85"/>
    <w:rsid w:val="002D7B60"/>
    <w:rsid w:val="002F4761"/>
    <w:rsid w:val="002F5C79"/>
    <w:rsid w:val="003019E2"/>
    <w:rsid w:val="00305EB8"/>
    <w:rsid w:val="00310FD9"/>
    <w:rsid w:val="0031413F"/>
    <w:rsid w:val="003148BB"/>
    <w:rsid w:val="00315D2C"/>
    <w:rsid w:val="00316934"/>
    <w:rsid w:val="00317976"/>
    <w:rsid w:val="00322C62"/>
    <w:rsid w:val="00355EA9"/>
    <w:rsid w:val="003578DE"/>
    <w:rsid w:val="00361489"/>
    <w:rsid w:val="00364DCD"/>
    <w:rsid w:val="003941D4"/>
    <w:rsid w:val="00396257"/>
    <w:rsid w:val="00397EB8"/>
    <w:rsid w:val="003A086E"/>
    <w:rsid w:val="003A1138"/>
    <w:rsid w:val="003A3430"/>
    <w:rsid w:val="003A4FD0"/>
    <w:rsid w:val="003A69D1"/>
    <w:rsid w:val="003A7375"/>
    <w:rsid w:val="003A7705"/>
    <w:rsid w:val="003B1545"/>
    <w:rsid w:val="003C409D"/>
    <w:rsid w:val="003C5BA6"/>
    <w:rsid w:val="003F0E85"/>
    <w:rsid w:val="003F3DDC"/>
    <w:rsid w:val="003F523D"/>
    <w:rsid w:val="00405251"/>
    <w:rsid w:val="004053BC"/>
    <w:rsid w:val="00410C55"/>
    <w:rsid w:val="0041638C"/>
    <w:rsid w:val="00416854"/>
    <w:rsid w:val="00417725"/>
    <w:rsid w:val="00436890"/>
    <w:rsid w:val="004377BC"/>
    <w:rsid w:val="00437F26"/>
    <w:rsid w:val="00444097"/>
    <w:rsid w:val="00445487"/>
    <w:rsid w:val="0045436D"/>
    <w:rsid w:val="00454769"/>
    <w:rsid w:val="00466991"/>
    <w:rsid w:val="0047064C"/>
    <w:rsid w:val="00485701"/>
    <w:rsid w:val="004863D2"/>
    <w:rsid w:val="004946D3"/>
    <w:rsid w:val="004A42E1"/>
    <w:rsid w:val="004B162C"/>
    <w:rsid w:val="004C3DBE"/>
    <w:rsid w:val="004C5C96"/>
    <w:rsid w:val="004D06A4"/>
    <w:rsid w:val="004F00DD"/>
    <w:rsid w:val="004F1A81"/>
    <w:rsid w:val="00500621"/>
    <w:rsid w:val="005218D9"/>
    <w:rsid w:val="00535AB5"/>
    <w:rsid w:val="00536186"/>
    <w:rsid w:val="00536907"/>
    <w:rsid w:val="00542442"/>
    <w:rsid w:val="00544CBB"/>
    <w:rsid w:val="00563C44"/>
    <w:rsid w:val="0057315F"/>
    <w:rsid w:val="00576104"/>
    <w:rsid w:val="005770B1"/>
    <w:rsid w:val="0057716D"/>
    <w:rsid w:val="0058068F"/>
    <w:rsid w:val="005926C2"/>
    <w:rsid w:val="005C04E2"/>
    <w:rsid w:val="005C57BB"/>
    <w:rsid w:val="005C67C8"/>
    <w:rsid w:val="005D0249"/>
    <w:rsid w:val="005D6E8C"/>
    <w:rsid w:val="005E1F25"/>
    <w:rsid w:val="005F100C"/>
    <w:rsid w:val="005F68DA"/>
    <w:rsid w:val="00604B53"/>
    <w:rsid w:val="0060773B"/>
    <w:rsid w:val="006116FA"/>
    <w:rsid w:val="00614485"/>
    <w:rsid w:val="006157B5"/>
    <w:rsid w:val="00626FC6"/>
    <w:rsid w:val="006303B4"/>
    <w:rsid w:val="00633D3D"/>
    <w:rsid w:val="00633FDE"/>
    <w:rsid w:val="00641703"/>
    <w:rsid w:val="00641714"/>
    <w:rsid w:val="006431A6"/>
    <w:rsid w:val="006459F6"/>
    <w:rsid w:val="006501AD"/>
    <w:rsid w:val="00651BFA"/>
    <w:rsid w:val="00662CC1"/>
    <w:rsid w:val="00663A51"/>
    <w:rsid w:val="00665A4B"/>
    <w:rsid w:val="00667509"/>
    <w:rsid w:val="00682847"/>
    <w:rsid w:val="00692E2A"/>
    <w:rsid w:val="006A76F2"/>
    <w:rsid w:val="006B3A8D"/>
    <w:rsid w:val="006C5FA6"/>
    <w:rsid w:val="006D7EFB"/>
    <w:rsid w:val="006E6672"/>
    <w:rsid w:val="006E6722"/>
    <w:rsid w:val="006E7F64"/>
    <w:rsid w:val="006F21D2"/>
    <w:rsid w:val="007027B9"/>
    <w:rsid w:val="00713D8F"/>
    <w:rsid w:val="00715E88"/>
    <w:rsid w:val="00734CAA"/>
    <w:rsid w:val="007469A7"/>
    <w:rsid w:val="0075533C"/>
    <w:rsid w:val="00757581"/>
    <w:rsid w:val="007611A0"/>
    <w:rsid w:val="00762016"/>
    <w:rsid w:val="007823BE"/>
    <w:rsid w:val="00796D3F"/>
    <w:rsid w:val="007A1683"/>
    <w:rsid w:val="007A36F8"/>
    <w:rsid w:val="007A5C12"/>
    <w:rsid w:val="007A7CB0"/>
    <w:rsid w:val="007B68A3"/>
    <w:rsid w:val="007C0F3E"/>
    <w:rsid w:val="007C2541"/>
    <w:rsid w:val="007D66A8"/>
    <w:rsid w:val="007E003F"/>
    <w:rsid w:val="00802E72"/>
    <w:rsid w:val="008164F2"/>
    <w:rsid w:val="00817A84"/>
    <w:rsid w:val="00821395"/>
    <w:rsid w:val="00830E26"/>
    <w:rsid w:val="00842585"/>
    <w:rsid w:val="00843576"/>
    <w:rsid w:val="00843B64"/>
    <w:rsid w:val="008478FC"/>
    <w:rsid w:val="00867BFF"/>
    <w:rsid w:val="00870972"/>
    <w:rsid w:val="0088054F"/>
    <w:rsid w:val="008839C0"/>
    <w:rsid w:val="0088480A"/>
    <w:rsid w:val="0088757A"/>
    <w:rsid w:val="008957DD"/>
    <w:rsid w:val="00897D98"/>
    <w:rsid w:val="008A26B4"/>
    <w:rsid w:val="008A5A06"/>
    <w:rsid w:val="008A6DF2"/>
    <w:rsid w:val="008A7807"/>
    <w:rsid w:val="008B4CC9"/>
    <w:rsid w:val="008C0836"/>
    <w:rsid w:val="008C324F"/>
    <w:rsid w:val="008D2BB5"/>
    <w:rsid w:val="008D7C99"/>
    <w:rsid w:val="008E0FCB"/>
    <w:rsid w:val="008E329D"/>
    <w:rsid w:val="008F6070"/>
    <w:rsid w:val="0090060D"/>
    <w:rsid w:val="00912E53"/>
    <w:rsid w:val="00917671"/>
    <w:rsid w:val="0092178C"/>
    <w:rsid w:val="00930B88"/>
    <w:rsid w:val="00940DCC"/>
    <w:rsid w:val="0094179A"/>
    <w:rsid w:val="0094459E"/>
    <w:rsid w:val="00944DBC"/>
    <w:rsid w:val="00945C21"/>
    <w:rsid w:val="00950977"/>
    <w:rsid w:val="0095189F"/>
    <w:rsid w:val="00951A7B"/>
    <w:rsid w:val="009564A6"/>
    <w:rsid w:val="00967621"/>
    <w:rsid w:val="00967753"/>
    <w:rsid w:val="00967E6A"/>
    <w:rsid w:val="009712CD"/>
    <w:rsid w:val="009815A4"/>
    <w:rsid w:val="00985183"/>
    <w:rsid w:val="00990CB9"/>
    <w:rsid w:val="009935AC"/>
    <w:rsid w:val="009979BF"/>
    <w:rsid w:val="009B19CE"/>
    <w:rsid w:val="009B4A0F"/>
    <w:rsid w:val="009C0F13"/>
    <w:rsid w:val="009C11D2"/>
    <w:rsid w:val="009C289F"/>
    <w:rsid w:val="009C6C70"/>
    <w:rsid w:val="009D0B63"/>
    <w:rsid w:val="009D4BA6"/>
    <w:rsid w:val="009D4C74"/>
    <w:rsid w:val="009E307E"/>
    <w:rsid w:val="00A07870"/>
    <w:rsid w:val="00A07F19"/>
    <w:rsid w:val="00A1348D"/>
    <w:rsid w:val="00A232EE"/>
    <w:rsid w:val="00A31DBD"/>
    <w:rsid w:val="00A365CD"/>
    <w:rsid w:val="00A3704C"/>
    <w:rsid w:val="00A4175F"/>
    <w:rsid w:val="00A44411"/>
    <w:rsid w:val="00A469FA"/>
    <w:rsid w:val="00A53029"/>
    <w:rsid w:val="00A55B01"/>
    <w:rsid w:val="00A56B5B"/>
    <w:rsid w:val="00A603FF"/>
    <w:rsid w:val="00A60E3D"/>
    <w:rsid w:val="00A62259"/>
    <w:rsid w:val="00A657DD"/>
    <w:rsid w:val="00A666A6"/>
    <w:rsid w:val="00A67480"/>
    <w:rsid w:val="00A675FD"/>
    <w:rsid w:val="00A72437"/>
    <w:rsid w:val="00A75A8E"/>
    <w:rsid w:val="00A80611"/>
    <w:rsid w:val="00A900EC"/>
    <w:rsid w:val="00A93108"/>
    <w:rsid w:val="00AA3073"/>
    <w:rsid w:val="00AB0B0B"/>
    <w:rsid w:val="00AB1405"/>
    <w:rsid w:val="00AB3AF1"/>
    <w:rsid w:val="00AB5340"/>
    <w:rsid w:val="00AC31BB"/>
    <w:rsid w:val="00AC5674"/>
    <w:rsid w:val="00AC7C96"/>
    <w:rsid w:val="00AD5F9A"/>
    <w:rsid w:val="00AE237D"/>
    <w:rsid w:val="00AE502A"/>
    <w:rsid w:val="00AF7C07"/>
    <w:rsid w:val="00B03435"/>
    <w:rsid w:val="00B12E37"/>
    <w:rsid w:val="00B141EB"/>
    <w:rsid w:val="00B20DD4"/>
    <w:rsid w:val="00B22C93"/>
    <w:rsid w:val="00B26131"/>
    <w:rsid w:val="00B27589"/>
    <w:rsid w:val="00B27EA9"/>
    <w:rsid w:val="00B36A9F"/>
    <w:rsid w:val="00B405B7"/>
    <w:rsid w:val="00B46922"/>
    <w:rsid w:val="00B52222"/>
    <w:rsid w:val="00B54FE7"/>
    <w:rsid w:val="00B64938"/>
    <w:rsid w:val="00B658EA"/>
    <w:rsid w:val="00B66901"/>
    <w:rsid w:val="00B71E6D"/>
    <w:rsid w:val="00B72070"/>
    <w:rsid w:val="00B779E1"/>
    <w:rsid w:val="00B91EE1"/>
    <w:rsid w:val="00B94CAD"/>
    <w:rsid w:val="00BA0090"/>
    <w:rsid w:val="00BA1A67"/>
    <w:rsid w:val="00BA3B66"/>
    <w:rsid w:val="00BA4F43"/>
    <w:rsid w:val="00BB286F"/>
    <w:rsid w:val="00BD54EA"/>
    <w:rsid w:val="00BD6CE0"/>
    <w:rsid w:val="00BE5B5F"/>
    <w:rsid w:val="00BE7C8F"/>
    <w:rsid w:val="00BF7A98"/>
    <w:rsid w:val="00C115F6"/>
    <w:rsid w:val="00C26F55"/>
    <w:rsid w:val="00C30C63"/>
    <w:rsid w:val="00C36B8B"/>
    <w:rsid w:val="00C46B5E"/>
    <w:rsid w:val="00C47DBF"/>
    <w:rsid w:val="00C552FF"/>
    <w:rsid w:val="00C558DA"/>
    <w:rsid w:val="00C55AF3"/>
    <w:rsid w:val="00C610A0"/>
    <w:rsid w:val="00C84759"/>
    <w:rsid w:val="00C84CF3"/>
    <w:rsid w:val="00C861BD"/>
    <w:rsid w:val="00C91306"/>
    <w:rsid w:val="00CA6C7F"/>
    <w:rsid w:val="00CB38B7"/>
    <w:rsid w:val="00CC10A6"/>
    <w:rsid w:val="00CC386A"/>
    <w:rsid w:val="00CC4547"/>
    <w:rsid w:val="00CC5BFB"/>
    <w:rsid w:val="00CD5EB8"/>
    <w:rsid w:val="00CD7044"/>
    <w:rsid w:val="00CE08B9"/>
    <w:rsid w:val="00CE524C"/>
    <w:rsid w:val="00CE5293"/>
    <w:rsid w:val="00CF141F"/>
    <w:rsid w:val="00CF4777"/>
    <w:rsid w:val="00D00FC5"/>
    <w:rsid w:val="00D067BB"/>
    <w:rsid w:val="00D11D69"/>
    <w:rsid w:val="00D127BC"/>
    <w:rsid w:val="00D1352A"/>
    <w:rsid w:val="00D169AF"/>
    <w:rsid w:val="00D2124E"/>
    <w:rsid w:val="00D22A83"/>
    <w:rsid w:val="00D25249"/>
    <w:rsid w:val="00D27251"/>
    <w:rsid w:val="00D36134"/>
    <w:rsid w:val="00D405A7"/>
    <w:rsid w:val="00D4108C"/>
    <w:rsid w:val="00D43C7E"/>
    <w:rsid w:val="00D44172"/>
    <w:rsid w:val="00D63B8C"/>
    <w:rsid w:val="00D739CC"/>
    <w:rsid w:val="00D8093D"/>
    <w:rsid w:val="00D8108C"/>
    <w:rsid w:val="00D842AE"/>
    <w:rsid w:val="00D90044"/>
    <w:rsid w:val="00D91AB5"/>
    <w:rsid w:val="00D9211C"/>
    <w:rsid w:val="00D92DE0"/>
    <w:rsid w:val="00D92FEF"/>
    <w:rsid w:val="00D93A0F"/>
    <w:rsid w:val="00D95354"/>
    <w:rsid w:val="00DA1BCA"/>
    <w:rsid w:val="00DB0348"/>
    <w:rsid w:val="00DB3AC1"/>
    <w:rsid w:val="00DC46FF"/>
    <w:rsid w:val="00DC5254"/>
    <w:rsid w:val="00DD1A4F"/>
    <w:rsid w:val="00DD3107"/>
    <w:rsid w:val="00DD376A"/>
    <w:rsid w:val="00DD6269"/>
    <w:rsid w:val="00DD7C2C"/>
    <w:rsid w:val="00DE0ADE"/>
    <w:rsid w:val="00E06797"/>
    <w:rsid w:val="00E10214"/>
    <w:rsid w:val="00E1265B"/>
    <w:rsid w:val="00E13B48"/>
    <w:rsid w:val="00E1404F"/>
    <w:rsid w:val="00E21C83"/>
    <w:rsid w:val="00E24ADA"/>
    <w:rsid w:val="00E31C32"/>
    <w:rsid w:val="00E32F59"/>
    <w:rsid w:val="00E401AF"/>
    <w:rsid w:val="00E40E47"/>
    <w:rsid w:val="00E46D9A"/>
    <w:rsid w:val="00E542AB"/>
    <w:rsid w:val="00E565FF"/>
    <w:rsid w:val="00E578CA"/>
    <w:rsid w:val="00E65388"/>
    <w:rsid w:val="00E65B1B"/>
    <w:rsid w:val="00E83C2F"/>
    <w:rsid w:val="00E85B7D"/>
    <w:rsid w:val="00E9121B"/>
    <w:rsid w:val="00E94F4A"/>
    <w:rsid w:val="00E9595F"/>
    <w:rsid w:val="00EA0AE2"/>
    <w:rsid w:val="00EA273F"/>
    <w:rsid w:val="00EA39E5"/>
    <w:rsid w:val="00EC2457"/>
    <w:rsid w:val="00EC52D5"/>
    <w:rsid w:val="00EC5A46"/>
    <w:rsid w:val="00EC63E2"/>
    <w:rsid w:val="00EF22B3"/>
    <w:rsid w:val="00EF59A4"/>
    <w:rsid w:val="00F02E62"/>
    <w:rsid w:val="00F03422"/>
    <w:rsid w:val="00F03B69"/>
    <w:rsid w:val="00F07A50"/>
    <w:rsid w:val="00F113DA"/>
    <w:rsid w:val="00F37DC8"/>
    <w:rsid w:val="00F439B3"/>
    <w:rsid w:val="00F650C3"/>
    <w:rsid w:val="00F65D85"/>
    <w:rsid w:val="00F80746"/>
    <w:rsid w:val="00F8091E"/>
    <w:rsid w:val="00F8615C"/>
    <w:rsid w:val="00F969E5"/>
    <w:rsid w:val="00F96F33"/>
    <w:rsid w:val="00FA30A2"/>
    <w:rsid w:val="00FA406A"/>
    <w:rsid w:val="00FA6BB0"/>
    <w:rsid w:val="00FB4629"/>
    <w:rsid w:val="00FC38A7"/>
    <w:rsid w:val="00FD0CB0"/>
    <w:rsid w:val="00FD2D22"/>
    <w:rsid w:val="00FD4070"/>
    <w:rsid w:val="00FD5860"/>
    <w:rsid w:val="00FE1E0B"/>
    <w:rsid w:val="00FE352D"/>
    <w:rsid w:val="00FE40EB"/>
    <w:rsid w:val="00FE4D02"/>
    <w:rsid w:val="00FE7D62"/>
    <w:rsid w:val="00FF38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ColorfulList-Accent1">
    <w:name w:val="Colorful List Accent 1"/>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94D87"/>
    <w:pPr>
      <w:spacing w:after="200" w:line="276" w:lineRule="auto"/>
    </w:pPr>
    <w:rPr>
      <w:rFonts w:ascii="Calibri" w:eastAsia="Calibri" w:hAnsi="Calibri"/>
      <w:sz w:val="22"/>
      <w:szCs w:val="22"/>
      <w:lang w:val="en-GB"/>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DD310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DD3107"/>
    <w:pPr>
      <w:keepNext/>
      <w:keepLines/>
      <w:tabs>
        <w:tab w:val="right" w:pos="851"/>
      </w:tabs>
      <w:suppressAutoHyphens/>
      <w:spacing w:before="80" w:after="120"/>
      <w:ind w:left="1247" w:right="284" w:hanging="1247"/>
    </w:pPr>
    <w:rPr>
      <w:b/>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3A086E"/>
    <w:pPr>
      <w:tabs>
        <w:tab w:val="left" w:pos="1247"/>
        <w:tab w:val="left" w:pos="1814"/>
        <w:tab w:val="left" w:pos="2381"/>
        <w:tab w:val="left" w:pos="2948"/>
        <w:tab w:val="left" w:pos="3515"/>
        <w:tab w:val="left" w:pos="4082"/>
      </w:tabs>
    </w:pPr>
    <w:rPr>
      <w:sz w:val="24"/>
      <w:szCs w:val="24"/>
      <w:lang w:val="fr-CA"/>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A62259"/>
    <w:pPr>
      <w:tabs>
        <w:tab w:val="left" w:pos="1247"/>
        <w:tab w:val="left" w:pos="1814"/>
        <w:tab w:val="left" w:pos="2381"/>
        <w:tab w:val="left" w:pos="2948"/>
        <w:tab w:val="left" w:pos="3515"/>
        <w:tab w:val="left" w:pos="4082"/>
      </w:tabs>
    </w:pPr>
    <w:rPr>
      <w:sz w:val="24"/>
      <w:szCs w:val="24"/>
      <w:lang w:val="en-GB"/>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DD3107"/>
    <w:pPr>
      <w:tabs>
        <w:tab w:val="clear" w:pos="4082"/>
      </w:tabs>
      <w:spacing w:before="120" w:after="12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semiHidden/>
    <w:rsid w:val="00DD3107"/>
    <w:pPr>
      <w:numPr>
        <w:numId w:val="1"/>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DD3107"/>
    <w:pPr>
      <w:numPr>
        <w:numId w:val="4"/>
      </w:numPr>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paragraph" w:customStyle="1" w:styleId="HCh">
    <w:name w:val="_ H _Ch"/>
    <w:basedOn w:val="Normal"/>
    <w:next w:val="Normal"/>
    <w:rsid w:val="00194D8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rPr>
  </w:style>
  <w:style w:type="character" w:customStyle="1" w:styleId="FootnoteTextChar">
    <w:name w:val="Footnote Text Char"/>
    <w:link w:val="FootnoteText"/>
    <w:semiHidden/>
    <w:rsid w:val="00194D87"/>
    <w:rPr>
      <w:sz w:val="18"/>
      <w:lang w:val="fr-CA" w:eastAsia="en-US"/>
    </w:rPr>
  </w:style>
  <w:style w:type="paragraph" w:customStyle="1" w:styleId="ListParagraph1">
    <w:name w:val="List Paragraph1"/>
    <w:basedOn w:val="Normal"/>
    <w:qFormat/>
    <w:rsid w:val="00194D87"/>
    <w:pPr>
      <w:spacing w:after="0" w:line="240" w:lineRule="auto"/>
      <w:ind w:left="720"/>
    </w:pPr>
    <w:rPr>
      <w:rFonts w:ascii="Times New Roman" w:eastAsia="MS Mincho" w:hAnsi="Times New Roman"/>
      <w:sz w:val="24"/>
      <w:szCs w:val="24"/>
      <w:lang w:val="en-US" w:eastAsia="en-GB"/>
    </w:rPr>
  </w:style>
  <w:style w:type="paragraph" w:customStyle="1" w:styleId="Body">
    <w:name w:val="Body"/>
    <w:rsid w:val="00194D87"/>
    <w:rPr>
      <w:rFonts w:ascii="Calibri" w:eastAsia="ヒラギノ角ゴ Pro W3" w:hAnsi="Calibri"/>
      <w:color w:val="000000"/>
      <w:sz w:val="22"/>
      <w:szCs w:val="24"/>
    </w:rPr>
  </w:style>
  <w:style w:type="character" w:customStyle="1" w:styleId="NormalnumberChar">
    <w:name w:val="Normal_number Char"/>
    <w:link w:val="Normalnumber"/>
    <w:rsid w:val="00194D87"/>
    <w:rPr>
      <w:sz w:val="24"/>
      <w:szCs w:val="24"/>
      <w:lang w:val="fr-CA" w:eastAsia="en-US"/>
    </w:rPr>
  </w:style>
  <w:style w:type="paragraph" w:styleId="Title">
    <w:name w:val="Title"/>
    <w:basedOn w:val="Normal"/>
    <w:next w:val="Normal"/>
    <w:link w:val="TitleChar"/>
    <w:uiPriority w:val="10"/>
    <w:qFormat/>
    <w:rsid w:val="00194D8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94D87"/>
    <w:rPr>
      <w:rFonts w:ascii="Cambria" w:eastAsia="Times New Roman" w:hAnsi="Cambria" w:cs="Times New Roman"/>
      <w:color w:val="17365D"/>
      <w:spacing w:val="5"/>
      <w:kern w:val="28"/>
      <w:sz w:val="52"/>
      <w:szCs w:val="52"/>
      <w:lang w:val="en-GB" w:eastAsia="en-US"/>
    </w:rPr>
  </w:style>
  <w:style w:type="paragraph" w:styleId="BalloonText">
    <w:name w:val="Balloon Text"/>
    <w:basedOn w:val="Normal"/>
    <w:link w:val="BalloonTextChar"/>
    <w:rsid w:val="00194D87"/>
    <w:pPr>
      <w:spacing w:after="0" w:line="240" w:lineRule="auto"/>
    </w:pPr>
    <w:rPr>
      <w:rFonts w:ascii="Tahoma" w:hAnsi="Tahoma" w:cs="Tahoma"/>
      <w:sz w:val="16"/>
      <w:szCs w:val="16"/>
    </w:rPr>
  </w:style>
  <w:style w:type="character" w:customStyle="1" w:styleId="BalloonTextChar">
    <w:name w:val="Balloon Text Char"/>
    <w:link w:val="BalloonText"/>
    <w:rsid w:val="00194D87"/>
    <w:rPr>
      <w:rFonts w:ascii="Tahoma" w:eastAsia="Calibri" w:hAnsi="Tahoma" w:cs="Tahoma"/>
      <w:sz w:val="16"/>
      <w:szCs w:val="16"/>
      <w:lang w:val="en-GB" w:eastAsia="en-US"/>
    </w:rPr>
  </w:style>
  <w:style w:type="character" w:customStyle="1" w:styleId="FooterChar">
    <w:name w:val="Footer Char"/>
    <w:link w:val="Footer"/>
    <w:uiPriority w:val="99"/>
    <w:rsid w:val="00194D87"/>
    <w:rPr>
      <w:rFonts w:ascii="Calibri" w:eastAsia="Calibri" w:hAnsi="Calibri" w:cs="Times New Roman"/>
      <w:sz w:val="18"/>
      <w:szCs w:val="22"/>
      <w:lang w:val="en-GB" w:eastAsia="en-US"/>
    </w:rPr>
  </w:style>
  <w:style w:type="character" w:customStyle="1" w:styleId="HeaderChar">
    <w:name w:val="Header Char"/>
    <w:link w:val="Header"/>
    <w:uiPriority w:val="99"/>
    <w:rsid w:val="00194D87"/>
    <w:rPr>
      <w:rFonts w:ascii="Calibri" w:eastAsia="Calibri" w:hAnsi="Calibri" w:cs="Times New Roman"/>
      <w:b/>
      <w:sz w:val="18"/>
      <w:szCs w:val="22"/>
      <w:lang w:val="en-GB" w:eastAsia="en-US"/>
    </w:rPr>
  </w:style>
  <w:style w:type="character" w:customStyle="1" w:styleId="Normal-poolChar">
    <w:name w:val="Normal-pool Char"/>
    <w:link w:val="Normal-pool"/>
    <w:rsid w:val="00D405A7"/>
    <w:rPr>
      <w:lang w:val="en-GB" w:eastAsia="en-US"/>
    </w:rPr>
  </w:style>
  <w:style w:type="paragraph" w:styleId="ColorfulList-Accent1">
    <w:name w:val="Colorful List Accent 1"/>
    <w:basedOn w:val="Normal"/>
    <w:uiPriority w:val="34"/>
    <w:qFormat/>
    <w:rsid w:val="00E65B1B"/>
    <w:pPr>
      <w:ind w:left="720"/>
      <w:contextualSpacing/>
    </w:pPr>
  </w:style>
  <w:style w:type="table" w:styleId="TableGrid">
    <w:name w:val="Table Grid"/>
    <w:basedOn w:val="TableNormal"/>
    <w:uiPriority w:val="59"/>
    <w:rsid w:val="00E65B1B"/>
    <w:rPr>
      <w:rFonts w:ascii="Calibri" w:eastAsia="Calibri" w:hAnsi="Calibri"/>
      <w:sz w:val="22"/>
      <w:szCs w:val="22"/>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Normal"/>
    <w:next w:val="Normal"/>
    <w:uiPriority w:val="99"/>
    <w:rsid w:val="00E65B1B"/>
    <w:pPr>
      <w:autoSpaceDE w:val="0"/>
      <w:autoSpaceDN w:val="0"/>
      <w:adjustRightInd w:val="0"/>
      <w:spacing w:after="0" w:line="216" w:lineRule="atLeast"/>
    </w:pPr>
    <w:rPr>
      <w:rFonts w:ascii="Whitman" w:hAnsi="Whitman"/>
      <w:sz w:val="24"/>
      <w:szCs w:val="24"/>
      <w:lang w:val="en-US"/>
    </w:rPr>
  </w:style>
  <w:style w:type="character" w:customStyle="1" w:styleId="A13">
    <w:name w:val="A13"/>
    <w:uiPriority w:val="99"/>
    <w:rsid w:val="00E65B1B"/>
    <w:rPr>
      <w:rFonts w:ascii="Symbol" w:hAnsi="Symbol" w:cs="Symbol"/>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2384-5BFA-4BFD-AB14-B9FF9922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NATIONS UNIES</vt:lpstr>
    </vt:vector>
  </TitlesOfParts>
  <Company>Hewlett-Packard Company</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English Pool1</dc:creator>
  <cp:lastModifiedBy>Rohan Shanbhag</cp:lastModifiedBy>
  <cp:revision>2</cp:revision>
  <cp:lastPrinted>2013-11-15T08:21:00Z</cp:lastPrinted>
  <dcterms:created xsi:type="dcterms:W3CDTF">2013-11-22T10:41:00Z</dcterms:created>
  <dcterms:modified xsi:type="dcterms:W3CDTF">2013-11-22T10:41:00Z</dcterms:modified>
</cp:coreProperties>
</file>