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6E" w:rsidRPr="00CB31D0" w:rsidRDefault="003A086E" w:rsidP="00CE5293">
      <w:pPr>
        <w:pStyle w:val="Normal-pool"/>
        <w:rPr>
          <w:sz w:val="20"/>
          <w:szCs w:val="20"/>
        </w:rPr>
      </w:pPr>
      <w:bookmarkStart w:id="0" w:name="_GoBack"/>
      <w:bookmarkEnd w:id="0"/>
    </w:p>
    <w:p w:rsidR="00194D87" w:rsidRPr="00CB31D0" w:rsidRDefault="00194D87" w:rsidP="00CE5293">
      <w:pPr>
        <w:pStyle w:val="Normal-pool"/>
        <w:rPr>
          <w:sz w:val="20"/>
          <w:szCs w:val="20"/>
        </w:rPr>
      </w:pPr>
    </w:p>
    <w:tbl>
      <w:tblPr>
        <w:tblW w:w="9780" w:type="dxa"/>
        <w:tblLayout w:type="fixed"/>
        <w:tblLook w:val="0000" w:firstRow="0" w:lastRow="0" w:firstColumn="0" w:lastColumn="0" w:noHBand="0" w:noVBand="0"/>
      </w:tblPr>
      <w:tblGrid>
        <w:gridCol w:w="1560"/>
        <w:gridCol w:w="5208"/>
        <w:gridCol w:w="3012"/>
      </w:tblGrid>
      <w:tr w:rsidR="00194D87" w:rsidRPr="00CB31D0">
        <w:trPr>
          <w:cantSplit/>
          <w:trHeight w:val="850"/>
        </w:trPr>
        <w:tc>
          <w:tcPr>
            <w:tcW w:w="1560" w:type="dxa"/>
          </w:tcPr>
          <w:p w:rsidR="00194D87" w:rsidRPr="00CB31D0" w:rsidRDefault="00194D87" w:rsidP="00293850">
            <w:pPr>
              <w:tabs>
                <w:tab w:val="left" w:pos="624"/>
                <w:tab w:val="left" w:pos="1871"/>
                <w:tab w:val="left" w:pos="2495"/>
                <w:tab w:val="left" w:pos="3119"/>
                <w:tab w:val="left" w:pos="3742"/>
              </w:tabs>
              <w:spacing w:line="240" w:lineRule="auto"/>
              <w:rPr>
                <w:rFonts w:ascii="Arial" w:hAnsi="Arial" w:cs="Arial"/>
                <w:b/>
                <w:noProof/>
                <w:sz w:val="27"/>
                <w:szCs w:val="27"/>
              </w:rPr>
            </w:pPr>
            <w:r w:rsidRPr="00CB31D0">
              <w:rPr>
                <w:rFonts w:ascii="Arial" w:hAnsi="Arial" w:cs="Arial"/>
                <w:b/>
                <w:noProof/>
                <w:sz w:val="27"/>
                <w:szCs w:val="27"/>
              </w:rPr>
              <w:t>UNITED</w:t>
            </w:r>
            <w:r w:rsidRPr="00CB31D0">
              <w:rPr>
                <w:rFonts w:ascii="Arial" w:hAnsi="Arial" w:cs="Arial"/>
                <w:b/>
                <w:noProof/>
                <w:sz w:val="27"/>
                <w:szCs w:val="27"/>
              </w:rPr>
              <w:br/>
              <w:t>NATIONS</w:t>
            </w:r>
          </w:p>
        </w:tc>
        <w:tc>
          <w:tcPr>
            <w:tcW w:w="5208" w:type="dxa"/>
          </w:tcPr>
          <w:p w:rsidR="00194D87" w:rsidRPr="00CB31D0" w:rsidRDefault="00194D87" w:rsidP="00293850">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194D87" w:rsidRPr="00CB31D0" w:rsidRDefault="00194D87" w:rsidP="00293850">
            <w:pPr>
              <w:tabs>
                <w:tab w:val="left" w:pos="624"/>
                <w:tab w:val="left" w:pos="1871"/>
                <w:tab w:val="left" w:pos="2495"/>
                <w:tab w:val="left" w:pos="3119"/>
                <w:tab w:val="left" w:pos="3742"/>
              </w:tabs>
              <w:spacing w:line="240" w:lineRule="auto"/>
              <w:jc w:val="right"/>
              <w:rPr>
                <w:rFonts w:ascii="Univers" w:hAnsi="Univers"/>
                <w:b/>
                <w:sz w:val="72"/>
                <w:szCs w:val="72"/>
              </w:rPr>
            </w:pPr>
            <w:r w:rsidRPr="00CB31D0">
              <w:rPr>
                <w:rFonts w:ascii="Univers" w:hAnsi="Univers"/>
                <w:b/>
                <w:sz w:val="72"/>
                <w:szCs w:val="72"/>
              </w:rPr>
              <w:t>EP</w:t>
            </w:r>
          </w:p>
        </w:tc>
      </w:tr>
      <w:tr w:rsidR="00194D87" w:rsidRPr="00CB31D0">
        <w:trPr>
          <w:cantSplit/>
          <w:trHeight w:val="281"/>
        </w:trPr>
        <w:tc>
          <w:tcPr>
            <w:tcW w:w="1560" w:type="dxa"/>
            <w:tcBorders>
              <w:bottom w:val="single" w:sz="4" w:space="0" w:color="auto"/>
            </w:tcBorders>
          </w:tcPr>
          <w:p w:rsidR="00194D87" w:rsidRPr="00CB31D0" w:rsidRDefault="00194D87" w:rsidP="00293850">
            <w:pPr>
              <w:tabs>
                <w:tab w:val="left" w:pos="624"/>
                <w:tab w:val="left" w:pos="1871"/>
                <w:tab w:val="left" w:pos="2495"/>
                <w:tab w:val="left" w:pos="3119"/>
                <w:tab w:val="left" w:pos="3742"/>
              </w:tabs>
              <w:spacing w:line="240" w:lineRule="auto"/>
              <w:rPr>
                <w:noProof/>
                <w:sz w:val="18"/>
                <w:szCs w:val="18"/>
              </w:rPr>
            </w:pPr>
          </w:p>
        </w:tc>
        <w:tc>
          <w:tcPr>
            <w:tcW w:w="5208" w:type="dxa"/>
            <w:tcBorders>
              <w:bottom w:val="single" w:sz="4" w:space="0" w:color="auto"/>
            </w:tcBorders>
          </w:tcPr>
          <w:p w:rsidR="00194D87" w:rsidRPr="00CB31D0" w:rsidRDefault="00194D87" w:rsidP="00293850">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194D87" w:rsidRPr="00CB31D0" w:rsidRDefault="00194D87" w:rsidP="0058068F">
            <w:pPr>
              <w:tabs>
                <w:tab w:val="left" w:pos="624"/>
                <w:tab w:val="left" w:pos="1871"/>
                <w:tab w:val="left" w:pos="2495"/>
                <w:tab w:val="left" w:pos="3119"/>
                <w:tab w:val="left" w:pos="3742"/>
              </w:tabs>
              <w:spacing w:after="0" w:line="240" w:lineRule="auto"/>
              <w:rPr>
                <w:rFonts w:ascii="Times New Roman" w:hAnsi="Times New Roman"/>
                <w:noProof/>
                <w:sz w:val="18"/>
                <w:szCs w:val="18"/>
                <w:lang w:eastAsia="ja-JP"/>
              </w:rPr>
            </w:pPr>
            <w:r w:rsidRPr="00CB31D0">
              <w:rPr>
                <w:rFonts w:ascii="Times New Roman" w:hAnsi="Times New Roman"/>
                <w:b/>
                <w:sz w:val="24"/>
                <w:szCs w:val="24"/>
              </w:rPr>
              <w:t>IPBES</w:t>
            </w:r>
            <w:r w:rsidRPr="00CB31D0">
              <w:rPr>
                <w:rFonts w:ascii="Times New Roman" w:hAnsi="Times New Roman"/>
                <w:sz w:val="20"/>
                <w:szCs w:val="20"/>
              </w:rPr>
              <w:t>/</w:t>
            </w:r>
            <w:r w:rsidRPr="00CB31D0">
              <w:rPr>
                <w:rFonts w:ascii="Times New Roman" w:hAnsi="Times New Roman"/>
                <w:sz w:val="20"/>
                <w:szCs w:val="20"/>
                <w:lang w:eastAsia="ja-JP"/>
              </w:rPr>
              <w:t>2/1</w:t>
            </w:r>
            <w:r w:rsidR="0058068F" w:rsidRPr="00CB31D0">
              <w:rPr>
                <w:rFonts w:ascii="Times New Roman" w:hAnsi="Times New Roman"/>
                <w:sz w:val="20"/>
                <w:szCs w:val="20"/>
                <w:lang w:eastAsia="ja-JP"/>
              </w:rPr>
              <w:t>6/Add.7</w:t>
            </w:r>
          </w:p>
        </w:tc>
      </w:tr>
      <w:tr w:rsidR="00194D87" w:rsidRPr="00CB31D0">
        <w:trPr>
          <w:cantSplit/>
          <w:trHeight w:val="2549"/>
        </w:trPr>
        <w:tc>
          <w:tcPr>
            <w:tcW w:w="1560" w:type="dxa"/>
            <w:tcBorders>
              <w:top w:val="single" w:sz="4" w:space="0" w:color="auto"/>
              <w:bottom w:val="single" w:sz="24" w:space="0" w:color="auto"/>
            </w:tcBorders>
          </w:tcPr>
          <w:p w:rsidR="00194D87" w:rsidRPr="00CB31D0" w:rsidRDefault="00194D87" w:rsidP="00293850">
            <w:pPr>
              <w:tabs>
                <w:tab w:val="left" w:pos="624"/>
                <w:tab w:val="left" w:pos="1871"/>
                <w:tab w:val="left" w:pos="2495"/>
                <w:tab w:val="left" w:pos="3119"/>
                <w:tab w:val="left" w:pos="3742"/>
              </w:tabs>
              <w:spacing w:line="240" w:lineRule="auto"/>
              <w:rPr>
                <w:noProof/>
              </w:rPr>
            </w:pPr>
            <w:r w:rsidRPr="00CB31D0">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9" o:title=""/>
                </v:shape>
                <o:OLEObject Type="Embed" ProgID="Word.Picture.8" ShapeID="_x0000_i1025" DrawAspect="Content" ObjectID="_1445152811" r:id="rId10"/>
              </w:object>
            </w:r>
            <w:r w:rsidR="00C974C7">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CB31D0" w:rsidRDefault="00194D87" w:rsidP="00293850">
            <w:pPr>
              <w:tabs>
                <w:tab w:val="left" w:pos="624"/>
                <w:tab w:val="left" w:pos="1871"/>
                <w:tab w:val="left" w:pos="2495"/>
                <w:tab w:val="left" w:pos="3119"/>
                <w:tab w:val="left" w:pos="3742"/>
              </w:tabs>
              <w:spacing w:before="1400" w:line="240" w:lineRule="auto"/>
              <w:rPr>
                <w:rFonts w:ascii="Univers" w:hAnsi="Univers"/>
                <w:b/>
                <w:sz w:val="28"/>
              </w:rPr>
            </w:pPr>
            <w:r w:rsidRPr="00CB31D0">
              <w:rPr>
                <w:rFonts w:ascii="Univers" w:hAnsi="Univers"/>
                <w:b/>
                <w:sz w:val="32"/>
                <w:szCs w:val="32"/>
              </w:rPr>
              <w:t>United Nations</w:t>
            </w:r>
            <w:r w:rsidRPr="00CB31D0">
              <w:rPr>
                <w:rFonts w:ascii="Univers" w:hAnsi="Univers"/>
                <w:b/>
                <w:sz w:val="32"/>
                <w:szCs w:val="32"/>
              </w:rPr>
              <w:br/>
              <w:t xml:space="preserve">Environment </w:t>
            </w:r>
            <w:r w:rsidRPr="00CB31D0">
              <w:rPr>
                <w:rFonts w:ascii="Univers" w:hAnsi="Univers"/>
                <w:b/>
                <w:sz w:val="32"/>
                <w:szCs w:val="32"/>
              </w:rPr>
              <w:br/>
              <w:t>Programme</w:t>
            </w:r>
          </w:p>
        </w:tc>
        <w:tc>
          <w:tcPr>
            <w:tcW w:w="3012" w:type="dxa"/>
            <w:tcBorders>
              <w:top w:val="single" w:sz="4" w:space="0" w:color="auto"/>
              <w:bottom w:val="single" w:sz="24" w:space="0" w:color="auto"/>
            </w:tcBorders>
          </w:tcPr>
          <w:p w:rsidR="00194D87" w:rsidRPr="00CB31D0" w:rsidRDefault="00194D87" w:rsidP="00CB31D0">
            <w:pPr>
              <w:tabs>
                <w:tab w:val="left" w:pos="624"/>
                <w:tab w:val="left" w:pos="1871"/>
                <w:tab w:val="left" w:pos="2495"/>
                <w:tab w:val="left" w:pos="3119"/>
                <w:tab w:val="left" w:pos="3742"/>
              </w:tabs>
              <w:spacing w:before="120" w:after="0" w:line="240" w:lineRule="auto"/>
              <w:rPr>
                <w:rFonts w:ascii="Times New Roman" w:hAnsi="Times New Roman"/>
                <w:sz w:val="20"/>
                <w:szCs w:val="20"/>
              </w:rPr>
            </w:pPr>
            <w:r w:rsidRPr="00CB31D0">
              <w:rPr>
                <w:rFonts w:ascii="Times New Roman" w:hAnsi="Times New Roman"/>
                <w:sz w:val="20"/>
                <w:szCs w:val="20"/>
              </w:rPr>
              <w:t>Distr.: General</w:t>
            </w:r>
            <w:r w:rsidR="00870972" w:rsidRPr="00CB31D0">
              <w:rPr>
                <w:rFonts w:ascii="Times New Roman" w:hAnsi="Times New Roman"/>
                <w:sz w:val="20"/>
                <w:szCs w:val="20"/>
              </w:rPr>
              <w:br/>
            </w:r>
            <w:r w:rsidRPr="00CB31D0">
              <w:rPr>
                <w:rFonts w:ascii="Times New Roman" w:hAnsi="Times New Roman"/>
                <w:sz w:val="20"/>
                <w:szCs w:val="20"/>
                <w:lang w:eastAsia="ja-JP"/>
              </w:rPr>
              <w:t xml:space="preserve">2 </w:t>
            </w:r>
            <w:r w:rsidR="00D11D69" w:rsidRPr="00CB31D0">
              <w:rPr>
                <w:rFonts w:ascii="Times New Roman" w:hAnsi="Times New Roman"/>
                <w:sz w:val="20"/>
                <w:szCs w:val="20"/>
                <w:lang w:eastAsia="ja-JP"/>
              </w:rPr>
              <w:t xml:space="preserve">October </w:t>
            </w:r>
            <w:r w:rsidRPr="00CB31D0">
              <w:rPr>
                <w:rFonts w:ascii="Times New Roman" w:hAnsi="Times New Roman"/>
                <w:sz w:val="20"/>
                <w:szCs w:val="20"/>
                <w:lang w:eastAsia="ja-JP"/>
              </w:rPr>
              <w:t>2013</w:t>
            </w:r>
          </w:p>
          <w:p w:rsidR="00194D87" w:rsidRPr="00CB31D0" w:rsidRDefault="00194D87" w:rsidP="00CB31D0">
            <w:pPr>
              <w:tabs>
                <w:tab w:val="left" w:pos="624"/>
                <w:tab w:val="left" w:pos="1871"/>
                <w:tab w:val="left" w:pos="2495"/>
                <w:tab w:val="left" w:pos="3119"/>
                <w:tab w:val="left" w:pos="3742"/>
              </w:tabs>
              <w:spacing w:before="120" w:after="0" w:line="240" w:lineRule="auto"/>
            </w:pPr>
            <w:r w:rsidRPr="00CB31D0">
              <w:rPr>
                <w:rFonts w:ascii="Times New Roman" w:hAnsi="Times New Roman"/>
                <w:sz w:val="20"/>
                <w:szCs w:val="20"/>
              </w:rPr>
              <w:t>Original: English</w:t>
            </w:r>
            <w:r w:rsidRPr="00CB31D0">
              <w:t xml:space="preserve"> </w:t>
            </w:r>
          </w:p>
        </w:tc>
      </w:tr>
    </w:tbl>
    <w:p w:rsidR="00194D87" w:rsidRPr="00CB31D0" w:rsidRDefault="00194D87" w:rsidP="00194D87">
      <w:pPr>
        <w:pStyle w:val="AATitle"/>
        <w:keepNext w:val="0"/>
        <w:keepLines w:val="0"/>
        <w:tabs>
          <w:tab w:val="clear" w:pos="4082"/>
          <w:tab w:val="left" w:pos="4395"/>
        </w:tabs>
        <w:ind w:right="4631"/>
        <w:rPr>
          <w:sz w:val="20"/>
          <w:szCs w:val="20"/>
          <w:lang w:val="en-GB"/>
        </w:rPr>
      </w:pPr>
      <w:r w:rsidRPr="00CB31D0">
        <w:rPr>
          <w:sz w:val="20"/>
          <w:szCs w:val="20"/>
          <w:lang w:val="en-GB"/>
        </w:rPr>
        <w:t xml:space="preserve">Plenary of the Intergovernmental Science-Policy </w:t>
      </w:r>
      <w:r w:rsidRPr="00CB31D0">
        <w:rPr>
          <w:sz w:val="20"/>
          <w:szCs w:val="20"/>
          <w:lang w:val="en-GB"/>
        </w:rPr>
        <w:br/>
        <w:t>Platform on Biodiversity and Ecosystem Services</w:t>
      </w:r>
    </w:p>
    <w:p w:rsidR="00194D87" w:rsidRPr="00CB31D0" w:rsidRDefault="00194D87" w:rsidP="00194D87">
      <w:pPr>
        <w:pStyle w:val="AATitle"/>
        <w:keepNext w:val="0"/>
        <w:keepLines w:val="0"/>
        <w:rPr>
          <w:sz w:val="20"/>
          <w:szCs w:val="20"/>
          <w:lang w:val="en-GB"/>
        </w:rPr>
      </w:pPr>
      <w:r w:rsidRPr="00CB31D0">
        <w:rPr>
          <w:sz w:val="20"/>
          <w:szCs w:val="20"/>
          <w:lang w:val="en-GB"/>
        </w:rPr>
        <w:t>Second session</w:t>
      </w:r>
    </w:p>
    <w:p w:rsidR="00194D87" w:rsidRPr="00CB31D0" w:rsidRDefault="00194D87" w:rsidP="008A5A06">
      <w:pPr>
        <w:pStyle w:val="AATitle"/>
        <w:rPr>
          <w:b w:val="0"/>
          <w:sz w:val="20"/>
          <w:szCs w:val="20"/>
          <w:lang w:val="en-GB"/>
        </w:rPr>
      </w:pPr>
      <w:r w:rsidRPr="00CB31D0">
        <w:rPr>
          <w:b w:val="0"/>
          <w:sz w:val="20"/>
          <w:szCs w:val="20"/>
          <w:lang w:val="en-GB"/>
        </w:rPr>
        <w:t>Antalya, Turkey, 9–14 December 2013</w:t>
      </w:r>
    </w:p>
    <w:p w:rsidR="008A5A06" w:rsidRPr="00CB31D0" w:rsidRDefault="008A5A06" w:rsidP="008A5A06">
      <w:pPr>
        <w:pStyle w:val="AATitle"/>
        <w:rPr>
          <w:b w:val="0"/>
          <w:sz w:val="20"/>
          <w:szCs w:val="20"/>
          <w:lang w:val="en-GB"/>
        </w:rPr>
      </w:pPr>
      <w:r w:rsidRPr="00CB31D0">
        <w:rPr>
          <w:b w:val="0"/>
          <w:sz w:val="20"/>
          <w:szCs w:val="20"/>
          <w:lang w:val="en-GB"/>
        </w:rPr>
        <w:t xml:space="preserve">Item 4 (a) of the provisional </w:t>
      </w:r>
      <w:r w:rsidRPr="00CB31D0">
        <w:rPr>
          <w:b w:val="0"/>
          <w:sz w:val="20"/>
          <w:szCs w:val="20"/>
          <w:lang w:val="en-GB" w:eastAsia="ja-JP"/>
        </w:rPr>
        <w:t>agenda</w:t>
      </w:r>
      <w:r w:rsidRPr="00CB31D0">
        <w:rPr>
          <w:rStyle w:val="FootnoteReference"/>
          <w:b w:val="0"/>
          <w:szCs w:val="20"/>
          <w:lang w:val="en-GB" w:eastAsia="ja-JP"/>
        </w:rPr>
        <w:footnoteReference w:customMarkFollows="1" w:id="1"/>
        <w:sym w:font="Symbol" w:char="F02A"/>
      </w:r>
    </w:p>
    <w:p w:rsidR="00194D87" w:rsidRPr="00CB31D0" w:rsidRDefault="00E65B1B" w:rsidP="00F12CE2">
      <w:pPr>
        <w:pStyle w:val="AATitle2"/>
        <w:spacing w:before="60"/>
        <w:rPr>
          <w:sz w:val="20"/>
          <w:szCs w:val="20"/>
          <w:lang w:val="en-GB"/>
        </w:rPr>
      </w:pPr>
      <w:r w:rsidRPr="00CB31D0">
        <w:rPr>
          <w:sz w:val="20"/>
          <w:szCs w:val="20"/>
          <w:lang w:val="en-GB"/>
        </w:rPr>
        <w:t>Initial work programme of the Platform</w:t>
      </w:r>
      <w:r w:rsidR="008A5A06" w:rsidRPr="00CB31D0">
        <w:rPr>
          <w:sz w:val="20"/>
          <w:szCs w:val="20"/>
          <w:lang w:val="en-GB"/>
        </w:rPr>
        <w:t xml:space="preserve">: </w:t>
      </w:r>
      <w:r w:rsidR="008A5A06" w:rsidRPr="00CB31D0">
        <w:rPr>
          <w:sz w:val="20"/>
          <w:szCs w:val="20"/>
          <w:lang w:val="en-GB"/>
        </w:rPr>
        <w:br/>
        <w:t xml:space="preserve">work </w:t>
      </w:r>
      <w:r w:rsidRPr="00CB31D0">
        <w:rPr>
          <w:sz w:val="20"/>
          <w:szCs w:val="20"/>
          <w:lang w:val="en-GB"/>
        </w:rPr>
        <w:t>programme 2014</w:t>
      </w:r>
      <w:r w:rsidR="0058054B" w:rsidRPr="00CB31D0">
        <w:rPr>
          <w:sz w:val="20"/>
          <w:szCs w:val="20"/>
          <w:lang w:val="en-GB"/>
        </w:rPr>
        <w:t>–</w:t>
      </w:r>
      <w:r w:rsidRPr="00CB31D0">
        <w:rPr>
          <w:sz w:val="20"/>
          <w:szCs w:val="20"/>
          <w:lang w:val="en-GB"/>
        </w:rPr>
        <w:t>2018</w:t>
      </w:r>
    </w:p>
    <w:p w:rsidR="00545F24" w:rsidRPr="00CB31D0" w:rsidRDefault="00E65B1B" w:rsidP="00E65B1B">
      <w:pPr>
        <w:pStyle w:val="BBTitle"/>
        <w:rPr>
          <w:lang w:val="en-GB"/>
        </w:rPr>
      </w:pPr>
      <w:r w:rsidRPr="00CB31D0">
        <w:rPr>
          <w:lang w:val="en-GB"/>
        </w:rPr>
        <w:t>Initial scop</w:t>
      </w:r>
      <w:r w:rsidR="003F523D" w:rsidRPr="00CB31D0">
        <w:rPr>
          <w:lang w:val="en-GB"/>
        </w:rPr>
        <w:t xml:space="preserve">ing </w:t>
      </w:r>
      <w:r w:rsidR="009452BA" w:rsidRPr="00CB31D0">
        <w:rPr>
          <w:lang w:val="en-GB"/>
        </w:rPr>
        <w:t xml:space="preserve">for </w:t>
      </w:r>
      <w:r w:rsidRPr="00CB31D0">
        <w:rPr>
          <w:lang w:val="en-GB"/>
        </w:rPr>
        <w:t xml:space="preserve">the </w:t>
      </w:r>
      <w:r w:rsidR="003F523D" w:rsidRPr="00CB31D0">
        <w:rPr>
          <w:lang w:val="en-GB"/>
        </w:rPr>
        <w:t>t</w:t>
      </w:r>
      <w:r w:rsidRPr="00CB31D0">
        <w:rPr>
          <w:lang w:val="en-GB"/>
        </w:rPr>
        <w:t xml:space="preserve">hematic </w:t>
      </w:r>
      <w:r w:rsidR="003F523D" w:rsidRPr="00CB31D0">
        <w:rPr>
          <w:lang w:val="en-GB"/>
        </w:rPr>
        <w:t>a</w:t>
      </w:r>
      <w:r w:rsidRPr="00CB31D0">
        <w:rPr>
          <w:lang w:val="en-GB"/>
        </w:rPr>
        <w:t>ssessment o</w:t>
      </w:r>
      <w:r w:rsidR="003F523D" w:rsidRPr="00CB31D0">
        <w:rPr>
          <w:lang w:val="en-GB"/>
        </w:rPr>
        <w:t>f</w:t>
      </w:r>
      <w:r w:rsidRPr="00CB31D0">
        <w:rPr>
          <w:lang w:val="en-GB"/>
        </w:rPr>
        <w:t xml:space="preserve"> </w:t>
      </w:r>
      <w:r w:rsidR="003F523D" w:rsidRPr="00CB31D0">
        <w:rPr>
          <w:lang w:val="en-GB"/>
        </w:rPr>
        <w:t>a</w:t>
      </w:r>
      <w:r w:rsidRPr="00CB31D0">
        <w:rPr>
          <w:lang w:val="en-GB"/>
        </w:rPr>
        <w:t xml:space="preserve">griculture, </w:t>
      </w:r>
      <w:r w:rsidR="003F523D" w:rsidRPr="00CB31D0">
        <w:rPr>
          <w:lang w:val="en-GB"/>
        </w:rPr>
        <w:t>f</w:t>
      </w:r>
      <w:r w:rsidRPr="00CB31D0">
        <w:rPr>
          <w:lang w:val="en-GB"/>
        </w:rPr>
        <w:t xml:space="preserve">ood </w:t>
      </w:r>
      <w:r w:rsidR="003F523D" w:rsidRPr="00CB31D0">
        <w:rPr>
          <w:lang w:val="en-GB"/>
        </w:rPr>
        <w:t>s</w:t>
      </w:r>
      <w:r w:rsidRPr="00CB31D0">
        <w:rPr>
          <w:lang w:val="en-GB"/>
        </w:rPr>
        <w:t xml:space="preserve">ecurity, </w:t>
      </w:r>
      <w:r w:rsidR="003F523D" w:rsidRPr="00CB31D0">
        <w:rPr>
          <w:lang w:val="en-GB"/>
        </w:rPr>
        <w:t>b</w:t>
      </w:r>
      <w:r w:rsidRPr="00CB31D0">
        <w:rPr>
          <w:lang w:val="en-GB"/>
        </w:rPr>
        <w:t xml:space="preserve">iodiversity and </w:t>
      </w:r>
      <w:r w:rsidR="003F523D" w:rsidRPr="00CB31D0">
        <w:rPr>
          <w:lang w:val="en-GB"/>
        </w:rPr>
        <w:t>e</w:t>
      </w:r>
      <w:r w:rsidRPr="00CB31D0">
        <w:rPr>
          <w:lang w:val="en-GB"/>
        </w:rPr>
        <w:t xml:space="preserve">cosystem </w:t>
      </w:r>
      <w:r w:rsidR="003F523D" w:rsidRPr="00CB31D0">
        <w:rPr>
          <w:lang w:val="en-GB"/>
        </w:rPr>
        <w:t>s</w:t>
      </w:r>
      <w:r w:rsidRPr="00CB31D0">
        <w:rPr>
          <w:lang w:val="en-GB"/>
        </w:rPr>
        <w:t>ervices</w:t>
      </w:r>
      <w:r w:rsidR="002B5C29" w:rsidRPr="00CB31D0">
        <w:rPr>
          <w:lang w:val="en-GB"/>
        </w:rPr>
        <w:t xml:space="preserve"> </w:t>
      </w:r>
    </w:p>
    <w:p w:rsidR="00E65B1B" w:rsidRPr="00CB31D0" w:rsidRDefault="00D80293" w:rsidP="00437265">
      <w:pPr>
        <w:pStyle w:val="CH2"/>
        <w:rPr>
          <w:lang w:val="en-GB"/>
        </w:rPr>
      </w:pPr>
      <w:r w:rsidRPr="00CB31D0">
        <w:rPr>
          <w:lang w:val="en-GB"/>
        </w:rPr>
        <w:tab/>
      </w:r>
      <w:r w:rsidRPr="00CB31D0">
        <w:rPr>
          <w:lang w:val="en-GB"/>
        </w:rPr>
        <w:tab/>
      </w:r>
      <w:r w:rsidR="00545F24" w:rsidRPr="00CB31D0">
        <w:rPr>
          <w:lang w:val="en-GB"/>
        </w:rPr>
        <w:t>Note by the secretariat</w:t>
      </w:r>
    </w:p>
    <w:p w:rsidR="004E0C38" w:rsidRPr="00CB31D0" w:rsidRDefault="00545F24" w:rsidP="00437265">
      <w:pPr>
        <w:pStyle w:val="CH1"/>
        <w:rPr>
          <w:lang w:val="en-GB"/>
        </w:rPr>
      </w:pPr>
      <w:r w:rsidRPr="00CB31D0">
        <w:rPr>
          <w:lang w:val="en-GB"/>
        </w:rPr>
        <w:tab/>
        <w:t>I.</w:t>
      </w:r>
      <w:r w:rsidRPr="00CB31D0">
        <w:rPr>
          <w:lang w:val="en-GB"/>
        </w:rPr>
        <w:tab/>
      </w:r>
      <w:r w:rsidR="004E0C38" w:rsidRPr="00CB31D0">
        <w:rPr>
          <w:lang w:val="en-GB"/>
        </w:rPr>
        <w:t>Introduction</w:t>
      </w:r>
    </w:p>
    <w:p w:rsidR="00DE0ADE" w:rsidRPr="00CB31D0" w:rsidRDefault="003F523D" w:rsidP="00762016">
      <w:pPr>
        <w:pStyle w:val="Normalnumber"/>
        <w:rPr>
          <w:sz w:val="20"/>
          <w:szCs w:val="20"/>
          <w:lang w:val="en-GB"/>
        </w:rPr>
      </w:pPr>
      <w:r w:rsidRPr="00CB31D0">
        <w:rPr>
          <w:sz w:val="20"/>
          <w:szCs w:val="20"/>
          <w:lang w:val="en-GB"/>
        </w:rPr>
        <w:t xml:space="preserve">Recognizing that it would be necessary to </w:t>
      </w:r>
      <w:r w:rsidR="006F5321" w:rsidRPr="00CB31D0">
        <w:rPr>
          <w:sz w:val="20"/>
          <w:szCs w:val="20"/>
          <w:lang w:val="en-GB"/>
        </w:rPr>
        <w:t>move forward</w:t>
      </w:r>
      <w:r w:rsidRPr="00CB31D0">
        <w:rPr>
          <w:sz w:val="20"/>
          <w:szCs w:val="20"/>
          <w:lang w:val="en-GB"/>
        </w:rPr>
        <w:t xml:space="preserve"> w</w:t>
      </w:r>
      <w:r w:rsidR="00D70662" w:rsidRPr="00CB31D0">
        <w:rPr>
          <w:sz w:val="20"/>
          <w:szCs w:val="20"/>
          <w:lang w:val="en-GB"/>
        </w:rPr>
        <w:t>ith the work programme for 2014‒</w:t>
      </w:r>
      <w:r w:rsidRPr="00CB31D0">
        <w:rPr>
          <w:sz w:val="20"/>
          <w:szCs w:val="20"/>
          <w:lang w:val="en-GB"/>
        </w:rPr>
        <w:t xml:space="preserve">2018 </w:t>
      </w:r>
      <w:r w:rsidR="003A50F0" w:rsidRPr="00CB31D0">
        <w:rPr>
          <w:sz w:val="20"/>
          <w:szCs w:val="20"/>
          <w:lang w:val="en-GB"/>
        </w:rPr>
        <w:t>following its</w:t>
      </w:r>
      <w:r w:rsidRPr="00CB31D0">
        <w:rPr>
          <w:sz w:val="20"/>
          <w:szCs w:val="20"/>
          <w:lang w:val="en-GB"/>
        </w:rPr>
        <w:t xml:space="preserve"> approv</w:t>
      </w:r>
      <w:r w:rsidR="003A50F0" w:rsidRPr="00CB31D0">
        <w:rPr>
          <w:sz w:val="20"/>
          <w:szCs w:val="20"/>
          <w:lang w:val="en-GB"/>
        </w:rPr>
        <w:t>al</w:t>
      </w:r>
      <w:r w:rsidRPr="00CB31D0">
        <w:rPr>
          <w:sz w:val="20"/>
          <w:szCs w:val="20"/>
          <w:lang w:val="en-GB"/>
        </w:rPr>
        <w:t xml:space="preserve"> by the Plenary of the Intergovernmental Science</w:t>
      </w:r>
      <w:r w:rsidR="00E9666E" w:rsidRPr="00CB31D0">
        <w:rPr>
          <w:sz w:val="20"/>
          <w:szCs w:val="20"/>
          <w:lang w:val="en-GB"/>
        </w:rPr>
        <w:noBreakHyphen/>
      </w:r>
      <w:r w:rsidRPr="00CB31D0">
        <w:rPr>
          <w:sz w:val="20"/>
          <w:szCs w:val="20"/>
          <w:lang w:val="en-GB"/>
        </w:rPr>
        <w:t>Policy Platform for Biodiversity and Ecosystem Services at its second session, the Bureau and the Multidisciplinary Expert Panel agreed to prepare</w:t>
      </w:r>
      <w:r w:rsidR="006F5321" w:rsidRPr="00CB31D0">
        <w:rPr>
          <w:sz w:val="20"/>
          <w:szCs w:val="20"/>
          <w:lang w:val="en-GB"/>
        </w:rPr>
        <w:t>,</w:t>
      </w:r>
      <w:r w:rsidRPr="00CB31D0">
        <w:rPr>
          <w:sz w:val="20"/>
          <w:szCs w:val="20"/>
          <w:lang w:val="en-GB"/>
        </w:rPr>
        <w:t xml:space="preserve"> for consideration by the Plenary at that session</w:t>
      </w:r>
      <w:r w:rsidR="006F5321" w:rsidRPr="00CB31D0">
        <w:rPr>
          <w:sz w:val="20"/>
          <w:szCs w:val="20"/>
          <w:lang w:val="en-GB"/>
        </w:rPr>
        <w:t>,</w:t>
      </w:r>
      <w:r w:rsidRPr="00CB31D0">
        <w:rPr>
          <w:sz w:val="20"/>
          <w:szCs w:val="20"/>
          <w:lang w:val="en-GB"/>
        </w:rPr>
        <w:t xml:space="preserve"> a number of initial scoping documents based on the prioritization of requests, suggestions and inputs put to the Platform and the deliverables</w:t>
      </w:r>
      <w:r w:rsidR="003A50F0" w:rsidRPr="00CB31D0">
        <w:rPr>
          <w:sz w:val="20"/>
          <w:szCs w:val="20"/>
          <w:lang w:val="en-GB"/>
        </w:rPr>
        <w:t xml:space="preserve"> set out</w:t>
      </w:r>
      <w:r w:rsidRPr="00CB31D0">
        <w:rPr>
          <w:sz w:val="20"/>
          <w:szCs w:val="20"/>
          <w:lang w:val="en-GB"/>
        </w:rPr>
        <w:t xml:space="preserve"> in the draft work programme (IPBES/2/2). </w:t>
      </w:r>
      <w:r w:rsidR="006F5321" w:rsidRPr="00CB31D0">
        <w:rPr>
          <w:sz w:val="20"/>
          <w:szCs w:val="20"/>
          <w:lang w:val="en-GB"/>
        </w:rPr>
        <w:t>T</w:t>
      </w:r>
      <w:r w:rsidRPr="00CB31D0">
        <w:rPr>
          <w:sz w:val="20"/>
          <w:szCs w:val="20"/>
          <w:lang w:val="en-GB"/>
        </w:rPr>
        <w:t>he present note sets out the initial scoping for a proposed thematic assessment of agriculture, food security, biodiversity and ecosystem services. It has been developed in accordance with the draft procedures for the preparation of the Platform’s deliverables (IPBES/2/9).</w:t>
      </w:r>
    </w:p>
    <w:p w:rsidR="00DE0ADE" w:rsidRPr="00CB31D0" w:rsidRDefault="00E65B1B" w:rsidP="00762016">
      <w:pPr>
        <w:pStyle w:val="CH1"/>
        <w:rPr>
          <w:lang w:val="en-GB"/>
        </w:rPr>
      </w:pPr>
      <w:r w:rsidRPr="00CB31D0">
        <w:rPr>
          <w:lang w:val="en-GB"/>
        </w:rPr>
        <w:tab/>
      </w:r>
      <w:r w:rsidR="00B658EA" w:rsidRPr="00CB31D0">
        <w:rPr>
          <w:lang w:val="en-GB"/>
        </w:rPr>
        <w:t>I</w:t>
      </w:r>
      <w:r w:rsidR="004E0C38" w:rsidRPr="00CB31D0">
        <w:rPr>
          <w:lang w:val="en-GB"/>
        </w:rPr>
        <w:t>I</w:t>
      </w:r>
      <w:r w:rsidRPr="00CB31D0">
        <w:rPr>
          <w:lang w:val="en-GB"/>
        </w:rPr>
        <w:t>.</w:t>
      </w:r>
      <w:r w:rsidRPr="00CB31D0">
        <w:rPr>
          <w:lang w:val="en-GB"/>
        </w:rPr>
        <w:tab/>
      </w:r>
      <w:r w:rsidR="003F523D" w:rsidRPr="00CB31D0">
        <w:rPr>
          <w:lang w:val="en-GB"/>
        </w:rPr>
        <w:t>S</w:t>
      </w:r>
      <w:r w:rsidRPr="00CB31D0">
        <w:rPr>
          <w:lang w:val="en-GB"/>
        </w:rPr>
        <w:t>cope, rationale and utility</w:t>
      </w:r>
    </w:p>
    <w:p w:rsidR="00DE0ADE" w:rsidRPr="00CB31D0" w:rsidRDefault="0057716D" w:rsidP="00762016">
      <w:pPr>
        <w:pStyle w:val="CH2"/>
        <w:rPr>
          <w:lang w:val="en-GB"/>
        </w:rPr>
      </w:pPr>
      <w:r w:rsidRPr="00CB31D0">
        <w:rPr>
          <w:lang w:val="en-GB"/>
        </w:rPr>
        <w:tab/>
      </w:r>
      <w:r w:rsidR="00B658EA" w:rsidRPr="00CB31D0">
        <w:rPr>
          <w:lang w:val="en-GB"/>
        </w:rPr>
        <w:t>A.</w:t>
      </w:r>
      <w:r w:rsidR="00B658EA" w:rsidRPr="00CB31D0">
        <w:rPr>
          <w:lang w:val="en-GB"/>
        </w:rPr>
        <w:tab/>
      </w:r>
      <w:r w:rsidR="00E65B1B" w:rsidRPr="00CB31D0">
        <w:rPr>
          <w:lang w:val="en-GB"/>
        </w:rPr>
        <w:t>Scope</w:t>
      </w:r>
    </w:p>
    <w:p w:rsidR="00E65B1B" w:rsidRPr="00CB31D0" w:rsidRDefault="00E65B1B" w:rsidP="00E65B1B">
      <w:pPr>
        <w:pStyle w:val="Normalnumber"/>
        <w:rPr>
          <w:sz w:val="20"/>
          <w:szCs w:val="20"/>
          <w:lang w:val="en-GB"/>
        </w:rPr>
      </w:pPr>
      <w:r w:rsidRPr="00CB31D0">
        <w:rPr>
          <w:sz w:val="20"/>
          <w:szCs w:val="20"/>
          <w:lang w:val="en-GB"/>
        </w:rPr>
        <w:t xml:space="preserve">Is a “sustainable intensification” approach </w:t>
      </w:r>
      <w:r w:rsidR="00E401AF" w:rsidRPr="00CB31D0">
        <w:rPr>
          <w:sz w:val="20"/>
          <w:szCs w:val="20"/>
          <w:lang w:val="en-GB"/>
        </w:rPr>
        <w:t xml:space="preserve">an effective </w:t>
      </w:r>
      <w:r w:rsidRPr="00CB31D0">
        <w:rPr>
          <w:sz w:val="20"/>
          <w:szCs w:val="20"/>
          <w:lang w:val="en-GB"/>
        </w:rPr>
        <w:t xml:space="preserve">policy option </w:t>
      </w:r>
      <w:r w:rsidR="00E401AF" w:rsidRPr="00CB31D0">
        <w:rPr>
          <w:sz w:val="20"/>
          <w:szCs w:val="20"/>
          <w:lang w:val="en-GB"/>
        </w:rPr>
        <w:t>for</w:t>
      </w:r>
      <w:r w:rsidRPr="00CB31D0">
        <w:rPr>
          <w:sz w:val="20"/>
          <w:szCs w:val="20"/>
          <w:lang w:val="en-GB"/>
        </w:rPr>
        <w:t xml:space="preserve"> address</w:t>
      </w:r>
      <w:r w:rsidR="00E401AF" w:rsidRPr="00CB31D0">
        <w:rPr>
          <w:sz w:val="20"/>
          <w:szCs w:val="20"/>
          <w:lang w:val="en-GB"/>
        </w:rPr>
        <w:t>ing</w:t>
      </w:r>
      <w:r w:rsidRPr="00CB31D0">
        <w:rPr>
          <w:sz w:val="20"/>
          <w:szCs w:val="20"/>
          <w:lang w:val="en-GB"/>
        </w:rPr>
        <w:t xml:space="preserve"> global food security needs without compromising ecosystem services, specifically biodiversity?</w:t>
      </w:r>
    </w:p>
    <w:p w:rsidR="00E65B1B" w:rsidRPr="00CB31D0" w:rsidRDefault="00E65B1B" w:rsidP="00E65B1B">
      <w:pPr>
        <w:pStyle w:val="Normalnumber"/>
        <w:rPr>
          <w:sz w:val="20"/>
          <w:szCs w:val="20"/>
          <w:lang w:val="en-GB"/>
        </w:rPr>
      </w:pPr>
      <w:r w:rsidRPr="00CB31D0">
        <w:rPr>
          <w:sz w:val="20"/>
          <w:szCs w:val="20"/>
          <w:lang w:val="en-GB"/>
        </w:rPr>
        <w:t>The potential pressure on land and water resources as demand for agricultural productivity increases to feed a world of 9 billion people means that polic</w:t>
      </w:r>
      <w:r w:rsidR="00E401AF" w:rsidRPr="00CB31D0">
        <w:rPr>
          <w:sz w:val="20"/>
          <w:szCs w:val="20"/>
          <w:lang w:val="en-GB"/>
        </w:rPr>
        <w:t>ies</w:t>
      </w:r>
      <w:r w:rsidRPr="00CB31D0">
        <w:rPr>
          <w:sz w:val="20"/>
          <w:szCs w:val="20"/>
          <w:lang w:val="en-GB"/>
        </w:rPr>
        <w:t xml:space="preserve"> </w:t>
      </w:r>
      <w:r w:rsidR="00E401AF" w:rsidRPr="00CB31D0">
        <w:rPr>
          <w:sz w:val="20"/>
          <w:szCs w:val="20"/>
          <w:lang w:val="en-GB"/>
        </w:rPr>
        <w:t xml:space="preserve">must </w:t>
      </w:r>
      <w:r w:rsidRPr="00CB31D0">
        <w:rPr>
          <w:sz w:val="20"/>
          <w:szCs w:val="20"/>
          <w:lang w:val="en-GB"/>
        </w:rPr>
        <w:t xml:space="preserve">balance </w:t>
      </w:r>
      <w:r w:rsidR="00E401AF" w:rsidRPr="00CB31D0">
        <w:rPr>
          <w:sz w:val="20"/>
          <w:szCs w:val="20"/>
          <w:lang w:val="en-GB"/>
        </w:rPr>
        <w:t xml:space="preserve">the </w:t>
      </w:r>
      <w:r w:rsidRPr="00CB31D0">
        <w:rPr>
          <w:sz w:val="20"/>
          <w:szCs w:val="20"/>
          <w:lang w:val="en-GB"/>
        </w:rPr>
        <w:t xml:space="preserve">productive capacity </w:t>
      </w:r>
      <w:r w:rsidR="00E401AF" w:rsidRPr="00CB31D0">
        <w:rPr>
          <w:sz w:val="20"/>
          <w:szCs w:val="20"/>
          <w:lang w:val="en-GB"/>
        </w:rPr>
        <w:t xml:space="preserve">of land and water </w:t>
      </w:r>
      <w:r w:rsidRPr="00CB31D0">
        <w:rPr>
          <w:sz w:val="20"/>
          <w:szCs w:val="20"/>
          <w:lang w:val="en-GB"/>
        </w:rPr>
        <w:t>with the</w:t>
      </w:r>
      <w:r w:rsidR="00E401AF" w:rsidRPr="00CB31D0">
        <w:rPr>
          <w:sz w:val="20"/>
          <w:szCs w:val="20"/>
          <w:lang w:val="en-GB"/>
        </w:rPr>
        <w:t>ir</w:t>
      </w:r>
      <w:r w:rsidRPr="00CB31D0">
        <w:rPr>
          <w:sz w:val="20"/>
          <w:szCs w:val="20"/>
          <w:lang w:val="en-GB"/>
        </w:rPr>
        <w:t xml:space="preserve"> intrinsic value as </w:t>
      </w:r>
      <w:r w:rsidR="00E401AF" w:rsidRPr="00CB31D0">
        <w:rPr>
          <w:sz w:val="20"/>
          <w:szCs w:val="20"/>
          <w:lang w:val="en-GB"/>
        </w:rPr>
        <w:t xml:space="preserve">providers of </w:t>
      </w:r>
      <w:r w:rsidRPr="00CB31D0">
        <w:rPr>
          <w:sz w:val="20"/>
          <w:szCs w:val="20"/>
          <w:lang w:val="en-GB"/>
        </w:rPr>
        <w:t>ecosystem services. Th</w:t>
      </w:r>
      <w:r w:rsidR="00E401AF" w:rsidRPr="00CB31D0">
        <w:rPr>
          <w:sz w:val="20"/>
          <w:szCs w:val="20"/>
          <w:lang w:val="en-GB"/>
        </w:rPr>
        <w:t>e proposed</w:t>
      </w:r>
      <w:r w:rsidRPr="00CB31D0">
        <w:rPr>
          <w:sz w:val="20"/>
          <w:szCs w:val="20"/>
          <w:lang w:val="en-GB"/>
        </w:rPr>
        <w:t xml:space="preserve"> assessment will build </w:t>
      </w:r>
      <w:r w:rsidR="003A50F0" w:rsidRPr="00CB31D0">
        <w:rPr>
          <w:sz w:val="20"/>
          <w:szCs w:val="20"/>
          <w:lang w:val="en-GB"/>
        </w:rPr>
        <w:t xml:space="preserve">on </w:t>
      </w:r>
      <w:r w:rsidRPr="00CB31D0">
        <w:rPr>
          <w:sz w:val="20"/>
          <w:szCs w:val="20"/>
          <w:lang w:val="en-GB"/>
        </w:rPr>
        <w:t>previous documents that have summarized the state of knowledge regarding this issue</w:t>
      </w:r>
      <w:r w:rsidR="00DE0ADE" w:rsidRPr="00CB31D0">
        <w:rPr>
          <w:sz w:val="20"/>
          <w:szCs w:val="20"/>
          <w:lang w:val="en-GB"/>
        </w:rPr>
        <w:t xml:space="preserve"> and </w:t>
      </w:r>
      <w:r w:rsidR="00F03422" w:rsidRPr="00CB31D0">
        <w:rPr>
          <w:sz w:val="20"/>
          <w:szCs w:val="20"/>
          <w:lang w:val="en-GB"/>
        </w:rPr>
        <w:t xml:space="preserve">will </w:t>
      </w:r>
      <w:r w:rsidR="00DE0ADE" w:rsidRPr="00CB31D0">
        <w:rPr>
          <w:sz w:val="20"/>
          <w:szCs w:val="20"/>
          <w:lang w:val="en-GB"/>
        </w:rPr>
        <w:t>specifically address the policy context</w:t>
      </w:r>
      <w:r w:rsidRPr="00CB31D0">
        <w:rPr>
          <w:sz w:val="20"/>
          <w:szCs w:val="20"/>
          <w:lang w:val="en-GB"/>
        </w:rPr>
        <w:t xml:space="preserve">. </w:t>
      </w:r>
    </w:p>
    <w:p w:rsidR="00E65B1B" w:rsidRPr="00CB31D0" w:rsidRDefault="00FD2D22" w:rsidP="00E65B1B">
      <w:pPr>
        <w:pStyle w:val="Normalnumber"/>
        <w:rPr>
          <w:sz w:val="20"/>
          <w:szCs w:val="20"/>
          <w:lang w:val="en-GB"/>
        </w:rPr>
      </w:pPr>
      <w:r w:rsidRPr="00CB31D0">
        <w:rPr>
          <w:sz w:val="20"/>
          <w:szCs w:val="20"/>
          <w:lang w:val="en-GB"/>
        </w:rPr>
        <w:lastRenderedPageBreak/>
        <w:t>P</w:t>
      </w:r>
      <w:r w:rsidR="00E65B1B" w:rsidRPr="00CB31D0">
        <w:rPr>
          <w:sz w:val="20"/>
          <w:szCs w:val="20"/>
          <w:lang w:val="en-GB"/>
        </w:rPr>
        <w:t>olicy options related to sustainable agricultural production and biodiversity</w:t>
      </w:r>
      <w:r w:rsidRPr="00CB31D0">
        <w:rPr>
          <w:sz w:val="20"/>
          <w:szCs w:val="20"/>
          <w:lang w:val="en-GB"/>
        </w:rPr>
        <w:t xml:space="preserve"> present</w:t>
      </w:r>
      <w:r w:rsidR="00E65B1B" w:rsidRPr="00CB31D0">
        <w:rPr>
          <w:sz w:val="20"/>
          <w:szCs w:val="20"/>
          <w:lang w:val="en-GB"/>
        </w:rPr>
        <w:t xml:space="preserve"> the opportunity to develop new technology (including new germplasm) t</w:t>
      </w:r>
      <w:r w:rsidRPr="00CB31D0">
        <w:rPr>
          <w:sz w:val="20"/>
          <w:szCs w:val="20"/>
          <w:lang w:val="en-GB"/>
        </w:rPr>
        <w:t>hat could</w:t>
      </w:r>
      <w:r w:rsidR="00E65B1B" w:rsidRPr="00CB31D0">
        <w:rPr>
          <w:sz w:val="20"/>
          <w:szCs w:val="20"/>
          <w:lang w:val="en-GB"/>
        </w:rPr>
        <w:t xml:space="preserve"> increase resilience in agricultural systems, notably in response to climatic variability and change. </w:t>
      </w:r>
      <w:r w:rsidRPr="00CB31D0">
        <w:rPr>
          <w:sz w:val="20"/>
          <w:szCs w:val="20"/>
          <w:lang w:val="en-GB"/>
        </w:rPr>
        <w:t xml:space="preserve">At the same time, agricultural practices can have an </w:t>
      </w:r>
      <w:r w:rsidR="00E65B1B" w:rsidRPr="00CB31D0">
        <w:rPr>
          <w:sz w:val="20"/>
          <w:szCs w:val="20"/>
          <w:lang w:val="en-GB"/>
        </w:rPr>
        <w:t xml:space="preserve">impact on biodiversity and </w:t>
      </w:r>
      <w:r w:rsidRPr="00CB31D0">
        <w:rPr>
          <w:sz w:val="20"/>
          <w:szCs w:val="20"/>
          <w:lang w:val="en-GB"/>
        </w:rPr>
        <w:t>the</w:t>
      </w:r>
      <w:r w:rsidR="00E65B1B" w:rsidRPr="00CB31D0">
        <w:rPr>
          <w:sz w:val="20"/>
          <w:szCs w:val="20"/>
          <w:lang w:val="en-GB"/>
        </w:rPr>
        <w:t xml:space="preserve"> ecosystem services</w:t>
      </w:r>
      <w:r w:rsidRPr="00CB31D0">
        <w:rPr>
          <w:sz w:val="20"/>
          <w:szCs w:val="20"/>
          <w:lang w:val="en-GB"/>
        </w:rPr>
        <w:t xml:space="preserve"> that it provides</w:t>
      </w:r>
      <w:r w:rsidR="00E65B1B" w:rsidRPr="00CB31D0">
        <w:rPr>
          <w:sz w:val="20"/>
          <w:szCs w:val="20"/>
          <w:lang w:val="en-GB"/>
        </w:rPr>
        <w:t>. Th</w:t>
      </w:r>
      <w:r w:rsidRPr="00CB31D0">
        <w:rPr>
          <w:sz w:val="20"/>
          <w:szCs w:val="20"/>
          <w:lang w:val="en-GB"/>
        </w:rPr>
        <w:t>e proposed</w:t>
      </w:r>
      <w:r w:rsidR="00E65B1B" w:rsidRPr="00CB31D0">
        <w:rPr>
          <w:sz w:val="20"/>
          <w:szCs w:val="20"/>
          <w:lang w:val="en-GB"/>
        </w:rPr>
        <w:t xml:space="preserve"> assessment would directly address this duality.</w:t>
      </w:r>
    </w:p>
    <w:p w:rsidR="00DE0ADE" w:rsidRPr="00CB31D0" w:rsidRDefault="0057716D" w:rsidP="00762016">
      <w:pPr>
        <w:pStyle w:val="CH2"/>
        <w:rPr>
          <w:b w:val="0"/>
          <w:lang w:val="en-GB"/>
        </w:rPr>
      </w:pPr>
      <w:r w:rsidRPr="00CB31D0">
        <w:rPr>
          <w:lang w:val="en-GB"/>
        </w:rPr>
        <w:tab/>
      </w:r>
      <w:r w:rsidR="00FD2D22" w:rsidRPr="00CB31D0">
        <w:rPr>
          <w:lang w:val="en-GB"/>
        </w:rPr>
        <w:t>B.</w:t>
      </w:r>
      <w:r w:rsidR="00FD2D22" w:rsidRPr="00CB31D0">
        <w:rPr>
          <w:lang w:val="en-GB"/>
        </w:rPr>
        <w:tab/>
      </w:r>
      <w:r w:rsidR="00DE0ADE" w:rsidRPr="00CB31D0">
        <w:rPr>
          <w:lang w:val="en-GB"/>
        </w:rPr>
        <w:t xml:space="preserve">Rationale </w:t>
      </w:r>
    </w:p>
    <w:p w:rsidR="00E65B1B" w:rsidRPr="00CB31D0" w:rsidRDefault="00E65B1B" w:rsidP="00E65B1B">
      <w:pPr>
        <w:pStyle w:val="Normalnumber"/>
        <w:rPr>
          <w:sz w:val="20"/>
          <w:szCs w:val="20"/>
          <w:lang w:val="en-GB"/>
        </w:rPr>
      </w:pPr>
      <w:r w:rsidRPr="00CB31D0">
        <w:rPr>
          <w:sz w:val="20"/>
          <w:szCs w:val="20"/>
          <w:lang w:val="en-GB"/>
        </w:rPr>
        <w:t xml:space="preserve">The pressure on terrestrial and aquatic ecosystems to produce food must be </w:t>
      </w:r>
      <w:r w:rsidR="00316934" w:rsidRPr="00CB31D0">
        <w:rPr>
          <w:sz w:val="20"/>
          <w:szCs w:val="20"/>
          <w:lang w:val="en-GB"/>
        </w:rPr>
        <w:t xml:space="preserve">counteracted </w:t>
      </w:r>
      <w:r w:rsidRPr="00CB31D0">
        <w:rPr>
          <w:sz w:val="20"/>
          <w:szCs w:val="20"/>
          <w:lang w:val="en-GB"/>
        </w:rPr>
        <w:t xml:space="preserve">by practices that maintain and value </w:t>
      </w:r>
      <w:r w:rsidR="00316934" w:rsidRPr="00CB31D0">
        <w:rPr>
          <w:sz w:val="20"/>
          <w:szCs w:val="20"/>
          <w:lang w:val="en-GB"/>
        </w:rPr>
        <w:t xml:space="preserve">the </w:t>
      </w:r>
      <w:r w:rsidRPr="00CB31D0">
        <w:rPr>
          <w:sz w:val="20"/>
          <w:szCs w:val="20"/>
          <w:lang w:val="en-GB"/>
        </w:rPr>
        <w:t>ecosystem services that come from these life</w:t>
      </w:r>
      <w:r w:rsidR="00316934" w:rsidRPr="00CB31D0">
        <w:rPr>
          <w:sz w:val="20"/>
          <w:szCs w:val="20"/>
          <w:lang w:val="en-GB"/>
        </w:rPr>
        <w:noBreakHyphen/>
      </w:r>
      <w:r w:rsidRPr="00CB31D0">
        <w:rPr>
          <w:sz w:val="20"/>
          <w:szCs w:val="20"/>
          <w:lang w:val="en-GB"/>
        </w:rPr>
        <w:t>support systems. While assessments and reports have summarized the state of knowledge</w:t>
      </w:r>
      <w:r w:rsidR="00316934" w:rsidRPr="00CB31D0">
        <w:rPr>
          <w:sz w:val="20"/>
          <w:szCs w:val="20"/>
          <w:lang w:val="en-GB"/>
        </w:rPr>
        <w:t xml:space="preserve"> in this area</w:t>
      </w:r>
      <w:r w:rsidRPr="00CB31D0">
        <w:rPr>
          <w:sz w:val="20"/>
          <w:szCs w:val="20"/>
          <w:lang w:val="en-GB"/>
        </w:rPr>
        <w:t xml:space="preserve">, this knowledge has not been </w:t>
      </w:r>
      <w:r w:rsidR="00316934" w:rsidRPr="00CB31D0">
        <w:rPr>
          <w:sz w:val="20"/>
          <w:szCs w:val="20"/>
          <w:lang w:val="en-GB"/>
        </w:rPr>
        <w:t xml:space="preserve">put to use </w:t>
      </w:r>
      <w:r w:rsidRPr="00CB31D0">
        <w:rPr>
          <w:sz w:val="20"/>
          <w:szCs w:val="20"/>
          <w:lang w:val="en-GB"/>
        </w:rPr>
        <w:t>sufficiently</w:t>
      </w:r>
      <w:r w:rsidR="00316934" w:rsidRPr="00CB31D0">
        <w:rPr>
          <w:sz w:val="20"/>
          <w:szCs w:val="20"/>
          <w:lang w:val="en-GB"/>
        </w:rPr>
        <w:t xml:space="preserve">, for example to </w:t>
      </w:r>
      <w:r w:rsidRPr="00CB31D0">
        <w:rPr>
          <w:sz w:val="20"/>
          <w:szCs w:val="20"/>
          <w:lang w:val="en-GB"/>
        </w:rPr>
        <w:t xml:space="preserve">develop </w:t>
      </w:r>
      <w:r w:rsidR="00316934" w:rsidRPr="00CB31D0">
        <w:rPr>
          <w:sz w:val="20"/>
          <w:szCs w:val="20"/>
          <w:lang w:val="en-GB"/>
        </w:rPr>
        <w:t xml:space="preserve">effective </w:t>
      </w:r>
      <w:r w:rsidRPr="00CB31D0">
        <w:rPr>
          <w:sz w:val="20"/>
          <w:szCs w:val="20"/>
          <w:lang w:val="en-GB"/>
        </w:rPr>
        <w:t xml:space="preserve">policies. The </w:t>
      </w:r>
      <w:r w:rsidR="00316934" w:rsidRPr="00CB31D0">
        <w:rPr>
          <w:sz w:val="20"/>
          <w:szCs w:val="20"/>
          <w:lang w:val="en-GB"/>
        </w:rPr>
        <w:t xml:space="preserve">proposed assessment would </w:t>
      </w:r>
      <w:r w:rsidRPr="00CB31D0">
        <w:rPr>
          <w:sz w:val="20"/>
          <w:szCs w:val="20"/>
          <w:lang w:val="en-GB"/>
        </w:rPr>
        <w:t xml:space="preserve">add value to the current literature </w:t>
      </w:r>
      <w:r w:rsidR="00316934" w:rsidRPr="00CB31D0">
        <w:rPr>
          <w:sz w:val="20"/>
          <w:szCs w:val="20"/>
          <w:lang w:val="en-GB"/>
        </w:rPr>
        <w:t xml:space="preserve">by </w:t>
      </w:r>
      <w:r w:rsidR="008F6070" w:rsidRPr="00CB31D0">
        <w:rPr>
          <w:sz w:val="20"/>
          <w:szCs w:val="20"/>
          <w:lang w:val="en-GB"/>
        </w:rPr>
        <w:t xml:space="preserve">addressing the dearth of policies and, </w:t>
      </w:r>
      <w:r w:rsidRPr="00CB31D0">
        <w:rPr>
          <w:sz w:val="20"/>
          <w:szCs w:val="20"/>
          <w:lang w:val="en-GB"/>
        </w:rPr>
        <w:t xml:space="preserve">more importantly, </w:t>
      </w:r>
      <w:r w:rsidR="008F6070" w:rsidRPr="00CB31D0">
        <w:rPr>
          <w:sz w:val="20"/>
          <w:szCs w:val="20"/>
          <w:lang w:val="en-GB"/>
        </w:rPr>
        <w:t xml:space="preserve">by </w:t>
      </w:r>
      <w:r w:rsidRPr="00CB31D0">
        <w:rPr>
          <w:sz w:val="20"/>
          <w:szCs w:val="20"/>
          <w:lang w:val="en-GB"/>
        </w:rPr>
        <w:t>expand</w:t>
      </w:r>
      <w:r w:rsidR="008F6070" w:rsidRPr="00CB31D0">
        <w:rPr>
          <w:sz w:val="20"/>
          <w:szCs w:val="20"/>
          <w:lang w:val="en-GB"/>
        </w:rPr>
        <w:t xml:space="preserve">ing the </w:t>
      </w:r>
      <w:r w:rsidRPr="00CB31D0">
        <w:rPr>
          <w:sz w:val="20"/>
          <w:szCs w:val="20"/>
          <w:lang w:val="en-GB"/>
        </w:rPr>
        <w:t>consideration of ecosystem services</w:t>
      </w:r>
      <w:r w:rsidR="008F6070" w:rsidRPr="00CB31D0">
        <w:rPr>
          <w:sz w:val="20"/>
          <w:szCs w:val="20"/>
          <w:lang w:val="en-GB"/>
        </w:rPr>
        <w:t xml:space="preserve"> in addition to</w:t>
      </w:r>
      <w:r w:rsidRPr="00CB31D0">
        <w:rPr>
          <w:sz w:val="20"/>
          <w:szCs w:val="20"/>
          <w:lang w:val="en-GB"/>
        </w:rPr>
        <w:t xml:space="preserve"> biodiversity.</w:t>
      </w:r>
    </w:p>
    <w:p w:rsidR="00DE0ADE" w:rsidRPr="00CB31D0" w:rsidRDefault="0057716D" w:rsidP="00762016">
      <w:pPr>
        <w:pStyle w:val="CH2"/>
        <w:rPr>
          <w:lang w:val="en-GB"/>
        </w:rPr>
      </w:pPr>
      <w:r w:rsidRPr="00CB31D0">
        <w:rPr>
          <w:lang w:val="en-GB"/>
        </w:rPr>
        <w:tab/>
      </w:r>
      <w:r w:rsidR="00A93108" w:rsidRPr="00CB31D0">
        <w:rPr>
          <w:lang w:val="en-GB"/>
        </w:rPr>
        <w:t>C.</w:t>
      </w:r>
      <w:r w:rsidR="00A93108" w:rsidRPr="00CB31D0">
        <w:rPr>
          <w:lang w:val="en-GB"/>
        </w:rPr>
        <w:tab/>
      </w:r>
      <w:r w:rsidR="00E65B1B" w:rsidRPr="00CB31D0">
        <w:rPr>
          <w:lang w:val="en-GB"/>
        </w:rPr>
        <w:t>Utility</w:t>
      </w:r>
      <w:r w:rsidR="00364DCD" w:rsidRPr="00CB31D0">
        <w:rPr>
          <w:lang w:val="en-GB"/>
        </w:rPr>
        <w:t xml:space="preserve"> </w:t>
      </w:r>
    </w:p>
    <w:p w:rsidR="00E65B1B" w:rsidRPr="00CB31D0" w:rsidRDefault="008F6070" w:rsidP="00364DCD">
      <w:pPr>
        <w:pStyle w:val="Normalnumber"/>
        <w:rPr>
          <w:sz w:val="20"/>
          <w:szCs w:val="20"/>
          <w:lang w:val="en-GB"/>
        </w:rPr>
      </w:pPr>
      <w:r w:rsidRPr="00CB31D0">
        <w:rPr>
          <w:sz w:val="20"/>
          <w:szCs w:val="20"/>
          <w:lang w:val="en-GB"/>
        </w:rPr>
        <w:t xml:space="preserve">A </w:t>
      </w:r>
      <w:r w:rsidR="00E65B1B" w:rsidRPr="00CB31D0">
        <w:rPr>
          <w:sz w:val="20"/>
          <w:szCs w:val="20"/>
          <w:lang w:val="en-GB"/>
        </w:rPr>
        <w:t xml:space="preserve">2011 report </w:t>
      </w:r>
      <w:r w:rsidRPr="00CB31D0">
        <w:rPr>
          <w:sz w:val="20"/>
          <w:szCs w:val="20"/>
          <w:lang w:val="en-GB"/>
        </w:rPr>
        <w:t xml:space="preserve">by the Food and Agriculture Organization of the United Nations, </w:t>
      </w:r>
      <w:r w:rsidR="00E65B1B" w:rsidRPr="00CB31D0">
        <w:rPr>
          <w:sz w:val="20"/>
          <w:szCs w:val="20"/>
          <w:lang w:val="en-GB"/>
        </w:rPr>
        <w:t xml:space="preserve">entitled </w:t>
      </w:r>
      <w:r w:rsidR="00E65B1B" w:rsidRPr="00CB31D0">
        <w:rPr>
          <w:i/>
          <w:sz w:val="20"/>
          <w:szCs w:val="20"/>
          <w:lang w:val="en-GB"/>
        </w:rPr>
        <w:t>Biodiversity for Food and Agriculture</w:t>
      </w:r>
      <w:r w:rsidRPr="00CB31D0">
        <w:rPr>
          <w:sz w:val="20"/>
          <w:szCs w:val="20"/>
          <w:lang w:val="en-GB"/>
        </w:rPr>
        <w:t>,</w:t>
      </w:r>
      <w:r w:rsidR="00E65B1B" w:rsidRPr="00CB31D0">
        <w:rPr>
          <w:sz w:val="20"/>
          <w:szCs w:val="20"/>
          <w:lang w:val="en-GB"/>
        </w:rPr>
        <w:t xml:space="preserve"> review</w:t>
      </w:r>
      <w:r w:rsidR="003A50F0" w:rsidRPr="00CB31D0">
        <w:rPr>
          <w:sz w:val="20"/>
          <w:szCs w:val="20"/>
          <w:lang w:val="en-GB"/>
        </w:rPr>
        <w:t>ed</w:t>
      </w:r>
      <w:r w:rsidR="00E65B1B" w:rsidRPr="00CB31D0">
        <w:rPr>
          <w:sz w:val="20"/>
          <w:szCs w:val="20"/>
          <w:lang w:val="en-GB"/>
        </w:rPr>
        <w:t xml:space="preserve"> the literature </w:t>
      </w:r>
      <w:r w:rsidRPr="00CB31D0">
        <w:rPr>
          <w:sz w:val="20"/>
          <w:szCs w:val="20"/>
          <w:lang w:val="en-GB"/>
        </w:rPr>
        <w:t xml:space="preserve">on, </w:t>
      </w:r>
      <w:r w:rsidR="00E65B1B" w:rsidRPr="00CB31D0">
        <w:rPr>
          <w:sz w:val="20"/>
          <w:szCs w:val="20"/>
          <w:lang w:val="en-GB"/>
        </w:rPr>
        <w:t>and the complexities of</w:t>
      </w:r>
      <w:r w:rsidRPr="00CB31D0">
        <w:rPr>
          <w:sz w:val="20"/>
          <w:szCs w:val="20"/>
          <w:lang w:val="en-GB"/>
        </w:rPr>
        <w:t>,</w:t>
      </w:r>
      <w:r w:rsidR="00E65B1B" w:rsidRPr="00CB31D0">
        <w:rPr>
          <w:sz w:val="20"/>
          <w:szCs w:val="20"/>
          <w:lang w:val="en-GB"/>
        </w:rPr>
        <w:t xml:space="preserve"> this topic from a research perspective and identifie</w:t>
      </w:r>
      <w:r w:rsidR="00450D14" w:rsidRPr="00CB31D0">
        <w:rPr>
          <w:sz w:val="20"/>
          <w:szCs w:val="20"/>
          <w:lang w:val="en-GB"/>
        </w:rPr>
        <w:t>d</w:t>
      </w:r>
      <w:r w:rsidR="00E65B1B" w:rsidRPr="00CB31D0">
        <w:rPr>
          <w:sz w:val="20"/>
          <w:szCs w:val="20"/>
          <w:lang w:val="en-GB"/>
        </w:rPr>
        <w:t xml:space="preserve"> several policy needs. Th</w:t>
      </w:r>
      <w:r w:rsidRPr="00CB31D0">
        <w:rPr>
          <w:sz w:val="20"/>
          <w:szCs w:val="20"/>
          <w:lang w:val="en-GB"/>
        </w:rPr>
        <w:t>e proposed</w:t>
      </w:r>
      <w:r w:rsidR="00E65B1B" w:rsidRPr="00CB31D0">
        <w:rPr>
          <w:sz w:val="20"/>
          <w:szCs w:val="20"/>
          <w:lang w:val="en-GB"/>
        </w:rPr>
        <w:t xml:space="preserve"> assessment will focus on these policy issues, adding a review of evidence from indigenous and local knowledge systems, with a more explicit consideration of ecosystem services, using a regional approach and through the filter of the four functions of </w:t>
      </w:r>
      <w:r w:rsidR="00450D14" w:rsidRPr="00CB31D0">
        <w:rPr>
          <w:sz w:val="20"/>
          <w:szCs w:val="20"/>
          <w:lang w:val="en-GB"/>
        </w:rPr>
        <w:t>the Platform</w:t>
      </w:r>
      <w:r w:rsidR="00484DE9" w:rsidRPr="00CB31D0">
        <w:rPr>
          <w:sz w:val="20"/>
          <w:szCs w:val="20"/>
          <w:lang w:val="en-GB"/>
        </w:rPr>
        <w:t>,</w:t>
      </w:r>
      <w:r w:rsidR="00483894" w:rsidRPr="00CB31D0">
        <w:rPr>
          <w:sz w:val="20"/>
          <w:szCs w:val="20"/>
          <w:lang w:val="en-GB"/>
        </w:rPr>
        <w:t xml:space="preserve"> relating to the</w:t>
      </w:r>
      <w:r w:rsidR="00E65B1B" w:rsidRPr="00CB31D0">
        <w:rPr>
          <w:sz w:val="20"/>
          <w:szCs w:val="20"/>
          <w:lang w:val="en-GB"/>
        </w:rPr>
        <w:t xml:space="preserve"> identification of knowledge gaps, capacity</w:t>
      </w:r>
      <w:r w:rsidR="00483894" w:rsidRPr="00CB31D0">
        <w:rPr>
          <w:sz w:val="20"/>
          <w:szCs w:val="20"/>
          <w:lang w:val="en-GB"/>
        </w:rPr>
        <w:t>-building</w:t>
      </w:r>
      <w:r w:rsidR="00E65B1B" w:rsidRPr="00CB31D0">
        <w:rPr>
          <w:sz w:val="20"/>
          <w:szCs w:val="20"/>
          <w:lang w:val="en-GB"/>
        </w:rPr>
        <w:t xml:space="preserve"> needs, links to decision makers and </w:t>
      </w:r>
      <w:r w:rsidR="00483894" w:rsidRPr="00CB31D0">
        <w:rPr>
          <w:sz w:val="20"/>
          <w:szCs w:val="20"/>
          <w:lang w:val="en-GB"/>
        </w:rPr>
        <w:t xml:space="preserve">the </w:t>
      </w:r>
      <w:r w:rsidR="00E65B1B" w:rsidRPr="00CB31D0">
        <w:rPr>
          <w:sz w:val="20"/>
          <w:szCs w:val="20"/>
          <w:lang w:val="en-GB"/>
        </w:rPr>
        <w:t>provi</w:t>
      </w:r>
      <w:r w:rsidR="00483894" w:rsidRPr="00CB31D0">
        <w:rPr>
          <w:sz w:val="20"/>
          <w:szCs w:val="20"/>
          <w:lang w:val="en-GB"/>
        </w:rPr>
        <w:t>sion of</w:t>
      </w:r>
      <w:r w:rsidR="00E65B1B" w:rsidRPr="00CB31D0">
        <w:rPr>
          <w:sz w:val="20"/>
          <w:szCs w:val="20"/>
          <w:lang w:val="en-GB"/>
        </w:rPr>
        <w:t xml:space="preserve"> tools and guidelines for </w:t>
      </w:r>
      <w:r w:rsidR="00DE0ADE" w:rsidRPr="00CB31D0">
        <w:rPr>
          <w:sz w:val="20"/>
          <w:szCs w:val="20"/>
          <w:lang w:val="en-GB"/>
        </w:rPr>
        <w:t>policymaking</w:t>
      </w:r>
      <w:r w:rsidR="00E65B1B" w:rsidRPr="00CB31D0">
        <w:rPr>
          <w:sz w:val="20"/>
          <w:szCs w:val="20"/>
          <w:lang w:val="en-GB"/>
        </w:rPr>
        <w:t xml:space="preserve">. </w:t>
      </w:r>
    </w:p>
    <w:p w:rsidR="00E65B1B" w:rsidRPr="00CB31D0" w:rsidRDefault="00364DCD" w:rsidP="00762016">
      <w:pPr>
        <w:pStyle w:val="CH1"/>
        <w:rPr>
          <w:lang w:val="en-GB"/>
        </w:rPr>
      </w:pPr>
      <w:r w:rsidRPr="00CB31D0">
        <w:rPr>
          <w:lang w:val="en-GB"/>
        </w:rPr>
        <w:tab/>
      </w:r>
      <w:r w:rsidR="000179E3" w:rsidRPr="00CB31D0">
        <w:rPr>
          <w:lang w:val="en-GB"/>
        </w:rPr>
        <w:t>I</w:t>
      </w:r>
      <w:r w:rsidR="004E0C38" w:rsidRPr="00CB31D0">
        <w:rPr>
          <w:lang w:val="en-GB"/>
        </w:rPr>
        <w:t>I</w:t>
      </w:r>
      <w:r w:rsidR="000179E3" w:rsidRPr="00CB31D0">
        <w:rPr>
          <w:lang w:val="en-GB"/>
        </w:rPr>
        <w:t>I</w:t>
      </w:r>
      <w:r w:rsidR="00DE0ADE" w:rsidRPr="00CB31D0">
        <w:rPr>
          <w:lang w:val="en-GB"/>
        </w:rPr>
        <w:t>.</w:t>
      </w:r>
      <w:r w:rsidR="00DE0ADE" w:rsidRPr="00CB31D0">
        <w:rPr>
          <w:lang w:val="en-GB"/>
        </w:rPr>
        <w:tab/>
        <w:t>Chapter outline</w:t>
      </w:r>
    </w:p>
    <w:p w:rsidR="00315D2C" w:rsidRPr="00CB31D0" w:rsidRDefault="00315D2C" w:rsidP="00762016">
      <w:pPr>
        <w:pStyle w:val="Normalnumber"/>
        <w:rPr>
          <w:sz w:val="20"/>
          <w:szCs w:val="20"/>
          <w:lang w:val="en-GB"/>
        </w:rPr>
      </w:pPr>
      <w:r w:rsidRPr="00CB31D0">
        <w:rPr>
          <w:sz w:val="20"/>
          <w:szCs w:val="20"/>
          <w:lang w:val="en-GB"/>
        </w:rPr>
        <w:t xml:space="preserve">It is contemplated that the proposed </w:t>
      </w:r>
      <w:r w:rsidR="00F03422" w:rsidRPr="00CB31D0">
        <w:rPr>
          <w:sz w:val="20"/>
          <w:szCs w:val="20"/>
          <w:lang w:val="en-GB"/>
        </w:rPr>
        <w:t xml:space="preserve">thematic </w:t>
      </w:r>
      <w:r w:rsidRPr="00CB31D0">
        <w:rPr>
          <w:sz w:val="20"/>
          <w:szCs w:val="20"/>
          <w:lang w:val="en-GB"/>
        </w:rPr>
        <w:t xml:space="preserve">assessment will be presented in a </w:t>
      </w:r>
      <w:r w:rsidR="00486557" w:rsidRPr="00CB31D0">
        <w:rPr>
          <w:sz w:val="20"/>
          <w:szCs w:val="20"/>
          <w:lang w:val="en-GB"/>
        </w:rPr>
        <w:t xml:space="preserve">nine-chapter </w:t>
      </w:r>
      <w:r w:rsidRPr="00CB31D0">
        <w:rPr>
          <w:sz w:val="20"/>
          <w:szCs w:val="20"/>
          <w:lang w:val="en-GB"/>
        </w:rPr>
        <w:t>report</w:t>
      </w:r>
      <w:r w:rsidR="00486557" w:rsidRPr="00CB31D0">
        <w:rPr>
          <w:sz w:val="20"/>
          <w:szCs w:val="20"/>
          <w:lang w:val="en-GB"/>
        </w:rPr>
        <w:t>, as set out below.</w:t>
      </w:r>
    </w:p>
    <w:p w:rsidR="00E65B1B" w:rsidRPr="00CB31D0" w:rsidRDefault="00545F24" w:rsidP="00486557">
      <w:pPr>
        <w:pStyle w:val="Normalnumber"/>
        <w:rPr>
          <w:sz w:val="20"/>
          <w:szCs w:val="20"/>
          <w:lang w:val="en-GB"/>
        </w:rPr>
      </w:pPr>
      <w:r w:rsidRPr="00CB31D0">
        <w:rPr>
          <w:sz w:val="20"/>
          <w:szCs w:val="20"/>
          <w:lang w:val="en-GB"/>
        </w:rPr>
        <w:t xml:space="preserve"> </w:t>
      </w:r>
      <w:r w:rsidR="00E65B1B" w:rsidRPr="00CB31D0">
        <w:rPr>
          <w:sz w:val="20"/>
          <w:szCs w:val="20"/>
          <w:lang w:val="en-GB"/>
        </w:rPr>
        <w:t>Chapter 1</w:t>
      </w:r>
      <w:r w:rsidR="00FD0CB0" w:rsidRPr="00CB31D0">
        <w:rPr>
          <w:sz w:val="20"/>
          <w:szCs w:val="20"/>
          <w:lang w:val="en-GB"/>
        </w:rPr>
        <w:t xml:space="preserve"> will introduce</w:t>
      </w:r>
      <w:r w:rsidR="00E65B1B" w:rsidRPr="00CB31D0">
        <w:rPr>
          <w:sz w:val="20"/>
          <w:szCs w:val="20"/>
          <w:lang w:val="en-GB"/>
        </w:rPr>
        <w:t xml:space="preserve"> </w:t>
      </w:r>
      <w:r w:rsidR="00FD0CB0" w:rsidRPr="00CB31D0">
        <w:rPr>
          <w:sz w:val="20"/>
          <w:szCs w:val="20"/>
          <w:lang w:val="en-GB"/>
        </w:rPr>
        <w:t xml:space="preserve">relevant </w:t>
      </w:r>
      <w:r w:rsidR="00E65B1B" w:rsidRPr="00CB31D0">
        <w:rPr>
          <w:sz w:val="20"/>
          <w:szCs w:val="20"/>
          <w:lang w:val="en-GB"/>
        </w:rPr>
        <w:t xml:space="preserve">concepts and a short overview of </w:t>
      </w:r>
      <w:r w:rsidR="00FD0CB0" w:rsidRPr="00CB31D0">
        <w:rPr>
          <w:sz w:val="20"/>
          <w:szCs w:val="20"/>
          <w:lang w:val="en-GB"/>
        </w:rPr>
        <w:t xml:space="preserve">the </w:t>
      </w:r>
      <w:r w:rsidR="00E65B1B" w:rsidRPr="00CB31D0">
        <w:rPr>
          <w:sz w:val="20"/>
          <w:szCs w:val="20"/>
          <w:lang w:val="en-GB"/>
        </w:rPr>
        <w:t xml:space="preserve">state of </w:t>
      </w:r>
      <w:r w:rsidR="00FD0CB0" w:rsidRPr="00CB31D0">
        <w:rPr>
          <w:sz w:val="20"/>
          <w:szCs w:val="20"/>
          <w:lang w:val="en-GB"/>
        </w:rPr>
        <w:t xml:space="preserve">the </w:t>
      </w:r>
      <w:r w:rsidR="00E65B1B" w:rsidRPr="00CB31D0">
        <w:rPr>
          <w:sz w:val="20"/>
          <w:szCs w:val="20"/>
          <w:lang w:val="en-GB"/>
        </w:rPr>
        <w:t xml:space="preserve">art </w:t>
      </w:r>
      <w:r w:rsidR="00450D14" w:rsidRPr="00CB31D0">
        <w:rPr>
          <w:sz w:val="20"/>
          <w:szCs w:val="20"/>
          <w:lang w:val="en-GB"/>
        </w:rPr>
        <w:t>of</w:t>
      </w:r>
      <w:r w:rsidR="00FD0CB0" w:rsidRPr="00CB31D0">
        <w:rPr>
          <w:sz w:val="20"/>
          <w:szCs w:val="20"/>
          <w:lang w:val="en-GB"/>
        </w:rPr>
        <w:t xml:space="preserve"> various</w:t>
      </w:r>
      <w:r w:rsidR="00E65B1B" w:rsidRPr="00CB31D0">
        <w:rPr>
          <w:sz w:val="20"/>
          <w:szCs w:val="20"/>
          <w:lang w:val="en-GB"/>
        </w:rPr>
        <w:t xml:space="preserve"> knowledge systems</w:t>
      </w:r>
      <w:r w:rsidR="00FD0CB0" w:rsidRPr="00CB31D0">
        <w:rPr>
          <w:sz w:val="20"/>
          <w:szCs w:val="20"/>
          <w:lang w:val="en-GB"/>
        </w:rPr>
        <w:t xml:space="preserve"> and the various </w:t>
      </w:r>
      <w:r w:rsidR="00E65B1B" w:rsidRPr="00CB31D0">
        <w:rPr>
          <w:sz w:val="20"/>
          <w:szCs w:val="20"/>
          <w:lang w:val="en-GB"/>
        </w:rPr>
        <w:t>production systems used across the glob</w:t>
      </w:r>
      <w:r w:rsidR="00FD0CB0" w:rsidRPr="00CB31D0">
        <w:rPr>
          <w:sz w:val="20"/>
          <w:szCs w:val="20"/>
          <w:lang w:val="en-GB"/>
        </w:rPr>
        <w:t>e</w:t>
      </w:r>
      <w:r w:rsidR="00DB0348" w:rsidRPr="00CB31D0">
        <w:rPr>
          <w:sz w:val="20"/>
          <w:szCs w:val="20"/>
          <w:lang w:val="en-GB"/>
        </w:rPr>
        <w:t>.</w:t>
      </w:r>
      <w:r w:rsidR="00E65B1B" w:rsidRPr="00CB31D0">
        <w:rPr>
          <w:sz w:val="20"/>
          <w:szCs w:val="20"/>
          <w:lang w:val="en-GB"/>
        </w:rPr>
        <w:t xml:space="preserve"> </w:t>
      </w:r>
      <w:r w:rsidR="00DB0348" w:rsidRPr="00CB31D0">
        <w:rPr>
          <w:sz w:val="20"/>
          <w:szCs w:val="20"/>
          <w:lang w:val="en-GB"/>
        </w:rPr>
        <w:t>P</w:t>
      </w:r>
      <w:r w:rsidR="00E65B1B" w:rsidRPr="00CB31D0">
        <w:rPr>
          <w:sz w:val="20"/>
          <w:szCs w:val="20"/>
          <w:lang w:val="en-GB"/>
        </w:rPr>
        <w:t>lant and animal agricultural systems, including aquaculture</w:t>
      </w:r>
      <w:r w:rsidR="00DB0348" w:rsidRPr="00CB31D0">
        <w:rPr>
          <w:sz w:val="20"/>
          <w:szCs w:val="20"/>
          <w:lang w:val="en-GB"/>
        </w:rPr>
        <w:t>, will be discussed</w:t>
      </w:r>
      <w:r w:rsidR="00E65B1B" w:rsidRPr="00CB31D0">
        <w:rPr>
          <w:sz w:val="20"/>
          <w:szCs w:val="20"/>
          <w:lang w:val="en-GB"/>
        </w:rPr>
        <w:t>.</w:t>
      </w:r>
    </w:p>
    <w:p w:rsidR="00E65B1B" w:rsidRPr="00CB31D0" w:rsidRDefault="00E65B1B" w:rsidP="00486557">
      <w:pPr>
        <w:pStyle w:val="Normalnumber"/>
        <w:rPr>
          <w:sz w:val="20"/>
          <w:szCs w:val="20"/>
          <w:lang w:val="en-GB"/>
        </w:rPr>
      </w:pPr>
      <w:r w:rsidRPr="00CB31D0">
        <w:rPr>
          <w:sz w:val="20"/>
          <w:szCs w:val="20"/>
          <w:lang w:val="en-GB"/>
        </w:rPr>
        <w:t>Chapter 2</w:t>
      </w:r>
      <w:r w:rsidR="00164791" w:rsidRPr="00CB31D0">
        <w:rPr>
          <w:sz w:val="20"/>
          <w:szCs w:val="20"/>
          <w:lang w:val="en-GB"/>
        </w:rPr>
        <w:t xml:space="preserve"> will discuss the r</w:t>
      </w:r>
      <w:r w:rsidRPr="00CB31D0">
        <w:rPr>
          <w:sz w:val="20"/>
          <w:szCs w:val="20"/>
          <w:lang w:val="en-GB"/>
        </w:rPr>
        <w:t xml:space="preserve">elationship between food production and ecosystem services, </w:t>
      </w:r>
      <w:r w:rsidR="00164791" w:rsidRPr="00CB31D0">
        <w:rPr>
          <w:sz w:val="20"/>
          <w:szCs w:val="20"/>
          <w:lang w:val="en-GB"/>
        </w:rPr>
        <w:t xml:space="preserve">in terms of </w:t>
      </w:r>
      <w:r w:rsidRPr="00CB31D0">
        <w:rPr>
          <w:sz w:val="20"/>
          <w:szCs w:val="20"/>
          <w:lang w:val="en-GB"/>
        </w:rPr>
        <w:t xml:space="preserve">both synergies and competition. There will be some overlap </w:t>
      </w:r>
      <w:r w:rsidR="00164791" w:rsidRPr="00CB31D0">
        <w:rPr>
          <w:sz w:val="20"/>
          <w:szCs w:val="20"/>
          <w:lang w:val="en-GB"/>
        </w:rPr>
        <w:t xml:space="preserve">in this chapter </w:t>
      </w:r>
      <w:r w:rsidRPr="00CB31D0">
        <w:rPr>
          <w:sz w:val="20"/>
          <w:szCs w:val="20"/>
          <w:lang w:val="en-GB"/>
        </w:rPr>
        <w:t xml:space="preserve">with the </w:t>
      </w:r>
      <w:r w:rsidR="00F03422" w:rsidRPr="00CB31D0">
        <w:rPr>
          <w:sz w:val="20"/>
          <w:szCs w:val="20"/>
          <w:lang w:val="en-GB"/>
        </w:rPr>
        <w:t xml:space="preserve">proposed thematic assessment on </w:t>
      </w:r>
      <w:r w:rsidRPr="00CB31D0">
        <w:rPr>
          <w:sz w:val="20"/>
          <w:szCs w:val="20"/>
          <w:lang w:val="en-GB"/>
        </w:rPr>
        <w:t xml:space="preserve">land degradation </w:t>
      </w:r>
      <w:r w:rsidR="00F03422" w:rsidRPr="00CB31D0">
        <w:rPr>
          <w:sz w:val="20"/>
          <w:szCs w:val="20"/>
          <w:lang w:val="en-GB"/>
        </w:rPr>
        <w:t xml:space="preserve">and restoration </w:t>
      </w:r>
      <w:r w:rsidR="00164791" w:rsidRPr="00CB31D0">
        <w:rPr>
          <w:sz w:val="20"/>
          <w:szCs w:val="20"/>
          <w:lang w:val="en-GB"/>
        </w:rPr>
        <w:t>(</w:t>
      </w:r>
      <w:r w:rsidR="00484DE9" w:rsidRPr="00CB31D0">
        <w:rPr>
          <w:sz w:val="20"/>
          <w:szCs w:val="20"/>
          <w:lang w:val="en-GB"/>
        </w:rPr>
        <w:t xml:space="preserve">see </w:t>
      </w:r>
      <w:r w:rsidR="00164791" w:rsidRPr="00CB31D0">
        <w:rPr>
          <w:sz w:val="20"/>
          <w:szCs w:val="20"/>
          <w:lang w:val="en-GB"/>
        </w:rPr>
        <w:t>IPBES/2/16/Add.</w:t>
      </w:r>
      <w:r w:rsidR="00F03422" w:rsidRPr="00CB31D0">
        <w:rPr>
          <w:sz w:val="20"/>
          <w:szCs w:val="20"/>
          <w:lang w:val="en-GB"/>
        </w:rPr>
        <w:t>2</w:t>
      </w:r>
      <w:r w:rsidR="00164791" w:rsidRPr="00CB31D0">
        <w:rPr>
          <w:sz w:val="20"/>
          <w:szCs w:val="20"/>
          <w:lang w:val="en-GB"/>
        </w:rPr>
        <w:t xml:space="preserve">) </w:t>
      </w:r>
      <w:r w:rsidRPr="00CB31D0">
        <w:rPr>
          <w:sz w:val="20"/>
          <w:szCs w:val="20"/>
          <w:lang w:val="en-GB"/>
        </w:rPr>
        <w:t xml:space="preserve">and </w:t>
      </w:r>
      <w:r w:rsidR="00F03422" w:rsidRPr="00CB31D0">
        <w:rPr>
          <w:sz w:val="20"/>
          <w:szCs w:val="20"/>
          <w:lang w:val="en-GB"/>
        </w:rPr>
        <w:t>the proposed fast</w:t>
      </w:r>
      <w:r w:rsidR="00762016" w:rsidRPr="00CB31D0">
        <w:rPr>
          <w:sz w:val="20"/>
          <w:szCs w:val="20"/>
          <w:lang w:val="en-GB"/>
        </w:rPr>
        <w:noBreakHyphen/>
      </w:r>
      <w:r w:rsidR="00F03422" w:rsidRPr="00CB31D0">
        <w:rPr>
          <w:sz w:val="20"/>
          <w:szCs w:val="20"/>
          <w:lang w:val="en-GB"/>
        </w:rPr>
        <w:t xml:space="preserve">track assessment on </w:t>
      </w:r>
      <w:r w:rsidRPr="00CB31D0">
        <w:rPr>
          <w:sz w:val="20"/>
          <w:szCs w:val="20"/>
          <w:lang w:val="en-GB"/>
        </w:rPr>
        <w:t>pollinat</w:t>
      </w:r>
      <w:r w:rsidR="00F03422" w:rsidRPr="00CB31D0">
        <w:rPr>
          <w:sz w:val="20"/>
          <w:szCs w:val="20"/>
          <w:lang w:val="en-GB"/>
        </w:rPr>
        <w:t>ion and food production</w:t>
      </w:r>
      <w:r w:rsidRPr="00CB31D0">
        <w:rPr>
          <w:sz w:val="20"/>
          <w:szCs w:val="20"/>
          <w:lang w:val="en-GB"/>
        </w:rPr>
        <w:t xml:space="preserve"> </w:t>
      </w:r>
      <w:r w:rsidR="00164791" w:rsidRPr="00CB31D0">
        <w:rPr>
          <w:sz w:val="20"/>
          <w:szCs w:val="20"/>
          <w:lang w:val="en-GB"/>
        </w:rPr>
        <w:t>(</w:t>
      </w:r>
      <w:r w:rsidR="00484DE9" w:rsidRPr="00CB31D0">
        <w:rPr>
          <w:sz w:val="20"/>
          <w:szCs w:val="20"/>
          <w:lang w:val="en-GB"/>
        </w:rPr>
        <w:t xml:space="preserve">see </w:t>
      </w:r>
      <w:r w:rsidR="00164791" w:rsidRPr="00CB31D0">
        <w:rPr>
          <w:sz w:val="20"/>
          <w:szCs w:val="20"/>
          <w:lang w:val="en-GB"/>
        </w:rPr>
        <w:t>IPBES/2/16/Add.</w:t>
      </w:r>
      <w:r w:rsidR="00F03422" w:rsidRPr="00CB31D0">
        <w:rPr>
          <w:sz w:val="20"/>
          <w:szCs w:val="20"/>
          <w:lang w:val="en-GB"/>
        </w:rPr>
        <w:t>1</w:t>
      </w:r>
      <w:r w:rsidR="00164791" w:rsidRPr="00CB31D0">
        <w:rPr>
          <w:sz w:val="20"/>
          <w:szCs w:val="20"/>
          <w:lang w:val="en-GB"/>
        </w:rPr>
        <w:t>)</w:t>
      </w:r>
      <w:r w:rsidRPr="00CB31D0">
        <w:rPr>
          <w:sz w:val="20"/>
          <w:szCs w:val="20"/>
          <w:lang w:val="en-GB"/>
        </w:rPr>
        <w:t>.</w:t>
      </w:r>
    </w:p>
    <w:p w:rsidR="00E65B1B" w:rsidRPr="00CB31D0" w:rsidRDefault="00E65B1B" w:rsidP="00486557">
      <w:pPr>
        <w:pStyle w:val="Normalnumber"/>
        <w:rPr>
          <w:sz w:val="20"/>
          <w:szCs w:val="20"/>
          <w:lang w:val="en-GB"/>
        </w:rPr>
      </w:pPr>
      <w:r w:rsidRPr="00CB31D0">
        <w:rPr>
          <w:sz w:val="20"/>
          <w:szCs w:val="20"/>
          <w:lang w:val="en-GB"/>
        </w:rPr>
        <w:t>Chapter 3</w:t>
      </w:r>
      <w:r w:rsidR="006E7F64" w:rsidRPr="00CB31D0">
        <w:rPr>
          <w:sz w:val="20"/>
          <w:szCs w:val="20"/>
          <w:lang w:val="en-GB"/>
        </w:rPr>
        <w:t xml:space="preserve"> will address t</w:t>
      </w:r>
      <w:r w:rsidRPr="00CB31D0">
        <w:rPr>
          <w:sz w:val="20"/>
          <w:szCs w:val="20"/>
          <w:lang w:val="en-GB"/>
        </w:rPr>
        <w:t xml:space="preserve">he role of regulating ecosystem services </w:t>
      </w:r>
      <w:r w:rsidR="006E7F64" w:rsidRPr="00CB31D0">
        <w:rPr>
          <w:sz w:val="20"/>
          <w:szCs w:val="20"/>
          <w:lang w:val="en-GB"/>
        </w:rPr>
        <w:t>i</w:t>
      </w:r>
      <w:r w:rsidRPr="00CB31D0">
        <w:rPr>
          <w:sz w:val="20"/>
          <w:szCs w:val="20"/>
          <w:lang w:val="en-GB"/>
        </w:rPr>
        <w:t>n food security</w:t>
      </w:r>
      <w:r w:rsidR="006E7F64" w:rsidRPr="00CB31D0">
        <w:rPr>
          <w:sz w:val="20"/>
          <w:szCs w:val="20"/>
          <w:lang w:val="en-GB"/>
        </w:rPr>
        <w:t>, including</w:t>
      </w:r>
      <w:r w:rsidRPr="00CB31D0">
        <w:rPr>
          <w:sz w:val="20"/>
          <w:szCs w:val="20"/>
          <w:lang w:val="en-GB"/>
        </w:rPr>
        <w:t xml:space="preserve"> links to biodiversity,</w:t>
      </w:r>
      <w:r w:rsidR="00450D14" w:rsidRPr="00CB31D0">
        <w:rPr>
          <w:sz w:val="20"/>
          <w:szCs w:val="20"/>
          <w:lang w:val="en-GB"/>
        </w:rPr>
        <w:t xml:space="preserve"> the</w:t>
      </w:r>
      <w:r w:rsidRPr="00CB31D0">
        <w:rPr>
          <w:sz w:val="20"/>
          <w:szCs w:val="20"/>
          <w:lang w:val="en-GB"/>
        </w:rPr>
        <w:t xml:space="preserve"> landscape context, water quality and quantity, health, </w:t>
      </w:r>
      <w:r w:rsidR="00450D14" w:rsidRPr="00CB31D0">
        <w:rPr>
          <w:sz w:val="20"/>
          <w:szCs w:val="20"/>
          <w:lang w:val="en-GB"/>
        </w:rPr>
        <w:t xml:space="preserve">and </w:t>
      </w:r>
      <w:r w:rsidRPr="00CB31D0">
        <w:rPr>
          <w:sz w:val="20"/>
          <w:szCs w:val="20"/>
          <w:lang w:val="en-GB"/>
        </w:rPr>
        <w:t>econom</w:t>
      </w:r>
      <w:r w:rsidR="00450D14" w:rsidRPr="00CB31D0">
        <w:rPr>
          <w:sz w:val="20"/>
          <w:szCs w:val="20"/>
          <w:lang w:val="en-GB"/>
        </w:rPr>
        <w:t>ic</w:t>
      </w:r>
      <w:r w:rsidRPr="00CB31D0">
        <w:rPr>
          <w:sz w:val="20"/>
          <w:szCs w:val="20"/>
          <w:lang w:val="en-GB"/>
        </w:rPr>
        <w:t xml:space="preserve"> and social dimensions. T</w:t>
      </w:r>
      <w:r w:rsidR="006E7F64" w:rsidRPr="00CB31D0">
        <w:rPr>
          <w:sz w:val="20"/>
          <w:szCs w:val="20"/>
          <w:lang w:val="en-GB"/>
        </w:rPr>
        <w:t xml:space="preserve">opics discussed will include </w:t>
      </w:r>
      <w:r w:rsidRPr="00CB31D0">
        <w:rPr>
          <w:sz w:val="20"/>
          <w:szCs w:val="20"/>
          <w:lang w:val="en-GB"/>
        </w:rPr>
        <w:t>pollination (</w:t>
      </w:r>
      <w:r w:rsidR="006E7F64" w:rsidRPr="00CB31D0">
        <w:rPr>
          <w:sz w:val="20"/>
          <w:szCs w:val="20"/>
          <w:lang w:val="en-GB"/>
        </w:rPr>
        <w:t xml:space="preserve">the discussion of which will </w:t>
      </w:r>
      <w:r w:rsidRPr="00CB31D0">
        <w:rPr>
          <w:sz w:val="20"/>
          <w:szCs w:val="20"/>
          <w:lang w:val="en-GB"/>
        </w:rPr>
        <w:t xml:space="preserve">overlap with the </w:t>
      </w:r>
      <w:r w:rsidR="00A60E3D" w:rsidRPr="00CB31D0">
        <w:rPr>
          <w:sz w:val="20"/>
          <w:szCs w:val="20"/>
          <w:lang w:val="en-GB"/>
        </w:rPr>
        <w:t>proposed fast-track assessment</w:t>
      </w:r>
      <w:r w:rsidR="006E7F64" w:rsidRPr="00CB31D0">
        <w:rPr>
          <w:sz w:val="20"/>
          <w:szCs w:val="20"/>
          <w:lang w:val="en-GB"/>
        </w:rPr>
        <w:t xml:space="preserve"> on</w:t>
      </w:r>
      <w:r w:rsidR="00A60E3D" w:rsidRPr="00CB31D0">
        <w:rPr>
          <w:sz w:val="20"/>
          <w:szCs w:val="20"/>
          <w:lang w:val="en-GB"/>
        </w:rPr>
        <w:t xml:space="preserve"> </w:t>
      </w:r>
      <w:r w:rsidRPr="00CB31D0">
        <w:rPr>
          <w:sz w:val="20"/>
          <w:szCs w:val="20"/>
          <w:lang w:val="en-GB"/>
        </w:rPr>
        <w:t xml:space="preserve">pollination </w:t>
      </w:r>
      <w:r w:rsidR="00A60E3D" w:rsidRPr="00CB31D0">
        <w:rPr>
          <w:sz w:val="20"/>
          <w:szCs w:val="20"/>
          <w:lang w:val="en-GB"/>
        </w:rPr>
        <w:t xml:space="preserve">and food production </w:t>
      </w:r>
      <w:r w:rsidR="006E7F64" w:rsidRPr="00CB31D0">
        <w:rPr>
          <w:sz w:val="20"/>
          <w:szCs w:val="20"/>
          <w:lang w:val="en-GB"/>
        </w:rPr>
        <w:t>(</w:t>
      </w:r>
      <w:r w:rsidR="00484DE9" w:rsidRPr="00CB31D0">
        <w:rPr>
          <w:sz w:val="20"/>
          <w:szCs w:val="20"/>
          <w:lang w:val="en-GB"/>
        </w:rPr>
        <w:t xml:space="preserve">see </w:t>
      </w:r>
      <w:r w:rsidR="006E7F64" w:rsidRPr="00CB31D0">
        <w:rPr>
          <w:sz w:val="20"/>
          <w:szCs w:val="20"/>
          <w:lang w:val="en-GB"/>
        </w:rPr>
        <w:t>IPBES/2/16/Add.</w:t>
      </w:r>
      <w:r w:rsidR="00A60E3D" w:rsidRPr="00CB31D0">
        <w:rPr>
          <w:sz w:val="20"/>
          <w:szCs w:val="20"/>
          <w:lang w:val="en-GB"/>
        </w:rPr>
        <w:t>1</w:t>
      </w:r>
      <w:r w:rsidR="006E7F64" w:rsidRPr="00CB31D0">
        <w:rPr>
          <w:sz w:val="20"/>
          <w:szCs w:val="20"/>
          <w:lang w:val="en-GB"/>
        </w:rPr>
        <w:t>)</w:t>
      </w:r>
      <w:r w:rsidRPr="00CB31D0">
        <w:rPr>
          <w:sz w:val="20"/>
          <w:szCs w:val="20"/>
          <w:lang w:val="en-GB"/>
        </w:rPr>
        <w:t>), the importance</w:t>
      </w:r>
      <w:r w:rsidR="006E7F64" w:rsidRPr="00CB31D0">
        <w:rPr>
          <w:sz w:val="20"/>
          <w:szCs w:val="20"/>
          <w:lang w:val="en-GB"/>
        </w:rPr>
        <w:t xml:space="preserve"> of ecosystem services</w:t>
      </w:r>
      <w:r w:rsidRPr="00CB31D0">
        <w:rPr>
          <w:sz w:val="20"/>
          <w:szCs w:val="20"/>
          <w:lang w:val="en-GB"/>
        </w:rPr>
        <w:t>, the drivers of biodiversity</w:t>
      </w:r>
      <w:r w:rsidR="00115F01" w:rsidRPr="00CB31D0">
        <w:rPr>
          <w:b/>
          <w:sz w:val="20"/>
          <w:szCs w:val="20"/>
          <w:lang w:val="en-GB"/>
        </w:rPr>
        <w:t xml:space="preserve"> </w:t>
      </w:r>
      <w:r w:rsidRPr="00CB31D0">
        <w:rPr>
          <w:sz w:val="20"/>
          <w:szCs w:val="20"/>
          <w:lang w:val="en-GB"/>
        </w:rPr>
        <w:t>(more wild bees are needed</w:t>
      </w:r>
      <w:r w:rsidR="00A67480" w:rsidRPr="00CB31D0">
        <w:rPr>
          <w:sz w:val="20"/>
          <w:szCs w:val="20"/>
          <w:lang w:val="en-GB"/>
        </w:rPr>
        <w:t xml:space="preserve"> instead of honey bees</w:t>
      </w:r>
      <w:r w:rsidRPr="00CB31D0">
        <w:rPr>
          <w:sz w:val="20"/>
          <w:szCs w:val="20"/>
          <w:lang w:val="en-GB"/>
        </w:rPr>
        <w:t>), econom</w:t>
      </w:r>
      <w:r w:rsidR="00A67480" w:rsidRPr="00CB31D0">
        <w:rPr>
          <w:sz w:val="20"/>
          <w:szCs w:val="20"/>
          <w:lang w:val="en-GB"/>
        </w:rPr>
        <w:t>ic issues</w:t>
      </w:r>
      <w:r w:rsidRPr="00CB31D0">
        <w:rPr>
          <w:sz w:val="20"/>
          <w:szCs w:val="20"/>
          <w:lang w:val="en-GB"/>
        </w:rPr>
        <w:t xml:space="preserve"> and </w:t>
      </w:r>
      <w:r w:rsidR="00C46B5E" w:rsidRPr="00CB31D0">
        <w:rPr>
          <w:sz w:val="20"/>
          <w:szCs w:val="20"/>
          <w:lang w:val="en-GB"/>
        </w:rPr>
        <w:t xml:space="preserve">the </w:t>
      </w:r>
      <w:r w:rsidRPr="00CB31D0">
        <w:rPr>
          <w:sz w:val="20"/>
          <w:szCs w:val="20"/>
          <w:lang w:val="en-GB"/>
        </w:rPr>
        <w:t>role</w:t>
      </w:r>
      <w:r w:rsidR="00C46B5E" w:rsidRPr="00CB31D0">
        <w:rPr>
          <w:sz w:val="20"/>
          <w:szCs w:val="20"/>
          <w:lang w:val="en-GB"/>
        </w:rPr>
        <w:t xml:space="preserve"> of pollination</w:t>
      </w:r>
      <w:r w:rsidRPr="00CB31D0">
        <w:rPr>
          <w:sz w:val="20"/>
          <w:szCs w:val="20"/>
          <w:lang w:val="en-GB"/>
        </w:rPr>
        <w:t xml:space="preserve"> </w:t>
      </w:r>
      <w:r w:rsidR="00A67480" w:rsidRPr="00CB31D0">
        <w:rPr>
          <w:sz w:val="20"/>
          <w:szCs w:val="20"/>
          <w:lang w:val="en-GB"/>
        </w:rPr>
        <w:t>i</w:t>
      </w:r>
      <w:r w:rsidRPr="00CB31D0">
        <w:rPr>
          <w:sz w:val="20"/>
          <w:szCs w:val="20"/>
          <w:lang w:val="en-GB"/>
        </w:rPr>
        <w:t>n rural society. Biological control and soil decomposition are other important services</w:t>
      </w:r>
      <w:r w:rsidR="00B26131" w:rsidRPr="00CB31D0">
        <w:rPr>
          <w:sz w:val="20"/>
          <w:szCs w:val="20"/>
          <w:lang w:val="en-GB"/>
        </w:rPr>
        <w:t xml:space="preserve"> that will be discussed</w:t>
      </w:r>
      <w:r w:rsidRPr="00CB31D0">
        <w:rPr>
          <w:sz w:val="20"/>
          <w:szCs w:val="20"/>
          <w:lang w:val="en-GB"/>
        </w:rPr>
        <w:t>.</w:t>
      </w:r>
    </w:p>
    <w:p w:rsidR="00E65B1B" w:rsidRPr="00CB31D0" w:rsidRDefault="00E65B1B" w:rsidP="00486557">
      <w:pPr>
        <w:pStyle w:val="Normalnumber"/>
        <w:rPr>
          <w:sz w:val="20"/>
          <w:szCs w:val="20"/>
          <w:lang w:val="en-GB"/>
        </w:rPr>
      </w:pPr>
      <w:r w:rsidRPr="00CB31D0">
        <w:rPr>
          <w:sz w:val="20"/>
          <w:szCs w:val="20"/>
          <w:lang w:val="en-GB"/>
        </w:rPr>
        <w:t>Chapter 4</w:t>
      </w:r>
      <w:r w:rsidR="00D4108C" w:rsidRPr="00CB31D0">
        <w:rPr>
          <w:sz w:val="20"/>
          <w:szCs w:val="20"/>
          <w:lang w:val="en-GB"/>
        </w:rPr>
        <w:t xml:space="preserve"> will examine d</w:t>
      </w:r>
      <w:r w:rsidRPr="00CB31D0">
        <w:rPr>
          <w:sz w:val="20"/>
          <w:szCs w:val="20"/>
          <w:lang w:val="en-GB"/>
        </w:rPr>
        <w:t>rivers of agricultural intensification and land use, including rural</w:t>
      </w:r>
      <w:r w:rsidR="00D4108C" w:rsidRPr="00CB31D0">
        <w:rPr>
          <w:sz w:val="20"/>
          <w:szCs w:val="20"/>
          <w:lang w:val="en-GB"/>
        </w:rPr>
        <w:noBreakHyphen/>
      </w:r>
      <w:r w:rsidRPr="00CB31D0">
        <w:rPr>
          <w:sz w:val="20"/>
          <w:szCs w:val="20"/>
          <w:lang w:val="en-GB"/>
        </w:rPr>
        <w:t xml:space="preserve">urban linkages, land tenure, changing demands and international trade and </w:t>
      </w:r>
      <w:r w:rsidR="00D4108C" w:rsidRPr="00CB31D0">
        <w:rPr>
          <w:sz w:val="20"/>
          <w:szCs w:val="20"/>
          <w:lang w:val="en-GB"/>
        </w:rPr>
        <w:t xml:space="preserve">its </w:t>
      </w:r>
      <w:r w:rsidRPr="00CB31D0">
        <w:rPr>
          <w:sz w:val="20"/>
          <w:szCs w:val="20"/>
          <w:lang w:val="en-GB"/>
        </w:rPr>
        <w:t xml:space="preserve">potential impacts on ecosystem services. The role and importance of aquaculture will be included, with a consideration of freshwater and marine systems. </w:t>
      </w:r>
      <w:r w:rsidR="00F03422" w:rsidRPr="00CB31D0">
        <w:rPr>
          <w:sz w:val="20"/>
          <w:szCs w:val="20"/>
          <w:lang w:val="en-GB"/>
        </w:rPr>
        <w:t>These will be examined at the regional level.</w:t>
      </w:r>
    </w:p>
    <w:p w:rsidR="00E65B1B" w:rsidRPr="00CB31D0" w:rsidRDefault="00E65B1B" w:rsidP="00486557">
      <w:pPr>
        <w:pStyle w:val="Normalnumber"/>
        <w:rPr>
          <w:sz w:val="20"/>
          <w:szCs w:val="20"/>
          <w:lang w:val="en-GB"/>
        </w:rPr>
      </w:pPr>
      <w:r w:rsidRPr="00CB31D0">
        <w:rPr>
          <w:sz w:val="20"/>
          <w:szCs w:val="20"/>
          <w:lang w:val="en-GB"/>
        </w:rPr>
        <w:t>Chapter 5</w:t>
      </w:r>
      <w:r w:rsidR="002417AA" w:rsidRPr="00CB31D0">
        <w:rPr>
          <w:sz w:val="20"/>
          <w:szCs w:val="20"/>
          <w:lang w:val="en-GB"/>
        </w:rPr>
        <w:t xml:space="preserve"> will look at s</w:t>
      </w:r>
      <w:r w:rsidRPr="00CB31D0">
        <w:rPr>
          <w:sz w:val="20"/>
          <w:szCs w:val="20"/>
          <w:lang w:val="en-GB"/>
        </w:rPr>
        <w:t>ocioeconomic aspects of the ecosystem service</w:t>
      </w:r>
      <w:r w:rsidR="0074739D" w:rsidRPr="00CB31D0">
        <w:rPr>
          <w:sz w:val="20"/>
          <w:szCs w:val="20"/>
          <w:lang w:val="en-GB"/>
        </w:rPr>
        <w:t>s</w:t>
      </w:r>
      <w:r w:rsidRPr="00CB31D0">
        <w:rPr>
          <w:sz w:val="20"/>
          <w:szCs w:val="20"/>
          <w:lang w:val="en-GB"/>
        </w:rPr>
        <w:t xml:space="preserve"> </w:t>
      </w:r>
      <w:r w:rsidR="00AB3AF1" w:rsidRPr="00CB31D0">
        <w:rPr>
          <w:sz w:val="20"/>
          <w:szCs w:val="20"/>
          <w:lang w:val="en-GB"/>
        </w:rPr>
        <w:t>under discussion,</w:t>
      </w:r>
      <w:r w:rsidR="002417AA" w:rsidRPr="00CB31D0">
        <w:rPr>
          <w:b/>
          <w:sz w:val="20"/>
          <w:szCs w:val="20"/>
          <w:lang w:val="en-GB"/>
        </w:rPr>
        <w:t xml:space="preserve"> </w:t>
      </w:r>
      <w:r w:rsidR="002417AA" w:rsidRPr="00CB31D0">
        <w:rPr>
          <w:sz w:val="20"/>
          <w:szCs w:val="20"/>
          <w:lang w:val="en-GB"/>
        </w:rPr>
        <w:t>including h</w:t>
      </w:r>
      <w:r w:rsidRPr="00CB31D0">
        <w:rPr>
          <w:sz w:val="20"/>
          <w:szCs w:val="20"/>
          <w:lang w:val="en-GB"/>
        </w:rPr>
        <w:t>ow to maintain rural and indigenous societies and their knowledge for the benefit of future generations</w:t>
      </w:r>
      <w:r w:rsidR="002417AA" w:rsidRPr="00CB31D0">
        <w:rPr>
          <w:sz w:val="20"/>
          <w:szCs w:val="20"/>
          <w:lang w:val="en-GB"/>
        </w:rPr>
        <w:t xml:space="preserve"> and h</w:t>
      </w:r>
      <w:r w:rsidRPr="00CB31D0">
        <w:rPr>
          <w:sz w:val="20"/>
          <w:szCs w:val="20"/>
          <w:lang w:val="en-GB"/>
        </w:rPr>
        <w:t>ow cultural ecosystem services (e.g.</w:t>
      </w:r>
      <w:r w:rsidR="00CC386A" w:rsidRPr="00CB31D0">
        <w:rPr>
          <w:sz w:val="20"/>
          <w:szCs w:val="20"/>
          <w:lang w:val="en-GB"/>
        </w:rPr>
        <w:t>, people’s affection for the land and its species</w:t>
      </w:r>
      <w:r w:rsidRPr="00CB31D0">
        <w:rPr>
          <w:sz w:val="20"/>
          <w:szCs w:val="20"/>
          <w:lang w:val="en-GB"/>
        </w:rPr>
        <w:t>) can contribute to sustainable rural societies</w:t>
      </w:r>
      <w:r w:rsidR="00CC386A" w:rsidRPr="00CB31D0">
        <w:rPr>
          <w:sz w:val="20"/>
          <w:szCs w:val="20"/>
          <w:lang w:val="en-GB"/>
        </w:rPr>
        <w:t>.</w:t>
      </w:r>
    </w:p>
    <w:p w:rsidR="00E65B1B" w:rsidRPr="00CB31D0" w:rsidRDefault="00E65B1B" w:rsidP="00486557">
      <w:pPr>
        <w:pStyle w:val="Normalnumber"/>
        <w:rPr>
          <w:sz w:val="20"/>
          <w:szCs w:val="20"/>
          <w:lang w:val="en-GB"/>
        </w:rPr>
      </w:pPr>
      <w:r w:rsidRPr="00CB31D0">
        <w:rPr>
          <w:sz w:val="20"/>
          <w:szCs w:val="20"/>
          <w:lang w:val="en-GB"/>
        </w:rPr>
        <w:t>Chapter 6</w:t>
      </w:r>
      <w:r w:rsidR="00CC386A" w:rsidRPr="00CB31D0">
        <w:rPr>
          <w:sz w:val="20"/>
          <w:szCs w:val="20"/>
          <w:lang w:val="en-GB"/>
        </w:rPr>
        <w:t xml:space="preserve"> will discuss l</w:t>
      </w:r>
      <w:r w:rsidRPr="00CB31D0">
        <w:rPr>
          <w:sz w:val="20"/>
          <w:szCs w:val="20"/>
          <w:lang w:val="en-GB"/>
        </w:rPr>
        <w:t>iving with uncertainty</w:t>
      </w:r>
      <w:r w:rsidR="00CC386A" w:rsidRPr="00CB31D0">
        <w:rPr>
          <w:sz w:val="20"/>
          <w:szCs w:val="20"/>
          <w:lang w:val="en-GB"/>
        </w:rPr>
        <w:t xml:space="preserve"> posed by </w:t>
      </w:r>
      <w:r w:rsidRPr="00CB31D0">
        <w:rPr>
          <w:sz w:val="20"/>
          <w:szCs w:val="20"/>
          <w:lang w:val="en-GB"/>
        </w:rPr>
        <w:t>global climate change and risk adaptation and mitigation in agricultural systems.</w:t>
      </w:r>
    </w:p>
    <w:p w:rsidR="00E65B1B" w:rsidRPr="00CB31D0" w:rsidRDefault="00E65B1B" w:rsidP="00486557">
      <w:pPr>
        <w:pStyle w:val="Normalnumber"/>
        <w:keepNext/>
        <w:keepLines/>
        <w:rPr>
          <w:sz w:val="20"/>
          <w:szCs w:val="20"/>
          <w:lang w:val="en-GB"/>
        </w:rPr>
      </w:pPr>
      <w:r w:rsidRPr="00CB31D0">
        <w:rPr>
          <w:sz w:val="20"/>
          <w:szCs w:val="20"/>
          <w:lang w:val="en-GB"/>
        </w:rPr>
        <w:lastRenderedPageBreak/>
        <w:t>Chapter 7</w:t>
      </w:r>
      <w:r w:rsidR="00D91AB5" w:rsidRPr="00CB31D0">
        <w:rPr>
          <w:sz w:val="20"/>
          <w:szCs w:val="20"/>
          <w:lang w:val="en-GB"/>
        </w:rPr>
        <w:t xml:space="preserve"> will examine t</w:t>
      </w:r>
      <w:r w:rsidRPr="00CB31D0">
        <w:rPr>
          <w:sz w:val="20"/>
          <w:szCs w:val="20"/>
          <w:lang w:val="en-GB"/>
        </w:rPr>
        <w:t xml:space="preserve">he promise of new approaches, including but not limited to perennialization and enhanced nitrogen fixation. </w:t>
      </w:r>
      <w:r w:rsidR="00D91AB5" w:rsidRPr="00CB31D0">
        <w:rPr>
          <w:sz w:val="20"/>
          <w:szCs w:val="20"/>
          <w:lang w:val="en-GB"/>
        </w:rPr>
        <w:t xml:space="preserve">This would include </w:t>
      </w:r>
      <w:r w:rsidR="0074739D" w:rsidRPr="00CB31D0">
        <w:rPr>
          <w:sz w:val="20"/>
          <w:szCs w:val="20"/>
          <w:lang w:val="en-GB"/>
        </w:rPr>
        <w:t xml:space="preserve">the </w:t>
      </w:r>
      <w:r w:rsidR="00D91AB5" w:rsidRPr="00CB31D0">
        <w:rPr>
          <w:sz w:val="20"/>
          <w:szCs w:val="20"/>
          <w:lang w:val="en-GB"/>
        </w:rPr>
        <w:t>d</w:t>
      </w:r>
      <w:r w:rsidRPr="00CB31D0">
        <w:rPr>
          <w:sz w:val="20"/>
          <w:szCs w:val="20"/>
          <w:lang w:val="en-GB"/>
        </w:rPr>
        <w:t>evelop</w:t>
      </w:r>
      <w:r w:rsidR="00D91AB5" w:rsidRPr="00CB31D0">
        <w:rPr>
          <w:sz w:val="20"/>
          <w:szCs w:val="20"/>
          <w:lang w:val="en-GB"/>
        </w:rPr>
        <w:t>ment of</w:t>
      </w:r>
      <w:r w:rsidRPr="00CB31D0">
        <w:rPr>
          <w:sz w:val="20"/>
          <w:szCs w:val="20"/>
          <w:lang w:val="en-GB"/>
        </w:rPr>
        <w:t xml:space="preserve"> a concept of an ecosystem service</w:t>
      </w:r>
      <w:r w:rsidR="00D91AB5" w:rsidRPr="00CB31D0">
        <w:rPr>
          <w:sz w:val="20"/>
          <w:szCs w:val="20"/>
          <w:lang w:val="en-GB"/>
        </w:rPr>
        <w:t>s</w:t>
      </w:r>
      <w:r w:rsidRPr="00CB31D0">
        <w:rPr>
          <w:sz w:val="20"/>
          <w:szCs w:val="20"/>
          <w:lang w:val="en-GB"/>
        </w:rPr>
        <w:t xml:space="preserve"> market that a landowner/farmer could access to increase the value of </w:t>
      </w:r>
      <w:r w:rsidR="00D91AB5" w:rsidRPr="00CB31D0">
        <w:rPr>
          <w:sz w:val="20"/>
          <w:szCs w:val="20"/>
          <w:lang w:val="en-GB"/>
        </w:rPr>
        <w:t xml:space="preserve">his or her </w:t>
      </w:r>
      <w:r w:rsidRPr="00CB31D0">
        <w:rPr>
          <w:sz w:val="20"/>
          <w:szCs w:val="20"/>
          <w:lang w:val="en-GB"/>
        </w:rPr>
        <w:t xml:space="preserve">activities.  Other instruments are needed, such as better systems of control, regulation, incentives and de-incentives, </w:t>
      </w:r>
      <w:r w:rsidR="00D91AB5" w:rsidRPr="00CB31D0">
        <w:rPr>
          <w:sz w:val="20"/>
          <w:szCs w:val="20"/>
          <w:lang w:val="en-GB"/>
        </w:rPr>
        <w:t xml:space="preserve">as is </w:t>
      </w:r>
      <w:r w:rsidRPr="00CB31D0">
        <w:rPr>
          <w:sz w:val="20"/>
          <w:szCs w:val="20"/>
          <w:lang w:val="en-GB"/>
        </w:rPr>
        <w:t>better governance. This chapter would be illustrated by country case studies</w:t>
      </w:r>
      <w:r w:rsidR="00D91AB5" w:rsidRPr="00CB31D0">
        <w:rPr>
          <w:sz w:val="20"/>
          <w:szCs w:val="20"/>
          <w:lang w:val="en-GB"/>
        </w:rPr>
        <w:t xml:space="preserve"> on</w:t>
      </w:r>
      <w:r w:rsidR="000179E3" w:rsidRPr="00CB31D0">
        <w:rPr>
          <w:sz w:val="20"/>
          <w:szCs w:val="20"/>
          <w:lang w:val="en-GB"/>
        </w:rPr>
        <w:t xml:space="preserve"> </w:t>
      </w:r>
      <w:r w:rsidR="00D91AB5" w:rsidRPr="00CB31D0">
        <w:rPr>
          <w:sz w:val="20"/>
          <w:szCs w:val="20"/>
          <w:lang w:val="en-GB"/>
        </w:rPr>
        <w:t xml:space="preserve">matters such as </w:t>
      </w:r>
      <w:r w:rsidRPr="00CB31D0">
        <w:rPr>
          <w:sz w:val="20"/>
          <w:szCs w:val="20"/>
          <w:lang w:val="en-GB"/>
        </w:rPr>
        <w:t>water management</w:t>
      </w:r>
      <w:r w:rsidR="00D91AB5" w:rsidRPr="00CB31D0">
        <w:rPr>
          <w:sz w:val="20"/>
          <w:szCs w:val="20"/>
          <w:lang w:val="en-GB"/>
        </w:rPr>
        <w:t xml:space="preserve"> in Costa Rica</w:t>
      </w:r>
      <w:r w:rsidRPr="00CB31D0">
        <w:rPr>
          <w:sz w:val="20"/>
          <w:szCs w:val="20"/>
          <w:lang w:val="en-GB"/>
        </w:rPr>
        <w:t>, community forests</w:t>
      </w:r>
      <w:r w:rsidR="00D91AB5" w:rsidRPr="00CB31D0">
        <w:rPr>
          <w:sz w:val="20"/>
          <w:szCs w:val="20"/>
          <w:lang w:val="en-GB"/>
        </w:rPr>
        <w:t xml:space="preserve"> in Mexico and </w:t>
      </w:r>
      <w:r w:rsidRPr="00CB31D0">
        <w:rPr>
          <w:sz w:val="20"/>
          <w:szCs w:val="20"/>
          <w:lang w:val="en-GB"/>
        </w:rPr>
        <w:t>water markets</w:t>
      </w:r>
      <w:r w:rsidR="00D91AB5" w:rsidRPr="00CB31D0">
        <w:rPr>
          <w:sz w:val="20"/>
          <w:szCs w:val="20"/>
          <w:lang w:val="en-GB"/>
        </w:rPr>
        <w:t xml:space="preserve"> in the United States</w:t>
      </w:r>
      <w:r w:rsidR="0074739D" w:rsidRPr="00CB31D0">
        <w:rPr>
          <w:sz w:val="20"/>
          <w:szCs w:val="20"/>
          <w:lang w:val="en-GB"/>
        </w:rPr>
        <w:t xml:space="preserve"> of America</w:t>
      </w:r>
      <w:r w:rsidRPr="00CB31D0">
        <w:rPr>
          <w:sz w:val="20"/>
          <w:szCs w:val="20"/>
          <w:lang w:val="en-GB"/>
        </w:rPr>
        <w:t>.</w:t>
      </w:r>
    </w:p>
    <w:p w:rsidR="00E65B1B" w:rsidRPr="00CB31D0" w:rsidRDefault="00E65B1B" w:rsidP="00486557">
      <w:pPr>
        <w:pStyle w:val="Normalnumber"/>
        <w:rPr>
          <w:sz w:val="20"/>
          <w:szCs w:val="20"/>
          <w:lang w:val="en-GB"/>
        </w:rPr>
      </w:pPr>
      <w:r w:rsidRPr="00CB31D0">
        <w:rPr>
          <w:sz w:val="20"/>
          <w:szCs w:val="20"/>
          <w:lang w:val="en-GB"/>
        </w:rPr>
        <w:t>Chapter 8</w:t>
      </w:r>
      <w:r w:rsidR="000179E3" w:rsidRPr="00CB31D0">
        <w:rPr>
          <w:sz w:val="20"/>
          <w:szCs w:val="20"/>
          <w:lang w:val="en-GB"/>
        </w:rPr>
        <w:t xml:space="preserve"> will identify</w:t>
      </w:r>
      <w:r w:rsidRPr="00CB31D0">
        <w:rPr>
          <w:sz w:val="20"/>
          <w:szCs w:val="20"/>
          <w:lang w:val="en-GB"/>
        </w:rPr>
        <w:t xml:space="preserve"> science, technology and information needs </w:t>
      </w:r>
      <w:r w:rsidR="000179E3" w:rsidRPr="00CB31D0">
        <w:rPr>
          <w:sz w:val="20"/>
          <w:szCs w:val="20"/>
          <w:lang w:val="en-GB"/>
        </w:rPr>
        <w:t xml:space="preserve">on the basis of </w:t>
      </w:r>
      <w:r w:rsidRPr="00CB31D0">
        <w:rPr>
          <w:sz w:val="20"/>
          <w:szCs w:val="20"/>
          <w:lang w:val="en-GB"/>
        </w:rPr>
        <w:t xml:space="preserve">gaps identified in previous chapters. </w:t>
      </w:r>
    </w:p>
    <w:p w:rsidR="00E65B1B" w:rsidRPr="00CB31D0" w:rsidRDefault="00E65B1B" w:rsidP="00486557">
      <w:pPr>
        <w:pStyle w:val="Normalnumber"/>
        <w:rPr>
          <w:sz w:val="20"/>
          <w:szCs w:val="20"/>
          <w:lang w:val="en-GB"/>
        </w:rPr>
      </w:pPr>
      <w:r w:rsidRPr="00CB31D0">
        <w:rPr>
          <w:sz w:val="20"/>
          <w:szCs w:val="20"/>
          <w:lang w:val="en-GB"/>
        </w:rPr>
        <w:t>Chapter 9</w:t>
      </w:r>
      <w:r w:rsidR="000179E3" w:rsidRPr="00CB31D0">
        <w:rPr>
          <w:sz w:val="20"/>
          <w:szCs w:val="20"/>
          <w:lang w:val="en-GB"/>
        </w:rPr>
        <w:t xml:space="preserve"> will discuss the creation of</w:t>
      </w:r>
      <w:r w:rsidRPr="00CB31D0">
        <w:rPr>
          <w:sz w:val="20"/>
          <w:szCs w:val="20"/>
          <w:lang w:val="en-GB"/>
        </w:rPr>
        <w:t xml:space="preserve"> a framework for sustainable agricultural intensification that actively considers ecosystem services, including biodiversity and water. This will include a consideration of policy options and decision-support tools. </w:t>
      </w:r>
    </w:p>
    <w:p w:rsidR="00E65B1B" w:rsidRPr="00CB31D0" w:rsidRDefault="00FA30A2" w:rsidP="000179E3">
      <w:pPr>
        <w:pStyle w:val="CH1"/>
        <w:rPr>
          <w:lang w:val="en-GB"/>
        </w:rPr>
      </w:pPr>
      <w:r w:rsidRPr="00CB31D0">
        <w:rPr>
          <w:lang w:val="en-GB"/>
        </w:rPr>
        <w:tab/>
      </w:r>
      <w:r w:rsidR="004E0C38" w:rsidRPr="00CB31D0">
        <w:rPr>
          <w:lang w:val="en-GB"/>
        </w:rPr>
        <w:t>IV</w:t>
      </w:r>
      <w:r w:rsidRPr="00CB31D0">
        <w:rPr>
          <w:lang w:val="en-GB"/>
        </w:rPr>
        <w:t>.</w:t>
      </w:r>
      <w:r w:rsidR="00E65B1B" w:rsidRPr="00CB31D0">
        <w:rPr>
          <w:lang w:val="en-GB"/>
        </w:rPr>
        <w:tab/>
        <w:t xml:space="preserve">Process and </w:t>
      </w:r>
      <w:r w:rsidR="000179E3" w:rsidRPr="00CB31D0">
        <w:rPr>
          <w:lang w:val="en-GB"/>
        </w:rPr>
        <w:t>t</w:t>
      </w:r>
      <w:r w:rsidR="00E65B1B" w:rsidRPr="00CB31D0">
        <w:rPr>
          <w:lang w:val="en-GB"/>
        </w:rPr>
        <w:t>imetable</w:t>
      </w:r>
    </w:p>
    <w:p w:rsidR="00C115F6" w:rsidRPr="00CB31D0" w:rsidRDefault="00C115F6" w:rsidP="00762016">
      <w:pPr>
        <w:pStyle w:val="Normalnumber"/>
        <w:rPr>
          <w:sz w:val="20"/>
          <w:szCs w:val="20"/>
          <w:lang w:val="en-GB"/>
        </w:rPr>
      </w:pPr>
      <w:r w:rsidRPr="00CB31D0">
        <w:rPr>
          <w:sz w:val="20"/>
          <w:szCs w:val="20"/>
          <w:lang w:val="en-GB"/>
        </w:rPr>
        <w:t xml:space="preserve">The process for undertaking the proposed </w:t>
      </w:r>
      <w:r w:rsidR="0002522A" w:rsidRPr="00CB31D0">
        <w:rPr>
          <w:sz w:val="20"/>
          <w:szCs w:val="20"/>
          <w:lang w:val="en-GB"/>
        </w:rPr>
        <w:t xml:space="preserve">thematic </w:t>
      </w:r>
      <w:r w:rsidRPr="00CB31D0">
        <w:rPr>
          <w:sz w:val="20"/>
          <w:szCs w:val="20"/>
          <w:lang w:val="en-GB"/>
        </w:rPr>
        <w:t>assessment and the timetable for carrying it out are outlined in the following 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421"/>
        <w:gridCol w:w="6184"/>
        <w:tblGridChange w:id="1">
          <w:tblGrid>
            <w:gridCol w:w="723"/>
            <w:gridCol w:w="1421"/>
            <w:gridCol w:w="6184"/>
          </w:tblGrid>
        </w:tblGridChange>
      </w:tblGrid>
      <w:tr w:rsidR="00C962B8" w:rsidRPr="00CB31D0" w:rsidTr="00C962B8">
        <w:trPr>
          <w:trHeight w:val="584"/>
        </w:trPr>
        <w:tc>
          <w:tcPr>
            <w:tcW w:w="2144" w:type="dxa"/>
            <w:gridSpan w:val="2"/>
            <w:shd w:val="clear" w:color="auto" w:fill="auto"/>
            <w:vAlign w:val="center"/>
          </w:tcPr>
          <w:p w:rsidR="00C962B8" w:rsidRPr="00CB31D0" w:rsidRDefault="00C962B8" w:rsidP="00637048">
            <w:pPr>
              <w:keepLines/>
              <w:tabs>
                <w:tab w:val="left" w:pos="426"/>
                <w:tab w:val="num" w:pos="1353"/>
              </w:tabs>
              <w:autoSpaceDE w:val="0"/>
              <w:autoSpaceDN w:val="0"/>
              <w:adjustRightInd w:val="0"/>
              <w:spacing w:after="120"/>
              <w:rPr>
                <w:rFonts w:ascii="Times New Roman" w:eastAsia="SimSun" w:hAnsi="Times New Roman"/>
                <w:i/>
                <w:sz w:val="19"/>
                <w:szCs w:val="19"/>
                <w:lang w:eastAsia="zh-CN"/>
              </w:rPr>
            </w:pPr>
            <w:r w:rsidRPr="00CB31D0">
              <w:rPr>
                <w:rFonts w:ascii="Times New Roman" w:eastAsia="SimSun" w:hAnsi="Times New Roman"/>
                <w:i/>
                <w:sz w:val="19"/>
                <w:szCs w:val="19"/>
                <w:lang w:eastAsia="zh-CN"/>
              </w:rPr>
              <w:t>Time frame</w:t>
            </w:r>
          </w:p>
        </w:tc>
        <w:tc>
          <w:tcPr>
            <w:tcW w:w="6184" w:type="dxa"/>
            <w:shd w:val="clear" w:color="auto" w:fill="auto"/>
            <w:vAlign w:val="center"/>
          </w:tcPr>
          <w:p w:rsidR="00C962B8" w:rsidRPr="00CB31D0" w:rsidRDefault="00C962B8" w:rsidP="00762016">
            <w:pPr>
              <w:keepLines/>
              <w:tabs>
                <w:tab w:val="left" w:pos="426"/>
                <w:tab w:val="num" w:pos="1353"/>
              </w:tabs>
              <w:autoSpaceDE w:val="0"/>
              <w:autoSpaceDN w:val="0"/>
              <w:adjustRightInd w:val="0"/>
              <w:spacing w:before="20" w:after="20" w:line="240" w:lineRule="auto"/>
              <w:rPr>
                <w:rFonts w:ascii="Times New Roman" w:eastAsia="SimSun" w:hAnsi="Times New Roman"/>
                <w:i/>
                <w:sz w:val="19"/>
                <w:szCs w:val="19"/>
                <w:lang w:eastAsia="zh-CN"/>
              </w:rPr>
            </w:pPr>
            <w:r w:rsidRPr="00CB31D0">
              <w:rPr>
                <w:rFonts w:ascii="Times New Roman" w:eastAsia="SimSun" w:hAnsi="Times New Roman"/>
                <w:i/>
                <w:sz w:val="19"/>
                <w:szCs w:val="19"/>
                <w:lang w:eastAsia="zh-CN"/>
              </w:rPr>
              <w:t>Actions</w:t>
            </w:r>
          </w:p>
        </w:tc>
      </w:tr>
      <w:tr w:rsidR="00E65B1B" w:rsidRPr="00CB31D0" w:rsidTr="00437265">
        <w:trPr>
          <w:trHeight w:val="584"/>
        </w:trPr>
        <w:tc>
          <w:tcPr>
            <w:tcW w:w="723" w:type="dxa"/>
            <w:vMerge w:val="restart"/>
            <w:shd w:val="clear" w:color="auto" w:fill="auto"/>
            <w:vAlign w:val="center"/>
          </w:tcPr>
          <w:p w:rsidR="00E65B1B" w:rsidRPr="00CB31D0"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r w:rsidRPr="00CB31D0">
              <w:rPr>
                <w:rFonts w:ascii="Times New Roman" w:eastAsia="SimSun" w:hAnsi="Times New Roman"/>
                <w:sz w:val="19"/>
                <w:szCs w:val="19"/>
                <w:lang w:eastAsia="zh-CN"/>
              </w:rPr>
              <w:t>2013</w:t>
            </w:r>
          </w:p>
        </w:tc>
        <w:tc>
          <w:tcPr>
            <w:tcW w:w="1421" w:type="dxa"/>
            <w:shd w:val="clear" w:color="auto" w:fill="auto"/>
            <w:vAlign w:val="center"/>
          </w:tcPr>
          <w:p w:rsidR="00E65B1B" w:rsidRPr="00CB31D0" w:rsidRDefault="0074739D" w:rsidP="00637048">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Fourth quarter</w:t>
            </w:r>
          </w:p>
        </w:tc>
        <w:tc>
          <w:tcPr>
            <w:tcW w:w="6184" w:type="dxa"/>
            <w:shd w:val="clear" w:color="auto" w:fill="auto"/>
            <w:vAlign w:val="center"/>
          </w:tcPr>
          <w:p w:rsidR="00E65B1B" w:rsidRPr="00CB31D0" w:rsidRDefault="00E65B1B" w:rsidP="00762016">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Plenary review</w:t>
            </w:r>
            <w:r w:rsidR="00AB3AF1" w:rsidRPr="00CB31D0">
              <w:rPr>
                <w:rFonts w:ascii="Times New Roman" w:eastAsia="SimSun" w:hAnsi="Times New Roman"/>
                <w:sz w:val="19"/>
                <w:szCs w:val="19"/>
                <w:lang w:eastAsia="zh-CN"/>
              </w:rPr>
              <w:t>s</w:t>
            </w:r>
            <w:r w:rsidRPr="00CB31D0">
              <w:rPr>
                <w:rFonts w:ascii="Times New Roman" w:eastAsia="SimSun" w:hAnsi="Times New Roman"/>
                <w:sz w:val="19"/>
                <w:szCs w:val="19"/>
                <w:lang w:eastAsia="zh-CN"/>
              </w:rPr>
              <w:t xml:space="preserve"> and approve</w:t>
            </w:r>
            <w:r w:rsidR="00AB3AF1" w:rsidRPr="00CB31D0">
              <w:rPr>
                <w:rFonts w:ascii="Times New Roman" w:eastAsia="SimSun" w:hAnsi="Times New Roman"/>
                <w:sz w:val="19"/>
                <w:szCs w:val="19"/>
                <w:lang w:eastAsia="zh-CN"/>
              </w:rPr>
              <w:t>s</w:t>
            </w:r>
            <w:r w:rsidRPr="00CB31D0">
              <w:rPr>
                <w:rFonts w:ascii="Times New Roman" w:eastAsia="SimSun" w:hAnsi="Times New Roman"/>
                <w:sz w:val="19"/>
                <w:szCs w:val="19"/>
                <w:lang w:eastAsia="zh-CN"/>
              </w:rPr>
              <w:t xml:space="preserve"> the initial scoping </w:t>
            </w:r>
            <w:r w:rsidR="00AB7127" w:rsidRPr="00CB31D0">
              <w:rPr>
                <w:rFonts w:ascii="Times New Roman" w:eastAsia="SimSun" w:hAnsi="Times New Roman"/>
                <w:sz w:val="19"/>
                <w:szCs w:val="19"/>
                <w:lang w:eastAsia="zh-CN"/>
              </w:rPr>
              <w:t xml:space="preserve">exercise </w:t>
            </w:r>
            <w:r w:rsidRPr="00CB31D0">
              <w:rPr>
                <w:rFonts w:ascii="Times New Roman" w:eastAsia="SimSun" w:hAnsi="Times New Roman"/>
                <w:sz w:val="19"/>
                <w:szCs w:val="19"/>
                <w:lang w:eastAsia="zh-CN"/>
              </w:rPr>
              <w:t xml:space="preserve">prepared by the </w:t>
            </w:r>
            <w:r w:rsidR="00C115F6" w:rsidRPr="00CB31D0">
              <w:rPr>
                <w:rFonts w:ascii="Times New Roman" w:eastAsia="SimSun" w:hAnsi="Times New Roman"/>
                <w:sz w:val="19"/>
                <w:szCs w:val="19"/>
                <w:lang w:eastAsia="zh-CN"/>
              </w:rPr>
              <w:t xml:space="preserve">Multidisciplinary Expert Panel </w:t>
            </w:r>
            <w:r w:rsidRPr="00CB31D0">
              <w:rPr>
                <w:rFonts w:ascii="Times New Roman" w:eastAsia="SimSun" w:hAnsi="Times New Roman"/>
                <w:sz w:val="19"/>
                <w:szCs w:val="19"/>
                <w:lang w:eastAsia="zh-CN"/>
              </w:rPr>
              <w:t>and request</w:t>
            </w:r>
            <w:r w:rsidR="00AB3AF1" w:rsidRPr="00CB31D0">
              <w:rPr>
                <w:rFonts w:ascii="Times New Roman" w:eastAsia="SimSun" w:hAnsi="Times New Roman"/>
                <w:sz w:val="19"/>
                <w:szCs w:val="19"/>
                <w:lang w:eastAsia="zh-CN"/>
              </w:rPr>
              <w:t>s</w:t>
            </w:r>
            <w:r w:rsidRPr="00CB31D0">
              <w:rPr>
                <w:rFonts w:ascii="Times New Roman" w:eastAsia="SimSun" w:hAnsi="Times New Roman"/>
                <w:sz w:val="19"/>
                <w:szCs w:val="19"/>
                <w:lang w:eastAsia="zh-CN"/>
              </w:rPr>
              <w:t xml:space="preserve"> the </w:t>
            </w:r>
            <w:r w:rsidR="00C115F6" w:rsidRPr="00CB31D0">
              <w:rPr>
                <w:rFonts w:ascii="Times New Roman" w:eastAsia="SimSun" w:hAnsi="Times New Roman"/>
                <w:sz w:val="19"/>
                <w:szCs w:val="19"/>
                <w:lang w:eastAsia="zh-CN"/>
              </w:rPr>
              <w:t xml:space="preserve">Panel </w:t>
            </w:r>
            <w:r w:rsidRPr="00CB31D0">
              <w:rPr>
                <w:rFonts w:ascii="Times New Roman" w:eastAsia="SimSun" w:hAnsi="Times New Roman"/>
                <w:sz w:val="19"/>
                <w:szCs w:val="19"/>
                <w:lang w:eastAsia="zh-CN"/>
              </w:rPr>
              <w:t xml:space="preserve">and </w:t>
            </w:r>
            <w:r w:rsidR="008A730E" w:rsidRPr="00CB31D0">
              <w:rPr>
                <w:rFonts w:ascii="Times New Roman" w:eastAsia="SimSun" w:hAnsi="Times New Roman"/>
                <w:sz w:val="19"/>
                <w:szCs w:val="19"/>
                <w:lang w:eastAsia="zh-CN"/>
              </w:rPr>
              <w:t xml:space="preserve">the </w:t>
            </w:r>
            <w:r w:rsidRPr="00CB31D0">
              <w:rPr>
                <w:rFonts w:ascii="Times New Roman" w:eastAsia="SimSun" w:hAnsi="Times New Roman"/>
                <w:sz w:val="19"/>
                <w:szCs w:val="19"/>
                <w:lang w:eastAsia="zh-CN"/>
              </w:rPr>
              <w:t>Bureau, within an agreed cost envelope, to proceed with a full assessment after the detailed scoping study (</w:t>
            </w:r>
            <w:r w:rsidR="00C115F6" w:rsidRPr="00CB31D0">
              <w:rPr>
                <w:rFonts w:ascii="Times New Roman" w:eastAsia="SimSun" w:hAnsi="Times New Roman"/>
                <w:sz w:val="19"/>
                <w:szCs w:val="19"/>
                <w:lang w:eastAsia="zh-CN"/>
              </w:rPr>
              <w:t>14</w:t>
            </w:r>
            <w:r w:rsidR="00762016"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December 2013)</w:t>
            </w:r>
          </w:p>
        </w:tc>
      </w:tr>
      <w:tr w:rsidR="00E65B1B" w:rsidRPr="00CB31D0" w:rsidTr="00437265">
        <w:trPr>
          <w:trHeight w:val="584"/>
        </w:trPr>
        <w:tc>
          <w:tcPr>
            <w:tcW w:w="723" w:type="dxa"/>
            <w:vMerge/>
            <w:shd w:val="clear" w:color="auto" w:fill="auto"/>
            <w:vAlign w:val="center"/>
          </w:tcPr>
          <w:p w:rsidR="00E65B1B" w:rsidRPr="00CB31D0"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E65B1B" w:rsidRPr="00CB31D0" w:rsidRDefault="006D6E7D"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Fourth quarter</w:t>
            </w:r>
          </w:p>
        </w:tc>
        <w:tc>
          <w:tcPr>
            <w:tcW w:w="6184" w:type="dxa"/>
            <w:shd w:val="clear" w:color="auto" w:fill="auto"/>
            <w:vAlign w:val="center"/>
          </w:tcPr>
          <w:p w:rsidR="00E65B1B" w:rsidRPr="00CB31D0" w:rsidRDefault="00E65B1B" w:rsidP="00762016">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The </w:t>
            </w:r>
            <w:r w:rsidR="00A3704C" w:rsidRPr="00CB31D0">
              <w:rPr>
                <w:rFonts w:ascii="Times New Roman" w:eastAsia="SimSun" w:hAnsi="Times New Roman"/>
                <w:sz w:val="19"/>
                <w:szCs w:val="19"/>
                <w:lang w:eastAsia="zh-CN"/>
              </w:rPr>
              <w:t xml:space="preserve">Panel, </w:t>
            </w:r>
            <w:r w:rsidRPr="00CB31D0">
              <w:rPr>
                <w:rFonts w:ascii="Times New Roman" w:eastAsia="SimSun" w:hAnsi="Times New Roman"/>
                <w:sz w:val="19"/>
                <w:szCs w:val="19"/>
                <w:lang w:eastAsia="zh-CN"/>
              </w:rPr>
              <w:t xml:space="preserve">through the </w:t>
            </w:r>
            <w:r w:rsidR="00A3704C" w:rsidRPr="00CB31D0">
              <w:rPr>
                <w:rFonts w:ascii="Times New Roman" w:eastAsia="SimSun" w:hAnsi="Times New Roman"/>
                <w:sz w:val="19"/>
                <w:szCs w:val="19"/>
                <w:lang w:eastAsia="zh-CN"/>
              </w:rPr>
              <w:t>s</w:t>
            </w:r>
            <w:r w:rsidRPr="00CB31D0">
              <w:rPr>
                <w:rFonts w:ascii="Times New Roman" w:eastAsia="SimSun" w:hAnsi="Times New Roman"/>
                <w:sz w:val="19"/>
                <w:szCs w:val="19"/>
                <w:lang w:eastAsia="zh-CN"/>
              </w:rPr>
              <w:t>ecretariat</w:t>
            </w:r>
            <w:r w:rsidR="00A3704C"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request</w:t>
            </w:r>
            <w:r w:rsidR="002324CD" w:rsidRPr="00CB31D0">
              <w:rPr>
                <w:rFonts w:ascii="Times New Roman" w:eastAsia="SimSun" w:hAnsi="Times New Roman"/>
                <w:sz w:val="19"/>
                <w:szCs w:val="19"/>
                <w:lang w:eastAsia="zh-CN"/>
              </w:rPr>
              <w:t>s</w:t>
            </w:r>
            <w:r w:rsidRPr="00CB31D0">
              <w:rPr>
                <w:rFonts w:ascii="Times New Roman" w:eastAsia="SimSun" w:hAnsi="Times New Roman"/>
                <w:sz w:val="19"/>
                <w:szCs w:val="19"/>
                <w:lang w:eastAsia="zh-CN"/>
              </w:rPr>
              <w:t xml:space="preserve"> nominations from Governments and other stakeholders </w:t>
            </w:r>
            <w:r w:rsidR="00BD54EA" w:rsidRPr="00CB31D0">
              <w:rPr>
                <w:rFonts w:ascii="Times New Roman" w:eastAsia="SimSun" w:hAnsi="Times New Roman"/>
                <w:sz w:val="19"/>
                <w:szCs w:val="19"/>
                <w:lang w:eastAsia="zh-CN"/>
              </w:rPr>
              <w:t xml:space="preserve">of </w:t>
            </w:r>
            <w:r w:rsidRPr="00CB31D0">
              <w:rPr>
                <w:rFonts w:ascii="Times New Roman" w:eastAsia="SimSun" w:hAnsi="Times New Roman"/>
                <w:sz w:val="19"/>
                <w:szCs w:val="19"/>
                <w:lang w:eastAsia="zh-CN"/>
              </w:rPr>
              <w:t xml:space="preserve">experts to assist with the scoping </w:t>
            </w:r>
            <w:r w:rsidR="00AB7127" w:rsidRPr="00CB31D0">
              <w:rPr>
                <w:rFonts w:ascii="Times New Roman" w:eastAsia="SimSun" w:hAnsi="Times New Roman"/>
                <w:sz w:val="19"/>
                <w:szCs w:val="19"/>
                <w:lang w:eastAsia="zh-CN"/>
              </w:rPr>
              <w:t xml:space="preserve">process </w:t>
            </w:r>
            <w:r w:rsidRPr="00CB31D0">
              <w:rPr>
                <w:rFonts w:ascii="Times New Roman" w:eastAsia="SimSun" w:hAnsi="Times New Roman"/>
                <w:sz w:val="19"/>
                <w:szCs w:val="19"/>
                <w:lang w:eastAsia="zh-CN"/>
              </w:rPr>
              <w:t>(</w:t>
            </w:r>
            <w:r w:rsidR="00BD54EA" w:rsidRPr="00CB31D0">
              <w:rPr>
                <w:rFonts w:ascii="Times New Roman" w:eastAsia="SimSun" w:hAnsi="Times New Roman"/>
                <w:sz w:val="19"/>
                <w:szCs w:val="19"/>
                <w:lang w:eastAsia="zh-CN"/>
              </w:rPr>
              <w:t>16</w:t>
            </w:r>
            <w:r w:rsidR="00A53029"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December</w:t>
            </w:r>
            <w:r w:rsidR="00AB7127" w:rsidRPr="00CB31D0">
              <w:rPr>
                <w:rFonts w:ascii="Times New Roman" w:eastAsia="SimSun" w:hAnsi="Times New Roman"/>
                <w:sz w:val="19"/>
                <w:szCs w:val="19"/>
                <w:lang w:eastAsia="zh-CN"/>
              </w:rPr>
              <w:t xml:space="preserve"> 2013</w:t>
            </w:r>
            <w:r w:rsidR="00A53029" w:rsidRPr="00CB31D0">
              <w:rPr>
                <w:rFonts w:ascii="Times New Roman" w:eastAsia="SimSun" w:hAnsi="Times New Roman"/>
                <w:sz w:val="19"/>
                <w:szCs w:val="19"/>
                <w:lang w:eastAsia="zh-CN"/>
              </w:rPr>
              <w:noBreakHyphen/>
            </w:r>
            <w:r w:rsidR="00BD54EA" w:rsidRPr="00CB31D0">
              <w:rPr>
                <w:rFonts w:ascii="Times New Roman" w:eastAsia="SimSun" w:hAnsi="Times New Roman"/>
                <w:sz w:val="19"/>
                <w:szCs w:val="19"/>
                <w:lang w:eastAsia="zh-CN"/>
              </w:rPr>
              <w:t>31</w:t>
            </w:r>
            <w:r w:rsidR="00A53029"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January 2014)</w:t>
            </w:r>
          </w:p>
        </w:tc>
      </w:tr>
      <w:tr w:rsidR="00D80293" w:rsidRPr="00CB31D0" w:rsidTr="00437265">
        <w:trPr>
          <w:trHeight w:val="584"/>
        </w:trPr>
        <w:tc>
          <w:tcPr>
            <w:tcW w:w="723" w:type="dxa"/>
            <w:vMerge w:val="restart"/>
            <w:shd w:val="clear" w:color="auto" w:fill="auto"/>
            <w:vAlign w:val="center"/>
          </w:tcPr>
          <w:p w:rsidR="00D80293" w:rsidRPr="00CB31D0" w:rsidRDefault="00D80293" w:rsidP="00637048">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r w:rsidRPr="00CB31D0">
              <w:rPr>
                <w:rFonts w:ascii="Times New Roman" w:eastAsia="SimSun" w:hAnsi="Times New Roman"/>
                <w:sz w:val="19"/>
                <w:szCs w:val="19"/>
                <w:lang w:eastAsia="zh-CN"/>
              </w:rPr>
              <w:t>2014</w:t>
            </w:r>
          </w:p>
        </w:tc>
        <w:tc>
          <w:tcPr>
            <w:tcW w:w="1421" w:type="dxa"/>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First quarter</w:t>
            </w:r>
          </w:p>
        </w:tc>
        <w:tc>
          <w:tcPr>
            <w:tcW w:w="6184" w:type="dxa"/>
            <w:shd w:val="clear" w:color="auto" w:fill="auto"/>
            <w:vAlign w:val="center"/>
          </w:tcPr>
          <w:p w:rsidR="00D80293" w:rsidRPr="00CB31D0" w:rsidRDefault="00D80293" w:rsidP="00483894">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Panel, via e-mail and teleconferences, selects experts for the scoping study using the approved selection criteria</w:t>
            </w:r>
            <w:r w:rsidR="00BC42D8" w:rsidRPr="00CB31D0">
              <w:rPr>
                <w:rFonts w:ascii="Times New Roman" w:eastAsia="SimSun" w:hAnsi="Times New Roman"/>
                <w:sz w:val="19"/>
                <w:szCs w:val="19"/>
                <w:lang w:eastAsia="zh-CN"/>
              </w:rPr>
              <w:t xml:space="preserve"> (see IPBES/2/9)</w:t>
            </w:r>
            <w:r w:rsidRPr="00CB31D0">
              <w:rPr>
                <w:rFonts w:ascii="Times New Roman" w:eastAsia="SimSun" w:hAnsi="Times New Roman"/>
                <w:sz w:val="19"/>
                <w:szCs w:val="19"/>
                <w:lang w:eastAsia="zh-CN"/>
              </w:rPr>
              <w:t xml:space="preserve"> (1</w:t>
            </w:r>
            <w:r w:rsidRPr="00CB31D0">
              <w:rPr>
                <w:rFonts w:ascii="Times New Roman" w:eastAsia="SimSun" w:hAnsi="Times New Roman"/>
                <w:sz w:val="19"/>
                <w:szCs w:val="19"/>
                <w:lang w:eastAsia="zh-CN"/>
              </w:rPr>
              <w:noBreakHyphen/>
              <w:t>14 February 2014)</w:t>
            </w:r>
          </w:p>
        </w:tc>
      </w:tr>
      <w:tr w:rsidR="00D80293" w:rsidRPr="00CB31D0" w:rsidTr="00437265">
        <w:trPr>
          <w:trHeight w:val="584"/>
        </w:trPr>
        <w:tc>
          <w:tcPr>
            <w:tcW w:w="723" w:type="dxa"/>
            <w:vMerge/>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Second quarter</w:t>
            </w:r>
          </w:p>
        </w:tc>
        <w:tc>
          <w:tcPr>
            <w:tcW w:w="6184" w:type="dxa"/>
            <w:shd w:val="clear" w:color="auto" w:fill="auto"/>
            <w:vAlign w:val="center"/>
          </w:tcPr>
          <w:p w:rsidR="00D80293" w:rsidRPr="00CB31D0" w:rsidRDefault="00D80293" w:rsidP="0074739D">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Panel and the Bureau oversee the detailed scoping exercise, including outline, costs and feasibility (3 months). A scoping meeting is held at the beginning of April 2014</w:t>
            </w:r>
          </w:p>
        </w:tc>
      </w:tr>
      <w:tr w:rsidR="00D80293" w:rsidRPr="00CB31D0" w:rsidTr="00437265">
        <w:trPr>
          <w:trHeight w:val="584"/>
        </w:trPr>
        <w:tc>
          <w:tcPr>
            <w:tcW w:w="723" w:type="dxa"/>
            <w:vMerge/>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Second quarter</w:t>
            </w:r>
          </w:p>
        </w:tc>
        <w:tc>
          <w:tcPr>
            <w:tcW w:w="6184" w:type="dxa"/>
            <w:shd w:val="clear" w:color="auto" w:fill="auto"/>
            <w:vAlign w:val="center"/>
          </w:tcPr>
          <w:p w:rsidR="00D80293" w:rsidRPr="00CB31D0" w:rsidRDefault="00D80293" w:rsidP="00762016">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detailed scoping report is sent to members of the Platform and other stakeholders for review and comment for two weeks in the second half of April 2014</w:t>
            </w:r>
          </w:p>
        </w:tc>
      </w:tr>
      <w:tr w:rsidR="00D80293" w:rsidRPr="00CB31D0" w:rsidTr="00437265">
        <w:trPr>
          <w:trHeight w:val="730"/>
        </w:trPr>
        <w:tc>
          <w:tcPr>
            <w:tcW w:w="723" w:type="dxa"/>
            <w:vMerge/>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Second quarter</w:t>
            </w:r>
          </w:p>
        </w:tc>
        <w:tc>
          <w:tcPr>
            <w:tcW w:w="6184" w:type="dxa"/>
            <w:shd w:val="clear" w:color="auto" w:fill="auto"/>
            <w:vAlign w:val="center"/>
          </w:tcPr>
          <w:p w:rsidR="00D80293" w:rsidRPr="00CB31D0" w:rsidRDefault="00D80293" w:rsidP="00637048">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On the basis of the results of the detailed scoping exercise and comments received from members of the Platform and other stakeholders, the Panel and the Bureau decide whether to proceed with the assessment, assuming that it can be conducted within the budget envelope approved by the Plenary, in the first half of May 2014</w:t>
            </w:r>
          </w:p>
        </w:tc>
      </w:tr>
      <w:tr w:rsidR="00D80293" w:rsidRPr="00CB31D0" w:rsidTr="00437265">
        <w:trPr>
          <w:trHeight w:val="584"/>
        </w:trPr>
        <w:tc>
          <w:tcPr>
            <w:tcW w:w="723" w:type="dxa"/>
            <w:vMerge/>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Second quarter</w:t>
            </w:r>
          </w:p>
        </w:tc>
        <w:tc>
          <w:tcPr>
            <w:tcW w:w="6184" w:type="dxa"/>
            <w:shd w:val="clear" w:color="auto" w:fill="auto"/>
            <w:vAlign w:val="center"/>
          </w:tcPr>
          <w:p w:rsidR="00D80293" w:rsidRPr="00CB31D0" w:rsidRDefault="00D80293" w:rsidP="00637048">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Panel, through the secretariat, requests nominations from Governments and other stakeholders of experts to prepare the report. Nominations are to be submitted by the end of June 2014 (1.5 months)</w:t>
            </w:r>
          </w:p>
        </w:tc>
      </w:tr>
      <w:tr w:rsidR="00D80293" w:rsidRPr="00CB31D0" w:rsidTr="00437265">
        <w:trPr>
          <w:trHeight w:val="584"/>
        </w:trPr>
        <w:tc>
          <w:tcPr>
            <w:tcW w:w="723" w:type="dxa"/>
            <w:vMerge/>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Third quarter</w:t>
            </w:r>
          </w:p>
        </w:tc>
        <w:tc>
          <w:tcPr>
            <w:tcW w:w="6184" w:type="dxa"/>
            <w:shd w:val="clear" w:color="auto" w:fill="auto"/>
            <w:vAlign w:val="center"/>
          </w:tcPr>
          <w:p w:rsidR="00D80293" w:rsidRPr="00CB31D0" w:rsidRDefault="00D80293" w:rsidP="00FF0DBD">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Panel selects the report co-chairs, coordinating lead authors, lead authors and review editors using the approved selection criteria</w:t>
            </w:r>
            <w:r w:rsidR="00BC42D8" w:rsidRPr="00CB31D0">
              <w:rPr>
                <w:rFonts w:ascii="Times New Roman" w:eastAsia="SimSun" w:hAnsi="Times New Roman"/>
                <w:sz w:val="19"/>
                <w:szCs w:val="19"/>
                <w:lang w:eastAsia="zh-CN"/>
              </w:rPr>
              <w:t xml:space="preserve"> (see IPBES/2/9) </w:t>
            </w:r>
            <w:r w:rsidRPr="00CB31D0">
              <w:rPr>
                <w:rFonts w:ascii="Times New Roman" w:eastAsia="SimSun" w:hAnsi="Times New Roman"/>
                <w:sz w:val="19"/>
                <w:szCs w:val="19"/>
                <w:lang w:eastAsia="zh-CN"/>
              </w:rPr>
              <w:t>(1</w:t>
            </w:r>
            <w:r w:rsidR="00CB31D0"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July–15 August 2014) (1.5 months)</w:t>
            </w:r>
          </w:p>
        </w:tc>
      </w:tr>
      <w:tr w:rsidR="00D80293" w:rsidRPr="00CB31D0" w:rsidTr="00437265">
        <w:trPr>
          <w:trHeight w:val="584"/>
        </w:trPr>
        <w:tc>
          <w:tcPr>
            <w:tcW w:w="723" w:type="dxa"/>
            <w:vMerge/>
            <w:tcBorders>
              <w:bottom w:val="single" w:sz="4" w:space="0" w:color="auto"/>
            </w:tcBorders>
            <w:shd w:val="clear" w:color="auto" w:fill="auto"/>
            <w:vAlign w:val="center"/>
          </w:tcPr>
          <w:p w:rsidR="00D80293" w:rsidRPr="00CB31D0" w:rsidRDefault="00D80293"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tcBorders>
              <w:bottom w:val="single" w:sz="4" w:space="0" w:color="auto"/>
            </w:tcBorders>
            <w:shd w:val="clear" w:color="auto" w:fill="auto"/>
            <w:vAlign w:val="center"/>
          </w:tcPr>
          <w:p w:rsidR="00D80293" w:rsidRPr="00CB31D0" w:rsidRDefault="00D80293" w:rsidP="00637048">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Third/fourth quarters</w:t>
            </w:r>
          </w:p>
        </w:tc>
        <w:tc>
          <w:tcPr>
            <w:tcW w:w="6184" w:type="dxa"/>
            <w:tcBorders>
              <w:bottom w:val="single" w:sz="4" w:space="0" w:color="auto"/>
            </w:tcBorders>
            <w:shd w:val="clear" w:color="auto" w:fill="auto"/>
            <w:vAlign w:val="center"/>
          </w:tcPr>
          <w:p w:rsidR="00D80293" w:rsidRPr="00CB31D0" w:rsidRDefault="00D80293" w:rsidP="00637048">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report co-chairs, coordinating lead authors and lead authors prepare the first draft report by mid</w:t>
            </w:r>
            <w:r w:rsidRPr="00CB31D0">
              <w:rPr>
                <w:rFonts w:ascii="Times New Roman" w:eastAsia="SimSun" w:hAnsi="Times New Roman"/>
                <w:sz w:val="19"/>
                <w:szCs w:val="19"/>
                <w:lang w:eastAsia="zh-CN"/>
              </w:rPr>
              <w:noBreakHyphen/>
              <w:t>February 2015 (6 months). A first author meeting is held in September 2014</w:t>
            </w:r>
          </w:p>
        </w:tc>
      </w:tr>
      <w:tr w:rsidR="00E65B1B" w:rsidRPr="00CB31D0" w:rsidTr="00437265">
        <w:trPr>
          <w:trHeight w:val="504"/>
        </w:trPr>
        <w:tc>
          <w:tcPr>
            <w:tcW w:w="723" w:type="dxa"/>
            <w:vMerge w:val="restart"/>
            <w:shd w:val="clear" w:color="auto" w:fill="auto"/>
            <w:vAlign w:val="center"/>
          </w:tcPr>
          <w:p w:rsidR="00E65B1B" w:rsidRPr="00CB31D0"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r w:rsidRPr="00CB31D0">
              <w:rPr>
                <w:rFonts w:ascii="Times New Roman" w:eastAsia="SimSun" w:hAnsi="Times New Roman"/>
                <w:sz w:val="19"/>
                <w:szCs w:val="19"/>
                <w:lang w:eastAsia="zh-CN"/>
              </w:rPr>
              <w:lastRenderedPageBreak/>
              <w:t>2015</w:t>
            </w:r>
          </w:p>
        </w:tc>
        <w:tc>
          <w:tcPr>
            <w:tcW w:w="1421" w:type="dxa"/>
            <w:shd w:val="clear" w:color="auto" w:fill="auto"/>
            <w:vAlign w:val="center"/>
          </w:tcPr>
          <w:p w:rsidR="00E65B1B" w:rsidRPr="00CB31D0" w:rsidRDefault="00675B3A" w:rsidP="001B4912">
            <w:pPr>
              <w:keepNext/>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First quarter</w:t>
            </w:r>
          </w:p>
        </w:tc>
        <w:tc>
          <w:tcPr>
            <w:tcW w:w="6184" w:type="dxa"/>
            <w:shd w:val="clear" w:color="auto" w:fill="auto"/>
            <w:vAlign w:val="center"/>
          </w:tcPr>
          <w:p w:rsidR="007306C2" w:rsidRPr="00CB31D0" w:rsidRDefault="00E65B1B" w:rsidP="00BF3700">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The first draft report is reviewed by experts until </w:t>
            </w:r>
            <w:r w:rsidR="006F21D2" w:rsidRPr="00CB31D0">
              <w:rPr>
                <w:rFonts w:ascii="Times New Roman" w:eastAsia="SimSun" w:hAnsi="Times New Roman"/>
                <w:sz w:val="19"/>
                <w:szCs w:val="19"/>
                <w:lang w:eastAsia="zh-CN"/>
              </w:rPr>
              <w:t xml:space="preserve">the </w:t>
            </w:r>
            <w:r w:rsidRPr="00CB31D0">
              <w:rPr>
                <w:rFonts w:ascii="Times New Roman" w:eastAsia="SimSun" w:hAnsi="Times New Roman"/>
                <w:sz w:val="19"/>
                <w:szCs w:val="19"/>
                <w:lang w:eastAsia="zh-CN"/>
              </w:rPr>
              <w:t xml:space="preserve">end of March 2015 </w:t>
            </w:r>
          </w:p>
          <w:p w:rsidR="00E65B1B" w:rsidRPr="00CB31D0" w:rsidRDefault="00E65B1B" w:rsidP="00637048">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(1.5</w:t>
            </w:r>
            <w:r w:rsidR="007306C2"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2</w:t>
            </w:r>
            <w:r w:rsidR="00762016"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months)</w:t>
            </w:r>
          </w:p>
        </w:tc>
      </w:tr>
      <w:tr w:rsidR="00E65B1B" w:rsidRPr="00CB31D0" w:rsidTr="00437265">
        <w:trPr>
          <w:trHeight w:val="567"/>
        </w:trPr>
        <w:tc>
          <w:tcPr>
            <w:tcW w:w="723" w:type="dxa"/>
            <w:vMerge/>
            <w:shd w:val="clear" w:color="auto" w:fill="auto"/>
          </w:tcPr>
          <w:p w:rsidR="00E65B1B" w:rsidRPr="00CB31D0"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E65B1B" w:rsidRPr="00CB31D0" w:rsidRDefault="00675B3A" w:rsidP="001B4912">
            <w:pPr>
              <w:keepNext/>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Second quarter</w:t>
            </w:r>
          </w:p>
        </w:tc>
        <w:tc>
          <w:tcPr>
            <w:tcW w:w="6184" w:type="dxa"/>
            <w:shd w:val="clear" w:color="auto" w:fill="auto"/>
            <w:vAlign w:val="center"/>
          </w:tcPr>
          <w:p w:rsidR="00E65B1B" w:rsidRPr="00CB31D0" w:rsidRDefault="00E65B1B" w:rsidP="00637048">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The </w:t>
            </w:r>
            <w:r w:rsidR="006F21D2" w:rsidRPr="00CB31D0">
              <w:rPr>
                <w:rFonts w:ascii="Times New Roman" w:eastAsia="SimSun" w:hAnsi="Times New Roman"/>
                <w:sz w:val="19"/>
                <w:szCs w:val="19"/>
                <w:lang w:eastAsia="zh-CN"/>
              </w:rPr>
              <w:t>r</w:t>
            </w:r>
            <w:r w:rsidRPr="00CB31D0">
              <w:rPr>
                <w:rFonts w:ascii="Times New Roman" w:eastAsia="SimSun" w:hAnsi="Times New Roman"/>
                <w:sz w:val="19"/>
                <w:szCs w:val="19"/>
                <w:lang w:eastAsia="zh-CN"/>
              </w:rPr>
              <w:t xml:space="preserve">eport co-chairs, </w:t>
            </w:r>
            <w:r w:rsidR="000F0B1E" w:rsidRPr="00CB31D0">
              <w:rPr>
                <w:rFonts w:ascii="Times New Roman" w:eastAsia="SimSun" w:hAnsi="Times New Roman"/>
                <w:sz w:val="19"/>
                <w:szCs w:val="19"/>
                <w:lang w:eastAsia="zh-CN"/>
              </w:rPr>
              <w:t>coordinating lead authors</w:t>
            </w:r>
            <w:r w:rsidRPr="00CB31D0">
              <w:rPr>
                <w:rFonts w:ascii="Times New Roman" w:eastAsia="SimSun" w:hAnsi="Times New Roman"/>
                <w:sz w:val="19"/>
                <w:szCs w:val="19"/>
                <w:lang w:eastAsia="zh-CN"/>
              </w:rPr>
              <w:t xml:space="preserve"> and </w:t>
            </w:r>
            <w:r w:rsidR="000F0B1E" w:rsidRPr="00CB31D0">
              <w:rPr>
                <w:rFonts w:ascii="Times New Roman" w:eastAsia="SimSun" w:hAnsi="Times New Roman"/>
                <w:sz w:val="19"/>
                <w:szCs w:val="19"/>
                <w:lang w:eastAsia="zh-CN"/>
              </w:rPr>
              <w:t>lead authors</w:t>
            </w:r>
            <w:r w:rsidRPr="00CB31D0">
              <w:rPr>
                <w:rFonts w:ascii="Times New Roman" w:eastAsia="SimSun" w:hAnsi="Times New Roman"/>
                <w:sz w:val="19"/>
                <w:szCs w:val="19"/>
                <w:lang w:eastAsia="zh-CN"/>
              </w:rPr>
              <w:t xml:space="preserve"> prepare the secon</w:t>
            </w:r>
            <w:r w:rsidR="006F21D2" w:rsidRPr="00CB31D0">
              <w:rPr>
                <w:rFonts w:ascii="Times New Roman" w:eastAsia="SimSun" w:hAnsi="Times New Roman"/>
                <w:sz w:val="19"/>
                <w:szCs w:val="19"/>
                <w:lang w:eastAsia="zh-CN"/>
              </w:rPr>
              <w:t>d</w:t>
            </w:r>
            <w:r w:rsidRPr="00CB31D0">
              <w:rPr>
                <w:rFonts w:ascii="Times New Roman" w:eastAsia="SimSun" w:hAnsi="Times New Roman"/>
                <w:sz w:val="19"/>
                <w:szCs w:val="19"/>
                <w:lang w:eastAsia="zh-CN"/>
              </w:rPr>
              <w:t xml:space="preserve"> draft report and a first draft </w:t>
            </w:r>
            <w:r w:rsidR="006F21D2" w:rsidRPr="00CB31D0">
              <w:rPr>
                <w:rFonts w:ascii="Times New Roman" w:eastAsia="SimSun" w:hAnsi="Times New Roman"/>
                <w:sz w:val="19"/>
                <w:szCs w:val="19"/>
                <w:lang w:eastAsia="zh-CN"/>
              </w:rPr>
              <w:t xml:space="preserve">summary </w:t>
            </w:r>
            <w:r w:rsidR="00B94CAD" w:rsidRPr="00CB31D0">
              <w:rPr>
                <w:rFonts w:ascii="Times New Roman" w:eastAsia="SimSun" w:hAnsi="Times New Roman"/>
                <w:sz w:val="19"/>
                <w:szCs w:val="19"/>
                <w:lang w:eastAsia="zh-CN"/>
              </w:rPr>
              <w:t>for</w:t>
            </w:r>
            <w:r w:rsidR="006F21D2" w:rsidRPr="00CB31D0">
              <w:rPr>
                <w:rFonts w:ascii="Times New Roman" w:eastAsia="SimSun" w:hAnsi="Times New Roman"/>
                <w:sz w:val="19"/>
                <w:szCs w:val="19"/>
                <w:lang w:eastAsia="zh-CN"/>
              </w:rPr>
              <w:t xml:space="preserve"> policymakers </w:t>
            </w:r>
            <w:r w:rsidRPr="00CB31D0">
              <w:rPr>
                <w:rFonts w:ascii="Times New Roman" w:eastAsia="SimSun" w:hAnsi="Times New Roman"/>
                <w:sz w:val="19"/>
                <w:szCs w:val="19"/>
                <w:lang w:eastAsia="zh-CN"/>
              </w:rPr>
              <w:t xml:space="preserve">under the guidance of </w:t>
            </w:r>
            <w:r w:rsidR="000F0B1E" w:rsidRPr="00CB31D0">
              <w:rPr>
                <w:rFonts w:ascii="Times New Roman" w:eastAsia="SimSun" w:hAnsi="Times New Roman"/>
                <w:sz w:val="19"/>
                <w:szCs w:val="19"/>
                <w:lang w:eastAsia="zh-CN"/>
              </w:rPr>
              <w:t xml:space="preserve">the review editors </w:t>
            </w:r>
            <w:r w:rsidRPr="00CB31D0">
              <w:rPr>
                <w:rFonts w:ascii="Times New Roman" w:eastAsia="SimSun" w:hAnsi="Times New Roman"/>
                <w:sz w:val="19"/>
                <w:szCs w:val="19"/>
                <w:lang w:eastAsia="zh-CN"/>
              </w:rPr>
              <w:t xml:space="preserve">and </w:t>
            </w:r>
            <w:r w:rsidR="006F21D2" w:rsidRPr="00CB31D0">
              <w:rPr>
                <w:rFonts w:ascii="Times New Roman" w:eastAsia="SimSun" w:hAnsi="Times New Roman"/>
                <w:sz w:val="19"/>
                <w:szCs w:val="19"/>
                <w:lang w:eastAsia="zh-CN"/>
              </w:rPr>
              <w:t>the Panel (</w:t>
            </w:r>
            <w:r w:rsidRPr="00CB31D0">
              <w:rPr>
                <w:rFonts w:ascii="Times New Roman" w:eastAsia="SimSun" w:hAnsi="Times New Roman"/>
                <w:sz w:val="19"/>
                <w:szCs w:val="19"/>
                <w:lang w:eastAsia="zh-CN"/>
              </w:rPr>
              <w:t>April</w:t>
            </w:r>
            <w:r w:rsidR="006F21D2"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June 2015</w:t>
            </w:r>
            <w:r w:rsidR="00486557"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 xml:space="preserve"> (</w:t>
            </w:r>
            <w:r w:rsidR="007306C2" w:rsidRPr="00CB31D0">
              <w:rPr>
                <w:rFonts w:ascii="Times New Roman" w:eastAsia="SimSun" w:hAnsi="Times New Roman"/>
                <w:sz w:val="19"/>
                <w:szCs w:val="19"/>
                <w:lang w:eastAsia="zh-CN"/>
              </w:rPr>
              <w:t xml:space="preserve">3 </w:t>
            </w:r>
            <w:r w:rsidRPr="00CB31D0">
              <w:rPr>
                <w:rFonts w:ascii="Times New Roman" w:eastAsia="SimSun" w:hAnsi="Times New Roman"/>
                <w:sz w:val="19"/>
                <w:szCs w:val="19"/>
                <w:lang w:eastAsia="zh-CN"/>
              </w:rPr>
              <w:t xml:space="preserve">months). A second author meeting </w:t>
            </w:r>
            <w:r w:rsidR="00B94CAD" w:rsidRPr="00CB31D0">
              <w:rPr>
                <w:rFonts w:ascii="Times New Roman" w:eastAsia="SimSun" w:hAnsi="Times New Roman"/>
                <w:sz w:val="19"/>
                <w:szCs w:val="19"/>
                <w:lang w:eastAsia="zh-CN"/>
              </w:rPr>
              <w:t>is</w:t>
            </w:r>
            <w:r w:rsidRPr="00CB31D0">
              <w:rPr>
                <w:rFonts w:ascii="Times New Roman" w:eastAsia="SimSun" w:hAnsi="Times New Roman"/>
                <w:sz w:val="19"/>
                <w:szCs w:val="19"/>
                <w:lang w:eastAsia="zh-CN"/>
              </w:rPr>
              <w:t xml:space="preserve"> held in June 2015</w:t>
            </w:r>
          </w:p>
        </w:tc>
      </w:tr>
      <w:tr w:rsidR="00E65B1B" w:rsidRPr="00CB31D0" w:rsidTr="00437265">
        <w:trPr>
          <w:trHeight w:val="547"/>
        </w:trPr>
        <w:tc>
          <w:tcPr>
            <w:tcW w:w="723" w:type="dxa"/>
            <w:vMerge/>
            <w:shd w:val="clear" w:color="auto" w:fill="auto"/>
          </w:tcPr>
          <w:p w:rsidR="00E65B1B" w:rsidRPr="00CB31D0"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E65B1B" w:rsidRPr="00CB31D0" w:rsidRDefault="00675B3A" w:rsidP="001B4912">
            <w:pPr>
              <w:keepNext/>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Third quarter</w:t>
            </w:r>
          </w:p>
        </w:tc>
        <w:tc>
          <w:tcPr>
            <w:tcW w:w="6184" w:type="dxa"/>
            <w:shd w:val="clear" w:color="auto" w:fill="auto"/>
            <w:vAlign w:val="center"/>
          </w:tcPr>
          <w:p w:rsidR="00E65B1B" w:rsidRPr="00CB31D0" w:rsidRDefault="00E65B1B" w:rsidP="00637048">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The second draft report and the first</w:t>
            </w:r>
            <w:r w:rsidR="004863D2" w:rsidRPr="00CB31D0">
              <w:rPr>
                <w:rFonts w:ascii="Times New Roman" w:eastAsia="SimSun" w:hAnsi="Times New Roman"/>
                <w:sz w:val="19"/>
                <w:szCs w:val="19"/>
                <w:lang w:eastAsia="zh-CN"/>
              </w:rPr>
              <w:t xml:space="preserve"> summary </w:t>
            </w:r>
            <w:r w:rsidR="00842585" w:rsidRPr="00CB31D0">
              <w:rPr>
                <w:rFonts w:ascii="Times New Roman" w:eastAsia="SimSun" w:hAnsi="Times New Roman"/>
                <w:sz w:val="19"/>
                <w:szCs w:val="19"/>
                <w:lang w:eastAsia="zh-CN"/>
              </w:rPr>
              <w:t>for</w:t>
            </w:r>
            <w:r w:rsidR="004863D2" w:rsidRPr="00CB31D0">
              <w:rPr>
                <w:rFonts w:ascii="Times New Roman" w:eastAsia="SimSun" w:hAnsi="Times New Roman"/>
                <w:sz w:val="19"/>
                <w:szCs w:val="19"/>
                <w:lang w:eastAsia="zh-CN"/>
              </w:rPr>
              <w:t xml:space="preserve"> policymakers </w:t>
            </w:r>
            <w:r w:rsidRPr="00CB31D0">
              <w:rPr>
                <w:rFonts w:ascii="Times New Roman" w:eastAsia="SimSun" w:hAnsi="Times New Roman"/>
                <w:sz w:val="19"/>
                <w:szCs w:val="19"/>
                <w:lang w:eastAsia="zh-CN"/>
              </w:rPr>
              <w:t>are reviewed by experts, Governments and other stakeholders during July and August 2015 (</w:t>
            </w:r>
            <w:r w:rsidR="007306C2" w:rsidRPr="00CB31D0">
              <w:rPr>
                <w:rFonts w:ascii="Times New Roman" w:eastAsia="SimSun" w:hAnsi="Times New Roman"/>
                <w:sz w:val="19"/>
                <w:szCs w:val="19"/>
                <w:lang w:eastAsia="zh-CN"/>
              </w:rPr>
              <w:t>2 </w:t>
            </w:r>
            <w:r w:rsidRPr="00CB31D0">
              <w:rPr>
                <w:rFonts w:ascii="Times New Roman" w:eastAsia="SimSun" w:hAnsi="Times New Roman"/>
                <w:sz w:val="19"/>
                <w:szCs w:val="19"/>
                <w:lang w:eastAsia="zh-CN"/>
              </w:rPr>
              <w:t>months)</w:t>
            </w:r>
          </w:p>
        </w:tc>
      </w:tr>
      <w:tr w:rsidR="00E65B1B" w:rsidRPr="00CB31D0" w:rsidTr="00437265">
        <w:trPr>
          <w:trHeight w:val="215"/>
        </w:trPr>
        <w:tc>
          <w:tcPr>
            <w:tcW w:w="723" w:type="dxa"/>
            <w:vMerge/>
            <w:shd w:val="clear" w:color="auto" w:fill="auto"/>
          </w:tcPr>
          <w:p w:rsidR="00E65B1B" w:rsidRPr="00CB31D0"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E65B1B" w:rsidRPr="00CB31D0" w:rsidRDefault="00675B3A" w:rsidP="001B4912">
            <w:pPr>
              <w:keepNext/>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Third/fourth quarters</w:t>
            </w:r>
          </w:p>
        </w:tc>
        <w:tc>
          <w:tcPr>
            <w:tcW w:w="6184" w:type="dxa"/>
            <w:shd w:val="clear" w:color="auto" w:fill="auto"/>
            <w:vAlign w:val="center"/>
          </w:tcPr>
          <w:p w:rsidR="00E65B1B" w:rsidRPr="00CB31D0" w:rsidRDefault="00E65B1B" w:rsidP="00637048">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The </w:t>
            </w:r>
            <w:r w:rsidR="0095189F" w:rsidRPr="00CB31D0">
              <w:rPr>
                <w:rFonts w:ascii="Times New Roman" w:eastAsia="SimSun" w:hAnsi="Times New Roman"/>
                <w:sz w:val="19"/>
                <w:szCs w:val="19"/>
                <w:lang w:eastAsia="zh-CN"/>
              </w:rPr>
              <w:t>r</w:t>
            </w:r>
            <w:r w:rsidRPr="00CB31D0">
              <w:rPr>
                <w:rFonts w:ascii="Times New Roman" w:eastAsia="SimSun" w:hAnsi="Times New Roman"/>
                <w:sz w:val="19"/>
                <w:szCs w:val="19"/>
                <w:lang w:eastAsia="zh-CN"/>
              </w:rPr>
              <w:t xml:space="preserve">eport co-chairs, </w:t>
            </w:r>
            <w:r w:rsidR="000F0B1E" w:rsidRPr="00CB31D0">
              <w:rPr>
                <w:rFonts w:ascii="Times New Roman" w:eastAsia="SimSun" w:hAnsi="Times New Roman"/>
                <w:sz w:val="19"/>
                <w:szCs w:val="19"/>
                <w:lang w:eastAsia="zh-CN"/>
              </w:rPr>
              <w:t>coordinating lead authors</w:t>
            </w:r>
            <w:r w:rsidRPr="00CB31D0">
              <w:rPr>
                <w:rFonts w:ascii="Times New Roman" w:eastAsia="SimSun" w:hAnsi="Times New Roman"/>
                <w:sz w:val="19"/>
                <w:szCs w:val="19"/>
                <w:lang w:eastAsia="zh-CN"/>
              </w:rPr>
              <w:t xml:space="preserve"> and </w:t>
            </w:r>
            <w:r w:rsidR="000F0B1E" w:rsidRPr="00CB31D0">
              <w:rPr>
                <w:rFonts w:ascii="Times New Roman" w:eastAsia="SimSun" w:hAnsi="Times New Roman"/>
                <w:sz w:val="19"/>
                <w:szCs w:val="19"/>
                <w:lang w:eastAsia="zh-CN"/>
              </w:rPr>
              <w:t>lead authors</w:t>
            </w:r>
            <w:r w:rsidRPr="00CB31D0">
              <w:rPr>
                <w:rFonts w:ascii="Times New Roman" w:eastAsia="SimSun" w:hAnsi="Times New Roman"/>
                <w:sz w:val="19"/>
                <w:szCs w:val="19"/>
                <w:lang w:eastAsia="zh-CN"/>
              </w:rPr>
              <w:t xml:space="preserve"> prepare the final draft report and the final draft </w:t>
            </w:r>
            <w:r w:rsidR="0095189F" w:rsidRPr="00CB31D0">
              <w:rPr>
                <w:rFonts w:ascii="Times New Roman" w:eastAsia="SimSun" w:hAnsi="Times New Roman"/>
                <w:sz w:val="19"/>
                <w:szCs w:val="19"/>
                <w:lang w:eastAsia="zh-CN"/>
              </w:rPr>
              <w:t xml:space="preserve">summary </w:t>
            </w:r>
            <w:r w:rsidR="00842585" w:rsidRPr="00CB31D0">
              <w:rPr>
                <w:rFonts w:ascii="Times New Roman" w:eastAsia="SimSun" w:hAnsi="Times New Roman"/>
                <w:sz w:val="19"/>
                <w:szCs w:val="19"/>
                <w:lang w:eastAsia="zh-CN"/>
              </w:rPr>
              <w:t>for</w:t>
            </w:r>
            <w:r w:rsidR="0095189F" w:rsidRPr="00CB31D0">
              <w:rPr>
                <w:rFonts w:ascii="Times New Roman" w:eastAsia="SimSun" w:hAnsi="Times New Roman"/>
                <w:sz w:val="19"/>
                <w:szCs w:val="19"/>
                <w:lang w:eastAsia="zh-CN"/>
              </w:rPr>
              <w:t xml:space="preserve"> policymakers </w:t>
            </w:r>
            <w:r w:rsidRPr="00CB31D0">
              <w:rPr>
                <w:rFonts w:ascii="Times New Roman" w:eastAsia="SimSun" w:hAnsi="Times New Roman"/>
                <w:sz w:val="19"/>
                <w:szCs w:val="19"/>
                <w:lang w:eastAsia="zh-CN"/>
              </w:rPr>
              <w:t xml:space="preserve">under the guidance of </w:t>
            </w:r>
            <w:r w:rsidR="000F0B1E" w:rsidRPr="00CB31D0">
              <w:rPr>
                <w:rFonts w:ascii="Times New Roman" w:eastAsia="SimSun" w:hAnsi="Times New Roman"/>
                <w:sz w:val="19"/>
                <w:szCs w:val="19"/>
                <w:lang w:eastAsia="zh-CN"/>
              </w:rPr>
              <w:t>the review editors</w:t>
            </w:r>
            <w:r w:rsidRPr="00CB31D0">
              <w:rPr>
                <w:rFonts w:ascii="Times New Roman" w:eastAsia="SimSun" w:hAnsi="Times New Roman"/>
                <w:sz w:val="19"/>
                <w:szCs w:val="19"/>
                <w:lang w:eastAsia="zh-CN"/>
              </w:rPr>
              <w:t xml:space="preserve"> and </w:t>
            </w:r>
            <w:r w:rsidR="0095189F" w:rsidRPr="00CB31D0">
              <w:rPr>
                <w:rFonts w:ascii="Times New Roman" w:eastAsia="SimSun" w:hAnsi="Times New Roman"/>
                <w:sz w:val="19"/>
                <w:szCs w:val="19"/>
                <w:lang w:eastAsia="zh-CN"/>
              </w:rPr>
              <w:t xml:space="preserve">the Panel </w:t>
            </w:r>
            <w:r w:rsidRPr="00CB31D0">
              <w:rPr>
                <w:rFonts w:ascii="Times New Roman" w:eastAsia="SimSun" w:hAnsi="Times New Roman"/>
                <w:sz w:val="19"/>
                <w:szCs w:val="19"/>
                <w:lang w:eastAsia="zh-CN"/>
              </w:rPr>
              <w:t>during September and October 2015 (</w:t>
            </w:r>
            <w:r w:rsidR="007306C2" w:rsidRPr="00CB31D0">
              <w:rPr>
                <w:rFonts w:ascii="Times New Roman" w:eastAsia="SimSun" w:hAnsi="Times New Roman"/>
                <w:sz w:val="19"/>
                <w:szCs w:val="19"/>
                <w:lang w:eastAsia="zh-CN"/>
              </w:rPr>
              <w:t xml:space="preserve">2 </w:t>
            </w:r>
            <w:r w:rsidRPr="00CB31D0">
              <w:rPr>
                <w:rFonts w:ascii="Times New Roman" w:eastAsia="SimSun" w:hAnsi="Times New Roman"/>
                <w:sz w:val="19"/>
                <w:szCs w:val="19"/>
                <w:lang w:eastAsia="zh-CN"/>
              </w:rPr>
              <w:t xml:space="preserve">months). A third author meeting </w:t>
            </w:r>
            <w:r w:rsidR="00B94CAD" w:rsidRPr="00CB31D0">
              <w:rPr>
                <w:rFonts w:ascii="Times New Roman" w:eastAsia="SimSun" w:hAnsi="Times New Roman"/>
                <w:sz w:val="19"/>
                <w:szCs w:val="19"/>
                <w:lang w:eastAsia="zh-CN"/>
              </w:rPr>
              <w:t>is</w:t>
            </w:r>
            <w:r w:rsidRPr="00CB31D0">
              <w:rPr>
                <w:rFonts w:ascii="Times New Roman" w:eastAsia="SimSun" w:hAnsi="Times New Roman"/>
                <w:sz w:val="19"/>
                <w:szCs w:val="19"/>
                <w:lang w:eastAsia="zh-CN"/>
              </w:rPr>
              <w:t xml:space="preserve"> held in October 2015</w:t>
            </w:r>
          </w:p>
        </w:tc>
      </w:tr>
      <w:tr w:rsidR="00E65B1B" w:rsidRPr="00CB31D0" w:rsidTr="00437265">
        <w:trPr>
          <w:trHeight w:val="479"/>
        </w:trPr>
        <w:tc>
          <w:tcPr>
            <w:tcW w:w="723" w:type="dxa"/>
            <w:vMerge/>
            <w:shd w:val="clear" w:color="auto" w:fill="auto"/>
            <w:vAlign w:val="center"/>
          </w:tcPr>
          <w:p w:rsidR="00E65B1B" w:rsidRPr="00CB31D0"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shd w:val="clear" w:color="auto" w:fill="auto"/>
            <w:vAlign w:val="center"/>
          </w:tcPr>
          <w:p w:rsidR="00E65B1B" w:rsidRPr="00CB31D0" w:rsidRDefault="00675B3A" w:rsidP="00637048">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Fourth quarter</w:t>
            </w:r>
          </w:p>
        </w:tc>
        <w:tc>
          <w:tcPr>
            <w:tcW w:w="6184" w:type="dxa"/>
            <w:shd w:val="clear" w:color="auto" w:fill="auto"/>
            <w:vAlign w:val="center"/>
          </w:tcPr>
          <w:p w:rsidR="00E65B1B" w:rsidRPr="00CB31D0" w:rsidRDefault="00E65B1B" w:rsidP="00483894">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The </w:t>
            </w:r>
            <w:r w:rsidR="0095189F" w:rsidRPr="00CB31D0">
              <w:rPr>
                <w:rFonts w:ascii="Times New Roman" w:eastAsia="SimSun" w:hAnsi="Times New Roman"/>
                <w:sz w:val="19"/>
                <w:szCs w:val="19"/>
                <w:lang w:eastAsia="zh-CN"/>
              </w:rPr>
              <w:t>s</w:t>
            </w:r>
            <w:r w:rsidRPr="00CB31D0">
              <w:rPr>
                <w:rFonts w:ascii="Times New Roman" w:eastAsia="SimSun" w:hAnsi="Times New Roman"/>
                <w:sz w:val="19"/>
                <w:szCs w:val="19"/>
                <w:lang w:eastAsia="zh-CN"/>
              </w:rPr>
              <w:t xml:space="preserve">ummary for </w:t>
            </w:r>
            <w:r w:rsidR="0095189F" w:rsidRPr="00CB31D0">
              <w:rPr>
                <w:rFonts w:ascii="Times New Roman" w:eastAsia="SimSun" w:hAnsi="Times New Roman"/>
                <w:sz w:val="19"/>
                <w:szCs w:val="19"/>
                <w:lang w:eastAsia="zh-CN"/>
              </w:rPr>
              <w:t>p</w:t>
            </w:r>
            <w:r w:rsidRPr="00CB31D0">
              <w:rPr>
                <w:rFonts w:ascii="Times New Roman" w:eastAsia="SimSun" w:hAnsi="Times New Roman"/>
                <w:sz w:val="19"/>
                <w:szCs w:val="19"/>
                <w:lang w:eastAsia="zh-CN"/>
              </w:rPr>
              <w:t xml:space="preserve">olicymakers is translated </w:t>
            </w:r>
            <w:r w:rsidR="00486557" w:rsidRPr="00CB31D0">
              <w:rPr>
                <w:rFonts w:ascii="Times New Roman" w:eastAsia="SimSun" w:hAnsi="Times New Roman"/>
                <w:sz w:val="19"/>
                <w:szCs w:val="19"/>
                <w:lang w:eastAsia="zh-CN"/>
              </w:rPr>
              <w:t>into all the official languages of the</w:t>
            </w:r>
            <w:r w:rsidR="0095189F"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U</w:t>
            </w:r>
            <w:r w:rsidR="0095189F" w:rsidRPr="00CB31D0">
              <w:rPr>
                <w:rFonts w:ascii="Times New Roman" w:eastAsia="SimSun" w:hAnsi="Times New Roman"/>
                <w:sz w:val="19"/>
                <w:szCs w:val="19"/>
                <w:lang w:eastAsia="zh-CN"/>
              </w:rPr>
              <w:t>nited</w:t>
            </w:r>
            <w:r w:rsidR="00A53029"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N</w:t>
            </w:r>
            <w:r w:rsidR="0095189F" w:rsidRPr="00CB31D0">
              <w:rPr>
                <w:rFonts w:ascii="Times New Roman" w:eastAsia="SimSun" w:hAnsi="Times New Roman"/>
                <w:sz w:val="19"/>
                <w:szCs w:val="19"/>
                <w:lang w:eastAsia="zh-CN"/>
              </w:rPr>
              <w:t>ations</w:t>
            </w:r>
            <w:r w:rsidRPr="00CB31D0">
              <w:rPr>
                <w:rFonts w:ascii="Times New Roman" w:eastAsia="SimSun" w:hAnsi="Times New Roman"/>
                <w:sz w:val="19"/>
                <w:szCs w:val="19"/>
                <w:lang w:eastAsia="zh-CN"/>
              </w:rPr>
              <w:t xml:space="preserve"> languages by mid</w:t>
            </w:r>
            <w:r w:rsidR="0095189F"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December 2015</w:t>
            </w:r>
            <w:r w:rsidR="00486557"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 xml:space="preserve"> </w:t>
            </w:r>
            <w:r w:rsidR="0095189F" w:rsidRPr="00CB31D0">
              <w:rPr>
                <w:rFonts w:ascii="Times New Roman" w:eastAsia="SimSun" w:hAnsi="Times New Roman"/>
                <w:sz w:val="19"/>
                <w:szCs w:val="19"/>
                <w:lang w:eastAsia="zh-CN"/>
              </w:rPr>
              <w:t xml:space="preserve">at the latest </w:t>
            </w:r>
            <w:r w:rsidRPr="00CB31D0">
              <w:rPr>
                <w:rFonts w:ascii="Times New Roman" w:eastAsia="SimSun" w:hAnsi="Times New Roman"/>
                <w:sz w:val="19"/>
                <w:szCs w:val="19"/>
                <w:lang w:eastAsia="zh-CN"/>
              </w:rPr>
              <w:t>(1.5</w:t>
            </w:r>
            <w:r w:rsidR="000F0B1E"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months)</w:t>
            </w:r>
          </w:p>
        </w:tc>
      </w:tr>
      <w:tr w:rsidR="00E65B1B" w:rsidRPr="00CB31D0" w:rsidTr="00437265">
        <w:trPr>
          <w:trHeight w:val="242"/>
        </w:trPr>
        <w:tc>
          <w:tcPr>
            <w:tcW w:w="723" w:type="dxa"/>
            <w:vMerge w:val="restart"/>
            <w:tcBorders>
              <w:bottom w:val="single" w:sz="4" w:space="0" w:color="auto"/>
            </w:tcBorders>
            <w:shd w:val="clear" w:color="auto" w:fill="auto"/>
            <w:vAlign w:val="center"/>
          </w:tcPr>
          <w:p w:rsidR="00E65B1B" w:rsidRPr="00CB31D0"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r w:rsidRPr="00CB31D0">
              <w:rPr>
                <w:rFonts w:ascii="Times New Roman" w:eastAsia="SimSun" w:hAnsi="Times New Roman"/>
                <w:sz w:val="19"/>
                <w:szCs w:val="19"/>
                <w:lang w:eastAsia="zh-CN"/>
              </w:rPr>
              <w:t>2016</w:t>
            </w:r>
          </w:p>
        </w:tc>
        <w:tc>
          <w:tcPr>
            <w:tcW w:w="1421" w:type="dxa"/>
            <w:tcBorders>
              <w:bottom w:val="single" w:sz="4" w:space="0" w:color="auto"/>
            </w:tcBorders>
            <w:shd w:val="clear" w:color="auto" w:fill="auto"/>
            <w:vAlign w:val="center"/>
          </w:tcPr>
          <w:p w:rsidR="00E65B1B" w:rsidRPr="00CB31D0" w:rsidRDefault="00675B3A"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First quarter</w:t>
            </w:r>
          </w:p>
        </w:tc>
        <w:tc>
          <w:tcPr>
            <w:tcW w:w="6184" w:type="dxa"/>
            <w:tcBorders>
              <w:bottom w:val="single" w:sz="4" w:space="0" w:color="auto"/>
            </w:tcBorders>
            <w:shd w:val="clear" w:color="auto" w:fill="auto"/>
            <w:vAlign w:val="center"/>
          </w:tcPr>
          <w:p w:rsidR="00E65B1B" w:rsidRPr="00CB31D0" w:rsidRDefault="00E65B1B" w:rsidP="00486557">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The final draft report and </w:t>
            </w:r>
            <w:r w:rsidR="005926C2" w:rsidRPr="00CB31D0">
              <w:rPr>
                <w:rFonts w:ascii="Times New Roman" w:eastAsia="SimSun" w:hAnsi="Times New Roman"/>
                <w:sz w:val="19"/>
                <w:szCs w:val="19"/>
                <w:lang w:eastAsia="zh-CN"/>
              </w:rPr>
              <w:t xml:space="preserve">summary </w:t>
            </w:r>
            <w:r w:rsidR="00F36523" w:rsidRPr="00CB31D0">
              <w:rPr>
                <w:rFonts w:ascii="Times New Roman" w:eastAsia="SimSun" w:hAnsi="Times New Roman"/>
                <w:sz w:val="19"/>
                <w:szCs w:val="19"/>
                <w:lang w:eastAsia="zh-CN"/>
              </w:rPr>
              <w:t xml:space="preserve">for </w:t>
            </w:r>
            <w:r w:rsidR="005926C2" w:rsidRPr="00CB31D0">
              <w:rPr>
                <w:rFonts w:ascii="Times New Roman" w:eastAsia="SimSun" w:hAnsi="Times New Roman"/>
                <w:sz w:val="19"/>
                <w:szCs w:val="19"/>
                <w:lang w:eastAsia="zh-CN"/>
              </w:rPr>
              <w:t xml:space="preserve">policymakers </w:t>
            </w:r>
            <w:r w:rsidRPr="00CB31D0">
              <w:rPr>
                <w:rFonts w:ascii="Times New Roman" w:eastAsia="SimSun" w:hAnsi="Times New Roman"/>
                <w:sz w:val="19"/>
                <w:szCs w:val="19"/>
                <w:lang w:eastAsia="zh-CN"/>
              </w:rPr>
              <w:t>are sent to Governments and other stakeholders for final review during January and February 2016 (1.5</w:t>
            </w:r>
            <w:r w:rsidR="00C6370C"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2</w:t>
            </w:r>
            <w:r w:rsidR="00A53029"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 xml:space="preserve">months). Written comments from Governments on the draft </w:t>
            </w:r>
            <w:r w:rsidR="005926C2" w:rsidRPr="00CB31D0">
              <w:rPr>
                <w:rFonts w:ascii="Times New Roman" w:eastAsia="SimSun" w:hAnsi="Times New Roman"/>
                <w:sz w:val="19"/>
                <w:szCs w:val="19"/>
                <w:lang w:eastAsia="zh-CN"/>
              </w:rPr>
              <w:t xml:space="preserve">summary </w:t>
            </w:r>
            <w:r w:rsidR="00B94CAD" w:rsidRPr="00CB31D0">
              <w:rPr>
                <w:rFonts w:ascii="Times New Roman" w:eastAsia="SimSun" w:hAnsi="Times New Roman"/>
                <w:sz w:val="19"/>
                <w:szCs w:val="19"/>
                <w:lang w:eastAsia="zh-CN"/>
              </w:rPr>
              <w:t>for</w:t>
            </w:r>
            <w:r w:rsidR="005926C2" w:rsidRPr="00CB31D0">
              <w:rPr>
                <w:rFonts w:ascii="Times New Roman" w:eastAsia="SimSun" w:hAnsi="Times New Roman"/>
                <w:sz w:val="19"/>
                <w:szCs w:val="19"/>
                <w:lang w:eastAsia="zh-CN"/>
              </w:rPr>
              <w:t xml:space="preserve"> policymakers </w:t>
            </w:r>
            <w:r w:rsidRPr="00CB31D0">
              <w:rPr>
                <w:rFonts w:ascii="Times New Roman" w:eastAsia="SimSun" w:hAnsi="Times New Roman"/>
                <w:sz w:val="19"/>
                <w:szCs w:val="19"/>
                <w:lang w:eastAsia="zh-CN"/>
              </w:rPr>
              <w:t>are strongly encouraged</w:t>
            </w:r>
            <w:r w:rsidR="00CC4547" w:rsidRPr="00CB31D0">
              <w:rPr>
                <w:rFonts w:ascii="Times New Roman" w:eastAsia="SimSun" w:hAnsi="Times New Roman"/>
                <w:sz w:val="19"/>
                <w:szCs w:val="19"/>
                <w:lang w:eastAsia="zh-CN"/>
              </w:rPr>
              <w:t xml:space="preserve">. Such comments must be submitted </w:t>
            </w:r>
            <w:r w:rsidRPr="00CB31D0">
              <w:rPr>
                <w:rFonts w:ascii="Times New Roman" w:eastAsia="SimSun" w:hAnsi="Times New Roman"/>
                <w:sz w:val="19"/>
                <w:szCs w:val="19"/>
                <w:lang w:eastAsia="zh-CN"/>
              </w:rPr>
              <w:t xml:space="preserve">to the secretariat one week prior to the </w:t>
            </w:r>
            <w:r w:rsidR="00CC4547" w:rsidRPr="00CB31D0">
              <w:rPr>
                <w:rFonts w:ascii="Times New Roman" w:eastAsia="SimSun" w:hAnsi="Times New Roman"/>
                <w:sz w:val="19"/>
                <w:szCs w:val="19"/>
                <w:lang w:eastAsia="zh-CN"/>
              </w:rPr>
              <w:t xml:space="preserve">fourth session of the </w:t>
            </w:r>
            <w:r w:rsidRPr="00CB31D0">
              <w:rPr>
                <w:rFonts w:ascii="Times New Roman" w:eastAsia="SimSun" w:hAnsi="Times New Roman"/>
                <w:sz w:val="19"/>
                <w:szCs w:val="19"/>
                <w:lang w:eastAsia="zh-CN"/>
              </w:rPr>
              <w:t>Plenary</w:t>
            </w:r>
          </w:p>
        </w:tc>
      </w:tr>
      <w:tr w:rsidR="00E65B1B" w:rsidRPr="00CB31D0" w:rsidTr="00437265">
        <w:trPr>
          <w:trHeight w:val="242"/>
        </w:trPr>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5B1B" w:rsidRPr="00CB31D0"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19"/>
                <w:szCs w:val="19"/>
                <w:lang w:eastAsia="zh-CN"/>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65B1B" w:rsidRPr="00CB31D0" w:rsidRDefault="00675B3A" w:rsidP="001B4912">
            <w:pPr>
              <w:keepLines/>
              <w:tabs>
                <w:tab w:val="left" w:pos="426"/>
                <w:tab w:val="num" w:pos="1353"/>
              </w:tabs>
              <w:autoSpaceDE w:val="0"/>
              <w:autoSpaceDN w:val="0"/>
              <w:adjustRightInd w:val="0"/>
              <w:spacing w:after="120"/>
              <w:rPr>
                <w:rFonts w:ascii="Times New Roman" w:eastAsia="SimSun" w:hAnsi="Times New Roman"/>
                <w:sz w:val="19"/>
                <w:szCs w:val="19"/>
                <w:lang w:eastAsia="zh-CN"/>
              </w:rPr>
            </w:pPr>
            <w:r w:rsidRPr="00CB31D0">
              <w:rPr>
                <w:rFonts w:ascii="Times New Roman" w:eastAsia="SimSun" w:hAnsi="Times New Roman"/>
                <w:sz w:val="19"/>
                <w:szCs w:val="19"/>
                <w:lang w:eastAsia="zh-CN"/>
              </w:rPr>
              <w:t>First quarter</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tcPr>
          <w:p w:rsidR="00E65B1B" w:rsidRPr="00CB31D0" w:rsidRDefault="00CC4547" w:rsidP="00B94CAD">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The </w:t>
            </w:r>
            <w:r w:rsidR="00E65B1B" w:rsidRPr="00CB31D0">
              <w:rPr>
                <w:rFonts w:ascii="Times New Roman" w:eastAsia="SimSun" w:hAnsi="Times New Roman"/>
                <w:sz w:val="19"/>
                <w:szCs w:val="19"/>
                <w:lang w:eastAsia="zh-CN"/>
              </w:rPr>
              <w:t xml:space="preserve">Plenary reviews and accepts the report and reviews and approves the </w:t>
            </w:r>
            <w:r w:rsidRPr="00CB31D0">
              <w:rPr>
                <w:rFonts w:ascii="Times New Roman" w:eastAsia="SimSun" w:hAnsi="Times New Roman"/>
                <w:sz w:val="19"/>
                <w:szCs w:val="19"/>
                <w:lang w:eastAsia="zh-CN"/>
              </w:rPr>
              <w:t xml:space="preserve">summary </w:t>
            </w:r>
            <w:r w:rsidR="00E40E47" w:rsidRPr="00CB31D0">
              <w:rPr>
                <w:rFonts w:ascii="Times New Roman" w:eastAsia="SimSun" w:hAnsi="Times New Roman"/>
                <w:sz w:val="19"/>
                <w:szCs w:val="19"/>
                <w:lang w:eastAsia="zh-CN"/>
              </w:rPr>
              <w:t>for</w:t>
            </w:r>
            <w:r w:rsidRPr="00CB31D0">
              <w:rPr>
                <w:rFonts w:ascii="Times New Roman" w:eastAsia="SimSun" w:hAnsi="Times New Roman"/>
                <w:sz w:val="19"/>
                <w:szCs w:val="19"/>
                <w:lang w:eastAsia="zh-CN"/>
              </w:rPr>
              <w:t xml:space="preserve"> policymakers at its fourth session, i</w:t>
            </w:r>
            <w:r w:rsidR="00E65B1B" w:rsidRPr="00CB31D0">
              <w:rPr>
                <w:rFonts w:ascii="Times New Roman" w:eastAsia="SimSun" w:hAnsi="Times New Roman"/>
                <w:sz w:val="19"/>
                <w:szCs w:val="19"/>
                <w:lang w:eastAsia="zh-CN"/>
              </w:rPr>
              <w:t>n March 2016</w:t>
            </w:r>
          </w:p>
        </w:tc>
      </w:tr>
    </w:tbl>
    <w:p w:rsidR="00E65B1B" w:rsidRPr="00CB31D0" w:rsidRDefault="00D11D69" w:rsidP="00762016">
      <w:pPr>
        <w:pStyle w:val="CH1"/>
        <w:rPr>
          <w:lang w:val="en-GB"/>
        </w:rPr>
      </w:pPr>
      <w:r w:rsidRPr="00CB31D0">
        <w:rPr>
          <w:lang w:val="en-GB"/>
        </w:rPr>
        <w:tab/>
      </w:r>
      <w:r w:rsidR="00CC5BFB" w:rsidRPr="00CB31D0">
        <w:rPr>
          <w:lang w:val="en-GB"/>
        </w:rPr>
        <w:t>V</w:t>
      </w:r>
      <w:r w:rsidR="00171546" w:rsidRPr="00CB31D0">
        <w:rPr>
          <w:lang w:val="en-GB"/>
        </w:rPr>
        <w:t>.</w:t>
      </w:r>
      <w:r w:rsidR="00E65B1B" w:rsidRPr="00CB31D0">
        <w:rPr>
          <w:lang w:val="en-GB"/>
        </w:rPr>
        <w:tab/>
        <w:t>Cost estimate</w:t>
      </w:r>
    </w:p>
    <w:p w:rsidR="000249A3" w:rsidRPr="00CB31D0" w:rsidRDefault="000249A3" w:rsidP="00762016">
      <w:pPr>
        <w:pStyle w:val="Normalnumber"/>
        <w:keepNext/>
        <w:keepLines/>
        <w:widowControl w:val="0"/>
        <w:rPr>
          <w:sz w:val="20"/>
          <w:szCs w:val="20"/>
          <w:lang w:val="en-GB"/>
        </w:rPr>
      </w:pPr>
      <w:r w:rsidRPr="00CB31D0">
        <w:rPr>
          <w:sz w:val="20"/>
          <w:szCs w:val="20"/>
          <w:lang w:val="en-GB"/>
        </w:rPr>
        <w:t>The table below shows the estimated cost</w:t>
      </w:r>
      <w:r w:rsidR="00310C00" w:rsidRPr="00CB31D0">
        <w:rPr>
          <w:sz w:val="20"/>
          <w:szCs w:val="20"/>
          <w:lang w:val="en-GB"/>
        </w:rPr>
        <w:t xml:space="preserve"> </w:t>
      </w:r>
      <w:r w:rsidRPr="00CB31D0">
        <w:rPr>
          <w:sz w:val="20"/>
          <w:szCs w:val="20"/>
          <w:lang w:val="en-GB"/>
        </w:rPr>
        <w:t xml:space="preserve">of conducting the assessment and preparing the </w:t>
      </w:r>
      <w:r w:rsidR="00C861BD" w:rsidRPr="00CB31D0">
        <w:rPr>
          <w:sz w:val="20"/>
          <w:szCs w:val="20"/>
          <w:lang w:val="en-GB"/>
        </w:rPr>
        <w:t xml:space="preserve">thematic </w:t>
      </w:r>
      <w:r w:rsidRPr="00CB31D0">
        <w:rPr>
          <w:sz w:val="20"/>
          <w:szCs w:val="20"/>
          <w:lang w:val="en-GB"/>
        </w:rPr>
        <w:t>assessment report.</w:t>
      </w:r>
    </w:p>
    <w:p w:rsidR="00310C00" w:rsidRPr="00CB31D0" w:rsidRDefault="00310C00" w:rsidP="00437265">
      <w:pPr>
        <w:pStyle w:val="Normalnumber"/>
        <w:keepNext/>
        <w:keepLines/>
        <w:widowControl w:val="0"/>
        <w:numPr>
          <w:ilvl w:val="0"/>
          <w:numId w:val="0"/>
        </w:numPr>
        <w:ind w:left="1247"/>
        <w:rPr>
          <w:sz w:val="18"/>
          <w:szCs w:val="18"/>
          <w:lang w:val="en-GB"/>
        </w:rPr>
      </w:pPr>
      <w:r w:rsidRPr="00CB31D0">
        <w:rPr>
          <w:sz w:val="18"/>
          <w:szCs w:val="18"/>
          <w:lang w:val="en-GB"/>
        </w:rPr>
        <w:t>(United States dollars)</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3827"/>
        <w:gridCol w:w="991"/>
        <w:tblGridChange w:id="2">
          <w:tblGrid>
            <w:gridCol w:w="709"/>
            <w:gridCol w:w="2836"/>
            <w:gridCol w:w="3827"/>
            <w:gridCol w:w="991"/>
          </w:tblGrid>
        </w:tblGridChange>
      </w:tblGrid>
      <w:tr w:rsidR="00E65B1B" w:rsidRPr="00CB31D0" w:rsidTr="00437265">
        <w:tc>
          <w:tcPr>
            <w:tcW w:w="709"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i/>
                <w:sz w:val="19"/>
                <w:szCs w:val="19"/>
                <w:lang w:eastAsia="zh-CN"/>
              </w:rPr>
            </w:pPr>
            <w:r w:rsidRPr="00CB31D0">
              <w:rPr>
                <w:rFonts w:ascii="Times New Roman" w:eastAsia="SimSun" w:hAnsi="Times New Roman"/>
                <w:i/>
                <w:sz w:val="19"/>
                <w:szCs w:val="19"/>
                <w:lang w:eastAsia="zh-CN"/>
              </w:rPr>
              <w:t>Year</w:t>
            </w:r>
          </w:p>
        </w:tc>
        <w:tc>
          <w:tcPr>
            <w:tcW w:w="2836"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i/>
                <w:sz w:val="19"/>
                <w:szCs w:val="19"/>
                <w:lang w:eastAsia="zh-CN"/>
              </w:rPr>
            </w:pPr>
            <w:r w:rsidRPr="00CB31D0">
              <w:rPr>
                <w:rFonts w:ascii="Times New Roman" w:eastAsia="SimSun" w:hAnsi="Times New Roman"/>
                <w:i/>
                <w:sz w:val="19"/>
                <w:szCs w:val="19"/>
                <w:lang w:eastAsia="zh-CN"/>
              </w:rPr>
              <w:t xml:space="preserve">Cost </w:t>
            </w:r>
            <w:r w:rsidR="000249A3" w:rsidRPr="00CB31D0">
              <w:rPr>
                <w:rFonts w:ascii="Times New Roman" w:eastAsia="SimSun" w:hAnsi="Times New Roman"/>
                <w:i/>
                <w:sz w:val="19"/>
                <w:szCs w:val="19"/>
                <w:lang w:eastAsia="zh-CN"/>
              </w:rPr>
              <w:t>i</w:t>
            </w:r>
            <w:r w:rsidRPr="00CB31D0">
              <w:rPr>
                <w:rFonts w:ascii="Times New Roman" w:eastAsia="SimSun" w:hAnsi="Times New Roman"/>
                <w:i/>
                <w:sz w:val="19"/>
                <w:szCs w:val="19"/>
                <w:lang w:eastAsia="zh-CN"/>
              </w:rPr>
              <w:t>tem</w:t>
            </w:r>
          </w:p>
        </w:tc>
        <w:tc>
          <w:tcPr>
            <w:tcW w:w="3827"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i/>
                <w:sz w:val="19"/>
                <w:szCs w:val="19"/>
                <w:lang w:eastAsia="zh-CN"/>
              </w:rPr>
            </w:pPr>
            <w:r w:rsidRPr="00CB31D0">
              <w:rPr>
                <w:rFonts w:ascii="Times New Roman" w:eastAsia="SimSun" w:hAnsi="Times New Roman"/>
                <w:i/>
                <w:sz w:val="19"/>
                <w:szCs w:val="19"/>
                <w:lang w:eastAsia="zh-CN"/>
              </w:rPr>
              <w:t>Assumptions</w:t>
            </w:r>
          </w:p>
        </w:tc>
        <w:tc>
          <w:tcPr>
            <w:tcW w:w="991"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jc w:val="right"/>
              <w:rPr>
                <w:rFonts w:ascii="Times New Roman" w:eastAsia="SimSun" w:hAnsi="Times New Roman"/>
                <w:i/>
                <w:sz w:val="19"/>
                <w:szCs w:val="19"/>
                <w:lang w:eastAsia="zh-CN"/>
              </w:rPr>
            </w:pPr>
            <w:r w:rsidRPr="00CB31D0">
              <w:rPr>
                <w:rFonts w:ascii="Times New Roman" w:eastAsia="SimSun" w:hAnsi="Times New Roman"/>
                <w:i/>
                <w:sz w:val="19"/>
                <w:szCs w:val="19"/>
                <w:lang w:eastAsia="zh-CN"/>
              </w:rPr>
              <w:t>Cost</w:t>
            </w:r>
          </w:p>
        </w:tc>
      </w:tr>
      <w:tr w:rsidR="00E65B1B" w:rsidRPr="00CB31D0" w:rsidTr="00437265">
        <w:tc>
          <w:tcPr>
            <w:tcW w:w="709" w:type="dxa"/>
            <w:vMerge w:val="restart"/>
            <w:vAlign w:val="center"/>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2014</w:t>
            </w:r>
          </w:p>
        </w:tc>
        <w:tc>
          <w:tcPr>
            <w:tcW w:w="2836" w:type="dxa"/>
            <w:vMerge w:val="restart"/>
            <w:vAlign w:val="center"/>
          </w:tcPr>
          <w:p w:rsidR="00E65B1B" w:rsidRPr="00CB31D0" w:rsidRDefault="00E65B1B" w:rsidP="00483894">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Scoping meeting (40 participants: </w:t>
            </w:r>
            <w:r w:rsidR="000F0B1E" w:rsidRPr="00CB31D0">
              <w:rPr>
                <w:rFonts w:ascii="Times New Roman" w:eastAsia="SimSun" w:hAnsi="Times New Roman"/>
                <w:sz w:val="19"/>
                <w:szCs w:val="19"/>
                <w:lang w:eastAsia="zh-CN"/>
              </w:rPr>
              <w:t>Multidisciplinary Expert Panel</w:t>
            </w:r>
            <w:r w:rsidRPr="00CB31D0">
              <w:rPr>
                <w:rFonts w:ascii="Times New Roman" w:eastAsia="SimSun" w:hAnsi="Times New Roman"/>
                <w:sz w:val="19"/>
                <w:szCs w:val="19"/>
                <w:lang w:eastAsia="zh-CN"/>
              </w:rPr>
              <w:t>/Bureau</w:t>
            </w:r>
            <w:r w:rsidR="003F47FF" w:rsidRPr="00CB31D0">
              <w:rPr>
                <w:rFonts w:ascii="Times New Roman" w:eastAsia="SimSun" w:hAnsi="Times New Roman"/>
                <w:sz w:val="19"/>
                <w:szCs w:val="19"/>
                <w:lang w:eastAsia="zh-CN"/>
              </w:rPr>
              <w:t xml:space="preserve"> members</w:t>
            </w:r>
            <w:r w:rsidR="00CC0098"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 xml:space="preserve"> experts)</w:t>
            </w:r>
          </w:p>
        </w:tc>
        <w:tc>
          <w:tcPr>
            <w:tcW w:w="3827" w:type="dxa"/>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Meeting costs (1 week, 40 participants) (25</w:t>
            </w:r>
            <w:r w:rsidR="000249A3" w:rsidRPr="00CB31D0">
              <w:rPr>
                <w:rFonts w:ascii="Times New Roman" w:eastAsia="SimSun" w:hAnsi="Times New Roman"/>
                <w:sz w:val="19"/>
                <w:szCs w:val="19"/>
                <w:lang w:eastAsia="zh-CN"/>
              </w:rPr>
              <w:t xml:space="preserve"> per cent</w:t>
            </w:r>
            <w:r w:rsidRPr="00CB31D0">
              <w:rPr>
                <w:rFonts w:ascii="Times New Roman" w:eastAsia="SimSun" w:hAnsi="Times New Roman"/>
                <w:sz w:val="19"/>
                <w:szCs w:val="19"/>
                <w:lang w:eastAsia="zh-CN"/>
              </w:rPr>
              <w:t xml:space="preserve"> in</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kind)</w:t>
            </w:r>
          </w:p>
        </w:tc>
        <w:tc>
          <w:tcPr>
            <w:tcW w:w="991" w:type="dxa"/>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11</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250</w:t>
            </w:r>
          </w:p>
        </w:tc>
      </w:tr>
      <w:tr w:rsidR="00E65B1B" w:rsidRPr="00CB31D0" w:rsidTr="00437265">
        <w:trPr>
          <w:trHeight w:val="187"/>
        </w:trPr>
        <w:tc>
          <w:tcPr>
            <w:tcW w:w="709" w:type="dxa"/>
            <w:vMerge/>
            <w:vAlign w:val="center"/>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vMerge/>
            <w:vAlign w:val="center"/>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p>
        </w:tc>
        <w:tc>
          <w:tcPr>
            <w:tcW w:w="3827" w:type="dxa"/>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Travel and DSA (30 x </w:t>
            </w:r>
            <w:r w:rsidR="000249A3"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3</w:t>
            </w:r>
            <w:r w:rsidR="000249A3"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000)</w:t>
            </w:r>
          </w:p>
        </w:tc>
        <w:tc>
          <w:tcPr>
            <w:tcW w:w="991" w:type="dxa"/>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90</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000</w:t>
            </w:r>
          </w:p>
        </w:tc>
      </w:tr>
      <w:tr w:rsidR="00D80293" w:rsidRPr="00CB31D0" w:rsidTr="00D80293">
        <w:tc>
          <w:tcPr>
            <w:tcW w:w="709" w:type="dxa"/>
            <w:vMerge/>
            <w:vAlign w:val="center"/>
          </w:tcPr>
          <w:p w:rsidR="00D80293" w:rsidRPr="00CB31D0" w:rsidRDefault="00D80293"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vMerge w:val="restart"/>
            <w:vAlign w:val="center"/>
          </w:tcPr>
          <w:p w:rsidR="00D80293" w:rsidRPr="00CB31D0" w:rsidRDefault="00D80293" w:rsidP="00637048">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First author meeting (90 co</w:t>
            </w:r>
            <w:r w:rsidRPr="00CB31D0">
              <w:rPr>
                <w:rFonts w:ascii="Times New Roman" w:eastAsia="SimSun" w:hAnsi="Times New Roman"/>
                <w:sz w:val="19"/>
                <w:szCs w:val="19"/>
                <w:lang w:eastAsia="zh-CN"/>
              </w:rPr>
              <w:noBreakHyphen/>
              <w:t>chairs, coordinating lead authors and lead authors, plus 4 Panel/Bureau members, plus 1 technical support staff member)</w:t>
            </w:r>
          </w:p>
        </w:tc>
        <w:tc>
          <w:tcPr>
            <w:tcW w:w="3827" w:type="dxa"/>
          </w:tcPr>
          <w:p w:rsidR="00D80293" w:rsidRPr="00CB31D0" w:rsidRDefault="00D80293"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Meeting costs (1 week, 95 participants) (25 per cent in kind)</w:t>
            </w:r>
          </w:p>
        </w:tc>
        <w:tc>
          <w:tcPr>
            <w:tcW w:w="991" w:type="dxa"/>
          </w:tcPr>
          <w:p w:rsidR="00D80293" w:rsidRPr="00CB31D0" w:rsidRDefault="00D80293" w:rsidP="00762016">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18 750</w:t>
            </w:r>
          </w:p>
        </w:tc>
      </w:tr>
      <w:tr w:rsidR="00D80293" w:rsidRPr="00CB31D0" w:rsidTr="00C6370C">
        <w:trPr>
          <w:trHeight w:val="339"/>
        </w:trPr>
        <w:tc>
          <w:tcPr>
            <w:tcW w:w="709" w:type="dxa"/>
            <w:vMerge/>
            <w:vAlign w:val="center"/>
          </w:tcPr>
          <w:p w:rsidR="00D80293" w:rsidRPr="00CB31D0" w:rsidRDefault="00D80293"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vMerge/>
            <w:tcBorders>
              <w:bottom w:val="single" w:sz="4" w:space="0" w:color="auto"/>
            </w:tcBorders>
            <w:vAlign w:val="center"/>
          </w:tcPr>
          <w:p w:rsidR="00D80293" w:rsidRPr="00CB31D0" w:rsidRDefault="00D80293" w:rsidP="00D80293">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highlight w:val="cyan"/>
                <w:lang w:eastAsia="zh-CN"/>
              </w:rPr>
            </w:pPr>
          </w:p>
        </w:tc>
        <w:tc>
          <w:tcPr>
            <w:tcW w:w="3827" w:type="dxa"/>
            <w:tcBorders>
              <w:bottom w:val="single" w:sz="4" w:space="0" w:color="auto"/>
            </w:tcBorders>
          </w:tcPr>
          <w:p w:rsidR="00D80293" w:rsidRPr="00CB31D0" w:rsidRDefault="00D80293"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Travel and DSA (71 x $3,000)</w:t>
            </w:r>
          </w:p>
        </w:tc>
        <w:tc>
          <w:tcPr>
            <w:tcW w:w="991" w:type="dxa"/>
            <w:tcBorders>
              <w:bottom w:val="single" w:sz="4" w:space="0" w:color="auto"/>
            </w:tcBorders>
          </w:tcPr>
          <w:p w:rsidR="00D80293" w:rsidRPr="00CB31D0" w:rsidRDefault="00D80293" w:rsidP="00762016">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180 000</w:t>
            </w:r>
          </w:p>
        </w:tc>
      </w:tr>
      <w:tr w:rsidR="00E65B1B" w:rsidRPr="00CB31D0" w:rsidTr="00437265">
        <w:trPr>
          <w:trHeight w:val="361"/>
        </w:trPr>
        <w:tc>
          <w:tcPr>
            <w:tcW w:w="709" w:type="dxa"/>
            <w:vMerge/>
            <w:tcBorders>
              <w:bottom w:val="single" w:sz="4" w:space="0" w:color="auto"/>
            </w:tcBorders>
            <w:vAlign w:val="center"/>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vAlign w:val="center"/>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Technical support</w:t>
            </w:r>
          </w:p>
        </w:tc>
        <w:tc>
          <w:tcPr>
            <w:tcW w:w="3827" w:type="dxa"/>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1 </w:t>
            </w:r>
            <w:r w:rsidR="000249A3" w:rsidRPr="00CB31D0">
              <w:rPr>
                <w:rFonts w:ascii="Times New Roman" w:eastAsia="SimSun" w:hAnsi="Times New Roman"/>
                <w:sz w:val="19"/>
                <w:szCs w:val="19"/>
                <w:lang w:eastAsia="zh-CN"/>
              </w:rPr>
              <w:t>full-time equivalent</w:t>
            </w:r>
            <w:r w:rsidRPr="00CB31D0">
              <w:rPr>
                <w:rFonts w:ascii="Times New Roman" w:eastAsia="SimSun" w:hAnsi="Times New Roman"/>
                <w:sz w:val="19"/>
                <w:szCs w:val="19"/>
                <w:lang w:eastAsia="zh-CN"/>
              </w:rPr>
              <w:t xml:space="preserve"> professional position (50</w:t>
            </w:r>
            <w:r w:rsidR="007C0F3E" w:rsidRPr="00CB31D0">
              <w:rPr>
                <w:rFonts w:ascii="Times New Roman" w:eastAsia="SimSun" w:hAnsi="Times New Roman"/>
                <w:sz w:val="19"/>
                <w:szCs w:val="19"/>
                <w:lang w:eastAsia="zh-CN"/>
              </w:rPr>
              <w:t> </w:t>
            </w:r>
            <w:r w:rsidR="000249A3" w:rsidRPr="00CB31D0">
              <w:rPr>
                <w:rFonts w:ascii="Times New Roman" w:eastAsia="SimSun" w:hAnsi="Times New Roman"/>
                <w:sz w:val="19"/>
                <w:szCs w:val="19"/>
                <w:lang w:eastAsia="zh-CN"/>
              </w:rPr>
              <w:t>per</w:t>
            </w:r>
            <w:r w:rsidR="007C0F3E" w:rsidRPr="00CB31D0">
              <w:rPr>
                <w:rFonts w:ascii="Times New Roman" w:eastAsia="SimSun" w:hAnsi="Times New Roman"/>
                <w:sz w:val="19"/>
                <w:szCs w:val="19"/>
                <w:lang w:eastAsia="zh-CN"/>
              </w:rPr>
              <w:t> </w:t>
            </w:r>
            <w:r w:rsidR="000249A3" w:rsidRPr="00CB31D0">
              <w:rPr>
                <w:rFonts w:ascii="Times New Roman" w:eastAsia="SimSun" w:hAnsi="Times New Roman"/>
                <w:sz w:val="19"/>
                <w:szCs w:val="19"/>
                <w:lang w:eastAsia="zh-CN"/>
              </w:rPr>
              <w:t>cent</w:t>
            </w:r>
            <w:r w:rsidRPr="00CB31D0">
              <w:rPr>
                <w:rFonts w:ascii="Times New Roman" w:eastAsia="SimSun" w:hAnsi="Times New Roman"/>
                <w:sz w:val="19"/>
                <w:szCs w:val="19"/>
                <w:lang w:eastAsia="zh-CN"/>
              </w:rPr>
              <w:t xml:space="preserve"> in</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kind)</w:t>
            </w:r>
          </w:p>
        </w:tc>
        <w:tc>
          <w:tcPr>
            <w:tcW w:w="991" w:type="dxa"/>
            <w:tcBorders>
              <w:bottom w:val="single" w:sz="4" w:space="0" w:color="auto"/>
            </w:tcBorders>
          </w:tcPr>
          <w:p w:rsidR="00E65B1B" w:rsidRPr="00CB31D0" w:rsidRDefault="00E65B1B" w:rsidP="00762016">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75</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000</w:t>
            </w:r>
          </w:p>
        </w:tc>
      </w:tr>
      <w:tr w:rsidR="00E65B1B" w:rsidRPr="00CB31D0" w:rsidTr="00437265">
        <w:tc>
          <w:tcPr>
            <w:tcW w:w="709" w:type="dxa"/>
            <w:vMerge w:val="restart"/>
            <w:vAlign w:val="center"/>
          </w:tcPr>
          <w:p w:rsidR="00E65B1B" w:rsidRPr="00CB31D0" w:rsidRDefault="00E65B1B">
            <w:pPr>
              <w:pStyle w:val="ListParagraph"/>
              <w:tabs>
                <w:tab w:val="left" w:pos="426"/>
              </w:tabs>
              <w:autoSpaceDE w:val="0"/>
              <w:autoSpaceDN w:val="0"/>
              <w:adjustRightInd w:val="0"/>
              <w:spacing w:before="60" w:after="60"/>
              <w:ind w:left="0"/>
              <w:rPr>
                <w:rFonts w:ascii="Times New Roman" w:eastAsia="SimSun" w:hAnsi="Times New Roman"/>
                <w:sz w:val="19"/>
                <w:szCs w:val="19"/>
                <w:lang w:eastAsia="zh-CN"/>
              </w:rPr>
            </w:pPr>
            <w:r w:rsidRPr="00CB31D0">
              <w:rPr>
                <w:rFonts w:ascii="Times New Roman" w:eastAsia="SimSun" w:hAnsi="Times New Roman"/>
                <w:sz w:val="19"/>
                <w:szCs w:val="19"/>
                <w:lang w:eastAsia="zh-CN"/>
              </w:rPr>
              <w:t>2015</w:t>
            </w:r>
          </w:p>
        </w:tc>
        <w:tc>
          <w:tcPr>
            <w:tcW w:w="2836" w:type="dxa"/>
            <w:vMerge w:val="restart"/>
            <w:vAlign w:val="center"/>
          </w:tcPr>
          <w:p w:rsidR="00E65B1B" w:rsidRPr="00CB31D0" w:rsidRDefault="00E65B1B" w:rsidP="00637048">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Second author meeting (90 </w:t>
            </w:r>
            <w:r w:rsidR="00536907" w:rsidRPr="00CB31D0">
              <w:rPr>
                <w:rFonts w:ascii="Times New Roman" w:eastAsia="SimSun" w:hAnsi="Times New Roman"/>
                <w:sz w:val="19"/>
                <w:szCs w:val="19"/>
                <w:lang w:eastAsia="zh-CN"/>
              </w:rPr>
              <w:t>c</w:t>
            </w:r>
            <w:r w:rsidRPr="00CB31D0">
              <w:rPr>
                <w:rFonts w:ascii="Times New Roman" w:eastAsia="SimSun" w:hAnsi="Times New Roman"/>
                <w:sz w:val="19"/>
                <w:szCs w:val="19"/>
                <w:lang w:eastAsia="zh-CN"/>
              </w:rPr>
              <w:t>o</w:t>
            </w:r>
            <w:r w:rsidR="00536907" w:rsidRPr="00CB31D0">
              <w:rPr>
                <w:rFonts w:ascii="Times New Roman" w:eastAsia="SimSun" w:hAnsi="Times New Roman"/>
                <w:sz w:val="19"/>
                <w:szCs w:val="19"/>
                <w:lang w:eastAsia="zh-CN"/>
              </w:rPr>
              <w:noBreakHyphen/>
              <w:t>c</w:t>
            </w:r>
            <w:r w:rsidRPr="00CB31D0">
              <w:rPr>
                <w:rFonts w:ascii="Times New Roman" w:eastAsia="SimSun" w:hAnsi="Times New Roman"/>
                <w:sz w:val="19"/>
                <w:szCs w:val="19"/>
                <w:lang w:eastAsia="zh-CN"/>
              </w:rPr>
              <w:t xml:space="preserve">hairs, </w:t>
            </w:r>
            <w:r w:rsidR="007F52E6" w:rsidRPr="00CB31D0">
              <w:rPr>
                <w:rFonts w:ascii="Times New Roman" w:eastAsia="SimSun" w:hAnsi="Times New Roman"/>
                <w:sz w:val="19"/>
                <w:szCs w:val="19"/>
                <w:lang w:eastAsia="zh-CN"/>
              </w:rPr>
              <w:t xml:space="preserve">coordinating lead authors and lead authors, plus </w:t>
            </w:r>
            <w:r w:rsidRPr="00CB31D0">
              <w:rPr>
                <w:rFonts w:ascii="Times New Roman" w:eastAsia="SimSun" w:hAnsi="Times New Roman"/>
                <w:sz w:val="19"/>
                <w:szCs w:val="19"/>
                <w:lang w:eastAsia="zh-CN"/>
              </w:rPr>
              <w:t>14</w:t>
            </w:r>
            <w:r w:rsidR="00637048" w:rsidRPr="00CB31D0">
              <w:rPr>
                <w:rFonts w:ascii="Times New Roman" w:eastAsia="SimSun" w:hAnsi="Times New Roman"/>
                <w:sz w:val="19"/>
                <w:szCs w:val="19"/>
                <w:lang w:eastAsia="zh-CN"/>
              </w:rPr>
              <w:t> </w:t>
            </w:r>
            <w:r w:rsidR="007F52E6" w:rsidRPr="00CB31D0">
              <w:rPr>
                <w:rFonts w:ascii="Times New Roman" w:eastAsia="SimSun" w:hAnsi="Times New Roman"/>
                <w:sz w:val="19"/>
                <w:szCs w:val="19"/>
                <w:lang w:eastAsia="zh-CN"/>
              </w:rPr>
              <w:t>review editors, plus</w:t>
            </w:r>
            <w:r w:rsidRPr="00CB31D0">
              <w:rPr>
                <w:rFonts w:ascii="Times New Roman" w:eastAsia="SimSun" w:hAnsi="Times New Roman"/>
                <w:sz w:val="19"/>
                <w:szCs w:val="19"/>
                <w:lang w:eastAsia="zh-CN"/>
              </w:rPr>
              <w:t xml:space="preserve"> 4</w:t>
            </w:r>
            <w:r w:rsidR="00637048" w:rsidRPr="00CB31D0">
              <w:rPr>
                <w:rFonts w:ascii="Times New Roman" w:eastAsia="SimSun" w:hAnsi="Times New Roman"/>
                <w:sz w:val="19"/>
                <w:szCs w:val="19"/>
                <w:lang w:eastAsia="zh-CN"/>
              </w:rPr>
              <w:t> </w:t>
            </w:r>
            <w:r w:rsidR="007F52E6" w:rsidRPr="00CB31D0">
              <w:rPr>
                <w:rFonts w:ascii="Times New Roman" w:eastAsia="SimSun" w:hAnsi="Times New Roman"/>
                <w:sz w:val="19"/>
                <w:szCs w:val="19"/>
                <w:lang w:eastAsia="zh-CN"/>
              </w:rPr>
              <w:t>Panel</w:t>
            </w:r>
            <w:r w:rsidRPr="00CB31D0">
              <w:rPr>
                <w:rFonts w:ascii="Times New Roman" w:eastAsia="SimSun" w:hAnsi="Times New Roman"/>
                <w:sz w:val="19"/>
                <w:szCs w:val="19"/>
                <w:lang w:eastAsia="zh-CN"/>
              </w:rPr>
              <w:t>/Bureau</w:t>
            </w:r>
            <w:r w:rsidR="007F52E6" w:rsidRPr="00CB31D0">
              <w:rPr>
                <w:rFonts w:ascii="Times New Roman" w:eastAsia="SimSun" w:hAnsi="Times New Roman"/>
                <w:sz w:val="19"/>
                <w:szCs w:val="19"/>
                <w:lang w:eastAsia="zh-CN"/>
              </w:rPr>
              <w:t xml:space="preserve"> members, plus </w:t>
            </w:r>
            <w:r w:rsidRPr="00CB31D0">
              <w:rPr>
                <w:rFonts w:ascii="Times New Roman" w:eastAsia="SimSun" w:hAnsi="Times New Roman"/>
                <w:sz w:val="19"/>
                <w:szCs w:val="19"/>
                <w:lang w:eastAsia="zh-CN"/>
              </w:rPr>
              <w:t>1</w:t>
            </w:r>
            <w:r w:rsidR="00637048"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technical support staff</w:t>
            </w:r>
            <w:r w:rsidR="007F52E6" w:rsidRPr="00CB31D0">
              <w:rPr>
                <w:rFonts w:ascii="Times New Roman" w:eastAsia="SimSun" w:hAnsi="Times New Roman"/>
                <w:sz w:val="19"/>
                <w:szCs w:val="19"/>
                <w:lang w:eastAsia="zh-CN"/>
              </w:rPr>
              <w:t xml:space="preserve"> member</w:t>
            </w:r>
            <w:r w:rsidRPr="00CB31D0">
              <w:rPr>
                <w:rFonts w:ascii="Times New Roman" w:eastAsia="SimSun" w:hAnsi="Times New Roman"/>
                <w:sz w:val="19"/>
                <w:szCs w:val="19"/>
                <w:lang w:eastAsia="zh-CN"/>
              </w:rPr>
              <w:t>)</w:t>
            </w:r>
          </w:p>
        </w:tc>
        <w:tc>
          <w:tcPr>
            <w:tcW w:w="3827" w:type="dxa"/>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Meeting costs (1 week, 109 participants) (25</w:t>
            </w:r>
            <w:r w:rsidR="007C0F3E" w:rsidRPr="00CB31D0">
              <w:rPr>
                <w:rFonts w:ascii="Times New Roman" w:eastAsia="SimSun" w:hAnsi="Times New Roman"/>
                <w:sz w:val="19"/>
                <w:szCs w:val="19"/>
                <w:lang w:eastAsia="zh-CN"/>
              </w:rPr>
              <w:t> </w:t>
            </w:r>
            <w:r w:rsidR="00536907" w:rsidRPr="00CB31D0">
              <w:rPr>
                <w:rFonts w:ascii="Times New Roman" w:eastAsia="SimSun" w:hAnsi="Times New Roman"/>
                <w:sz w:val="19"/>
                <w:szCs w:val="19"/>
                <w:lang w:eastAsia="zh-CN"/>
              </w:rPr>
              <w:t>per</w:t>
            </w:r>
            <w:r w:rsidR="007C0F3E" w:rsidRPr="00CB31D0">
              <w:rPr>
                <w:rFonts w:ascii="Times New Roman" w:eastAsia="SimSun" w:hAnsi="Times New Roman"/>
                <w:sz w:val="19"/>
                <w:szCs w:val="19"/>
                <w:lang w:eastAsia="zh-CN"/>
              </w:rPr>
              <w:t> </w:t>
            </w:r>
            <w:r w:rsidR="00536907" w:rsidRPr="00CB31D0">
              <w:rPr>
                <w:rFonts w:ascii="Times New Roman" w:eastAsia="SimSun" w:hAnsi="Times New Roman"/>
                <w:sz w:val="19"/>
                <w:szCs w:val="19"/>
                <w:lang w:eastAsia="zh-CN"/>
              </w:rPr>
              <w:t>cent</w:t>
            </w:r>
            <w:r w:rsidRPr="00CB31D0">
              <w:rPr>
                <w:rFonts w:ascii="Times New Roman" w:eastAsia="SimSun" w:hAnsi="Times New Roman"/>
                <w:sz w:val="19"/>
                <w:szCs w:val="19"/>
                <w:lang w:eastAsia="zh-CN"/>
              </w:rPr>
              <w:t xml:space="preserve"> in</w:t>
            </w:r>
            <w:r w:rsidR="00536907"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kind)</w:t>
            </w:r>
          </w:p>
        </w:tc>
        <w:tc>
          <w:tcPr>
            <w:tcW w:w="991" w:type="dxa"/>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18</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750</w:t>
            </w:r>
          </w:p>
        </w:tc>
      </w:tr>
      <w:tr w:rsidR="00E65B1B" w:rsidRPr="00CB31D0" w:rsidTr="00437265">
        <w:trPr>
          <w:trHeight w:val="361"/>
        </w:trPr>
        <w:tc>
          <w:tcPr>
            <w:tcW w:w="709" w:type="dxa"/>
            <w:vMerge/>
            <w:vAlign w:val="center"/>
          </w:tcPr>
          <w:p w:rsidR="00E65B1B" w:rsidRPr="00CB31D0" w:rsidRDefault="00E65B1B">
            <w:pPr>
              <w:pStyle w:val="ListParagraph"/>
              <w:tabs>
                <w:tab w:val="left" w:pos="426"/>
              </w:tabs>
              <w:autoSpaceDE w:val="0"/>
              <w:autoSpaceDN w:val="0"/>
              <w:adjustRightInd w:val="0"/>
              <w:spacing w:before="60" w:after="60"/>
              <w:ind w:left="0"/>
              <w:rPr>
                <w:rFonts w:ascii="Times New Roman" w:eastAsia="SimSun" w:hAnsi="Times New Roman"/>
                <w:sz w:val="19"/>
                <w:szCs w:val="19"/>
                <w:lang w:eastAsia="zh-CN"/>
              </w:rPr>
            </w:pPr>
          </w:p>
        </w:tc>
        <w:tc>
          <w:tcPr>
            <w:tcW w:w="2836" w:type="dxa"/>
            <w:vMerge/>
            <w:tcBorders>
              <w:bottom w:val="single" w:sz="4" w:space="0" w:color="auto"/>
            </w:tcBorders>
            <w:vAlign w:val="center"/>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p>
        </w:tc>
        <w:tc>
          <w:tcPr>
            <w:tcW w:w="3827" w:type="dxa"/>
            <w:tcBorders>
              <w:bottom w:val="single" w:sz="4" w:space="0" w:color="auto"/>
            </w:tcBorders>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Travel and DSA (82 x </w:t>
            </w:r>
            <w:r w:rsidR="00536907"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3</w:t>
            </w:r>
            <w:r w:rsidR="00536907"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000)</w:t>
            </w:r>
          </w:p>
        </w:tc>
        <w:tc>
          <w:tcPr>
            <w:tcW w:w="991" w:type="dxa"/>
            <w:tcBorders>
              <w:bottom w:val="single" w:sz="4" w:space="0" w:color="auto"/>
            </w:tcBorders>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264</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000</w:t>
            </w:r>
          </w:p>
        </w:tc>
      </w:tr>
      <w:tr w:rsidR="00E65B1B" w:rsidRPr="00CB31D0" w:rsidTr="00437265">
        <w:tc>
          <w:tcPr>
            <w:tcW w:w="709" w:type="dxa"/>
            <w:vMerge/>
            <w:vAlign w:val="center"/>
          </w:tcPr>
          <w:p w:rsidR="00E65B1B" w:rsidRPr="00CB31D0" w:rsidRDefault="00E65B1B">
            <w:pPr>
              <w:pStyle w:val="ListParagraph"/>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vMerge w:val="restart"/>
            <w:vAlign w:val="center"/>
          </w:tcPr>
          <w:p w:rsidR="00E65B1B" w:rsidRPr="00CB31D0" w:rsidRDefault="00E65B1B" w:rsidP="00637048">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Third author meeting (90 </w:t>
            </w:r>
            <w:r w:rsidR="00536907" w:rsidRPr="00CB31D0">
              <w:rPr>
                <w:rFonts w:ascii="Times New Roman" w:eastAsia="SimSun" w:hAnsi="Times New Roman"/>
                <w:sz w:val="19"/>
                <w:szCs w:val="19"/>
                <w:lang w:eastAsia="zh-CN"/>
              </w:rPr>
              <w:t>c</w:t>
            </w:r>
            <w:r w:rsidRPr="00CB31D0">
              <w:rPr>
                <w:rFonts w:ascii="Times New Roman" w:eastAsia="SimSun" w:hAnsi="Times New Roman"/>
                <w:sz w:val="19"/>
                <w:szCs w:val="19"/>
                <w:lang w:eastAsia="zh-CN"/>
              </w:rPr>
              <w:t>o</w:t>
            </w:r>
            <w:r w:rsidR="00C6370C" w:rsidRPr="00CB31D0">
              <w:rPr>
                <w:rFonts w:ascii="Times New Roman" w:eastAsia="SimSun" w:hAnsi="Times New Roman"/>
                <w:sz w:val="19"/>
                <w:szCs w:val="19"/>
                <w:lang w:eastAsia="zh-CN"/>
              </w:rPr>
              <w:noBreakHyphen/>
            </w:r>
            <w:r w:rsidR="00536907" w:rsidRPr="00CB31D0">
              <w:rPr>
                <w:rFonts w:ascii="Times New Roman" w:eastAsia="SimSun" w:hAnsi="Times New Roman"/>
                <w:sz w:val="19"/>
                <w:szCs w:val="19"/>
                <w:lang w:eastAsia="zh-CN"/>
              </w:rPr>
              <w:t>c</w:t>
            </w:r>
            <w:r w:rsidRPr="00CB31D0">
              <w:rPr>
                <w:rFonts w:ascii="Times New Roman" w:eastAsia="SimSun" w:hAnsi="Times New Roman"/>
                <w:sz w:val="19"/>
                <w:szCs w:val="19"/>
                <w:lang w:eastAsia="zh-CN"/>
              </w:rPr>
              <w:t xml:space="preserve">hairs, </w:t>
            </w:r>
            <w:r w:rsidR="007F52E6" w:rsidRPr="00CB31D0">
              <w:rPr>
                <w:rFonts w:ascii="Times New Roman" w:eastAsia="SimSun" w:hAnsi="Times New Roman"/>
                <w:sz w:val="19"/>
                <w:szCs w:val="19"/>
                <w:lang w:eastAsia="zh-CN"/>
              </w:rPr>
              <w:t xml:space="preserve">coordinating lead authors and lead authors, plus </w:t>
            </w:r>
            <w:r w:rsidRPr="00CB31D0">
              <w:rPr>
                <w:rFonts w:ascii="Times New Roman" w:eastAsia="SimSun" w:hAnsi="Times New Roman"/>
                <w:sz w:val="19"/>
                <w:szCs w:val="19"/>
                <w:lang w:eastAsia="zh-CN"/>
              </w:rPr>
              <w:t>14</w:t>
            </w:r>
            <w:r w:rsidR="00637048" w:rsidRPr="00CB31D0">
              <w:rPr>
                <w:rFonts w:ascii="Times New Roman" w:eastAsia="SimSun" w:hAnsi="Times New Roman"/>
                <w:sz w:val="19"/>
                <w:szCs w:val="19"/>
                <w:lang w:eastAsia="zh-CN"/>
              </w:rPr>
              <w:t> </w:t>
            </w:r>
            <w:r w:rsidR="007F52E6" w:rsidRPr="00CB31D0">
              <w:rPr>
                <w:rFonts w:ascii="Times New Roman" w:eastAsia="SimSun" w:hAnsi="Times New Roman"/>
                <w:sz w:val="19"/>
                <w:szCs w:val="19"/>
                <w:lang w:eastAsia="zh-CN"/>
              </w:rPr>
              <w:t>review editors, plus</w:t>
            </w:r>
            <w:r w:rsidRPr="00CB31D0">
              <w:rPr>
                <w:rFonts w:ascii="Times New Roman" w:eastAsia="SimSun" w:hAnsi="Times New Roman"/>
                <w:sz w:val="19"/>
                <w:szCs w:val="19"/>
                <w:lang w:eastAsia="zh-CN"/>
              </w:rPr>
              <w:t xml:space="preserve"> 4</w:t>
            </w:r>
            <w:r w:rsidR="00637048" w:rsidRPr="00CB31D0">
              <w:rPr>
                <w:rFonts w:ascii="Times New Roman" w:eastAsia="SimSun" w:hAnsi="Times New Roman"/>
                <w:sz w:val="19"/>
                <w:szCs w:val="19"/>
                <w:lang w:eastAsia="zh-CN"/>
              </w:rPr>
              <w:t> </w:t>
            </w:r>
            <w:r w:rsidR="007F52E6" w:rsidRPr="00CB31D0">
              <w:rPr>
                <w:rFonts w:ascii="Times New Roman" w:eastAsia="SimSun" w:hAnsi="Times New Roman"/>
                <w:sz w:val="19"/>
                <w:szCs w:val="19"/>
                <w:lang w:eastAsia="zh-CN"/>
              </w:rPr>
              <w:t>Panel</w:t>
            </w:r>
            <w:r w:rsidRPr="00CB31D0">
              <w:rPr>
                <w:rFonts w:ascii="Times New Roman" w:eastAsia="SimSun" w:hAnsi="Times New Roman"/>
                <w:sz w:val="19"/>
                <w:szCs w:val="19"/>
                <w:lang w:eastAsia="zh-CN"/>
              </w:rPr>
              <w:t>/Bureau</w:t>
            </w:r>
            <w:r w:rsidR="007F52E6" w:rsidRPr="00CB31D0">
              <w:rPr>
                <w:rFonts w:ascii="Times New Roman" w:eastAsia="SimSun" w:hAnsi="Times New Roman"/>
                <w:sz w:val="19"/>
                <w:szCs w:val="19"/>
                <w:lang w:eastAsia="zh-CN"/>
              </w:rPr>
              <w:t xml:space="preserve"> members, plus</w:t>
            </w:r>
            <w:r w:rsidRPr="00CB31D0">
              <w:rPr>
                <w:rFonts w:ascii="Times New Roman" w:eastAsia="SimSun" w:hAnsi="Times New Roman"/>
                <w:sz w:val="19"/>
                <w:szCs w:val="19"/>
                <w:lang w:eastAsia="zh-CN"/>
              </w:rPr>
              <w:t xml:space="preserve"> 1</w:t>
            </w:r>
            <w:r w:rsidR="00637048" w:rsidRPr="00CB31D0">
              <w:rPr>
                <w:rFonts w:ascii="Times New Roman" w:eastAsia="SimSun" w:hAnsi="Times New Roman"/>
                <w:sz w:val="19"/>
                <w:szCs w:val="19"/>
                <w:lang w:eastAsia="zh-CN"/>
              </w:rPr>
              <w:t> </w:t>
            </w:r>
            <w:r w:rsidRPr="00CB31D0">
              <w:rPr>
                <w:rFonts w:ascii="Times New Roman" w:eastAsia="SimSun" w:hAnsi="Times New Roman"/>
                <w:sz w:val="19"/>
                <w:szCs w:val="19"/>
                <w:lang w:eastAsia="zh-CN"/>
              </w:rPr>
              <w:t>technical support staff</w:t>
            </w:r>
            <w:r w:rsidR="007F52E6" w:rsidRPr="00CB31D0">
              <w:rPr>
                <w:rFonts w:ascii="Times New Roman" w:eastAsia="SimSun" w:hAnsi="Times New Roman"/>
                <w:sz w:val="19"/>
                <w:szCs w:val="19"/>
                <w:lang w:eastAsia="zh-CN"/>
              </w:rPr>
              <w:t xml:space="preserve"> member</w:t>
            </w:r>
            <w:r w:rsidRPr="00CB31D0">
              <w:rPr>
                <w:rFonts w:ascii="Times New Roman" w:eastAsia="SimSun" w:hAnsi="Times New Roman"/>
                <w:sz w:val="19"/>
                <w:szCs w:val="19"/>
                <w:lang w:eastAsia="zh-CN"/>
              </w:rPr>
              <w:t>)</w:t>
            </w:r>
          </w:p>
        </w:tc>
        <w:tc>
          <w:tcPr>
            <w:tcW w:w="3827" w:type="dxa"/>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Meeting costs (1 week, 109 participants) (25</w:t>
            </w:r>
            <w:r w:rsidR="007C0F3E" w:rsidRPr="00CB31D0">
              <w:rPr>
                <w:rFonts w:ascii="Times New Roman" w:eastAsia="SimSun" w:hAnsi="Times New Roman"/>
                <w:sz w:val="19"/>
                <w:szCs w:val="19"/>
                <w:lang w:eastAsia="zh-CN"/>
              </w:rPr>
              <w:t> </w:t>
            </w:r>
            <w:r w:rsidR="00536907" w:rsidRPr="00CB31D0">
              <w:rPr>
                <w:rFonts w:ascii="Times New Roman" w:eastAsia="SimSun" w:hAnsi="Times New Roman"/>
                <w:sz w:val="19"/>
                <w:szCs w:val="19"/>
                <w:lang w:eastAsia="zh-CN"/>
              </w:rPr>
              <w:t>per</w:t>
            </w:r>
            <w:r w:rsidR="007C0F3E" w:rsidRPr="00CB31D0">
              <w:rPr>
                <w:rFonts w:ascii="Times New Roman" w:eastAsia="SimSun" w:hAnsi="Times New Roman"/>
                <w:sz w:val="19"/>
                <w:szCs w:val="19"/>
                <w:lang w:eastAsia="zh-CN"/>
              </w:rPr>
              <w:t> </w:t>
            </w:r>
            <w:r w:rsidR="00536907" w:rsidRPr="00CB31D0">
              <w:rPr>
                <w:rFonts w:ascii="Times New Roman" w:eastAsia="SimSun" w:hAnsi="Times New Roman"/>
                <w:sz w:val="19"/>
                <w:szCs w:val="19"/>
                <w:lang w:eastAsia="zh-CN"/>
              </w:rPr>
              <w:t>cent</w:t>
            </w:r>
            <w:r w:rsidRPr="00CB31D0">
              <w:rPr>
                <w:rFonts w:ascii="Times New Roman" w:eastAsia="SimSun" w:hAnsi="Times New Roman"/>
                <w:sz w:val="19"/>
                <w:szCs w:val="19"/>
                <w:lang w:eastAsia="zh-CN"/>
              </w:rPr>
              <w:t xml:space="preserve"> in</w:t>
            </w:r>
            <w:r w:rsidR="00536907"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kind)</w:t>
            </w:r>
          </w:p>
        </w:tc>
        <w:tc>
          <w:tcPr>
            <w:tcW w:w="991" w:type="dxa"/>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18</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750</w:t>
            </w:r>
          </w:p>
        </w:tc>
      </w:tr>
      <w:tr w:rsidR="00E65B1B" w:rsidRPr="00CB31D0" w:rsidTr="00437265">
        <w:trPr>
          <w:trHeight w:val="339"/>
        </w:trPr>
        <w:tc>
          <w:tcPr>
            <w:tcW w:w="709" w:type="dxa"/>
            <w:vMerge/>
            <w:vAlign w:val="center"/>
          </w:tcPr>
          <w:p w:rsidR="00E65B1B" w:rsidRPr="00CB31D0" w:rsidRDefault="00E65B1B">
            <w:pPr>
              <w:pStyle w:val="ListParagraph"/>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vMerge/>
            <w:tcBorders>
              <w:bottom w:val="single" w:sz="4" w:space="0" w:color="auto"/>
            </w:tcBorders>
            <w:vAlign w:val="center"/>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p>
        </w:tc>
        <w:tc>
          <w:tcPr>
            <w:tcW w:w="3827" w:type="dxa"/>
            <w:tcBorders>
              <w:bottom w:val="single" w:sz="4" w:space="0" w:color="auto"/>
            </w:tcBorders>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Travel and DSA (82 x </w:t>
            </w:r>
            <w:r w:rsidR="00536907"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3</w:t>
            </w:r>
            <w:r w:rsidR="00536907"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000)</w:t>
            </w:r>
          </w:p>
        </w:tc>
        <w:tc>
          <w:tcPr>
            <w:tcW w:w="991" w:type="dxa"/>
            <w:tcBorders>
              <w:bottom w:val="single" w:sz="4" w:space="0" w:color="auto"/>
            </w:tcBorders>
          </w:tcPr>
          <w:p w:rsidR="00E65B1B" w:rsidRPr="00CB31D0" w:rsidRDefault="00E65B1B" w:rsidP="00762016">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264</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000</w:t>
            </w:r>
          </w:p>
        </w:tc>
      </w:tr>
      <w:tr w:rsidR="00E65B1B" w:rsidRPr="00CB31D0" w:rsidTr="00437265">
        <w:trPr>
          <w:trHeight w:val="361"/>
        </w:trPr>
        <w:tc>
          <w:tcPr>
            <w:tcW w:w="709" w:type="dxa"/>
            <w:vMerge/>
            <w:tcBorders>
              <w:bottom w:val="single" w:sz="4" w:space="0" w:color="auto"/>
            </w:tcBorders>
            <w:vAlign w:val="center"/>
          </w:tcPr>
          <w:p w:rsidR="00E65B1B" w:rsidRPr="00CB31D0" w:rsidRDefault="00E65B1B">
            <w:pPr>
              <w:pStyle w:val="ListParagraph"/>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vAlign w:val="center"/>
          </w:tcPr>
          <w:p w:rsidR="00E65B1B" w:rsidRPr="00CB31D0" w:rsidRDefault="00E65B1B" w:rsidP="00437265">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Technical support</w:t>
            </w:r>
          </w:p>
        </w:tc>
        <w:tc>
          <w:tcPr>
            <w:tcW w:w="3827" w:type="dxa"/>
          </w:tcPr>
          <w:p w:rsidR="00E65B1B" w:rsidRPr="00CB31D0" w:rsidRDefault="00E65B1B" w:rsidP="00437265">
            <w:pPr>
              <w:pStyle w:val="ListParagraph"/>
              <w:keepNext/>
              <w:keepLines/>
              <w:tabs>
                <w:tab w:val="left" w:pos="426"/>
              </w:tabs>
              <w:autoSpaceDE w:val="0"/>
              <w:autoSpaceDN w:val="0"/>
              <w:adjustRightInd w:val="0"/>
              <w:spacing w:before="40" w:after="40" w:line="240" w:lineRule="auto"/>
              <w:ind w:left="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1 </w:t>
            </w:r>
            <w:r w:rsidR="00536907" w:rsidRPr="00CB31D0">
              <w:rPr>
                <w:rFonts w:ascii="Times New Roman" w:eastAsia="SimSun" w:hAnsi="Times New Roman"/>
                <w:sz w:val="19"/>
                <w:szCs w:val="19"/>
                <w:lang w:eastAsia="zh-CN"/>
              </w:rPr>
              <w:t xml:space="preserve">full-time equivalent </w:t>
            </w:r>
            <w:r w:rsidRPr="00CB31D0">
              <w:rPr>
                <w:rFonts w:ascii="Times New Roman" w:eastAsia="SimSun" w:hAnsi="Times New Roman"/>
                <w:sz w:val="19"/>
                <w:szCs w:val="19"/>
                <w:lang w:eastAsia="zh-CN"/>
              </w:rPr>
              <w:t>professional position (50</w:t>
            </w:r>
            <w:r w:rsidR="00A53029" w:rsidRPr="00CB31D0">
              <w:rPr>
                <w:rFonts w:ascii="Times New Roman" w:eastAsia="SimSun" w:hAnsi="Times New Roman"/>
                <w:sz w:val="19"/>
                <w:szCs w:val="19"/>
                <w:lang w:eastAsia="zh-CN"/>
              </w:rPr>
              <w:t> </w:t>
            </w:r>
            <w:r w:rsidR="00361489" w:rsidRPr="00CB31D0">
              <w:rPr>
                <w:rFonts w:ascii="Times New Roman" w:eastAsia="SimSun" w:hAnsi="Times New Roman"/>
                <w:sz w:val="19"/>
                <w:szCs w:val="19"/>
                <w:lang w:eastAsia="zh-CN"/>
              </w:rPr>
              <w:t>per</w:t>
            </w:r>
            <w:r w:rsidR="00A53029" w:rsidRPr="00CB31D0">
              <w:rPr>
                <w:rFonts w:ascii="Times New Roman" w:eastAsia="SimSun" w:hAnsi="Times New Roman"/>
                <w:sz w:val="19"/>
                <w:szCs w:val="19"/>
                <w:lang w:eastAsia="zh-CN"/>
              </w:rPr>
              <w:t> </w:t>
            </w:r>
            <w:r w:rsidR="00361489" w:rsidRPr="00CB31D0">
              <w:rPr>
                <w:rFonts w:ascii="Times New Roman" w:eastAsia="SimSun" w:hAnsi="Times New Roman"/>
                <w:sz w:val="19"/>
                <w:szCs w:val="19"/>
                <w:lang w:eastAsia="zh-CN"/>
              </w:rPr>
              <w:t>cent</w:t>
            </w:r>
            <w:r w:rsidRPr="00CB31D0">
              <w:rPr>
                <w:rFonts w:ascii="Times New Roman" w:eastAsia="SimSun" w:hAnsi="Times New Roman"/>
                <w:sz w:val="19"/>
                <w:szCs w:val="19"/>
                <w:lang w:eastAsia="zh-CN"/>
              </w:rPr>
              <w:t xml:space="preserve"> in</w:t>
            </w:r>
            <w:r w:rsidR="00361489"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kind)</w:t>
            </w:r>
          </w:p>
        </w:tc>
        <w:tc>
          <w:tcPr>
            <w:tcW w:w="991" w:type="dxa"/>
            <w:tcBorders>
              <w:bottom w:val="single" w:sz="4" w:space="0" w:color="auto"/>
            </w:tcBorders>
          </w:tcPr>
          <w:p w:rsidR="00E65B1B" w:rsidRPr="00CB31D0" w:rsidRDefault="00E65B1B" w:rsidP="00437265">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75</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000</w:t>
            </w:r>
          </w:p>
        </w:tc>
      </w:tr>
      <w:tr w:rsidR="00E65B1B" w:rsidRPr="00CB31D0" w:rsidTr="00437265">
        <w:trPr>
          <w:trHeight w:val="357"/>
        </w:trPr>
        <w:tc>
          <w:tcPr>
            <w:tcW w:w="709" w:type="dxa"/>
            <w:vMerge w:val="restart"/>
            <w:vAlign w:val="center"/>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lastRenderedPageBreak/>
              <w:t>2016</w:t>
            </w:r>
          </w:p>
        </w:tc>
        <w:tc>
          <w:tcPr>
            <w:tcW w:w="2836" w:type="dxa"/>
            <w:vAlign w:val="center"/>
          </w:tcPr>
          <w:p w:rsidR="00E65B1B" w:rsidRPr="00CB31D0" w:rsidRDefault="00361489" w:rsidP="00437265">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Participation </w:t>
            </w:r>
            <w:r w:rsidR="003F47FF" w:rsidRPr="00CB31D0">
              <w:rPr>
                <w:rFonts w:ascii="Times New Roman" w:eastAsia="SimSun" w:hAnsi="Times New Roman"/>
                <w:sz w:val="19"/>
                <w:szCs w:val="19"/>
                <w:lang w:eastAsia="zh-CN"/>
              </w:rPr>
              <w:t xml:space="preserve">by 2 co-chairs and 2 coordinating lead authors </w:t>
            </w:r>
            <w:r w:rsidRPr="00CB31D0">
              <w:rPr>
                <w:rFonts w:ascii="Times New Roman" w:eastAsia="SimSun" w:hAnsi="Times New Roman"/>
                <w:sz w:val="19"/>
                <w:szCs w:val="19"/>
                <w:lang w:eastAsia="zh-CN"/>
              </w:rPr>
              <w:t xml:space="preserve">in the fourth session of the Plenary </w:t>
            </w:r>
          </w:p>
        </w:tc>
        <w:tc>
          <w:tcPr>
            <w:tcW w:w="3827" w:type="dxa"/>
          </w:tcPr>
          <w:p w:rsidR="00E65B1B" w:rsidRPr="00CB31D0" w:rsidRDefault="00E65B1B" w:rsidP="00437265">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Travel and DSA (3 x </w:t>
            </w:r>
            <w:r w:rsidR="00361489"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3</w:t>
            </w:r>
            <w:r w:rsidR="00361489" w:rsidRPr="00CB31D0">
              <w:rPr>
                <w:rFonts w:ascii="Times New Roman" w:eastAsia="SimSun" w:hAnsi="Times New Roman"/>
                <w:sz w:val="19"/>
                <w:szCs w:val="19"/>
                <w:lang w:eastAsia="zh-CN"/>
              </w:rPr>
              <w:t>,</w:t>
            </w:r>
            <w:r w:rsidRPr="00CB31D0">
              <w:rPr>
                <w:rFonts w:ascii="Times New Roman" w:eastAsia="SimSun" w:hAnsi="Times New Roman"/>
                <w:sz w:val="19"/>
                <w:szCs w:val="19"/>
                <w:lang w:eastAsia="zh-CN"/>
              </w:rPr>
              <w:t>000)</w:t>
            </w:r>
          </w:p>
        </w:tc>
        <w:tc>
          <w:tcPr>
            <w:tcW w:w="991" w:type="dxa"/>
          </w:tcPr>
          <w:p w:rsidR="00E65B1B" w:rsidRPr="00CB31D0" w:rsidRDefault="00E65B1B" w:rsidP="00437265">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9</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000</w:t>
            </w:r>
          </w:p>
        </w:tc>
      </w:tr>
      <w:tr w:rsidR="00E65B1B" w:rsidRPr="00CB31D0" w:rsidDel="001E184E" w:rsidTr="00437265">
        <w:trPr>
          <w:trHeight w:val="560"/>
        </w:trPr>
        <w:tc>
          <w:tcPr>
            <w:tcW w:w="709" w:type="dxa"/>
            <w:vMerge/>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2836" w:type="dxa"/>
          </w:tcPr>
          <w:p w:rsidR="00E65B1B" w:rsidRPr="00CB31D0" w:rsidRDefault="00E65B1B" w:rsidP="00637048">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eastAsia="zh-CN"/>
              </w:rPr>
            </w:pPr>
            <w:r w:rsidRPr="00CB31D0">
              <w:rPr>
                <w:rFonts w:ascii="Times New Roman" w:eastAsia="SimSun" w:hAnsi="Times New Roman"/>
                <w:sz w:val="19"/>
                <w:szCs w:val="19"/>
                <w:lang w:eastAsia="zh-CN"/>
              </w:rPr>
              <w:t xml:space="preserve">Dissemination </w:t>
            </w:r>
            <w:r w:rsidR="00885B4C" w:rsidRPr="00CB31D0">
              <w:rPr>
                <w:rFonts w:ascii="Times New Roman" w:eastAsia="SimSun" w:hAnsi="Times New Roman"/>
                <w:sz w:val="19"/>
                <w:szCs w:val="19"/>
                <w:lang w:eastAsia="zh-CN"/>
              </w:rPr>
              <w:t xml:space="preserve">and outreach </w:t>
            </w:r>
            <w:r w:rsidRPr="00CB31D0">
              <w:rPr>
                <w:rFonts w:ascii="Times New Roman" w:eastAsia="SimSun" w:hAnsi="Times New Roman"/>
                <w:sz w:val="19"/>
                <w:szCs w:val="19"/>
                <w:lang w:eastAsia="zh-CN"/>
              </w:rPr>
              <w:t>(</w:t>
            </w:r>
            <w:r w:rsidR="00A900EC" w:rsidRPr="00CB31D0">
              <w:rPr>
                <w:rFonts w:ascii="Times New Roman" w:eastAsia="SimSun" w:hAnsi="Times New Roman"/>
                <w:sz w:val="19"/>
                <w:szCs w:val="19"/>
                <w:lang w:eastAsia="zh-CN"/>
              </w:rPr>
              <w:t>summary for policy</w:t>
            </w:r>
            <w:r w:rsidR="00361489" w:rsidRPr="00CB31D0">
              <w:rPr>
                <w:rFonts w:ascii="Times New Roman" w:eastAsia="SimSun" w:hAnsi="Times New Roman"/>
                <w:sz w:val="19"/>
                <w:szCs w:val="19"/>
                <w:lang w:eastAsia="zh-CN"/>
              </w:rPr>
              <w:t xml:space="preserve">makers </w:t>
            </w:r>
            <w:r w:rsidR="00885B4C" w:rsidRPr="00CB31D0">
              <w:rPr>
                <w:rFonts w:ascii="Times New Roman" w:eastAsia="SimSun" w:hAnsi="Times New Roman"/>
                <w:sz w:val="19"/>
                <w:szCs w:val="19"/>
                <w:lang w:eastAsia="zh-CN"/>
              </w:rPr>
              <w:t>(10 pages) and</w:t>
            </w:r>
            <w:r w:rsidRPr="00CB31D0">
              <w:rPr>
                <w:rFonts w:ascii="Times New Roman" w:eastAsia="SimSun" w:hAnsi="Times New Roman"/>
                <w:sz w:val="19"/>
                <w:szCs w:val="19"/>
                <w:lang w:eastAsia="zh-CN"/>
              </w:rPr>
              <w:t xml:space="preserve"> report</w:t>
            </w:r>
            <w:r w:rsidR="00885B4C" w:rsidRPr="00CB31D0">
              <w:rPr>
                <w:rFonts w:ascii="Times New Roman" w:eastAsia="SimSun" w:hAnsi="Times New Roman"/>
                <w:sz w:val="19"/>
                <w:szCs w:val="19"/>
                <w:lang w:eastAsia="zh-CN"/>
              </w:rPr>
              <w:t xml:space="preserve"> (200 pages)</w:t>
            </w:r>
            <w:r w:rsidRPr="00CB31D0">
              <w:rPr>
                <w:rFonts w:ascii="Times New Roman" w:eastAsia="SimSun" w:hAnsi="Times New Roman"/>
                <w:sz w:val="19"/>
                <w:szCs w:val="19"/>
                <w:lang w:eastAsia="zh-CN"/>
              </w:rPr>
              <w:t>)</w:t>
            </w:r>
          </w:p>
        </w:tc>
        <w:tc>
          <w:tcPr>
            <w:tcW w:w="3827" w:type="dxa"/>
          </w:tcPr>
          <w:p w:rsidR="00AC5674" w:rsidRPr="00CB31D0" w:rsidDel="00AC5674" w:rsidRDefault="003F47FF"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b/>
                <w:sz w:val="19"/>
                <w:szCs w:val="19"/>
                <w:lang w:eastAsia="zh-CN"/>
              </w:rPr>
            </w:pPr>
            <w:r w:rsidRPr="00CB31D0">
              <w:rPr>
                <w:rFonts w:ascii="Times New Roman" w:eastAsia="SimSun" w:hAnsi="Times New Roman"/>
                <w:sz w:val="19"/>
                <w:szCs w:val="19"/>
                <w:lang w:eastAsia="zh-CN"/>
              </w:rPr>
              <w:t>Translation</w:t>
            </w:r>
            <w:r w:rsidR="00046CB9" w:rsidRPr="00CB31D0">
              <w:rPr>
                <w:rFonts w:ascii="Times New Roman" w:eastAsia="SimSun" w:hAnsi="Times New Roman"/>
                <w:sz w:val="19"/>
                <w:szCs w:val="19"/>
                <w:lang w:eastAsia="zh-CN"/>
              </w:rPr>
              <w:t xml:space="preserve"> </w:t>
            </w:r>
            <w:r w:rsidR="00E65B1B" w:rsidRPr="00CB31D0">
              <w:rPr>
                <w:rFonts w:ascii="Times New Roman" w:eastAsia="SimSun" w:hAnsi="Times New Roman"/>
                <w:sz w:val="19"/>
                <w:szCs w:val="19"/>
                <w:lang w:eastAsia="zh-CN"/>
              </w:rPr>
              <w:t xml:space="preserve">of </w:t>
            </w:r>
            <w:r w:rsidR="00046CB9" w:rsidRPr="00CB31D0">
              <w:rPr>
                <w:rFonts w:ascii="Times New Roman" w:eastAsia="SimSun" w:hAnsi="Times New Roman"/>
                <w:sz w:val="19"/>
                <w:szCs w:val="19"/>
                <w:lang w:eastAsia="zh-CN"/>
              </w:rPr>
              <w:t xml:space="preserve">the </w:t>
            </w:r>
            <w:r w:rsidR="00985183" w:rsidRPr="00CB31D0">
              <w:rPr>
                <w:rFonts w:ascii="Times New Roman" w:eastAsia="SimSun" w:hAnsi="Times New Roman"/>
                <w:sz w:val="19"/>
                <w:szCs w:val="19"/>
                <w:lang w:eastAsia="zh-CN"/>
              </w:rPr>
              <w:t>summary for policy</w:t>
            </w:r>
            <w:r w:rsidR="00361489" w:rsidRPr="00CB31D0">
              <w:rPr>
                <w:rFonts w:ascii="Times New Roman" w:eastAsia="SimSun" w:hAnsi="Times New Roman"/>
                <w:sz w:val="19"/>
                <w:szCs w:val="19"/>
                <w:lang w:eastAsia="zh-CN"/>
              </w:rPr>
              <w:t xml:space="preserve">makers </w:t>
            </w:r>
            <w:r w:rsidR="00E65B1B" w:rsidRPr="00CB31D0">
              <w:rPr>
                <w:rFonts w:ascii="Times New Roman" w:eastAsia="SimSun" w:hAnsi="Times New Roman"/>
                <w:sz w:val="19"/>
                <w:szCs w:val="19"/>
                <w:lang w:eastAsia="zh-CN"/>
              </w:rPr>
              <w:t>in</w:t>
            </w:r>
            <w:r w:rsidRPr="00CB31D0">
              <w:rPr>
                <w:rFonts w:ascii="Times New Roman" w:eastAsia="SimSun" w:hAnsi="Times New Roman"/>
                <w:sz w:val="19"/>
                <w:szCs w:val="19"/>
                <w:lang w:eastAsia="zh-CN"/>
              </w:rPr>
              <w:t>to</w:t>
            </w:r>
            <w:r w:rsidR="00E65B1B"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 xml:space="preserve">all of </w:t>
            </w:r>
            <w:r w:rsidR="00361489" w:rsidRPr="00CB31D0">
              <w:rPr>
                <w:rFonts w:ascii="Times New Roman" w:eastAsia="SimSun" w:hAnsi="Times New Roman"/>
                <w:sz w:val="19"/>
                <w:szCs w:val="19"/>
                <w:lang w:eastAsia="zh-CN"/>
              </w:rPr>
              <w:t>the official</w:t>
            </w:r>
            <w:r w:rsidRPr="00CB31D0">
              <w:rPr>
                <w:rFonts w:ascii="Times New Roman" w:eastAsia="SimSun" w:hAnsi="Times New Roman"/>
                <w:sz w:val="19"/>
                <w:szCs w:val="19"/>
                <w:lang w:eastAsia="zh-CN"/>
              </w:rPr>
              <w:t xml:space="preserve"> languages of the</w:t>
            </w:r>
            <w:r w:rsidR="00361489" w:rsidRPr="00CB31D0">
              <w:rPr>
                <w:rFonts w:ascii="Times New Roman" w:eastAsia="SimSun" w:hAnsi="Times New Roman"/>
                <w:sz w:val="19"/>
                <w:szCs w:val="19"/>
                <w:lang w:eastAsia="zh-CN"/>
              </w:rPr>
              <w:t xml:space="preserve"> United Nations l</w:t>
            </w:r>
            <w:r w:rsidR="00E65B1B" w:rsidRPr="00CB31D0">
              <w:rPr>
                <w:rFonts w:ascii="Times New Roman" w:eastAsia="SimSun" w:hAnsi="Times New Roman"/>
                <w:sz w:val="19"/>
                <w:szCs w:val="19"/>
                <w:lang w:eastAsia="zh-CN"/>
              </w:rPr>
              <w:t xml:space="preserve">anguages, </w:t>
            </w:r>
            <w:r w:rsidRPr="00CB31D0">
              <w:rPr>
                <w:rFonts w:ascii="Times New Roman" w:eastAsia="SimSun" w:hAnsi="Times New Roman"/>
                <w:sz w:val="19"/>
                <w:szCs w:val="19"/>
                <w:lang w:eastAsia="zh-CN"/>
              </w:rPr>
              <w:t xml:space="preserve">publication and </w:t>
            </w:r>
            <w:r w:rsidR="00E65B1B" w:rsidRPr="00CB31D0">
              <w:rPr>
                <w:rFonts w:ascii="Times New Roman" w:eastAsia="SimSun" w:hAnsi="Times New Roman"/>
                <w:sz w:val="19"/>
                <w:szCs w:val="19"/>
                <w:lang w:eastAsia="zh-CN"/>
              </w:rPr>
              <w:t>outreach</w:t>
            </w:r>
            <w:r w:rsidR="00633FDE" w:rsidRPr="00CB31D0">
              <w:rPr>
                <w:rFonts w:ascii="Times New Roman" w:eastAsia="SimSun" w:hAnsi="Times New Roman"/>
                <w:sz w:val="19"/>
                <w:szCs w:val="19"/>
                <w:lang w:eastAsia="zh-CN"/>
              </w:rPr>
              <w:t xml:space="preserve">  </w:t>
            </w:r>
          </w:p>
          <w:p w:rsidR="0002522A" w:rsidRPr="00CB31D0" w:rsidRDefault="0002522A" w:rsidP="00762016">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b/>
                <w:sz w:val="19"/>
                <w:szCs w:val="19"/>
                <w:lang w:eastAsia="zh-CN"/>
              </w:rPr>
            </w:pPr>
          </w:p>
        </w:tc>
        <w:tc>
          <w:tcPr>
            <w:tcW w:w="991" w:type="dxa"/>
          </w:tcPr>
          <w:p w:rsidR="00E65B1B" w:rsidRPr="00CB31D0" w:rsidDel="001E184E" w:rsidRDefault="00E65B1B" w:rsidP="00762016">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eastAsia="zh-CN"/>
              </w:rPr>
            </w:pPr>
            <w:r w:rsidRPr="00CB31D0">
              <w:rPr>
                <w:rFonts w:ascii="Times New Roman" w:eastAsia="SimSun" w:hAnsi="Times New Roman"/>
                <w:sz w:val="19"/>
                <w:szCs w:val="19"/>
                <w:lang w:eastAsia="zh-CN"/>
              </w:rPr>
              <w:t>117</w:t>
            </w:r>
            <w:r w:rsidR="000249A3" w:rsidRPr="00CB31D0">
              <w:rPr>
                <w:rFonts w:ascii="Times New Roman" w:eastAsia="SimSun" w:hAnsi="Times New Roman"/>
                <w:sz w:val="19"/>
                <w:szCs w:val="19"/>
                <w:lang w:eastAsia="zh-CN"/>
              </w:rPr>
              <w:t xml:space="preserve"> </w:t>
            </w:r>
            <w:r w:rsidRPr="00CB31D0">
              <w:rPr>
                <w:rFonts w:ascii="Times New Roman" w:eastAsia="SimSun" w:hAnsi="Times New Roman"/>
                <w:sz w:val="19"/>
                <w:szCs w:val="19"/>
                <w:lang w:eastAsia="zh-CN"/>
              </w:rPr>
              <w:t>000</w:t>
            </w:r>
          </w:p>
        </w:tc>
      </w:tr>
      <w:tr w:rsidR="00E65B1B" w:rsidRPr="00CB31D0" w:rsidTr="00437265">
        <w:tc>
          <w:tcPr>
            <w:tcW w:w="709"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b/>
                <w:sz w:val="19"/>
                <w:szCs w:val="19"/>
                <w:lang w:eastAsia="zh-CN"/>
              </w:rPr>
            </w:pPr>
            <w:r w:rsidRPr="00CB31D0">
              <w:rPr>
                <w:rFonts w:ascii="Times New Roman" w:eastAsia="SimSun" w:hAnsi="Times New Roman"/>
                <w:b/>
                <w:sz w:val="19"/>
                <w:szCs w:val="19"/>
                <w:lang w:eastAsia="zh-CN"/>
              </w:rPr>
              <w:t>Total</w:t>
            </w:r>
          </w:p>
        </w:tc>
        <w:tc>
          <w:tcPr>
            <w:tcW w:w="2836"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3827"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19"/>
                <w:szCs w:val="19"/>
                <w:lang w:eastAsia="zh-CN"/>
              </w:rPr>
            </w:pPr>
          </w:p>
        </w:tc>
        <w:tc>
          <w:tcPr>
            <w:tcW w:w="991" w:type="dxa"/>
          </w:tcPr>
          <w:p w:rsidR="00E65B1B" w:rsidRPr="00CB31D0" w:rsidRDefault="00E65B1B" w:rsidP="00762016">
            <w:pPr>
              <w:pStyle w:val="ListParagraph"/>
              <w:keepNext/>
              <w:keepLines/>
              <w:tabs>
                <w:tab w:val="left" w:pos="426"/>
              </w:tabs>
              <w:autoSpaceDE w:val="0"/>
              <w:autoSpaceDN w:val="0"/>
              <w:adjustRightInd w:val="0"/>
              <w:spacing w:before="60" w:after="60"/>
              <w:ind w:left="0"/>
              <w:contextualSpacing w:val="0"/>
              <w:jc w:val="right"/>
              <w:rPr>
                <w:rFonts w:ascii="Times New Roman" w:eastAsia="SimSun" w:hAnsi="Times New Roman"/>
                <w:b/>
                <w:sz w:val="19"/>
                <w:szCs w:val="19"/>
                <w:lang w:eastAsia="zh-CN"/>
              </w:rPr>
            </w:pPr>
            <w:r w:rsidRPr="00CB31D0">
              <w:rPr>
                <w:rFonts w:ascii="Times New Roman" w:eastAsia="SimSun" w:hAnsi="Times New Roman"/>
                <w:b/>
                <w:sz w:val="19"/>
                <w:szCs w:val="19"/>
                <w:lang w:eastAsia="zh-CN"/>
              </w:rPr>
              <w:t>1</w:t>
            </w:r>
            <w:r w:rsidR="000249A3" w:rsidRPr="00CB31D0">
              <w:rPr>
                <w:rFonts w:ascii="Times New Roman" w:eastAsia="SimSun" w:hAnsi="Times New Roman"/>
                <w:b/>
                <w:sz w:val="19"/>
                <w:szCs w:val="19"/>
                <w:lang w:eastAsia="zh-CN"/>
              </w:rPr>
              <w:t xml:space="preserve"> </w:t>
            </w:r>
            <w:r w:rsidRPr="00CB31D0">
              <w:rPr>
                <w:rFonts w:ascii="Times New Roman" w:eastAsia="SimSun" w:hAnsi="Times New Roman"/>
                <w:b/>
                <w:sz w:val="19"/>
                <w:szCs w:val="19"/>
                <w:lang w:eastAsia="zh-CN"/>
              </w:rPr>
              <w:t>141</w:t>
            </w:r>
            <w:r w:rsidR="000249A3" w:rsidRPr="00CB31D0">
              <w:rPr>
                <w:rFonts w:ascii="Times New Roman" w:eastAsia="SimSun" w:hAnsi="Times New Roman"/>
                <w:b/>
                <w:sz w:val="19"/>
                <w:szCs w:val="19"/>
                <w:lang w:eastAsia="zh-CN"/>
              </w:rPr>
              <w:t xml:space="preserve"> </w:t>
            </w:r>
            <w:r w:rsidRPr="00CB31D0">
              <w:rPr>
                <w:rFonts w:ascii="Times New Roman" w:eastAsia="SimSun" w:hAnsi="Times New Roman"/>
                <w:b/>
                <w:sz w:val="19"/>
                <w:szCs w:val="19"/>
                <w:lang w:eastAsia="zh-CN"/>
              </w:rPr>
              <w:t>500</w:t>
            </w:r>
          </w:p>
        </w:tc>
      </w:tr>
    </w:tbl>
    <w:p w:rsidR="004E0C38" w:rsidRPr="00CB31D0" w:rsidRDefault="00D11D69" w:rsidP="00762016">
      <w:pPr>
        <w:pStyle w:val="CH3"/>
        <w:keepLines w:val="0"/>
        <w:spacing w:before="120"/>
        <w:rPr>
          <w:sz w:val="20"/>
          <w:szCs w:val="20"/>
          <w:lang w:val="en-GB"/>
        </w:rPr>
      </w:pPr>
      <w:r w:rsidRPr="00CB31D0">
        <w:rPr>
          <w:sz w:val="20"/>
          <w:szCs w:val="20"/>
          <w:lang w:val="en-GB"/>
        </w:rPr>
        <w:tab/>
      </w:r>
      <w:r w:rsidRPr="00CB31D0">
        <w:rPr>
          <w:sz w:val="20"/>
          <w:szCs w:val="20"/>
          <w:lang w:val="en-GB"/>
        </w:rPr>
        <w:tab/>
      </w:r>
    </w:p>
    <w:p w:rsidR="00E65B1B" w:rsidRPr="00CB31D0" w:rsidRDefault="004E0C38" w:rsidP="00D80293">
      <w:pPr>
        <w:pStyle w:val="CH3"/>
        <w:keepLines w:val="0"/>
        <w:spacing w:before="120" w:after="360"/>
        <w:rPr>
          <w:sz w:val="20"/>
          <w:szCs w:val="20"/>
          <w:lang w:val="en-GB"/>
        </w:rPr>
      </w:pPr>
      <w:r w:rsidRPr="00CB31D0">
        <w:rPr>
          <w:sz w:val="20"/>
          <w:szCs w:val="20"/>
          <w:lang w:val="en-GB"/>
        </w:rPr>
        <w:br w:type="page"/>
      </w:r>
      <w:r w:rsidR="00E65B1B" w:rsidRPr="00CB31D0">
        <w:rPr>
          <w:lang w:val="en-GB"/>
        </w:rPr>
        <w:lastRenderedPageBreak/>
        <w:t>References</w:t>
      </w:r>
      <w:r w:rsidR="00C6370C" w:rsidRPr="00CB31D0">
        <w:rPr>
          <w:sz w:val="20"/>
          <w:szCs w:val="20"/>
          <w:lang w:val="en-GB"/>
        </w:rPr>
        <w:t xml:space="preserve"> </w:t>
      </w:r>
    </w:p>
    <w:p w:rsidR="00E65B1B" w:rsidRPr="00CB31D0" w:rsidRDefault="009D4BA6" w:rsidP="00762016">
      <w:pPr>
        <w:pStyle w:val="NormalNonumber"/>
        <w:keepNext/>
        <w:rPr>
          <w:sz w:val="20"/>
          <w:szCs w:val="20"/>
          <w:lang w:val="en-GB"/>
        </w:rPr>
      </w:pPr>
      <w:r w:rsidRPr="00CB31D0">
        <w:rPr>
          <w:sz w:val="20"/>
          <w:szCs w:val="20"/>
          <w:lang w:val="en-GB"/>
        </w:rPr>
        <w:t xml:space="preserve">Food and Agriculture Organization of the United Nations, </w:t>
      </w:r>
      <w:r w:rsidR="00E65B1B" w:rsidRPr="00CB31D0">
        <w:rPr>
          <w:i/>
          <w:sz w:val="20"/>
          <w:szCs w:val="20"/>
          <w:lang w:val="en-GB"/>
        </w:rPr>
        <w:t>Biodiversity for Food and Agriculture</w:t>
      </w:r>
      <w:r w:rsidR="003D2C19" w:rsidRPr="00CB31D0">
        <w:rPr>
          <w:i/>
          <w:sz w:val="20"/>
          <w:szCs w:val="20"/>
          <w:lang w:val="en-GB"/>
        </w:rPr>
        <w:t>:</w:t>
      </w:r>
      <w:r w:rsidR="00545F24" w:rsidRPr="00CB31D0">
        <w:rPr>
          <w:i/>
          <w:sz w:val="20"/>
          <w:szCs w:val="20"/>
          <w:lang w:val="en-GB"/>
        </w:rPr>
        <w:t xml:space="preserve"> </w:t>
      </w:r>
      <w:r w:rsidR="00E65B1B" w:rsidRPr="00CB31D0">
        <w:rPr>
          <w:i/>
          <w:sz w:val="20"/>
          <w:szCs w:val="20"/>
          <w:lang w:val="en-GB"/>
        </w:rPr>
        <w:t xml:space="preserve">Contributing to </w:t>
      </w:r>
      <w:r w:rsidR="00545F24" w:rsidRPr="00CB31D0">
        <w:rPr>
          <w:i/>
          <w:sz w:val="20"/>
          <w:szCs w:val="20"/>
          <w:lang w:val="en-GB"/>
        </w:rPr>
        <w:t>F</w:t>
      </w:r>
      <w:r w:rsidR="00E65B1B" w:rsidRPr="00CB31D0">
        <w:rPr>
          <w:i/>
          <w:sz w:val="20"/>
          <w:szCs w:val="20"/>
          <w:lang w:val="en-GB"/>
        </w:rPr>
        <w:t xml:space="preserve">ood </w:t>
      </w:r>
      <w:r w:rsidR="00545F24" w:rsidRPr="00CB31D0">
        <w:rPr>
          <w:i/>
          <w:sz w:val="20"/>
          <w:szCs w:val="20"/>
          <w:lang w:val="en-GB"/>
        </w:rPr>
        <w:t>S</w:t>
      </w:r>
      <w:r w:rsidR="00E65B1B" w:rsidRPr="00CB31D0">
        <w:rPr>
          <w:i/>
          <w:sz w:val="20"/>
          <w:szCs w:val="20"/>
          <w:lang w:val="en-GB"/>
        </w:rPr>
        <w:t xml:space="preserve">ecurity and </w:t>
      </w:r>
      <w:r w:rsidR="00545F24" w:rsidRPr="00CB31D0">
        <w:rPr>
          <w:i/>
          <w:sz w:val="20"/>
          <w:szCs w:val="20"/>
          <w:lang w:val="en-GB"/>
        </w:rPr>
        <w:t>S</w:t>
      </w:r>
      <w:r w:rsidR="00E65B1B" w:rsidRPr="00CB31D0">
        <w:rPr>
          <w:i/>
          <w:sz w:val="20"/>
          <w:szCs w:val="20"/>
          <w:lang w:val="en-GB"/>
        </w:rPr>
        <w:t xml:space="preserve">ustainability in a </w:t>
      </w:r>
      <w:r w:rsidR="00545F24" w:rsidRPr="00CB31D0">
        <w:rPr>
          <w:i/>
          <w:sz w:val="20"/>
          <w:szCs w:val="20"/>
          <w:lang w:val="en-GB"/>
        </w:rPr>
        <w:t>C</w:t>
      </w:r>
      <w:r w:rsidR="00E65B1B" w:rsidRPr="00CB31D0">
        <w:rPr>
          <w:i/>
          <w:sz w:val="20"/>
          <w:szCs w:val="20"/>
          <w:lang w:val="en-GB"/>
        </w:rPr>
        <w:t xml:space="preserve">hanging </w:t>
      </w:r>
      <w:r w:rsidR="00545F24" w:rsidRPr="00CB31D0">
        <w:rPr>
          <w:i/>
          <w:sz w:val="20"/>
          <w:szCs w:val="20"/>
          <w:lang w:val="en-GB"/>
        </w:rPr>
        <w:t>W</w:t>
      </w:r>
      <w:r w:rsidR="00E65B1B" w:rsidRPr="00CB31D0">
        <w:rPr>
          <w:i/>
          <w:sz w:val="20"/>
          <w:szCs w:val="20"/>
          <w:lang w:val="en-GB"/>
        </w:rPr>
        <w:t>orld</w:t>
      </w:r>
      <w:r w:rsidRPr="00CB31D0">
        <w:rPr>
          <w:sz w:val="20"/>
          <w:szCs w:val="20"/>
          <w:lang w:val="en-GB"/>
        </w:rPr>
        <w:t xml:space="preserve"> (2011)</w:t>
      </w:r>
      <w:r w:rsidR="00E65B1B" w:rsidRPr="00CB31D0">
        <w:rPr>
          <w:sz w:val="20"/>
          <w:szCs w:val="20"/>
          <w:lang w:val="en-GB"/>
        </w:rPr>
        <w:t xml:space="preserve">. </w:t>
      </w:r>
    </w:p>
    <w:p w:rsidR="00E65B1B" w:rsidRPr="00CB31D0" w:rsidRDefault="009D4BA6" w:rsidP="00D11D69">
      <w:pPr>
        <w:pStyle w:val="NormalNonumber"/>
        <w:rPr>
          <w:sz w:val="20"/>
          <w:szCs w:val="20"/>
          <w:lang w:val="en-GB"/>
        </w:rPr>
      </w:pPr>
      <w:r w:rsidRPr="00CB31D0">
        <w:rPr>
          <w:sz w:val="20"/>
          <w:szCs w:val="20"/>
          <w:lang w:val="en-GB"/>
        </w:rPr>
        <w:t xml:space="preserve">T. </w:t>
      </w:r>
      <w:r w:rsidR="00E65B1B" w:rsidRPr="00CB31D0">
        <w:rPr>
          <w:sz w:val="20"/>
          <w:szCs w:val="20"/>
          <w:lang w:val="en-GB"/>
        </w:rPr>
        <w:t>Garnett</w:t>
      </w:r>
      <w:r w:rsidRPr="00CB31D0">
        <w:rPr>
          <w:sz w:val="20"/>
          <w:szCs w:val="20"/>
          <w:lang w:val="en-GB"/>
        </w:rPr>
        <w:t xml:space="preserve"> and others</w:t>
      </w:r>
      <w:r w:rsidR="003D2C19" w:rsidRPr="00CB31D0">
        <w:rPr>
          <w:sz w:val="20"/>
          <w:szCs w:val="20"/>
          <w:lang w:val="en-GB"/>
        </w:rPr>
        <w:t>,</w:t>
      </w:r>
      <w:r w:rsidR="00E65B1B" w:rsidRPr="00CB31D0">
        <w:rPr>
          <w:sz w:val="20"/>
          <w:szCs w:val="20"/>
          <w:lang w:val="en-GB"/>
        </w:rPr>
        <w:t xml:space="preserve"> </w:t>
      </w:r>
      <w:r w:rsidR="0045436D" w:rsidRPr="00CB31D0">
        <w:rPr>
          <w:sz w:val="20"/>
          <w:szCs w:val="20"/>
          <w:lang w:val="en-GB"/>
        </w:rPr>
        <w:t>“</w:t>
      </w:r>
      <w:r w:rsidR="00E65B1B" w:rsidRPr="00CB31D0">
        <w:rPr>
          <w:sz w:val="20"/>
          <w:szCs w:val="20"/>
          <w:lang w:val="en-GB"/>
        </w:rPr>
        <w:t xml:space="preserve">Sustainable </w:t>
      </w:r>
      <w:r w:rsidR="00545F24" w:rsidRPr="00CB31D0">
        <w:rPr>
          <w:sz w:val="20"/>
          <w:szCs w:val="20"/>
          <w:lang w:val="en-GB"/>
        </w:rPr>
        <w:t>i</w:t>
      </w:r>
      <w:r w:rsidR="00E65B1B" w:rsidRPr="00CB31D0">
        <w:rPr>
          <w:sz w:val="20"/>
          <w:szCs w:val="20"/>
          <w:lang w:val="en-GB"/>
        </w:rPr>
        <w:t xml:space="preserve">ntensification in </w:t>
      </w:r>
      <w:r w:rsidR="00545F24" w:rsidRPr="00CB31D0">
        <w:rPr>
          <w:sz w:val="20"/>
          <w:szCs w:val="20"/>
          <w:lang w:val="en-GB"/>
        </w:rPr>
        <w:t>a</w:t>
      </w:r>
      <w:r w:rsidR="00E65B1B" w:rsidRPr="00CB31D0">
        <w:rPr>
          <w:sz w:val="20"/>
          <w:szCs w:val="20"/>
          <w:lang w:val="en-GB"/>
        </w:rPr>
        <w:t xml:space="preserve">griculture: </w:t>
      </w:r>
      <w:r w:rsidR="00545F24" w:rsidRPr="00CB31D0">
        <w:rPr>
          <w:sz w:val="20"/>
          <w:szCs w:val="20"/>
          <w:lang w:val="en-GB"/>
        </w:rPr>
        <w:t>p</w:t>
      </w:r>
      <w:r w:rsidR="00E65B1B" w:rsidRPr="00CB31D0">
        <w:rPr>
          <w:sz w:val="20"/>
          <w:szCs w:val="20"/>
          <w:lang w:val="en-GB"/>
        </w:rPr>
        <w:t xml:space="preserve">remises and </w:t>
      </w:r>
      <w:r w:rsidR="00545F24" w:rsidRPr="00CB31D0">
        <w:rPr>
          <w:sz w:val="20"/>
          <w:szCs w:val="20"/>
          <w:lang w:val="en-GB"/>
        </w:rPr>
        <w:t>p</w:t>
      </w:r>
      <w:r w:rsidR="00E65B1B" w:rsidRPr="00CB31D0">
        <w:rPr>
          <w:sz w:val="20"/>
          <w:szCs w:val="20"/>
          <w:lang w:val="en-GB"/>
        </w:rPr>
        <w:t>olicies</w:t>
      </w:r>
      <w:r w:rsidR="0045436D" w:rsidRPr="00CB31D0">
        <w:rPr>
          <w:sz w:val="20"/>
          <w:szCs w:val="20"/>
          <w:lang w:val="en-GB"/>
        </w:rPr>
        <w:t xml:space="preserve">”, </w:t>
      </w:r>
      <w:r w:rsidR="00E65B1B" w:rsidRPr="00CB31D0">
        <w:rPr>
          <w:i/>
          <w:sz w:val="20"/>
          <w:szCs w:val="20"/>
          <w:lang w:val="en-GB"/>
        </w:rPr>
        <w:t>Science</w:t>
      </w:r>
      <w:r w:rsidR="0045436D" w:rsidRPr="00CB31D0">
        <w:rPr>
          <w:sz w:val="20"/>
          <w:szCs w:val="20"/>
          <w:lang w:val="en-GB"/>
        </w:rPr>
        <w:t>, vol.</w:t>
      </w:r>
      <w:r w:rsidR="00A53029" w:rsidRPr="00CB31D0">
        <w:rPr>
          <w:sz w:val="20"/>
          <w:szCs w:val="20"/>
          <w:lang w:val="en-GB"/>
        </w:rPr>
        <w:t> </w:t>
      </w:r>
      <w:r w:rsidR="00E65B1B" w:rsidRPr="00CB31D0">
        <w:rPr>
          <w:sz w:val="20"/>
          <w:szCs w:val="20"/>
          <w:lang w:val="en-GB"/>
        </w:rPr>
        <w:t>341</w:t>
      </w:r>
      <w:r w:rsidR="0045436D" w:rsidRPr="00CB31D0">
        <w:rPr>
          <w:sz w:val="20"/>
          <w:szCs w:val="20"/>
          <w:lang w:val="en-GB"/>
        </w:rPr>
        <w:t>, pp.</w:t>
      </w:r>
      <w:r w:rsidR="00E65B1B" w:rsidRPr="00CB31D0">
        <w:rPr>
          <w:sz w:val="20"/>
          <w:szCs w:val="20"/>
          <w:lang w:val="en-GB"/>
        </w:rPr>
        <w:t xml:space="preserve"> 33</w:t>
      </w:r>
      <w:r w:rsidR="00545F24" w:rsidRPr="00CB31D0">
        <w:rPr>
          <w:sz w:val="20"/>
          <w:szCs w:val="20"/>
          <w:lang w:val="en-GB"/>
        </w:rPr>
        <w:t xml:space="preserve"> and </w:t>
      </w:r>
      <w:r w:rsidR="00E65B1B" w:rsidRPr="00CB31D0">
        <w:rPr>
          <w:sz w:val="20"/>
          <w:szCs w:val="20"/>
          <w:lang w:val="en-GB"/>
        </w:rPr>
        <w:t>34</w:t>
      </w:r>
      <w:r w:rsidR="0045436D" w:rsidRPr="00CB31D0">
        <w:rPr>
          <w:sz w:val="20"/>
          <w:szCs w:val="20"/>
          <w:lang w:val="en-GB"/>
        </w:rPr>
        <w:t xml:space="preserve"> (2013)</w:t>
      </w:r>
      <w:r w:rsidR="00E65B1B" w:rsidRPr="00CB31D0">
        <w:rPr>
          <w:sz w:val="20"/>
          <w:szCs w:val="20"/>
          <w:lang w:val="en-GB"/>
        </w:rPr>
        <w:t xml:space="preserve">. </w:t>
      </w:r>
    </w:p>
    <w:p w:rsidR="00A53029" w:rsidRPr="00CB31D0" w:rsidRDefault="00A53029" w:rsidP="00A53029">
      <w:pPr>
        <w:pStyle w:val="Normal-pool"/>
        <w:rPr>
          <w:sz w:val="20"/>
          <w:szCs w:val="20"/>
        </w:rPr>
      </w:pPr>
    </w:p>
    <w:tbl>
      <w:tblPr>
        <w:tblW w:w="0" w:type="auto"/>
        <w:tblLook w:val="01E0" w:firstRow="1" w:lastRow="1" w:firstColumn="1" w:lastColumn="1" w:noHBand="0" w:noVBand="0"/>
      </w:tblPr>
      <w:tblGrid>
        <w:gridCol w:w="3237"/>
        <w:gridCol w:w="3237"/>
        <w:gridCol w:w="3238"/>
      </w:tblGrid>
      <w:tr w:rsidR="001F1737" w:rsidRPr="00CB31D0">
        <w:tc>
          <w:tcPr>
            <w:tcW w:w="3237" w:type="dxa"/>
          </w:tcPr>
          <w:p w:rsidR="001F1737" w:rsidRPr="00CB31D0" w:rsidRDefault="001F1737" w:rsidP="00A53029">
            <w:pPr>
              <w:pStyle w:val="Normal-pool"/>
              <w:rPr>
                <w:sz w:val="20"/>
                <w:szCs w:val="20"/>
              </w:rPr>
            </w:pPr>
          </w:p>
        </w:tc>
        <w:tc>
          <w:tcPr>
            <w:tcW w:w="3237" w:type="dxa"/>
            <w:tcBorders>
              <w:bottom w:val="single" w:sz="4" w:space="0" w:color="auto"/>
            </w:tcBorders>
          </w:tcPr>
          <w:p w:rsidR="001F1737" w:rsidRPr="00CB31D0" w:rsidRDefault="001F1737" w:rsidP="00A53029">
            <w:pPr>
              <w:pStyle w:val="Normal-pool"/>
              <w:rPr>
                <w:sz w:val="20"/>
                <w:szCs w:val="20"/>
              </w:rPr>
            </w:pPr>
          </w:p>
        </w:tc>
        <w:tc>
          <w:tcPr>
            <w:tcW w:w="3238" w:type="dxa"/>
          </w:tcPr>
          <w:p w:rsidR="001F1737" w:rsidRPr="00CB31D0" w:rsidRDefault="001F1737" w:rsidP="00A53029">
            <w:pPr>
              <w:pStyle w:val="Normal-pool"/>
              <w:rPr>
                <w:sz w:val="20"/>
                <w:szCs w:val="20"/>
              </w:rPr>
            </w:pPr>
          </w:p>
        </w:tc>
      </w:tr>
    </w:tbl>
    <w:p w:rsidR="00D11D69" w:rsidRPr="00CB31D0" w:rsidRDefault="00D11D69" w:rsidP="00A53029">
      <w:pPr>
        <w:pStyle w:val="Normal-pool"/>
        <w:rPr>
          <w:sz w:val="20"/>
          <w:szCs w:val="20"/>
        </w:rPr>
      </w:pPr>
    </w:p>
    <w:sectPr w:rsidR="00D11D69" w:rsidRPr="00CB31D0" w:rsidSect="004372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B7" w:rsidRDefault="007B10B7">
      <w:r>
        <w:separator/>
      </w:r>
    </w:p>
  </w:endnote>
  <w:endnote w:type="continuationSeparator" w:id="0">
    <w:p w:rsidR="007B10B7" w:rsidRDefault="007B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B8" w:rsidRDefault="00C962B8">
    <w:pPr>
      <w:pStyle w:val="Footer"/>
    </w:pPr>
    <w:r>
      <w:rPr>
        <w:rStyle w:val="PageNumber"/>
      </w:rPr>
      <w:fldChar w:fldCharType="begin"/>
    </w:r>
    <w:r>
      <w:rPr>
        <w:rStyle w:val="PageNumber"/>
      </w:rPr>
      <w:instrText xml:space="preserve"> PAGE </w:instrText>
    </w:r>
    <w:r>
      <w:rPr>
        <w:rStyle w:val="PageNumber"/>
      </w:rPr>
      <w:fldChar w:fldCharType="separate"/>
    </w:r>
    <w:r w:rsidR="00C974C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B8" w:rsidRDefault="00C962B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974C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B8" w:rsidRPr="00864922" w:rsidRDefault="00C962B8"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K1353346</w:t>
    </w:r>
    <w:r>
      <w:rPr>
        <w:rFonts w:ascii="Times New Roman" w:hAnsi="Times New Roman"/>
        <w:sz w:val="20"/>
        <w:szCs w:val="20"/>
      </w:rPr>
      <w:tab/>
    </w:r>
    <w:r w:rsidR="00F12CE2">
      <w:rPr>
        <w:rFonts w:ascii="Times New Roman" w:hAnsi="Times New Roman"/>
        <w:sz w:val="20"/>
        <w:szCs w:val="20"/>
      </w:rPr>
      <w:t>2</w:t>
    </w:r>
    <w:r w:rsidR="00CB31D0">
      <w:rPr>
        <w:rFonts w:ascii="Times New Roman" w:hAnsi="Times New Roman"/>
        <w:sz w:val="20"/>
        <w:szCs w:val="20"/>
      </w:rPr>
      <w:t>9</w:t>
    </w:r>
    <w:r w:rsidR="00F12CE2">
      <w:rPr>
        <w:rFonts w:ascii="Times New Roman" w:hAnsi="Times New Roman"/>
        <w:sz w:val="20"/>
        <w:szCs w:val="20"/>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B7" w:rsidRPr="00A53029" w:rsidRDefault="007B10B7" w:rsidP="00A53029">
      <w:pPr>
        <w:spacing w:after="120" w:line="240" w:lineRule="auto"/>
        <w:ind w:left="624"/>
        <w:rPr>
          <w:rFonts w:ascii="Times New Roman" w:hAnsi="Times New Roman"/>
          <w:sz w:val="20"/>
          <w:szCs w:val="20"/>
        </w:rPr>
      </w:pPr>
      <w:r w:rsidRPr="00A53029">
        <w:rPr>
          <w:rFonts w:ascii="Times New Roman" w:hAnsi="Times New Roman"/>
          <w:sz w:val="20"/>
          <w:szCs w:val="20"/>
        </w:rPr>
        <w:separator/>
      </w:r>
    </w:p>
  </w:footnote>
  <w:footnote w:type="continuationSeparator" w:id="0">
    <w:p w:rsidR="007B10B7" w:rsidRDefault="007B10B7">
      <w:r>
        <w:continuationSeparator/>
      </w:r>
    </w:p>
  </w:footnote>
  <w:footnote w:id="1">
    <w:p w:rsidR="00C962B8" w:rsidRPr="003F7521" w:rsidRDefault="00C962B8" w:rsidP="008A5A06">
      <w:pPr>
        <w:pStyle w:val="FootnoteText"/>
        <w:rPr>
          <w:lang w:val="en-US"/>
        </w:rPr>
      </w:pPr>
      <w:r w:rsidRPr="00416EAB">
        <w:rPr>
          <w:rStyle w:val="FootnoteReference"/>
        </w:rPr>
        <w:sym w:font="Symbol" w:char="F02A"/>
      </w:r>
      <w:r>
        <w:t xml:space="preserve"> </w:t>
      </w:r>
      <w:r w:rsidRPr="003F7521">
        <w:rPr>
          <w:szCs w:val="18"/>
        </w:rPr>
        <w:t>IPBES/</w:t>
      </w:r>
      <w:r w:rsidRPr="003F7521">
        <w:rPr>
          <w:szCs w:val="18"/>
          <w:lang w:eastAsia="ja-JP"/>
        </w:rPr>
        <w:t>2/1</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B8" w:rsidRPr="00194D87" w:rsidRDefault="00C962B8" w:rsidP="00194D87">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w:t>
    </w:r>
    <w:r>
      <w:rPr>
        <w:rFonts w:ascii="Times New Roman" w:hAnsi="Times New Roman"/>
        <w:szCs w:val="18"/>
        <w:lang w:val="en-US" w:eastAsia="ja-JP"/>
      </w:rPr>
      <w:t>16/Add.7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B8" w:rsidRPr="00194D87" w:rsidRDefault="00C962B8" w:rsidP="00194D87">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w:t>
    </w:r>
    <w:r>
      <w:rPr>
        <w:rFonts w:ascii="Times New Roman" w:hAnsi="Times New Roman"/>
        <w:szCs w:val="18"/>
        <w:lang w:val="en-US" w:eastAsia="ja-JP"/>
      </w:rPr>
      <w:t>6/Add.7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B8" w:rsidRPr="00762016" w:rsidRDefault="00C962B8" w:rsidP="00762016">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53FB"/>
    <w:multiLevelType w:val="hybridMultilevel"/>
    <w:tmpl w:val="35BA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712A5"/>
    <w:multiLevelType w:val="hybridMultilevel"/>
    <w:tmpl w:val="E8B29EF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Arial"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Arial"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Arial"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078355A"/>
    <w:multiLevelType w:val="hybridMultilevel"/>
    <w:tmpl w:val="F3F22250"/>
    <w:lvl w:ilvl="0" w:tplc="56265ED8">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0">
    <w:nsid w:val="62291BF8"/>
    <w:multiLevelType w:val="multilevel"/>
    <w:tmpl w:val="F4ACF36E"/>
    <w:numStyleLink w:val="Normallist"/>
  </w:abstractNum>
  <w:num w:numId="1">
    <w:abstractNumId w:val="8"/>
  </w:num>
  <w:num w:numId="2">
    <w:abstractNumId w:val="3"/>
  </w:num>
  <w:num w:numId="3">
    <w:abstractNumId w:val="5"/>
  </w:num>
  <w:num w:numId="4">
    <w:abstractNumId w:val="10"/>
  </w:num>
  <w:num w:numId="5">
    <w:abstractNumId w:val="1"/>
  </w:num>
  <w:num w:numId="6">
    <w:abstractNumId w:val="4"/>
  </w:num>
  <w:num w:numId="7">
    <w:abstractNumId w:val="6"/>
  </w:num>
  <w:num w:numId="8">
    <w:abstractNumId w:val="0"/>
  </w:num>
  <w:num w:numId="9">
    <w:abstractNumId w:val="2"/>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7"/>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9"/>
  </w:num>
  <w:num w:numId="38">
    <w:abstractNumId w:val="10"/>
  </w:num>
  <w:num w:numId="39">
    <w:abstractNumId w:val="10"/>
  </w:num>
  <w:num w:numId="40">
    <w:abstractNumId w:val="10"/>
  </w:num>
  <w:num w:numId="41">
    <w:abstractNumId w:val="10"/>
  </w:num>
  <w:num w:numId="42">
    <w:abstractNumId w:val="10"/>
  </w:num>
  <w:num w:numId="4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149E6"/>
    <w:rsid w:val="000179E3"/>
    <w:rsid w:val="000247B0"/>
    <w:rsid w:val="000249A3"/>
    <w:rsid w:val="0002522A"/>
    <w:rsid w:val="00026997"/>
    <w:rsid w:val="00031DF0"/>
    <w:rsid w:val="00033E0B"/>
    <w:rsid w:val="00035EDE"/>
    <w:rsid w:val="00046CB9"/>
    <w:rsid w:val="000509B4"/>
    <w:rsid w:val="000537AB"/>
    <w:rsid w:val="0006035B"/>
    <w:rsid w:val="0007166E"/>
    <w:rsid w:val="0007169A"/>
    <w:rsid w:val="00071886"/>
    <w:rsid w:val="000742BC"/>
    <w:rsid w:val="00082A0C"/>
    <w:rsid w:val="00083504"/>
    <w:rsid w:val="0009640C"/>
    <w:rsid w:val="000A2847"/>
    <w:rsid w:val="000B199B"/>
    <w:rsid w:val="000B21D5"/>
    <w:rsid w:val="000B22A2"/>
    <w:rsid w:val="000C2A52"/>
    <w:rsid w:val="000D33C0"/>
    <w:rsid w:val="000D6941"/>
    <w:rsid w:val="000F0B1E"/>
    <w:rsid w:val="000F4B6E"/>
    <w:rsid w:val="00115F01"/>
    <w:rsid w:val="001202E3"/>
    <w:rsid w:val="00123699"/>
    <w:rsid w:val="0013059D"/>
    <w:rsid w:val="00141A55"/>
    <w:rsid w:val="001446A3"/>
    <w:rsid w:val="00155395"/>
    <w:rsid w:val="00164791"/>
    <w:rsid w:val="00166EBC"/>
    <w:rsid w:val="00170D52"/>
    <w:rsid w:val="00171546"/>
    <w:rsid w:val="00181EC8"/>
    <w:rsid w:val="00184349"/>
    <w:rsid w:val="001867F5"/>
    <w:rsid w:val="00194D87"/>
    <w:rsid w:val="00195F33"/>
    <w:rsid w:val="001B1617"/>
    <w:rsid w:val="001B4912"/>
    <w:rsid w:val="001B504B"/>
    <w:rsid w:val="001D3874"/>
    <w:rsid w:val="001D7E75"/>
    <w:rsid w:val="001E56D2"/>
    <w:rsid w:val="001E7D56"/>
    <w:rsid w:val="001F1737"/>
    <w:rsid w:val="001F60D3"/>
    <w:rsid w:val="001F75DE"/>
    <w:rsid w:val="00200D58"/>
    <w:rsid w:val="002013BE"/>
    <w:rsid w:val="00202ACD"/>
    <w:rsid w:val="002063A4"/>
    <w:rsid w:val="0021145B"/>
    <w:rsid w:val="00221178"/>
    <w:rsid w:val="00221898"/>
    <w:rsid w:val="002324CD"/>
    <w:rsid w:val="002417AA"/>
    <w:rsid w:val="00243D36"/>
    <w:rsid w:val="002466F9"/>
    <w:rsid w:val="00247707"/>
    <w:rsid w:val="002826F5"/>
    <w:rsid w:val="00286740"/>
    <w:rsid w:val="002929D8"/>
    <w:rsid w:val="00293850"/>
    <w:rsid w:val="00294131"/>
    <w:rsid w:val="002A237D"/>
    <w:rsid w:val="002A4C53"/>
    <w:rsid w:val="002B0672"/>
    <w:rsid w:val="002B1B4C"/>
    <w:rsid w:val="002B247F"/>
    <w:rsid w:val="002B3767"/>
    <w:rsid w:val="002B5C29"/>
    <w:rsid w:val="002C145D"/>
    <w:rsid w:val="002C2C3E"/>
    <w:rsid w:val="002C533E"/>
    <w:rsid w:val="002D027F"/>
    <w:rsid w:val="002D5847"/>
    <w:rsid w:val="002D7A85"/>
    <w:rsid w:val="002D7B60"/>
    <w:rsid w:val="002F4761"/>
    <w:rsid w:val="002F5C79"/>
    <w:rsid w:val="003019E2"/>
    <w:rsid w:val="00305EB8"/>
    <w:rsid w:val="00310C00"/>
    <w:rsid w:val="00310FD9"/>
    <w:rsid w:val="0031413F"/>
    <w:rsid w:val="003148BB"/>
    <w:rsid w:val="00315D2C"/>
    <w:rsid w:val="00316934"/>
    <w:rsid w:val="00317297"/>
    <w:rsid w:val="00317976"/>
    <w:rsid w:val="00355EA9"/>
    <w:rsid w:val="003578DE"/>
    <w:rsid w:val="00361489"/>
    <w:rsid w:val="00364DCD"/>
    <w:rsid w:val="00382C3B"/>
    <w:rsid w:val="003900AF"/>
    <w:rsid w:val="00396257"/>
    <w:rsid w:val="00397EB8"/>
    <w:rsid w:val="003A086E"/>
    <w:rsid w:val="003A4FD0"/>
    <w:rsid w:val="003A50F0"/>
    <w:rsid w:val="003A69D1"/>
    <w:rsid w:val="003A7375"/>
    <w:rsid w:val="003A7705"/>
    <w:rsid w:val="003A7F14"/>
    <w:rsid w:val="003B1545"/>
    <w:rsid w:val="003B35B9"/>
    <w:rsid w:val="003C409D"/>
    <w:rsid w:val="003C5BA6"/>
    <w:rsid w:val="003D2C19"/>
    <w:rsid w:val="003F0E85"/>
    <w:rsid w:val="003F3DDC"/>
    <w:rsid w:val="003F47FF"/>
    <w:rsid w:val="003F523D"/>
    <w:rsid w:val="00405251"/>
    <w:rsid w:val="00410C55"/>
    <w:rsid w:val="00416854"/>
    <w:rsid w:val="00417725"/>
    <w:rsid w:val="004307A6"/>
    <w:rsid w:val="00437265"/>
    <w:rsid w:val="00437F26"/>
    <w:rsid w:val="00444097"/>
    <w:rsid w:val="00445487"/>
    <w:rsid w:val="00450D14"/>
    <w:rsid w:val="0045313A"/>
    <w:rsid w:val="0045436D"/>
    <w:rsid w:val="00454769"/>
    <w:rsid w:val="00466991"/>
    <w:rsid w:val="0047064C"/>
    <w:rsid w:val="00483894"/>
    <w:rsid w:val="00484DE9"/>
    <w:rsid w:val="004863D2"/>
    <w:rsid w:val="00486557"/>
    <w:rsid w:val="00497A15"/>
    <w:rsid w:val="004A42E1"/>
    <w:rsid w:val="004B162C"/>
    <w:rsid w:val="004C3DBE"/>
    <w:rsid w:val="004C5C96"/>
    <w:rsid w:val="004D06A4"/>
    <w:rsid w:val="004D15EA"/>
    <w:rsid w:val="004E0C38"/>
    <w:rsid w:val="004F00DD"/>
    <w:rsid w:val="004F1A81"/>
    <w:rsid w:val="00500621"/>
    <w:rsid w:val="005218D9"/>
    <w:rsid w:val="00535AB5"/>
    <w:rsid w:val="00536186"/>
    <w:rsid w:val="00536907"/>
    <w:rsid w:val="00544CBB"/>
    <w:rsid w:val="00545F24"/>
    <w:rsid w:val="0057315F"/>
    <w:rsid w:val="00576104"/>
    <w:rsid w:val="0057716D"/>
    <w:rsid w:val="0058054B"/>
    <w:rsid w:val="0058068F"/>
    <w:rsid w:val="005844C4"/>
    <w:rsid w:val="005926C2"/>
    <w:rsid w:val="005C04E2"/>
    <w:rsid w:val="005C67C8"/>
    <w:rsid w:val="005D0249"/>
    <w:rsid w:val="005D6E8C"/>
    <w:rsid w:val="005F100C"/>
    <w:rsid w:val="005F68DA"/>
    <w:rsid w:val="0060773B"/>
    <w:rsid w:val="006116FA"/>
    <w:rsid w:val="006157B5"/>
    <w:rsid w:val="00626FC6"/>
    <w:rsid w:val="006303B4"/>
    <w:rsid w:val="00633D3D"/>
    <w:rsid w:val="00633FDE"/>
    <w:rsid w:val="00637048"/>
    <w:rsid w:val="00641703"/>
    <w:rsid w:val="006431A6"/>
    <w:rsid w:val="006459F6"/>
    <w:rsid w:val="006501AD"/>
    <w:rsid w:val="00651BFA"/>
    <w:rsid w:val="00663A51"/>
    <w:rsid w:val="00665A4B"/>
    <w:rsid w:val="0067169A"/>
    <w:rsid w:val="00675B3A"/>
    <w:rsid w:val="00692E2A"/>
    <w:rsid w:val="006A76F2"/>
    <w:rsid w:val="006C5FA6"/>
    <w:rsid w:val="006D6E7D"/>
    <w:rsid w:val="006D7EFB"/>
    <w:rsid w:val="006E6672"/>
    <w:rsid w:val="006E6722"/>
    <w:rsid w:val="006E7F64"/>
    <w:rsid w:val="006F21D2"/>
    <w:rsid w:val="006F5321"/>
    <w:rsid w:val="007027B9"/>
    <w:rsid w:val="00713D8F"/>
    <w:rsid w:val="00715E88"/>
    <w:rsid w:val="007306C2"/>
    <w:rsid w:val="00734CAA"/>
    <w:rsid w:val="007469A7"/>
    <w:rsid w:val="0074739D"/>
    <w:rsid w:val="0075533C"/>
    <w:rsid w:val="00757581"/>
    <w:rsid w:val="007611A0"/>
    <w:rsid w:val="00762016"/>
    <w:rsid w:val="00767ABE"/>
    <w:rsid w:val="00796D3F"/>
    <w:rsid w:val="007A1683"/>
    <w:rsid w:val="007A36F8"/>
    <w:rsid w:val="007A5C12"/>
    <w:rsid w:val="007A7CB0"/>
    <w:rsid w:val="007B10B7"/>
    <w:rsid w:val="007B68A3"/>
    <w:rsid w:val="007C0F3E"/>
    <w:rsid w:val="007C2541"/>
    <w:rsid w:val="007D66A8"/>
    <w:rsid w:val="007E003F"/>
    <w:rsid w:val="007F52E6"/>
    <w:rsid w:val="00802E72"/>
    <w:rsid w:val="00804331"/>
    <w:rsid w:val="008164F2"/>
    <w:rsid w:val="00821395"/>
    <w:rsid w:val="00830E26"/>
    <w:rsid w:val="00842585"/>
    <w:rsid w:val="00843576"/>
    <w:rsid w:val="00843B64"/>
    <w:rsid w:val="008478FC"/>
    <w:rsid w:val="0085100C"/>
    <w:rsid w:val="00867BFF"/>
    <w:rsid w:val="00870972"/>
    <w:rsid w:val="00871FA0"/>
    <w:rsid w:val="0088480A"/>
    <w:rsid w:val="00885B4C"/>
    <w:rsid w:val="0088757A"/>
    <w:rsid w:val="008957DD"/>
    <w:rsid w:val="00897D98"/>
    <w:rsid w:val="008A26B4"/>
    <w:rsid w:val="008A5A06"/>
    <w:rsid w:val="008A6DF2"/>
    <w:rsid w:val="008A730E"/>
    <w:rsid w:val="008A7807"/>
    <w:rsid w:val="008B4CC9"/>
    <w:rsid w:val="008D1976"/>
    <w:rsid w:val="008D2BB5"/>
    <w:rsid w:val="008D7C99"/>
    <w:rsid w:val="008E0FCB"/>
    <w:rsid w:val="008E329D"/>
    <w:rsid w:val="008F6070"/>
    <w:rsid w:val="009154E2"/>
    <w:rsid w:val="0092178C"/>
    <w:rsid w:val="00930B88"/>
    <w:rsid w:val="00940DCC"/>
    <w:rsid w:val="0094179A"/>
    <w:rsid w:val="0094459E"/>
    <w:rsid w:val="00944DBC"/>
    <w:rsid w:val="009452BA"/>
    <w:rsid w:val="00950977"/>
    <w:rsid w:val="0095189F"/>
    <w:rsid w:val="00951A7B"/>
    <w:rsid w:val="009564A6"/>
    <w:rsid w:val="00967621"/>
    <w:rsid w:val="00967E6A"/>
    <w:rsid w:val="009815A4"/>
    <w:rsid w:val="00985183"/>
    <w:rsid w:val="00991E00"/>
    <w:rsid w:val="009935AC"/>
    <w:rsid w:val="009979BF"/>
    <w:rsid w:val="009A3A17"/>
    <w:rsid w:val="009A4E02"/>
    <w:rsid w:val="009B4A0F"/>
    <w:rsid w:val="009C11D2"/>
    <w:rsid w:val="009C289F"/>
    <w:rsid w:val="009C6C70"/>
    <w:rsid w:val="009D0B63"/>
    <w:rsid w:val="009D4BA6"/>
    <w:rsid w:val="009D4C74"/>
    <w:rsid w:val="009E307E"/>
    <w:rsid w:val="00A07870"/>
    <w:rsid w:val="00A07F19"/>
    <w:rsid w:val="00A1348D"/>
    <w:rsid w:val="00A232EE"/>
    <w:rsid w:val="00A31DBD"/>
    <w:rsid w:val="00A365CD"/>
    <w:rsid w:val="00A3704C"/>
    <w:rsid w:val="00A4175F"/>
    <w:rsid w:val="00A44411"/>
    <w:rsid w:val="00A469FA"/>
    <w:rsid w:val="00A53029"/>
    <w:rsid w:val="00A55B01"/>
    <w:rsid w:val="00A56B5B"/>
    <w:rsid w:val="00A603FF"/>
    <w:rsid w:val="00A60E3D"/>
    <w:rsid w:val="00A62259"/>
    <w:rsid w:val="00A657DD"/>
    <w:rsid w:val="00A666A6"/>
    <w:rsid w:val="00A67480"/>
    <w:rsid w:val="00A675FD"/>
    <w:rsid w:val="00A72437"/>
    <w:rsid w:val="00A80611"/>
    <w:rsid w:val="00A900EC"/>
    <w:rsid w:val="00A93108"/>
    <w:rsid w:val="00AA3073"/>
    <w:rsid w:val="00AB00B9"/>
    <w:rsid w:val="00AB3AF1"/>
    <w:rsid w:val="00AB5340"/>
    <w:rsid w:val="00AB7127"/>
    <w:rsid w:val="00AC5674"/>
    <w:rsid w:val="00AC7C96"/>
    <w:rsid w:val="00AD5F9A"/>
    <w:rsid w:val="00AE237D"/>
    <w:rsid w:val="00AE502A"/>
    <w:rsid w:val="00AF7C07"/>
    <w:rsid w:val="00B141EB"/>
    <w:rsid w:val="00B20DD4"/>
    <w:rsid w:val="00B22C93"/>
    <w:rsid w:val="00B26131"/>
    <w:rsid w:val="00B27589"/>
    <w:rsid w:val="00B27EA9"/>
    <w:rsid w:val="00B405B7"/>
    <w:rsid w:val="00B46922"/>
    <w:rsid w:val="00B52222"/>
    <w:rsid w:val="00B54FE7"/>
    <w:rsid w:val="00B64938"/>
    <w:rsid w:val="00B658EA"/>
    <w:rsid w:val="00B66901"/>
    <w:rsid w:val="00B71E6D"/>
    <w:rsid w:val="00B72070"/>
    <w:rsid w:val="00B779E1"/>
    <w:rsid w:val="00B91EE1"/>
    <w:rsid w:val="00B94CAD"/>
    <w:rsid w:val="00BA0090"/>
    <w:rsid w:val="00BA1A67"/>
    <w:rsid w:val="00BA3B66"/>
    <w:rsid w:val="00BA555D"/>
    <w:rsid w:val="00BC42D8"/>
    <w:rsid w:val="00BD32B8"/>
    <w:rsid w:val="00BD54EA"/>
    <w:rsid w:val="00BD6CE0"/>
    <w:rsid w:val="00BE5B5F"/>
    <w:rsid w:val="00BF3700"/>
    <w:rsid w:val="00C115F6"/>
    <w:rsid w:val="00C22E2E"/>
    <w:rsid w:val="00C26F55"/>
    <w:rsid w:val="00C30C63"/>
    <w:rsid w:val="00C36B8B"/>
    <w:rsid w:val="00C46B5E"/>
    <w:rsid w:val="00C47DBF"/>
    <w:rsid w:val="00C552FF"/>
    <w:rsid w:val="00C558DA"/>
    <w:rsid w:val="00C55AF3"/>
    <w:rsid w:val="00C610A0"/>
    <w:rsid w:val="00C6370C"/>
    <w:rsid w:val="00C84759"/>
    <w:rsid w:val="00C861BD"/>
    <w:rsid w:val="00C962B8"/>
    <w:rsid w:val="00C974C7"/>
    <w:rsid w:val="00CA6C7F"/>
    <w:rsid w:val="00CB31D0"/>
    <w:rsid w:val="00CB38B7"/>
    <w:rsid w:val="00CC0098"/>
    <w:rsid w:val="00CC10A6"/>
    <w:rsid w:val="00CC386A"/>
    <w:rsid w:val="00CC4547"/>
    <w:rsid w:val="00CC5BFB"/>
    <w:rsid w:val="00CC60CA"/>
    <w:rsid w:val="00CD5EB8"/>
    <w:rsid w:val="00CD7044"/>
    <w:rsid w:val="00CE08B9"/>
    <w:rsid w:val="00CE524C"/>
    <w:rsid w:val="00CE5293"/>
    <w:rsid w:val="00CF01D2"/>
    <w:rsid w:val="00CF141F"/>
    <w:rsid w:val="00CF4777"/>
    <w:rsid w:val="00D06340"/>
    <w:rsid w:val="00D067BB"/>
    <w:rsid w:val="00D11D69"/>
    <w:rsid w:val="00D127BC"/>
    <w:rsid w:val="00D1352A"/>
    <w:rsid w:val="00D169AF"/>
    <w:rsid w:val="00D25249"/>
    <w:rsid w:val="00D405A7"/>
    <w:rsid w:val="00D40B0B"/>
    <w:rsid w:val="00D4108C"/>
    <w:rsid w:val="00D44172"/>
    <w:rsid w:val="00D63B8C"/>
    <w:rsid w:val="00D70662"/>
    <w:rsid w:val="00D739CC"/>
    <w:rsid w:val="00D80293"/>
    <w:rsid w:val="00D8093D"/>
    <w:rsid w:val="00D8108C"/>
    <w:rsid w:val="00D842AE"/>
    <w:rsid w:val="00D90044"/>
    <w:rsid w:val="00D91AB5"/>
    <w:rsid w:val="00D9211C"/>
    <w:rsid w:val="00D92DE0"/>
    <w:rsid w:val="00D92FEF"/>
    <w:rsid w:val="00D93A0F"/>
    <w:rsid w:val="00D93DE1"/>
    <w:rsid w:val="00DA1BCA"/>
    <w:rsid w:val="00DB0348"/>
    <w:rsid w:val="00DC46FF"/>
    <w:rsid w:val="00DC5254"/>
    <w:rsid w:val="00DD1A4F"/>
    <w:rsid w:val="00DD3107"/>
    <w:rsid w:val="00DD376A"/>
    <w:rsid w:val="00DD7C2C"/>
    <w:rsid w:val="00DE0ADE"/>
    <w:rsid w:val="00E06797"/>
    <w:rsid w:val="00E10214"/>
    <w:rsid w:val="00E1265B"/>
    <w:rsid w:val="00E13B48"/>
    <w:rsid w:val="00E1404F"/>
    <w:rsid w:val="00E21C83"/>
    <w:rsid w:val="00E24ADA"/>
    <w:rsid w:val="00E31C32"/>
    <w:rsid w:val="00E32F59"/>
    <w:rsid w:val="00E401AF"/>
    <w:rsid w:val="00E40E47"/>
    <w:rsid w:val="00E46D9A"/>
    <w:rsid w:val="00E542AB"/>
    <w:rsid w:val="00E565FF"/>
    <w:rsid w:val="00E578CA"/>
    <w:rsid w:val="00E65388"/>
    <w:rsid w:val="00E65B1B"/>
    <w:rsid w:val="00E85B7D"/>
    <w:rsid w:val="00E9121B"/>
    <w:rsid w:val="00E94956"/>
    <w:rsid w:val="00E9595F"/>
    <w:rsid w:val="00E9666E"/>
    <w:rsid w:val="00EA0AE2"/>
    <w:rsid w:val="00EA39E5"/>
    <w:rsid w:val="00EC2457"/>
    <w:rsid w:val="00EC52D5"/>
    <w:rsid w:val="00EC5A46"/>
    <w:rsid w:val="00EC63E2"/>
    <w:rsid w:val="00EC7F71"/>
    <w:rsid w:val="00EF22B3"/>
    <w:rsid w:val="00EF532B"/>
    <w:rsid w:val="00F03422"/>
    <w:rsid w:val="00F03B69"/>
    <w:rsid w:val="00F07A50"/>
    <w:rsid w:val="00F113DA"/>
    <w:rsid w:val="00F12CE2"/>
    <w:rsid w:val="00F13FD5"/>
    <w:rsid w:val="00F36523"/>
    <w:rsid w:val="00F37DC8"/>
    <w:rsid w:val="00F426D0"/>
    <w:rsid w:val="00F439B3"/>
    <w:rsid w:val="00F650C3"/>
    <w:rsid w:val="00F65D85"/>
    <w:rsid w:val="00F8091E"/>
    <w:rsid w:val="00F8615C"/>
    <w:rsid w:val="00F87F6A"/>
    <w:rsid w:val="00F969E5"/>
    <w:rsid w:val="00FA30A2"/>
    <w:rsid w:val="00FA406A"/>
    <w:rsid w:val="00FA6BB0"/>
    <w:rsid w:val="00FD0CB0"/>
    <w:rsid w:val="00FD2D22"/>
    <w:rsid w:val="00FD4070"/>
    <w:rsid w:val="00FD5860"/>
    <w:rsid w:val="00FE352D"/>
    <w:rsid w:val="00FE3ED5"/>
    <w:rsid w:val="00FE40EB"/>
    <w:rsid w:val="00FE4D02"/>
    <w:rsid w:val="00FE593B"/>
    <w:rsid w:val="00FE7D62"/>
    <w:rsid w:val="00FF0DBD"/>
    <w:rsid w:val="00FF3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sz w:val="24"/>
      <w:szCs w:val="24"/>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437265"/>
    <w:pPr>
      <w:numPr>
        <w:numId w:val="4"/>
      </w:numPr>
      <w:tabs>
        <w:tab w:val="clear" w:pos="567"/>
        <w:tab w:val="clear" w:pos="1247"/>
        <w:tab w:val="clear" w:pos="1814"/>
        <w:tab w:val="clear" w:pos="2381"/>
        <w:tab w:val="clear" w:pos="2948"/>
        <w:tab w:val="clear" w:pos="3515"/>
        <w:tab w:val="clear" w:pos="4082"/>
        <w:tab w:val="num"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437265"/>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ListParagraph">
    <w:name w:val="List Paragraph"/>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sz w:val="24"/>
      <w:szCs w:val="24"/>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437265"/>
    <w:pPr>
      <w:numPr>
        <w:numId w:val="4"/>
      </w:numPr>
      <w:tabs>
        <w:tab w:val="clear" w:pos="567"/>
        <w:tab w:val="clear" w:pos="1247"/>
        <w:tab w:val="clear" w:pos="1814"/>
        <w:tab w:val="clear" w:pos="2381"/>
        <w:tab w:val="clear" w:pos="2948"/>
        <w:tab w:val="clear" w:pos="3515"/>
        <w:tab w:val="clear" w:pos="4082"/>
        <w:tab w:val="num"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437265"/>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ListParagraph">
    <w:name w:val="List Paragraph"/>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9F6D-77FA-43A5-94F7-D1656A04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 Shanbhag</cp:lastModifiedBy>
  <cp:revision>2</cp:revision>
  <cp:lastPrinted>2013-10-28T05:50:00Z</cp:lastPrinted>
  <dcterms:created xsi:type="dcterms:W3CDTF">2013-11-05T07:34:00Z</dcterms:created>
  <dcterms:modified xsi:type="dcterms:W3CDTF">2013-11-05T07:34:00Z</dcterms:modified>
</cp:coreProperties>
</file>