
<file path=[Content_Types].xml><?xml version="1.0" encoding="utf-8"?>
<Types xmlns="http://schemas.openxmlformats.org/package/2006/content-types">
  <Default Extension="bin" ContentType="application/vnd.openxmlformats-officedocument.oleObject"/>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4785"/>
        <w:gridCol w:w="3435"/>
      </w:tblGrid>
      <w:tr w:rsidR="00053C64" w:rsidRPr="00C84061" w:rsidTr="00053C64">
        <w:tblPrEx>
          <w:tblCellMar>
            <w:top w:w="0" w:type="dxa"/>
            <w:bottom w:w="0" w:type="dxa"/>
          </w:tblCellMar>
        </w:tblPrEx>
        <w:trPr>
          <w:cantSplit/>
          <w:trHeight w:val="850"/>
        </w:trPr>
        <w:tc>
          <w:tcPr>
            <w:tcW w:w="1560" w:type="dxa"/>
          </w:tcPr>
          <w:p w:rsidR="00053C64" w:rsidRPr="00C84061" w:rsidRDefault="00053C64" w:rsidP="00053C64">
            <w:pPr>
              <w:rPr>
                <w:rFonts w:ascii="Univers" w:hAnsi="Univers"/>
                <w:noProof/>
                <w:lang w:val="fr-CA"/>
              </w:rPr>
            </w:pPr>
            <w:bookmarkStart w:id="0" w:name="_GoBack"/>
            <w:bookmarkEnd w:id="0"/>
            <w:r w:rsidRPr="00C84061">
              <w:rPr>
                <w:rFonts w:ascii="Arial" w:hAnsi="Arial" w:cs="Arial"/>
                <w:b/>
                <w:noProof/>
                <w:sz w:val="27"/>
                <w:szCs w:val="27"/>
                <w:lang w:val="fr-CA"/>
              </w:rPr>
              <w:t>NATIONS UNIES</w:t>
            </w:r>
            <w:r w:rsidRPr="00C84061">
              <w:rPr>
                <w:rFonts w:ascii="Arial" w:hAnsi="Arial" w:cs="Arial"/>
                <w:b/>
                <w:noProof/>
                <w:sz w:val="27"/>
                <w:szCs w:val="27"/>
                <w:lang w:val="fr-CA"/>
              </w:rPr>
              <w:br/>
            </w:r>
          </w:p>
        </w:tc>
        <w:tc>
          <w:tcPr>
            <w:tcW w:w="4785" w:type="dxa"/>
          </w:tcPr>
          <w:p w:rsidR="00053C64" w:rsidRPr="00C84061" w:rsidRDefault="00053C64" w:rsidP="00053C64">
            <w:pPr>
              <w:rPr>
                <w:rFonts w:ascii="Univers" w:hAnsi="Univers"/>
                <w:b/>
                <w:sz w:val="27"/>
                <w:szCs w:val="27"/>
                <w:lang w:val="fr-CA"/>
              </w:rPr>
            </w:pPr>
          </w:p>
        </w:tc>
        <w:tc>
          <w:tcPr>
            <w:tcW w:w="3435" w:type="dxa"/>
          </w:tcPr>
          <w:p w:rsidR="00053C64" w:rsidRPr="00C84061" w:rsidRDefault="00053C64" w:rsidP="00053C64">
            <w:pPr>
              <w:jc w:val="right"/>
              <w:rPr>
                <w:rFonts w:ascii="Arial" w:hAnsi="Arial" w:cs="Arial"/>
                <w:b/>
                <w:sz w:val="64"/>
                <w:szCs w:val="64"/>
                <w:lang w:val="fr-CA"/>
              </w:rPr>
            </w:pPr>
            <w:r w:rsidRPr="00C84061">
              <w:rPr>
                <w:rFonts w:ascii="Arial" w:hAnsi="Arial" w:cs="Arial"/>
                <w:b/>
                <w:sz w:val="64"/>
                <w:szCs w:val="64"/>
                <w:lang w:val="fr-CA"/>
              </w:rPr>
              <w:t>EP</w:t>
            </w:r>
          </w:p>
        </w:tc>
      </w:tr>
      <w:tr w:rsidR="00053C64" w:rsidRPr="00C84061" w:rsidTr="00053C64">
        <w:tblPrEx>
          <w:tblCellMar>
            <w:top w:w="0" w:type="dxa"/>
            <w:bottom w:w="0" w:type="dxa"/>
          </w:tblCellMar>
        </w:tblPrEx>
        <w:trPr>
          <w:cantSplit/>
          <w:trHeight w:val="281"/>
        </w:trPr>
        <w:tc>
          <w:tcPr>
            <w:tcW w:w="1560" w:type="dxa"/>
            <w:tcBorders>
              <w:bottom w:val="single" w:sz="4" w:space="0" w:color="auto"/>
            </w:tcBorders>
          </w:tcPr>
          <w:p w:rsidR="00053C64" w:rsidRPr="00C84061" w:rsidRDefault="00053C64" w:rsidP="00053C64">
            <w:pPr>
              <w:rPr>
                <w:noProof/>
                <w:sz w:val="18"/>
                <w:szCs w:val="18"/>
                <w:lang w:val="fr-CA"/>
              </w:rPr>
            </w:pPr>
          </w:p>
        </w:tc>
        <w:tc>
          <w:tcPr>
            <w:tcW w:w="4785" w:type="dxa"/>
            <w:tcBorders>
              <w:bottom w:val="single" w:sz="4" w:space="0" w:color="auto"/>
            </w:tcBorders>
          </w:tcPr>
          <w:p w:rsidR="00053C64" w:rsidRPr="00C84061" w:rsidRDefault="00053C64" w:rsidP="00053C64">
            <w:pPr>
              <w:rPr>
                <w:rFonts w:ascii="Univers" w:hAnsi="Univers"/>
                <w:b/>
                <w:sz w:val="18"/>
                <w:szCs w:val="18"/>
                <w:lang w:val="fr-CA"/>
              </w:rPr>
            </w:pPr>
          </w:p>
        </w:tc>
        <w:tc>
          <w:tcPr>
            <w:tcW w:w="3435" w:type="dxa"/>
            <w:tcBorders>
              <w:bottom w:val="single" w:sz="4" w:space="0" w:color="auto"/>
            </w:tcBorders>
          </w:tcPr>
          <w:p w:rsidR="00053C64" w:rsidRPr="00C84061" w:rsidRDefault="004A0608" w:rsidP="004A0608">
            <w:pPr>
              <w:rPr>
                <w:noProof/>
                <w:sz w:val="18"/>
                <w:szCs w:val="18"/>
                <w:lang w:val="fr-CA"/>
              </w:rPr>
            </w:pPr>
            <w:r>
              <w:rPr>
                <w:b/>
                <w:bCs/>
                <w:sz w:val="28"/>
                <w:lang w:val="fr-CA"/>
              </w:rPr>
              <w:t>IPBES</w:t>
            </w:r>
            <w:r w:rsidR="00053C64" w:rsidRPr="00C84061">
              <w:rPr>
                <w:lang w:val="fr-CA"/>
              </w:rPr>
              <w:t>/</w:t>
            </w:r>
            <w:r w:rsidR="00D5309A">
              <w:rPr>
                <w:lang w:val="fr-CA"/>
              </w:rPr>
              <w:t>2/</w:t>
            </w:r>
            <w:r w:rsidR="00053C64" w:rsidRPr="00C84061">
              <w:rPr>
                <w:lang w:val="fr-CA"/>
              </w:rPr>
              <w:t>1</w:t>
            </w:r>
            <w:r w:rsidR="00FF5708" w:rsidRPr="00C84061">
              <w:rPr>
                <w:lang w:val="fr-CA"/>
              </w:rPr>
              <w:t>6</w:t>
            </w:r>
            <w:r w:rsidR="00327C42" w:rsidRPr="00C84061">
              <w:rPr>
                <w:lang w:val="fr-CA"/>
              </w:rPr>
              <w:t>/Add.6</w:t>
            </w:r>
          </w:p>
        </w:tc>
      </w:tr>
      <w:bookmarkStart w:id="1" w:name="_MON_1021710482"/>
      <w:bookmarkStart w:id="2" w:name="_MON_1021710510"/>
      <w:bookmarkEnd w:id="1"/>
      <w:bookmarkEnd w:id="2"/>
      <w:tr w:rsidR="00053C64" w:rsidRPr="00C84061" w:rsidTr="00053C64">
        <w:tblPrEx>
          <w:tblCellMar>
            <w:top w:w="0" w:type="dxa"/>
            <w:bottom w:w="0" w:type="dxa"/>
          </w:tblCellMar>
        </w:tblPrEx>
        <w:trPr>
          <w:cantSplit/>
          <w:trHeight w:val="2549"/>
        </w:trPr>
        <w:tc>
          <w:tcPr>
            <w:tcW w:w="1560" w:type="dxa"/>
            <w:tcBorders>
              <w:top w:val="single" w:sz="4" w:space="0" w:color="auto"/>
              <w:bottom w:val="single" w:sz="24" w:space="0" w:color="auto"/>
            </w:tcBorders>
          </w:tcPr>
          <w:p w:rsidR="00053C64" w:rsidRPr="00C84061" w:rsidRDefault="00053C64" w:rsidP="00053C64">
            <w:pPr>
              <w:rPr>
                <w:noProof/>
                <w:lang w:val="fr-CA"/>
              </w:rPr>
            </w:pPr>
            <w:r w:rsidRPr="00C84061">
              <w:rPr>
                <w:noProof/>
                <w:lang w:val="fr-CA"/>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61.5pt" o:ole="" fillcolor="window">
                  <v:imagedata r:id="rId9" r:pict="rId10" o:title=""/>
                </v:shape>
                <o:OLEObject Type="Embed" ProgID="Word.Picture.8" ShapeID="_x0000_i1025" DrawAspect="Content" ObjectID="_1445240450" r:id="rId11"/>
              </w:object>
            </w:r>
            <w:r w:rsidR="0046341A">
              <w:rPr>
                <w:noProof/>
                <w:lang w:val="en-US"/>
              </w:rPr>
              <w:drawing>
                <wp:inline distT="0" distB="0" distL="0" distR="0">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053C64" w:rsidRPr="00C84061" w:rsidRDefault="00053C64" w:rsidP="00053C64">
            <w:pPr>
              <w:spacing w:before="1200"/>
              <w:rPr>
                <w:rFonts w:ascii="Arial" w:hAnsi="Arial" w:cs="Arial"/>
                <w:b/>
                <w:sz w:val="28"/>
                <w:lang w:val="fr-CA"/>
              </w:rPr>
            </w:pPr>
            <w:r w:rsidRPr="00C84061">
              <w:rPr>
                <w:rFonts w:ascii="Arial" w:hAnsi="Arial" w:cs="Arial"/>
                <w:b/>
                <w:sz w:val="28"/>
                <w:szCs w:val="28"/>
                <w:lang w:val="fr-CA"/>
              </w:rPr>
              <w:t xml:space="preserve">Programme </w:t>
            </w:r>
            <w:r w:rsidRPr="00C84061">
              <w:rPr>
                <w:rFonts w:ascii="Arial" w:hAnsi="Arial" w:cs="Arial"/>
                <w:b/>
                <w:sz w:val="28"/>
                <w:szCs w:val="28"/>
                <w:lang w:val="fr-CA"/>
              </w:rPr>
              <w:br/>
              <w:t xml:space="preserve">des Nations Unies </w:t>
            </w:r>
            <w:r w:rsidRPr="00C84061">
              <w:rPr>
                <w:rFonts w:ascii="Arial" w:hAnsi="Arial" w:cs="Arial"/>
                <w:b/>
                <w:sz w:val="28"/>
                <w:szCs w:val="28"/>
                <w:lang w:val="fr-CA"/>
              </w:rPr>
              <w:br/>
              <w:t>pour l’environnement</w:t>
            </w:r>
          </w:p>
        </w:tc>
        <w:tc>
          <w:tcPr>
            <w:tcW w:w="3435" w:type="dxa"/>
            <w:tcBorders>
              <w:top w:val="single" w:sz="4" w:space="0" w:color="auto"/>
              <w:bottom w:val="single" w:sz="24" w:space="0" w:color="auto"/>
            </w:tcBorders>
          </w:tcPr>
          <w:p w:rsidR="00053C64" w:rsidRPr="00C84061" w:rsidRDefault="00327C42" w:rsidP="00053C64">
            <w:pPr>
              <w:spacing w:before="120" w:after="120"/>
              <w:rPr>
                <w:lang w:val="fr-CA"/>
              </w:rPr>
            </w:pPr>
            <w:r w:rsidRPr="00C84061">
              <w:rPr>
                <w:lang w:val="fr-CA"/>
              </w:rPr>
              <w:t>Distr. : générale</w:t>
            </w:r>
            <w:r w:rsidRPr="00C84061">
              <w:rPr>
                <w:lang w:val="fr-CA"/>
              </w:rPr>
              <w:br/>
              <w:t xml:space="preserve">2 octobre </w:t>
            </w:r>
            <w:r w:rsidR="00053C64" w:rsidRPr="00C84061">
              <w:rPr>
                <w:lang w:val="fr-CA"/>
              </w:rPr>
              <w:t>2013</w:t>
            </w:r>
          </w:p>
          <w:p w:rsidR="00053C64" w:rsidRPr="00C84061" w:rsidRDefault="00053C64" w:rsidP="00053C64">
            <w:pPr>
              <w:spacing w:before="120" w:after="120"/>
              <w:rPr>
                <w:lang w:val="fr-CA"/>
              </w:rPr>
            </w:pPr>
            <w:r w:rsidRPr="00C84061">
              <w:rPr>
                <w:lang w:val="fr-CA"/>
              </w:rPr>
              <w:t>Français</w:t>
            </w:r>
            <w:r w:rsidRPr="00C84061">
              <w:rPr>
                <w:lang w:val="fr-CA"/>
              </w:rPr>
              <w:br/>
              <w:t>Original : anglais</w:t>
            </w:r>
          </w:p>
        </w:tc>
      </w:tr>
    </w:tbl>
    <w:p w:rsidR="00053C64" w:rsidRPr="00C84061" w:rsidRDefault="00053C64" w:rsidP="00053C64">
      <w:pPr>
        <w:pStyle w:val="AATitle"/>
      </w:pPr>
      <w:r w:rsidRPr="00C84061">
        <w:t xml:space="preserve">Plénière de la Plateforme intergouvernementale scientifique et politique sur la biodiversité </w:t>
      </w:r>
      <w:r w:rsidR="00A74511">
        <w:br/>
      </w:r>
      <w:r w:rsidRPr="00C84061">
        <w:t>et les services écosystémiques</w:t>
      </w:r>
    </w:p>
    <w:p w:rsidR="00053C64" w:rsidRPr="00C84061" w:rsidRDefault="00053C64" w:rsidP="00053C64">
      <w:pPr>
        <w:pStyle w:val="AATitle"/>
      </w:pPr>
      <w:r w:rsidRPr="00C84061">
        <w:t>Deuxième session</w:t>
      </w:r>
    </w:p>
    <w:p w:rsidR="00053C64" w:rsidRPr="00C84061" w:rsidRDefault="00ED7C05" w:rsidP="00053C64">
      <w:pPr>
        <w:pStyle w:val="AATitle"/>
        <w:rPr>
          <w:b w:val="0"/>
          <w:szCs w:val="22"/>
        </w:rPr>
      </w:pPr>
      <w:r w:rsidRPr="00C84061">
        <w:rPr>
          <w:b w:val="0"/>
          <w:szCs w:val="22"/>
        </w:rPr>
        <w:t>Antalya (Turquie), 9-14 </w:t>
      </w:r>
      <w:r w:rsidR="00053C64" w:rsidRPr="00C84061">
        <w:rPr>
          <w:b w:val="0"/>
          <w:szCs w:val="22"/>
        </w:rPr>
        <w:t xml:space="preserve">décembre 2013 </w:t>
      </w:r>
    </w:p>
    <w:p w:rsidR="000A7562" w:rsidRPr="00C84061" w:rsidRDefault="00053C64" w:rsidP="000A7562">
      <w:pPr>
        <w:pStyle w:val="AATitle"/>
        <w:keepNext w:val="0"/>
        <w:keepLines w:val="0"/>
        <w:rPr>
          <w:b w:val="0"/>
          <w:lang w:eastAsia="ja-JP"/>
        </w:rPr>
      </w:pPr>
      <w:r w:rsidRPr="00C84061">
        <w:rPr>
          <w:b w:val="0"/>
          <w:lang w:eastAsia="ja-JP"/>
        </w:rPr>
        <w:t>Point </w:t>
      </w:r>
      <w:r w:rsidR="00FF5708" w:rsidRPr="00C84061">
        <w:rPr>
          <w:b w:val="0"/>
          <w:lang w:eastAsia="ja-JP"/>
        </w:rPr>
        <w:t>4</w:t>
      </w:r>
      <w:r w:rsidR="0031022F" w:rsidRPr="00C84061">
        <w:rPr>
          <w:b w:val="0"/>
          <w:lang w:eastAsia="ja-JP"/>
        </w:rPr>
        <w:t> </w:t>
      </w:r>
      <w:r w:rsidR="00267A16" w:rsidRPr="00C84061">
        <w:rPr>
          <w:b w:val="0"/>
          <w:lang w:eastAsia="ja-JP"/>
        </w:rPr>
        <w:t>a)</w:t>
      </w:r>
      <w:r w:rsidR="000A7562" w:rsidRPr="00C84061">
        <w:rPr>
          <w:b w:val="0"/>
          <w:lang w:eastAsia="ja-JP"/>
        </w:rPr>
        <w:t xml:space="preserve"> </w:t>
      </w:r>
      <w:r w:rsidR="0031022F" w:rsidRPr="00C84061">
        <w:rPr>
          <w:b w:val="0"/>
          <w:lang w:eastAsia="ja-JP"/>
        </w:rPr>
        <w:t>de l’ordre du jour provisoire</w:t>
      </w:r>
      <w:r w:rsidR="000A7562" w:rsidRPr="00C84061">
        <w:rPr>
          <w:rStyle w:val="FootnoteReference"/>
          <w:b w:val="0"/>
          <w:lang w:eastAsia="ja-JP"/>
        </w:rPr>
        <w:footnoteReference w:customMarkFollows="1" w:id="1"/>
        <w:sym w:font="Symbol" w:char="F02A"/>
      </w:r>
    </w:p>
    <w:p w:rsidR="000A7562" w:rsidRPr="00C84061" w:rsidRDefault="00A166A7" w:rsidP="000A7562">
      <w:pPr>
        <w:pStyle w:val="AATitle"/>
        <w:keepNext w:val="0"/>
        <w:keepLines w:val="0"/>
        <w:spacing w:before="60"/>
      </w:pPr>
      <w:r w:rsidRPr="00C84061">
        <w:t>Programme de travail initial de la Plateforme</w:t>
      </w:r>
      <w:r w:rsidR="0031022F" w:rsidRPr="00C84061">
        <w:t> </w:t>
      </w:r>
      <w:r w:rsidR="00267A16" w:rsidRPr="00C84061">
        <w:t xml:space="preserve">: </w:t>
      </w:r>
      <w:r w:rsidR="00712F17" w:rsidRPr="00C84061">
        <w:t>p</w:t>
      </w:r>
      <w:r w:rsidRPr="00C84061">
        <w:t>rogramme de t</w:t>
      </w:r>
      <w:r w:rsidR="00266500" w:rsidRPr="00C84061">
        <w:t>ravail pour la période 2014-2018</w:t>
      </w:r>
    </w:p>
    <w:p w:rsidR="00C15AAE" w:rsidRPr="00C84061" w:rsidRDefault="004C2D15" w:rsidP="000A7562">
      <w:pPr>
        <w:pStyle w:val="BBTitle"/>
        <w:rPr>
          <w:rFonts w:eastAsia="MS Mincho"/>
        </w:rPr>
      </w:pPr>
      <w:r w:rsidRPr="00C84061">
        <w:t>Cadrage</w:t>
      </w:r>
      <w:r w:rsidR="00F422D2" w:rsidRPr="00C84061">
        <w:t xml:space="preserve"> initial</w:t>
      </w:r>
      <w:r w:rsidR="001E3CAA" w:rsidRPr="00C84061">
        <w:t xml:space="preserve"> </w:t>
      </w:r>
      <w:r w:rsidR="00A81DBA" w:rsidRPr="00C84061">
        <w:t>de l’évaluation thématique</w:t>
      </w:r>
      <w:r w:rsidR="001E3CAA" w:rsidRPr="00C84061">
        <w:t xml:space="preserve"> </w:t>
      </w:r>
      <w:r w:rsidR="00A81DBA" w:rsidRPr="00C84061">
        <w:t>de l’utilisation durable et de la conservation de la biodiversité ainsi que du renforcement des capacités et des outils</w:t>
      </w:r>
    </w:p>
    <w:p w:rsidR="002D76D2" w:rsidRPr="00C84061" w:rsidRDefault="000A7562" w:rsidP="002D76D2">
      <w:pPr>
        <w:pStyle w:val="CH2"/>
      </w:pPr>
      <w:r w:rsidRPr="00C84061">
        <w:tab/>
      </w:r>
      <w:r w:rsidRPr="00C84061">
        <w:tab/>
        <w:t xml:space="preserve">Note </w:t>
      </w:r>
      <w:r w:rsidR="00C15AAE" w:rsidRPr="00C84061">
        <w:t xml:space="preserve">du </w:t>
      </w:r>
      <w:r w:rsidR="00A74511">
        <w:t>s</w:t>
      </w:r>
      <w:r w:rsidR="00C15AAE" w:rsidRPr="00C84061">
        <w:t>ecré</w:t>
      </w:r>
      <w:r w:rsidRPr="00C84061">
        <w:t>tariat</w:t>
      </w:r>
    </w:p>
    <w:p w:rsidR="002D76D2" w:rsidRPr="00C84061" w:rsidRDefault="002D76D2" w:rsidP="002D76D2">
      <w:pPr>
        <w:pStyle w:val="CH1"/>
      </w:pPr>
      <w:r w:rsidRPr="00C84061">
        <w:tab/>
        <w:t xml:space="preserve">I. </w:t>
      </w:r>
      <w:r w:rsidRPr="00C84061">
        <w:tab/>
        <w:t>Introduction</w:t>
      </w:r>
    </w:p>
    <w:p w:rsidR="00852380" w:rsidRPr="00C84061" w:rsidRDefault="00D0552F" w:rsidP="00B57621">
      <w:pPr>
        <w:pStyle w:val="Normalnumber"/>
        <w:numPr>
          <w:ilvl w:val="0"/>
          <w:numId w:val="8"/>
        </w:numPr>
        <w:tabs>
          <w:tab w:val="clear" w:pos="567"/>
          <w:tab w:val="num" w:pos="1134"/>
          <w:tab w:val="left" w:pos="1247"/>
          <w:tab w:val="left" w:pos="1814"/>
          <w:tab w:val="left" w:pos="2381"/>
          <w:tab w:val="left" w:pos="2948"/>
          <w:tab w:val="left" w:pos="3515"/>
          <w:tab w:val="left" w:pos="4082"/>
        </w:tabs>
      </w:pPr>
      <w:r w:rsidRPr="00C84061">
        <w:t>Reconnaissant</w:t>
      </w:r>
      <w:r w:rsidR="00C846FE" w:rsidRPr="00C84061">
        <w:t xml:space="preserve"> la nécessité</w:t>
      </w:r>
      <w:r w:rsidR="00852380" w:rsidRPr="00C84061">
        <w:t xml:space="preserve"> de mettre en œuvre le programme de travail pour la période 2014-2018, une fois </w:t>
      </w:r>
      <w:r w:rsidRPr="00C84061">
        <w:t>ce programme</w:t>
      </w:r>
      <w:r w:rsidR="00852380" w:rsidRPr="00C84061">
        <w:t xml:space="preserve"> approuvé par la Plénière de la Plateforme intergouvernementale scientifique et politique sur la biodiversité et les services écosystémiques</w:t>
      </w:r>
      <w:r w:rsidR="00C846FE" w:rsidRPr="00C84061">
        <w:t xml:space="preserve"> à sa deuxième session, </w:t>
      </w:r>
      <w:r w:rsidR="00852380" w:rsidRPr="00C84061">
        <w:t xml:space="preserve">le Bureau et le Groupe d’experts </w:t>
      </w:r>
      <w:r w:rsidR="00C846FE" w:rsidRPr="00C84061">
        <w:t xml:space="preserve">multidisciplinaire </w:t>
      </w:r>
      <w:r w:rsidR="00852380" w:rsidRPr="00C84061">
        <w:t xml:space="preserve">ont convenu de préparer, pour examen par la Plénière à </w:t>
      </w:r>
      <w:r w:rsidR="00C846FE" w:rsidRPr="00C84061">
        <w:t>l</w:t>
      </w:r>
      <w:r w:rsidR="00852380" w:rsidRPr="00C84061">
        <w:t>a</w:t>
      </w:r>
      <w:r w:rsidR="00C846FE" w:rsidRPr="00C84061">
        <w:t>dite</w:t>
      </w:r>
      <w:r w:rsidR="00852380" w:rsidRPr="00C84061">
        <w:t xml:space="preserve"> session, </w:t>
      </w:r>
      <w:r w:rsidRPr="00C84061">
        <w:t>plusieurs</w:t>
      </w:r>
      <w:r w:rsidR="00852380" w:rsidRPr="00C84061">
        <w:t xml:space="preserve"> documents de cadrage initial en se fondant sur la hiérarchisation des demandes, les suggestions et contributions transmises à la Plateforme et les produits inscrits dans le projet de programme de travail (IPBES/2/2).</w:t>
      </w:r>
      <w:r w:rsidR="00C846FE" w:rsidRPr="00C84061">
        <w:t xml:space="preserve"> La présente note </w:t>
      </w:r>
      <w:r w:rsidR="00FF0383" w:rsidRPr="00C84061">
        <w:t>décrit le cadrage initial pour un projet d’évaluation thématique de l’utilisation durable et de la conservation de la biodiversité ainsi que du renforcement des capacités et des outils.</w:t>
      </w:r>
      <w:r w:rsidR="00D9188D" w:rsidRPr="00C84061">
        <w:t xml:space="preserve"> </w:t>
      </w:r>
      <w:r w:rsidR="00A122E8" w:rsidRPr="00C84061">
        <w:t>Ce cadrage</w:t>
      </w:r>
      <w:r w:rsidR="00D9188D" w:rsidRPr="00C84061">
        <w:t xml:space="preserve"> a été établi conformément aux projets de procédures pour la préparation des produits livrables de la Plateforme (IPBES/2/9).</w:t>
      </w:r>
    </w:p>
    <w:p w:rsidR="006170F5" w:rsidRPr="00C84061" w:rsidRDefault="00D5309A" w:rsidP="006170F5">
      <w:pPr>
        <w:pStyle w:val="CH1"/>
      </w:pPr>
      <w:r>
        <w:br w:type="page"/>
      </w:r>
      <w:r w:rsidR="006170F5" w:rsidRPr="00C84061">
        <w:lastRenderedPageBreak/>
        <w:tab/>
        <w:t>II.</w:t>
      </w:r>
      <w:r w:rsidR="006170F5" w:rsidRPr="00C84061">
        <w:tab/>
        <w:t>Portée, bien-fondé, utilité et hypothèses</w:t>
      </w:r>
    </w:p>
    <w:p w:rsidR="006170F5" w:rsidRPr="00C84061" w:rsidRDefault="006170F5" w:rsidP="006170F5">
      <w:pPr>
        <w:pStyle w:val="CH2"/>
      </w:pPr>
      <w:r w:rsidRPr="00C84061">
        <w:tab/>
        <w:t>A.</w:t>
      </w:r>
      <w:r w:rsidRPr="00C84061">
        <w:tab/>
        <w:t xml:space="preserve">Portée </w:t>
      </w:r>
    </w:p>
    <w:p w:rsidR="005A4E0C" w:rsidRPr="00C84061" w:rsidRDefault="006170F5" w:rsidP="00A10056">
      <w:pPr>
        <w:pStyle w:val="Normalnumber"/>
        <w:numPr>
          <w:ilvl w:val="0"/>
          <w:numId w:val="8"/>
        </w:numPr>
        <w:tabs>
          <w:tab w:val="left" w:pos="1247"/>
          <w:tab w:val="left" w:pos="1814"/>
          <w:tab w:val="left" w:pos="2381"/>
          <w:tab w:val="left" w:pos="2948"/>
          <w:tab w:val="left" w:pos="3515"/>
          <w:tab w:val="left" w:pos="4082"/>
        </w:tabs>
      </w:pPr>
      <w:r w:rsidRPr="00C84061">
        <w:t>L’objectif d</w:t>
      </w:r>
      <w:r w:rsidR="00F741BC">
        <w:t>e l</w:t>
      </w:r>
      <w:r w:rsidRPr="00C84061">
        <w:t xml:space="preserve">’évaluation </w:t>
      </w:r>
      <w:r w:rsidR="00A122E8" w:rsidRPr="00C84061">
        <w:t>thématique</w:t>
      </w:r>
      <w:r w:rsidRPr="00C84061">
        <w:t xml:space="preserve"> </w:t>
      </w:r>
      <w:r w:rsidR="00F741BC">
        <w:t xml:space="preserve">proposée </w:t>
      </w:r>
      <w:r w:rsidR="00A122E8" w:rsidRPr="00C84061">
        <w:t xml:space="preserve">est d’évaluer l’importance écologique, économique, sociale et culturelle, l’état de conservation, les facteurs de </w:t>
      </w:r>
      <w:r w:rsidR="00961365" w:rsidRPr="00C84061">
        <w:t>changeme</w:t>
      </w:r>
      <w:r w:rsidR="00C76BA3">
        <w:t>nt et les moyens de subsistance</w:t>
      </w:r>
      <w:r w:rsidR="00961365" w:rsidRPr="00C84061">
        <w:t xml:space="preserve"> et valeurs connexes pour les collectivités locales et les populations autochtones</w:t>
      </w:r>
      <w:r w:rsidR="008E5128">
        <w:t>,</w:t>
      </w:r>
      <w:r w:rsidR="00961365" w:rsidRPr="00C84061">
        <w:t xml:space="preserve"> des espèces sauvages </w:t>
      </w:r>
      <w:r w:rsidR="00C76BA3">
        <w:t>communément exploitées</w:t>
      </w:r>
      <w:r w:rsidR="00961365" w:rsidRPr="00C84061">
        <w:t xml:space="preserve"> et commercialisées afin de déterminer et de promouvoir les meilleurs pratiques et outils, relevant tant des technologies modernes que des savoirs et méthodes </w:t>
      </w:r>
      <w:r w:rsidR="003929C6">
        <w:t>autochtones</w:t>
      </w:r>
      <w:r w:rsidR="00961365" w:rsidRPr="00C84061">
        <w:t xml:space="preserve"> et locaux</w:t>
      </w:r>
      <w:r w:rsidR="008E5128">
        <w:t>,</w:t>
      </w:r>
      <w:r w:rsidR="00961365" w:rsidRPr="00C84061">
        <w:t xml:space="preserve"> pour une gestion et une </w:t>
      </w:r>
      <w:r w:rsidR="003929C6">
        <w:t>exploitation</w:t>
      </w:r>
      <w:r w:rsidR="00961365" w:rsidRPr="00C84061">
        <w:t xml:space="preserve"> durables. </w:t>
      </w:r>
    </w:p>
    <w:p w:rsidR="00A122E8" w:rsidRPr="00C84061" w:rsidRDefault="005A4E0C" w:rsidP="005A4E0C">
      <w:pPr>
        <w:pStyle w:val="CH2"/>
      </w:pPr>
      <w:r w:rsidRPr="00C84061">
        <w:tab/>
        <w:t>B.</w:t>
      </w:r>
      <w:r w:rsidRPr="00C84061">
        <w:tab/>
        <w:t>Bien-fondé</w:t>
      </w:r>
    </w:p>
    <w:p w:rsidR="00047ED8" w:rsidRPr="00C84061" w:rsidRDefault="00047ED8" w:rsidP="005A4E0C">
      <w:pPr>
        <w:pStyle w:val="Normalnumber"/>
        <w:numPr>
          <w:ilvl w:val="0"/>
          <w:numId w:val="8"/>
        </w:numPr>
        <w:tabs>
          <w:tab w:val="left" w:pos="1247"/>
          <w:tab w:val="left" w:pos="1814"/>
          <w:tab w:val="left" w:pos="2381"/>
          <w:tab w:val="left" w:pos="2948"/>
          <w:tab w:val="left" w:pos="3515"/>
          <w:tab w:val="left" w:pos="4082"/>
        </w:tabs>
      </w:pPr>
      <w:r w:rsidRPr="00C84061">
        <w:t>L’utilisation durable de la biodiversité constitue une manière de promouvoir sa conservation</w:t>
      </w:r>
      <w:r w:rsidR="001E7727">
        <w:t>,</w:t>
      </w:r>
      <w:r w:rsidRPr="00C84061">
        <w:t xml:space="preserve"> celle des services écosystémiques </w:t>
      </w:r>
      <w:r w:rsidR="00092451" w:rsidRPr="00C84061">
        <w:t>et le développement socio</w:t>
      </w:r>
      <w:r w:rsidR="00A74511">
        <w:t>-</w:t>
      </w:r>
      <w:r w:rsidR="00092451" w:rsidRPr="00C84061">
        <w:t xml:space="preserve">économique de l’espèce humaine. Elle permet également de </w:t>
      </w:r>
      <w:r w:rsidR="001E7727">
        <w:t xml:space="preserve">parer </w:t>
      </w:r>
      <w:r w:rsidR="003476A4">
        <w:t xml:space="preserve">à </w:t>
      </w:r>
      <w:r w:rsidR="001E7727">
        <w:t>certaines menaces</w:t>
      </w:r>
      <w:r w:rsidR="00092451" w:rsidRPr="00C84061">
        <w:t xml:space="preserve"> </w:t>
      </w:r>
      <w:r w:rsidR="008D32BF" w:rsidRPr="00C84061">
        <w:t>comme</w:t>
      </w:r>
      <w:r w:rsidR="00092451" w:rsidRPr="00C84061">
        <w:t xml:space="preserve"> la surexploitation</w:t>
      </w:r>
      <w:r w:rsidR="008D32BF" w:rsidRPr="00C84061">
        <w:t xml:space="preserve"> et la disparition des habitats,</w:t>
      </w:r>
      <w:r w:rsidR="00092451" w:rsidRPr="00C84061">
        <w:t xml:space="preserve"> </w:t>
      </w:r>
      <w:r w:rsidR="00453F2C">
        <w:t xml:space="preserve">entre </w:t>
      </w:r>
      <w:r w:rsidR="00092451" w:rsidRPr="00C84061">
        <w:t>autres facteurs directs et indirects de la perte de biodiversité et de l’appauvrissement culturel dans le monde.</w:t>
      </w:r>
      <w:r w:rsidR="008D32BF" w:rsidRPr="00C84061">
        <w:t xml:space="preserve"> Ses bienfaits sont ressentis</w:t>
      </w:r>
      <w:r w:rsidR="00092451" w:rsidRPr="00C84061">
        <w:t xml:space="preserve"> </w:t>
      </w:r>
      <w:r w:rsidR="008D32BF" w:rsidRPr="00C84061">
        <w:t>aux niveaux local, national, régional et international.</w:t>
      </w:r>
    </w:p>
    <w:p w:rsidR="008D32BF" w:rsidRPr="00C84061" w:rsidRDefault="00F27B3B" w:rsidP="005A4E0C">
      <w:pPr>
        <w:pStyle w:val="Normalnumber"/>
        <w:numPr>
          <w:ilvl w:val="0"/>
          <w:numId w:val="8"/>
        </w:numPr>
        <w:tabs>
          <w:tab w:val="left" w:pos="1247"/>
          <w:tab w:val="left" w:pos="1814"/>
          <w:tab w:val="left" w:pos="2381"/>
          <w:tab w:val="left" w:pos="2948"/>
          <w:tab w:val="left" w:pos="3515"/>
          <w:tab w:val="left" w:pos="4082"/>
        </w:tabs>
      </w:pPr>
      <w:r w:rsidRPr="00C84061">
        <w:t xml:space="preserve">Afin de favoriser l’utilisation durable de la biodiversité, des informations biologiques et </w:t>
      </w:r>
      <w:r w:rsidR="00A74511">
        <w:br/>
      </w:r>
      <w:r w:rsidRPr="00C84061">
        <w:t>socio</w:t>
      </w:r>
      <w:r w:rsidR="00A74511">
        <w:t>-</w:t>
      </w:r>
      <w:r w:rsidRPr="00C84061">
        <w:t>économiques de base sont n</w:t>
      </w:r>
      <w:r w:rsidR="00A74511">
        <w:t>écessaires sur les espèces (par exemple</w:t>
      </w:r>
      <w:r w:rsidRPr="00C84061">
        <w:t xml:space="preserve"> population, état de la conservation et de l’écologie</w:t>
      </w:r>
      <w:r w:rsidR="00A74511">
        <w:t>, marchés, prix, demande et chaî</w:t>
      </w:r>
      <w:r w:rsidRPr="00C84061">
        <w:t>ne de valeur), les outils</w:t>
      </w:r>
      <w:r w:rsidR="00BB507E" w:rsidRPr="00C84061">
        <w:t xml:space="preserve"> pour déterminer les niveaux durables </w:t>
      </w:r>
      <w:r w:rsidR="00742AFD">
        <w:t>d’exploitation</w:t>
      </w:r>
      <w:r w:rsidR="00BB507E" w:rsidRPr="00C84061">
        <w:t xml:space="preserve">, les techniques appropriées, les savoirs autochtones et locaux, les procédures d’organisation et les capacités des utilisateurs et des autorités à assurer une gestion adéquate des </w:t>
      </w:r>
      <w:r w:rsidR="00B130F3" w:rsidRPr="00C84061">
        <w:t>ressources</w:t>
      </w:r>
      <w:r w:rsidR="00BB507E" w:rsidRPr="00C84061">
        <w:t>.</w:t>
      </w:r>
      <w:r w:rsidRPr="00C84061">
        <w:t xml:space="preserve"> </w:t>
      </w:r>
    </w:p>
    <w:p w:rsidR="005A4E0C" w:rsidRPr="00C84061" w:rsidRDefault="005A4E0C" w:rsidP="005A4E0C">
      <w:pPr>
        <w:pStyle w:val="CH2"/>
      </w:pPr>
      <w:r w:rsidRPr="00C84061">
        <w:tab/>
        <w:t>C.</w:t>
      </w:r>
      <w:r w:rsidRPr="00C84061">
        <w:tab/>
        <w:t>Utilité</w:t>
      </w:r>
    </w:p>
    <w:p w:rsidR="00B130F3" w:rsidRPr="005B3ED0" w:rsidRDefault="00B130F3" w:rsidP="005A4E0C">
      <w:pPr>
        <w:pStyle w:val="Normalnumber"/>
        <w:numPr>
          <w:ilvl w:val="0"/>
          <w:numId w:val="8"/>
        </w:numPr>
        <w:tabs>
          <w:tab w:val="left" w:pos="1247"/>
          <w:tab w:val="left" w:pos="1814"/>
          <w:tab w:val="left" w:pos="2381"/>
          <w:tab w:val="left" w:pos="2948"/>
          <w:tab w:val="left" w:pos="3515"/>
          <w:tab w:val="left" w:pos="4082"/>
        </w:tabs>
      </w:pPr>
      <w:r w:rsidRPr="00C84061">
        <w:t xml:space="preserve">L’évaluation contribuera à </w:t>
      </w:r>
      <w:r w:rsidR="006D6717">
        <w:t>l’exploitation</w:t>
      </w:r>
      <w:r w:rsidRPr="00C84061">
        <w:t xml:space="preserve"> et au commerce durables des espèces sauvages </w:t>
      </w:r>
      <w:r w:rsidR="00626151" w:rsidRPr="00C84061">
        <w:t>ainsi qu’</w:t>
      </w:r>
      <w:r w:rsidRPr="00C84061">
        <w:t xml:space="preserve">à déterminer </w:t>
      </w:r>
      <w:r w:rsidR="00626151" w:rsidRPr="00C84061">
        <w:t xml:space="preserve">les lacunes dans les connaissances connexes et de meilleures technologies, qui tiennent </w:t>
      </w:r>
      <w:r w:rsidR="00626151" w:rsidRPr="005B3ED0">
        <w:t>notamment compte des savoirs autochtones et locaux. Elle contribuera également à la création d’outils et de méthodes d’appui aux politiques, au renforcement des mécanismes de gestion durable</w:t>
      </w:r>
      <w:r w:rsidR="00D04DD3" w:rsidRPr="005B3ED0">
        <w:t xml:space="preserve"> (</w:t>
      </w:r>
      <w:r w:rsidR="005B3ED0" w:rsidRPr="005B3ED0">
        <w:t>y compris</w:t>
      </w:r>
      <w:r w:rsidR="00D04DD3" w:rsidRPr="005B3ED0">
        <w:t xml:space="preserve"> la mise en place et la gestion de quotas </w:t>
      </w:r>
      <w:r w:rsidR="005B3ED0" w:rsidRPr="005B3ED0">
        <w:t>d’exploitation</w:t>
      </w:r>
      <w:r w:rsidR="00D04DD3" w:rsidRPr="005B3ED0">
        <w:t>)</w:t>
      </w:r>
      <w:r w:rsidR="00626151" w:rsidRPr="005B3ED0">
        <w:t xml:space="preserve">, </w:t>
      </w:r>
      <w:r w:rsidR="00D04DD3" w:rsidRPr="005B3ED0">
        <w:t>au soutien des mesures de respect et d’application et à l’élaboration de réponses aux besoins en matière de renforcement des capacités dans les pays d’origine.</w:t>
      </w:r>
    </w:p>
    <w:p w:rsidR="005A4E0C" w:rsidRPr="00C84061" w:rsidRDefault="005A4E0C" w:rsidP="005A4E0C">
      <w:pPr>
        <w:pStyle w:val="CH2"/>
      </w:pPr>
      <w:r w:rsidRPr="00C84061">
        <w:tab/>
        <w:t>D.</w:t>
      </w:r>
      <w:r w:rsidRPr="00C84061">
        <w:tab/>
        <w:t>Hypothèses</w:t>
      </w:r>
    </w:p>
    <w:p w:rsidR="00F070EC" w:rsidRPr="001931F8" w:rsidRDefault="005A4E0C" w:rsidP="004F20E9">
      <w:pPr>
        <w:pStyle w:val="Normalnumber"/>
        <w:numPr>
          <w:ilvl w:val="0"/>
          <w:numId w:val="8"/>
        </w:numPr>
        <w:tabs>
          <w:tab w:val="left" w:pos="1247"/>
          <w:tab w:val="left" w:pos="1814"/>
          <w:tab w:val="left" w:pos="2381"/>
          <w:tab w:val="left" w:pos="2948"/>
          <w:tab w:val="left" w:pos="3515"/>
          <w:tab w:val="left" w:pos="4082"/>
        </w:tabs>
      </w:pPr>
      <w:r w:rsidRPr="00C84061">
        <w:t xml:space="preserve">L’évaluation proposée </w:t>
      </w:r>
      <w:r w:rsidR="00D04DD3" w:rsidRPr="00C84061">
        <w:t>se fondera</w:t>
      </w:r>
      <w:r w:rsidRPr="00C84061">
        <w:t xml:space="preserve"> sur les ouvr</w:t>
      </w:r>
      <w:r w:rsidR="004E6453">
        <w:t>ages scientifiques existants et</w:t>
      </w:r>
      <w:r w:rsidRPr="00C84061">
        <w:t xml:space="preserve"> sur les </w:t>
      </w:r>
      <w:r w:rsidR="00D04DD3" w:rsidRPr="00C84061">
        <w:t>travaux mené</w:t>
      </w:r>
      <w:r w:rsidRPr="00C84061">
        <w:t xml:space="preserve">s </w:t>
      </w:r>
      <w:r w:rsidR="00D04DD3" w:rsidRPr="00C84061">
        <w:t>sous l’égide d’</w:t>
      </w:r>
      <w:r w:rsidRPr="00C84061">
        <w:t xml:space="preserve">institutions </w:t>
      </w:r>
      <w:r w:rsidR="004F20E9" w:rsidRPr="00C84061">
        <w:t xml:space="preserve">telles que la Convention sur la diversité biologique, la </w:t>
      </w:r>
      <w:r w:rsidR="004F20E9" w:rsidRPr="00C84061">
        <w:rPr>
          <w:bCs/>
        </w:rPr>
        <w:t xml:space="preserve">Convention sur le commerce international des espèces de faune </w:t>
      </w:r>
      <w:r w:rsidR="00A74511">
        <w:rPr>
          <w:bCs/>
        </w:rPr>
        <w:t>et de flore sauvages menacées d’</w:t>
      </w:r>
      <w:r w:rsidR="004F20E9" w:rsidRPr="00C84061">
        <w:rPr>
          <w:bCs/>
        </w:rPr>
        <w:t>extinction</w:t>
      </w:r>
      <w:r w:rsidR="00B114E9" w:rsidRPr="00C84061">
        <w:rPr>
          <w:bCs/>
        </w:rPr>
        <w:t xml:space="preserve"> (CITES)</w:t>
      </w:r>
      <w:r w:rsidR="004F20E9" w:rsidRPr="00C84061">
        <w:rPr>
          <w:bCs/>
        </w:rPr>
        <w:t xml:space="preserve">, la Convention sur la conservation des espèces migratrices appartenant à la faune sauvage, </w:t>
      </w:r>
      <w:r w:rsidRPr="00C84061">
        <w:t>l’Organisation des Nations Unies pour l’alime</w:t>
      </w:r>
      <w:r w:rsidR="00C7529C" w:rsidRPr="00C84061">
        <w:t>ntation et l’agriculture, l’Organisation internationale des bois tropicaux, le Centre mondial de surveillance de la conservation du Programme des Nations Unies pour l’environnement et l’Union internationale pour la conservation de la nature</w:t>
      </w:r>
      <w:r w:rsidR="00600443" w:rsidRPr="00C84061">
        <w:t xml:space="preserve">, entre autres institutions pertinentes. Les travaux menés dans le cadre de la CITES et de la Convention sur la diversité biologique sont particulièrement intéressants étant donné que l’objectif de la CITES est de veiller à ce que le commerce des espèces visées par la Convention soit légal, </w:t>
      </w:r>
      <w:r w:rsidR="00600443" w:rsidRPr="004319F0">
        <w:t>traçable</w:t>
      </w:r>
      <w:r w:rsidR="00600443" w:rsidRPr="00C84061">
        <w:t xml:space="preserve"> et durable, et que l’utilisation durable de la biodiversité constitue le deuxième objectif de la Convention sur la diversité biologique et est explicitement mentionnée dan</w:t>
      </w:r>
      <w:r w:rsidR="00F070EC" w:rsidRPr="00C84061">
        <w:t xml:space="preserve">s les </w:t>
      </w:r>
      <w:r w:rsidR="00F070EC" w:rsidRPr="001931F8">
        <w:t xml:space="preserve">Objectifs 3, 4, 6, 7 et 18 </w:t>
      </w:r>
      <w:r w:rsidR="00600443" w:rsidRPr="001931F8">
        <w:t>d’Aichi pour la biodiversité</w:t>
      </w:r>
      <w:r w:rsidR="00E83FFE">
        <w:t xml:space="preserve"> de la Convention</w:t>
      </w:r>
      <w:r w:rsidR="00F070EC" w:rsidRPr="001931F8">
        <w:t>.</w:t>
      </w:r>
    </w:p>
    <w:p w:rsidR="00C7529C" w:rsidRPr="001A315B" w:rsidRDefault="00F070EC" w:rsidP="004F20E9">
      <w:pPr>
        <w:pStyle w:val="Normalnumber"/>
        <w:numPr>
          <w:ilvl w:val="0"/>
          <w:numId w:val="8"/>
        </w:numPr>
        <w:tabs>
          <w:tab w:val="left" w:pos="1247"/>
          <w:tab w:val="left" w:pos="1814"/>
          <w:tab w:val="left" w:pos="2381"/>
          <w:tab w:val="left" w:pos="2948"/>
          <w:tab w:val="left" w:pos="3515"/>
          <w:tab w:val="left" w:pos="4082"/>
        </w:tabs>
      </w:pPr>
      <w:r w:rsidRPr="00C84061">
        <w:t xml:space="preserve"> </w:t>
      </w:r>
      <w:r w:rsidR="00600443" w:rsidRPr="00C84061">
        <w:t xml:space="preserve"> </w:t>
      </w:r>
      <w:r w:rsidR="00B67D71" w:rsidRPr="00C84061">
        <w:t>L’évaluation de groupes thématiques (com</w:t>
      </w:r>
      <w:r w:rsidR="009A07F6">
        <w:t>me les espèces de bois précieux,</w:t>
      </w:r>
      <w:r w:rsidR="00B67D71" w:rsidRPr="00C84061">
        <w:t xml:space="preserve"> </w:t>
      </w:r>
      <w:r w:rsidR="008252E4" w:rsidRPr="00C84061">
        <w:t xml:space="preserve">les plantes </w:t>
      </w:r>
      <w:r w:rsidR="00A74511">
        <w:br/>
      </w:r>
      <w:r w:rsidR="008252E4" w:rsidRPr="00C84061">
        <w:t xml:space="preserve">non-ligneuses, y </w:t>
      </w:r>
      <w:r w:rsidR="009A07F6">
        <w:t>compris les plantes médicinales,</w:t>
      </w:r>
      <w:r w:rsidR="008252E4" w:rsidRPr="00C84061">
        <w:t xml:space="preserve"> les espèces marines </w:t>
      </w:r>
      <w:r w:rsidR="008252E4" w:rsidRPr="009A07F6">
        <w:t>exploitées</w:t>
      </w:r>
      <w:r w:rsidR="008252E4" w:rsidRPr="00C84061">
        <w:t xml:space="preserve"> commercialement, n</w:t>
      </w:r>
      <w:r w:rsidR="009A07F6">
        <w:t>otamment des espèces de requins,</w:t>
      </w:r>
      <w:r w:rsidR="008252E4" w:rsidRPr="00C84061">
        <w:t xml:space="preserve"> ou des vertébrés terrestres, nota</w:t>
      </w:r>
      <w:r w:rsidR="009A07F6">
        <w:t>mment pour la peau des reptiles,</w:t>
      </w:r>
      <w:r w:rsidR="008252E4" w:rsidRPr="00C84061">
        <w:t xml:space="preserve"> dans toutes les régions des Nations Unies) pour lesquels de</w:t>
      </w:r>
      <w:r w:rsidR="00DF59AD">
        <w:t>s</w:t>
      </w:r>
      <w:r w:rsidR="008252E4" w:rsidRPr="00C84061">
        <w:t xml:space="preserve"> données </w:t>
      </w:r>
      <w:r w:rsidR="00DF59AD">
        <w:t xml:space="preserve">relativement fiables </w:t>
      </w:r>
      <w:r w:rsidR="008252E4" w:rsidRPr="00C84061">
        <w:t xml:space="preserve">existent pourrait </w:t>
      </w:r>
      <w:r w:rsidR="00C92465" w:rsidRPr="00C84061">
        <w:t>donner un aperçu objectif des facteurs écologiques, commerciaux et sociaux qui déterminent si l’exploitation et le commerce ont des effets positifs ou négatifs sur les populations sauvages, les services éc</w:t>
      </w:r>
      <w:r w:rsidR="009A07F6">
        <w:t xml:space="preserve">osystémiques et d’autres biens </w:t>
      </w:r>
      <w:r w:rsidR="00C92465" w:rsidRPr="00C84061">
        <w:t>socio</w:t>
      </w:r>
      <w:r w:rsidR="00A74511">
        <w:t>-</w:t>
      </w:r>
      <w:r w:rsidR="00C92465" w:rsidRPr="00C84061">
        <w:t xml:space="preserve">économiques et culturels. Les connaissances générées à partir de ces évaluations </w:t>
      </w:r>
      <w:r w:rsidR="00C92465" w:rsidRPr="001A315B">
        <w:t xml:space="preserve">pourraient ensuite être </w:t>
      </w:r>
      <w:r w:rsidR="001A315B" w:rsidRPr="001A315B">
        <w:t>suivies du</w:t>
      </w:r>
      <w:r w:rsidR="00C92465" w:rsidRPr="001A315B">
        <w:t xml:space="preserve"> renforcement des capacités et </w:t>
      </w:r>
      <w:r w:rsidR="001A315B">
        <w:t xml:space="preserve">des </w:t>
      </w:r>
      <w:r w:rsidR="00C92465" w:rsidRPr="001A315B">
        <w:t xml:space="preserve">outils nécessaires. </w:t>
      </w:r>
      <w:r w:rsidR="008252E4" w:rsidRPr="001A315B">
        <w:t xml:space="preserve"> </w:t>
      </w:r>
    </w:p>
    <w:p w:rsidR="005A4E0C" w:rsidRPr="00C84061" w:rsidRDefault="005A4E0C" w:rsidP="005A4E0C">
      <w:pPr>
        <w:pStyle w:val="CH1"/>
      </w:pPr>
      <w:r w:rsidRPr="00C84061">
        <w:lastRenderedPageBreak/>
        <w:tab/>
      </w:r>
      <w:r w:rsidR="004A0608">
        <w:t>I</w:t>
      </w:r>
      <w:r w:rsidRPr="00C84061">
        <w:t>II.</w:t>
      </w:r>
      <w:r w:rsidRPr="00C84061">
        <w:tab/>
        <w:t>Plan des chapitres</w:t>
      </w:r>
    </w:p>
    <w:p w:rsidR="005A4E0C" w:rsidRPr="00C84061" w:rsidRDefault="005A4E0C" w:rsidP="005A4E0C">
      <w:pPr>
        <w:pStyle w:val="Normalnumber"/>
        <w:numPr>
          <w:ilvl w:val="0"/>
          <w:numId w:val="8"/>
        </w:numPr>
        <w:tabs>
          <w:tab w:val="left" w:pos="1247"/>
          <w:tab w:val="left" w:pos="1814"/>
          <w:tab w:val="left" w:pos="2381"/>
          <w:tab w:val="left" w:pos="2948"/>
          <w:tab w:val="left" w:pos="3515"/>
          <w:tab w:val="left" w:pos="4082"/>
        </w:tabs>
      </w:pPr>
      <w:r w:rsidRPr="00C84061">
        <w:t xml:space="preserve">Il est prévu de présenter les résultats de l’évaluation </w:t>
      </w:r>
      <w:r w:rsidR="00240C7F" w:rsidRPr="00C84061">
        <w:t>thématique</w:t>
      </w:r>
      <w:r w:rsidRPr="00C84061">
        <w:t xml:space="preserve"> dans un rapport composé des </w:t>
      </w:r>
      <w:r w:rsidR="00A74511">
        <w:br/>
      </w:r>
      <w:r w:rsidR="00240C7F" w:rsidRPr="00C84061">
        <w:t>six</w:t>
      </w:r>
      <w:r w:rsidR="004A0608">
        <w:t xml:space="preserve"> chapitres décrits ci-après</w:t>
      </w:r>
      <w:r w:rsidR="009B76CD">
        <w:t>.</w:t>
      </w:r>
    </w:p>
    <w:p w:rsidR="00240C7F" w:rsidRPr="00C84061" w:rsidRDefault="005A4E0C" w:rsidP="005A4E0C">
      <w:pPr>
        <w:pStyle w:val="Normalnumber"/>
        <w:numPr>
          <w:ilvl w:val="0"/>
          <w:numId w:val="8"/>
        </w:numPr>
        <w:tabs>
          <w:tab w:val="left" w:pos="1247"/>
          <w:tab w:val="left" w:pos="1814"/>
          <w:tab w:val="left" w:pos="2381"/>
          <w:tab w:val="left" w:pos="2948"/>
          <w:tab w:val="left" w:pos="3515"/>
          <w:tab w:val="left" w:pos="4082"/>
        </w:tabs>
      </w:pPr>
      <w:r w:rsidRPr="00C84061">
        <w:t xml:space="preserve">Le chapitre 1 </w:t>
      </w:r>
      <w:r w:rsidR="00240C7F" w:rsidRPr="00C84061">
        <w:t>présentera les principes de l’utilisation durable, y compris les normes reconnues en matière d’utilisa</w:t>
      </w:r>
      <w:r w:rsidR="00DF59AD">
        <w:t>tion durable de la biodiversité,</w:t>
      </w:r>
      <w:r w:rsidR="00240C7F" w:rsidRPr="00C84061">
        <w:t xml:space="preserve"> </w:t>
      </w:r>
      <w:r w:rsidR="00DF59AD">
        <w:t>l’approche de précaution,</w:t>
      </w:r>
      <w:r w:rsidR="00794E88">
        <w:t xml:space="preserve"> la théorie </w:t>
      </w:r>
      <w:r w:rsidR="004A0608">
        <w:t>du rendement maximal</w:t>
      </w:r>
      <w:r w:rsidR="00DF59AD">
        <w:t xml:space="preserve"> durable,</w:t>
      </w:r>
      <w:r w:rsidR="00794E88">
        <w:t xml:space="preserve"> l’importance de l’exploitation des espèces sauvages pour les collectivités local</w:t>
      </w:r>
      <w:r w:rsidR="00DF59AD">
        <w:t>es et les moyens de subsistance,</w:t>
      </w:r>
      <w:r w:rsidR="00794E88">
        <w:t xml:space="preserve"> la contribution </w:t>
      </w:r>
      <w:r w:rsidR="00DF59AD">
        <w:t>d’une</w:t>
      </w:r>
      <w:r w:rsidR="00794E88">
        <w:t xml:space="preserve"> exploitation durable à la conservation de </w:t>
      </w:r>
      <w:r w:rsidR="00FF28C0">
        <w:t>l’habitat et de la biodiversité</w:t>
      </w:r>
      <w:r w:rsidR="00794E88">
        <w:t xml:space="preserve"> et les synergies avec les conventions </w:t>
      </w:r>
      <w:r w:rsidR="00D039C7">
        <w:t>concernant</w:t>
      </w:r>
      <w:r w:rsidR="00794E88">
        <w:t xml:space="preserve"> la biodiversité, les organismes spécialisés et d’autres parties prenantes.</w:t>
      </w:r>
      <w:r w:rsidR="00C84061" w:rsidRPr="00C84061">
        <w:t xml:space="preserve"> </w:t>
      </w:r>
      <w:r w:rsidRPr="00C84061">
        <w:t xml:space="preserve"> </w:t>
      </w:r>
    </w:p>
    <w:p w:rsidR="00F05C24" w:rsidRDefault="005A4E0C" w:rsidP="005A4E0C">
      <w:pPr>
        <w:pStyle w:val="Normalnumber"/>
        <w:numPr>
          <w:ilvl w:val="0"/>
          <w:numId w:val="8"/>
        </w:numPr>
        <w:tabs>
          <w:tab w:val="left" w:pos="1247"/>
          <w:tab w:val="left" w:pos="1814"/>
          <w:tab w:val="left" w:pos="2381"/>
          <w:tab w:val="left" w:pos="2948"/>
          <w:tab w:val="left" w:pos="3515"/>
          <w:tab w:val="left" w:pos="4082"/>
        </w:tabs>
      </w:pPr>
      <w:r w:rsidRPr="00C84061">
        <w:t xml:space="preserve">Le chapitre 2 </w:t>
      </w:r>
      <w:r w:rsidR="001D3BBE">
        <w:t xml:space="preserve">déterminera les taxons à étudier, </w:t>
      </w:r>
      <w:r w:rsidR="008B3FEB">
        <w:t>de préférence des groupes</w:t>
      </w:r>
      <w:r w:rsidR="00EA0A54" w:rsidRPr="00EA0A54">
        <w:t xml:space="preserve"> </w:t>
      </w:r>
      <w:r w:rsidR="00EA0A54">
        <w:t>d’espèces sauvages</w:t>
      </w:r>
      <w:r w:rsidR="008B3FEB">
        <w:t xml:space="preserve"> </w:t>
      </w:r>
      <w:r w:rsidR="00EA0A54" w:rsidRPr="00FF28C0">
        <w:t>communément</w:t>
      </w:r>
      <w:r w:rsidR="008B3FEB" w:rsidRPr="00FF28C0">
        <w:t xml:space="preserve"> exploité</w:t>
      </w:r>
      <w:r w:rsidR="00FF28C0">
        <w:t>e</w:t>
      </w:r>
      <w:r w:rsidR="008B3FEB" w:rsidRPr="00FF28C0">
        <w:t>s et commercialement rentables, présentant des mécanismes de gestion ou des</w:t>
      </w:r>
      <w:r w:rsidR="008B3FEB">
        <w:t xml:space="preserve"> formes de vie représentative</w:t>
      </w:r>
      <w:r w:rsidR="000453D4">
        <w:t>s de toutes les régions (par exemple</w:t>
      </w:r>
      <w:r w:rsidR="008B3FEB">
        <w:t xml:space="preserve"> poissons d’eau de mer et d’eau douce, oiseaux, mammifères, reptiles, plantes ligneuses et non ligneuses) et </w:t>
      </w:r>
      <w:r w:rsidR="00E215ED">
        <w:t>décrira</w:t>
      </w:r>
      <w:r w:rsidR="008B3FEB">
        <w:t xml:space="preserve"> l’état de leur conservation. </w:t>
      </w:r>
    </w:p>
    <w:p w:rsidR="005A4E0C" w:rsidRPr="00C84061" w:rsidRDefault="005A4E0C" w:rsidP="005A4E0C">
      <w:pPr>
        <w:pStyle w:val="Normalnumber"/>
        <w:numPr>
          <w:ilvl w:val="0"/>
          <w:numId w:val="8"/>
        </w:numPr>
        <w:tabs>
          <w:tab w:val="left" w:pos="1247"/>
          <w:tab w:val="left" w:pos="1814"/>
          <w:tab w:val="left" w:pos="2381"/>
          <w:tab w:val="left" w:pos="2948"/>
          <w:tab w:val="left" w:pos="3515"/>
          <w:tab w:val="left" w:pos="4082"/>
        </w:tabs>
      </w:pPr>
      <w:r w:rsidRPr="00C84061">
        <w:t xml:space="preserve">Le chapitre 3 </w:t>
      </w:r>
      <w:r w:rsidR="00573A63">
        <w:t>sera consacré à</w:t>
      </w:r>
      <w:r w:rsidR="00E661F0">
        <w:t xml:space="preserve"> une évaluation de </w:t>
      </w:r>
      <w:r w:rsidR="008B3FEB">
        <w:t xml:space="preserve">l’importance écologique, économique, sociale et culturelle des taxons </w:t>
      </w:r>
      <w:r w:rsidR="00F0386A">
        <w:t>retenus</w:t>
      </w:r>
      <w:r w:rsidRPr="00C84061">
        <w:t>.</w:t>
      </w:r>
    </w:p>
    <w:p w:rsidR="00E661F0" w:rsidRDefault="005A4E0C" w:rsidP="005A4E0C">
      <w:pPr>
        <w:pStyle w:val="Normalnumber"/>
        <w:numPr>
          <w:ilvl w:val="0"/>
          <w:numId w:val="8"/>
        </w:numPr>
        <w:tabs>
          <w:tab w:val="left" w:pos="1247"/>
          <w:tab w:val="left" w:pos="1814"/>
          <w:tab w:val="left" w:pos="2381"/>
          <w:tab w:val="left" w:pos="2948"/>
          <w:tab w:val="left" w:pos="3515"/>
          <w:tab w:val="left" w:pos="4082"/>
        </w:tabs>
      </w:pPr>
      <w:r w:rsidRPr="00C84061">
        <w:t xml:space="preserve">Le chapitre 4 </w:t>
      </w:r>
      <w:r w:rsidR="00E661F0">
        <w:t xml:space="preserve">présentera une évaluation </w:t>
      </w:r>
      <w:r w:rsidR="00EA0A54">
        <w:t>de l’influence</w:t>
      </w:r>
      <w:r w:rsidR="00E661F0">
        <w:t xml:space="preserve"> </w:t>
      </w:r>
      <w:r w:rsidR="00303514">
        <w:t xml:space="preserve">sur les marchés et les collectivités locales </w:t>
      </w:r>
      <w:r w:rsidR="00E661F0">
        <w:t xml:space="preserve">des facteurs </w:t>
      </w:r>
      <w:r w:rsidR="00EA0A54">
        <w:t>socio</w:t>
      </w:r>
      <w:r w:rsidR="000453D4">
        <w:t>-</w:t>
      </w:r>
      <w:r w:rsidR="00EA0A54">
        <w:t xml:space="preserve">économiques </w:t>
      </w:r>
      <w:r w:rsidR="00303514">
        <w:t xml:space="preserve">de l’exploitation </w:t>
      </w:r>
      <w:r w:rsidR="00EA0A54">
        <w:t>des taxons communément exploités en fonction de différents modes de gestion.</w:t>
      </w:r>
      <w:r w:rsidR="00E661F0">
        <w:t xml:space="preserve">  </w:t>
      </w:r>
    </w:p>
    <w:p w:rsidR="009A2222" w:rsidRDefault="005A4E0C" w:rsidP="005A4E0C">
      <w:pPr>
        <w:pStyle w:val="Normalnumber"/>
        <w:numPr>
          <w:ilvl w:val="0"/>
          <w:numId w:val="8"/>
        </w:numPr>
        <w:tabs>
          <w:tab w:val="left" w:pos="1247"/>
          <w:tab w:val="left" w:pos="1814"/>
          <w:tab w:val="left" w:pos="2381"/>
          <w:tab w:val="left" w:pos="2948"/>
          <w:tab w:val="left" w:pos="3515"/>
          <w:tab w:val="left" w:pos="4082"/>
        </w:tabs>
      </w:pPr>
      <w:r w:rsidRPr="00C84061">
        <w:t xml:space="preserve">Le chapitre 5 </w:t>
      </w:r>
      <w:r w:rsidR="00DC20F6">
        <w:t>évaluera les conséquences de la récolte ou de l’exploitation</w:t>
      </w:r>
      <w:r w:rsidR="00C10287">
        <w:t xml:space="preserve"> sur l’état de conservation de certains taxons, écosystèmes, services écosystémiques et d’autres systèmes de valeurs selon différents modes de gestion.</w:t>
      </w:r>
    </w:p>
    <w:p w:rsidR="005A4E0C" w:rsidRPr="000E46DB" w:rsidRDefault="009A2222" w:rsidP="005A4E0C">
      <w:pPr>
        <w:pStyle w:val="Normalnumber"/>
        <w:numPr>
          <w:ilvl w:val="0"/>
          <w:numId w:val="8"/>
        </w:numPr>
        <w:tabs>
          <w:tab w:val="left" w:pos="1247"/>
          <w:tab w:val="left" w:pos="1814"/>
          <w:tab w:val="left" w:pos="2381"/>
          <w:tab w:val="left" w:pos="2948"/>
          <w:tab w:val="left" w:pos="3515"/>
          <w:tab w:val="left" w:pos="4082"/>
        </w:tabs>
      </w:pPr>
      <w:r w:rsidRPr="000E46DB">
        <w:t>Le chapitre </w:t>
      </w:r>
      <w:r w:rsidR="001E4172" w:rsidRPr="000E46DB">
        <w:t>6 présentera une compilation de</w:t>
      </w:r>
      <w:r w:rsidRPr="000E46DB">
        <w:t xml:space="preserve"> directives et </w:t>
      </w:r>
      <w:r w:rsidR="000E46DB" w:rsidRPr="000E46DB">
        <w:t>d’</w:t>
      </w:r>
      <w:r w:rsidRPr="000E46DB">
        <w:t xml:space="preserve">outils de gestion (y compris les meilleures pratiques, des procédures, enseignements tirés et recommandations) </w:t>
      </w:r>
      <w:r w:rsidR="004B32BD" w:rsidRPr="000E46DB">
        <w:t>pour</w:t>
      </w:r>
      <w:r w:rsidRPr="000E46DB">
        <w:t xml:space="preserve"> </w:t>
      </w:r>
      <w:r w:rsidR="000E46DB" w:rsidRPr="000E46DB">
        <w:t>l’utilisation durable de certains</w:t>
      </w:r>
      <w:r w:rsidR="004B32BD" w:rsidRPr="000E46DB">
        <w:t xml:space="preserve"> taxons, éventuellement applicables à d’autres espèces </w:t>
      </w:r>
      <w:r w:rsidR="000E46DB" w:rsidRPr="000E46DB">
        <w:t>dans le cadre de</w:t>
      </w:r>
      <w:r w:rsidR="004B32BD" w:rsidRPr="000E46DB">
        <w:t xml:space="preserve"> mode</w:t>
      </w:r>
      <w:r w:rsidR="000E46DB" w:rsidRPr="000E46DB">
        <w:t>s</w:t>
      </w:r>
      <w:r w:rsidR="004B32BD" w:rsidRPr="000E46DB">
        <w:t xml:space="preserve"> de gestion similaire</w:t>
      </w:r>
      <w:r w:rsidR="000E46DB" w:rsidRPr="000E46DB">
        <w:t>s</w:t>
      </w:r>
      <w:r w:rsidR="004B32BD" w:rsidRPr="000E46DB">
        <w:t xml:space="preserve">. </w:t>
      </w:r>
      <w:r w:rsidR="005A4E0C" w:rsidRPr="000E46DB">
        <w:t xml:space="preserve"> </w:t>
      </w:r>
    </w:p>
    <w:p w:rsidR="005A4E0C" w:rsidRPr="00C84061" w:rsidRDefault="005A4E0C" w:rsidP="005A4E0C">
      <w:pPr>
        <w:pStyle w:val="CH1"/>
      </w:pPr>
      <w:r w:rsidRPr="00C84061">
        <w:tab/>
      </w:r>
      <w:r w:rsidR="004A0608">
        <w:t>IV</w:t>
      </w:r>
      <w:r w:rsidRPr="00C84061">
        <w:t>.</w:t>
      </w:r>
      <w:r w:rsidRPr="00C84061">
        <w:tab/>
        <w:t>Déroulement et calendrier des travaux</w:t>
      </w:r>
    </w:p>
    <w:p w:rsidR="005A4E0C" w:rsidRDefault="003F2572" w:rsidP="005A4E0C">
      <w:pPr>
        <w:pStyle w:val="Normalnumber"/>
        <w:numPr>
          <w:ilvl w:val="0"/>
          <w:numId w:val="8"/>
        </w:numPr>
        <w:tabs>
          <w:tab w:val="left" w:pos="1247"/>
          <w:tab w:val="left" w:pos="1814"/>
          <w:tab w:val="left" w:pos="2381"/>
          <w:tab w:val="left" w:pos="2948"/>
          <w:tab w:val="left" w:pos="3515"/>
          <w:tab w:val="left" w:pos="4082"/>
        </w:tabs>
      </w:pPr>
      <w:r>
        <w:t xml:space="preserve">L’évaluation thématique proposée pourrait se dérouler selon les étapes et le calendrier indiqués </w:t>
      </w:r>
      <w:r w:rsidR="005A4E0C" w:rsidRPr="00C84061">
        <w:t>dans le tableau ci-après.</w:t>
      </w:r>
    </w:p>
    <w:tbl>
      <w:tblPr>
        <w:tblW w:w="8676"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
        <w:gridCol w:w="869"/>
        <w:gridCol w:w="996"/>
        <w:gridCol w:w="152"/>
        <w:gridCol w:w="6343"/>
        <w:gridCol w:w="161"/>
      </w:tblGrid>
      <w:tr w:rsidR="007C0FAE" w:rsidRPr="007C0FAE" w:rsidTr="00F442D1">
        <w:trPr>
          <w:gridBefore w:val="1"/>
          <w:wBefore w:w="156" w:type="dxa"/>
        </w:trPr>
        <w:tc>
          <w:tcPr>
            <w:tcW w:w="1857" w:type="dxa"/>
            <w:gridSpan w:val="3"/>
            <w:vAlign w:val="center"/>
          </w:tcPr>
          <w:p w:rsidR="007C0FAE" w:rsidRPr="007C0FAE" w:rsidRDefault="007C0FAE" w:rsidP="00723F5C">
            <w:pPr>
              <w:pStyle w:val="Normal-pool"/>
              <w:spacing w:before="6" w:after="6"/>
              <w:rPr>
                <w:rFonts w:eastAsia="SimSun"/>
                <w:i/>
                <w:sz w:val="19"/>
                <w:szCs w:val="19"/>
                <w:lang w:val="fr-CA" w:eastAsia="zh-CN"/>
              </w:rPr>
            </w:pPr>
            <w:r w:rsidRPr="007C0FAE">
              <w:rPr>
                <w:rFonts w:eastAsia="SimSun"/>
                <w:i/>
                <w:sz w:val="19"/>
                <w:szCs w:val="19"/>
                <w:lang w:val="fr-CA" w:eastAsia="zh-CN"/>
              </w:rPr>
              <w:t>Calendrier</w:t>
            </w:r>
          </w:p>
        </w:tc>
        <w:tc>
          <w:tcPr>
            <w:tcW w:w="6663" w:type="dxa"/>
            <w:gridSpan w:val="2"/>
            <w:shd w:val="clear" w:color="auto" w:fill="auto"/>
            <w:vAlign w:val="center"/>
          </w:tcPr>
          <w:p w:rsidR="007C0FAE" w:rsidRPr="007C0FAE" w:rsidRDefault="004A0608" w:rsidP="00723F5C">
            <w:pPr>
              <w:pStyle w:val="Normal-pool"/>
              <w:spacing w:before="40" w:after="40"/>
              <w:rPr>
                <w:i/>
                <w:lang w:val="fr-CA"/>
              </w:rPr>
            </w:pPr>
            <w:r>
              <w:rPr>
                <w:i/>
                <w:lang w:val="fr-CA"/>
              </w:rPr>
              <w:t>Activités</w:t>
            </w:r>
          </w:p>
        </w:tc>
      </w:tr>
      <w:tr w:rsidR="006E237B" w:rsidRPr="00C84061" w:rsidTr="00F442D1">
        <w:tblPrEx>
          <w:jc w:val="right"/>
        </w:tblPrEx>
        <w:trPr>
          <w:gridAfter w:val="1"/>
          <w:wAfter w:w="166" w:type="dxa"/>
          <w:trHeight w:val="584"/>
          <w:jc w:val="right"/>
        </w:trPr>
        <w:tc>
          <w:tcPr>
            <w:tcW w:w="1037" w:type="dxa"/>
            <w:gridSpan w:val="2"/>
            <w:vMerge w:val="restart"/>
            <w:shd w:val="clear" w:color="auto" w:fill="auto"/>
            <w:vAlign w:val="center"/>
          </w:tcPr>
          <w:p w:rsidR="006E237B" w:rsidRPr="00373895" w:rsidRDefault="006E237B" w:rsidP="00006227">
            <w:pPr>
              <w:pStyle w:val="Normal-pool"/>
              <w:spacing w:before="40" w:after="40"/>
              <w:rPr>
                <w:rFonts w:eastAsia="SimSun"/>
                <w:sz w:val="18"/>
                <w:szCs w:val="18"/>
                <w:lang w:val="fr-CA" w:eastAsia="zh-CN"/>
              </w:rPr>
            </w:pPr>
            <w:r w:rsidRPr="00373895">
              <w:rPr>
                <w:rFonts w:eastAsia="SimSun"/>
                <w:sz w:val="18"/>
                <w:szCs w:val="18"/>
                <w:lang w:val="fr-CA" w:eastAsia="zh-CN"/>
              </w:rPr>
              <w:t>2013</w:t>
            </w:r>
          </w:p>
        </w:tc>
        <w:tc>
          <w:tcPr>
            <w:tcW w:w="820" w:type="dxa"/>
            <w:shd w:val="clear" w:color="auto" w:fill="auto"/>
            <w:vAlign w:val="center"/>
          </w:tcPr>
          <w:p w:rsidR="006E237B" w:rsidRPr="00C84061" w:rsidRDefault="004A0608" w:rsidP="00006227">
            <w:pPr>
              <w:pStyle w:val="Normal-pool"/>
              <w:spacing w:before="40" w:after="40"/>
              <w:rPr>
                <w:rFonts w:eastAsia="SimSun"/>
                <w:sz w:val="18"/>
                <w:szCs w:val="18"/>
                <w:lang w:val="fr-CA" w:eastAsia="zh-CN"/>
              </w:rPr>
            </w:pPr>
            <w:r>
              <w:rPr>
                <w:rFonts w:eastAsia="SimSun"/>
                <w:sz w:val="18"/>
                <w:szCs w:val="18"/>
                <w:lang w:val="fr-CA" w:eastAsia="zh-CN"/>
              </w:rPr>
              <w:t>Quatrième trimestre</w:t>
            </w:r>
          </w:p>
        </w:tc>
        <w:tc>
          <w:tcPr>
            <w:tcW w:w="6653" w:type="dxa"/>
            <w:gridSpan w:val="2"/>
            <w:shd w:val="clear" w:color="auto" w:fill="auto"/>
            <w:vAlign w:val="center"/>
          </w:tcPr>
          <w:p w:rsidR="006E237B" w:rsidRPr="00C84061" w:rsidRDefault="006E237B" w:rsidP="00723F5C">
            <w:pPr>
              <w:pStyle w:val="Normal-pool"/>
              <w:spacing w:before="40" w:after="40"/>
              <w:rPr>
                <w:sz w:val="18"/>
                <w:szCs w:val="18"/>
                <w:lang w:val="fr-CA"/>
              </w:rPr>
            </w:pPr>
            <w:r w:rsidRPr="00C84061">
              <w:rPr>
                <w:sz w:val="18"/>
                <w:szCs w:val="18"/>
                <w:lang w:val="fr-CA"/>
              </w:rPr>
              <w:t xml:space="preserve">La Plénière examine et approuve </w:t>
            </w:r>
            <w:r>
              <w:rPr>
                <w:sz w:val="18"/>
                <w:szCs w:val="18"/>
                <w:lang w:val="fr-CA"/>
              </w:rPr>
              <w:t>l’exercice de</w:t>
            </w:r>
            <w:r w:rsidRPr="00C84061">
              <w:rPr>
                <w:sz w:val="18"/>
                <w:szCs w:val="18"/>
                <w:lang w:val="fr-CA"/>
              </w:rPr>
              <w:t xml:space="preserve"> cadrage initial établi par le Groupe d’experts multidisciplinaire </w:t>
            </w:r>
            <w:r>
              <w:rPr>
                <w:sz w:val="18"/>
                <w:szCs w:val="18"/>
                <w:lang w:val="fr-CA"/>
              </w:rPr>
              <w:t>et demande au Groupe d’experts et au Bureau de réaliser l’évaluation complète après une étude de cadrage détaillée et dans le cadre d’un budget convenu</w:t>
            </w:r>
            <w:r w:rsidRPr="00C84061">
              <w:rPr>
                <w:sz w:val="18"/>
                <w:szCs w:val="18"/>
                <w:lang w:val="fr-CA"/>
              </w:rPr>
              <w:t xml:space="preserve"> (14 décembre 2013).</w:t>
            </w:r>
          </w:p>
        </w:tc>
      </w:tr>
      <w:tr w:rsidR="006E237B" w:rsidRPr="00C84061" w:rsidTr="00F442D1">
        <w:tblPrEx>
          <w:jc w:val="right"/>
        </w:tblPrEx>
        <w:trPr>
          <w:gridAfter w:val="1"/>
          <w:wAfter w:w="166" w:type="dxa"/>
          <w:trHeight w:val="584"/>
          <w:jc w:val="right"/>
        </w:trPr>
        <w:tc>
          <w:tcPr>
            <w:tcW w:w="1037" w:type="dxa"/>
            <w:gridSpan w:val="2"/>
            <w:vMerge/>
            <w:shd w:val="clear" w:color="auto" w:fill="auto"/>
            <w:vAlign w:val="center"/>
          </w:tcPr>
          <w:p w:rsidR="006E237B" w:rsidRPr="00C84061" w:rsidRDefault="006E237B" w:rsidP="00006227">
            <w:pPr>
              <w:pStyle w:val="Normal-pool"/>
              <w:spacing w:before="40" w:after="40"/>
              <w:rPr>
                <w:rFonts w:eastAsia="SimSun"/>
                <w:sz w:val="18"/>
                <w:szCs w:val="18"/>
                <w:lang w:val="fr-CA" w:eastAsia="zh-CN"/>
              </w:rPr>
            </w:pPr>
          </w:p>
        </w:tc>
        <w:tc>
          <w:tcPr>
            <w:tcW w:w="820" w:type="dxa"/>
            <w:shd w:val="clear" w:color="auto" w:fill="auto"/>
            <w:vAlign w:val="center"/>
          </w:tcPr>
          <w:p w:rsidR="006E237B" w:rsidRPr="00C84061" w:rsidRDefault="004A0608" w:rsidP="00065DE1">
            <w:pPr>
              <w:pStyle w:val="Normal-pool"/>
              <w:spacing w:before="40" w:after="40"/>
              <w:rPr>
                <w:rFonts w:eastAsia="SimSun"/>
                <w:sz w:val="18"/>
                <w:szCs w:val="18"/>
                <w:lang w:val="fr-CA" w:eastAsia="zh-CN"/>
              </w:rPr>
            </w:pPr>
            <w:r>
              <w:rPr>
                <w:rFonts w:eastAsia="SimSun"/>
                <w:sz w:val="18"/>
                <w:szCs w:val="18"/>
                <w:lang w:val="fr-CA" w:eastAsia="zh-CN"/>
              </w:rPr>
              <w:t>Quatrième trimestre</w:t>
            </w:r>
          </w:p>
        </w:tc>
        <w:tc>
          <w:tcPr>
            <w:tcW w:w="6653" w:type="dxa"/>
            <w:gridSpan w:val="2"/>
            <w:shd w:val="clear" w:color="auto" w:fill="auto"/>
            <w:vAlign w:val="center"/>
          </w:tcPr>
          <w:p w:rsidR="006E237B" w:rsidRPr="00C84061" w:rsidRDefault="006E237B" w:rsidP="00B30814">
            <w:pPr>
              <w:pStyle w:val="Normal-pool"/>
              <w:spacing w:before="40" w:after="40"/>
              <w:rPr>
                <w:sz w:val="18"/>
                <w:szCs w:val="18"/>
                <w:lang w:val="fr-CA"/>
              </w:rPr>
            </w:pPr>
            <w:r w:rsidRPr="00C84061">
              <w:rPr>
                <w:sz w:val="18"/>
                <w:szCs w:val="18"/>
                <w:lang w:val="fr-CA"/>
              </w:rPr>
              <w:t xml:space="preserve">Le Groupe d’experts, par </w:t>
            </w:r>
            <w:r>
              <w:rPr>
                <w:sz w:val="18"/>
                <w:szCs w:val="18"/>
                <w:lang w:val="fr-CA"/>
              </w:rPr>
              <w:t>l’intermédiaire</w:t>
            </w:r>
            <w:r w:rsidRPr="00C84061">
              <w:rPr>
                <w:sz w:val="18"/>
                <w:szCs w:val="18"/>
                <w:lang w:val="fr-CA"/>
              </w:rPr>
              <w:t xml:space="preserve"> du secrétariat, demande aux gouvernements et aux autres parties prenantes de désigner des experts pour </w:t>
            </w:r>
            <w:r>
              <w:rPr>
                <w:sz w:val="18"/>
                <w:szCs w:val="18"/>
                <w:lang w:val="fr-CA"/>
              </w:rPr>
              <w:t xml:space="preserve">l’aider à </w:t>
            </w:r>
            <w:r w:rsidRPr="00C84061">
              <w:rPr>
                <w:sz w:val="18"/>
                <w:szCs w:val="18"/>
                <w:lang w:val="fr-CA"/>
              </w:rPr>
              <w:t xml:space="preserve">réaliser l’étude de cadrage </w:t>
            </w:r>
            <w:r>
              <w:rPr>
                <w:sz w:val="18"/>
                <w:szCs w:val="18"/>
                <w:lang w:val="fr-CA"/>
              </w:rPr>
              <w:t>(16 décembre 2013</w:t>
            </w:r>
            <w:r w:rsidR="000453D4">
              <w:rPr>
                <w:sz w:val="18"/>
                <w:szCs w:val="18"/>
                <w:lang w:val="fr-CA"/>
              </w:rPr>
              <w:t xml:space="preserve"> </w:t>
            </w:r>
            <w:r>
              <w:rPr>
                <w:sz w:val="18"/>
                <w:szCs w:val="18"/>
                <w:lang w:val="fr-CA"/>
              </w:rPr>
              <w:t>-</w:t>
            </w:r>
            <w:r w:rsidR="000453D4">
              <w:rPr>
                <w:sz w:val="18"/>
                <w:szCs w:val="18"/>
                <w:lang w:val="fr-CA"/>
              </w:rPr>
              <w:t xml:space="preserve"> </w:t>
            </w:r>
            <w:r>
              <w:rPr>
                <w:sz w:val="18"/>
                <w:szCs w:val="18"/>
                <w:lang w:val="fr-CA"/>
              </w:rPr>
              <w:t>31 janvier 2014)</w:t>
            </w:r>
            <w:r w:rsidRPr="00C84061">
              <w:rPr>
                <w:sz w:val="18"/>
                <w:szCs w:val="18"/>
                <w:lang w:val="fr-CA"/>
              </w:rPr>
              <w:t>.</w:t>
            </w:r>
          </w:p>
        </w:tc>
      </w:tr>
      <w:tr w:rsidR="00664400" w:rsidRPr="00C84061" w:rsidTr="00F442D1">
        <w:tblPrEx>
          <w:jc w:val="right"/>
        </w:tblPrEx>
        <w:trPr>
          <w:gridAfter w:val="1"/>
          <w:wAfter w:w="166" w:type="dxa"/>
          <w:trHeight w:val="584"/>
          <w:jc w:val="right"/>
        </w:trPr>
        <w:tc>
          <w:tcPr>
            <w:tcW w:w="1037" w:type="dxa"/>
            <w:gridSpan w:val="2"/>
            <w:vMerge w:val="restart"/>
            <w:shd w:val="clear" w:color="auto" w:fill="auto"/>
            <w:vAlign w:val="center"/>
          </w:tcPr>
          <w:p w:rsidR="00664400" w:rsidRPr="003C3321" w:rsidRDefault="00664400" w:rsidP="003C3321">
            <w:pPr>
              <w:pStyle w:val="Normal-pool"/>
              <w:spacing w:before="40" w:after="40"/>
              <w:rPr>
                <w:rFonts w:eastAsia="SimSun"/>
                <w:sz w:val="18"/>
                <w:szCs w:val="18"/>
                <w:lang w:val="fr-CA" w:eastAsia="zh-CN"/>
              </w:rPr>
            </w:pPr>
            <w:r w:rsidRPr="003C3321">
              <w:rPr>
                <w:rFonts w:eastAsia="SimSun"/>
                <w:lang w:eastAsia="zh-CN"/>
              </w:rPr>
              <w:t>2014</w:t>
            </w:r>
          </w:p>
        </w:tc>
        <w:tc>
          <w:tcPr>
            <w:tcW w:w="820" w:type="dxa"/>
            <w:shd w:val="clear" w:color="auto" w:fill="auto"/>
            <w:vAlign w:val="center"/>
          </w:tcPr>
          <w:p w:rsidR="00664400" w:rsidRPr="00C84061" w:rsidRDefault="004A0608" w:rsidP="00006227">
            <w:pPr>
              <w:pStyle w:val="Normal-pool"/>
              <w:spacing w:before="40" w:after="40"/>
              <w:rPr>
                <w:rFonts w:eastAsia="SimSun"/>
                <w:sz w:val="18"/>
                <w:szCs w:val="18"/>
                <w:lang w:val="fr-CA" w:eastAsia="zh-CN"/>
              </w:rPr>
            </w:pPr>
            <w:r>
              <w:rPr>
                <w:rFonts w:eastAsia="SimSun"/>
                <w:sz w:val="18"/>
                <w:szCs w:val="18"/>
                <w:lang w:val="fr-CA" w:eastAsia="zh-CN"/>
              </w:rPr>
              <w:t>Premier trimestre</w:t>
            </w:r>
          </w:p>
        </w:tc>
        <w:tc>
          <w:tcPr>
            <w:tcW w:w="6653" w:type="dxa"/>
            <w:gridSpan w:val="2"/>
            <w:shd w:val="clear" w:color="auto" w:fill="auto"/>
            <w:vAlign w:val="center"/>
          </w:tcPr>
          <w:p w:rsidR="00664400" w:rsidRPr="00C84061" w:rsidRDefault="00664400" w:rsidP="000453D4">
            <w:pPr>
              <w:pStyle w:val="Normal-pool"/>
              <w:spacing w:before="40" w:after="40"/>
              <w:rPr>
                <w:sz w:val="18"/>
                <w:szCs w:val="18"/>
                <w:lang w:val="fr-CA"/>
              </w:rPr>
            </w:pPr>
            <w:r w:rsidRPr="00C84061">
              <w:rPr>
                <w:sz w:val="18"/>
                <w:szCs w:val="18"/>
                <w:lang w:val="fr-CA"/>
              </w:rPr>
              <w:t xml:space="preserve">Le Groupe d’experts, par </w:t>
            </w:r>
            <w:r>
              <w:rPr>
                <w:sz w:val="18"/>
                <w:szCs w:val="18"/>
                <w:lang w:val="fr-CA"/>
              </w:rPr>
              <w:t xml:space="preserve">le biais de </w:t>
            </w:r>
            <w:r w:rsidRPr="00C84061">
              <w:rPr>
                <w:sz w:val="18"/>
                <w:szCs w:val="18"/>
                <w:lang w:val="fr-CA"/>
              </w:rPr>
              <w:t>courriel</w:t>
            </w:r>
            <w:r>
              <w:rPr>
                <w:sz w:val="18"/>
                <w:szCs w:val="18"/>
                <w:lang w:val="fr-CA"/>
              </w:rPr>
              <w:t>s</w:t>
            </w:r>
            <w:r w:rsidRPr="00C84061">
              <w:rPr>
                <w:sz w:val="18"/>
                <w:szCs w:val="18"/>
                <w:lang w:val="fr-CA"/>
              </w:rPr>
              <w:t xml:space="preserve"> et </w:t>
            </w:r>
            <w:r>
              <w:rPr>
                <w:sz w:val="18"/>
                <w:szCs w:val="18"/>
                <w:lang w:val="fr-CA"/>
              </w:rPr>
              <w:t xml:space="preserve">de </w:t>
            </w:r>
            <w:r w:rsidRPr="00C84061">
              <w:rPr>
                <w:sz w:val="18"/>
                <w:szCs w:val="18"/>
                <w:lang w:val="fr-CA"/>
              </w:rPr>
              <w:t>téléconférences, choisit les</w:t>
            </w:r>
            <w:r>
              <w:rPr>
                <w:sz w:val="18"/>
                <w:szCs w:val="18"/>
                <w:lang w:val="fr-CA"/>
              </w:rPr>
              <w:t xml:space="preserve"> experts (deux auteurs principaux pour chacun des sept groupes thématiques) pour l’étude de cadrage</w:t>
            </w:r>
            <w:r w:rsidRPr="00C84061">
              <w:rPr>
                <w:sz w:val="18"/>
                <w:szCs w:val="18"/>
                <w:lang w:val="fr-CA"/>
              </w:rPr>
              <w:t xml:space="preserve">, en appliquant les critères approuvés à cet effet </w:t>
            </w:r>
            <w:r w:rsidR="004D56F0">
              <w:t>(voir IBPES/2/9)</w:t>
            </w:r>
            <w:r w:rsidR="004D56F0" w:rsidRPr="00C062F0">
              <w:t xml:space="preserve"> </w:t>
            </w:r>
            <w:r w:rsidR="000453D4">
              <w:br/>
            </w:r>
            <w:r w:rsidR="00265356">
              <w:rPr>
                <w:sz w:val="18"/>
                <w:szCs w:val="18"/>
                <w:lang w:val="fr-CA"/>
              </w:rPr>
              <w:t>(1</w:t>
            </w:r>
            <w:r w:rsidR="00265356" w:rsidRPr="00265356">
              <w:rPr>
                <w:sz w:val="18"/>
                <w:szCs w:val="18"/>
                <w:vertAlign w:val="superscript"/>
                <w:lang w:val="fr-CA"/>
              </w:rPr>
              <w:t>er</w:t>
            </w:r>
            <w:r>
              <w:rPr>
                <w:sz w:val="18"/>
                <w:szCs w:val="18"/>
                <w:lang w:val="fr-CA"/>
              </w:rPr>
              <w:t>–1</w:t>
            </w:r>
            <w:r w:rsidRPr="00C84061">
              <w:rPr>
                <w:sz w:val="18"/>
                <w:szCs w:val="18"/>
                <w:lang w:val="fr-CA"/>
              </w:rPr>
              <w:t>4 </w:t>
            </w:r>
            <w:r>
              <w:rPr>
                <w:sz w:val="18"/>
                <w:szCs w:val="18"/>
                <w:lang w:val="fr-CA"/>
              </w:rPr>
              <w:t>février 2014</w:t>
            </w:r>
            <w:r w:rsidRPr="00C84061">
              <w:rPr>
                <w:sz w:val="18"/>
                <w:szCs w:val="18"/>
                <w:lang w:val="fr-CA"/>
              </w:rPr>
              <w:t>).</w:t>
            </w:r>
          </w:p>
        </w:tc>
      </w:tr>
      <w:tr w:rsidR="00664400" w:rsidRPr="00C84061" w:rsidTr="00F442D1">
        <w:tblPrEx>
          <w:jc w:val="right"/>
        </w:tblPrEx>
        <w:trPr>
          <w:gridAfter w:val="1"/>
          <w:wAfter w:w="166" w:type="dxa"/>
          <w:trHeight w:val="42"/>
          <w:jc w:val="right"/>
        </w:trPr>
        <w:tc>
          <w:tcPr>
            <w:tcW w:w="1037" w:type="dxa"/>
            <w:gridSpan w:val="2"/>
            <w:vMerge/>
            <w:shd w:val="clear" w:color="auto" w:fill="auto"/>
            <w:vAlign w:val="center"/>
          </w:tcPr>
          <w:p w:rsidR="00664400" w:rsidRPr="00C84061" w:rsidRDefault="00664400" w:rsidP="00006227">
            <w:pPr>
              <w:pStyle w:val="Normal-pool"/>
              <w:spacing w:before="40" w:after="40"/>
              <w:rPr>
                <w:rFonts w:eastAsia="SimSun"/>
                <w:sz w:val="18"/>
                <w:szCs w:val="18"/>
                <w:lang w:val="fr-CA" w:eastAsia="zh-CN"/>
              </w:rPr>
            </w:pPr>
          </w:p>
        </w:tc>
        <w:tc>
          <w:tcPr>
            <w:tcW w:w="820" w:type="dxa"/>
            <w:shd w:val="clear" w:color="auto" w:fill="auto"/>
            <w:vAlign w:val="center"/>
          </w:tcPr>
          <w:p w:rsidR="00664400" w:rsidRPr="00C84061" w:rsidRDefault="004A0608" w:rsidP="006109D5">
            <w:pPr>
              <w:pStyle w:val="Normal-pool"/>
              <w:spacing w:before="40" w:after="40"/>
              <w:rPr>
                <w:rFonts w:eastAsia="SimSun"/>
                <w:sz w:val="18"/>
                <w:szCs w:val="18"/>
                <w:lang w:val="fr-CA" w:eastAsia="zh-CN"/>
              </w:rPr>
            </w:pPr>
            <w:r>
              <w:rPr>
                <w:rFonts w:eastAsia="SimSun"/>
                <w:sz w:val="18"/>
                <w:szCs w:val="18"/>
                <w:lang w:val="fr-CA" w:eastAsia="zh-CN"/>
              </w:rPr>
              <w:t>Deuxième trimestre</w:t>
            </w:r>
          </w:p>
        </w:tc>
        <w:tc>
          <w:tcPr>
            <w:tcW w:w="6653" w:type="dxa"/>
            <w:gridSpan w:val="2"/>
            <w:shd w:val="clear" w:color="auto" w:fill="auto"/>
            <w:vAlign w:val="center"/>
          </w:tcPr>
          <w:p w:rsidR="00664400" w:rsidRPr="00C84061" w:rsidRDefault="00664400" w:rsidP="006109D5">
            <w:pPr>
              <w:pStyle w:val="Normal-pool"/>
              <w:spacing w:before="40" w:after="40"/>
              <w:rPr>
                <w:sz w:val="18"/>
                <w:szCs w:val="18"/>
                <w:lang w:val="fr-CA"/>
              </w:rPr>
            </w:pPr>
            <w:r>
              <w:rPr>
                <w:sz w:val="18"/>
                <w:szCs w:val="18"/>
                <w:lang w:val="fr-CA"/>
              </w:rPr>
              <w:t xml:space="preserve">Le Groupe d’experts et le Bureau supervisent la réalisation de l’exercice de cadrage détaillé, y compris la structure, les coûts et la faisabilité (3 mois). Une réunion concernant le cadrage a lieu début avril 2014. </w:t>
            </w:r>
          </w:p>
        </w:tc>
      </w:tr>
      <w:tr w:rsidR="00664400" w:rsidRPr="00C84061" w:rsidTr="00F442D1">
        <w:tblPrEx>
          <w:jc w:val="right"/>
        </w:tblPrEx>
        <w:trPr>
          <w:gridAfter w:val="1"/>
          <w:wAfter w:w="166" w:type="dxa"/>
          <w:trHeight w:val="42"/>
          <w:jc w:val="right"/>
        </w:trPr>
        <w:tc>
          <w:tcPr>
            <w:tcW w:w="1037" w:type="dxa"/>
            <w:gridSpan w:val="2"/>
            <w:vMerge/>
            <w:shd w:val="clear" w:color="auto" w:fill="auto"/>
            <w:vAlign w:val="center"/>
          </w:tcPr>
          <w:p w:rsidR="00664400" w:rsidRPr="00C84061" w:rsidRDefault="00664400" w:rsidP="00006227">
            <w:pPr>
              <w:pStyle w:val="Normal-pool"/>
              <w:spacing w:before="40" w:after="40"/>
              <w:rPr>
                <w:rFonts w:eastAsia="SimSun"/>
                <w:sz w:val="18"/>
                <w:szCs w:val="18"/>
                <w:lang w:val="fr-CA" w:eastAsia="zh-CN"/>
              </w:rPr>
            </w:pPr>
          </w:p>
        </w:tc>
        <w:tc>
          <w:tcPr>
            <w:tcW w:w="820" w:type="dxa"/>
            <w:shd w:val="clear" w:color="auto" w:fill="auto"/>
            <w:vAlign w:val="center"/>
          </w:tcPr>
          <w:p w:rsidR="00664400" w:rsidRDefault="004A0608" w:rsidP="00373895">
            <w:pPr>
              <w:pStyle w:val="Normal-pool"/>
              <w:spacing w:before="40" w:after="40"/>
              <w:rPr>
                <w:rFonts w:eastAsia="SimSun"/>
                <w:sz w:val="18"/>
                <w:szCs w:val="18"/>
                <w:lang w:val="fr-CA" w:eastAsia="zh-CN"/>
              </w:rPr>
            </w:pPr>
            <w:r>
              <w:rPr>
                <w:rFonts w:eastAsia="SimSun"/>
                <w:sz w:val="18"/>
                <w:szCs w:val="18"/>
                <w:lang w:val="fr-CA" w:eastAsia="zh-CN"/>
              </w:rPr>
              <w:t>Deuxième trimestre</w:t>
            </w:r>
          </w:p>
        </w:tc>
        <w:tc>
          <w:tcPr>
            <w:tcW w:w="6653" w:type="dxa"/>
            <w:gridSpan w:val="2"/>
            <w:shd w:val="clear" w:color="auto" w:fill="auto"/>
            <w:vAlign w:val="center"/>
          </w:tcPr>
          <w:p w:rsidR="00664400" w:rsidRDefault="00664400" w:rsidP="00664400">
            <w:pPr>
              <w:pStyle w:val="Normal-pool"/>
              <w:spacing w:before="40" w:after="40"/>
              <w:rPr>
                <w:sz w:val="18"/>
                <w:szCs w:val="18"/>
                <w:lang w:val="fr-CA"/>
              </w:rPr>
            </w:pPr>
            <w:r>
              <w:rPr>
                <w:sz w:val="18"/>
                <w:szCs w:val="18"/>
                <w:lang w:val="fr-CA"/>
              </w:rPr>
              <w:t>Le rapport du cadrage détaillé est transmis aux membres de la Plateforme et autres parties prenantes qui ont deux semaines, au cours de la deuxième moitié d’avril 2014, pour l’examiner et formuler des observations</w:t>
            </w:r>
            <w:r w:rsidR="00F442D1">
              <w:rPr>
                <w:sz w:val="18"/>
                <w:szCs w:val="18"/>
                <w:lang w:val="fr-CA"/>
              </w:rPr>
              <w:t>.</w:t>
            </w:r>
          </w:p>
        </w:tc>
      </w:tr>
      <w:tr w:rsidR="00664400" w:rsidRPr="00C84061" w:rsidTr="00F442D1">
        <w:tblPrEx>
          <w:jc w:val="right"/>
        </w:tblPrEx>
        <w:trPr>
          <w:gridAfter w:val="1"/>
          <w:wAfter w:w="166" w:type="dxa"/>
          <w:trHeight w:val="42"/>
          <w:jc w:val="right"/>
        </w:trPr>
        <w:tc>
          <w:tcPr>
            <w:tcW w:w="1037" w:type="dxa"/>
            <w:gridSpan w:val="2"/>
            <w:vMerge/>
            <w:shd w:val="clear" w:color="auto" w:fill="auto"/>
            <w:vAlign w:val="center"/>
          </w:tcPr>
          <w:p w:rsidR="00664400" w:rsidRPr="00C84061" w:rsidRDefault="00664400" w:rsidP="00006227">
            <w:pPr>
              <w:pStyle w:val="Normal-pool"/>
              <w:spacing w:before="40" w:after="40"/>
              <w:rPr>
                <w:rFonts w:eastAsia="SimSun"/>
                <w:sz w:val="18"/>
                <w:szCs w:val="18"/>
                <w:lang w:val="fr-CA" w:eastAsia="zh-CN"/>
              </w:rPr>
            </w:pPr>
          </w:p>
        </w:tc>
        <w:tc>
          <w:tcPr>
            <w:tcW w:w="820" w:type="dxa"/>
            <w:shd w:val="clear" w:color="auto" w:fill="auto"/>
            <w:vAlign w:val="center"/>
          </w:tcPr>
          <w:p w:rsidR="00664400" w:rsidRDefault="004A0608" w:rsidP="00373895">
            <w:pPr>
              <w:pStyle w:val="Normal-pool"/>
              <w:spacing w:before="40" w:after="40"/>
              <w:rPr>
                <w:rFonts w:eastAsia="SimSun"/>
                <w:sz w:val="18"/>
                <w:szCs w:val="18"/>
                <w:lang w:val="fr-CA" w:eastAsia="zh-CN"/>
              </w:rPr>
            </w:pPr>
            <w:r>
              <w:rPr>
                <w:rFonts w:eastAsia="SimSun"/>
                <w:sz w:val="18"/>
                <w:szCs w:val="18"/>
                <w:lang w:val="fr-CA" w:eastAsia="zh-CN"/>
              </w:rPr>
              <w:t>Deuxième trimestre</w:t>
            </w:r>
          </w:p>
        </w:tc>
        <w:tc>
          <w:tcPr>
            <w:tcW w:w="6653" w:type="dxa"/>
            <w:gridSpan w:val="2"/>
            <w:shd w:val="clear" w:color="auto" w:fill="auto"/>
            <w:vAlign w:val="center"/>
          </w:tcPr>
          <w:p w:rsidR="00664400" w:rsidRPr="00C84061" w:rsidRDefault="00664400" w:rsidP="00006227">
            <w:pPr>
              <w:pStyle w:val="Normal-pool"/>
              <w:spacing w:before="40" w:after="40"/>
              <w:rPr>
                <w:sz w:val="18"/>
                <w:szCs w:val="18"/>
                <w:lang w:val="fr-CA"/>
              </w:rPr>
            </w:pPr>
            <w:r>
              <w:rPr>
                <w:sz w:val="18"/>
                <w:szCs w:val="18"/>
                <w:lang w:val="fr-CA"/>
              </w:rPr>
              <w:t>En se fondant sur les résultats de l’exercice de cadrage détaillé et les observations reçues des membres de la Plateforme et d’autres parties prenantes, le Groupe d’experts et le Bureau décident de poursuivre ou non la réalisation de l’évaluation, en supposant qu’elle peut être réalisée dans les limites du budget approuvé par la Plénière, dans la première moitié de mai 2014.</w:t>
            </w:r>
          </w:p>
        </w:tc>
      </w:tr>
      <w:tr w:rsidR="00664400" w:rsidRPr="00C84061" w:rsidTr="00F442D1">
        <w:tblPrEx>
          <w:jc w:val="right"/>
        </w:tblPrEx>
        <w:trPr>
          <w:gridAfter w:val="1"/>
          <w:wAfter w:w="166" w:type="dxa"/>
          <w:trHeight w:val="42"/>
          <w:jc w:val="right"/>
        </w:trPr>
        <w:tc>
          <w:tcPr>
            <w:tcW w:w="1037" w:type="dxa"/>
            <w:gridSpan w:val="2"/>
            <w:vMerge/>
            <w:shd w:val="clear" w:color="auto" w:fill="auto"/>
            <w:vAlign w:val="center"/>
          </w:tcPr>
          <w:p w:rsidR="00664400" w:rsidRPr="00C84061" w:rsidRDefault="00664400" w:rsidP="00006227">
            <w:pPr>
              <w:pStyle w:val="Normal-pool"/>
              <w:spacing w:before="40" w:after="40"/>
              <w:rPr>
                <w:rFonts w:eastAsia="SimSun"/>
                <w:sz w:val="18"/>
                <w:szCs w:val="18"/>
                <w:lang w:val="fr-CA" w:eastAsia="zh-CN"/>
              </w:rPr>
            </w:pPr>
          </w:p>
        </w:tc>
        <w:tc>
          <w:tcPr>
            <w:tcW w:w="820" w:type="dxa"/>
            <w:shd w:val="clear" w:color="auto" w:fill="auto"/>
            <w:vAlign w:val="center"/>
          </w:tcPr>
          <w:p w:rsidR="00664400" w:rsidRDefault="004A0608" w:rsidP="00373895">
            <w:pPr>
              <w:pStyle w:val="Normal-pool"/>
              <w:spacing w:before="40" w:after="40"/>
              <w:rPr>
                <w:rFonts w:eastAsia="SimSun"/>
                <w:sz w:val="18"/>
                <w:szCs w:val="18"/>
                <w:lang w:val="fr-CA" w:eastAsia="zh-CN"/>
              </w:rPr>
            </w:pPr>
            <w:r>
              <w:rPr>
                <w:rFonts w:eastAsia="SimSun"/>
                <w:sz w:val="18"/>
                <w:szCs w:val="18"/>
                <w:lang w:val="fr-CA" w:eastAsia="zh-CN"/>
              </w:rPr>
              <w:t>Deuxième trimestre</w:t>
            </w:r>
          </w:p>
        </w:tc>
        <w:tc>
          <w:tcPr>
            <w:tcW w:w="6653" w:type="dxa"/>
            <w:gridSpan w:val="2"/>
            <w:shd w:val="clear" w:color="auto" w:fill="auto"/>
            <w:vAlign w:val="center"/>
          </w:tcPr>
          <w:p w:rsidR="00664400" w:rsidRPr="00C84061" w:rsidRDefault="00664400" w:rsidP="004D0E01">
            <w:pPr>
              <w:pStyle w:val="Normal-pool"/>
              <w:spacing w:before="40" w:after="40"/>
              <w:rPr>
                <w:sz w:val="18"/>
                <w:szCs w:val="18"/>
                <w:lang w:val="fr-CA"/>
              </w:rPr>
            </w:pPr>
            <w:r w:rsidRPr="00C84061">
              <w:rPr>
                <w:sz w:val="18"/>
                <w:szCs w:val="18"/>
                <w:lang w:val="fr-CA"/>
              </w:rPr>
              <w:t xml:space="preserve">Le Groupe d’experts, par </w:t>
            </w:r>
            <w:r>
              <w:rPr>
                <w:sz w:val="18"/>
                <w:szCs w:val="18"/>
                <w:lang w:val="fr-CA"/>
              </w:rPr>
              <w:t>l’intermédiaire</w:t>
            </w:r>
            <w:r w:rsidRPr="00C84061">
              <w:rPr>
                <w:sz w:val="18"/>
                <w:szCs w:val="18"/>
                <w:lang w:val="fr-CA"/>
              </w:rPr>
              <w:t xml:space="preserve"> du secrétariat, demande aux gouvernements et aux autres parties prenantes de désigner des experts pour </w:t>
            </w:r>
            <w:r>
              <w:rPr>
                <w:sz w:val="18"/>
                <w:szCs w:val="18"/>
                <w:lang w:val="fr-CA"/>
              </w:rPr>
              <w:t>établir le rapport. Les désignations doivent parvenir fin juin 2014 au plus tard</w:t>
            </w:r>
            <w:r w:rsidRPr="00C84061">
              <w:rPr>
                <w:sz w:val="18"/>
                <w:szCs w:val="18"/>
                <w:lang w:val="fr-CA"/>
              </w:rPr>
              <w:t xml:space="preserve"> </w:t>
            </w:r>
            <w:r>
              <w:rPr>
                <w:sz w:val="18"/>
                <w:szCs w:val="18"/>
                <w:lang w:val="fr-CA"/>
              </w:rPr>
              <w:t>(un mois et demi)</w:t>
            </w:r>
            <w:r w:rsidRPr="00C84061">
              <w:rPr>
                <w:sz w:val="18"/>
                <w:szCs w:val="18"/>
                <w:lang w:val="fr-CA"/>
              </w:rPr>
              <w:t>.</w:t>
            </w:r>
          </w:p>
        </w:tc>
      </w:tr>
      <w:tr w:rsidR="00664400" w:rsidRPr="00C84061" w:rsidTr="00F442D1">
        <w:tblPrEx>
          <w:jc w:val="right"/>
        </w:tblPrEx>
        <w:trPr>
          <w:gridAfter w:val="1"/>
          <w:wAfter w:w="166" w:type="dxa"/>
          <w:trHeight w:val="42"/>
          <w:jc w:val="right"/>
        </w:trPr>
        <w:tc>
          <w:tcPr>
            <w:tcW w:w="1037" w:type="dxa"/>
            <w:gridSpan w:val="2"/>
            <w:vMerge/>
            <w:shd w:val="clear" w:color="auto" w:fill="auto"/>
            <w:vAlign w:val="center"/>
          </w:tcPr>
          <w:p w:rsidR="00664400" w:rsidRPr="00C84061" w:rsidRDefault="00664400" w:rsidP="00006227">
            <w:pPr>
              <w:pStyle w:val="Normal-pool"/>
              <w:spacing w:before="40" w:after="40"/>
              <w:rPr>
                <w:rFonts w:eastAsia="SimSun"/>
                <w:sz w:val="18"/>
                <w:szCs w:val="18"/>
                <w:lang w:val="fr-CA" w:eastAsia="zh-CN"/>
              </w:rPr>
            </w:pPr>
          </w:p>
        </w:tc>
        <w:tc>
          <w:tcPr>
            <w:tcW w:w="820" w:type="dxa"/>
            <w:shd w:val="clear" w:color="auto" w:fill="auto"/>
            <w:vAlign w:val="center"/>
          </w:tcPr>
          <w:p w:rsidR="00664400" w:rsidRDefault="004A0608" w:rsidP="00373895">
            <w:pPr>
              <w:pStyle w:val="Normal-pool"/>
              <w:spacing w:before="40" w:after="40"/>
              <w:rPr>
                <w:rFonts w:eastAsia="SimSun"/>
                <w:sz w:val="18"/>
                <w:szCs w:val="18"/>
                <w:lang w:val="fr-CA" w:eastAsia="zh-CN"/>
              </w:rPr>
            </w:pPr>
            <w:r>
              <w:rPr>
                <w:rFonts w:eastAsia="SimSun"/>
                <w:sz w:val="18"/>
                <w:szCs w:val="18"/>
                <w:lang w:val="fr-CA" w:eastAsia="zh-CN"/>
              </w:rPr>
              <w:t>Troisième trimestre</w:t>
            </w:r>
          </w:p>
        </w:tc>
        <w:tc>
          <w:tcPr>
            <w:tcW w:w="6653" w:type="dxa"/>
            <w:gridSpan w:val="2"/>
            <w:shd w:val="clear" w:color="auto" w:fill="auto"/>
            <w:vAlign w:val="center"/>
          </w:tcPr>
          <w:p w:rsidR="00664400" w:rsidRPr="00C84061" w:rsidRDefault="00664400" w:rsidP="001B7E8F">
            <w:pPr>
              <w:pStyle w:val="Normal-pool"/>
              <w:spacing w:before="40" w:after="40"/>
              <w:rPr>
                <w:sz w:val="18"/>
                <w:szCs w:val="18"/>
                <w:lang w:val="fr-CA"/>
              </w:rPr>
            </w:pPr>
            <w:r>
              <w:rPr>
                <w:sz w:val="18"/>
                <w:szCs w:val="18"/>
                <w:lang w:val="fr-CA"/>
              </w:rPr>
              <w:t xml:space="preserve">Le Groupe d’experts </w:t>
            </w:r>
            <w:r w:rsidRPr="00C84061">
              <w:rPr>
                <w:sz w:val="18"/>
                <w:szCs w:val="18"/>
                <w:lang w:val="fr-CA"/>
              </w:rPr>
              <w:t>choisit les</w:t>
            </w:r>
            <w:r>
              <w:rPr>
                <w:sz w:val="18"/>
                <w:szCs w:val="18"/>
                <w:lang w:val="fr-CA"/>
              </w:rPr>
              <w:t xml:space="preserve"> </w:t>
            </w:r>
            <w:r w:rsidRPr="00C84061">
              <w:rPr>
                <w:sz w:val="18"/>
                <w:szCs w:val="18"/>
                <w:lang w:val="fr-CA"/>
              </w:rPr>
              <w:t>coprésidents, les auteurs coordonnateurs principaux, les auteurs principaux et les éditeurs-réviseurs</w:t>
            </w:r>
            <w:r>
              <w:rPr>
                <w:sz w:val="18"/>
                <w:szCs w:val="18"/>
                <w:lang w:val="fr-CA"/>
              </w:rPr>
              <w:t xml:space="preserve"> du rapport</w:t>
            </w:r>
            <w:r w:rsidRPr="00C84061">
              <w:rPr>
                <w:sz w:val="18"/>
                <w:szCs w:val="18"/>
                <w:lang w:val="fr-CA"/>
              </w:rPr>
              <w:t xml:space="preserve">, en appliquant les critères approuvés à cet effet </w:t>
            </w:r>
            <w:r w:rsidR="00F23281">
              <w:t>(voir IBPES/2/9)</w:t>
            </w:r>
            <w:r w:rsidR="00F23281" w:rsidRPr="00C062F0">
              <w:t xml:space="preserve"> </w:t>
            </w:r>
            <w:r>
              <w:rPr>
                <w:sz w:val="18"/>
                <w:szCs w:val="18"/>
                <w:lang w:val="fr-CA"/>
              </w:rPr>
              <w:t>(1</w:t>
            </w:r>
            <w:r w:rsidR="005B3F5F" w:rsidRPr="005B3F5F">
              <w:rPr>
                <w:sz w:val="18"/>
                <w:szCs w:val="18"/>
                <w:vertAlign w:val="superscript"/>
                <w:lang w:val="fr-CA"/>
              </w:rPr>
              <w:t>er</w:t>
            </w:r>
            <w:r>
              <w:rPr>
                <w:sz w:val="18"/>
                <w:szCs w:val="18"/>
                <w:lang w:val="fr-CA"/>
              </w:rPr>
              <w:t> juillet</w:t>
            </w:r>
            <w:r w:rsidR="000453D4">
              <w:rPr>
                <w:sz w:val="18"/>
                <w:szCs w:val="18"/>
                <w:lang w:val="fr-CA"/>
              </w:rPr>
              <w:t xml:space="preserve"> </w:t>
            </w:r>
            <w:r>
              <w:rPr>
                <w:sz w:val="18"/>
                <w:szCs w:val="18"/>
                <w:lang w:val="fr-CA"/>
              </w:rPr>
              <w:t>–</w:t>
            </w:r>
            <w:r w:rsidR="000453D4">
              <w:rPr>
                <w:sz w:val="18"/>
                <w:szCs w:val="18"/>
                <w:lang w:val="fr-CA"/>
              </w:rPr>
              <w:t xml:space="preserve"> </w:t>
            </w:r>
            <w:r>
              <w:rPr>
                <w:sz w:val="18"/>
                <w:szCs w:val="18"/>
                <w:lang w:val="fr-CA"/>
              </w:rPr>
              <w:t>15</w:t>
            </w:r>
            <w:r w:rsidRPr="00C84061">
              <w:rPr>
                <w:sz w:val="18"/>
                <w:szCs w:val="18"/>
                <w:lang w:val="fr-CA"/>
              </w:rPr>
              <w:t> </w:t>
            </w:r>
            <w:r>
              <w:rPr>
                <w:sz w:val="18"/>
                <w:szCs w:val="18"/>
                <w:lang w:val="fr-CA"/>
              </w:rPr>
              <w:t>août 2014</w:t>
            </w:r>
            <w:r w:rsidRPr="00C84061">
              <w:rPr>
                <w:sz w:val="18"/>
                <w:szCs w:val="18"/>
                <w:lang w:val="fr-CA"/>
              </w:rPr>
              <w:t>)</w:t>
            </w:r>
            <w:r>
              <w:rPr>
                <w:sz w:val="18"/>
                <w:szCs w:val="18"/>
                <w:lang w:val="fr-CA"/>
              </w:rPr>
              <w:t xml:space="preserve"> (un mois et demi)</w:t>
            </w:r>
            <w:r w:rsidRPr="00C84061">
              <w:rPr>
                <w:sz w:val="18"/>
                <w:szCs w:val="18"/>
                <w:lang w:val="fr-CA"/>
              </w:rPr>
              <w:t>.</w:t>
            </w:r>
          </w:p>
        </w:tc>
      </w:tr>
      <w:tr w:rsidR="000453D4" w:rsidRPr="00C84061" w:rsidTr="000453D4">
        <w:tblPrEx>
          <w:jc w:val="right"/>
        </w:tblPrEx>
        <w:trPr>
          <w:gridAfter w:val="1"/>
          <w:wAfter w:w="166" w:type="dxa"/>
          <w:trHeight w:val="42"/>
          <w:jc w:val="right"/>
        </w:trPr>
        <w:tc>
          <w:tcPr>
            <w:tcW w:w="1037" w:type="dxa"/>
            <w:gridSpan w:val="2"/>
            <w:vMerge/>
            <w:tcBorders>
              <w:bottom w:val="single" w:sz="4" w:space="0" w:color="auto"/>
            </w:tcBorders>
            <w:shd w:val="clear" w:color="auto" w:fill="auto"/>
            <w:vAlign w:val="center"/>
          </w:tcPr>
          <w:p w:rsidR="00664400" w:rsidRPr="00C84061" w:rsidRDefault="00664400" w:rsidP="00006227">
            <w:pPr>
              <w:pStyle w:val="Normal-pool"/>
              <w:spacing w:before="40" w:after="40"/>
              <w:rPr>
                <w:rFonts w:eastAsia="SimSun"/>
                <w:sz w:val="18"/>
                <w:szCs w:val="18"/>
                <w:lang w:val="fr-CA" w:eastAsia="zh-CN"/>
              </w:rPr>
            </w:pPr>
          </w:p>
        </w:tc>
        <w:tc>
          <w:tcPr>
            <w:tcW w:w="820" w:type="dxa"/>
            <w:shd w:val="clear" w:color="auto" w:fill="auto"/>
            <w:vAlign w:val="center"/>
          </w:tcPr>
          <w:p w:rsidR="00664400" w:rsidRDefault="004A0608" w:rsidP="004A0608">
            <w:pPr>
              <w:pStyle w:val="Normal-pool"/>
              <w:spacing w:before="40" w:after="40"/>
              <w:rPr>
                <w:rFonts w:eastAsia="SimSun"/>
                <w:sz w:val="18"/>
                <w:szCs w:val="18"/>
                <w:lang w:val="fr-CA" w:eastAsia="zh-CN"/>
              </w:rPr>
            </w:pPr>
            <w:r>
              <w:rPr>
                <w:rFonts w:eastAsia="SimSun"/>
                <w:sz w:val="18"/>
                <w:szCs w:val="18"/>
                <w:lang w:val="fr-CA" w:eastAsia="zh-CN"/>
              </w:rPr>
              <w:t>Troisième</w:t>
            </w:r>
            <w:r w:rsidR="00664400">
              <w:rPr>
                <w:rFonts w:eastAsia="SimSun"/>
                <w:sz w:val="18"/>
                <w:szCs w:val="18"/>
                <w:lang w:val="fr-CA" w:eastAsia="zh-CN"/>
              </w:rPr>
              <w:t>/</w:t>
            </w:r>
            <w:r>
              <w:rPr>
                <w:rFonts w:eastAsia="SimSun"/>
                <w:sz w:val="18"/>
                <w:szCs w:val="18"/>
                <w:lang w:val="fr-CA" w:eastAsia="zh-CN"/>
              </w:rPr>
              <w:br/>
              <w:t>quatrième trimestre</w:t>
            </w:r>
            <w:r w:rsidR="000453D4">
              <w:rPr>
                <w:rFonts w:eastAsia="SimSun"/>
                <w:sz w:val="18"/>
                <w:szCs w:val="18"/>
                <w:lang w:val="fr-CA" w:eastAsia="zh-CN"/>
              </w:rPr>
              <w:t>s</w:t>
            </w:r>
          </w:p>
        </w:tc>
        <w:tc>
          <w:tcPr>
            <w:tcW w:w="6653" w:type="dxa"/>
            <w:gridSpan w:val="2"/>
            <w:shd w:val="clear" w:color="auto" w:fill="auto"/>
            <w:vAlign w:val="center"/>
          </w:tcPr>
          <w:p w:rsidR="00664400" w:rsidRPr="00C84061" w:rsidRDefault="00664400" w:rsidP="005B3F5F">
            <w:pPr>
              <w:pStyle w:val="Normal-pool"/>
              <w:spacing w:before="40" w:after="40"/>
              <w:rPr>
                <w:sz w:val="18"/>
                <w:szCs w:val="18"/>
                <w:lang w:val="fr-CA"/>
              </w:rPr>
            </w:pPr>
            <w:r w:rsidRPr="00C84061">
              <w:rPr>
                <w:sz w:val="18"/>
                <w:szCs w:val="18"/>
                <w:lang w:val="fr-CA"/>
              </w:rPr>
              <w:t xml:space="preserve">Les coprésidents, les auteurs coordonnateurs principaux et les auteurs principaux établissent </w:t>
            </w:r>
            <w:r>
              <w:rPr>
                <w:sz w:val="18"/>
                <w:szCs w:val="18"/>
                <w:lang w:val="fr-CA"/>
              </w:rPr>
              <w:t xml:space="preserve">un premier </w:t>
            </w:r>
            <w:r w:rsidRPr="00C84061">
              <w:rPr>
                <w:sz w:val="18"/>
                <w:szCs w:val="18"/>
                <w:lang w:val="fr-CA"/>
              </w:rPr>
              <w:t>projet de rapport</w:t>
            </w:r>
            <w:r>
              <w:rPr>
                <w:sz w:val="18"/>
                <w:szCs w:val="18"/>
                <w:lang w:val="fr-CA"/>
              </w:rPr>
              <w:t xml:space="preserve"> pour la mi-février 2015 (6 mois). </w:t>
            </w:r>
            <w:r w:rsidR="005B3F5F">
              <w:rPr>
                <w:sz w:val="18"/>
                <w:szCs w:val="18"/>
                <w:lang w:val="fr-CA"/>
              </w:rPr>
              <w:t>Une</w:t>
            </w:r>
            <w:r>
              <w:rPr>
                <w:sz w:val="18"/>
                <w:szCs w:val="18"/>
                <w:lang w:val="fr-CA"/>
              </w:rPr>
              <w:t xml:space="preserve"> première réunion des auteurs a lieu en septembre 2014</w:t>
            </w:r>
            <w:r w:rsidR="00627711" w:rsidRPr="00B36F35">
              <w:rPr>
                <w:sz w:val="18"/>
                <w:szCs w:val="18"/>
                <w:vertAlign w:val="superscript"/>
                <w:lang w:val="fr-CA"/>
              </w:rPr>
              <w:t>a</w:t>
            </w:r>
            <w:r>
              <w:rPr>
                <w:sz w:val="18"/>
                <w:szCs w:val="18"/>
                <w:lang w:val="fr-CA"/>
              </w:rPr>
              <w:t>.</w:t>
            </w:r>
          </w:p>
        </w:tc>
      </w:tr>
      <w:tr w:rsidR="000453D4" w:rsidRPr="00C84061" w:rsidTr="000453D4">
        <w:tblPrEx>
          <w:jc w:val="right"/>
        </w:tblPrEx>
        <w:trPr>
          <w:gridAfter w:val="1"/>
          <w:wAfter w:w="166" w:type="dxa"/>
          <w:trHeight w:val="42"/>
          <w:jc w:val="right"/>
        </w:trPr>
        <w:tc>
          <w:tcPr>
            <w:tcW w:w="1037" w:type="dxa"/>
            <w:gridSpan w:val="2"/>
            <w:tcBorders>
              <w:bottom w:val="nil"/>
            </w:tcBorders>
            <w:shd w:val="clear" w:color="auto" w:fill="auto"/>
            <w:vAlign w:val="center"/>
          </w:tcPr>
          <w:p w:rsidR="006E237B" w:rsidRPr="00C84061" w:rsidRDefault="006E237B" w:rsidP="00006227">
            <w:pPr>
              <w:pStyle w:val="Normal-pool"/>
              <w:spacing w:before="40" w:after="40"/>
              <w:rPr>
                <w:rFonts w:eastAsia="SimSun"/>
                <w:sz w:val="18"/>
                <w:szCs w:val="18"/>
                <w:lang w:val="fr-CA" w:eastAsia="zh-CN"/>
              </w:rPr>
            </w:pPr>
          </w:p>
        </w:tc>
        <w:tc>
          <w:tcPr>
            <w:tcW w:w="820" w:type="dxa"/>
            <w:shd w:val="clear" w:color="auto" w:fill="auto"/>
            <w:vAlign w:val="center"/>
          </w:tcPr>
          <w:p w:rsidR="006E237B" w:rsidRDefault="004A0608" w:rsidP="00373895">
            <w:pPr>
              <w:pStyle w:val="Normal-pool"/>
              <w:spacing w:before="40" w:after="40"/>
              <w:rPr>
                <w:rFonts w:eastAsia="SimSun"/>
                <w:sz w:val="18"/>
                <w:szCs w:val="18"/>
                <w:lang w:val="fr-CA" w:eastAsia="zh-CN"/>
              </w:rPr>
            </w:pPr>
            <w:r>
              <w:rPr>
                <w:rFonts w:eastAsia="SimSun"/>
                <w:sz w:val="18"/>
                <w:szCs w:val="18"/>
                <w:lang w:val="fr-CA" w:eastAsia="zh-CN"/>
              </w:rPr>
              <w:t>Premier trimestre</w:t>
            </w:r>
          </w:p>
        </w:tc>
        <w:tc>
          <w:tcPr>
            <w:tcW w:w="6653" w:type="dxa"/>
            <w:gridSpan w:val="2"/>
            <w:shd w:val="clear" w:color="auto" w:fill="auto"/>
            <w:vAlign w:val="center"/>
          </w:tcPr>
          <w:p w:rsidR="006E237B" w:rsidRPr="00C84061" w:rsidRDefault="006E237B" w:rsidP="005B3F5F">
            <w:pPr>
              <w:pStyle w:val="Normal-pool"/>
              <w:spacing w:before="40" w:after="40"/>
              <w:rPr>
                <w:sz w:val="18"/>
                <w:szCs w:val="18"/>
                <w:lang w:val="fr-CA"/>
              </w:rPr>
            </w:pPr>
            <w:r>
              <w:rPr>
                <w:sz w:val="18"/>
                <w:szCs w:val="18"/>
                <w:lang w:val="fr-CA"/>
              </w:rPr>
              <w:t>Le premier projet de rapport est examiné par les experts avant fin mars 2015 (un mois et demi à deux mois).</w:t>
            </w:r>
          </w:p>
        </w:tc>
      </w:tr>
      <w:tr w:rsidR="000453D4" w:rsidRPr="00C84061" w:rsidTr="000453D4">
        <w:tblPrEx>
          <w:jc w:val="right"/>
        </w:tblPrEx>
        <w:trPr>
          <w:gridAfter w:val="1"/>
          <w:wAfter w:w="166" w:type="dxa"/>
          <w:trHeight w:val="42"/>
          <w:jc w:val="right"/>
        </w:trPr>
        <w:tc>
          <w:tcPr>
            <w:tcW w:w="1037" w:type="dxa"/>
            <w:gridSpan w:val="2"/>
            <w:vMerge w:val="restart"/>
            <w:tcBorders>
              <w:top w:val="nil"/>
            </w:tcBorders>
            <w:shd w:val="clear" w:color="auto" w:fill="auto"/>
            <w:vAlign w:val="center"/>
          </w:tcPr>
          <w:p w:rsidR="00664400" w:rsidRPr="00C84061" w:rsidRDefault="00664400" w:rsidP="00006227">
            <w:pPr>
              <w:pStyle w:val="Normal-pool"/>
              <w:spacing w:before="40" w:after="40"/>
              <w:rPr>
                <w:rFonts w:eastAsia="SimSun"/>
                <w:sz w:val="18"/>
                <w:szCs w:val="18"/>
                <w:lang w:val="fr-CA" w:eastAsia="zh-CN"/>
              </w:rPr>
            </w:pPr>
            <w:r>
              <w:rPr>
                <w:rFonts w:eastAsia="SimSun"/>
                <w:sz w:val="18"/>
                <w:szCs w:val="18"/>
                <w:lang w:val="fr-CA" w:eastAsia="zh-CN"/>
              </w:rPr>
              <w:t>2015</w:t>
            </w:r>
          </w:p>
        </w:tc>
        <w:tc>
          <w:tcPr>
            <w:tcW w:w="820" w:type="dxa"/>
            <w:shd w:val="clear" w:color="auto" w:fill="auto"/>
            <w:vAlign w:val="center"/>
          </w:tcPr>
          <w:p w:rsidR="00664400" w:rsidRDefault="004A0608" w:rsidP="00373895">
            <w:pPr>
              <w:pStyle w:val="Normal-pool"/>
              <w:spacing w:before="40" w:after="40"/>
              <w:rPr>
                <w:rFonts w:eastAsia="SimSun"/>
                <w:sz w:val="18"/>
                <w:szCs w:val="18"/>
                <w:lang w:val="fr-CA" w:eastAsia="zh-CN"/>
              </w:rPr>
            </w:pPr>
            <w:r>
              <w:rPr>
                <w:rFonts w:eastAsia="SimSun"/>
                <w:sz w:val="18"/>
                <w:szCs w:val="18"/>
                <w:lang w:val="fr-CA" w:eastAsia="zh-CN"/>
              </w:rPr>
              <w:t>Deuxième trimestre</w:t>
            </w:r>
          </w:p>
        </w:tc>
        <w:tc>
          <w:tcPr>
            <w:tcW w:w="6653" w:type="dxa"/>
            <w:gridSpan w:val="2"/>
            <w:shd w:val="clear" w:color="auto" w:fill="auto"/>
            <w:vAlign w:val="center"/>
          </w:tcPr>
          <w:p w:rsidR="00664400" w:rsidRPr="00C84061" w:rsidRDefault="00664400" w:rsidP="005B3195">
            <w:pPr>
              <w:pStyle w:val="Normal-pool"/>
              <w:spacing w:before="40" w:after="40"/>
              <w:rPr>
                <w:sz w:val="18"/>
                <w:szCs w:val="18"/>
                <w:lang w:val="fr-CA"/>
              </w:rPr>
            </w:pPr>
            <w:r w:rsidRPr="00C84061">
              <w:rPr>
                <w:sz w:val="18"/>
                <w:szCs w:val="18"/>
                <w:lang w:val="fr-CA"/>
              </w:rPr>
              <w:t xml:space="preserve">Les coprésidents, les auteurs coordonnateurs principaux et les auteurs principaux établissent </w:t>
            </w:r>
            <w:r>
              <w:rPr>
                <w:sz w:val="18"/>
                <w:szCs w:val="18"/>
                <w:lang w:val="fr-CA"/>
              </w:rPr>
              <w:t>le deuxième projet</w:t>
            </w:r>
            <w:r w:rsidRPr="00C84061">
              <w:rPr>
                <w:sz w:val="18"/>
                <w:szCs w:val="18"/>
                <w:lang w:val="fr-CA"/>
              </w:rPr>
              <w:t xml:space="preserve"> de rapport et </w:t>
            </w:r>
            <w:r>
              <w:rPr>
                <w:sz w:val="18"/>
                <w:szCs w:val="18"/>
                <w:lang w:val="fr-CA"/>
              </w:rPr>
              <w:t xml:space="preserve">un premier projet </w:t>
            </w:r>
            <w:r w:rsidRPr="00C84061">
              <w:rPr>
                <w:sz w:val="18"/>
                <w:szCs w:val="18"/>
                <w:lang w:val="fr-CA"/>
              </w:rPr>
              <w:t>de résumé à l’intention des décideurs</w:t>
            </w:r>
            <w:r>
              <w:rPr>
                <w:sz w:val="18"/>
                <w:szCs w:val="18"/>
                <w:lang w:val="fr-CA"/>
              </w:rPr>
              <w:t xml:space="preserve">, sous les orientations des </w:t>
            </w:r>
            <w:r w:rsidRPr="00C84061">
              <w:rPr>
                <w:sz w:val="18"/>
                <w:szCs w:val="18"/>
                <w:lang w:val="fr-CA"/>
              </w:rPr>
              <w:t>éditeurs-réviseurs</w:t>
            </w:r>
            <w:r>
              <w:rPr>
                <w:sz w:val="18"/>
                <w:szCs w:val="18"/>
                <w:lang w:val="fr-CA"/>
              </w:rPr>
              <w:t xml:space="preserve"> et du Groupe d’experts</w:t>
            </w:r>
            <w:r w:rsidRPr="00C84061">
              <w:rPr>
                <w:sz w:val="18"/>
                <w:szCs w:val="18"/>
                <w:lang w:val="fr-CA"/>
              </w:rPr>
              <w:t xml:space="preserve"> </w:t>
            </w:r>
            <w:r w:rsidR="000453D4">
              <w:rPr>
                <w:sz w:val="18"/>
                <w:szCs w:val="18"/>
                <w:lang w:val="fr-CA"/>
              </w:rPr>
              <w:br/>
            </w:r>
            <w:r w:rsidRPr="00C84061">
              <w:rPr>
                <w:sz w:val="18"/>
                <w:szCs w:val="18"/>
                <w:lang w:val="fr-CA"/>
              </w:rPr>
              <w:t>(</w:t>
            </w:r>
            <w:r>
              <w:rPr>
                <w:sz w:val="18"/>
                <w:szCs w:val="18"/>
                <w:lang w:val="fr-CA"/>
              </w:rPr>
              <w:t>avril</w:t>
            </w:r>
            <w:r w:rsidR="000453D4">
              <w:rPr>
                <w:sz w:val="18"/>
                <w:szCs w:val="18"/>
                <w:lang w:val="fr-CA"/>
              </w:rPr>
              <w:t xml:space="preserve"> </w:t>
            </w:r>
            <w:r w:rsidRPr="00C84061">
              <w:rPr>
                <w:sz w:val="18"/>
                <w:szCs w:val="18"/>
                <w:lang w:val="fr-CA"/>
              </w:rPr>
              <w:t>–</w:t>
            </w:r>
            <w:r w:rsidR="000453D4">
              <w:rPr>
                <w:sz w:val="18"/>
                <w:szCs w:val="18"/>
                <w:lang w:val="fr-CA"/>
              </w:rPr>
              <w:t xml:space="preserve"> </w:t>
            </w:r>
            <w:r>
              <w:rPr>
                <w:sz w:val="18"/>
                <w:szCs w:val="18"/>
                <w:lang w:val="fr-CA"/>
              </w:rPr>
              <w:t>juin 2015 (3 mois)).</w:t>
            </w:r>
            <w:r w:rsidRPr="00C84061">
              <w:rPr>
                <w:sz w:val="18"/>
                <w:szCs w:val="18"/>
                <w:lang w:val="fr-CA"/>
              </w:rPr>
              <w:t xml:space="preserve"> Les auteurs se réunissent </w:t>
            </w:r>
            <w:r>
              <w:rPr>
                <w:sz w:val="18"/>
                <w:szCs w:val="18"/>
                <w:lang w:val="fr-CA"/>
              </w:rPr>
              <w:t>une deuxième fois en juin 2015.</w:t>
            </w:r>
            <w:r w:rsidRPr="00C84061">
              <w:rPr>
                <w:sz w:val="18"/>
                <w:szCs w:val="18"/>
                <w:lang w:val="fr-CA"/>
              </w:rPr>
              <w:t xml:space="preserve"> </w:t>
            </w:r>
          </w:p>
        </w:tc>
      </w:tr>
      <w:tr w:rsidR="00664400" w:rsidRPr="00C84061" w:rsidTr="00F442D1">
        <w:tblPrEx>
          <w:jc w:val="right"/>
        </w:tblPrEx>
        <w:trPr>
          <w:gridAfter w:val="1"/>
          <w:wAfter w:w="166" w:type="dxa"/>
          <w:trHeight w:val="584"/>
          <w:jc w:val="right"/>
        </w:trPr>
        <w:tc>
          <w:tcPr>
            <w:tcW w:w="1037" w:type="dxa"/>
            <w:gridSpan w:val="2"/>
            <w:vMerge/>
            <w:shd w:val="clear" w:color="auto" w:fill="auto"/>
            <w:vAlign w:val="center"/>
          </w:tcPr>
          <w:p w:rsidR="00664400" w:rsidRPr="00C84061" w:rsidRDefault="00664400" w:rsidP="00006227">
            <w:pPr>
              <w:pStyle w:val="Normal-pool"/>
              <w:spacing w:before="40" w:after="40"/>
              <w:rPr>
                <w:rFonts w:eastAsia="SimSun"/>
                <w:sz w:val="18"/>
                <w:szCs w:val="18"/>
                <w:lang w:val="fr-CA" w:eastAsia="zh-CN"/>
              </w:rPr>
            </w:pPr>
          </w:p>
        </w:tc>
        <w:tc>
          <w:tcPr>
            <w:tcW w:w="820" w:type="dxa"/>
            <w:shd w:val="clear" w:color="auto" w:fill="auto"/>
            <w:vAlign w:val="center"/>
          </w:tcPr>
          <w:p w:rsidR="00664400" w:rsidRPr="00C84061" w:rsidRDefault="004A0608" w:rsidP="00006227">
            <w:pPr>
              <w:pStyle w:val="Normal-pool"/>
              <w:spacing w:before="40" w:after="40"/>
              <w:rPr>
                <w:rFonts w:eastAsia="SimSun"/>
                <w:sz w:val="18"/>
                <w:szCs w:val="18"/>
                <w:lang w:val="fr-CA" w:eastAsia="zh-CN"/>
              </w:rPr>
            </w:pPr>
            <w:r>
              <w:rPr>
                <w:rFonts w:eastAsia="SimSun"/>
                <w:sz w:val="18"/>
                <w:szCs w:val="18"/>
                <w:lang w:val="fr-CA" w:eastAsia="zh-CN"/>
              </w:rPr>
              <w:t>Troisième trimestre</w:t>
            </w:r>
          </w:p>
        </w:tc>
        <w:tc>
          <w:tcPr>
            <w:tcW w:w="6653" w:type="dxa"/>
            <w:gridSpan w:val="2"/>
            <w:shd w:val="clear" w:color="auto" w:fill="auto"/>
            <w:vAlign w:val="center"/>
          </w:tcPr>
          <w:p w:rsidR="00664400" w:rsidRPr="00C84061" w:rsidRDefault="00664400" w:rsidP="001B7E8F">
            <w:pPr>
              <w:pStyle w:val="Normal-pool"/>
              <w:spacing w:before="40" w:after="40"/>
              <w:rPr>
                <w:sz w:val="18"/>
                <w:szCs w:val="18"/>
                <w:lang w:val="fr-CA"/>
              </w:rPr>
            </w:pPr>
            <w:r>
              <w:rPr>
                <w:sz w:val="18"/>
                <w:szCs w:val="18"/>
                <w:lang w:val="fr-CA"/>
              </w:rPr>
              <w:t>Le deuxième projet</w:t>
            </w:r>
            <w:r w:rsidRPr="00C84061">
              <w:rPr>
                <w:sz w:val="18"/>
                <w:szCs w:val="18"/>
                <w:lang w:val="fr-CA"/>
              </w:rPr>
              <w:t xml:space="preserve"> de rapport et </w:t>
            </w:r>
            <w:r>
              <w:rPr>
                <w:sz w:val="18"/>
                <w:szCs w:val="18"/>
                <w:lang w:val="fr-CA"/>
              </w:rPr>
              <w:t>l</w:t>
            </w:r>
            <w:r w:rsidRPr="00C84061">
              <w:rPr>
                <w:sz w:val="18"/>
                <w:szCs w:val="18"/>
                <w:lang w:val="fr-CA"/>
              </w:rPr>
              <w:t xml:space="preserve">e </w:t>
            </w:r>
            <w:r>
              <w:rPr>
                <w:sz w:val="18"/>
                <w:szCs w:val="18"/>
                <w:lang w:val="fr-CA"/>
              </w:rPr>
              <w:t xml:space="preserve">premier </w:t>
            </w:r>
            <w:r w:rsidRPr="00C84061">
              <w:rPr>
                <w:sz w:val="18"/>
                <w:szCs w:val="18"/>
                <w:lang w:val="fr-CA"/>
              </w:rPr>
              <w:t xml:space="preserve">résumé à l’intention des décideurs </w:t>
            </w:r>
            <w:r>
              <w:rPr>
                <w:sz w:val="18"/>
                <w:szCs w:val="18"/>
                <w:lang w:val="fr-CA"/>
              </w:rPr>
              <w:t>sont</w:t>
            </w:r>
            <w:r w:rsidRPr="00C84061">
              <w:rPr>
                <w:sz w:val="18"/>
                <w:szCs w:val="18"/>
                <w:lang w:val="fr-CA"/>
              </w:rPr>
              <w:t xml:space="preserve"> examiné</w:t>
            </w:r>
            <w:r>
              <w:rPr>
                <w:sz w:val="18"/>
                <w:szCs w:val="18"/>
                <w:lang w:val="fr-CA"/>
              </w:rPr>
              <w:t>s</w:t>
            </w:r>
            <w:r w:rsidRPr="00C84061">
              <w:rPr>
                <w:sz w:val="18"/>
                <w:szCs w:val="18"/>
                <w:lang w:val="fr-CA"/>
              </w:rPr>
              <w:t xml:space="preserve"> par les experts, les gouvernements et </w:t>
            </w:r>
            <w:r>
              <w:rPr>
                <w:sz w:val="18"/>
                <w:szCs w:val="18"/>
                <w:lang w:val="fr-CA"/>
              </w:rPr>
              <w:t>d’</w:t>
            </w:r>
            <w:r w:rsidRPr="00C84061">
              <w:rPr>
                <w:sz w:val="18"/>
                <w:szCs w:val="18"/>
                <w:lang w:val="fr-CA"/>
              </w:rPr>
              <w:t xml:space="preserve">autres parties prenantes </w:t>
            </w:r>
            <w:r>
              <w:rPr>
                <w:sz w:val="18"/>
                <w:szCs w:val="18"/>
                <w:lang w:val="fr-CA"/>
              </w:rPr>
              <w:t xml:space="preserve">au cours des mois de </w:t>
            </w:r>
            <w:r w:rsidRPr="00C84061">
              <w:rPr>
                <w:sz w:val="18"/>
                <w:szCs w:val="18"/>
                <w:lang w:val="fr-CA"/>
              </w:rPr>
              <w:t>juillet</w:t>
            </w:r>
            <w:r w:rsidR="001B7E8F">
              <w:rPr>
                <w:sz w:val="18"/>
                <w:szCs w:val="18"/>
                <w:lang w:val="fr-CA"/>
              </w:rPr>
              <w:t xml:space="preserve"> et août 2015 (2 </w:t>
            </w:r>
            <w:r>
              <w:rPr>
                <w:sz w:val="18"/>
                <w:szCs w:val="18"/>
                <w:lang w:val="fr-CA"/>
              </w:rPr>
              <w:t>mois</w:t>
            </w:r>
            <w:r w:rsidRPr="00C84061">
              <w:rPr>
                <w:sz w:val="18"/>
                <w:szCs w:val="18"/>
                <w:lang w:val="fr-CA"/>
              </w:rPr>
              <w:t>).</w:t>
            </w:r>
          </w:p>
        </w:tc>
      </w:tr>
      <w:tr w:rsidR="00664400" w:rsidRPr="00C84061" w:rsidTr="00F442D1">
        <w:tblPrEx>
          <w:jc w:val="right"/>
        </w:tblPrEx>
        <w:trPr>
          <w:gridAfter w:val="1"/>
          <w:wAfter w:w="166" w:type="dxa"/>
          <w:trHeight w:val="120"/>
          <w:jc w:val="right"/>
        </w:trPr>
        <w:tc>
          <w:tcPr>
            <w:tcW w:w="1037" w:type="dxa"/>
            <w:gridSpan w:val="2"/>
            <w:vMerge/>
            <w:shd w:val="clear" w:color="auto" w:fill="auto"/>
            <w:vAlign w:val="center"/>
          </w:tcPr>
          <w:p w:rsidR="00664400" w:rsidRPr="00C84061" w:rsidRDefault="00664400" w:rsidP="00006227">
            <w:pPr>
              <w:pStyle w:val="Normal-pool"/>
              <w:spacing w:before="40" w:after="40"/>
              <w:rPr>
                <w:rFonts w:eastAsia="SimSun"/>
                <w:sz w:val="18"/>
                <w:szCs w:val="18"/>
                <w:lang w:val="fr-CA" w:eastAsia="zh-CN"/>
              </w:rPr>
            </w:pPr>
          </w:p>
        </w:tc>
        <w:tc>
          <w:tcPr>
            <w:tcW w:w="820" w:type="dxa"/>
            <w:shd w:val="clear" w:color="auto" w:fill="auto"/>
            <w:vAlign w:val="center"/>
          </w:tcPr>
          <w:p w:rsidR="00664400" w:rsidRPr="00C84061" w:rsidRDefault="004A0608" w:rsidP="00006227">
            <w:pPr>
              <w:pStyle w:val="Normal-pool"/>
              <w:spacing w:before="40" w:after="40"/>
              <w:rPr>
                <w:rFonts w:eastAsia="SimSun"/>
                <w:sz w:val="18"/>
                <w:szCs w:val="18"/>
                <w:lang w:val="fr-CA" w:eastAsia="zh-CN"/>
              </w:rPr>
            </w:pPr>
            <w:r>
              <w:rPr>
                <w:rFonts w:eastAsia="SimSun"/>
                <w:sz w:val="18"/>
                <w:szCs w:val="18"/>
                <w:lang w:val="fr-CA" w:eastAsia="zh-CN"/>
              </w:rPr>
              <w:t>Troisième/</w:t>
            </w:r>
            <w:r>
              <w:rPr>
                <w:rFonts w:eastAsia="SimSun"/>
                <w:sz w:val="18"/>
                <w:szCs w:val="18"/>
                <w:lang w:val="fr-CA" w:eastAsia="zh-CN"/>
              </w:rPr>
              <w:br/>
              <w:t>quatrième trimestre</w:t>
            </w:r>
            <w:r w:rsidR="000453D4">
              <w:rPr>
                <w:rFonts w:eastAsia="SimSun"/>
                <w:sz w:val="18"/>
                <w:szCs w:val="18"/>
                <w:lang w:val="fr-CA" w:eastAsia="zh-CN"/>
              </w:rPr>
              <w:t>s</w:t>
            </w:r>
          </w:p>
        </w:tc>
        <w:tc>
          <w:tcPr>
            <w:tcW w:w="6653" w:type="dxa"/>
            <w:gridSpan w:val="2"/>
            <w:shd w:val="clear" w:color="auto" w:fill="auto"/>
            <w:vAlign w:val="center"/>
          </w:tcPr>
          <w:p w:rsidR="00664400" w:rsidRPr="00C84061" w:rsidRDefault="00664400" w:rsidP="001B7E8F">
            <w:pPr>
              <w:pStyle w:val="Normal-pool"/>
              <w:spacing w:before="40" w:after="40"/>
              <w:rPr>
                <w:sz w:val="18"/>
                <w:szCs w:val="18"/>
                <w:lang w:val="fr-CA"/>
              </w:rPr>
            </w:pPr>
            <w:r w:rsidRPr="00C84061">
              <w:rPr>
                <w:sz w:val="18"/>
                <w:szCs w:val="18"/>
                <w:lang w:val="fr-CA"/>
              </w:rPr>
              <w:t>Les coprésidents, les auteurs coordonnateurs principaux et les auteurs principaux</w:t>
            </w:r>
            <w:r>
              <w:rPr>
                <w:sz w:val="18"/>
                <w:szCs w:val="18"/>
                <w:lang w:val="fr-CA"/>
              </w:rPr>
              <w:t xml:space="preserve"> du rapport</w:t>
            </w:r>
            <w:r w:rsidRPr="00C84061">
              <w:rPr>
                <w:sz w:val="18"/>
                <w:szCs w:val="18"/>
                <w:lang w:val="fr-CA"/>
              </w:rPr>
              <w:t xml:space="preserve"> </w:t>
            </w:r>
            <w:r>
              <w:rPr>
                <w:sz w:val="18"/>
                <w:szCs w:val="18"/>
                <w:lang w:val="fr-CA"/>
              </w:rPr>
              <w:t>établissent</w:t>
            </w:r>
            <w:r w:rsidRPr="00C84061">
              <w:rPr>
                <w:sz w:val="18"/>
                <w:szCs w:val="18"/>
                <w:lang w:val="fr-CA"/>
              </w:rPr>
              <w:t xml:space="preserve"> le projet final de rapport et de résumé à l’intention des décideurs sous la supervision des éditeurs-réviseurs et du Groupe d’experts multidisciplinaire</w:t>
            </w:r>
            <w:r w:rsidR="00EE2A6D">
              <w:rPr>
                <w:sz w:val="18"/>
                <w:szCs w:val="18"/>
                <w:lang w:val="fr-CA"/>
              </w:rPr>
              <w:t>,</w:t>
            </w:r>
            <w:r>
              <w:rPr>
                <w:sz w:val="18"/>
                <w:szCs w:val="18"/>
                <w:lang w:val="fr-CA"/>
              </w:rPr>
              <w:t xml:space="preserve"> au cours des mois de septembre et octobre 201</w:t>
            </w:r>
            <w:r w:rsidR="001B7E8F">
              <w:rPr>
                <w:sz w:val="18"/>
                <w:szCs w:val="18"/>
                <w:lang w:val="fr-CA"/>
              </w:rPr>
              <w:t>5 (2 </w:t>
            </w:r>
            <w:r>
              <w:rPr>
                <w:sz w:val="18"/>
                <w:szCs w:val="18"/>
                <w:lang w:val="fr-CA"/>
              </w:rPr>
              <w:t>mois)</w:t>
            </w:r>
            <w:r w:rsidRPr="00C84061">
              <w:rPr>
                <w:sz w:val="18"/>
                <w:szCs w:val="18"/>
                <w:lang w:val="fr-CA"/>
              </w:rPr>
              <w:t xml:space="preserve">. Les auteurs se réunissent une </w:t>
            </w:r>
            <w:r>
              <w:rPr>
                <w:sz w:val="18"/>
                <w:szCs w:val="18"/>
                <w:lang w:val="fr-CA"/>
              </w:rPr>
              <w:t xml:space="preserve">troisième </w:t>
            </w:r>
            <w:r w:rsidRPr="00C84061">
              <w:rPr>
                <w:sz w:val="18"/>
                <w:szCs w:val="18"/>
                <w:lang w:val="fr-CA"/>
              </w:rPr>
              <w:t xml:space="preserve">fois </w:t>
            </w:r>
            <w:r>
              <w:rPr>
                <w:sz w:val="18"/>
                <w:szCs w:val="18"/>
                <w:lang w:val="fr-CA"/>
              </w:rPr>
              <w:t>en octobre 2015.</w:t>
            </w:r>
          </w:p>
        </w:tc>
      </w:tr>
      <w:tr w:rsidR="00664400" w:rsidRPr="00C84061" w:rsidTr="00F442D1">
        <w:tblPrEx>
          <w:jc w:val="right"/>
        </w:tblPrEx>
        <w:trPr>
          <w:gridAfter w:val="1"/>
          <w:wAfter w:w="166" w:type="dxa"/>
          <w:trHeight w:val="556"/>
          <w:jc w:val="right"/>
        </w:trPr>
        <w:tc>
          <w:tcPr>
            <w:tcW w:w="1037" w:type="dxa"/>
            <w:gridSpan w:val="2"/>
            <w:vMerge/>
            <w:shd w:val="clear" w:color="auto" w:fill="auto"/>
            <w:vAlign w:val="center"/>
          </w:tcPr>
          <w:p w:rsidR="00664400" w:rsidRPr="00C84061" w:rsidRDefault="00664400" w:rsidP="00006227">
            <w:pPr>
              <w:pStyle w:val="Normal-pool"/>
              <w:spacing w:before="40" w:after="40"/>
              <w:rPr>
                <w:rFonts w:eastAsia="SimSun"/>
                <w:sz w:val="18"/>
                <w:szCs w:val="18"/>
                <w:lang w:val="fr-CA" w:eastAsia="zh-CN"/>
              </w:rPr>
            </w:pPr>
          </w:p>
        </w:tc>
        <w:tc>
          <w:tcPr>
            <w:tcW w:w="820" w:type="dxa"/>
            <w:shd w:val="clear" w:color="auto" w:fill="auto"/>
            <w:vAlign w:val="center"/>
          </w:tcPr>
          <w:p w:rsidR="00664400" w:rsidRPr="00C84061" w:rsidRDefault="004A0608" w:rsidP="00006227">
            <w:pPr>
              <w:pStyle w:val="Normal-pool"/>
              <w:spacing w:before="40" w:after="40"/>
              <w:rPr>
                <w:rFonts w:eastAsia="SimSun"/>
                <w:sz w:val="18"/>
                <w:szCs w:val="18"/>
                <w:lang w:val="fr-CA" w:eastAsia="zh-CN"/>
              </w:rPr>
            </w:pPr>
            <w:r>
              <w:rPr>
                <w:rFonts w:eastAsia="SimSun"/>
                <w:sz w:val="18"/>
                <w:szCs w:val="18"/>
                <w:lang w:val="fr-CA" w:eastAsia="zh-CN"/>
              </w:rPr>
              <w:t>Quatrième trimestre</w:t>
            </w:r>
          </w:p>
        </w:tc>
        <w:tc>
          <w:tcPr>
            <w:tcW w:w="6653" w:type="dxa"/>
            <w:gridSpan w:val="2"/>
            <w:shd w:val="clear" w:color="auto" w:fill="auto"/>
            <w:vAlign w:val="center"/>
          </w:tcPr>
          <w:p w:rsidR="00664400" w:rsidRPr="00C84061" w:rsidRDefault="00664400" w:rsidP="004016CB">
            <w:pPr>
              <w:pStyle w:val="Normal-pool"/>
              <w:spacing w:before="40" w:after="40"/>
              <w:rPr>
                <w:sz w:val="18"/>
                <w:szCs w:val="18"/>
                <w:lang w:val="fr-CA"/>
              </w:rPr>
            </w:pPr>
            <w:r w:rsidRPr="00C84061">
              <w:rPr>
                <w:sz w:val="18"/>
                <w:szCs w:val="18"/>
                <w:lang w:val="fr-CA"/>
              </w:rPr>
              <w:t>Le résumé à l’intention des déc</w:t>
            </w:r>
            <w:r w:rsidR="001B7E8F">
              <w:rPr>
                <w:sz w:val="18"/>
                <w:szCs w:val="18"/>
                <w:lang w:val="fr-CA"/>
              </w:rPr>
              <w:t xml:space="preserve">ideurs est traduit dans toutes les </w:t>
            </w:r>
            <w:r w:rsidRPr="00C84061">
              <w:rPr>
                <w:sz w:val="18"/>
                <w:szCs w:val="18"/>
                <w:lang w:val="fr-CA"/>
              </w:rPr>
              <w:t xml:space="preserve">langues officielles de l’ONU </w:t>
            </w:r>
            <w:r w:rsidR="001B7E8F">
              <w:rPr>
                <w:sz w:val="18"/>
                <w:szCs w:val="18"/>
                <w:lang w:val="fr-CA"/>
              </w:rPr>
              <w:t>d’ici à</w:t>
            </w:r>
            <w:r>
              <w:rPr>
                <w:sz w:val="18"/>
                <w:szCs w:val="18"/>
                <w:lang w:val="fr-CA"/>
              </w:rPr>
              <w:t xml:space="preserve"> la mi-décembre </w:t>
            </w:r>
            <w:r w:rsidR="001B7E8F">
              <w:rPr>
                <w:sz w:val="18"/>
                <w:szCs w:val="18"/>
                <w:lang w:val="fr-CA"/>
              </w:rPr>
              <w:t xml:space="preserve">2015 </w:t>
            </w:r>
            <w:r>
              <w:rPr>
                <w:sz w:val="18"/>
                <w:szCs w:val="18"/>
                <w:lang w:val="fr-CA"/>
              </w:rPr>
              <w:t xml:space="preserve">au plus tard </w:t>
            </w:r>
            <w:r w:rsidRPr="00C84061">
              <w:rPr>
                <w:sz w:val="18"/>
                <w:szCs w:val="18"/>
                <w:lang w:val="fr-CA"/>
              </w:rPr>
              <w:t>(</w:t>
            </w:r>
            <w:r>
              <w:rPr>
                <w:sz w:val="18"/>
                <w:szCs w:val="18"/>
                <w:lang w:val="fr-CA"/>
              </w:rPr>
              <w:t>un mois et demi</w:t>
            </w:r>
            <w:r w:rsidRPr="00C84061">
              <w:rPr>
                <w:sz w:val="18"/>
                <w:szCs w:val="18"/>
                <w:lang w:val="fr-CA"/>
              </w:rPr>
              <w:t>).</w:t>
            </w:r>
          </w:p>
        </w:tc>
      </w:tr>
      <w:tr w:rsidR="006E237B" w:rsidRPr="00C84061" w:rsidTr="00F442D1">
        <w:tblPrEx>
          <w:jc w:val="right"/>
        </w:tblPrEx>
        <w:trPr>
          <w:gridAfter w:val="1"/>
          <w:wAfter w:w="166" w:type="dxa"/>
          <w:trHeight w:val="504"/>
          <w:jc w:val="right"/>
        </w:trPr>
        <w:tc>
          <w:tcPr>
            <w:tcW w:w="1037" w:type="dxa"/>
            <w:gridSpan w:val="2"/>
            <w:vMerge w:val="restart"/>
            <w:shd w:val="clear" w:color="auto" w:fill="auto"/>
            <w:vAlign w:val="center"/>
          </w:tcPr>
          <w:p w:rsidR="006E237B" w:rsidRPr="00C84061" w:rsidRDefault="006E237B" w:rsidP="00343DA2">
            <w:pPr>
              <w:pStyle w:val="Normal-pool"/>
              <w:spacing w:before="40" w:after="40"/>
              <w:rPr>
                <w:rFonts w:eastAsia="SimSun"/>
                <w:sz w:val="18"/>
                <w:szCs w:val="18"/>
                <w:lang w:val="fr-CA" w:eastAsia="zh-CN"/>
              </w:rPr>
            </w:pPr>
            <w:r w:rsidRPr="00C84061">
              <w:rPr>
                <w:rFonts w:eastAsia="SimSun"/>
                <w:sz w:val="18"/>
                <w:szCs w:val="18"/>
                <w:lang w:val="fr-CA" w:eastAsia="zh-CN"/>
              </w:rPr>
              <w:t>201</w:t>
            </w:r>
            <w:r>
              <w:rPr>
                <w:rFonts w:eastAsia="SimSun"/>
                <w:sz w:val="18"/>
                <w:szCs w:val="18"/>
                <w:lang w:val="fr-CA" w:eastAsia="zh-CN"/>
              </w:rPr>
              <w:t>6</w:t>
            </w:r>
          </w:p>
        </w:tc>
        <w:tc>
          <w:tcPr>
            <w:tcW w:w="820" w:type="dxa"/>
            <w:shd w:val="clear" w:color="auto" w:fill="auto"/>
            <w:vAlign w:val="center"/>
          </w:tcPr>
          <w:p w:rsidR="006E237B" w:rsidRPr="00C84061" w:rsidRDefault="004A0608" w:rsidP="00006227">
            <w:pPr>
              <w:pStyle w:val="Normal-pool"/>
              <w:spacing w:before="40" w:after="40"/>
              <w:rPr>
                <w:rFonts w:eastAsia="SimSun"/>
                <w:sz w:val="18"/>
                <w:szCs w:val="18"/>
                <w:lang w:val="fr-CA" w:eastAsia="zh-CN"/>
              </w:rPr>
            </w:pPr>
            <w:r>
              <w:rPr>
                <w:rFonts w:eastAsia="SimSun"/>
                <w:sz w:val="18"/>
                <w:szCs w:val="18"/>
                <w:lang w:val="fr-CA" w:eastAsia="zh-CN"/>
              </w:rPr>
              <w:t>Premier trimestre</w:t>
            </w:r>
          </w:p>
        </w:tc>
        <w:tc>
          <w:tcPr>
            <w:tcW w:w="6653" w:type="dxa"/>
            <w:gridSpan w:val="2"/>
            <w:shd w:val="clear" w:color="auto" w:fill="auto"/>
            <w:vAlign w:val="center"/>
          </w:tcPr>
          <w:p w:rsidR="006E237B" w:rsidRPr="00C84061" w:rsidRDefault="006E237B" w:rsidP="00627711">
            <w:pPr>
              <w:pStyle w:val="Normal-pool"/>
              <w:spacing w:before="40" w:after="40"/>
              <w:rPr>
                <w:b/>
                <w:sz w:val="18"/>
                <w:szCs w:val="18"/>
                <w:lang w:val="fr-CA"/>
              </w:rPr>
            </w:pPr>
            <w:r w:rsidRPr="00C84061">
              <w:rPr>
                <w:sz w:val="18"/>
                <w:szCs w:val="18"/>
                <w:lang w:val="fr-CA"/>
              </w:rPr>
              <w:t xml:space="preserve">Le rapport </w:t>
            </w:r>
            <w:r w:rsidR="00EE2A6D">
              <w:rPr>
                <w:sz w:val="18"/>
                <w:szCs w:val="18"/>
                <w:lang w:val="fr-CA"/>
              </w:rPr>
              <w:t>final et l</w:t>
            </w:r>
            <w:r w:rsidRPr="00C84061">
              <w:rPr>
                <w:sz w:val="18"/>
                <w:szCs w:val="18"/>
                <w:lang w:val="fr-CA"/>
              </w:rPr>
              <w:t xml:space="preserve">e résumé à l’intention des décideurs </w:t>
            </w:r>
            <w:r w:rsidR="005152CB">
              <w:rPr>
                <w:sz w:val="18"/>
                <w:szCs w:val="18"/>
                <w:lang w:val="fr-CA"/>
              </w:rPr>
              <w:t>sont</w:t>
            </w:r>
            <w:r w:rsidRPr="00C84061">
              <w:rPr>
                <w:sz w:val="18"/>
                <w:szCs w:val="18"/>
                <w:lang w:val="fr-CA"/>
              </w:rPr>
              <w:t xml:space="preserve"> </w:t>
            </w:r>
            <w:r>
              <w:rPr>
                <w:sz w:val="18"/>
                <w:szCs w:val="18"/>
                <w:lang w:val="fr-CA"/>
              </w:rPr>
              <w:t>transmis</w:t>
            </w:r>
            <w:r w:rsidRPr="00C84061">
              <w:rPr>
                <w:sz w:val="18"/>
                <w:szCs w:val="18"/>
                <w:lang w:val="fr-CA"/>
              </w:rPr>
              <w:t xml:space="preserve"> aux gouvernements et aux autres parties prenantes pour examen final </w:t>
            </w:r>
            <w:r>
              <w:rPr>
                <w:sz w:val="18"/>
                <w:szCs w:val="18"/>
                <w:lang w:val="fr-CA"/>
              </w:rPr>
              <w:t xml:space="preserve">au cours des mois de janvier et février 2016 </w:t>
            </w:r>
            <w:r w:rsidRPr="00C84061">
              <w:rPr>
                <w:sz w:val="18"/>
                <w:szCs w:val="18"/>
                <w:lang w:val="fr-CA"/>
              </w:rPr>
              <w:t>(</w:t>
            </w:r>
            <w:r>
              <w:rPr>
                <w:sz w:val="18"/>
                <w:szCs w:val="18"/>
                <w:lang w:val="fr-CA"/>
              </w:rPr>
              <w:t>un mois et demi – deux mois</w:t>
            </w:r>
            <w:r w:rsidRPr="00C84061">
              <w:rPr>
                <w:sz w:val="18"/>
                <w:szCs w:val="18"/>
                <w:lang w:val="fr-CA"/>
              </w:rPr>
              <w:t>).</w:t>
            </w:r>
            <w:r>
              <w:rPr>
                <w:sz w:val="18"/>
                <w:szCs w:val="18"/>
                <w:lang w:val="fr-CA"/>
              </w:rPr>
              <w:t xml:space="preserve"> </w:t>
            </w:r>
            <w:r w:rsidRPr="00C84061">
              <w:rPr>
                <w:sz w:val="18"/>
                <w:szCs w:val="18"/>
                <w:lang w:val="fr-CA"/>
              </w:rPr>
              <w:t xml:space="preserve">Les gouvernements </w:t>
            </w:r>
            <w:r>
              <w:rPr>
                <w:sz w:val="18"/>
                <w:szCs w:val="18"/>
                <w:lang w:val="fr-CA"/>
              </w:rPr>
              <w:t xml:space="preserve">sont vivement encouragés à </w:t>
            </w:r>
            <w:r w:rsidR="00627711">
              <w:rPr>
                <w:sz w:val="18"/>
                <w:szCs w:val="18"/>
                <w:lang w:val="fr-CA"/>
              </w:rPr>
              <w:t>transmettre, par écrit,</w:t>
            </w:r>
            <w:r w:rsidRPr="00C84061">
              <w:rPr>
                <w:sz w:val="18"/>
                <w:szCs w:val="18"/>
                <w:lang w:val="fr-CA"/>
              </w:rPr>
              <w:t xml:space="preserve"> des </w:t>
            </w:r>
            <w:r>
              <w:rPr>
                <w:sz w:val="18"/>
                <w:szCs w:val="18"/>
                <w:lang w:val="fr-CA"/>
              </w:rPr>
              <w:t>observations</w:t>
            </w:r>
            <w:r w:rsidRPr="00C84061">
              <w:rPr>
                <w:sz w:val="18"/>
                <w:szCs w:val="18"/>
                <w:lang w:val="fr-CA"/>
              </w:rPr>
              <w:t xml:space="preserve"> </w:t>
            </w:r>
            <w:r w:rsidR="00627711">
              <w:rPr>
                <w:sz w:val="18"/>
                <w:szCs w:val="18"/>
                <w:lang w:val="fr-CA"/>
              </w:rPr>
              <w:t>sur</w:t>
            </w:r>
            <w:r w:rsidRPr="00C84061">
              <w:rPr>
                <w:sz w:val="18"/>
                <w:szCs w:val="18"/>
                <w:lang w:val="fr-CA"/>
              </w:rPr>
              <w:t xml:space="preserve"> le résumé à l’intention des décideurs</w:t>
            </w:r>
            <w:r>
              <w:rPr>
                <w:sz w:val="18"/>
                <w:szCs w:val="18"/>
                <w:lang w:val="fr-CA"/>
              </w:rPr>
              <w:t>. Ces observations doivent parvenir au secrétariat au plus tard une semaine</w:t>
            </w:r>
            <w:r w:rsidRPr="00C84061">
              <w:rPr>
                <w:sz w:val="18"/>
                <w:szCs w:val="18"/>
                <w:lang w:val="fr-CA"/>
              </w:rPr>
              <w:t xml:space="preserve"> </w:t>
            </w:r>
            <w:r>
              <w:rPr>
                <w:sz w:val="18"/>
                <w:szCs w:val="18"/>
                <w:lang w:val="fr-CA"/>
              </w:rPr>
              <w:t>avant la quatrième session de la Plénière</w:t>
            </w:r>
            <w:r w:rsidRPr="00C84061">
              <w:rPr>
                <w:sz w:val="18"/>
                <w:szCs w:val="18"/>
                <w:lang w:val="fr-CA"/>
              </w:rPr>
              <w:t>.</w:t>
            </w:r>
          </w:p>
        </w:tc>
      </w:tr>
      <w:tr w:rsidR="006E237B" w:rsidRPr="00C84061" w:rsidTr="00F442D1">
        <w:tblPrEx>
          <w:jc w:val="right"/>
        </w:tblPrEx>
        <w:trPr>
          <w:gridAfter w:val="1"/>
          <w:wAfter w:w="166" w:type="dxa"/>
          <w:trHeight w:val="567"/>
          <w:jc w:val="right"/>
        </w:trPr>
        <w:tc>
          <w:tcPr>
            <w:tcW w:w="1037" w:type="dxa"/>
            <w:gridSpan w:val="2"/>
            <w:vMerge/>
            <w:shd w:val="clear" w:color="auto" w:fill="auto"/>
          </w:tcPr>
          <w:p w:rsidR="006E237B" w:rsidRPr="00C84061" w:rsidRDefault="006E237B" w:rsidP="00006227">
            <w:pPr>
              <w:pStyle w:val="Normal-pool"/>
              <w:spacing w:before="40" w:after="40"/>
              <w:rPr>
                <w:rFonts w:eastAsia="SimSun"/>
                <w:sz w:val="18"/>
                <w:szCs w:val="18"/>
                <w:lang w:val="fr-CA" w:eastAsia="zh-CN"/>
              </w:rPr>
            </w:pPr>
          </w:p>
        </w:tc>
        <w:tc>
          <w:tcPr>
            <w:tcW w:w="820" w:type="dxa"/>
            <w:shd w:val="clear" w:color="auto" w:fill="auto"/>
            <w:vAlign w:val="center"/>
          </w:tcPr>
          <w:p w:rsidR="006E237B" w:rsidRPr="00C84061" w:rsidRDefault="004A0608" w:rsidP="00006227">
            <w:pPr>
              <w:pStyle w:val="Normal-pool"/>
              <w:spacing w:before="40" w:after="40"/>
              <w:rPr>
                <w:rFonts w:eastAsia="SimSun"/>
                <w:sz w:val="18"/>
                <w:szCs w:val="18"/>
                <w:lang w:val="fr-CA" w:eastAsia="zh-CN"/>
              </w:rPr>
            </w:pPr>
            <w:r>
              <w:rPr>
                <w:rFonts w:eastAsia="SimSun"/>
                <w:sz w:val="18"/>
                <w:szCs w:val="18"/>
                <w:lang w:val="fr-CA" w:eastAsia="zh-CN"/>
              </w:rPr>
              <w:t>Premier trimestre</w:t>
            </w:r>
          </w:p>
        </w:tc>
        <w:tc>
          <w:tcPr>
            <w:tcW w:w="6653" w:type="dxa"/>
            <w:gridSpan w:val="2"/>
            <w:shd w:val="clear" w:color="auto" w:fill="auto"/>
            <w:vAlign w:val="center"/>
          </w:tcPr>
          <w:p w:rsidR="006E237B" w:rsidRPr="00C84061" w:rsidRDefault="006E237B" w:rsidP="0025595A">
            <w:pPr>
              <w:pStyle w:val="Normal-pool"/>
              <w:spacing w:before="40" w:after="40"/>
              <w:rPr>
                <w:sz w:val="18"/>
                <w:szCs w:val="18"/>
                <w:lang w:val="fr-CA"/>
              </w:rPr>
            </w:pPr>
            <w:r w:rsidRPr="00C84061">
              <w:rPr>
                <w:sz w:val="18"/>
                <w:szCs w:val="18"/>
                <w:lang w:val="fr-CA"/>
              </w:rPr>
              <w:t xml:space="preserve">La Plénière examine et accepte le rapport et approuve le résumé à l’intention des décideurs </w:t>
            </w:r>
            <w:r>
              <w:rPr>
                <w:sz w:val="18"/>
                <w:szCs w:val="18"/>
                <w:lang w:val="fr-CA"/>
              </w:rPr>
              <w:t>à sa quatrième session, en mars 2016</w:t>
            </w:r>
            <w:r w:rsidRPr="00C84061">
              <w:rPr>
                <w:sz w:val="18"/>
                <w:szCs w:val="18"/>
                <w:lang w:val="fr-CA"/>
              </w:rPr>
              <w:t>.</w:t>
            </w:r>
          </w:p>
        </w:tc>
      </w:tr>
    </w:tbl>
    <w:p w:rsidR="0061521A" w:rsidRPr="002F5C61" w:rsidRDefault="005A4E0C" w:rsidP="00197AE5">
      <w:pPr>
        <w:pStyle w:val="CH1"/>
        <w:tabs>
          <w:tab w:val="clear" w:pos="1247"/>
          <w:tab w:val="left" w:pos="1418"/>
        </w:tabs>
        <w:spacing w:before="0"/>
        <w:ind w:left="1276" w:hanging="142"/>
        <w:rPr>
          <w:b w:val="0"/>
          <w:sz w:val="20"/>
          <w:szCs w:val="20"/>
        </w:rPr>
      </w:pPr>
      <w:r w:rsidRPr="002F5C61">
        <w:rPr>
          <w:b w:val="0"/>
          <w:sz w:val="20"/>
          <w:szCs w:val="20"/>
        </w:rPr>
        <w:tab/>
      </w:r>
      <w:r w:rsidR="0061521A" w:rsidRPr="002F5C61">
        <w:rPr>
          <w:b w:val="0"/>
          <w:sz w:val="20"/>
          <w:szCs w:val="20"/>
          <w:vertAlign w:val="superscript"/>
        </w:rPr>
        <w:t>a</w:t>
      </w:r>
      <w:r w:rsidR="0061521A" w:rsidRPr="002F5C61">
        <w:rPr>
          <w:b w:val="0"/>
          <w:sz w:val="20"/>
          <w:szCs w:val="20"/>
        </w:rPr>
        <w:t xml:space="preserve"> </w:t>
      </w:r>
      <w:r w:rsidR="00197AE5" w:rsidRPr="002F5C61">
        <w:rPr>
          <w:b w:val="0"/>
          <w:sz w:val="20"/>
          <w:szCs w:val="20"/>
        </w:rPr>
        <w:t xml:space="preserve">Des représentants </w:t>
      </w:r>
      <w:r w:rsidR="002F5C61" w:rsidRPr="002F5C61">
        <w:rPr>
          <w:b w:val="0"/>
          <w:sz w:val="20"/>
          <w:szCs w:val="20"/>
        </w:rPr>
        <w:t xml:space="preserve">avec des savoirs </w:t>
      </w:r>
      <w:r w:rsidR="00197AE5" w:rsidRPr="002F5C61">
        <w:rPr>
          <w:b w:val="0"/>
          <w:sz w:val="20"/>
          <w:szCs w:val="20"/>
        </w:rPr>
        <w:t>autochtone</w:t>
      </w:r>
      <w:r w:rsidR="002F5C61" w:rsidRPr="002F5C61">
        <w:rPr>
          <w:b w:val="0"/>
          <w:sz w:val="20"/>
          <w:szCs w:val="20"/>
        </w:rPr>
        <w:t>s</w:t>
      </w:r>
      <w:r w:rsidR="00197AE5" w:rsidRPr="002F5C61">
        <w:rPr>
          <w:b w:val="0"/>
          <w:sz w:val="20"/>
          <w:szCs w:val="20"/>
        </w:rPr>
        <w:t xml:space="preserve"> et </w:t>
      </w:r>
      <w:r w:rsidR="002F5C61" w:rsidRPr="002F5C61">
        <w:rPr>
          <w:b w:val="0"/>
          <w:sz w:val="20"/>
          <w:szCs w:val="20"/>
        </w:rPr>
        <w:t>locaux</w:t>
      </w:r>
      <w:r w:rsidR="00197AE5" w:rsidRPr="002F5C61">
        <w:rPr>
          <w:b w:val="0"/>
          <w:sz w:val="20"/>
          <w:szCs w:val="20"/>
        </w:rPr>
        <w:t xml:space="preserve"> seront </w:t>
      </w:r>
      <w:r w:rsidR="002F5C61" w:rsidRPr="002F5C61">
        <w:rPr>
          <w:b w:val="0"/>
          <w:sz w:val="20"/>
          <w:szCs w:val="20"/>
        </w:rPr>
        <w:t>équitablement représentés à chaque réunion.</w:t>
      </w:r>
    </w:p>
    <w:p w:rsidR="005A4E0C" w:rsidRPr="00C84061" w:rsidRDefault="0061521A" w:rsidP="005A4E0C">
      <w:pPr>
        <w:pStyle w:val="CH1"/>
      </w:pPr>
      <w:r>
        <w:tab/>
      </w:r>
      <w:r w:rsidR="005A4E0C" w:rsidRPr="00C84061">
        <w:t>IV.</w:t>
      </w:r>
      <w:r w:rsidR="005A4E0C" w:rsidRPr="00C84061">
        <w:tab/>
      </w:r>
      <w:r w:rsidR="00197AE5">
        <w:t>Estimations</w:t>
      </w:r>
      <w:r w:rsidR="005A4E0C" w:rsidRPr="00C84061">
        <w:t xml:space="preserve"> de</w:t>
      </w:r>
      <w:r w:rsidR="00197AE5">
        <w:t>s coûts</w:t>
      </w:r>
    </w:p>
    <w:p w:rsidR="0043506B" w:rsidRDefault="00197AE5" w:rsidP="005A4E0C">
      <w:pPr>
        <w:pStyle w:val="Normalnumber"/>
        <w:keepNext/>
        <w:keepLines/>
        <w:numPr>
          <w:ilvl w:val="0"/>
          <w:numId w:val="8"/>
        </w:numPr>
        <w:tabs>
          <w:tab w:val="left" w:pos="1247"/>
          <w:tab w:val="left" w:pos="1814"/>
          <w:tab w:val="left" w:pos="2381"/>
          <w:tab w:val="left" w:pos="2948"/>
          <w:tab w:val="left" w:pos="3515"/>
          <w:tab w:val="left" w:pos="4082"/>
        </w:tabs>
      </w:pPr>
      <w:r>
        <w:t xml:space="preserve">Le tableau ci-après </w:t>
      </w:r>
      <w:r w:rsidR="0043506B">
        <w:t>présente une estimation</w:t>
      </w:r>
      <w:r w:rsidR="005A4E0C" w:rsidRPr="00C84061">
        <w:t xml:space="preserve"> </w:t>
      </w:r>
      <w:r w:rsidR="0043506B">
        <w:t>d</w:t>
      </w:r>
      <w:r w:rsidR="005A4E0C" w:rsidRPr="00C84061">
        <w:t xml:space="preserve">es coûts </w:t>
      </w:r>
      <w:r w:rsidR="00D077C3">
        <w:t>associés à</w:t>
      </w:r>
      <w:r w:rsidR="005A4E0C" w:rsidRPr="00C84061">
        <w:t xml:space="preserve"> la réalisation de l’évaluation </w:t>
      </w:r>
      <w:r w:rsidR="0043506B">
        <w:t xml:space="preserve">thématique </w:t>
      </w:r>
      <w:r w:rsidR="005A4E0C" w:rsidRPr="00C84061">
        <w:t>et de l’établis</w:t>
      </w:r>
      <w:r w:rsidR="0043506B">
        <w:t>sement du rapport correspondant.</w:t>
      </w:r>
    </w:p>
    <w:p w:rsidR="005A4E0C" w:rsidRPr="003D1C2C" w:rsidRDefault="00197AE5" w:rsidP="0043506B">
      <w:pPr>
        <w:pStyle w:val="Normalnumber"/>
        <w:keepNext/>
        <w:keepLines/>
        <w:tabs>
          <w:tab w:val="left" w:pos="1247"/>
          <w:tab w:val="left" w:pos="1814"/>
          <w:tab w:val="left" w:pos="2381"/>
          <w:tab w:val="left" w:pos="2948"/>
          <w:tab w:val="left" w:pos="3515"/>
          <w:tab w:val="left" w:pos="4082"/>
        </w:tabs>
        <w:ind w:left="1247"/>
        <w:rPr>
          <w:sz w:val="18"/>
          <w:szCs w:val="18"/>
        </w:rPr>
      </w:pPr>
      <w:r w:rsidRPr="003D1C2C">
        <w:rPr>
          <w:sz w:val="18"/>
          <w:szCs w:val="18"/>
        </w:rPr>
        <w:t xml:space="preserve">(en dollars des </w:t>
      </w:r>
      <w:r w:rsidR="0043506B" w:rsidRPr="003D1C2C">
        <w:rPr>
          <w:sz w:val="18"/>
          <w:szCs w:val="18"/>
        </w:rPr>
        <w:t>États-Unis</w:t>
      </w:r>
      <w:r w:rsidRPr="003D1C2C">
        <w:rPr>
          <w:sz w:val="18"/>
          <w:szCs w:val="18"/>
        </w:rPr>
        <w:t>)</w:t>
      </w:r>
    </w:p>
    <w:tbl>
      <w:tblPr>
        <w:tblW w:w="0" w:type="auto"/>
        <w:jc w:val="righ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3532"/>
        <w:gridCol w:w="3119"/>
        <w:gridCol w:w="956"/>
      </w:tblGrid>
      <w:tr w:rsidR="001F730C" w:rsidRPr="00C84061" w:rsidTr="00D077C3">
        <w:trPr>
          <w:jc w:val="right"/>
        </w:trPr>
        <w:tc>
          <w:tcPr>
            <w:tcW w:w="1054" w:type="dxa"/>
            <w:shd w:val="clear" w:color="auto" w:fill="auto"/>
          </w:tcPr>
          <w:p w:rsidR="001F730C" w:rsidRPr="00C84061" w:rsidRDefault="001F730C" w:rsidP="00945A16">
            <w:pPr>
              <w:pStyle w:val="Normal-pool"/>
              <w:keepNext/>
              <w:keepLines/>
              <w:spacing w:before="40" w:after="40"/>
              <w:rPr>
                <w:rFonts w:eastAsia="SimSun"/>
                <w:b/>
                <w:sz w:val="18"/>
                <w:szCs w:val="18"/>
                <w:lang w:val="fr-CA" w:eastAsia="zh-CN"/>
              </w:rPr>
            </w:pPr>
            <w:r w:rsidRPr="00C84061">
              <w:rPr>
                <w:rFonts w:eastAsia="SimSun"/>
                <w:b/>
                <w:sz w:val="18"/>
                <w:szCs w:val="18"/>
                <w:lang w:val="fr-CA" w:eastAsia="zh-CN"/>
              </w:rPr>
              <w:t>Année</w:t>
            </w:r>
          </w:p>
        </w:tc>
        <w:tc>
          <w:tcPr>
            <w:tcW w:w="3532" w:type="dxa"/>
            <w:shd w:val="clear" w:color="auto" w:fill="auto"/>
          </w:tcPr>
          <w:p w:rsidR="001F730C" w:rsidRPr="00C84061" w:rsidRDefault="001F730C" w:rsidP="00945A16">
            <w:pPr>
              <w:pStyle w:val="Normal-pool"/>
              <w:keepNext/>
              <w:keepLines/>
              <w:spacing w:before="40" w:after="40"/>
              <w:rPr>
                <w:rFonts w:eastAsia="SimSun"/>
                <w:b/>
                <w:sz w:val="18"/>
                <w:szCs w:val="18"/>
                <w:lang w:val="fr-CA" w:eastAsia="zh-CN"/>
              </w:rPr>
            </w:pPr>
            <w:r w:rsidRPr="00C84061">
              <w:rPr>
                <w:rFonts w:eastAsia="SimSun"/>
                <w:b/>
                <w:sz w:val="18"/>
                <w:szCs w:val="18"/>
                <w:lang w:val="fr-CA" w:eastAsia="zh-CN"/>
              </w:rPr>
              <w:t>Poste de dépenses</w:t>
            </w:r>
          </w:p>
        </w:tc>
        <w:tc>
          <w:tcPr>
            <w:tcW w:w="3119" w:type="dxa"/>
            <w:shd w:val="clear" w:color="auto" w:fill="auto"/>
          </w:tcPr>
          <w:p w:rsidR="001F730C" w:rsidRPr="00C84061" w:rsidRDefault="001F730C" w:rsidP="00945A16">
            <w:pPr>
              <w:pStyle w:val="Normal-pool"/>
              <w:keepNext/>
              <w:keepLines/>
              <w:spacing w:before="40" w:after="40"/>
              <w:rPr>
                <w:rFonts w:eastAsia="SimSun"/>
                <w:b/>
                <w:sz w:val="18"/>
                <w:szCs w:val="18"/>
                <w:lang w:val="fr-CA" w:eastAsia="zh-CN"/>
              </w:rPr>
            </w:pPr>
            <w:r w:rsidRPr="00C84061">
              <w:rPr>
                <w:rFonts w:eastAsia="SimSun"/>
                <w:b/>
                <w:sz w:val="18"/>
                <w:szCs w:val="18"/>
                <w:lang w:val="fr-CA" w:eastAsia="zh-CN"/>
              </w:rPr>
              <w:t>Hypothèses</w:t>
            </w:r>
          </w:p>
        </w:tc>
        <w:tc>
          <w:tcPr>
            <w:tcW w:w="956" w:type="dxa"/>
            <w:shd w:val="clear" w:color="auto" w:fill="auto"/>
          </w:tcPr>
          <w:p w:rsidR="001F730C" w:rsidRPr="00C84061" w:rsidRDefault="001F730C" w:rsidP="00945A16">
            <w:pPr>
              <w:pStyle w:val="Normal-pool"/>
              <w:keepNext/>
              <w:keepLines/>
              <w:jc w:val="right"/>
              <w:rPr>
                <w:rFonts w:eastAsia="SimSun"/>
                <w:b/>
                <w:sz w:val="18"/>
                <w:szCs w:val="18"/>
                <w:lang w:val="fr-CA" w:eastAsia="zh-CN"/>
              </w:rPr>
            </w:pPr>
            <w:r w:rsidRPr="00C84061">
              <w:rPr>
                <w:rFonts w:eastAsia="SimSun"/>
                <w:b/>
                <w:sz w:val="18"/>
                <w:szCs w:val="18"/>
                <w:lang w:val="fr-CA" w:eastAsia="zh-CN"/>
              </w:rPr>
              <w:t>Coût</w:t>
            </w:r>
          </w:p>
        </w:tc>
      </w:tr>
      <w:tr w:rsidR="003C3321" w:rsidRPr="001F730C" w:rsidTr="003C3321">
        <w:trPr>
          <w:trHeight w:val="207"/>
          <w:jc w:val="right"/>
        </w:trPr>
        <w:tc>
          <w:tcPr>
            <w:tcW w:w="1054" w:type="dxa"/>
            <w:vMerge w:val="restart"/>
            <w:shd w:val="clear" w:color="auto" w:fill="auto"/>
            <w:vAlign w:val="center"/>
          </w:tcPr>
          <w:p w:rsidR="003C3321" w:rsidRPr="003C3321" w:rsidRDefault="003C3321" w:rsidP="003C3321">
            <w:pPr>
              <w:pStyle w:val="Normal-pool"/>
              <w:spacing w:before="40" w:after="40"/>
              <w:jc w:val="center"/>
              <w:rPr>
                <w:rFonts w:eastAsia="SimSun"/>
                <w:lang w:eastAsia="zh-CN"/>
              </w:rPr>
            </w:pPr>
            <w:r w:rsidRPr="003C3321">
              <w:rPr>
                <w:rFonts w:eastAsia="SimSun"/>
                <w:lang w:eastAsia="zh-CN"/>
              </w:rPr>
              <w:t>2014</w:t>
            </w:r>
          </w:p>
        </w:tc>
        <w:tc>
          <w:tcPr>
            <w:tcW w:w="3532" w:type="dxa"/>
            <w:vMerge w:val="restart"/>
            <w:shd w:val="clear" w:color="auto" w:fill="auto"/>
          </w:tcPr>
          <w:p w:rsidR="003C3321" w:rsidRPr="001F730C" w:rsidRDefault="003C3321" w:rsidP="003C3321">
            <w:pPr>
              <w:pStyle w:val="Normal-pool"/>
              <w:keepNext/>
              <w:keepLines/>
              <w:spacing w:before="40" w:after="40"/>
              <w:rPr>
                <w:rFonts w:eastAsia="SimSun"/>
                <w:sz w:val="18"/>
                <w:szCs w:val="18"/>
                <w:lang w:val="fr-CA" w:eastAsia="zh-CN"/>
              </w:rPr>
            </w:pPr>
            <w:r w:rsidRPr="001F730C">
              <w:rPr>
                <w:rFonts w:eastAsia="SimSun"/>
                <w:sz w:val="18"/>
                <w:szCs w:val="18"/>
                <w:lang w:val="fr-CA" w:eastAsia="zh-CN"/>
              </w:rPr>
              <w:t>Réunion de cadrage</w:t>
            </w:r>
            <w:r>
              <w:rPr>
                <w:rFonts w:eastAsia="SimSun"/>
                <w:sz w:val="18"/>
                <w:szCs w:val="18"/>
                <w:lang w:val="fr-CA" w:eastAsia="zh-CN"/>
              </w:rPr>
              <w:t xml:space="preserve"> (40 participants : membres du Groupe d’experts multidisciplinaire/</w:t>
            </w:r>
            <w:r w:rsidR="001B7E8F">
              <w:rPr>
                <w:rFonts w:eastAsia="SimSun"/>
                <w:sz w:val="18"/>
                <w:szCs w:val="18"/>
                <w:lang w:val="fr-CA" w:eastAsia="zh-CN"/>
              </w:rPr>
              <w:t xml:space="preserve">membres du </w:t>
            </w:r>
            <w:r>
              <w:rPr>
                <w:rFonts w:eastAsia="SimSun"/>
                <w:sz w:val="18"/>
                <w:szCs w:val="18"/>
                <w:lang w:val="fr-CA" w:eastAsia="zh-CN"/>
              </w:rPr>
              <w:t>Bureau, experts)</w:t>
            </w:r>
          </w:p>
        </w:tc>
        <w:tc>
          <w:tcPr>
            <w:tcW w:w="3119" w:type="dxa"/>
            <w:shd w:val="clear" w:color="auto" w:fill="auto"/>
          </w:tcPr>
          <w:p w:rsidR="003C3321" w:rsidRPr="00C84061" w:rsidRDefault="003C3321" w:rsidP="00945A16">
            <w:pPr>
              <w:pStyle w:val="ColorfulList-Accent1"/>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r w:rsidRPr="00C84061">
              <w:rPr>
                <w:rFonts w:ascii="Times New Roman" w:eastAsia="SimSun" w:hAnsi="Times New Roman"/>
                <w:sz w:val="18"/>
                <w:szCs w:val="18"/>
                <w:lang w:val="fr-CA" w:eastAsia="zh-CN"/>
              </w:rPr>
              <w:t>C</w:t>
            </w:r>
            <w:r>
              <w:rPr>
                <w:rFonts w:ascii="Times New Roman" w:eastAsia="SimSun" w:hAnsi="Times New Roman"/>
                <w:sz w:val="18"/>
                <w:szCs w:val="18"/>
                <w:lang w:val="fr-CA" w:eastAsia="zh-CN"/>
              </w:rPr>
              <w:t>oûts de la réunion (1 semaine, 4</w:t>
            </w:r>
            <w:r w:rsidRPr="00C84061">
              <w:rPr>
                <w:rFonts w:ascii="Times New Roman" w:eastAsia="SimSun" w:hAnsi="Times New Roman"/>
                <w:sz w:val="18"/>
                <w:szCs w:val="18"/>
                <w:lang w:val="fr-CA" w:eastAsia="zh-CN"/>
              </w:rPr>
              <w:t>0 participants) (25 % en nature)</w:t>
            </w:r>
          </w:p>
        </w:tc>
        <w:tc>
          <w:tcPr>
            <w:tcW w:w="956" w:type="dxa"/>
            <w:shd w:val="clear" w:color="auto" w:fill="auto"/>
          </w:tcPr>
          <w:p w:rsidR="003C3321" w:rsidRPr="00C84061" w:rsidRDefault="003C3321" w:rsidP="00945A16">
            <w:pPr>
              <w:pStyle w:val="Normal-pool"/>
              <w:keepNext/>
              <w:keepLines/>
              <w:jc w:val="right"/>
              <w:rPr>
                <w:rFonts w:eastAsia="SimSun"/>
                <w:sz w:val="18"/>
                <w:szCs w:val="18"/>
                <w:lang w:val="fr-CA" w:eastAsia="zh-CN"/>
              </w:rPr>
            </w:pPr>
            <w:r>
              <w:rPr>
                <w:rFonts w:eastAsia="SimSun"/>
                <w:sz w:val="18"/>
                <w:szCs w:val="18"/>
                <w:lang w:val="fr-CA" w:eastAsia="zh-CN"/>
              </w:rPr>
              <w:t>11 25</w:t>
            </w:r>
            <w:r w:rsidRPr="00C84061">
              <w:rPr>
                <w:rFonts w:eastAsia="SimSun"/>
                <w:sz w:val="18"/>
                <w:szCs w:val="18"/>
                <w:lang w:val="fr-CA" w:eastAsia="zh-CN"/>
              </w:rPr>
              <w:t>0</w:t>
            </w:r>
          </w:p>
        </w:tc>
      </w:tr>
      <w:tr w:rsidR="003C3321" w:rsidRPr="001F730C" w:rsidTr="00D077C3">
        <w:trPr>
          <w:trHeight w:val="206"/>
          <w:jc w:val="right"/>
        </w:trPr>
        <w:tc>
          <w:tcPr>
            <w:tcW w:w="1054" w:type="dxa"/>
            <w:vMerge/>
            <w:shd w:val="clear" w:color="auto" w:fill="auto"/>
          </w:tcPr>
          <w:p w:rsidR="003C3321" w:rsidRPr="001F730C" w:rsidRDefault="003C3321" w:rsidP="00006227">
            <w:pPr>
              <w:pStyle w:val="Normal-pool"/>
              <w:keepNext/>
              <w:keepLines/>
              <w:rPr>
                <w:rFonts w:eastAsia="SimSun"/>
                <w:sz w:val="18"/>
                <w:szCs w:val="18"/>
                <w:lang w:val="fr-CA" w:eastAsia="zh-CN"/>
              </w:rPr>
            </w:pPr>
          </w:p>
        </w:tc>
        <w:tc>
          <w:tcPr>
            <w:tcW w:w="3532" w:type="dxa"/>
            <w:vMerge/>
            <w:shd w:val="clear" w:color="auto" w:fill="auto"/>
          </w:tcPr>
          <w:p w:rsidR="003C3321" w:rsidRPr="001F730C" w:rsidRDefault="003C3321" w:rsidP="00006227">
            <w:pPr>
              <w:pStyle w:val="Normal-pool"/>
              <w:keepNext/>
              <w:keepLines/>
              <w:spacing w:before="40" w:after="40"/>
              <w:rPr>
                <w:rFonts w:eastAsia="SimSun"/>
                <w:sz w:val="18"/>
                <w:szCs w:val="18"/>
                <w:lang w:val="fr-CA" w:eastAsia="zh-CN"/>
              </w:rPr>
            </w:pPr>
          </w:p>
        </w:tc>
        <w:tc>
          <w:tcPr>
            <w:tcW w:w="3119" w:type="dxa"/>
            <w:shd w:val="clear" w:color="auto" w:fill="auto"/>
          </w:tcPr>
          <w:p w:rsidR="003C3321" w:rsidRPr="00C84061" w:rsidRDefault="003C3321" w:rsidP="00945A16">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r w:rsidRPr="00C84061">
              <w:rPr>
                <w:rFonts w:ascii="Times New Roman" w:eastAsia="SimSun" w:hAnsi="Times New Roman"/>
                <w:sz w:val="18"/>
                <w:szCs w:val="18"/>
                <w:lang w:val="fr-CA" w:eastAsia="zh-CN"/>
              </w:rPr>
              <w:t>Voyage et indemni</w:t>
            </w:r>
            <w:r>
              <w:rPr>
                <w:rFonts w:ascii="Times New Roman" w:eastAsia="SimSun" w:hAnsi="Times New Roman"/>
                <w:sz w:val="18"/>
                <w:szCs w:val="18"/>
                <w:lang w:val="fr-CA" w:eastAsia="zh-CN"/>
              </w:rPr>
              <w:t>té journalière de subsistance (3</w:t>
            </w:r>
            <w:r w:rsidRPr="00C84061">
              <w:rPr>
                <w:rFonts w:ascii="Times New Roman" w:eastAsia="SimSun" w:hAnsi="Times New Roman"/>
                <w:sz w:val="18"/>
                <w:szCs w:val="18"/>
                <w:lang w:val="fr-CA" w:eastAsia="zh-CN"/>
              </w:rPr>
              <w:t>0 x 3 000 dollars)</w:t>
            </w:r>
          </w:p>
        </w:tc>
        <w:tc>
          <w:tcPr>
            <w:tcW w:w="956" w:type="dxa"/>
            <w:shd w:val="clear" w:color="auto" w:fill="auto"/>
          </w:tcPr>
          <w:p w:rsidR="003C3321" w:rsidRPr="00C84061" w:rsidRDefault="003C3321" w:rsidP="00945A16">
            <w:pPr>
              <w:pStyle w:val="Normal-pool"/>
              <w:jc w:val="right"/>
              <w:rPr>
                <w:rFonts w:eastAsia="SimSun"/>
                <w:sz w:val="18"/>
                <w:szCs w:val="18"/>
                <w:lang w:val="fr-CA" w:eastAsia="zh-CN"/>
              </w:rPr>
            </w:pPr>
            <w:r>
              <w:rPr>
                <w:rFonts w:eastAsia="SimSun"/>
                <w:sz w:val="18"/>
                <w:szCs w:val="18"/>
                <w:lang w:val="fr-CA" w:eastAsia="zh-CN"/>
              </w:rPr>
              <w:t>90</w:t>
            </w:r>
            <w:r w:rsidRPr="00C84061">
              <w:rPr>
                <w:rFonts w:eastAsia="SimSun"/>
                <w:sz w:val="18"/>
                <w:szCs w:val="18"/>
                <w:lang w:val="fr-CA" w:eastAsia="zh-CN"/>
              </w:rPr>
              <w:t> 000</w:t>
            </w:r>
          </w:p>
        </w:tc>
      </w:tr>
      <w:tr w:rsidR="003C3321" w:rsidRPr="00C84061" w:rsidTr="00D077C3">
        <w:trPr>
          <w:jc w:val="right"/>
        </w:trPr>
        <w:tc>
          <w:tcPr>
            <w:tcW w:w="1054" w:type="dxa"/>
            <w:vMerge/>
            <w:shd w:val="clear" w:color="auto" w:fill="auto"/>
            <w:vAlign w:val="center"/>
          </w:tcPr>
          <w:p w:rsidR="003C3321" w:rsidRPr="00C84061" w:rsidRDefault="003C3321" w:rsidP="00006227">
            <w:pPr>
              <w:pStyle w:val="Normal-pool"/>
              <w:keepNext/>
              <w:keepLines/>
              <w:rPr>
                <w:rFonts w:eastAsia="SimSun"/>
                <w:sz w:val="18"/>
                <w:szCs w:val="18"/>
                <w:lang w:val="fr-CA" w:eastAsia="zh-CN"/>
              </w:rPr>
            </w:pPr>
          </w:p>
        </w:tc>
        <w:tc>
          <w:tcPr>
            <w:tcW w:w="3532" w:type="dxa"/>
            <w:vMerge w:val="restart"/>
            <w:shd w:val="clear" w:color="auto" w:fill="auto"/>
            <w:vAlign w:val="center"/>
          </w:tcPr>
          <w:p w:rsidR="003C3321" w:rsidRPr="00C84061" w:rsidRDefault="003C3321" w:rsidP="00006227">
            <w:pPr>
              <w:pStyle w:val="ColorfulList-Accent1"/>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r>
              <w:rPr>
                <w:rFonts w:ascii="Times New Roman" w:eastAsia="SimSun" w:hAnsi="Times New Roman"/>
                <w:sz w:val="18"/>
                <w:szCs w:val="18"/>
                <w:lang w:val="fr-CA" w:eastAsia="zh-CN"/>
              </w:rPr>
              <w:t>Première réunion des auteurs (70</w:t>
            </w:r>
            <w:r w:rsidRPr="00C84061">
              <w:rPr>
                <w:rFonts w:ascii="Times New Roman" w:eastAsia="SimSun" w:hAnsi="Times New Roman"/>
                <w:sz w:val="18"/>
                <w:szCs w:val="18"/>
                <w:lang w:val="fr-CA" w:eastAsia="zh-CN"/>
              </w:rPr>
              <w:t> coprésidents, auteurs coordonnateurs principaux et auteurs principaux + 4 membres du Groupe d’experts multidisciplinaire/</w:t>
            </w:r>
            <w:r w:rsidR="001B7E8F">
              <w:rPr>
                <w:rFonts w:ascii="Times New Roman" w:eastAsia="SimSun" w:hAnsi="Times New Roman"/>
                <w:sz w:val="18"/>
                <w:szCs w:val="18"/>
                <w:lang w:val="fr-CA" w:eastAsia="zh-CN"/>
              </w:rPr>
              <w:t xml:space="preserve">membres du </w:t>
            </w:r>
            <w:r w:rsidRPr="00C84061">
              <w:rPr>
                <w:rFonts w:ascii="Times New Roman" w:eastAsia="SimSun" w:hAnsi="Times New Roman"/>
                <w:sz w:val="18"/>
                <w:szCs w:val="18"/>
                <w:lang w:val="fr-CA" w:eastAsia="zh-CN"/>
              </w:rPr>
              <w:t>Bureau +</w:t>
            </w:r>
            <w:r w:rsidR="000453D4">
              <w:rPr>
                <w:rFonts w:ascii="Times New Roman" w:eastAsia="SimSun" w:hAnsi="Times New Roman"/>
                <w:sz w:val="18"/>
                <w:szCs w:val="18"/>
                <w:lang w:val="fr-CA" w:eastAsia="zh-CN"/>
              </w:rPr>
              <w:t xml:space="preserve"> </w:t>
            </w:r>
            <w:r w:rsidRPr="00C84061">
              <w:rPr>
                <w:rFonts w:ascii="Times New Roman" w:eastAsia="SimSun" w:hAnsi="Times New Roman"/>
                <w:sz w:val="18"/>
                <w:szCs w:val="18"/>
                <w:lang w:val="fr-CA" w:eastAsia="zh-CN"/>
              </w:rPr>
              <w:t>1 agent des services d’appui technique)</w:t>
            </w:r>
          </w:p>
        </w:tc>
        <w:tc>
          <w:tcPr>
            <w:tcW w:w="3119" w:type="dxa"/>
            <w:shd w:val="clear" w:color="auto" w:fill="auto"/>
          </w:tcPr>
          <w:p w:rsidR="003C3321" w:rsidRPr="00C84061" w:rsidRDefault="003C3321" w:rsidP="00006227">
            <w:pPr>
              <w:pStyle w:val="ColorfulList-Accent1"/>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r w:rsidRPr="00C84061">
              <w:rPr>
                <w:rFonts w:ascii="Times New Roman" w:eastAsia="SimSun" w:hAnsi="Times New Roman"/>
                <w:sz w:val="18"/>
                <w:szCs w:val="18"/>
                <w:lang w:val="fr-CA" w:eastAsia="zh-CN"/>
              </w:rPr>
              <w:t>C</w:t>
            </w:r>
            <w:r>
              <w:rPr>
                <w:rFonts w:ascii="Times New Roman" w:eastAsia="SimSun" w:hAnsi="Times New Roman"/>
                <w:sz w:val="18"/>
                <w:szCs w:val="18"/>
                <w:lang w:val="fr-CA" w:eastAsia="zh-CN"/>
              </w:rPr>
              <w:t>oûts de la réunion (1 semaine, 75</w:t>
            </w:r>
            <w:r w:rsidRPr="00C84061">
              <w:rPr>
                <w:rFonts w:ascii="Times New Roman" w:eastAsia="SimSun" w:hAnsi="Times New Roman"/>
                <w:sz w:val="18"/>
                <w:szCs w:val="18"/>
                <w:lang w:val="fr-CA" w:eastAsia="zh-CN"/>
              </w:rPr>
              <w:t> participants) (25 % en nature)</w:t>
            </w:r>
          </w:p>
        </w:tc>
        <w:tc>
          <w:tcPr>
            <w:tcW w:w="956" w:type="dxa"/>
            <w:shd w:val="clear" w:color="auto" w:fill="auto"/>
          </w:tcPr>
          <w:p w:rsidR="003C3321" w:rsidRPr="00C84061" w:rsidRDefault="003C3321" w:rsidP="00006227">
            <w:pPr>
              <w:pStyle w:val="Normal-pool"/>
              <w:keepNext/>
              <w:keepLines/>
              <w:jc w:val="right"/>
              <w:rPr>
                <w:rFonts w:eastAsia="SimSun"/>
                <w:sz w:val="18"/>
                <w:szCs w:val="18"/>
                <w:lang w:val="fr-CA" w:eastAsia="zh-CN"/>
              </w:rPr>
            </w:pPr>
            <w:r>
              <w:rPr>
                <w:rFonts w:eastAsia="SimSun"/>
                <w:sz w:val="18"/>
                <w:szCs w:val="18"/>
                <w:lang w:val="fr-CA" w:eastAsia="zh-CN"/>
              </w:rPr>
              <w:t>15 00</w:t>
            </w:r>
            <w:r w:rsidRPr="00C84061">
              <w:rPr>
                <w:rFonts w:eastAsia="SimSun"/>
                <w:sz w:val="18"/>
                <w:szCs w:val="18"/>
                <w:lang w:val="fr-CA" w:eastAsia="zh-CN"/>
              </w:rPr>
              <w:t>0</w:t>
            </w:r>
          </w:p>
        </w:tc>
      </w:tr>
      <w:tr w:rsidR="003C3321" w:rsidRPr="00C84061" w:rsidTr="00D077C3">
        <w:trPr>
          <w:trHeight w:val="337"/>
          <w:jc w:val="right"/>
        </w:trPr>
        <w:tc>
          <w:tcPr>
            <w:tcW w:w="1054" w:type="dxa"/>
            <w:vMerge/>
            <w:shd w:val="clear" w:color="auto" w:fill="auto"/>
            <w:vAlign w:val="center"/>
          </w:tcPr>
          <w:p w:rsidR="003C3321" w:rsidRPr="00C84061" w:rsidRDefault="003C3321"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532" w:type="dxa"/>
            <w:vMerge/>
            <w:shd w:val="clear" w:color="auto" w:fill="auto"/>
            <w:vAlign w:val="center"/>
          </w:tcPr>
          <w:p w:rsidR="003C3321" w:rsidRPr="00C84061" w:rsidRDefault="003C3321"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119" w:type="dxa"/>
            <w:shd w:val="clear" w:color="auto" w:fill="auto"/>
          </w:tcPr>
          <w:p w:rsidR="003C3321" w:rsidRPr="00C84061" w:rsidRDefault="003C3321" w:rsidP="00363BE3">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r w:rsidRPr="00C84061">
              <w:rPr>
                <w:rFonts w:ascii="Times New Roman" w:eastAsia="SimSun" w:hAnsi="Times New Roman"/>
                <w:sz w:val="18"/>
                <w:szCs w:val="18"/>
                <w:lang w:val="fr-CA" w:eastAsia="zh-CN"/>
              </w:rPr>
              <w:t>Voyage et indemni</w:t>
            </w:r>
            <w:r>
              <w:rPr>
                <w:rFonts w:ascii="Times New Roman" w:eastAsia="SimSun" w:hAnsi="Times New Roman"/>
                <w:sz w:val="18"/>
                <w:szCs w:val="18"/>
                <w:lang w:val="fr-CA" w:eastAsia="zh-CN"/>
              </w:rPr>
              <w:t>té journalière de subsistance (56</w:t>
            </w:r>
            <w:r w:rsidRPr="00C84061">
              <w:rPr>
                <w:rFonts w:ascii="Times New Roman" w:eastAsia="SimSun" w:hAnsi="Times New Roman"/>
                <w:sz w:val="18"/>
                <w:szCs w:val="18"/>
                <w:lang w:val="fr-CA" w:eastAsia="zh-CN"/>
              </w:rPr>
              <w:t> x 3 000 dollars)</w:t>
            </w:r>
          </w:p>
        </w:tc>
        <w:tc>
          <w:tcPr>
            <w:tcW w:w="956" w:type="dxa"/>
            <w:shd w:val="clear" w:color="auto" w:fill="auto"/>
          </w:tcPr>
          <w:p w:rsidR="003C3321" w:rsidRPr="00C84061" w:rsidRDefault="003C3321" w:rsidP="00006227">
            <w:pPr>
              <w:pStyle w:val="Normal-pool"/>
              <w:jc w:val="right"/>
              <w:rPr>
                <w:rFonts w:eastAsia="SimSun"/>
                <w:sz w:val="18"/>
                <w:szCs w:val="18"/>
                <w:lang w:val="fr-CA" w:eastAsia="zh-CN"/>
              </w:rPr>
            </w:pPr>
            <w:r w:rsidRPr="00C84061">
              <w:rPr>
                <w:rFonts w:eastAsia="SimSun"/>
                <w:sz w:val="18"/>
                <w:szCs w:val="18"/>
                <w:lang w:val="fr-CA" w:eastAsia="zh-CN"/>
              </w:rPr>
              <w:t>1</w:t>
            </w:r>
            <w:r>
              <w:rPr>
                <w:rFonts w:eastAsia="SimSun"/>
                <w:sz w:val="18"/>
                <w:szCs w:val="18"/>
                <w:lang w:val="fr-CA" w:eastAsia="zh-CN"/>
              </w:rPr>
              <w:t>68</w:t>
            </w:r>
            <w:r w:rsidRPr="00C84061">
              <w:rPr>
                <w:rFonts w:eastAsia="SimSun"/>
                <w:sz w:val="18"/>
                <w:szCs w:val="18"/>
                <w:lang w:val="fr-CA" w:eastAsia="zh-CN"/>
              </w:rPr>
              <w:t> 000</w:t>
            </w:r>
          </w:p>
        </w:tc>
      </w:tr>
      <w:tr w:rsidR="003C3321" w:rsidRPr="00C84061" w:rsidTr="00633628">
        <w:trPr>
          <w:jc w:val="right"/>
        </w:trPr>
        <w:tc>
          <w:tcPr>
            <w:tcW w:w="1054" w:type="dxa"/>
            <w:vMerge/>
            <w:tcBorders>
              <w:bottom w:val="nil"/>
            </w:tcBorders>
            <w:shd w:val="clear" w:color="auto" w:fill="auto"/>
            <w:vAlign w:val="center"/>
          </w:tcPr>
          <w:p w:rsidR="003C3321" w:rsidRPr="00C84061" w:rsidRDefault="003C3321"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532" w:type="dxa"/>
            <w:tcBorders>
              <w:bottom w:val="nil"/>
            </w:tcBorders>
            <w:shd w:val="clear" w:color="auto" w:fill="auto"/>
            <w:vAlign w:val="center"/>
          </w:tcPr>
          <w:p w:rsidR="003C3321" w:rsidRPr="00C84061" w:rsidRDefault="003C3321" w:rsidP="00EA02AA">
            <w:pPr>
              <w:pStyle w:val="Normal-pool"/>
              <w:rPr>
                <w:rFonts w:eastAsia="SimSun"/>
                <w:sz w:val="18"/>
                <w:szCs w:val="18"/>
                <w:lang w:val="fr-CA" w:eastAsia="zh-CN"/>
              </w:rPr>
            </w:pPr>
            <w:r w:rsidRPr="00C84061">
              <w:rPr>
                <w:rFonts w:eastAsia="SimSun"/>
                <w:sz w:val="18"/>
                <w:szCs w:val="18"/>
                <w:lang w:val="fr-CA" w:eastAsia="zh-CN"/>
              </w:rPr>
              <w:t>Appui technique</w:t>
            </w:r>
          </w:p>
        </w:tc>
        <w:tc>
          <w:tcPr>
            <w:tcW w:w="3119" w:type="dxa"/>
            <w:tcBorders>
              <w:bottom w:val="nil"/>
            </w:tcBorders>
            <w:shd w:val="clear" w:color="auto" w:fill="auto"/>
          </w:tcPr>
          <w:p w:rsidR="003C3321" w:rsidRPr="003C3321" w:rsidRDefault="003C3321" w:rsidP="00EA02AA">
            <w:pPr>
              <w:pStyle w:val="Normal-pool"/>
              <w:rPr>
                <w:rFonts w:eastAsia="SimSun"/>
                <w:sz w:val="18"/>
                <w:szCs w:val="18"/>
                <w:lang w:val="fr-CA" w:eastAsia="zh-CN"/>
              </w:rPr>
            </w:pPr>
            <w:r w:rsidRPr="003C3321">
              <w:rPr>
                <w:rFonts w:eastAsia="SimSun"/>
                <w:sz w:val="18"/>
                <w:szCs w:val="18"/>
                <w:lang w:val="fr-CA" w:eastAsia="zh-CN"/>
              </w:rPr>
              <w:t>1 poste d’administrateur équivalent plein temps (50 % en nature)</w:t>
            </w:r>
          </w:p>
        </w:tc>
        <w:tc>
          <w:tcPr>
            <w:tcW w:w="956" w:type="dxa"/>
            <w:tcBorders>
              <w:bottom w:val="nil"/>
            </w:tcBorders>
            <w:shd w:val="clear" w:color="auto" w:fill="auto"/>
          </w:tcPr>
          <w:p w:rsidR="003C3321" w:rsidRPr="00C84061" w:rsidRDefault="003C3321" w:rsidP="00EA02AA">
            <w:pPr>
              <w:pStyle w:val="Normal-pool"/>
              <w:jc w:val="right"/>
              <w:rPr>
                <w:rFonts w:eastAsia="SimSun"/>
                <w:sz w:val="18"/>
                <w:szCs w:val="18"/>
                <w:lang w:val="fr-CA" w:eastAsia="zh-CN"/>
              </w:rPr>
            </w:pPr>
            <w:r>
              <w:rPr>
                <w:rFonts w:eastAsia="SimSun"/>
                <w:sz w:val="18"/>
                <w:szCs w:val="18"/>
                <w:lang w:val="fr-CA" w:eastAsia="zh-CN"/>
              </w:rPr>
              <w:t>75 0</w:t>
            </w:r>
            <w:r w:rsidRPr="00C84061">
              <w:rPr>
                <w:rFonts w:eastAsia="SimSun"/>
                <w:sz w:val="18"/>
                <w:szCs w:val="18"/>
                <w:lang w:val="fr-CA" w:eastAsia="zh-CN"/>
              </w:rPr>
              <w:t>00</w:t>
            </w:r>
          </w:p>
        </w:tc>
      </w:tr>
      <w:tr w:rsidR="00633628" w:rsidRPr="00C84061" w:rsidTr="00633628">
        <w:trPr>
          <w:jc w:val="right"/>
        </w:trPr>
        <w:tc>
          <w:tcPr>
            <w:tcW w:w="1054" w:type="dxa"/>
            <w:tcBorders>
              <w:top w:val="nil"/>
            </w:tcBorders>
            <w:shd w:val="clear" w:color="auto" w:fill="auto"/>
            <w:vAlign w:val="center"/>
          </w:tcPr>
          <w:p w:rsidR="00633628" w:rsidRPr="00C84061" w:rsidRDefault="00633628"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532" w:type="dxa"/>
            <w:tcBorders>
              <w:top w:val="nil"/>
            </w:tcBorders>
            <w:shd w:val="clear" w:color="auto" w:fill="auto"/>
            <w:vAlign w:val="center"/>
          </w:tcPr>
          <w:p w:rsidR="00633628" w:rsidRPr="00C84061" w:rsidRDefault="00633628" w:rsidP="00EA02AA">
            <w:pPr>
              <w:pStyle w:val="Normal-pool"/>
              <w:rPr>
                <w:rFonts w:eastAsia="SimSun"/>
                <w:sz w:val="18"/>
                <w:szCs w:val="18"/>
                <w:lang w:val="fr-CA" w:eastAsia="zh-CN"/>
              </w:rPr>
            </w:pPr>
          </w:p>
        </w:tc>
        <w:tc>
          <w:tcPr>
            <w:tcW w:w="3119" w:type="dxa"/>
            <w:tcBorders>
              <w:top w:val="nil"/>
            </w:tcBorders>
            <w:shd w:val="clear" w:color="auto" w:fill="auto"/>
          </w:tcPr>
          <w:p w:rsidR="00633628" w:rsidRPr="003C3321" w:rsidRDefault="00633628" w:rsidP="00EA02AA">
            <w:pPr>
              <w:pStyle w:val="Normal-pool"/>
              <w:rPr>
                <w:rFonts w:eastAsia="SimSun"/>
                <w:sz w:val="18"/>
                <w:szCs w:val="18"/>
                <w:lang w:val="fr-CA" w:eastAsia="zh-CN"/>
              </w:rPr>
            </w:pPr>
          </w:p>
        </w:tc>
        <w:tc>
          <w:tcPr>
            <w:tcW w:w="956" w:type="dxa"/>
            <w:tcBorders>
              <w:top w:val="nil"/>
            </w:tcBorders>
            <w:shd w:val="clear" w:color="auto" w:fill="auto"/>
          </w:tcPr>
          <w:p w:rsidR="00633628" w:rsidRDefault="00633628" w:rsidP="00EA02AA">
            <w:pPr>
              <w:pStyle w:val="Normal-pool"/>
              <w:jc w:val="right"/>
              <w:rPr>
                <w:rFonts w:eastAsia="SimSun"/>
                <w:sz w:val="18"/>
                <w:szCs w:val="18"/>
                <w:lang w:val="fr-CA" w:eastAsia="zh-CN"/>
              </w:rPr>
            </w:pPr>
          </w:p>
        </w:tc>
      </w:tr>
      <w:tr w:rsidR="00B9638E" w:rsidRPr="00C84061" w:rsidTr="00D077C3">
        <w:trPr>
          <w:jc w:val="right"/>
        </w:trPr>
        <w:tc>
          <w:tcPr>
            <w:tcW w:w="1054" w:type="dxa"/>
            <w:vMerge w:val="restart"/>
            <w:shd w:val="clear" w:color="auto" w:fill="auto"/>
            <w:vAlign w:val="center"/>
          </w:tcPr>
          <w:p w:rsidR="00B9638E" w:rsidRPr="00C84061" w:rsidRDefault="00B9638E"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r>
              <w:rPr>
                <w:rFonts w:ascii="Times New Roman" w:eastAsia="SimSun" w:hAnsi="Times New Roman"/>
                <w:sz w:val="18"/>
                <w:szCs w:val="18"/>
                <w:lang w:val="fr-CA" w:eastAsia="zh-CN"/>
              </w:rPr>
              <w:lastRenderedPageBreak/>
              <w:t>2015</w:t>
            </w:r>
          </w:p>
        </w:tc>
        <w:tc>
          <w:tcPr>
            <w:tcW w:w="3532" w:type="dxa"/>
            <w:vMerge w:val="restart"/>
            <w:shd w:val="clear" w:color="auto" w:fill="auto"/>
            <w:vAlign w:val="center"/>
          </w:tcPr>
          <w:p w:rsidR="00B9638E" w:rsidRPr="00C84061" w:rsidRDefault="00B9638E" w:rsidP="00006227">
            <w:pPr>
              <w:pStyle w:val="Normal-pool"/>
              <w:rPr>
                <w:rFonts w:eastAsia="SimSun"/>
                <w:sz w:val="18"/>
                <w:szCs w:val="18"/>
                <w:lang w:val="fr-CA" w:eastAsia="zh-CN"/>
              </w:rPr>
            </w:pPr>
            <w:r>
              <w:rPr>
                <w:rFonts w:eastAsia="SimSun"/>
                <w:sz w:val="18"/>
                <w:szCs w:val="18"/>
                <w:lang w:val="fr-CA" w:eastAsia="zh-CN"/>
              </w:rPr>
              <w:t>Deuxième réunion des auteurs (70</w:t>
            </w:r>
            <w:r w:rsidRPr="00C84061">
              <w:rPr>
                <w:rFonts w:eastAsia="SimSun"/>
                <w:sz w:val="18"/>
                <w:szCs w:val="18"/>
                <w:lang w:val="fr-CA" w:eastAsia="zh-CN"/>
              </w:rPr>
              <w:t xml:space="preserve"> coprésidents, auteurs coordonnateurs principaux et auteurs principaux + </w:t>
            </w:r>
            <w:r>
              <w:rPr>
                <w:rFonts w:eastAsia="SimSun"/>
                <w:sz w:val="18"/>
                <w:szCs w:val="18"/>
                <w:lang w:val="fr-CA" w:eastAsia="zh-CN"/>
              </w:rPr>
              <w:t>14 </w:t>
            </w:r>
            <w:r w:rsidRPr="00C84061">
              <w:rPr>
                <w:sz w:val="18"/>
                <w:szCs w:val="18"/>
                <w:lang w:val="fr-CA"/>
              </w:rPr>
              <w:t>éditeurs-réviseurs</w:t>
            </w:r>
            <w:r>
              <w:rPr>
                <w:rFonts w:eastAsia="SimSun"/>
                <w:sz w:val="18"/>
                <w:szCs w:val="18"/>
                <w:lang w:val="fr-CA" w:eastAsia="zh-CN"/>
              </w:rPr>
              <w:t xml:space="preserve"> + </w:t>
            </w:r>
            <w:r w:rsidRPr="00C84061">
              <w:rPr>
                <w:rFonts w:eastAsia="SimSun"/>
                <w:sz w:val="18"/>
                <w:szCs w:val="18"/>
                <w:lang w:val="fr-CA" w:eastAsia="zh-CN"/>
              </w:rPr>
              <w:t>4 membres du Groupe d’experts multidisciplinaire/</w:t>
            </w:r>
            <w:r w:rsidR="001B7E8F">
              <w:rPr>
                <w:rFonts w:eastAsia="SimSun"/>
                <w:sz w:val="18"/>
                <w:szCs w:val="18"/>
                <w:lang w:val="fr-CA" w:eastAsia="zh-CN"/>
              </w:rPr>
              <w:t xml:space="preserve">membres du </w:t>
            </w:r>
            <w:r w:rsidRPr="00C84061">
              <w:rPr>
                <w:rFonts w:eastAsia="SimSun"/>
                <w:sz w:val="18"/>
                <w:szCs w:val="18"/>
                <w:lang w:val="fr-CA" w:eastAsia="zh-CN"/>
              </w:rPr>
              <w:t>Bureau + 1 agent des services d’appui technique)</w:t>
            </w:r>
          </w:p>
        </w:tc>
        <w:tc>
          <w:tcPr>
            <w:tcW w:w="3119" w:type="dxa"/>
            <w:shd w:val="clear" w:color="auto" w:fill="auto"/>
          </w:tcPr>
          <w:p w:rsidR="00B9638E" w:rsidRPr="00C84061" w:rsidRDefault="00B9638E" w:rsidP="00006227">
            <w:pPr>
              <w:pStyle w:val="Normal-pool"/>
              <w:rPr>
                <w:rFonts w:eastAsia="SimSun"/>
                <w:sz w:val="18"/>
                <w:szCs w:val="18"/>
                <w:lang w:val="fr-CA" w:eastAsia="zh-CN"/>
              </w:rPr>
            </w:pPr>
            <w:r w:rsidRPr="00C84061">
              <w:rPr>
                <w:rFonts w:eastAsia="SimSun"/>
                <w:sz w:val="18"/>
                <w:szCs w:val="18"/>
                <w:lang w:val="fr-CA" w:eastAsia="zh-CN"/>
              </w:rPr>
              <w:t>Co</w:t>
            </w:r>
            <w:r>
              <w:rPr>
                <w:rFonts w:eastAsia="SimSun"/>
                <w:sz w:val="18"/>
                <w:szCs w:val="18"/>
                <w:lang w:val="fr-CA" w:eastAsia="zh-CN"/>
              </w:rPr>
              <w:t>ûts de la réunion (1 semaine, 89</w:t>
            </w:r>
            <w:r w:rsidRPr="00C84061">
              <w:rPr>
                <w:rFonts w:eastAsia="SimSun"/>
                <w:sz w:val="18"/>
                <w:szCs w:val="18"/>
                <w:lang w:val="fr-CA" w:eastAsia="zh-CN"/>
              </w:rPr>
              <w:t> participants) (25 % en nature)</w:t>
            </w:r>
          </w:p>
        </w:tc>
        <w:tc>
          <w:tcPr>
            <w:tcW w:w="956" w:type="dxa"/>
            <w:shd w:val="clear" w:color="auto" w:fill="auto"/>
          </w:tcPr>
          <w:p w:rsidR="00B9638E" w:rsidRPr="00C84061" w:rsidRDefault="00B9638E" w:rsidP="00006227">
            <w:pPr>
              <w:pStyle w:val="Normal-pool"/>
              <w:jc w:val="right"/>
              <w:rPr>
                <w:rFonts w:eastAsia="SimSun"/>
                <w:sz w:val="18"/>
                <w:szCs w:val="18"/>
                <w:lang w:val="fr-CA" w:eastAsia="zh-CN"/>
              </w:rPr>
            </w:pPr>
            <w:r>
              <w:rPr>
                <w:rFonts w:eastAsia="SimSun"/>
                <w:sz w:val="18"/>
                <w:szCs w:val="18"/>
                <w:lang w:val="fr-CA" w:eastAsia="zh-CN"/>
              </w:rPr>
              <w:t>18 75</w:t>
            </w:r>
            <w:r w:rsidRPr="00C84061">
              <w:rPr>
                <w:rFonts w:eastAsia="SimSun"/>
                <w:sz w:val="18"/>
                <w:szCs w:val="18"/>
                <w:lang w:val="fr-CA" w:eastAsia="zh-CN"/>
              </w:rPr>
              <w:t>0</w:t>
            </w:r>
          </w:p>
        </w:tc>
      </w:tr>
      <w:tr w:rsidR="00B9638E" w:rsidRPr="00C84061" w:rsidTr="00D077C3">
        <w:trPr>
          <w:trHeight w:val="337"/>
          <w:jc w:val="right"/>
        </w:trPr>
        <w:tc>
          <w:tcPr>
            <w:tcW w:w="1054" w:type="dxa"/>
            <w:vMerge/>
            <w:shd w:val="clear" w:color="auto" w:fill="auto"/>
            <w:vAlign w:val="center"/>
          </w:tcPr>
          <w:p w:rsidR="00B9638E" w:rsidRPr="00C84061" w:rsidRDefault="00B9638E"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532" w:type="dxa"/>
            <w:vMerge/>
            <w:shd w:val="clear" w:color="auto" w:fill="auto"/>
            <w:vAlign w:val="center"/>
          </w:tcPr>
          <w:p w:rsidR="00B9638E" w:rsidRPr="00C84061" w:rsidRDefault="00B9638E"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119" w:type="dxa"/>
            <w:shd w:val="clear" w:color="auto" w:fill="auto"/>
          </w:tcPr>
          <w:p w:rsidR="00B9638E" w:rsidRPr="00C84061" w:rsidRDefault="00B9638E" w:rsidP="00006227">
            <w:pPr>
              <w:pStyle w:val="Normal-pool"/>
              <w:rPr>
                <w:rFonts w:eastAsia="SimSun"/>
                <w:sz w:val="18"/>
                <w:szCs w:val="18"/>
                <w:lang w:val="fr-CA" w:eastAsia="zh-CN"/>
              </w:rPr>
            </w:pPr>
            <w:r w:rsidRPr="00C84061">
              <w:rPr>
                <w:rFonts w:eastAsia="SimSun"/>
                <w:sz w:val="18"/>
                <w:szCs w:val="18"/>
                <w:lang w:val="fr-CA" w:eastAsia="zh-CN"/>
              </w:rPr>
              <w:t>Voyage et indemnit</w:t>
            </w:r>
            <w:r>
              <w:rPr>
                <w:rFonts w:eastAsia="SimSun"/>
                <w:sz w:val="18"/>
                <w:szCs w:val="18"/>
                <w:lang w:val="fr-CA" w:eastAsia="zh-CN"/>
              </w:rPr>
              <w:t>é journalière de subsistance (67</w:t>
            </w:r>
            <w:r w:rsidRPr="00C84061">
              <w:rPr>
                <w:rFonts w:eastAsia="SimSun"/>
                <w:sz w:val="18"/>
                <w:szCs w:val="18"/>
                <w:lang w:val="fr-CA" w:eastAsia="zh-CN"/>
              </w:rPr>
              <w:t> x 3 000 dollars)</w:t>
            </w:r>
          </w:p>
        </w:tc>
        <w:tc>
          <w:tcPr>
            <w:tcW w:w="956" w:type="dxa"/>
            <w:shd w:val="clear" w:color="auto" w:fill="auto"/>
          </w:tcPr>
          <w:p w:rsidR="00B9638E" w:rsidRPr="00C84061" w:rsidRDefault="00B9638E" w:rsidP="00006227">
            <w:pPr>
              <w:pStyle w:val="Normal-pool"/>
              <w:jc w:val="right"/>
              <w:rPr>
                <w:rFonts w:eastAsia="SimSun"/>
                <w:sz w:val="18"/>
                <w:szCs w:val="18"/>
                <w:lang w:val="fr-CA" w:eastAsia="zh-CN"/>
              </w:rPr>
            </w:pPr>
            <w:r>
              <w:rPr>
                <w:rFonts w:eastAsia="SimSun"/>
                <w:sz w:val="18"/>
                <w:szCs w:val="18"/>
                <w:lang w:val="fr-CA" w:eastAsia="zh-CN"/>
              </w:rPr>
              <w:t>201</w:t>
            </w:r>
            <w:r w:rsidRPr="00C84061">
              <w:rPr>
                <w:rFonts w:eastAsia="SimSun"/>
                <w:sz w:val="18"/>
                <w:szCs w:val="18"/>
                <w:lang w:val="fr-CA" w:eastAsia="zh-CN"/>
              </w:rPr>
              <w:t> 000</w:t>
            </w:r>
          </w:p>
        </w:tc>
      </w:tr>
      <w:tr w:rsidR="00B9638E" w:rsidRPr="00C84061" w:rsidTr="00D077C3">
        <w:trPr>
          <w:jc w:val="right"/>
        </w:trPr>
        <w:tc>
          <w:tcPr>
            <w:tcW w:w="1054" w:type="dxa"/>
            <w:vMerge/>
            <w:shd w:val="clear" w:color="auto" w:fill="auto"/>
            <w:vAlign w:val="center"/>
          </w:tcPr>
          <w:p w:rsidR="00B9638E" w:rsidRPr="00C84061" w:rsidRDefault="00B9638E"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532" w:type="dxa"/>
            <w:vMerge w:val="restart"/>
            <w:shd w:val="clear" w:color="auto" w:fill="auto"/>
            <w:vAlign w:val="center"/>
          </w:tcPr>
          <w:p w:rsidR="00B9638E" w:rsidRPr="00C84061" w:rsidRDefault="00B9638E" w:rsidP="00006227">
            <w:pPr>
              <w:pStyle w:val="Normal-pool"/>
              <w:rPr>
                <w:rFonts w:eastAsia="SimSun"/>
                <w:sz w:val="18"/>
                <w:szCs w:val="18"/>
                <w:lang w:val="fr-CA" w:eastAsia="zh-CN"/>
              </w:rPr>
            </w:pPr>
            <w:r w:rsidRPr="00C84061">
              <w:rPr>
                <w:rFonts w:eastAsia="SimSun"/>
                <w:sz w:val="18"/>
                <w:szCs w:val="18"/>
                <w:lang w:val="fr-CA" w:eastAsia="zh-CN"/>
              </w:rPr>
              <w:t>T</w:t>
            </w:r>
            <w:r>
              <w:rPr>
                <w:rFonts w:eastAsia="SimSun"/>
                <w:sz w:val="18"/>
                <w:szCs w:val="18"/>
                <w:lang w:val="fr-CA" w:eastAsia="zh-CN"/>
              </w:rPr>
              <w:t>roisième réunion des auteurs (70</w:t>
            </w:r>
            <w:r w:rsidRPr="00C84061">
              <w:rPr>
                <w:rFonts w:eastAsia="SimSun"/>
                <w:sz w:val="18"/>
                <w:szCs w:val="18"/>
                <w:lang w:val="fr-CA" w:eastAsia="zh-CN"/>
              </w:rPr>
              <w:t> coprésidents, auteurs coordonnateurs principaux et auteurs principaux</w:t>
            </w:r>
            <w:r>
              <w:rPr>
                <w:rFonts w:eastAsia="SimSun"/>
                <w:sz w:val="18"/>
                <w:szCs w:val="18"/>
                <w:lang w:val="fr-CA" w:eastAsia="zh-CN"/>
              </w:rPr>
              <w:t xml:space="preserve"> </w:t>
            </w:r>
            <w:r w:rsidRPr="00C84061">
              <w:rPr>
                <w:rFonts w:eastAsia="SimSun"/>
                <w:sz w:val="18"/>
                <w:szCs w:val="18"/>
                <w:lang w:val="fr-CA" w:eastAsia="zh-CN"/>
              </w:rPr>
              <w:t xml:space="preserve">+ </w:t>
            </w:r>
            <w:r>
              <w:rPr>
                <w:rFonts w:eastAsia="SimSun"/>
                <w:sz w:val="18"/>
                <w:szCs w:val="18"/>
                <w:lang w:val="fr-CA" w:eastAsia="zh-CN"/>
              </w:rPr>
              <w:t>14 éditeurs-réviseurs</w:t>
            </w:r>
            <w:r w:rsidRPr="00C84061">
              <w:rPr>
                <w:rFonts w:eastAsia="SimSun"/>
                <w:sz w:val="18"/>
                <w:szCs w:val="18"/>
                <w:lang w:val="fr-CA" w:eastAsia="zh-CN"/>
              </w:rPr>
              <w:t xml:space="preserve"> + 4 membres du Groupe d’experts multidisciplinaire/</w:t>
            </w:r>
            <w:r w:rsidR="001B7E8F">
              <w:rPr>
                <w:rFonts w:eastAsia="SimSun"/>
                <w:sz w:val="18"/>
                <w:szCs w:val="18"/>
                <w:lang w:val="fr-CA" w:eastAsia="zh-CN"/>
              </w:rPr>
              <w:t xml:space="preserve">membres du </w:t>
            </w:r>
            <w:r w:rsidRPr="00C84061">
              <w:rPr>
                <w:rFonts w:eastAsia="SimSun"/>
                <w:sz w:val="18"/>
                <w:szCs w:val="18"/>
                <w:lang w:val="fr-CA" w:eastAsia="zh-CN"/>
              </w:rPr>
              <w:t>Bureau + 1 agent des services d’appui technique)</w:t>
            </w:r>
          </w:p>
        </w:tc>
        <w:tc>
          <w:tcPr>
            <w:tcW w:w="3119" w:type="dxa"/>
            <w:shd w:val="clear" w:color="auto" w:fill="auto"/>
          </w:tcPr>
          <w:p w:rsidR="00B9638E" w:rsidRPr="00C84061" w:rsidRDefault="00B9638E" w:rsidP="00006227">
            <w:pPr>
              <w:pStyle w:val="Normal-pool"/>
              <w:rPr>
                <w:rFonts w:eastAsia="SimSun"/>
                <w:sz w:val="18"/>
                <w:szCs w:val="18"/>
                <w:lang w:val="fr-CA" w:eastAsia="zh-CN"/>
              </w:rPr>
            </w:pPr>
            <w:r w:rsidRPr="00C84061">
              <w:rPr>
                <w:rFonts w:eastAsia="SimSun"/>
                <w:sz w:val="18"/>
                <w:szCs w:val="18"/>
                <w:lang w:val="fr-CA" w:eastAsia="zh-CN"/>
              </w:rPr>
              <w:t>Co</w:t>
            </w:r>
            <w:r>
              <w:rPr>
                <w:rFonts w:eastAsia="SimSun"/>
                <w:sz w:val="18"/>
                <w:szCs w:val="18"/>
                <w:lang w:val="fr-CA" w:eastAsia="zh-CN"/>
              </w:rPr>
              <w:t>ûts de la réunion (1 semaine, 89</w:t>
            </w:r>
            <w:r w:rsidRPr="00C84061">
              <w:rPr>
                <w:rFonts w:eastAsia="SimSun"/>
                <w:sz w:val="18"/>
                <w:szCs w:val="18"/>
                <w:lang w:val="fr-CA" w:eastAsia="zh-CN"/>
              </w:rPr>
              <w:t> participants) (25 % en nature)</w:t>
            </w:r>
          </w:p>
        </w:tc>
        <w:tc>
          <w:tcPr>
            <w:tcW w:w="956" w:type="dxa"/>
            <w:shd w:val="clear" w:color="auto" w:fill="auto"/>
          </w:tcPr>
          <w:p w:rsidR="00B9638E" w:rsidRPr="00C84061" w:rsidRDefault="00B9638E" w:rsidP="00B1054B">
            <w:pPr>
              <w:pStyle w:val="Normal-pool"/>
              <w:jc w:val="right"/>
              <w:rPr>
                <w:rFonts w:eastAsia="SimSun"/>
                <w:sz w:val="18"/>
                <w:szCs w:val="18"/>
                <w:lang w:val="fr-CA" w:eastAsia="zh-CN"/>
              </w:rPr>
            </w:pPr>
            <w:r w:rsidRPr="00C84061">
              <w:rPr>
                <w:rFonts w:eastAsia="SimSun"/>
                <w:sz w:val="18"/>
                <w:szCs w:val="18"/>
                <w:lang w:val="fr-CA" w:eastAsia="zh-CN"/>
              </w:rPr>
              <w:t>1</w:t>
            </w:r>
            <w:r>
              <w:rPr>
                <w:rFonts w:eastAsia="SimSun"/>
                <w:sz w:val="18"/>
                <w:szCs w:val="18"/>
                <w:lang w:val="fr-CA" w:eastAsia="zh-CN"/>
              </w:rPr>
              <w:t>5 00</w:t>
            </w:r>
            <w:r w:rsidRPr="00C84061">
              <w:rPr>
                <w:rFonts w:eastAsia="SimSun"/>
                <w:sz w:val="18"/>
                <w:szCs w:val="18"/>
                <w:lang w:val="fr-CA" w:eastAsia="zh-CN"/>
              </w:rPr>
              <w:t>0</w:t>
            </w:r>
          </w:p>
        </w:tc>
      </w:tr>
      <w:tr w:rsidR="00B9638E" w:rsidRPr="00C84061" w:rsidTr="00D077C3">
        <w:trPr>
          <w:trHeight w:val="339"/>
          <w:jc w:val="right"/>
        </w:trPr>
        <w:tc>
          <w:tcPr>
            <w:tcW w:w="1054" w:type="dxa"/>
            <w:vMerge/>
            <w:shd w:val="clear" w:color="auto" w:fill="auto"/>
            <w:vAlign w:val="center"/>
          </w:tcPr>
          <w:p w:rsidR="00B9638E" w:rsidRPr="00C84061" w:rsidRDefault="00B9638E"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532" w:type="dxa"/>
            <w:vMerge/>
            <w:tcBorders>
              <w:bottom w:val="single" w:sz="4" w:space="0" w:color="auto"/>
            </w:tcBorders>
            <w:shd w:val="clear" w:color="auto" w:fill="auto"/>
            <w:vAlign w:val="center"/>
          </w:tcPr>
          <w:p w:rsidR="00B9638E" w:rsidRPr="00C84061" w:rsidRDefault="00B9638E"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119" w:type="dxa"/>
            <w:tcBorders>
              <w:bottom w:val="single" w:sz="4" w:space="0" w:color="auto"/>
            </w:tcBorders>
            <w:shd w:val="clear" w:color="auto" w:fill="auto"/>
          </w:tcPr>
          <w:p w:rsidR="00B9638E" w:rsidRPr="00C84061" w:rsidRDefault="00B9638E" w:rsidP="00006227">
            <w:pPr>
              <w:pStyle w:val="Normal-pool"/>
              <w:rPr>
                <w:rFonts w:eastAsia="SimSun"/>
                <w:sz w:val="18"/>
                <w:szCs w:val="18"/>
                <w:lang w:val="fr-CA" w:eastAsia="zh-CN"/>
              </w:rPr>
            </w:pPr>
            <w:r w:rsidRPr="00C84061">
              <w:rPr>
                <w:rFonts w:eastAsia="SimSun"/>
                <w:sz w:val="18"/>
                <w:szCs w:val="18"/>
                <w:lang w:val="fr-CA" w:eastAsia="zh-CN"/>
              </w:rPr>
              <w:t>Voyage et indemnit</w:t>
            </w:r>
            <w:r>
              <w:rPr>
                <w:rFonts w:eastAsia="SimSun"/>
                <w:sz w:val="18"/>
                <w:szCs w:val="18"/>
                <w:lang w:val="fr-CA" w:eastAsia="zh-CN"/>
              </w:rPr>
              <w:t>é journalière de subsistance (67</w:t>
            </w:r>
            <w:r w:rsidRPr="00C84061">
              <w:rPr>
                <w:rFonts w:eastAsia="SimSun"/>
                <w:sz w:val="18"/>
                <w:szCs w:val="18"/>
                <w:lang w:val="fr-CA" w:eastAsia="zh-CN"/>
              </w:rPr>
              <w:t> x 3 000 dollars)</w:t>
            </w:r>
          </w:p>
        </w:tc>
        <w:tc>
          <w:tcPr>
            <w:tcW w:w="956" w:type="dxa"/>
            <w:tcBorders>
              <w:bottom w:val="single" w:sz="4" w:space="0" w:color="auto"/>
            </w:tcBorders>
            <w:shd w:val="clear" w:color="auto" w:fill="auto"/>
          </w:tcPr>
          <w:p w:rsidR="00B9638E" w:rsidRPr="00C84061" w:rsidRDefault="00B9638E" w:rsidP="00006227">
            <w:pPr>
              <w:pStyle w:val="Normal-pool"/>
              <w:jc w:val="right"/>
              <w:rPr>
                <w:rFonts w:eastAsia="SimSun"/>
                <w:sz w:val="18"/>
                <w:szCs w:val="18"/>
                <w:lang w:val="fr-CA" w:eastAsia="zh-CN"/>
              </w:rPr>
            </w:pPr>
            <w:r>
              <w:rPr>
                <w:rFonts w:eastAsia="SimSun"/>
                <w:sz w:val="18"/>
                <w:szCs w:val="18"/>
                <w:lang w:val="fr-CA" w:eastAsia="zh-CN"/>
              </w:rPr>
              <w:t>201</w:t>
            </w:r>
            <w:r w:rsidRPr="00C84061">
              <w:rPr>
                <w:rFonts w:eastAsia="SimSun"/>
                <w:sz w:val="18"/>
                <w:szCs w:val="18"/>
                <w:lang w:val="fr-CA" w:eastAsia="zh-CN"/>
              </w:rPr>
              <w:t> 000</w:t>
            </w:r>
          </w:p>
        </w:tc>
      </w:tr>
      <w:tr w:rsidR="00B9638E" w:rsidRPr="00C84061" w:rsidTr="00D077C3">
        <w:trPr>
          <w:trHeight w:val="361"/>
          <w:jc w:val="right"/>
        </w:trPr>
        <w:tc>
          <w:tcPr>
            <w:tcW w:w="1054" w:type="dxa"/>
            <w:vMerge/>
            <w:tcBorders>
              <w:bottom w:val="single" w:sz="4" w:space="0" w:color="auto"/>
            </w:tcBorders>
            <w:shd w:val="clear" w:color="auto" w:fill="auto"/>
            <w:vAlign w:val="center"/>
          </w:tcPr>
          <w:p w:rsidR="00B9638E" w:rsidRPr="00C84061" w:rsidRDefault="00B9638E"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532" w:type="dxa"/>
            <w:shd w:val="clear" w:color="auto" w:fill="auto"/>
            <w:vAlign w:val="center"/>
          </w:tcPr>
          <w:p w:rsidR="00B9638E" w:rsidRPr="00C84061" w:rsidRDefault="00B9638E" w:rsidP="00006227">
            <w:pPr>
              <w:pStyle w:val="Normal-pool"/>
              <w:rPr>
                <w:rFonts w:eastAsia="SimSun"/>
                <w:sz w:val="18"/>
                <w:szCs w:val="18"/>
                <w:lang w:val="fr-CA" w:eastAsia="zh-CN"/>
              </w:rPr>
            </w:pPr>
            <w:r w:rsidRPr="00C84061">
              <w:rPr>
                <w:rFonts w:eastAsia="SimSun"/>
                <w:sz w:val="18"/>
                <w:szCs w:val="18"/>
                <w:lang w:val="fr-CA" w:eastAsia="zh-CN"/>
              </w:rPr>
              <w:t>Appui technique</w:t>
            </w:r>
          </w:p>
        </w:tc>
        <w:tc>
          <w:tcPr>
            <w:tcW w:w="3119" w:type="dxa"/>
            <w:shd w:val="clear" w:color="auto" w:fill="auto"/>
          </w:tcPr>
          <w:p w:rsidR="00B9638E" w:rsidRPr="00E43E42" w:rsidRDefault="00B9638E" w:rsidP="00006227">
            <w:pPr>
              <w:pStyle w:val="Normal-pool"/>
              <w:rPr>
                <w:rFonts w:eastAsia="SimSun"/>
                <w:sz w:val="18"/>
                <w:szCs w:val="18"/>
                <w:lang w:val="fr-CA" w:eastAsia="zh-CN"/>
              </w:rPr>
            </w:pPr>
            <w:r w:rsidRPr="00E43E42">
              <w:rPr>
                <w:rFonts w:eastAsia="SimSun"/>
                <w:sz w:val="18"/>
                <w:szCs w:val="18"/>
                <w:lang w:val="fr-CA" w:eastAsia="zh-CN"/>
              </w:rPr>
              <w:t>1 poste d’administrateur équivalent plein temps (50 % en nature)</w:t>
            </w:r>
          </w:p>
        </w:tc>
        <w:tc>
          <w:tcPr>
            <w:tcW w:w="956" w:type="dxa"/>
            <w:tcBorders>
              <w:bottom w:val="single" w:sz="4" w:space="0" w:color="auto"/>
            </w:tcBorders>
            <w:shd w:val="clear" w:color="auto" w:fill="auto"/>
          </w:tcPr>
          <w:p w:rsidR="00B9638E" w:rsidRPr="00C84061" w:rsidRDefault="00B9638E" w:rsidP="00006227">
            <w:pPr>
              <w:pStyle w:val="Normal-pool"/>
              <w:jc w:val="right"/>
              <w:rPr>
                <w:rFonts w:eastAsia="SimSun"/>
                <w:sz w:val="18"/>
                <w:szCs w:val="18"/>
                <w:lang w:val="fr-CA" w:eastAsia="zh-CN"/>
              </w:rPr>
            </w:pPr>
            <w:r>
              <w:rPr>
                <w:rFonts w:eastAsia="SimSun"/>
                <w:sz w:val="18"/>
                <w:szCs w:val="18"/>
                <w:lang w:val="fr-CA" w:eastAsia="zh-CN"/>
              </w:rPr>
              <w:t>75 0</w:t>
            </w:r>
            <w:r w:rsidRPr="00C84061">
              <w:rPr>
                <w:rFonts w:eastAsia="SimSun"/>
                <w:sz w:val="18"/>
                <w:szCs w:val="18"/>
                <w:lang w:val="fr-CA" w:eastAsia="zh-CN"/>
              </w:rPr>
              <w:t>00</w:t>
            </w:r>
          </w:p>
        </w:tc>
      </w:tr>
      <w:tr w:rsidR="001021EE" w:rsidRPr="00C84061" w:rsidTr="00D077C3">
        <w:trPr>
          <w:trHeight w:val="317"/>
          <w:jc w:val="right"/>
        </w:trPr>
        <w:tc>
          <w:tcPr>
            <w:tcW w:w="1054" w:type="dxa"/>
            <w:vMerge w:val="restart"/>
            <w:shd w:val="clear" w:color="auto" w:fill="auto"/>
            <w:vAlign w:val="center"/>
          </w:tcPr>
          <w:p w:rsidR="001021EE" w:rsidRPr="00C84061" w:rsidRDefault="007600E6" w:rsidP="00006227">
            <w:pPr>
              <w:pStyle w:val="Normal-pool"/>
              <w:rPr>
                <w:rFonts w:eastAsia="SimSun"/>
                <w:sz w:val="18"/>
                <w:szCs w:val="18"/>
                <w:lang w:val="fr-CA" w:eastAsia="zh-CN"/>
              </w:rPr>
            </w:pPr>
            <w:r>
              <w:rPr>
                <w:rFonts w:eastAsia="SimSun"/>
                <w:sz w:val="18"/>
                <w:szCs w:val="18"/>
                <w:lang w:val="fr-CA" w:eastAsia="zh-CN"/>
              </w:rPr>
              <w:t>2016</w:t>
            </w:r>
          </w:p>
        </w:tc>
        <w:tc>
          <w:tcPr>
            <w:tcW w:w="3532" w:type="dxa"/>
            <w:shd w:val="clear" w:color="auto" w:fill="auto"/>
            <w:vAlign w:val="center"/>
          </w:tcPr>
          <w:p w:rsidR="001021EE" w:rsidRPr="00C84061" w:rsidRDefault="001021EE" w:rsidP="007600E6">
            <w:pPr>
              <w:pStyle w:val="Normal-pool"/>
              <w:rPr>
                <w:rFonts w:eastAsia="SimSun"/>
                <w:sz w:val="18"/>
                <w:szCs w:val="18"/>
                <w:lang w:val="fr-CA" w:eastAsia="zh-CN"/>
              </w:rPr>
            </w:pPr>
            <w:r w:rsidRPr="00C84061">
              <w:rPr>
                <w:rFonts w:eastAsia="SimSun"/>
                <w:sz w:val="18"/>
                <w:szCs w:val="18"/>
                <w:lang w:val="fr-CA" w:eastAsia="zh-CN"/>
              </w:rPr>
              <w:t>Participation de deux coprésidents et de deux auteurs coordonnateurs principaux</w:t>
            </w:r>
            <w:r w:rsidR="007600E6">
              <w:rPr>
                <w:rFonts w:eastAsia="SimSun"/>
                <w:sz w:val="18"/>
                <w:szCs w:val="18"/>
                <w:lang w:val="fr-CA" w:eastAsia="zh-CN"/>
              </w:rPr>
              <w:t xml:space="preserve"> </w:t>
            </w:r>
            <w:r w:rsidR="007600E6" w:rsidRPr="00C84061">
              <w:rPr>
                <w:rFonts w:eastAsia="SimSun"/>
                <w:sz w:val="18"/>
                <w:szCs w:val="18"/>
                <w:lang w:val="fr-CA" w:eastAsia="zh-CN"/>
              </w:rPr>
              <w:t xml:space="preserve">à la </w:t>
            </w:r>
            <w:r w:rsidR="007600E6">
              <w:rPr>
                <w:rFonts w:eastAsia="SimSun"/>
                <w:sz w:val="18"/>
                <w:szCs w:val="18"/>
                <w:lang w:val="fr-CA" w:eastAsia="zh-CN"/>
              </w:rPr>
              <w:t>quatrième</w:t>
            </w:r>
            <w:r w:rsidR="007600E6" w:rsidRPr="00C84061">
              <w:rPr>
                <w:rFonts w:eastAsia="SimSun"/>
                <w:sz w:val="18"/>
                <w:szCs w:val="18"/>
                <w:lang w:val="fr-CA" w:eastAsia="zh-CN"/>
              </w:rPr>
              <w:t xml:space="preserve"> session </w:t>
            </w:r>
            <w:r w:rsidR="007600E6">
              <w:rPr>
                <w:rFonts w:eastAsia="SimSun"/>
                <w:sz w:val="18"/>
                <w:szCs w:val="18"/>
                <w:lang w:val="fr-CA" w:eastAsia="zh-CN"/>
              </w:rPr>
              <w:t>de la</w:t>
            </w:r>
            <w:r w:rsidR="007600E6" w:rsidRPr="00C84061">
              <w:rPr>
                <w:rFonts w:eastAsia="SimSun"/>
                <w:sz w:val="18"/>
                <w:szCs w:val="18"/>
                <w:lang w:val="fr-CA" w:eastAsia="zh-CN"/>
              </w:rPr>
              <w:t xml:space="preserve"> Plénière</w:t>
            </w:r>
          </w:p>
        </w:tc>
        <w:tc>
          <w:tcPr>
            <w:tcW w:w="3119" w:type="dxa"/>
            <w:shd w:val="clear" w:color="auto" w:fill="auto"/>
          </w:tcPr>
          <w:p w:rsidR="001021EE" w:rsidRPr="00C84061" w:rsidRDefault="001021EE" w:rsidP="00006227">
            <w:pPr>
              <w:pStyle w:val="Normal-pool"/>
              <w:rPr>
                <w:rFonts w:eastAsia="SimSun"/>
                <w:sz w:val="18"/>
                <w:szCs w:val="18"/>
                <w:lang w:val="fr-CA" w:eastAsia="zh-CN"/>
              </w:rPr>
            </w:pPr>
            <w:r w:rsidRPr="00C84061">
              <w:rPr>
                <w:rFonts w:eastAsia="SimSun"/>
                <w:sz w:val="18"/>
                <w:szCs w:val="18"/>
                <w:lang w:val="fr-CA" w:eastAsia="zh-CN"/>
              </w:rPr>
              <w:t>Voyage et indemnité journalière de subsistance (3 x 3 000 dollars)</w:t>
            </w:r>
          </w:p>
        </w:tc>
        <w:tc>
          <w:tcPr>
            <w:tcW w:w="956" w:type="dxa"/>
            <w:shd w:val="clear" w:color="auto" w:fill="auto"/>
          </w:tcPr>
          <w:p w:rsidR="001021EE" w:rsidRPr="00C84061" w:rsidRDefault="001021EE" w:rsidP="00006227">
            <w:pPr>
              <w:pStyle w:val="Normal-pool"/>
              <w:jc w:val="right"/>
              <w:rPr>
                <w:rFonts w:eastAsia="SimSun"/>
                <w:sz w:val="18"/>
                <w:szCs w:val="18"/>
                <w:lang w:val="fr-CA" w:eastAsia="zh-CN"/>
              </w:rPr>
            </w:pPr>
            <w:r w:rsidRPr="00C84061">
              <w:rPr>
                <w:rFonts w:eastAsia="SimSun"/>
                <w:sz w:val="18"/>
                <w:szCs w:val="18"/>
                <w:lang w:val="fr-CA" w:eastAsia="zh-CN"/>
              </w:rPr>
              <w:t>9 000</w:t>
            </w:r>
          </w:p>
        </w:tc>
      </w:tr>
      <w:tr w:rsidR="001021EE" w:rsidRPr="00C84061" w:rsidDel="001E184E" w:rsidTr="00D077C3">
        <w:trPr>
          <w:trHeight w:val="560"/>
          <w:jc w:val="right"/>
        </w:trPr>
        <w:tc>
          <w:tcPr>
            <w:tcW w:w="1054" w:type="dxa"/>
            <w:vMerge/>
            <w:shd w:val="clear" w:color="auto" w:fill="auto"/>
          </w:tcPr>
          <w:p w:rsidR="001021EE" w:rsidRPr="00C84061" w:rsidRDefault="001021EE"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532" w:type="dxa"/>
            <w:shd w:val="clear" w:color="auto" w:fill="auto"/>
          </w:tcPr>
          <w:p w:rsidR="001021EE" w:rsidRPr="00C84061" w:rsidRDefault="001021EE" w:rsidP="00EA02AA">
            <w:pPr>
              <w:pStyle w:val="Normal-pool"/>
              <w:rPr>
                <w:rFonts w:eastAsia="SimSun"/>
                <w:b/>
                <w:sz w:val="18"/>
                <w:szCs w:val="18"/>
                <w:lang w:val="fr-CA" w:eastAsia="zh-CN"/>
              </w:rPr>
            </w:pPr>
            <w:r w:rsidRPr="00C84061">
              <w:rPr>
                <w:rFonts w:eastAsia="SimSun"/>
                <w:sz w:val="18"/>
                <w:szCs w:val="18"/>
                <w:lang w:val="fr-CA" w:eastAsia="zh-CN"/>
              </w:rPr>
              <w:t xml:space="preserve">Diffusion </w:t>
            </w:r>
            <w:r w:rsidR="00EA02AA">
              <w:rPr>
                <w:rFonts w:eastAsia="SimSun"/>
                <w:sz w:val="18"/>
                <w:szCs w:val="18"/>
                <w:lang w:val="fr-CA" w:eastAsia="zh-CN"/>
              </w:rPr>
              <w:t xml:space="preserve">et </w:t>
            </w:r>
            <w:r w:rsidR="00EA02AA" w:rsidRPr="00C84061">
              <w:rPr>
                <w:rFonts w:eastAsia="SimSun"/>
                <w:sz w:val="18"/>
                <w:szCs w:val="18"/>
                <w:lang w:val="fr-CA" w:eastAsia="zh-CN"/>
              </w:rPr>
              <w:t xml:space="preserve">activités de sensibilisation </w:t>
            </w:r>
            <w:r w:rsidRPr="00C84061">
              <w:rPr>
                <w:rFonts w:eastAsia="SimSun"/>
                <w:sz w:val="18"/>
                <w:szCs w:val="18"/>
                <w:lang w:val="fr-CA" w:eastAsia="zh-CN"/>
              </w:rPr>
              <w:t xml:space="preserve">(résumé à l’intention des décideurs </w:t>
            </w:r>
            <w:r w:rsidR="00EA02AA">
              <w:rPr>
                <w:rFonts w:eastAsia="SimSun"/>
                <w:sz w:val="18"/>
                <w:szCs w:val="18"/>
                <w:lang w:val="fr-CA" w:eastAsia="zh-CN"/>
              </w:rPr>
              <w:t>(1</w:t>
            </w:r>
            <w:r w:rsidRPr="00C84061">
              <w:rPr>
                <w:rFonts w:eastAsia="SimSun"/>
                <w:sz w:val="18"/>
                <w:szCs w:val="18"/>
                <w:lang w:val="fr-CA" w:eastAsia="zh-CN"/>
              </w:rPr>
              <w:t>0 pages</w:t>
            </w:r>
            <w:r w:rsidR="00EA02AA">
              <w:rPr>
                <w:rFonts w:eastAsia="SimSun"/>
                <w:sz w:val="18"/>
                <w:szCs w:val="18"/>
                <w:lang w:val="fr-CA" w:eastAsia="zh-CN"/>
              </w:rPr>
              <w:t>) et rapport principal (200 pages</w:t>
            </w:r>
            <w:r w:rsidRPr="00C84061">
              <w:rPr>
                <w:rFonts w:eastAsia="SimSun"/>
                <w:sz w:val="18"/>
                <w:szCs w:val="18"/>
                <w:lang w:val="fr-CA" w:eastAsia="zh-CN"/>
              </w:rPr>
              <w:t xml:space="preserve">) </w:t>
            </w:r>
          </w:p>
        </w:tc>
        <w:tc>
          <w:tcPr>
            <w:tcW w:w="3119" w:type="dxa"/>
            <w:shd w:val="clear" w:color="auto" w:fill="auto"/>
          </w:tcPr>
          <w:p w:rsidR="001021EE" w:rsidRPr="00C84061" w:rsidRDefault="001021EE" w:rsidP="000E4D43">
            <w:pPr>
              <w:pStyle w:val="Normal-pool"/>
              <w:rPr>
                <w:rFonts w:eastAsia="SimSun"/>
                <w:sz w:val="18"/>
                <w:szCs w:val="18"/>
                <w:lang w:val="fr-CA" w:eastAsia="zh-CN"/>
              </w:rPr>
            </w:pPr>
            <w:r w:rsidRPr="00C84061">
              <w:rPr>
                <w:rFonts w:eastAsia="SimSun"/>
                <w:sz w:val="18"/>
                <w:szCs w:val="18"/>
                <w:lang w:val="fr-CA" w:eastAsia="zh-CN"/>
              </w:rPr>
              <w:t xml:space="preserve">Traduction du résumé à l’intention des décideurs dans </w:t>
            </w:r>
            <w:r w:rsidR="000E4D43">
              <w:rPr>
                <w:rFonts w:eastAsia="SimSun"/>
                <w:sz w:val="18"/>
                <w:szCs w:val="18"/>
                <w:lang w:val="fr-CA" w:eastAsia="zh-CN"/>
              </w:rPr>
              <w:t xml:space="preserve">toutes </w:t>
            </w:r>
            <w:r w:rsidRPr="00C84061">
              <w:rPr>
                <w:rFonts w:eastAsia="SimSun"/>
                <w:sz w:val="18"/>
                <w:szCs w:val="18"/>
                <w:lang w:val="fr-CA" w:eastAsia="zh-CN"/>
              </w:rPr>
              <w:t>les langues officielles de l’ONU, publication</w:t>
            </w:r>
            <w:r w:rsidR="002800FD">
              <w:rPr>
                <w:rFonts w:eastAsia="SimSun"/>
                <w:sz w:val="18"/>
                <w:szCs w:val="18"/>
                <w:lang w:val="fr-CA" w:eastAsia="zh-CN"/>
              </w:rPr>
              <w:t xml:space="preserve"> et</w:t>
            </w:r>
            <w:r w:rsidRPr="00C84061">
              <w:rPr>
                <w:rFonts w:eastAsia="SimSun"/>
                <w:sz w:val="18"/>
                <w:szCs w:val="18"/>
                <w:lang w:val="fr-CA" w:eastAsia="zh-CN"/>
              </w:rPr>
              <w:t xml:space="preserve"> activités de sensibilisation</w:t>
            </w:r>
          </w:p>
        </w:tc>
        <w:tc>
          <w:tcPr>
            <w:tcW w:w="956" w:type="dxa"/>
            <w:shd w:val="clear" w:color="auto" w:fill="auto"/>
          </w:tcPr>
          <w:p w:rsidR="001021EE" w:rsidRPr="00C84061" w:rsidDel="001E184E" w:rsidRDefault="001021EE" w:rsidP="00006227">
            <w:pPr>
              <w:pStyle w:val="Normal-pool"/>
              <w:jc w:val="right"/>
              <w:rPr>
                <w:rFonts w:eastAsia="SimSun"/>
                <w:sz w:val="18"/>
                <w:szCs w:val="18"/>
                <w:lang w:val="fr-CA" w:eastAsia="zh-CN"/>
              </w:rPr>
            </w:pPr>
            <w:r w:rsidRPr="00C84061">
              <w:rPr>
                <w:rFonts w:eastAsia="SimSun"/>
                <w:sz w:val="18"/>
                <w:szCs w:val="18"/>
                <w:lang w:val="fr-CA" w:eastAsia="zh-CN"/>
              </w:rPr>
              <w:t>117 000</w:t>
            </w:r>
          </w:p>
        </w:tc>
      </w:tr>
      <w:tr w:rsidR="001021EE" w:rsidRPr="00C84061" w:rsidTr="00D077C3">
        <w:trPr>
          <w:jc w:val="right"/>
        </w:trPr>
        <w:tc>
          <w:tcPr>
            <w:tcW w:w="1054" w:type="dxa"/>
            <w:shd w:val="clear" w:color="auto" w:fill="auto"/>
          </w:tcPr>
          <w:p w:rsidR="001021EE" w:rsidRPr="00C84061" w:rsidRDefault="001021EE"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b/>
                <w:sz w:val="18"/>
                <w:szCs w:val="18"/>
                <w:lang w:val="fr-CA" w:eastAsia="zh-CN"/>
              </w:rPr>
            </w:pPr>
            <w:r w:rsidRPr="00C84061">
              <w:rPr>
                <w:rFonts w:ascii="Times New Roman" w:eastAsia="SimSun" w:hAnsi="Times New Roman"/>
                <w:b/>
                <w:sz w:val="18"/>
                <w:szCs w:val="18"/>
                <w:lang w:val="fr-CA" w:eastAsia="zh-CN"/>
              </w:rPr>
              <w:t>Total</w:t>
            </w:r>
          </w:p>
        </w:tc>
        <w:tc>
          <w:tcPr>
            <w:tcW w:w="3532" w:type="dxa"/>
            <w:shd w:val="clear" w:color="auto" w:fill="auto"/>
          </w:tcPr>
          <w:p w:rsidR="001021EE" w:rsidRPr="00C84061" w:rsidRDefault="001021EE"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119" w:type="dxa"/>
            <w:shd w:val="clear" w:color="auto" w:fill="auto"/>
          </w:tcPr>
          <w:p w:rsidR="001021EE" w:rsidRPr="00C84061" w:rsidRDefault="001021EE" w:rsidP="00006227">
            <w:pPr>
              <w:pStyle w:val="ColorfulList-Accent1"/>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956" w:type="dxa"/>
            <w:shd w:val="clear" w:color="auto" w:fill="auto"/>
          </w:tcPr>
          <w:p w:rsidR="001021EE" w:rsidRPr="00C84061" w:rsidRDefault="00EA02AA" w:rsidP="00006227">
            <w:pPr>
              <w:pStyle w:val="ColorfulList-Accent1"/>
              <w:tabs>
                <w:tab w:val="left" w:pos="426"/>
              </w:tabs>
              <w:autoSpaceDE w:val="0"/>
              <w:autoSpaceDN w:val="0"/>
              <w:adjustRightInd w:val="0"/>
              <w:spacing w:before="60" w:after="60" w:line="240" w:lineRule="auto"/>
              <w:ind w:left="0"/>
              <w:contextualSpacing w:val="0"/>
              <w:jc w:val="right"/>
              <w:rPr>
                <w:rFonts w:ascii="Times New Roman" w:eastAsia="SimSun" w:hAnsi="Times New Roman"/>
                <w:b/>
                <w:sz w:val="18"/>
                <w:szCs w:val="18"/>
                <w:lang w:val="fr-CA" w:eastAsia="zh-CN"/>
              </w:rPr>
            </w:pPr>
            <w:r>
              <w:rPr>
                <w:rFonts w:ascii="Times New Roman" w:eastAsia="SimSun" w:hAnsi="Times New Roman"/>
                <w:b/>
                <w:sz w:val="18"/>
                <w:szCs w:val="18"/>
                <w:lang w:val="fr-CA" w:eastAsia="zh-CN"/>
              </w:rPr>
              <w:t>996 00</w:t>
            </w:r>
            <w:r w:rsidR="001021EE" w:rsidRPr="00C84061">
              <w:rPr>
                <w:rFonts w:ascii="Times New Roman" w:eastAsia="SimSun" w:hAnsi="Times New Roman"/>
                <w:b/>
                <w:sz w:val="18"/>
                <w:szCs w:val="18"/>
                <w:lang w:val="fr-CA" w:eastAsia="zh-CN"/>
              </w:rPr>
              <w:t>0</w:t>
            </w:r>
          </w:p>
        </w:tc>
      </w:tr>
    </w:tbl>
    <w:p w:rsidR="00EA02AA" w:rsidRDefault="00EA02AA" w:rsidP="002D0F0E">
      <w:pPr>
        <w:pStyle w:val="Normalnumber"/>
        <w:tabs>
          <w:tab w:val="left" w:pos="1247"/>
          <w:tab w:val="left" w:pos="1814"/>
          <w:tab w:val="left" w:pos="2381"/>
          <w:tab w:val="left" w:pos="2948"/>
          <w:tab w:val="left" w:pos="3515"/>
          <w:tab w:val="left" w:pos="4082"/>
        </w:tabs>
        <w:ind w:left="1247"/>
        <w:rPr>
          <w:rFonts w:cs="Calibri"/>
        </w:rPr>
      </w:pPr>
    </w:p>
    <w:p w:rsidR="00EA02AA" w:rsidRPr="00962F1F" w:rsidRDefault="00EA02AA" w:rsidP="00962F1F">
      <w:pPr>
        <w:pStyle w:val="ZZAnxheader"/>
        <w:rPr>
          <w:sz w:val="24"/>
          <w:szCs w:val="24"/>
          <w:lang w:val="en-GB"/>
        </w:rPr>
      </w:pPr>
      <w:r>
        <w:rPr>
          <w:rFonts w:cs="Calibri"/>
        </w:rPr>
        <w:br w:type="page"/>
      </w:r>
      <w:r w:rsidRPr="00962F1F">
        <w:rPr>
          <w:rFonts w:cs="Calibri"/>
          <w:sz w:val="24"/>
          <w:szCs w:val="24"/>
        </w:rPr>
        <w:lastRenderedPageBreak/>
        <w:t>Références</w:t>
      </w:r>
    </w:p>
    <w:p w:rsidR="00962F1F" w:rsidRDefault="00962F1F" w:rsidP="00962F1F">
      <w:pPr>
        <w:pStyle w:val="Normalnumber"/>
        <w:tabs>
          <w:tab w:val="left" w:pos="1247"/>
          <w:tab w:val="left" w:pos="1814"/>
          <w:tab w:val="left" w:pos="2381"/>
          <w:tab w:val="left" w:pos="2948"/>
          <w:tab w:val="left" w:pos="3515"/>
          <w:tab w:val="left" w:pos="4082"/>
        </w:tabs>
        <w:spacing w:before="360"/>
        <w:ind w:left="1247"/>
        <w:rPr>
          <w:lang w:val="en-GB"/>
        </w:rPr>
      </w:pPr>
      <w:r w:rsidRPr="00962F1F">
        <w:rPr>
          <w:rFonts w:cs="Calibri"/>
        </w:rPr>
        <w:t>Groupe de liaison sur les conventions concernant la diversité biologique</w:t>
      </w:r>
      <w:r>
        <w:rPr>
          <w:rFonts w:cs="Calibri"/>
        </w:rPr>
        <w:t xml:space="preserve">, Principes et directives </w:t>
      </w:r>
      <w:r w:rsidR="00DF0609">
        <w:rPr>
          <w:rFonts w:cs="Calibri"/>
        </w:rPr>
        <w:br/>
      </w:r>
      <w:r>
        <w:rPr>
          <w:rFonts w:cs="Calibri"/>
        </w:rPr>
        <w:t xml:space="preserve">d’Addis-Abeba, </w:t>
      </w:r>
      <w:r w:rsidR="002800FD">
        <w:rPr>
          <w:rFonts w:cs="Calibri"/>
        </w:rPr>
        <w:t>CD-ROM</w:t>
      </w:r>
      <w:r>
        <w:rPr>
          <w:rFonts w:cs="Calibri"/>
        </w:rPr>
        <w:t xml:space="preserve"> interactif. Disponible sur le site Internet :</w:t>
      </w:r>
      <w:r w:rsidRPr="00962F1F">
        <w:rPr>
          <w:lang w:val="en-GB"/>
        </w:rPr>
        <w:t xml:space="preserve"> </w:t>
      </w:r>
      <w:hyperlink r:id="rId13" w:history="1">
        <w:r w:rsidRPr="00C062F0">
          <w:rPr>
            <w:lang w:val="en-GB"/>
          </w:rPr>
          <w:t>https://www.cbd.int/doc/programmes/socio-eco/use/aagp/AAGP.zip</w:t>
        </w:r>
      </w:hyperlink>
      <w:r w:rsidRPr="00C062F0">
        <w:rPr>
          <w:lang w:val="en-GB"/>
        </w:rPr>
        <w:t>.</w:t>
      </w:r>
    </w:p>
    <w:p w:rsidR="00962F1F" w:rsidRDefault="009537C8" w:rsidP="00962F1F">
      <w:pPr>
        <w:pStyle w:val="Normalnumber"/>
        <w:tabs>
          <w:tab w:val="left" w:pos="1247"/>
          <w:tab w:val="left" w:pos="1814"/>
          <w:tab w:val="left" w:pos="2381"/>
          <w:tab w:val="left" w:pos="2948"/>
          <w:tab w:val="left" w:pos="3515"/>
          <w:tab w:val="left" w:pos="4082"/>
        </w:tabs>
        <w:ind w:left="1247"/>
      </w:pPr>
      <w:r>
        <w:rPr>
          <w:lang w:val="en-GB"/>
        </w:rPr>
        <w:t xml:space="preserve">CITES, Document CoP16 Doc. 33 (Rev.1). </w:t>
      </w:r>
      <w:r w:rsidRPr="000349D2">
        <w:t xml:space="preserve">Projet </w:t>
      </w:r>
      <w:r w:rsidR="000349D2" w:rsidRPr="000349D2">
        <w:t>d’orientation</w:t>
      </w:r>
      <w:r w:rsidRPr="000349D2">
        <w:t xml:space="preserve"> sur </w:t>
      </w:r>
      <w:r w:rsidR="000349D2">
        <w:t>les avis</w:t>
      </w:r>
      <w:r w:rsidR="000349D2" w:rsidRPr="000349D2">
        <w:t xml:space="preserve"> de commerce non préjudiciable</w:t>
      </w:r>
      <w:r w:rsidRPr="000349D2">
        <w:t xml:space="preserve">, annexe 3: </w:t>
      </w:r>
      <w:hyperlink r:id="rId14" w:history="1">
        <w:r w:rsidR="000349D2" w:rsidRPr="00DC0A02">
          <w:rPr>
            <w:rStyle w:val="Hyperlink"/>
            <w:lang w:val="fr-CA"/>
          </w:rPr>
          <w:t>http://www.cites.org/fra/cop/16/doc/F-CoP16-33.pdf</w:t>
        </w:r>
      </w:hyperlink>
      <w:r w:rsidR="000349D2">
        <w:t>.</w:t>
      </w:r>
    </w:p>
    <w:p w:rsidR="000349D2" w:rsidRDefault="00B02C61" w:rsidP="00962F1F">
      <w:pPr>
        <w:pStyle w:val="Normalnumber"/>
        <w:tabs>
          <w:tab w:val="left" w:pos="1247"/>
          <w:tab w:val="left" w:pos="1814"/>
          <w:tab w:val="left" w:pos="2381"/>
          <w:tab w:val="left" w:pos="2948"/>
          <w:tab w:val="left" w:pos="3515"/>
          <w:tab w:val="left" w:pos="4082"/>
        </w:tabs>
        <w:ind w:left="1247"/>
      </w:pPr>
      <w:r>
        <w:t xml:space="preserve">CITES, Annexes : </w:t>
      </w:r>
      <w:hyperlink r:id="rId15" w:history="1">
        <w:r w:rsidRPr="00DC0A02">
          <w:rPr>
            <w:rStyle w:val="Hyperlink"/>
            <w:lang w:val="fr-CA"/>
          </w:rPr>
          <w:t>http://www.cites.org/fra/app/appendices.php</w:t>
        </w:r>
      </w:hyperlink>
      <w:r>
        <w:t>.</w:t>
      </w:r>
    </w:p>
    <w:p w:rsidR="00B02C61" w:rsidRDefault="00B02C61" w:rsidP="00962F1F">
      <w:pPr>
        <w:pStyle w:val="Normalnumber"/>
        <w:tabs>
          <w:tab w:val="left" w:pos="1247"/>
          <w:tab w:val="left" w:pos="1814"/>
          <w:tab w:val="left" w:pos="2381"/>
          <w:tab w:val="left" w:pos="2948"/>
          <w:tab w:val="left" w:pos="3515"/>
          <w:tab w:val="left" w:pos="4082"/>
        </w:tabs>
        <w:ind w:left="1247"/>
      </w:pPr>
      <w:r>
        <w:t>CITES Résolution </w:t>
      </w:r>
      <w:r w:rsidR="003D69C4">
        <w:t>Conf.</w:t>
      </w:r>
      <w:r w:rsidR="00470122">
        <w:t> </w:t>
      </w:r>
      <w:r>
        <w:t xml:space="preserve">16.6, La CITES et les moyens d’existence, </w:t>
      </w:r>
      <w:hyperlink r:id="rId16" w:history="1">
        <w:r w:rsidR="00470122" w:rsidRPr="00DC0A02">
          <w:rPr>
            <w:rStyle w:val="Hyperlink"/>
            <w:lang w:val="fr-CA"/>
          </w:rPr>
          <w:t>http://www.cites.org/fra/res/16/16-06.php</w:t>
        </w:r>
      </w:hyperlink>
      <w:r w:rsidR="00470122">
        <w:t>.</w:t>
      </w:r>
    </w:p>
    <w:p w:rsidR="00470122" w:rsidRDefault="00470122" w:rsidP="00470122">
      <w:pPr>
        <w:pStyle w:val="Normalnumber"/>
        <w:tabs>
          <w:tab w:val="left" w:pos="1247"/>
          <w:tab w:val="left" w:pos="1814"/>
          <w:tab w:val="left" w:pos="2381"/>
          <w:tab w:val="left" w:pos="2948"/>
          <w:tab w:val="left" w:pos="3515"/>
          <w:tab w:val="left" w:pos="4082"/>
        </w:tabs>
        <w:ind w:left="1247"/>
      </w:pPr>
      <w:r>
        <w:t xml:space="preserve">CITES Résolution Conf. 16.7, Avis de commerce non préjudiciable, </w:t>
      </w:r>
      <w:r w:rsidRPr="00470122">
        <w:t>http://www.cites.org/fra/res/16/16-07.php</w:t>
      </w:r>
      <w:r>
        <w:t>.</w:t>
      </w:r>
    </w:p>
    <w:p w:rsidR="00C27D8A" w:rsidRDefault="00C27D8A" w:rsidP="00962F1F">
      <w:pPr>
        <w:pStyle w:val="Normalnumber"/>
        <w:tabs>
          <w:tab w:val="left" w:pos="1247"/>
          <w:tab w:val="left" w:pos="1814"/>
          <w:tab w:val="left" w:pos="2381"/>
          <w:tab w:val="left" w:pos="2948"/>
          <w:tab w:val="left" w:pos="3515"/>
          <w:tab w:val="left" w:pos="4082"/>
        </w:tabs>
        <w:ind w:left="1247"/>
        <w:rPr>
          <w:lang w:val="en-GB"/>
        </w:rPr>
      </w:pPr>
      <w:r w:rsidRPr="00C062F0">
        <w:rPr>
          <w:lang w:val="en-GB"/>
        </w:rPr>
        <w:t xml:space="preserve">Matthew J. Smith </w:t>
      </w:r>
      <w:r>
        <w:rPr>
          <w:lang w:val="en-GB"/>
        </w:rPr>
        <w:t>et al.</w:t>
      </w:r>
      <w:r w:rsidRPr="00C062F0">
        <w:rPr>
          <w:lang w:val="en-GB"/>
        </w:rPr>
        <w:t xml:space="preserve">, “Assessing the impacts of international trade on CITES-listed species: Current practices and opportunities for scientific research”, </w:t>
      </w:r>
      <w:r w:rsidRPr="00C062F0">
        <w:rPr>
          <w:i/>
          <w:lang w:val="en-GB"/>
        </w:rPr>
        <w:t xml:space="preserve">Biological Conservation, </w:t>
      </w:r>
      <w:r w:rsidRPr="00C062F0">
        <w:rPr>
          <w:lang w:val="en-GB"/>
        </w:rPr>
        <w:t xml:space="preserve">vol. 144, no.1 (2011), </w:t>
      </w:r>
      <w:r w:rsidR="00DF0609">
        <w:rPr>
          <w:lang w:val="en-GB"/>
        </w:rPr>
        <w:br/>
      </w:r>
      <w:r w:rsidRPr="00C062F0">
        <w:rPr>
          <w:lang w:val="en-GB"/>
        </w:rPr>
        <w:t>pp. 82–91.</w:t>
      </w:r>
    </w:p>
    <w:p w:rsidR="00567DF1" w:rsidRDefault="00567DF1" w:rsidP="00962F1F">
      <w:pPr>
        <w:pStyle w:val="Normalnumber"/>
        <w:tabs>
          <w:tab w:val="left" w:pos="1247"/>
          <w:tab w:val="left" w:pos="1814"/>
          <w:tab w:val="left" w:pos="2381"/>
          <w:tab w:val="left" w:pos="2948"/>
          <w:tab w:val="left" w:pos="3515"/>
          <w:tab w:val="left" w:pos="4082"/>
        </w:tabs>
        <w:ind w:left="1247"/>
      </w:pPr>
      <w:r>
        <w:t>Site Internet de l’a</w:t>
      </w:r>
      <w:r w:rsidRPr="00567DF1">
        <w:t xml:space="preserve">telier international </w:t>
      </w:r>
      <w:r>
        <w:t>d’experts</w:t>
      </w:r>
      <w:r w:rsidRPr="00567DF1">
        <w:t xml:space="preserve"> sur les avis</w:t>
      </w:r>
      <w:r>
        <w:t xml:space="preserve"> de commerce non préjudiciable de la CITES (Cancun, 2008) : </w:t>
      </w:r>
      <w:r w:rsidRPr="00E663E6">
        <w:t>http://www.conabio.gob.mx/institucion/cooperacion_internacional/TallerNDF/taller_ndf.html</w:t>
      </w:r>
      <w:r w:rsidR="00E663E6">
        <w:t>.</w:t>
      </w:r>
    </w:p>
    <w:p w:rsidR="00567DF1" w:rsidRDefault="00690924" w:rsidP="00962F1F">
      <w:pPr>
        <w:pStyle w:val="Normalnumber"/>
        <w:tabs>
          <w:tab w:val="left" w:pos="1247"/>
          <w:tab w:val="left" w:pos="1814"/>
          <w:tab w:val="left" w:pos="2381"/>
          <w:tab w:val="left" w:pos="2948"/>
          <w:tab w:val="left" w:pos="3515"/>
          <w:tab w:val="left" w:pos="4082"/>
        </w:tabs>
        <w:ind w:left="1247"/>
      </w:pPr>
      <w:r>
        <w:t xml:space="preserve">Mises à jour de la section des « Avis de commerce non préjudiciable » du site Internet de la CITES : </w:t>
      </w:r>
      <w:hyperlink r:id="rId17" w:history="1">
        <w:r w:rsidRPr="00DC0A02">
          <w:rPr>
            <w:rStyle w:val="Hyperlink"/>
            <w:lang w:val="fr-CA"/>
          </w:rPr>
          <w:t>http://www.cites.org/fra/prog/ndf/index.php</w:t>
        </w:r>
      </w:hyperlink>
      <w:r>
        <w:t>.</w:t>
      </w:r>
    </w:p>
    <w:p w:rsidR="00690924" w:rsidRPr="00567DF1" w:rsidRDefault="00764EA5" w:rsidP="00962F1F">
      <w:pPr>
        <w:pStyle w:val="Normalnumber"/>
        <w:tabs>
          <w:tab w:val="left" w:pos="1247"/>
          <w:tab w:val="left" w:pos="1814"/>
          <w:tab w:val="left" w:pos="2381"/>
          <w:tab w:val="left" w:pos="2948"/>
          <w:tab w:val="left" w:pos="3515"/>
          <w:tab w:val="left" w:pos="4082"/>
        </w:tabs>
        <w:ind w:left="1247"/>
      </w:pPr>
      <w:r>
        <w:t>Consortium international de lutte contre la criminalité liée aux espèces sauvages</w:t>
      </w:r>
      <w:r w:rsidR="00AA36AC">
        <w:t xml:space="preserve">, « Wildlife and forest crime analytic toolkit », disponible sur le site Internet de la CITES : </w:t>
      </w:r>
      <w:hyperlink r:id="rId18" w:history="1">
        <w:r w:rsidR="00AA36AC" w:rsidRPr="00C062F0">
          <w:rPr>
            <w:lang w:val="en-GB"/>
          </w:rPr>
          <w:t>www.cites.org/common/resources/pub/ICCWC_Toolkit_v2_english.pdf</w:t>
        </w:r>
      </w:hyperlink>
      <w:r w:rsidR="00AA36AC" w:rsidRPr="00C062F0">
        <w:rPr>
          <w:lang w:val="en-GB"/>
        </w:rPr>
        <w:t>.</w:t>
      </w:r>
    </w:p>
    <w:p w:rsidR="00C27D8A" w:rsidRPr="000349D2" w:rsidRDefault="00E12733" w:rsidP="00962F1F">
      <w:pPr>
        <w:pStyle w:val="Normalnumber"/>
        <w:tabs>
          <w:tab w:val="left" w:pos="1247"/>
          <w:tab w:val="left" w:pos="1814"/>
          <w:tab w:val="left" w:pos="2381"/>
          <w:tab w:val="left" w:pos="2948"/>
          <w:tab w:val="left" w:pos="3515"/>
          <w:tab w:val="left" w:pos="4082"/>
        </w:tabs>
        <w:ind w:left="1247"/>
      </w:pPr>
      <w:r>
        <w:t>Déclaration de Rio sur l’env</w:t>
      </w:r>
      <w:r w:rsidR="004A14FC">
        <w:t>ironnement et le développement (</w:t>
      </w:r>
      <w:r>
        <w:t>Rio de Janeiro</w:t>
      </w:r>
      <w:r w:rsidR="004A14FC">
        <w:t>)</w:t>
      </w:r>
      <w:r>
        <w:t xml:space="preserve">. </w:t>
      </w:r>
      <w:r w:rsidRPr="004A14FC">
        <w:rPr>
          <w:i/>
        </w:rPr>
        <w:t>Rapport de la Conférence des Nations Unies sur l’env</w:t>
      </w:r>
      <w:r w:rsidR="00D416CC">
        <w:rPr>
          <w:i/>
        </w:rPr>
        <w:t>ironnement et le développement (</w:t>
      </w:r>
      <w:r w:rsidRPr="004A14FC">
        <w:rPr>
          <w:i/>
        </w:rPr>
        <w:t>Rio de Janeiro</w:t>
      </w:r>
      <w:r w:rsidR="00D416CC">
        <w:rPr>
          <w:i/>
        </w:rPr>
        <w:t>)</w:t>
      </w:r>
      <w:r w:rsidRPr="004A14FC">
        <w:rPr>
          <w:i/>
        </w:rPr>
        <w:t>, 3-14 juin 1992, vol. I, Résolutions adoptées par la Conférence</w:t>
      </w:r>
      <w:r w:rsidR="00B662A4">
        <w:t xml:space="preserve"> (publication des Na</w:t>
      </w:r>
      <w:r w:rsidR="004A14FC">
        <w:t>tions Unies, numéro de vente : F</w:t>
      </w:r>
      <w:r w:rsidR="00B662A4">
        <w:t>.93.</w:t>
      </w:r>
      <w:r w:rsidR="004A14FC">
        <w:t>I.8 et rectificatif, résolution</w:t>
      </w:r>
      <w:r w:rsidR="00B662A4">
        <w:t> 1, annexe I.</w:t>
      </w:r>
    </w:p>
    <w:tbl>
      <w:tblPr>
        <w:tblW w:w="0" w:type="auto"/>
        <w:tblLook w:val="01E0" w:firstRow="1" w:lastRow="1" w:firstColumn="1" w:lastColumn="1" w:noHBand="0" w:noVBand="0"/>
      </w:tblPr>
      <w:tblGrid>
        <w:gridCol w:w="3237"/>
        <w:gridCol w:w="3237"/>
        <w:gridCol w:w="3238"/>
      </w:tblGrid>
      <w:tr w:rsidR="000A7562" w:rsidRPr="00C84061" w:rsidTr="00E863CA">
        <w:tc>
          <w:tcPr>
            <w:tcW w:w="3237" w:type="dxa"/>
          </w:tcPr>
          <w:p w:rsidR="000A7562" w:rsidRPr="00C84061" w:rsidRDefault="000A7562" w:rsidP="00D650CD">
            <w:pPr>
              <w:pStyle w:val="Normal-pool"/>
              <w:rPr>
                <w:lang w:val="fr-CA"/>
              </w:rPr>
            </w:pPr>
          </w:p>
        </w:tc>
        <w:tc>
          <w:tcPr>
            <w:tcW w:w="3237" w:type="dxa"/>
            <w:tcBorders>
              <w:bottom w:val="single" w:sz="4" w:space="0" w:color="auto"/>
            </w:tcBorders>
          </w:tcPr>
          <w:p w:rsidR="000A7562" w:rsidRPr="00C84061" w:rsidRDefault="000A7562" w:rsidP="00D650CD">
            <w:pPr>
              <w:pStyle w:val="Normal-pool"/>
              <w:rPr>
                <w:lang w:val="fr-CA"/>
              </w:rPr>
            </w:pPr>
          </w:p>
        </w:tc>
        <w:tc>
          <w:tcPr>
            <w:tcW w:w="3238" w:type="dxa"/>
          </w:tcPr>
          <w:p w:rsidR="000A7562" w:rsidRPr="00C84061" w:rsidRDefault="000A7562" w:rsidP="00D650CD">
            <w:pPr>
              <w:pStyle w:val="Normal-pool"/>
              <w:rPr>
                <w:lang w:val="fr-CA"/>
              </w:rPr>
            </w:pPr>
          </w:p>
        </w:tc>
      </w:tr>
    </w:tbl>
    <w:p w:rsidR="000A7562" w:rsidRPr="00C84061" w:rsidRDefault="000A7562" w:rsidP="00D650CD">
      <w:pPr>
        <w:pStyle w:val="Normal-pool"/>
        <w:rPr>
          <w:lang w:val="fr-CA"/>
        </w:rPr>
      </w:pPr>
    </w:p>
    <w:sectPr w:rsidR="000A7562" w:rsidRPr="00C84061" w:rsidSect="00896512">
      <w:headerReference w:type="even" r:id="rId19"/>
      <w:headerReference w:type="default" r:id="rId20"/>
      <w:footerReference w:type="even" r:id="rId21"/>
      <w:footerReference w:type="default" r:id="rId22"/>
      <w:headerReference w:type="first" r:id="rId23"/>
      <w:footerReference w:type="first" r:id="rId24"/>
      <w:pgSz w:w="12240" w:h="15840" w:code="1"/>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0C" w:rsidRDefault="001A320C" w:rsidP="000A7562">
      <w:r>
        <w:separator/>
      </w:r>
    </w:p>
  </w:endnote>
  <w:endnote w:type="continuationSeparator" w:id="0">
    <w:p w:rsidR="001A320C" w:rsidRDefault="001A320C" w:rsidP="000A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41" w:rsidRPr="00896512" w:rsidRDefault="00A90F41">
    <w:pPr>
      <w:pStyle w:val="Footer"/>
      <w:rPr>
        <w:b/>
        <w:szCs w:val="18"/>
      </w:rPr>
    </w:pPr>
    <w:r w:rsidRPr="00896512">
      <w:rPr>
        <w:b/>
        <w:szCs w:val="18"/>
      </w:rPr>
      <w:fldChar w:fldCharType="begin"/>
    </w:r>
    <w:r w:rsidRPr="00896512">
      <w:rPr>
        <w:b/>
        <w:szCs w:val="18"/>
      </w:rPr>
      <w:instrText xml:space="preserve"> PAGE   \* MERGEFORMAT </w:instrText>
    </w:r>
    <w:r w:rsidRPr="00896512">
      <w:rPr>
        <w:b/>
        <w:szCs w:val="18"/>
      </w:rPr>
      <w:fldChar w:fldCharType="separate"/>
    </w:r>
    <w:r w:rsidR="0046341A">
      <w:rPr>
        <w:b/>
        <w:noProof/>
        <w:szCs w:val="18"/>
      </w:rPr>
      <w:t>6</w:t>
    </w:r>
    <w:r w:rsidRPr="00896512">
      <w:rPr>
        <w:b/>
        <w:noProof/>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41" w:rsidRPr="00896512" w:rsidRDefault="00A90F41" w:rsidP="00896512">
    <w:pPr>
      <w:pStyle w:val="Footer"/>
      <w:jc w:val="right"/>
      <w:rPr>
        <w:b/>
      </w:rPr>
    </w:pPr>
    <w:r w:rsidRPr="00896512">
      <w:rPr>
        <w:b/>
      </w:rPr>
      <w:fldChar w:fldCharType="begin"/>
    </w:r>
    <w:r w:rsidRPr="00896512">
      <w:rPr>
        <w:b/>
      </w:rPr>
      <w:instrText xml:space="preserve"> PAGE   \* MERGEFORMAT </w:instrText>
    </w:r>
    <w:r w:rsidRPr="00896512">
      <w:rPr>
        <w:b/>
      </w:rPr>
      <w:fldChar w:fldCharType="separate"/>
    </w:r>
    <w:r w:rsidR="0046341A">
      <w:rPr>
        <w:b/>
        <w:noProof/>
      </w:rPr>
      <w:t>5</w:t>
    </w:r>
    <w:r w:rsidRPr="00896512">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41" w:rsidRDefault="00A90F41" w:rsidP="00901758">
    <w:pPr>
      <w:pStyle w:val="Footer"/>
      <w:tabs>
        <w:tab w:val="clear" w:pos="4320"/>
        <w:tab w:val="clear" w:pos="8640"/>
        <w:tab w:val="left" w:pos="624"/>
      </w:tabs>
    </w:pPr>
    <w:r>
      <w:t>K1353335</w:t>
    </w:r>
    <w:r>
      <w:tab/>
    </w:r>
    <w:r w:rsidR="004A0608">
      <w:t>0511</w:t>
    </w: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0C" w:rsidRDefault="001A320C" w:rsidP="00D650CD">
      <w:pPr>
        <w:spacing w:after="120"/>
        <w:ind w:left="624"/>
      </w:pPr>
      <w:r>
        <w:separator/>
      </w:r>
    </w:p>
  </w:footnote>
  <w:footnote w:type="continuationSeparator" w:id="0">
    <w:p w:rsidR="001A320C" w:rsidRDefault="001A320C" w:rsidP="000A7562">
      <w:r>
        <w:continuationSeparator/>
      </w:r>
    </w:p>
  </w:footnote>
  <w:footnote w:id="1">
    <w:p w:rsidR="00A90F41" w:rsidRPr="00D650CD" w:rsidRDefault="00A90F41" w:rsidP="000A7562">
      <w:pPr>
        <w:pStyle w:val="FootnoteText"/>
        <w:rPr>
          <w:szCs w:val="18"/>
          <w:lang w:val="en-US"/>
        </w:rPr>
      </w:pPr>
      <w:r w:rsidRPr="00D650CD">
        <w:rPr>
          <w:rStyle w:val="FootnoteReference"/>
          <w:sz w:val="18"/>
        </w:rPr>
        <w:sym w:font="Symbol" w:char="F02A"/>
      </w:r>
      <w:r w:rsidRPr="00D650CD">
        <w:rPr>
          <w:szCs w:val="18"/>
        </w:rPr>
        <w:t xml:space="preserve"> IPBES/</w:t>
      </w:r>
      <w:r w:rsidRPr="00D650CD">
        <w:rPr>
          <w:szCs w:val="18"/>
          <w:lang w:eastAsia="ja-JP"/>
        </w:rPr>
        <w:t>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41" w:rsidRPr="000A7562" w:rsidRDefault="00A90F41">
    <w:pPr>
      <w:pStyle w:val="Header"/>
      <w:rPr>
        <w:szCs w:val="18"/>
      </w:rPr>
    </w:pPr>
    <w:r w:rsidRPr="000A7562">
      <w:rPr>
        <w:szCs w:val="18"/>
      </w:rPr>
      <w:t>IPBES</w:t>
    </w:r>
    <w:r w:rsidRPr="000A7562">
      <w:rPr>
        <w:szCs w:val="18"/>
        <w:lang w:eastAsia="ja-JP"/>
      </w:rPr>
      <w:t>/2/</w:t>
    </w:r>
    <w:r>
      <w:rPr>
        <w:szCs w:val="18"/>
        <w:lang w:eastAsia="ja-JP"/>
      </w:rPr>
      <w:t>16/Add.6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41" w:rsidRPr="00901758" w:rsidRDefault="00A90F41" w:rsidP="00901758">
    <w:pPr>
      <w:pStyle w:val="Header"/>
      <w:jc w:val="right"/>
      <w:rPr>
        <w:szCs w:val="18"/>
      </w:rPr>
    </w:pPr>
    <w:r w:rsidRPr="000A7562">
      <w:rPr>
        <w:szCs w:val="18"/>
      </w:rPr>
      <w:t>IPBES</w:t>
    </w:r>
    <w:r>
      <w:rPr>
        <w:szCs w:val="18"/>
        <w:lang w:eastAsia="ja-JP"/>
      </w:rPr>
      <w:t>/2/16/Add.6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41" w:rsidRDefault="00A90F41" w:rsidP="0089651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A43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13C5C"/>
    <w:multiLevelType w:val="hybridMultilevel"/>
    <w:tmpl w:val="B570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90EE5"/>
    <w:multiLevelType w:val="hybridMultilevel"/>
    <w:tmpl w:val="2864F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445B21D1"/>
    <w:multiLevelType w:val="hybridMultilevel"/>
    <w:tmpl w:val="A3BE4A60"/>
    <w:lvl w:ilvl="0" w:tplc="D7AED58A">
      <w:start w:val="1"/>
      <w:numFmt w:val="lowerLetter"/>
      <w:lvlText w:val="%1)"/>
      <w:lvlJc w:val="left"/>
      <w:pPr>
        <w:ind w:left="2387" w:hanging="5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6">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5A663407"/>
    <w:multiLevelType w:val="multilevel"/>
    <w:tmpl w:val="F4ACF36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62291BF8"/>
    <w:multiLevelType w:val="multilevel"/>
    <w:tmpl w:val="F4ACF36E"/>
    <w:numStyleLink w:val="Normallist"/>
  </w:abstractNum>
  <w:num w:numId="1">
    <w:abstractNumId w:val="3"/>
  </w:num>
  <w:num w:numId="2">
    <w:abstractNumId w:val="4"/>
  </w:num>
  <w:num w:numId="3">
    <w:abstractNumId w:val="6"/>
  </w:num>
  <w:num w:numId="4">
    <w:abstractNumId w:val="8"/>
  </w:num>
  <w:num w:numId="5">
    <w:abstractNumId w:val="3"/>
  </w:num>
  <w:num w:numId="6">
    <w:abstractNumId w:val="4"/>
  </w:num>
  <w:num w:numId="7">
    <w:abstractNumId w:val="6"/>
  </w:num>
  <w:num w:numId="8">
    <w:abstractNumId w:val="8"/>
  </w:num>
  <w:num w:numId="9">
    <w:abstractNumId w:val="2"/>
  </w:num>
  <w:num w:numId="10">
    <w:abstractNumId w:val="1"/>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62"/>
    <w:rsid w:val="00005783"/>
    <w:rsid w:val="00006227"/>
    <w:rsid w:val="00011C9F"/>
    <w:rsid w:val="00021B3F"/>
    <w:rsid w:val="000349D2"/>
    <w:rsid w:val="00035FB9"/>
    <w:rsid w:val="000368B6"/>
    <w:rsid w:val="000453D4"/>
    <w:rsid w:val="00047ED8"/>
    <w:rsid w:val="00053C64"/>
    <w:rsid w:val="0006160B"/>
    <w:rsid w:val="00063CBC"/>
    <w:rsid w:val="00065DE1"/>
    <w:rsid w:val="00070C08"/>
    <w:rsid w:val="00071287"/>
    <w:rsid w:val="00074393"/>
    <w:rsid w:val="00091D4B"/>
    <w:rsid w:val="00092451"/>
    <w:rsid w:val="000A45F9"/>
    <w:rsid w:val="000A7562"/>
    <w:rsid w:val="000B7CDC"/>
    <w:rsid w:val="000E46DB"/>
    <w:rsid w:val="000E4D43"/>
    <w:rsid w:val="000F30FD"/>
    <w:rsid w:val="000F7034"/>
    <w:rsid w:val="001021EE"/>
    <w:rsid w:val="00111487"/>
    <w:rsid w:val="0013014F"/>
    <w:rsid w:val="00157639"/>
    <w:rsid w:val="00171581"/>
    <w:rsid w:val="00172CC5"/>
    <w:rsid w:val="00180E96"/>
    <w:rsid w:val="001931F8"/>
    <w:rsid w:val="001951AA"/>
    <w:rsid w:val="00197AE5"/>
    <w:rsid w:val="001A315B"/>
    <w:rsid w:val="001A320C"/>
    <w:rsid w:val="001A5079"/>
    <w:rsid w:val="001B7E8F"/>
    <w:rsid w:val="001C5E56"/>
    <w:rsid w:val="001D3BBE"/>
    <w:rsid w:val="001E291A"/>
    <w:rsid w:val="001E3CAA"/>
    <w:rsid w:val="001E4172"/>
    <w:rsid w:val="001E7727"/>
    <w:rsid w:val="001F6691"/>
    <w:rsid w:val="001F730C"/>
    <w:rsid w:val="0020651F"/>
    <w:rsid w:val="00207780"/>
    <w:rsid w:val="00240259"/>
    <w:rsid w:val="00240C7F"/>
    <w:rsid w:val="00246E85"/>
    <w:rsid w:val="00253717"/>
    <w:rsid w:val="0025595A"/>
    <w:rsid w:val="00265356"/>
    <w:rsid w:val="00266500"/>
    <w:rsid w:val="00267A16"/>
    <w:rsid w:val="0027154C"/>
    <w:rsid w:val="0027208A"/>
    <w:rsid w:val="002800FD"/>
    <w:rsid w:val="00283688"/>
    <w:rsid w:val="002863FB"/>
    <w:rsid w:val="002C3E4B"/>
    <w:rsid w:val="002C5E71"/>
    <w:rsid w:val="002D0F0E"/>
    <w:rsid w:val="002D16D3"/>
    <w:rsid w:val="002D76D2"/>
    <w:rsid w:val="002F3599"/>
    <w:rsid w:val="002F3B23"/>
    <w:rsid w:val="002F5C61"/>
    <w:rsid w:val="00302001"/>
    <w:rsid w:val="00303514"/>
    <w:rsid w:val="0031022F"/>
    <w:rsid w:val="0031744A"/>
    <w:rsid w:val="00323164"/>
    <w:rsid w:val="00324A4B"/>
    <w:rsid w:val="00327C42"/>
    <w:rsid w:val="00335218"/>
    <w:rsid w:val="00343DA2"/>
    <w:rsid w:val="003476A4"/>
    <w:rsid w:val="00351C32"/>
    <w:rsid w:val="003629D0"/>
    <w:rsid w:val="00363BE3"/>
    <w:rsid w:val="00373895"/>
    <w:rsid w:val="00385651"/>
    <w:rsid w:val="003929C6"/>
    <w:rsid w:val="003B34B4"/>
    <w:rsid w:val="003B7504"/>
    <w:rsid w:val="003C3321"/>
    <w:rsid w:val="003D01F5"/>
    <w:rsid w:val="003D1C2C"/>
    <w:rsid w:val="003D69C4"/>
    <w:rsid w:val="003E5292"/>
    <w:rsid w:val="003E76F0"/>
    <w:rsid w:val="003F2572"/>
    <w:rsid w:val="004016CB"/>
    <w:rsid w:val="00412B0B"/>
    <w:rsid w:val="004216E0"/>
    <w:rsid w:val="004319F0"/>
    <w:rsid w:val="0043506B"/>
    <w:rsid w:val="004368B0"/>
    <w:rsid w:val="00440599"/>
    <w:rsid w:val="00441480"/>
    <w:rsid w:val="0044188E"/>
    <w:rsid w:val="00444484"/>
    <w:rsid w:val="00450B7A"/>
    <w:rsid w:val="00453F2C"/>
    <w:rsid w:val="0046341A"/>
    <w:rsid w:val="00467E7E"/>
    <w:rsid w:val="00470122"/>
    <w:rsid w:val="00470C7F"/>
    <w:rsid w:val="00471DDC"/>
    <w:rsid w:val="004734FD"/>
    <w:rsid w:val="00473B66"/>
    <w:rsid w:val="00481C24"/>
    <w:rsid w:val="00484F3F"/>
    <w:rsid w:val="0048694B"/>
    <w:rsid w:val="00490004"/>
    <w:rsid w:val="004930B7"/>
    <w:rsid w:val="004A0608"/>
    <w:rsid w:val="004A14FC"/>
    <w:rsid w:val="004A36F0"/>
    <w:rsid w:val="004A45A8"/>
    <w:rsid w:val="004A6B59"/>
    <w:rsid w:val="004B32BD"/>
    <w:rsid w:val="004C2D15"/>
    <w:rsid w:val="004C5FE6"/>
    <w:rsid w:val="004D0E01"/>
    <w:rsid w:val="004D56F0"/>
    <w:rsid w:val="004E6453"/>
    <w:rsid w:val="004E7158"/>
    <w:rsid w:val="004E7321"/>
    <w:rsid w:val="004F0BA2"/>
    <w:rsid w:val="004F20E9"/>
    <w:rsid w:val="005043BF"/>
    <w:rsid w:val="005074D5"/>
    <w:rsid w:val="00507914"/>
    <w:rsid w:val="005152CB"/>
    <w:rsid w:val="00526892"/>
    <w:rsid w:val="00531543"/>
    <w:rsid w:val="00537592"/>
    <w:rsid w:val="005534CC"/>
    <w:rsid w:val="00562CFE"/>
    <w:rsid w:val="00567DF1"/>
    <w:rsid w:val="00573A63"/>
    <w:rsid w:val="00575159"/>
    <w:rsid w:val="0057597B"/>
    <w:rsid w:val="005818CC"/>
    <w:rsid w:val="00585127"/>
    <w:rsid w:val="005943B1"/>
    <w:rsid w:val="005A4E0C"/>
    <w:rsid w:val="005A66F6"/>
    <w:rsid w:val="005B2E83"/>
    <w:rsid w:val="005B3195"/>
    <w:rsid w:val="005B3257"/>
    <w:rsid w:val="005B3ED0"/>
    <w:rsid w:val="005B3F5F"/>
    <w:rsid w:val="005D307B"/>
    <w:rsid w:val="005D7F6C"/>
    <w:rsid w:val="005F658E"/>
    <w:rsid w:val="00600443"/>
    <w:rsid w:val="006109D5"/>
    <w:rsid w:val="0061521A"/>
    <w:rsid w:val="006170F5"/>
    <w:rsid w:val="00617418"/>
    <w:rsid w:val="006206DA"/>
    <w:rsid w:val="006230CB"/>
    <w:rsid w:val="00626151"/>
    <w:rsid w:val="00626212"/>
    <w:rsid w:val="00627711"/>
    <w:rsid w:val="00627EF6"/>
    <w:rsid w:val="00631ECE"/>
    <w:rsid w:val="00632100"/>
    <w:rsid w:val="00632293"/>
    <w:rsid w:val="00633628"/>
    <w:rsid w:val="00633DC8"/>
    <w:rsid w:val="00634BEB"/>
    <w:rsid w:val="0064461D"/>
    <w:rsid w:val="006539EC"/>
    <w:rsid w:val="00654D41"/>
    <w:rsid w:val="00655818"/>
    <w:rsid w:val="00664400"/>
    <w:rsid w:val="006667C0"/>
    <w:rsid w:val="00680249"/>
    <w:rsid w:val="00682FE8"/>
    <w:rsid w:val="00690924"/>
    <w:rsid w:val="006B34F2"/>
    <w:rsid w:val="006D6717"/>
    <w:rsid w:val="006D7D2F"/>
    <w:rsid w:val="006E237B"/>
    <w:rsid w:val="006E5A69"/>
    <w:rsid w:val="006E7930"/>
    <w:rsid w:val="006F2485"/>
    <w:rsid w:val="007025F9"/>
    <w:rsid w:val="00712F17"/>
    <w:rsid w:val="00722B6B"/>
    <w:rsid w:val="00723F5C"/>
    <w:rsid w:val="00741DF7"/>
    <w:rsid w:val="00742AFD"/>
    <w:rsid w:val="00747B61"/>
    <w:rsid w:val="00752166"/>
    <w:rsid w:val="007525B0"/>
    <w:rsid w:val="00753FFD"/>
    <w:rsid w:val="00755780"/>
    <w:rsid w:val="007600E6"/>
    <w:rsid w:val="00764EA5"/>
    <w:rsid w:val="00766558"/>
    <w:rsid w:val="00773C5E"/>
    <w:rsid w:val="00787076"/>
    <w:rsid w:val="007873F6"/>
    <w:rsid w:val="00787C67"/>
    <w:rsid w:val="00791BC3"/>
    <w:rsid w:val="00793CCC"/>
    <w:rsid w:val="00794E88"/>
    <w:rsid w:val="007A073A"/>
    <w:rsid w:val="007A2C8F"/>
    <w:rsid w:val="007A2FB8"/>
    <w:rsid w:val="007B17E9"/>
    <w:rsid w:val="007B3E21"/>
    <w:rsid w:val="007B41CD"/>
    <w:rsid w:val="007B71CD"/>
    <w:rsid w:val="007C0FAE"/>
    <w:rsid w:val="007C2B19"/>
    <w:rsid w:val="007D6772"/>
    <w:rsid w:val="007F1F4B"/>
    <w:rsid w:val="007F3B46"/>
    <w:rsid w:val="008252E4"/>
    <w:rsid w:val="00831447"/>
    <w:rsid w:val="008334EC"/>
    <w:rsid w:val="008346D3"/>
    <w:rsid w:val="008370D2"/>
    <w:rsid w:val="008377C0"/>
    <w:rsid w:val="00843540"/>
    <w:rsid w:val="008452C3"/>
    <w:rsid w:val="008463F7"/>
    <w:rsid w:val="0085000E"/>
    <w:rsid w:val="00852380"/>
    <w:rsid w:val="00855BAF"/>
    <w:rsid w:val="00881CFA"/>
    <w:rsid w:val="00885489"/>
    <w:rsid w:val="0088633A"/>
    <w:rsid w:val="00896001"/>
    <w:rsid w:val="00896512"/>
    <w:rsid w:val="008A3671"/>
    <w:rsid w:val="008B0C31"/>
    <w:rsid w:val="008B3805"/>
    <w:rsid w:val="008B3FEB"/>
    <w:rsid w:val="008D32BF"/>
    <w:rsid w:val="008E4DF4"/>
    <w:rsid w:val="008E5128"/>
    <w:rsid w:val="008E7B8F"/>
    <w:rsid w:val="008F53EC"/>
    <w:rsid w:val="00901758"/>
    <w:rsid w:val="00902424"/>
    <w:rsid w:val="009027FC"/>
    <w:rsid w:val="0090799A"/>
    <w:rsid w:val="00916EFE"/>
    <w:rsid w:val="0092071D"/>
    <w:rsid w:val="00943A04"/>
    <w:rsid w:val="00945A16"/>
    <w:rsid w:val="009537C8"/>
    <w:rsid w:val="009565EB"/>
    <w:rsid w:val="00960C85"/>
    <w:rsid w:val="00961365"/>
    <w:rsid w:val="00961E44"/>
    <w:rsid w:val="00962F1F"/>
    <w:rsid w:val="0098191C"/>
    <w:rsid w:val="009A07F6"/>
    <w:rsid w:val="009A2222"/>
    <w:rsid w:val="009A7227"/>
    <w:rsid w:val="009B6640"/>
    <w:rsid w:val="009B76CD"/>
    <w:rsid w:val="009D08D6"/>
    <w:rsid w:val="009D1CA4"/>
    <w:rsid w:val="009D2EE2"/>
    <w:rsid w:val="00A00D38"/>
    <w:rsid w:val="00A06298"/>
    <w:rsid w:val="00A10056"/>
    <w:rsid w:val="00A122E8"/>
    <w:rsid w:val="00A141A5"/>
    <w:rsid w:val="00A163B9"/>
    <w:rsid w:val="00A166A7"/>
    <w:rsid w:val="00A16E6A"/>
    <w:rsid w:val="00A61D9E"/>
    <w:rsid w:val="00A7237F"/>
    <w:rsid w:val="00A74511"/>
    <w:rsid w:val="00A81DBA"/>
    <w:rsid w:val="00A90F41"/>
    <w:rsid w:val="00A942CC"/>
    <w:rsid w:val="00AA36AC"/>
    <w:rsid w:val="00AC1193"/>
    <w:rsid w:val="00AC3573"/>
    <w:rsid w:val="00AC5AB9"/>
    <w:rsid w:val="00AC6730"/>
    <w:rsid w:val="00AD10C7"/>
    <w:rsid w:val="00AD1C53"/>
    <w:rsid w:val="00AF55C7"/>
    <w:rsid w:val="00AF5749"/>
    <w:rsid w:val="00AF63E2"/>
    <w:rsid w:val="00B0209C"/>
    <w:rsid w:val="00B02C61"/>
    <w:rsid w:val="00B1054B"/>
    <w:rsid w:val="00B114E9"/>
    <w:rsid w:val="00B130F3"/>
    <w:rsid w:val="00B1732F"/>
    <w:rsid w:val="00B30814"/>
    <w:rsid w:val="00B36F35"/>
    <w:rsid w:val="00B53EA6"/>
    <w:rsid w:val="00B54516"/>
    <w:rsid w:val="00B55D0B"/>
    <w:rsid w:val="00B57621"/>
    <w:rsid w:val="00B61440"/>
    <w:rsid w:val="00B646EA"/>
    <w:rsid w:val="00B662A4"/>
    <w:rsid w:val="00B67D71"/>
    <w:rsid w:val="00B75766"/>
    <w:rsid w:val="00B8081B"/>
    <w:rsid w:val="00B843AA"/>
    <w:rsid w:val="00B85BD2"/>
    <w:rsid w:val="00B8665D"/>
    <w:rsid w:val="00B94524"/>
    <w:rsid w:val="00B9638E"/>
    <w:rsid w:val="00BA39B4"/>
    <w:rsid w:val="00BB3E70"/>
    <w:rsid w:val="00BB507E"/>
    <w:rsid w:val="00BC534D"/>
    <w:rsid w:val="00BD261D"/>
    <w:rsid w:val="00BD2BB3"/>
    <w:rsid w:val="00BE23E8"/>
    <w:rsid w:val="00C10287"/>
    <w:rsid w:val="00C15AAE"/>
    <w:rsid w:val="00C16B28"/>
    <w:rsid w:val="00C2534F"/>
    <w:rsid w:val="00C27D8A"/>
    <w:rsid w:val="00C4580B"/>
    <w:rsid w:val="00C4724B"/>
    <w:rsid w:val="00C66FCC"/>
    <w:rsid w:val="00C70F15"/>
    <w:rsid w:val="00C7529C"/>
    <w:rsid w:val="00C7622D"/>
    <w:rsid w:val="00C76BA3"/>
    <w:rsid w:val="00C84061"/>
    <w:rsid w:val="00C846FE"/>
    <w:rsid w:val="00C92465"/>
    <w:rsid w:val="00CA5FC2"/>
    <w:rsid w:val="00CA736B"/>
    <w:rsid w:val="00CB069E"/>
    <w:rsid w:val="00CB554F"/>
    <w:rsid w:val="00CC0E9D"/>
    <w:rsid w:val="00CC1C7D"/>
    <w:rsid w:val="00CC1D4D"/>
    <w:rsid w:val="00CD3386"/>
    <w:rsid w:val="00CD3C21"/>
    <w:rsid w:val="00CD639A"/>
    <w:rsid w:val="00CE2331"/>
    <w:rsid w:val="00CE6081"/>
    <w:rsid w:val="00CF7116"/>
    <w:rsid w:val="00CF7B3D"/>
    <w:rsid w:val="00D028F9"/>
    <w:rsid w:val="00D039C7"/>
    <w:rsid w:val="00D04DD3"/>
    <w:rsid w:val="00D0552F"/>
    <w:rsid w:val="00D077C3"/>
    <w:rsid w:val="00D10549"/>
    <w:rsid w:val="00D2372A"/>
    <w:rsid w:val="00D256B1"/>
    <w:rsid w:val="00D26C4B"/>
    <w:rsid w:val="00D2794D"/>
    <w:rsid w:val="00D40ECF"/>
    <w:rsid w:val="00D416CC"/>
    <w:rsid w:val="00D5309A"/>
    <w:rsid w:val="00D55E8F"/>
    <w:rsid w:val="00D56A81"/>
    <w:rsid w:val="00D650CD"/>
    <w:rsid w:val="00D70C4A"/>
    <w:rsid w:val="00D70E44"/>
    <w:rsid w:val="00D712AD"/>
    <w:rsid w:val="00D9188D"/>
    <w:rsid w:val="00D94C6A"/>
    <w:rsid w:val="00D94EB9"/>
    <w:rsid w:val="00D9695A"/>
    <w:rsid w:val="00DB10E7"/>
    <w:rsid w:val="00DB52A4"/>
    <w:rsid w:val="00DC20F6"/>
    <w:rsid w:val="00DC3CB1"/>
    <w:rsid w:val="00DC4836"/>
    <w:rsid w:val="00DD08E8"/>
    <w:rsid w:val="00DF0609"/>
    <w:rsid w:val="00DF1D16"/>
    <w:rsid w:val="00DF59AD"/>
    <w:rsid w:val="00E00D64"/>
    <w:rsid w:val="00E03F26"/>
    <w:rsid w:val="00E06785"/>
    <w:rsid w:val="00E07047"/>
    <w:rsid w:val="00E079C1"/>
    <w:rsid w:val="00E12733"/>
    <w:rsid w:val="00E128C5"/>
    <w:rsid w:val="00E215ED"/>
    <w:rsid w:val="00E21DB6"/>
    <w:rsid w:val="00E43E42"/>
    <w:rsid w:val="00E543E5"/>
    <w:rsid w:val="00E65C86"/>
    <w:rsid w:val="00E661F0"/>
    <w:rsid w:val="00E663E6"/>
    <w:rsid w:val="00E7623E"/>
    <w:rsid w:val="00E800D0"/>
    <w:rsid w:val="00E83FFE"/>
    <w:rsid w:val="00E863CA"/>
    <w:rsid w:val="00E871E5"/>
    <w:rsid w:val="00E91A98"/>
    <w:rsid w:val="00E94A43"/>
    <w:rsid w:val="00EA02AA"/>
    <w:rsid w:val="00EA0A54"/>
    <w:rsid w:val="00EB4011"/>
    <w:rsid w:val="00EC1249"/>
    <w:rsid w:val="00EC4FC0"/>
    <w:rsid w:val="00ED5135"/>
    <w:rsid w:val="00ED7C05"/>
    <w:rsid w:val="00EE057F"/>
    <w:rsid w:val="00EE2A6D"/>
    <w:rsid w:val="00EE663C"/>
    <w:rsid w:val="00EF02E9"/>
    <w:rsid w:val="00F0386A"/>
    <w:rsid w:val="00F05C24"/>
    <w:rsid w:val="00F07055"/>
    <w:rsid w:val="00F070EC"/>
    <w:rsid w:val="00F23281"/>
    <w:rsid w:val="00F27B3B"/>
    <w:rsid w:val="00F31107"/>
    <w:rsid w:val="00F31146"/>
    <w:rsid w:val="00F422D2"/>
    <w:rsid w:val="00F442D1"/>
    <w:rsid w:val="00F70851"/>
    <w:rsid w:val="00F73FA4"/>
    <w:rsid w:val="00F741BC"/>
    <w:rsid w:val="00F95743"/>
    <w:rsid w:val="00FB3A9B"/>
    <w:rsid w:val="00FC085B"/>
    <w:rsid w:val="00FC28D5"/>
    <w:rsid w:val="00FD3911"/>
    <w:rsid w:val="00FE2063"/>
    <w:rsid w:val="00FF0383"/>
    <w:rsid w:val="00FF28C0"/>
    <w:rsid w:val="00FF5708"/>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lsdException w:name="header" w:semiHidden="1" w:unhideWhenUsed="1"/>
    <w:lsdException w:name="footer" w:semiHidden="1" w:uiPriority="99" w:unhideWhenUsed="1"/>
    <w:lsdException w:name="caption" w:semiHidden="1" w:unhideWhenUsed="1" w:qFormat="1"/>
    <w:lsdException w:name="table of figures" w:semiHidden="1" w:unhideWhenUsed="1"/>
    <w:lsdException w:name="footnote reference" w:semiHidden="1" w:uiPriority="99" w:unhideWhenUsed="1"/>
    <w:lsdException w:name="annotation reference" w:uiPriority="99"/>
    <w:lsdException w:name="page number"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562"/>
    <w:rPr>
      <w:rFonts w:eastAsia="MS Mincho"/>
      <w:lang w:val="en-GB"/>
    </w:rPr>
  </w:style>
  <w:style w:type="paragraph" w:styleId="Heading1">
    <w:name w:val="heading 1"/>
    <w:basedOn w:val="Normal"/>
    <w:next w:val="Normalnumber"/>
    <w:link w:val="Heading1Char"/>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5"/>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6"/>
      </w:numPr>
      <w:suppressAutoHyphens/>
      <w:jc w:val="center"/>
      <w:outlineLvl w:val="8"/>
    </w:pPr>
    <w:rPr>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uiPriority w:val="99"/>
    <w:semiHidden/>
    <w:rsid w:val="00FB3A9B"/>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FB3A9B"/>
    <w:pPr>
      <w:spacing w:before="20" w:after="40"/>
      <w:ind w:left="1247"/>
    </w:pPr>
    <w:rPr>
      <w:sz w:val="18"/>
    </w:rPr>
  </w:style>
  <w:style w:type="character" w:customStyle="1" w:styleId="FootnoteTextChar">
    <w:name w:val="Footnote Text Char"/>
    <w:link w:val="FootnoteText"/>
    <w:uiPriority w:val="99"/>
    <w:semiHidden/>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val="0"/>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val="0"/>
      <w:sz w:val="20"/>
      <w:szCs w:val="20"/>
      <w:u w:val="single"/>
    </w:rPr>
  </w:style>
  <w:style w:type="character" w:styleId="Hyperlink">
    <w:name w:val="Hyperlink"/>
    <w:uiPriority w:val="99"/>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E863CA"/>
    <w:p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poolChar">
    <w:name w:val="Normal-pool Char"/>
    <w:link w:val="Normal-pool"/>
    <w:rsid w:val="000A7562"/>
    <w:rPr>
      <w:rFonts w:eastAsia="Times New Roman"/>
      <w:lang w:val="en-GB"/>
    </w:rPr>
  </w:style>
  <w:style w:type="paragraph" w:styleId="ColorfulList-Accent1">
    <w:name w:val="Colorful List Accent 1"/>
    <w:basedOn w:val="Normal"/>
    <w:uiPriority w:val="34"/>
    <w:qFormat/>
    <w:rsid w:val="000A7562"/>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0A7562"/>
    <w:rPr>
      <w:sz w:val="16"/>
      <w:szCs w:val="16"/>
    </w:rPr>
  </w:style>
  <w:style w:type="character" w:customStyle="1" w:styleId="NormalnumberChar">
    <w:name w:val="Normal_number Char"/>
    <w:link w:val="Normalnumber"/>
    <w:locked/>
    <w:rsid w:val="00E863CA"/>
    <w:rPr>
      <w:rFonts w:eastAsia="Times New Roman"/>
      <w:lang w:val="fr-CA"/>
    </w:rPr>
  </w:style>
  <w:style w:type="character" w:styleId="FollowedHyperlink">
    <w:name w:val="FollowedHyperlink"/>
    <w:rsid w:val="00C4580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lsdException w:name="header" w:semiHidden="1" w:unhideWhenUsed="1"/>
    <w:lsdException w:name="footer" w:semiHidden="1" w:uiPriority="99" w:unhideWhenUsed="1"/>
    <w:lsdException w:name="caption" w:semiHidden="1" w:unhideWhenUsed="1" w:qFormat="1"/>
    <w:lsdException w:name="table of figures" w:semiHidden="1" w:unhideWhenUsed="1"/>
    <w:lsdException w:name="footnote reference" w:semiHidden="1" w:uiPriority="99" w:unhideWhenUsed="1"/>
    <w:lsdException w:name="annotation reference" w:uiPriority="99"/>
    <w:lsdException w:name="page number"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562"/>
    <w:rPr>
      <w:rFonts w:eastAsia="MS Mincho"/>
      <w:lang w:val="en-GB"/>
    </w:rPr>
  </w:style>
  <w:style w:type="paragraph" w:styleId="Heading1">
    <w:name w:val="heading 1"/>
    <w:basedOn w:val="Normal"/>
    <w:next w:val="Normalnumber"/>
    <w:link w:val="Heading1Char"/>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5"/>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6"/>
      </w:numPr>
      <w:suppressAutoHyphens/>
      <w:jc w:val="center"/>
      <w:outlineLvl w:val="8"/>
    </w:pPr>
    <w:rPr>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uiPriority w:val="99"/>
    <w:semiHidden/>
    <w:rsid w:val="00FB3A9B"/>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FB3A9B"/>
    <w:pPr>
      <w:spacing w:before="20" w:after="40"/>
      <w:ind w:left="1247"/>
    </w:pPr>
    <w:rPr>
      <w:sz w:val="18"/>
    </w:rPr>
  </w:style>
  <w:style w:type="character" w:customStyle="1" w:styleId="FootnoteTextChar">
    <w:name w:val="Footnote Text Char"/>
    <w:link w:val="FootnoteText"/>
    <w:uiPriority w:val="99"/>
    <w:semiHidden/>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val="0"/>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val="0"/>
      <w:sz w:val="20"/>
      <w:szCs w:val="20"/>
      <w:u w:val="single"/>
    </w:rPr>
  </w:style>
  <w:style w:type="character" w:styleId="Hyperlink">
    <w:name w:val="Hyperlink"/>
    <w:uiPriority w:val="99"/>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E863CA"/>
    <w:p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poolChar">
    <w:name w:val="Normal-pool Char"/>
    <w:link w:val="Normal-pool"/>
    <w:rsid w:val="000A7562"/>
    <w:rPr>
      <w:rFonts w:eastAsia="Times New Roman"/>
      <w:lang w:val="en-GB"/>
    </w:rPr>
  </w:style>
  <w:style w:type="paragraph" w:styleId="ColorfulList-Accent1">
    <w:name w:val="Colorful List Accent 1"/>
    <w:basedOn w:val="Normal"/>
    <w:uiPriority w:val="34"/>
    <w:qFormat/>
    <w:rsid w:val="000A7562"/>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0A7562"/>
    <w:rPr>
      <w:sz w:val="16"/>
      <w:szCs w:val="16"/>
    </w:rPr>
  </w:style>
  <w:style w:type="character" w:customStyle="1" w:styleId="NormalnumberChar">
    <w:name w:val="Normal_number Char"/>
    <w:link w:val="Normalnumber"/>
    <w:locked/>
    <w:rsid w:val="00E863CA"/>
    <w:rPr>
      <w:rFonts w:eastAsia="Times New Roman"/>
      <w:lang w:val="fr-CA"/>
    </w:rPr>
  </w:style>
  <w:style w:type="character" w:styleId="FollowedHyperlink">
    <w:name w:val="FollowedHyperlink"/>
    <w:rsid w:val="00C458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programmes/socio-eco/use/aagp/AAGP.zip" TargetMode="External"/><Relationship Id="rId18" Type="http://schemas.openxmlformats.org/officeDocument/2006/relationships/hyperlink" Target="http://www.cites.org/common/resources/pub/ICCWC_Toolkit_v2_english.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cites.org/fra/prog/ndf/index.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tes.org/fra/res/16/16-06.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ites.org/fra/app/appendices.php" TargetMode="External"/><Relationship Id="rId23" Type="http://schemas.openxmlformats.org/officeDocument/2006/relationships/header" Target="header3.xml"/><Relationship Id="rId10" Type="http://schemas.openxmlformats.org/officeDocument/2006/relationships/image" Target="media/image2.pcz"/><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ites.org/fra/cop/16/doc/F-CoP16-33.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AB62-37E0-49C0-ACEE-4471F627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17351</CharactersWithSpaces>
  <SharedDoc>false</SharedDoc>
  <HLinks>
    <vt:vector size="36" baseType="variant">
      <vt:variant>
        <vt:i4>3670090</vt:i4>
      </vt:variant>
      <vt:variant>
        <vt:i4>18</vt:i4>
      </vt:variant>
      <vt:variant>
        <vt:i4>0</vt:i4>
      </vt:variant>
      <vt:variant>
        <vt:i4>5</vt:i4>
      </vt:variant>
      <vt:variant>
        <vt:lpwstr>http://www.cites.org/common/resources/pub/ICCWC_Toolkit_v2_english.pdf</vt:lpwstr>
      </vt:variant>
      <vt:variant>
        <vt:lpwstr/>
      </vt:variant>
      <vt:variant>
        <vt:i4>7733354</vt:i4>
      </vt:variant>
      <vt:variant>
        <vt:i4>15</vt:i4>
      </vt:variant>
      <vt:variant>
        <vt:i4>0</vt:i4>
      </vt:variant>
      <vt:variant>
        <vt:i4>5</vt:i4>
      </vt:variant>
      <vt:variant>
        <vt:lpwstr>http://www.cites.org/fra/prog/ndf/index.php</vt:lpwstr>
      </vt:variant>
      <vt:variant>
        <vt:lpwstr/>
      </vt:variant>
      <vt:variant>
        <vt:i4>2031700</vt:i4>
      </vt:variant>
      <vt:variant>
        <vt:i4>12</vt:i4>
      </vt:variant>
      <vt:variant>
        <vt:i4>0</vt:i4>
      </vt:variant>
      <vt:variant>
        <vt:i4>5</vt:i4>
      </vt:variant>
      <vt:variant>
        <vt:lpwstr>http://www.cites.org/fra/res/16/16-06.php</vt:lpwstr>
      </vt:variant>
      <vt:variant>
        <vt:lpwstr/>
      </vt:variant>
      <vt:variant>
        <vt:i4>6553660</vt:i4>
      </vt:variant>
      <vt:variant>
        <vt:i4>9</vt:i4>
      </vt:variant>
      <vt:variant>
        <vt:i4>0</vt:i4>
      </vt:variant>
      <vt:variant>
        <vt:i4>5</vt:i4>
      </vt:variant>
      <vt:variant>
        <vt:lpwstr>http://www.cites.org/fra/app/appendices.php</vt:lpwstr>
      </vt:variant>
      <vt:variant>
        <vt:lpwstr/>
      </vt:variant>
      <vt:variant>
        <vt:i4>7733305</vt:i4>
      </vt:variant>
      <vt:variant>
        <vt:i4>6</vt:i4>
      </vt:variant>
      <vt:variant>
        <vt:i4>0</vt:i4>
      </vt:variant>
      <vt:variant>
        <vt:i4>5</vt:i4>
      </vt:variant>
      <vt:variant>
        <vt:lpwstr>http://www.cites.org/fra/cop/16/doc/F-CoP16-33.pdf</vt:lpwstr>
      </vt:variant>
      <vt:variant>
        <vt:lpwstr/>
      </vt:variant>
      <vt:variant>
        <vt:i4>3670140</vt:i4>
      </vt:variant>
      <vt:variant>
        <vt:i4>3</vt:i4>
      </vt:variant>
      <vt:variant>
        <vt:i4>0</vt:i4>
      </vt:variant>
      <vt:variant>
        <vt:i4>5</vt:i4>
      </vt:variant>
      <vt:variant>
        <vt:lpwstr>https://www.cbd.int/doc/programmes/socio-eco/use/aagp/AAGP.zip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 Shanbhag</cp:lastModifiedBy>
  <cp:revision>2</cp:revision>
  <cp:lastPrinted>2013-11-05T11:24:00Z</cp:lastPrinted>
  <dcterms:created xsi:type="dcterms:W3CDTF">2013-11-06T07:54:00Z</dcterms:created>
  <dcterms:modified xsi:type="dcterms:W3CDTF">2013-11-06T07:54:00Z</dcterms:modified>
</cp:coreProperties>
</file>