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387"/>
        <w:gridCol w:w="2833"/>
      </w:tblGrid>
      <w:tr w:rsidR="00871389" w:rsidRPr="006031C5" w:rsidTr="00871389">
        <w:trPr>
          <w:cantSplit/>
          <w:trHeight w:val="850"/>
        </w:trPr>
        <w:tc>
          <w:tcPr>
            <w:tcW w:w="1560" w:type="dxa"/>
          </w:tcPr>
          <w:p w:rsidR="00871389" w:rsidRPr="006031C5" w:rsidRDefault="00871389" w:rsidP="00871389">
            <w:pPr>
              <w:tabs>
                <w:tab w:val="left" w:pos="624"/>
                <w:tab w:val="left" w:pos="1871"/>
                <w:tab w:val="left" w:pos="2495"/>
                <w:tab w:val="left" w:pos="3119"/>
              </w:tabs>
              <w:rPr>
                <w:rFonts w:ascii="Arial" w:hAnsi="Arial" w:cs="Arial"/>
                <w:b/>
                <w:sz w:val="27"/>
                <w:szCs w:val="27"/>
              </w:rPr>
            </w:pPr>
            <w:r>
              <w:rPr>
                <w:rFonts w:ascii="Arial" w:hAnsi="Arial" w:cs="Arial"/>
                <w:b/>
                <w:sz w:val="27"/>
                <w:szCs w:val="27"/>
              </w:rPr>
              <w:t>NATIONS</w:t>
            </w:r>
            <w:r w:rsidRPr="006031C5">
              <w:rPr>
                <w:rFonts w:ascii="Arial" w:hAnsi="Arial" w:cs="Arial"/>
                <w:b/>
                <w:sz w:val="27"/>
                <w:szCs w:val="27"/>
              </w:rPr>
              <w:t xml:space="preserve"> UNIES</w:t>
            </w:r>
          </w:p>
        </w:tc>
        <w:tc>
          <w:tcPr>
            <w:tcW w:w="5387" w:type="dxa"/>
          </w:tcPr>
          <w:p w:rsidR="00871389" w:rsidRPr="006031C5" w:rsidRDefault="00871389" w:rsidP="00871389">
            <w:pPr>
              <w:tabs>
                <w:tab w:val="left" w:pos="624"/>
                <w:tab w:val="left" w:pos="1871"/>
                <w:tab w:val="left" w:pos="2495"/>
                <w:tab w:val="left" w:pos="3119"/>
              </w:tabs>
              <w:rPr>
                <w:rFonts w:ascii="Univers" w:hAnsi="Univers"/>
                <w:b/>
                <w:sz w:val="27"/>
                <w:szCs w:val="27"/>
              </w:rPr>
            </w:pPr>
          </w:p>
        </w:tc>
        <w:tc>
          <w:tcPr>
            <w:tcW w:w="2833" w:type="dxa"/>
          </w:tcPr>
          <w:p w:rsidR="00871389" w:rsidRPr="006031C5" w:rsidRDefault="00871389" w:rsidP="00871389">
            <w:pPr>
              <w:tabs>
                <w:tab w:val="left" w:pos="624"/>
                <w:tab w:val="left" w:pos="1871"/>
                <w:tab w:val="left" w:pos="2495"/>
                <w:tab w:val="left" w:pos="3119"/>
              </w:tabs>
              <w:jc w:val="right"/>
              <w:rPr>
                <w:rFonts w:ascii="Univers" w:hAnsi="Univers"/>
                <w:b/>
                <w:sz w:val="72"/>
                <w:szCs w:val="72"/>
              </w:rPr>
            </w:pPr>
            <w:hyperlink r:id="rId8" w:tgtFrame="_blank" w:history="1">
              <w:r w:rsidRPr="006031C5">
                <w:rPr>
                  <w:rFonts w:ascii="Univers" w:hAnsi="Univers"/>
                  <w:b/>
                  <w:sz w:val="72"/>
                  <w:szCs w:val="72"/>
                </w:rPr>
                <w:t>EP</w:t>
              </w:r>
            </w:hyperlink>
          </w:p>
        </w:tc>
      </w:tr>
      <w:tr w:rsidR="00871389" w:rsidRPr="006031C5" w:rsidTr="00871389">
        <w:trPr>
          <w:cantSplit/>
          <w:trHeight w:val="281"/>
        </w:trPr>
        <w:tc>
          <w:tcPr>
            <w:tcW w:w="1560" w:type="dxa"/>
            <w:tcBorders>
              <w:bottom w:val="single" w:sz="4" w:space="0" w:color="auto"/>
            </w:tcBorders>
          </w:tcPr>
          <w:p w:rsidR="00871389" w:rsidRPr="006031C5" w:rsidRDefault="00871389" w:rsidP="00871389">
            <w:pPr>
              <w:tabs>
                <w:tab w:val="left" w:pos="624"/>
                <w:tab w:val="left" w:pos="1871"/>
                <w:tab w:val="left" w:pos="2495"/>
                <w:tab w:val="left" w:pos="3119"/>
              </w:tabs>
              <w:rPr>
                <w:sz w:val="18"/>
                <w:szCs w:val="18"/>
              </w:rPr>
            </w:pPr>
          </w:p>
        </w:tc>
        <w:tc>
          <w:tcPr>
            <w:tcW w:w="5387" w:type="dxa"/>
            <w:tcBorders>
              <w:bottom w:val="single" w:sz="4" w:space="0" w:color="auto"/>
            </w:tcBorders>
          </w:tcPr>
          <w:p w:rsidR="00871389" w:rsidRPr="006031C5" w:rsidRDefault="00871389" w:rsidP="00871389">
            <w:pPr>
              <w:tabs>
                <w:tab w:val="left" w:pos="624"/>
                <w:tab w:val="left" w:pos="1871"/>
                <w:tab w:val="left" w:pos="2495"/>
                <w:tab w:val="left" w:pos="3119"/>
              </w:tabs>
              <w:rPr>
                <w:rFonts w:ascii="Univers" w:hAnsi="Univers"/>
                <w:b/>
                <w:sz w:val="18"/>
                <w:szCs w:val="18"/>
              </w:rPr>
            </w:pPr>
          </w:p>
        </w:tc>
        <w:tc>
          <w:tcPr>
            <w:tcW w:w="2833" w:type="dxa"/>
            <w:tcBorders>
              <w:bottom w:val="single" w:sz="4" w:space="0" w:color="auto"/>
            </w:tcBorders>
          </w:tcPr>
          <w:p w:rsidR="00871389" w:rsidRPr="006031C5" w:rsidRDefault="00871389" w:rsidP="00871389">
            <w:pPr>
              <w:tabs>
                <w:tab w:val="left" w:pos="624"/>
                <w:tab w:val="left" w:pos="1871"/>
                <w:tab w:val="left" w:pos="2495"/>
                <w:tab w:val="left" w:pos="3119"/>
              </w:tabs>
              <w:rPr>
                <w:sz w:val="18"/>
                <w:szCs w:val="18"/>
                <w:lang w:eastAsia="ja-JP"/>
              </w:rPr>
            </w:pPr>
            <w:r w:rsidRPr="005562C5">
              <w:rPr>
                <w:b/>
                <w:sz w:val="28"/>
                <w:szCs w:val="28"/>
              </w:rPr>
              <w:t>IPBES</w:t>
            </w:r>
            <w:r w:rsidRPr="006031C5">
              <w:t>/2/</w:t>
            </w:r>
            <w:r>
              <w:t>16/Add.1</w:t>
            </w:r>
          </w:p>
        </w:tc>
      </w:tr>
      <w:tr w:rsidR="00871389" w:rsidRPr="006031C5" w:rsidTr="00871389">
        <w:trPr>
          <w:cantSplit/>
          <w:trHeight w:val="2549"/>
        </w:trPr>
        <w:tc>
          <w:tcPr>
            <w:tcW w:w="1560" w:type="dxa"/>
            <w:tcBorders>
              <w:top w:val="single" w:sz="4" w:space="0" w:color="auto"/>
              <w:bottom w:val="single" w:sz="24" w:space="0" w:color="auto"/>
            </w:tcBorders>
          </w:tcPr>
          <w:p w:rsidR="00871389" w:rsidRPr="006031C5" w:rsidRDefault="00871389" w:rsidP="00871389">
            <w:pPr>
              <w:tabs>
                <w:tab w:val="left" w:pos="624"/>
                <w:tab w:val="left" w:pos="1871"/>
                <w:tab w:val="left" w:pos="2495"/>
                <w:tab w:val="left" w:pos="3119"/>
              </w:tabs>
            </w:pPr>
            <w:r w:rsidRPr="006031C5">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0.75pt" o:ole="" fillcolor="window">
                  <v:imagedata r:id="rId9" o:title=""/>
                </v:shape>
                <o:OLEObject Type="Embed" ProgID="Word.Picture.8" ShapeID="_x0000_i1025" DrawAspect="Content" ObjectID="_1445276650" r:id="rId10"/>
              </w:object>
            </w:r>
            <w:r w:rsidR="00B33EED">
              <w:rPr>
                <w:noProof/>
                <w:lang w:val="en-US"/>
              </w:rPr>
              <w:drawing>
                <wp:inline distT="0" distB="0" distL="0" distR="0">
                  <wp:extent cx="727075" cy="768985"/>
                  <wp:effectExtent l="19050" t="0" r="0" b="0"/>
                  <wp:docPr id="2"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1" cstate="print"/>
                          <a:srcRect/>
                          <a:stretch>
                            <a:fillRect/>
                          </a:stretch>
                        </pic:blipFill>
                        <pic:spPr bwMode="auto">
                          <a:xfrm>
                            <a:off x="0" y="0"/>
                            <a:ext cx="727075" cy="768985"/>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871389" w:rsidRPr="006031C5" w:rsidRDefault="00871389" w:rsidP="00871389">
            <w:pPr>
              <w:tabs>
                <w:tab w:val="left" w:pos="624"/>
                <w:tab w:val="left" w:pos="1871"/>
                <w:tab w:val="left" w:pos="2495"/>
                <w:tab w:val="left" w:pos="3119"/>
              </w:tabs>
              <w:spacing w:before="1400"/>
              <w:rPr>
                <w:rFonts w:ascii="Arial" w:hAnsi="Arial" w:cs="Arial"/>
                <w:b/>
                <w:sz w:val="28"/>
              </w:rPr>
            </w:pPr>
            <w:r w:rsidRPr="006031C5">
              <w:rPr>
                <w:rFonts w:ascii="Arial" w:hAnsi="Arial" w:cs="Arial"/>
                <w:b/>
                <w:sz w:val="32"/>
                <w:szCs w:val="32"/>
              </w:rPr>
              <w:t>Programme</w:t>
            </w:r>
            <w:r w:rsidRPr="006031C5">
              <w:rPr>
                <w:rFonts w:ascii="Arial" w:hAnsi="Arial" w:cs="Arial"/>
                <w:b/>
                <w:sz w:val="32"/>
                <w:szCs w:val="32"/>
              </w:rPr>
              <w:br/>
              <w:t>des Nations Unies</w:t>
            </w:r>
            <w:r w:rsidRPr="006031C5">
              <w:rPr>
                <w:rFonts w:ascii="Arial" w:hAnsi="Arial" w:cs="Arial"/>
                <w:b/>
                <w:sz w:val="32"/>
                <w:szCs w:val="32"/>
              </w:rPr>
              <w:br/>
              <w:t>pour l</w:t>
            </w:r>
            <w:r>
              <w:rPr>
                <w:rFonts w:ascii="Arial" w:hAnsi="Arial" w:cs="Arial"/>
                <w:b/>
                <w:sz w:val="32"/>
                <w:szCs w:val="32"/>
              </w:rPr>
              <w:t>’</w:t>
            </w:r>
            <w:r w:rsidRPr="006031C5">
              <w:rPr>
                <w:rFonts w:ascii="Arial" w:hAnsi="Arial" w:cs="Arial"/>
                <w:b/>
                <w:sz w:val="32"/>
                <w:szCs w:val="32"/>
              </w:rPr>
              <w:t>environnement</w:t>
            </w:r>
          </w:p>
        </w:tc>
        <w:tc>
          <w:tcPr>
            <w:tcW w:w="2833" w:type="dxa"/>
            <w:tcBorders>
              <w:top w:val="single" w:sz="4" w:space="0" w:color="auto"/>
              <w:bottom w:val="single" w:sz="24" w:space="0" w:color="auto"/>
            </w:tcBorders>
          </w:tcPr>
          <w:p w:rsidR="00871389" w:rsidRPr="006031C5" w:rsidRDefault="00871389" w:rsidP="00871389">
            <w:pPr>
              <w:tabs>
                <w:tab w:val="left" w:pos="624"/>
                <w:tab w:val="left" w:pos="1871"/>
                <w:tab w:val="left" w:pos="2495"/>
                <w:tab w:val="left" w:pos="3119"/>
              </w:tabs>
              <w:spacing w:before="120"/>
            </w:pPr>
            <w:r w:rsidRPr="006031C5">
              <w:t>Distr.</w:t>
            </w:r>
            <w:r>
              <w:t> </w:t>
            </w:r>
            <w:r w:rsidRPr="006031C5">
              <w:t>: générale</w:t>
            </w:r>
            <w:r w:rsidRPr="006031C5">
              <w:br/>
            </w:r>
            <w:r>
              <w:t>1</w:t>
            </w:r>
            <w:r w:rsidRPr="00871389">
              <w:rPr>
                <w:vertAlign w:val="superscript"/>
              </w:rPr>
              <w:t>er</w:t>
            </w:r>
            <w:r>
              <w:t> octobre </w:t>
            </w:r>
            <w:r w:rsidRPr="006031C5">
              <w:t>2013</w:t>
            </w:r>
          </w:p>
          <w:p w:rsidR="00871389" w:rsidRPr="006031C5" w:rsidRDefault="00871389" w:rsidP="00871389">
            <w:pPr>
              <w:tabs>
                <w:tab w:val="left" w:pos="624"/>
                <w:tab w:val="left" w:pos="1871"/>
                <w:tab w:val="left" w:pos="2495"/>
                <w:tab w:val="left" w:pos="3119"/>
              </w:tabs>
              <w:spacing w:before="120"/>
            </w:pPr>
            <w:r w:rsidRPr="006031C5">
              <w:t xml:space="preserve">Français </w:t>
            </w:r>
            <w:r w:rsidRPr="006031C5">
              <w:br/>
              <w:t>Original : anglais</w:t>
            </w:r>
          </w:p>
          <w:p w:rsidR="00871389" w:rsidRPr="006031C5" w:rsidRDefault="00871389" w:rsidP="00871389">
            <w:pPr>
              <w:tabs>
                <w:tab w:val="left" w:pos="624"/>
                <w:tab w:val="left" w:pos="1871"/>
                <w:tab w:val="left" w:pos="2495"/>
                <w:tab w:val="left" w:pos="3119"/>
              </w:tabs>
              <w:spacing w:before="120"/>
            </w:pPr>
          </w:p>
        </w:tc>
      </w:tr>
    </w:tbl>
    <w:p w:rsidR="00871389" w:rsidRPr="006031C5" w:rsidRDefault="00871389" w:rsidP="00871389">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6031C5">
        <w:rPr>
          <w:lang w:val="fr-FR"/>
        </w:rPr>
        <w:t xml:space="preserve">Plénière de la Plateforme intergouvernementale scientifique et politique sur la biodiversité et les services écosystémiques </w:t>
      </w:r>
    </w:p>
    <w:p w:rsidR="00871389" w:rsidRPr="006031C5" w:rsidRDefault="00871389" w:rsidP="00871389">
      <w:pPr>
        <w:pStyle w:val="AATitle"/>
        <w:keepNext w:val="0"/>
        <w:keepLines w:val="0"/>
        <w:tabs>
          <w:tab w:val="clear" w:pos="1814"/>
          <w:tab w:val="clear" w:pos="2381"/>
          <w:tab w:val="clear" w:pos="2948"/>
          <w:tab w:val="clear" w:pos="3515"/>
          <w:tab w:val="left" w:pos="624"/>
          <w:tab w:val="left" w:pos="1871"/>
          <w:tab w:val="left" w:pos="2495"/>
          <w:tab w:val="left" w:pos="3119"/>
        </w:tabs>
        <w:rPr>
          <w:lang w:val="fr-FR"/>
        </w:rPr>
      </w:pPr>
      <w:r w:rsidRPr="006031C5">
        <w:rPr>
          <w:lang w:val="fr-FR"/>
        </w:rPr>
        <w:t>Deuxième session</w:t>
      </w:r>
    </w:p>
    <w:p w:rsidR="00D7505A" w:rsidRPr="007133EF" w:rsidRDefault="00D7505A" w:rsidP="00D7505A">
      <w:pPr>
        <w:suppressAutoHyphens/>
        <w:ind w:right="3402"/>
        <w:rPr>
          <w:lang w:eastAsia="ja-JP"/>
        </w:rPr>
      </w:pPr>
      <w:r w:rsidRPr="007133EF">
        <w:rPr>
          <w:lang w:eastAsia="ja-JP"/>
        </w:rPr>
        <w:t>Antalya</w:t>
      </w:r>
      <w:r w:rsidR="00517B98" w:rsidRPr="007133EF">
        <w:rPr>
          <w:lang w:eastAsia="ja-JP"/>
        </w:rPr>
        <w:t xml:space="preserve"> (</w:t>
      </w:r>
      <w:r w:rsidRPr="007133EF">
        <w:rPr>
          <w:lang w:eastAsia="ja-JP"/>
        </w:rPr>
        <w:t>Tur</w:t>
      </w:r>
      <w:r w:rsidR="00517B98" w:rsidRPr="007133EF">
        <w:rPr>
          <w:lang w:eastAsia="ja-JP"/>
        </w:rPr>
        <w:t>quie)</w:t>
      </w:r>
      <w:r w:rsidRPr="007133EF">
        <w:rPr>
          <w:lang w:eastAsia="ja-JP"/>
        </w:rPr>
        <w:t>, 9–14</w:t>
      </w:r>
      <w:r w:rsidR="00517B98" w:rsidRPr="007133EF">
        <w:rPr>
          <w:lang w:eastAsia="ja-JP"/>
        </w:rPr>
        <w:t> décembre </w:t>
      </w:r>
      <w:r w:rsidRPr="007133EF">
        <w:rPr>
          <w:lang w:eastAsia="ja-JP"/>
        </w:rPr>
        <w:t>2013</w:t>
      </w:r>
    </w:p>
    <w:p w:rsidR="00D7505A" w:rsidRPr="007133EF" w:rsidRDefault="00517B98" w:rsidP="00D7505A">
      <w:pPr>
        <w:pStyle w:val="AATitle"/>
        <w:rPr>
          <w:b w:val="0"/>
          <w:lang w:val="fr-FR"/>
        </w:rPr>
      </w:pPr>
      <w:r w:rsidRPr="007133EF">
        <w:rPr>
          <w:b w:val="0"/>
          <w:lang w:val="fr-FR" w:eastAsia="ja-JP"/>
        </w:rPr>
        <w:t>Point</w:t>
      </w:r>
      <w:r w:rsidR="00D7505A" w:rsidRPr="007133EF">
        <w:rPr>
          <w:b w:val="0"/>
          <w:lang w:val="fr-FR" w:eastAsia="ja-JP"/>
        </w:rPr>
        <w:t xml:space="preserve"> 4</w:t>
      </w:r>
      <w:r w:rsidRPr="007133EF">
        <w:rPr>
          <w:b w:val="0"/>
          <w:lang w:val="fr-FR" w:eastAsia="ja-JP"/>
        </w:rPr>
        <w:t> </w:t>
      </w:r>
      <w:r w:rsidR="00D7505A" w:rsidRPr="007133EF">
        <w:rPr>
          <w:b w:val="0"/>
          <w:lang w:val="fr-FR" w:eastAsia="ja-JP"/>
        </w:rPr>
        <w:t xml:space="preserve">a) </w:t>
      </w:r>
      <w:r w:rsidRPr="007133EF">
        <w:rPr>
          <w:b w:val="0"/>
          <w:lang w:val="fr-FR" w:eastAsia="ja-JP"/>
        </w:rPr>
        <w:t>de l’ordre du jour provisoire</w:t>
      </w:r>
      <w:r w:rsidR="00D7505A" w:rsidRPr="007133EF">
        <w:rPr>
          <w:rStyle w:val="FootnoteReference"/>
          <w:b w:val="0"/>
          <w:lang w:val="fr-FR" w:eastAsia="ja-JP"/>
        </w:rPr>
        <w:footnoteReference w:customMarkFollows="1" w:id="1"/>
        <w:sym w:font="Symbol" w:char="F02A"/>
      </w:r>
      <w:r w:rsidR="00D7505A" w:rsidRPr="007133EF">
        <w:rPr>
          <w:b w:val="0"/>
          <w:lang w:val="fr-FR" w:eastAsia="ja-JP"/>
        </w:rPr>
        <w:t> </w:t>
      </w:r>
    </w:p>
    <w:p w:rsidR="00D7505A" w:rsidRPr="007133EF" w:rsidRDefault="00517B98" w:rsidP="00D7505A">
      <w:pPr>
        <w:pStyle w:val="AATitle2"/>
        <w:spacing w:before="60"/>
        <w:rPr>
          <w:lang w:val="fr-FR"/>
        </w:rPr>
      </w:pPr>
      <w:r w:rsidRPr="007133EF">
        <w:rPr>
          <w:lang w:val="fr-FR"/>
        </w:rPr>
        <w:t>Programme de travail initial de la Plateforme</w:t>
      </w:r>
      <w:r w:rsidR="00C3645D">
        <w:rPr>
          <w:lang w:val="fr-FR"/>
        </w:rPr>
        <w:t xml:space="preserve"> </w:t>
      </w:r>
      <w:r w:rsidR="00D7505A" w:rsidRPr="007133EF">
        <w:rPr>
          <w:lang w:val="fr-FR"/>
        </w:rPr>
        <w:t>:</w:t>
      </w:r>
      <w:r w:rsidR="00D7505A" w:rsidRPr="007133EF">
        <w:rPr>
          <w:lang w:val="fr-FR"/>
        </w:rPr>
        <w:br/>
      </w:r>
      <w:r w:rsidRPr="007133EF">
        <w:rPr>
          <w:lang w:val="fr-FR"/>
        </w:rPr>
        <w:t>programme de travail</w:t>
      </w:r>
      <w:r w:rsidR="00B8187F" w:rsidRPr="007133EF">
        <w:rPr>
          <w:lang w:val="fr-FR"/>
        </w:rPr>
        <w:t xml:space="preserve"> pour la période </w:t>
      </w:r>
      <w:r w:rsidR="00D7505A" w:rsidRPr="007133EF">
        <w:rPr>
          <w:lang w:val="fr-FR"/>
        </w:rPr>
        <w:t>2014</w:t>
      </w:r>
      <w:r w:rsidR="00367FC7" w:rsidRPr="007133EF">
        <w:rPr>
          <w:lang w:val="fr-FR"/>
        </w:rPr>
        <w:t>–</w:t>
      </w:r>
      <w:r w:rsidR="00D7505A" w:rsidRPr="007133EF">
        <w:rPr>
          <w:lang w:val="fr-FR"/>
        </w:rPr>
        <w:t>2018</w:t>
      </w:r>
    </w:p>
    <w:p w:rsidR="00D7505A" w:rsidRPr="007133EF" w:rsidRDefault="007133EF" w:rsidP="00871389">
      <w:pPr>
        <w:pStyle w:val="BBTitle"/>
        <w:rPr>
          <w:lang w:val="fr-FR"/>
        </w:rPr>
      </w:pPr>
      <w:r w:rsidRPr="007133EF">
        <w:rPr>
          <w:lang w:val="fr-FR"/>
        </w:rPr>
        <w:t>Étude</w:t>
      </w:r>
      <w:r w:rsidR="00517B98" w:rsidRPr="007133EF">
        <w:rPr>
          <w:lang w:val="fr-FR"/>
        </w:rPr>
        <w:t xml:space="preserve"> </w:t>
      </w:r>
      <w:r w:rsidR="00517B98" w:rsidRPr="00871389">
        <w:t>de</w:t>
      </w:r>
      <w:r w:rsidR="00517B98" w:rsidRPr="007133EF">
        <w:rPr>
          <w:lang w:val="fr-FR"/>
        </w:rPr>
        <w:t xml:space="preserve"> cadrage initiale pour l’évaluation </w:t>
      </w:r>
      <w:r w:rsidR="00871389">
        <w:rPr>
          <w:lang w:val="fr-FR"/>
        </w:rPr>
        <w:t xml:space="preserve">thématique </w:t>
      </w:r>
      <w:r w:rsidR="00517B98" w:rsidRPr="007133EF">
        <w:rPr>
          <w:lang w:val="fr-FR"/>
        </w:rPr>
        <w:t>accélérée de la pollinisation et de la production alimentaire</w:t>
      </w:r>
    </w:p>
    <w:p w:rsidR="006A45CB" w:rsidRDefault="003E61BB" w:rsidP="004E0A3B">
      <w:pPr>
        <w:pStyle w:val="CH2"/>
        <w:rPr>
          <w:lang w:val="fr-FR"/>
        </w:rPr>
      </w:pPr>
      <w:r w:rsidRPr="007133EF">
        <w:rPr>
          <w:lang w:val="fr-FR"/>
        </w:rPr>
        <w:tab/>
      </w:r>
      <w:r w:rsidRPr="007133EF">
        <w:rPr>
          <w:lang w:val="fr-FR"/>
        </w:rPr>
        <w:tab/>
      </w:r>
      <w:r w:rsidR="006A45CB" w:rsidRPr="007133EF">
        <w:rPr>
          <w:lang w:val="fr-FR"/>
        </w:rPr>
        <w:t xml:space="preserve">Note </w:t>
      </w:r>
      <w:r w:rsidR="00517B98" w:rsidRPr="007133EF">
        <w:rPr>
          <w:lang w:val="fr-FR"/>
        </w:rPr>
        <w:t xml:space="preserve">du </w:t>
      </w:r>
      <w:r w:rsidR="006A45CB" w:rsidRPr="007133EF">
        <w:rPr>
          <w:lang w:val="fr-FR"/>
        </w:rPr>
        <w:t>secr</w:t>
      </w:r>
      <w:r w:rsidR="00517B98" w:rsidRPr="007133EF">
        <w:rPr>
          <w:lang w:val="fr-FR"/>
        </w:rPr>
        <w:t>é</w:t>
      </w:r>
      <w:r w:rsidR="006A45CB" w:rsidRPr="007133EF">
        <w:rPr>
          <w:lang w:val="fr-FR"/>
        </w:rPr>
        <w:t>tariat</w:t>
      </w:r>
    </w:p>
    <w:p w:rsidR="00871389" w:rsidRPr="00871389" w:rsidRDefault="00871389" w:rsidP="00871389">
      <w:pPr>
        <w:pStyle w:val="CH1"/>
      </w:pPr>
      <w:r>
        <w:tab/>
        <w:t>I.</w:t>
      </w:r>
      <w:r>
        <w:tab/>
        <w:t>Introduction</w:t>
      </w:r>
    </w:p>
    <w:p w:rsidR="00AF2776" w:rsidRPr="007133EF" w:rsidRDefault="00E34894" w:rsidP="004E0A3B">
      <w:pPr>
        <w:pStyle w:val="Normalnumber"/>
        <w:rPr>
          <w:lang w:val="fr-FR"/>
        </w:rPr>
      </w:pPr>
      <w:r w:rsidRPr="00C9391E">
        <w:t xml:space="preserve">Reconnaissant la nécessité de </w:t>
      </w:r>
      <w:r>
        <w:t>faire avancer le</w:t>
      </w:r>
      <w:r w:rsidRPr="00C9391E">
        <w:t xml:space="preserve"> programme de travail pour la période 2014–2018 une fois ce</w:t>
      </w:r>
      <w:r>
        <w:t>lui-ci</w:t>
      </w:r>
      <w:r w:rsidRPr="00C9391E">
        <w:t xml:space="preserve"> approuvé par la Plénière de la Plateforme intergouvernementale scientifique et politique sur la biodiversité et les services écosystémiques à sa deuxième session, le Bureau et le Groupe d’experts multidisciplinaire ont convenu d’é</w:t>
      </w:r>
      <w:r>
        <w:t>tablir</w:t>
      </w:r>
      <w:r w:rsidRPr="00C9391E">
        <w:t>, pour examen à ladite session, un certain nombre de documents de cadrage initial</w:t>
      </w:r>
      <w:r>
        <w:t xml:space="preserve"> tenant compte de</w:t>
      </w:r>
      <w:r w:rsidRPr="00C9391E">
        <w:t xml:space="preserve"> la hiérarchisation des demandes, suggestions et contributions présentées à la Plateforme et </w:t>
      </w:r>
      <w:r>
        <w:t>des</w:t>
      </w:r>
      <w:r w:rsidRPr="00C9391E">
        <w:t xml:space="preserve"> produits </w:t>
      </w:r>
      <w:r>
        <w:t xml:space="preserve">définis dans le </w:t>
      </w:r>
      <w:r w:rsidRPr="00C9391E">
        <w:t>projet de programme de travail (IPBES/2/2). On trouvera dans la présente note</w:t>
      </w:r>
      <w:r>
        <w:t xml:space="preserve"> </w:t>
      </w:r>
      <w:r w:rsidRPr="00C9391E">
        <w:t xml:space="preserve">l’étude de cadrage initiale </w:t>
      </w:r>
      <w:r w:rsidR="005159A3" w:rsidRPr="007133EF">
        <w:rPr>
          <w:lang w:val="fr-FR"/>
        </w:rPr>
        <w:t xml:space="preserve">pour </w:t>
      </w:r>
      <w:r>
        <w:rPr>
          <w:lang w:val="fr-FR"/>
        </w:rPr>
        <w:t xml:space="preserve">une éventuelle </w:t>
      </w:r>
      <w:r w:rsidR="005159A3" w:rsidRPr="007133EF">
        <w:rPr>
          <w:lang w:val="fr-FR"/>
        </w:rPr>
        <w:t xml:space="preserve">évaluation </w:t>
      </w:r>
      <w:r w:rsidR="00871389">
        <w:rPr>
          <w:lang w:val="fr-FR"/>
        </w:rPr>
        <w:t xml:space="preserve">thématique </w:t>
      </w:r>
      <w:r w:rsidR="005159A3" w:rsidRPr="007133EF">
        <w:rPr>
          <w:lang w:val="fr-FR"/>
        </w:rPr>
        <w:t>accélérée de la pollinisation et de la production alimentaire.</w:t>
      </w:r>
      <w:r w:rsidR="000F1A70" w:rsidRPr="007133EF">
        <w:rPr>
          <w:lang w:val="fr-FR"/>
        </w:rPr>
        <w:t xml:space="preserve"> </w:t>
      </w:r>
      <w:r>
        <w:t xml:space="preserve">Elle </w:t>
      </w:r>
      <w:r w:rsidRPr="00C9391E">
        <w:t xml:space="preserve">a été </w:t>
      </w:r>
      <w:r>
        <w:t xml:space="preserve">réalisée conformément au </w:t>
      </w:r>
      <w:r w:rsidRPr="00C9391E">
        <w:t>projet de procédures pour l’établissement des produits de la Plateforme (IPBES/2/9).</w:t>
      </w:r>
    </w:p>
    <w:p w:rsidR="00D7505A" w:rsidRPr="007133EF" w:rsidRDefault="00B172F7" w:rsidP="004E0A3B">
      <w:pPr>
        <w:pStyle w:val="CH1"/>
        <w:rPr>
          <w:lang w:val="fr-FR"/>
        </w:rPr>
      </w:pPr>
      <w:r w:rsidRPr="007133EF">
        <w:rPr>
          <w:lang w:val="fr-FR"/>
        </w:rPr>
        <w:tab/>
      </w:r>
      <w:r w:rsidR="00871389">
        <w:rPr>
          <w:lang w:val="fr-FR"/>
        </w:rPr>
        <w:t>I</w:t>
      </w:r>
      <w:r w:rsidR="00D858B9" w:rsidRPr="007133EF">
        <w:rPr>
          <w:lang w:val="fr-FR"/>
        </w:rPr>
        <w:t>I.</w:t>
      </w:r>
      <w:r w:rsidRPr="007133EF">
        <w:rPr>
          <w:lang w:val="fr-FR"/>
        </w:rPr>
        <w:tab/>
      </w:r>
      <w:r w:rsidR="00517B98" w:rsidRPr="007133EF">
        <w:rPr>
          <w:lang w:val="fr-FR"/>
        </w:rPr>
        <w:t>Portée</w:t>
      </w:r>
      <w:r w:rsidR="00D7505A" w:rsidRPr="007133EF">
        <w:rPr>
          <w:lang w:val="fr-FR"/>
        </w:rPr>
        <w:t xml:space="preserve">, </w:t>
      </w:r>
      <w:r w:rsidR="00517B98" w:rsidRPr="007133EF">
        <w:rPr>
          <w:lang w:val="fr-FR"/>
        </w:rPr>
        <w:t>bien-fondé</w:t>
      </w:r>
      <w:r w:rsidR="00D7505A" w:rsidRPr="007133EF">
        <w:rPr>
          <w:lang w:val="fr-FR"/>
        </w:rPr>
        <w:t>, utilit</w:t>
      </w:r>
      <w:r w:rsidR="00517B98" w:rsidRPr="007133EF">
        <w:rPr>
          <w:lang w:val="fr-FR"/>
        </w:rPr>
        <w:t>é et hypothèses</w:t>
      </w:r>
    </w:p>
    <w:p w:rsidR="00D858B9" w:rsidRPr="007133EF" w:rsidRDefault="00D858B9" w:rsidP="004E0A3B">
      <w:pPr>
        <w:pStyle w:val="CH2"/>
        <w:rPr>
          <w:lang w:val="fr-FR"/>
        </w:rPr>
      </w:pPr>
      <w:r w:rsidRPr="007133EF">
        <w:rPr>
          <w:lang w:val="fr-FR"/>
        </w:rPr>
        <w:tab/>
        <w:t>A.</w:t>
      </w:r>
      <w:r w:rsidRPr="007133EF">
        <w:rPr>
          <w:lang w:val="fr-FR"/>
        </w:rPr>
        <w:tab/>
      </w:r>
      <w:r w:rsidR="00517B98" w:rsidRPr="007133EF">
        <w:rPr>
          <w:lang w:val="fr-FR"/>
        </w:rPr>
        <w:t>Portée</w:t>
      </w:r>
      <w:r w:rsidR="00D7505A" w:rsidRPr="007133EF">
        <w:rPr>
          <w:lang w:val="fr-FR"/>
        </w:rPr>
        <w:t xml:space="preserve"> </w:t>
      </w:r>
    </w:p>
    <w:p w:rsidR="00D7505A" w:rsidRPr="007133EF" w:rsidRDefault="00181555" w:rsidP="004E0A3B">
      <w:pPr>
        <w:pStyle w:val="Normalnumber"/>
        <w:rPr>
          <w:lang w:val="fr-FR"/>
        </w:rPr>
      </w:pPr>
      <w:r w:rsidRPr="007133EF">
        <w:rPr>
          <w:lang w:val="fr-FR"/>
        </w:rPr>
        <w:t>L’objectif de l</w:t>
      </w:r>
      <w:r w:rsidR="002A57E2" w:rsidRPr="007133EF">
        <w:rPr>
          <w:lang w:val="fr-FR"/>
        </w:rPr>
        <w:t>’</w:t>
      </w:r>
      <w:r w:rsidRPr="007133EF">
        <w:rPr>
          <w:lang w:val="fr-FR"/>
        </w:rPr>
        <w:t xml:space="preserve">évaluation </w:t>
      </w:r>
      <w:r w:rsidR="00871389">
        <w:rPr>
          <w:lang w:val="fr-FR"/>
        </w:rPr>
        <w:t xml:space="preserve">thématique </w:t>
      </w:r>
      <w:r w:rsidRPr="007133EF">
        <w:rPr>
          <w:lang w:val="fr-FR"/>
        </w:rPr>
        <w:t xml:space="preserve">accélérée de la pollinisation et de la production alimentaire </w:t>
      </w:r>
      <w:r w:rsidR="00E34894" w:rsidRPr="00C9391E">
        <w:t xml:space="preserve">qu’il est proposé d’entreprendre </w:t>
      </w:r>
      <w:r w:rsidRPr="007133EF">
        <w:rPr>
          <w:lang w:val="fr-FR"/>
        </w:rPr>
        <w:t>est d’évaluer les changements intervenant dans la pollinisation en tant que service écosystémique régulateur important pour la production alimentaire</w:t>
      </w:r>
      <w:r w:rsidR="002A57E2" w:rsidRPr="007133EF">
        <w:rPr>
          <w:lang w:val="fr-FR"/>
        </w:rPr>
        <w:t xml:space="preserve">, compte tenu du rôle </w:t>
      </w:r>
      <w:r w:rsidR="00E34894">
        <w:rPr>
          <w:lang w:val="fr-FR"/>
        </w:rPr>
        <w:t xml:space="preserve">qu’il joue </w:t>
      </w:r>
      <w:r w:rsidRPr="007133EF">
        <w:rPr>
          <w:lang w:val="fr-FR"/>
        </w:rPr>
        <w:t>dans le maintien</w:t>
      </w:r>
      <w:r w:rsidR="001E3854" w:rsidRPr="007133EF">
        <w:rPr>
          <w:lang w:val="fr-FR"/>
        </w:rPr>
        <w:t xml:space="preserve"> du bien-être humain et la préservation de la biodiversité de manière plus générale</w:t>
      </w:r>
      <w:r w:rsidR="00E34894">
        <w:rPr>
          <w:lang w:val="fr-FR"/>
        </w:rPr>
        <w:t xml:space="preserve">, en mettant plus particulièrement l’accent sur </w:t>
      </w:r>
      <w:r w:rsidR="002A57E2" w:rsidRPr="007133EF">
        <w:rPr>
          <w:lang w:val="fr-FR"/>
        </w:rPr>
        <w:t>l</w:t>
      </w:r>
      <w:r w:rsidR="001E3854" w:rsidRPr="007133EF">
        <w:rPr>
          <w:lang w:val="fr-FR"/>
        </w:rPr>
        <w:t xml:space="preserve">’état et </w:t>
      </w:r>
      <w:r w:rsidR="00E34894">
        <w:rPr>
          <w:lang w:val="fr-FR"/>
        </w:rPr>
        <w:t>les</w:t>
      </w:r>
      <w:r w:rsidR="002A57E2" w:rsidRPr="007133EF">
        <w:rPr>
          <w:lang w:val="fr-FR"/>
        </w:rPr>
        <w:t xml:space="preserve"> tendances </w:t>
      </w:r>
      <w:r w:rsidR="001E3854" w:rsidRPr="007133EF">
        <w:rPr>
          <w:lang w:val="fr-FR"/>
        </w:rPr>
        <w:t>des pollinisateurs</w:t>
      </w:r>
      <w:r w:rsidR="002A57E2" w:rsidRPr="007133EF">
        <w:rPr>
          <w:lang w:val="fr-FR"/>
        </w:rPr>
        <w:t>,</w:t>
      </w:r>
      <w:r w:rsidR="001E3854" w:rsidRPr="007133EF">
        <w:rPr>
          <w:lang w:val="fr-FR"/>
        </w:rPr>
        <w:t xml:space="preserve"> </w:t>
      </w:r>
      <w:r w:rsidR="002A57E2" w:rsidRPr="007133EF">
        <w:rPr>
          <w:lang w:val="fr-FR"/>
        </w:rPr>
        <w:t>la</w:t>
      </w:r>
      <w:r w:rsidR="001E3854" w:rsidRPr="007133EF">
        <w:rPr>
          <w:lang w:val="fr-FR"/>
        </w:rPr>
        <w:t xml:space="preserve"> dynamique et la diversité de la pollinisation, </w:t>
      </w:r>
      <w:r w:rsidR="00E34894">
        <w:rPr>
          <w:lang w:val="fr-FR"/>
        </w:rPr>
        <w:t>les</w:t>
      </w:r>
      <w:r w:rsidR="001E3854" w:rsidRPr="007133EF">
        <w:rPr>
          <w:lang w:val="fr-FR"/>
        </w:rPr>
        <w:t xml:space="preserve"> facteurs de changement, </w:t>
      </w:r>
      <w:r w:rsidR="00E34894">
        <w:rPr>
          <w:lang w:val="fr-FR"/>
        </w:rPr>
        <w:t>les</w:t>
      </w:r>
      <w:r w:rsidR="001E3854" w:rsidRPr="007133EF">
        <w:rPr>
          <w:lang w:val="fr-FR"/>
        </w:rPr>
        <w:t xml:space="preserve"> incidences sur le bien-être humain d</w:t>
      </w:r>
      <w:r w:rsidR="002A57E2" w:rsidRPr="007133EF">
        <w:rPr>
          <w:lang w:val="fr-FR"/>
        </w:rPr>
        <w:t>u déclin et du</w:t>
      </w:r>
      <w:r w:rsidR="001E3854" w:rsidRPr="007133EF">
        <w:rPr>
          <w:lang w:val="fr-FR"/>
        </w:rPr>
        <w:t xml:space="preserve"> déficit de la pollinisation et l’efficacité des mesures prises pour </w:t>
      </w:r>
      <w:r w:rsidR="002A57E2" w:rsidRPr="007133EF">
        <w:rPr>
          <w:lang w:val="fr-FR"/>
        </w:rPr>
        <w:t xml:space="preserve">y </w:t>
      </w:r>
      <w:r w:rsidR="001E3854" w:rsidRPr="007133EF">
        <w:rPr>
          <w:lang w:val="fr-FR"/>
        </w:rPr>
        <w:t>faire face</w:t>
      </w:r>
      <w:r w:rsidR="00D7505A" w:rsidRPr="007133EF">
        <w:rPr>
          <w:lang w:val="fr-FR"/>
        </w:rPr>
        <w:t>.</w:t>
      </w:r>
      <w:r w:rsidR="00697289" w:rsidRPr="007133EF">
        <w:rPr>
          <w:lang w:val="fr-FR"/>
        </w:rPr>
        <w:t xml:space="preserve"> </w:t>
      </w:r>
    </w:p>
    <w:p w:rsidR="00D858B9" w:rsidRPr="007133EF" w:rsidRDefault="00D858B9" w:rsidP="004E0A3B">
      <w:pPr>
        <w:pStyle w:val="CH2"/>
        <w:rPr>
          <w:lang w:val="fr-FR"/>
        </w:rPr>
      </w:pPr>
      <w:r w:rsidRPr="007133EF">
        <w:rPr>
          <w:lang w:val="fr-FR"/>
        </w:rPr>
        <w:lastRenderedPageBreak/>
        <w:tab/>
        <w:t>B.</w:t>
      </w:r>
      <w:r w:rsidRPr="007133EF">
        <w:rPr>
          <w:lang w:val="fr-FR"/>
        </w:rPr>
        <w:tab/>
      </w:r>
      <w:r w:rsidR="001E3854" w:rsidRPr="007133EF">
        <w:rPr>
          <w:lang w:val="fr-FR"/>
        </w:rPr>
        <w:t>Bien-fondé</w:t>
      </w:r>
    </w:p>
    <w:p w:rsidR="00D7505A" w:rsidRPr="007133EF" w:rsidRDefault="001E3854" w:rsidP="00871389">
      <w:pPr>
        <w:pStyle w:val="Normalnumber"/>
        <w:keepLines/>
        <w:rPr>
          <w:lang w:val="fr-FR"/>
        </w:rPr>
      </w:pPr>
      <w:r w:rsidRPr="007133EF">
        <w:rPr>
          <w:lang w:val="fr-FR"/>
        </w:rPr>
        <w:t xml:space="preserve">Une </w:t>
      </w:r>
      <w:r w:rsidR="009B384C" w:rsidRPr="007133EF">
        <w:rPr>
          <w:lang w:val="fr-FR"/>
        </w:rPr>
        <w:t>é</w:t>
      </w:r>
      <w:r w:rsidRPr="007133EF">
        <w:rPr>
          <w:lang w:val="fr-FR"/>
        </w:rPr>
        <w:t>valuation du type propos</w:t>
      </w:r>
      <w:r w:rsidR="00E9264D" w:rsidRPr="007133EF">
        <w:rPr>
          <w:lang w:val="fr-FR"/>
        </w:rPr>
        <w:t>é</w:t>
      </w:r>
      <w:r w:rsidRPr="007133EF">
        <w:rPr>
          <w:lang w:val="fr-FR"/>
        </w:rPr>
        <w:t xml:space="preserve"> est requise pour faciliter le renforcement des mesures prises par les pouvoirs publics pour répondre au</w:t>
      </w:r>
      <w:r w:rsidR="009B384C" w:rsidRPr="007133EF">
        <w:rPr>
          <w:lang w:val="fr-FR"/>
        </w:rPr>
        <w:t xml:space="preserve"> déclin et au</w:t>
      </w:r>
      <w:r w:rsidR="00E9264D" w:rsidRPr="007133EF">
        <w:rPr>
          <w:lang w:val="fr-FR"/>
        </w:rPr>
        <w:t xml:space="preserve"> </w:t>
      </w:r>
      <w:r w:rsidR="00D7505A" w:rsidRPr="007133EF">
        <w:rPr>
          <w:lang w:val="fr-FR"/>
        </w:rPr>
        <w:t>d</w:t>
      </w:r>
      <w:r w:rsidRPr="007133EF">
        <w:rPr>
          <w:lang w:val="fr-FR"/>
        </w:rPr>
        <w:t>é</w:t>
      </w:r>
      <w:r w:rsidR="00D7505A" w:rsidRPr="007133EF">
        <w:rPr>
          <w:lang w:val="fr-FR"/>
        </w:rPr>
        <w:t xml:space="preserve">ficit </w:t>
      </w:r>
      <w:r w:rsidRPr="007133EF">
        <w:rPr>
          <w:lang w:val="fr-FR"/>
        </w:rPr>
        <w:t xml:space="preserve">de la pollinisation, qui constitue un service écosystémique régulateur essentiel </w:t>
      </w:r>
      <w:r w:rsidR="009B384C" w:rsidRPr="007133EF">
        <w:rPr>
          <w:lang w:val="fr-FR"/>
        </w:rPr>
        <w:t>pour</w:t>
      </w:r>
      <w:r w:rsidRPr="007133EF">
        <w:rPr>
          <w:lang w:val="fr-FR"/>
        </w:rPr>
        <w:t xml:space="preserve"> la production alimentaire et le bien-être humain. </w:t>
      </w:r>
      <w:r w:rsidR="00E34894">
        <w:rPr>
          <w:lang w:val="fr-FR"/>
        </w:rPr>
        <w:t>À l’échelle de la planète</w:t>
      </w:r>
      <w:r w:rsidR="009B384C" w:rsidRPr="007133EF">
        <w:rPr>
          <w:lang w:val="fr-FR"/>
        </w:rPr>
        <w:t>, l</w:t>
      </w:r>
      <w:r w:rsidRPr="007133EF">
        <w:rPr>
          <w:lang w:val="fr-FR"/>
        </w:rPr>
        <w:t xml:space="preserve">a valeur économique annuelle de la pollinisation assurée par les insectes </w:t>
      </w:r>
      <w:r w:rsidR="004A2DF0" w:rsidRPr="007133EF">
        <w:rPr>
          <w:lang w:val="fr-FR"/>
        </w:rPr>
        <w:t xml:space="preserve">– </w:t>
      </w:r>
      <w:r w:rsidRPr="007133EF">
        <w:rPr>
          <w:lang w:val="fr-FR"/>
        </w:rPr>
        <w:t xml:space="preserve">essentiellement les abeilles – </w:t>
      </w:r>
      <w:r w:rsidR="009B384C" w:rsidRPr="007133EF">
        <w:rPr>
          <w:lang w:val="fr-FR"/>
        </w:rPr>
        <w:t>se situait,</w:t>
      </w:r>
      <w:r w:rsidRPr="007133EF">
        <w:rPr>
          <w:lang w:val="fr-FR"/>
        </w:rPr>
        <w:t xml:space="preserve"> selon les estimations</w:t>
      </w:r>
      <w:r w:rsidR="009B384C" w:rsidRPr="007133EF">
        <w:rPr>
          <w:lang w:val="fr-FR"/>
        </w:rPr>
        <w:t>, à</w:t>
      </w:r>
      <w:r w:rsidRPr="007133EF">
        <w:rPr>
          <w:lang w:val="fr-FR"/>
        </w:rPr>
        <w:t xml:space="preserve"> </w:t>
      </w:r>
      <w:r w:rsidR="00D7505A" w:rsidRPr="007133EF">
        <w:rPr>
          <w:lang w:val="fr-FR"/>
        </w:rPr>
        <w:t>153</w:t>
      </w:r>
      <w:r w:rsidRPr="007133EF">
        <w:rPr>
          <w:lang w:val="fr-FR"/>
        </w:rPr>
        <w:t xml:space="preserve"> milliards d’euros </w:t>
      </w:r>
      <w:r w:rsidR="00D7505A" w:rsidRPr="007133EF">
        <w:rPr>
          <w:lang w:val="fr-FR"/>
        </w:rPr>
        <w:t>(217</w:t>
      </w:r>
      <w:r w:rsidRPr="007133EF">
        <w:rPr>
          <w:lang w:val="fr-FR"/>
        </w:rPr>
        <w:t> milliards de dollars) en 2005</w:t>
      </w:r>
      <w:r w:rsidR="00D7505A" w:rsidRPr="007133EF">
        <w:rPr>
          <w:lang w:val="fr-FR"/>
        </w:rPr>
        <w:t xml:space="preserve"> </w:t>
      </w:r>
      <w:r w:rsidRPr="007133EF">
        <w:rPr>
          <w:lang w:val="fr-FR"/>
        </w:rPr>
        <w:t xml:space="preserve">pour les principales cultures </w:t>
      </w:r>
      <w:r w:rsidR="00E34894">
        <w:rPr>
          <w:lang w:val="fr-FR"/>
        </w:rPr>
        <w:t>vivr</w:t>
      </w:r>
      <w:r w:rsidRPr="007133EF">
        <w:rPr>
          <w:lang w:val="fr-FR"/>
        </w:rPr>
        <w:t>ières, soit</w:t>
      </w:r>
      <w:r w:rsidR="00D7505A" w:rsidRPr="007133EF">
        <w:rPr>
          <w:lang w:val="fr-FR"/>
        </w:rPr>
        <w:t xml:space="preserve"> 9</w:t>
      </w:r>
      <w:r w:rsidRPr="007133EF">
        <w:rPr>
          <w:lang w:val="fr-FR"/>
        </w:rPr>
        <w:t>,</w:t>
      </w:r>
      <w:r w:rsidR="00D7505A" w:rsidRPr="007133EF">
        <w:rPr>
          <w:lang w:val="fr-FR"/>
        </w:rPr>
        <w:t>5</w:t>
      </w:r>
      <w:r w:rsidR="003E61BB" w:rsidRPr="007133EF">
        <w:rPr>
          <w:lang w:val="fr-FR"/>
        </w:rPr>
        <w:t> </w:t>
      </w:r>
      <w:r w:rsidR="00497162" w:rsidRPr="007133EF">
        <w:rPr>
          <w:lang w:val="fr-FR"/>
        </w:rPr>
        <w:t>% de la valeur totale de la production agricole</w:t>
      </w:r>
      <w:r w:rsidR="00E34894">
        <w:rPr>
          <w:lang w:val="fr-FR"/>
        </w:rPr>
        <w:t xml:space="preserve"> mondiale</w:t>
      </w:r>
      <w:r w:rsidR="00D7505A" w:rsidRPr="007133EF">
        <w:rPr>
          <w:vertAlign w:val="superscript"/>
          <w:lang w:val="fr-FR"/>
        </w:rPr>
        <w:footnoteReference w:id="2"/>
      </w:r>
      <w:r w:rsidR="00871389">
        <w:rPr>
          <w:lang w:val="fr-FR"/>
        </w:rPr>
        <w:t>.</w:t>
      </w:r>
    </w:p>
    <w:p w:rsidR="00D858B9" w:rsidRPr="007133EF" w:rsidRDefault="00D858B9" w:rsidP="004E0A3B">
      <w:pPr>
        <w:pStyle w:val="CH2"/>
        <w:rPr>
          <w:lang w:val="fr-FR"/>
        </w:rPr>
      </w:pPr>
      <w:r w:rsidRPr="007133EF">
        <w:rPr>
          <w:lang w:val="fr-FR"/>
        </w:rPr>
        <w:tab/>
        <w:t>C.</w:t>
      </w:r>
      <w:r w:rsidRPr="007133EF">
        <w:rPr>
          <w:lang w:val="fr-FR"/>
        </w:rPr>
        <w:tab/>
      </w:r>
      <w:r w:rsidR="00D7505A" w:rsidRPr="007133EF">
        <w:rPr>
          <w:lang w:val="fr-FR"/>
        </w:rPr>
        <w:t>Utilit</w:t>
      </w:r>
      <w:r w:rsidR="00497162" w:rsidRPr="007133EF">
        <w:rPr>
          <w:lang w:val="fr-FR"/>
        </w:rPr>
        <w:t>é</w:t>
      </w:r>
    </w:p>
    <w:p w:rsidR="00160890" w:rsidRPr="007133EF" w:rsidRDefault="00871389" w:rsidP="004E0A3B">
      <w:pPr>
        <w:pStyle w:val="Normalnumber"/>
        <w:rPr>
          <w:lang w:val="fr-FR"/>
        </w:rPr>
      </w:pPr>
      <w:r>
        <w:rPr>
          <w:lang w:val="fr-FR"/>
        </w:rPr>
        <w:t xml:space="preserve">L’évaluation proposée </w:t>
      </w:r>
      <w:r w:rsidR="00497162" w:rsidRPr="007133EF">
        <w:rPr>
          <w:lang w:val="fr-FR"/>
        </w:rPr>
        <w:t xml:space="preserve">permettra de </w:t>
      </w:r>
      <w:r w:rsidR="00542B63" w:rsidRPr="007133EF">
        <w:rPr>
          <w:lang w:val="fr-FR"/>
        </w:rPr>
        <w:t>dégager d</w:t>
      </w:r>
      <w:r w:rsidR="00497162" w:rsidRPr="007133EF">
        <w:rPr>
          <w:lang w:val="fr-FR"/>
        </w:rPr>
        <w:t xml:space="preserve">es résultats pertinents pour la prise de décisions par les gouvernements, le secteur privé et la société civile dans un domaine en rapide évolution et </w:t>
      </w:r>
      <w:r w:rsidR="005E4887" w:rsidRPr="007133EF">
        <w:rPr>
          <w:lang w:val="fr-FR"/>
        </w:rPr>
        <w:t>favorisera</w:t>
      </w:r>
      <w:r w:rsidR="00497162" w:rsidRPr="007133EF">
        <w:rPr>
          <w:lang w:val="fr-FR"/>
        </w:rPr>
        <w:t xml:space="preserve"> la mise en œuvre de l’</w:t>
      </w:r>
      <w:r w:rsidR="005E4887" w:rsidRPr="007133EF">
        <w:rPr>
          <w:lang w:val="fr-FR"/>
        </w:rPr>
        <w:t>o</w:t>
      </w:r>
      <w:r w:rsidR="00497162" w:rsidRPr="007133EF">
        <w:rPr>
          <w:lang w:val="fr-FR"/>
        </w:rPr>
        <w:t>bjecti</w:t>
      </w:r>
      <w:r w:rsidR="00A93052" w:rsidRPr="007133EF">
        <w:rPr>
          <w:lang w:val="fr-FR"/>
        </w:rPr>
        <w:t xml:space="preserve">f 14 </w:t>
      </w:r>
      <w:r w:rsidR="006E34AE">
        <w:rPr>
          <w:lang w:val="fr-FR"/>
        </w:rPr>
        <w:t xml:space="preserve">des Objectifs </w:t>
      </w:r>
      <w:r w:rsidR="00A93052" w:rsidRPr="007133EF">
        <w:rPr>
          <w:lang w:val="fr-FR"/>
        </w:rPr>
        <w:t xml:space="preserve">d’Aichi </w:t>
      </w:r>
      <w:r w:rsidR="006E34AE">
        <w:rPr>
          <w:lang w:val="fr-FR"/>
        </w:rPr>
        <w:t xml:space="preserve">pour la biodiversité </w:t>
      </w:r>
      <w:r w:rsidR="00A93052" w:rsidRPr="007133EF">
        <w:rPr>
          <w:lang w:val="fr-FR"/>
        </w:rPr>
        <w:t>de la Convention sur la diversité biologique</w:t>
      </w:r>
      <w:r w:rsidR="00D7505A" w:rsidRPr="007133EF">
        <w:rPr>
          <w:lang w:val="fr-FR"/>
        </w:rPr>
        <w:t xml:space="preserve">; </w:t>
      </w:r>
      <w:r w:rsidR="005E4887" w:rsidRPr="007133EF">
        <w:rPr>
          <w:lang w:val="fr-FR"/>
        </w:rPr>
        <w:t>témoignera de la contribution que</w:t>
      </w:r>
      <w:r w:rsidR="00A93052" w:rsidRPr="007133EF">
        <w:rPr>
          <w:lang w:val="fr-FR"/>
        </w:rPr>
        <w:t xml:space="preserve"> l’examen continu de la façon dont un écosystème vulnérable et essentiel peut </w:t>
      </w:r>
      <w:r w:rsidR="005E4887" w:rsidRPr="007133EF">
        <w:rPr>
          <w:lang w:val="fr-FR"/>
        </w:rPr>
        <w:t>apporter</w:t>
      </w:r>
      <w:r w:rsidR="00A93052" w:rsidRPr="007133EF">
        <w:rPr>
          <w:lang w:val="fr-FR"/>
        </w:rPr>
        <w:t xml:space="preserve"> au programme de développement pour l’après-2015</w:t>
      </w:r>
      <w:r w:rsidR="009B384C" w:rsidRPr="007133EF">
        <w:rPr>
          <w:lang w:val="fr-FR"/>
        </w:rPr>
        <w:t>, tout en facilitant cet examen</w:t>
      </w:r>
      <w:r w:rsidR="00D7505A" w:rsidRPr="007133EF">
        <w:rPr>
          <w:lang w:val="fr-FR"/>
        </w:rPr>
        <w:t xml:space="preserve">; </w:t>
      </w:r>
      <w:r w:rsidR="00A93052" w:rsidRPr="007133EF">
        <w:rPr>
          <w:lang w:val="fr-FR"/>
        </w:rPr>
        <w:t xml:space="preserve">et constituera un des premiers produits de la Plateforme </w:t>
      </w:r>
      <w:r w:rsidR="009B384C" w:rsidRPr="007133EF">
        <w:rPr>
          <w:lang w:val="fr-FR"/>
        </w:rPr>
        <w:t xml:space="preserve">illustrant comment </w:t>
      </w:r>
      <w:r w:rsidR="00A93052" w:rsidRPr="007133EF">
        <w:rPr>
          <w:lang w:val="fr-FR"/>
        </w:rPr>
        <w:t>cell</w:t>
      </w:r>
      <w:r w:rsidR="00542B63" w:rsidRPr="007133EF">
        <w:rPr>
          <w:lang w:val="fr-FR"/>
        </w:rPr>
        <w:t>e</w:t>
      </w:r>
      <w:r w:rsidR="00A93052" w:rsidRPr="007133EF">
        <w:rPr>
          <w:lang w:val="fr-FR"/>
        </w:rPr>
        <w:t xml:space="preserve">-ci </w:t>
      </w:r>
      <w:r w:rsidR="009B384C" w:rsidRPr="007133EF">
        <w:rPr>
          <w:lang w:val="fr-FR"/>
        </w:rPr>
        <w:t>peut</w:t>
      </w:r>
      <w:r w:rsidR="00A93052" w:rsidRPr="007133EF">
        <w:rPr>
          <w:lang w:val="fr-FR"/>
        </w:rPr>
        <w:t xml:space="preserve"> contribuer aux efforts faits pour protéger la biodiversité et encourager le développement durable</w:t>
      </w:r>
      <w:r w:rsidR="00444A7B" w:rsidRPr="007133EF">
        <w:rPr>
          <w:lang w:val="fr-FR"/>
        </w:rPr>
        <w:t>.</w:t>
      </w:r>
    </w:p>
    <w:p w:rsidR="00D858B9" w:rsidRPr="007133EF" w:rsidRDefault="00D858B9" w:rsidP="004E0A3B">
      <w:pPr>
        <w:pStyle w:val="CH2"/>
        <w:rPr>
          <w:lang w:val="fr-FR"/>
        </w:rPr>
      </w:pPr>
      <w:r w:rsidRPr="007133EF">
        <w:rPr>
          <w:lang w:val="fr-FR"/>
        </w:rPr>
        <w:tab/>
        <w:t>D.</w:t>
      </w:r>
      <w:r w:rsidRPr="007133EF">
        <w:rPr>
          <w:lang w:val="fr-FR"/>
        </w:rPr>
        <w:tab/>
      </w:r>
      <w:r w:rsidR="00A93052" w:rsidRPr="007133EF">
        <w:rPr>
          <w:lang w:val="fr-FR"/>
        </w:rPr>
        <w:t>Hypothèses</w:t>
      </w:r>
    </w:p>
    <w:p w:rsidR="00D7505A" w:rsidRPr="007133EF" w:rsidRDefault="00542B63" w:rsidP="004E0A3B">
      <w:pPr>
        <w:pStyle w:val="Normalnumber"/>
        <w:rPr>
          <w:lang w:val="fr-FR"/>
        </w:rPr>
      </w:pPr>
      <w:r w:rsidRPr="007133EF">
        <w:rPr>
          <w:lang w:val="fr-FR"/>
        </w:rPr>
        <w:t xml:space="preserve">L’évaluation proposée sera fondée sur les ouvrages scientifiques existants et s’appuiera sur les </w:t>
      </w:r>
      <w:r w:rsidR="006E34AE">
        <w:rPr>
          <w:lang w:val="fr-FR"/>
        </w:rPr>
        <w:t>travaux</w:t>
      </w:r>
      <w:r w:rsidRPr="007133EF">
        <w:rPr>
          <w:lang w:val="fr-FR"/>
        </w:rPr>
        <w:t xml:space="preserve"> </w:t>
      </w:r>
      <w:r w:rsidR="006E34AE">
        <w:rPr>
          <w:lang w:val="fr-FR"/>
        </w:rPr>
        <w:t xml:space="preserve">actuels </w:t>
      </w:r>
      <w:r w:rsidRPr="007133EF">
        <w:rPr>
          <w:lang w:val="fr-FR"/>
        </w:rPr>
        <w:t>d</w:t>
      </w:r>
      <w:r w:rsidR="006E34AE">
        <w:rPr>
          <w:lang w:val="fr-FR"/>
        </w:rPr>
        <w:t>’</w:t>
      </w:r>
      <w:r w:rsidRPr="007133EF">
        <w:rPr>
          <w:lang w:val="fr-FR"/>
        </w:rPr>
        <w:t>institutions comme l’Organisation des Nations Unies pour l’alimentation et l’agriculture</w:t>
      </w:r>
      <w:r w:rsidR="00A667F8" w:rsidRPr="007133EF">
        <w:rPr>
          <w:lang w:val="fr-FR"/>
        </w:rPr>
        <w:t xml:space="preserve"> </w:t>
      </w:r>
      <w:r w:rsidR="00E04D04" w:rsidRPr="007133EF">
        <w:rPr>
          <w:lang w:val="fr-FR"/>
        </w:rPr>
        <w:t>(FAO)</w:t>
      </w:r>
      <w:r w:rsidR="00A667F8" w:rsidRPr="007133EF">
        <w:rPr>
          <w:lang w:val="fr-FR"/>
        </w:rPr>
        <w:t>,</w:t>
      </w:r>
      <w:r w:rsidR="00D7505A" w:rsidRPr="007133EF">
        <w:rPr>
          <w:lang w:val="fr-FR"/>
        </w:rPr>
        <w:t xml:space="preserve"> </w:t>
      </w:r>
      <w:r w:rsidRPr="007133EF">
        <w:rPr>
          <w:lang w:val="fr-FR"/>
        </w:rPr>
        <w:t>par le biais de</w:t>
      </w:r>
      <w:r w:rsidR="005E4887" w:rsidRPr="007133EF">
        <w:rPr>
          <w:lang w:val="fr-FR"/>
        </w:rPr>
        <w:t xml:space="preserve"> son a</w:t>
      </w:r>
      <w:r w:rsidRPr="007133EF">
        <w:rPr>
          <w:lang w:val="fr-FR"/>
        </w:rPr>
        <w:t>ction mondiale en faveur des services de pollinisation pour une agriculture durable</w:t>
      </w:r>
      <w:r w:rsidR="00D7505A" w:rsidRPr="007133EF">
        <w:rPr>
          <w:vertAlign w:val="superscript"/>
          <w:lang w:val="fr-FR"/>
        </w:rPr>
        <w:footnoteReference w:id="3"/>
      </w:r>
      <w:r w:rsidR="00871389">
        <w:rPr>
          <w:lang w:val="fr-FR"/>
        </w:rPr>
        <w:t>,</w:t>
      </w:r>
      <w:r w:rsidR="00D7505A" w:rsidRPr="007133EF">
        <w:rPr>
          <w:rFonts w:eastAsia="SimSun"/>
          <w:lang w:val="fr-FR" w:eastAsia="zh-CN"/>
        </w:rPr>
        <w:t xml:space="preserve"> </w:t>
      </w:r>
      <w:r w:rsidRPr="007133EF">
        <w:rPr>
          <w:rFonts w:eastAsia="SimSun"/>
          <w:lang w:val="fr-FR" w:eastAsia="zh-CN"/>
        </w:rPr>
        <w:t>le Mécanisme mondial d’information sur la biodiversité</w:t>
      </w:r>
      <w:r w:rsidR="00D7505A" w:rsidRPr="007133EF">
        <w:rPr>
          <w:vertAlign w:val="superscript"/>
          <w:lang w:val="fr-FR"/>
        </w:rPr>
        <w:footnoteReference w:id="4"/>
      </w:r>
      <w:r w:rsidR="00871389">
        <w:rPr>
          <w:rFonts w:eastAsia="SimSun"/>
          <w:lang w:val="fr-FR" w:eastAsia="zh-CN"/>
        </w:rPr>
        <w:t>,</w:t>
      </w:r>
      <w:r w:rsidR="00D7505A" w:rsidRPr="007133EF">
        <w:rPr>
          <w:lang w:val="fr-FR"/>
        </w:rPr>
        <w:t xml:space="preserve"> </w:t>
      </w:r>
      <w:r w:rsidRPr="007133EF">
        <w:rPr>
          <w:lang w:val="fr-FR"/>
        </w:rPr>
        <w:t xml:space="preserve">le projet </w:t>
      </w:r>
      <w:r w:rsidR="00D7505A" w:rsidRPr="007133EF">
        <w:rPr>
          <w:lang w:val="fr-FR"/>
        </w:rPr>
        <w:t>ALARM</w:t>
      </w:r>
      <w:r w:rsidR="00D542C2" w:rsidRPr="007133EF">
        <w:rPr>
          <w:lang w:val="fr-FR"/>
        </w:rPr>
        <w:t xml:space="preserve"> (</w:t>
      </w:r>
      <w:r w:rsidRPr="007133EF">
        <w:rPr>
          <w:lang w:val="fr-FR"/>
        </w:rPr>
        <w:t>« </w:t>
      </w:r>
      <w:r w:rsidR="00376078" w:rsidRPr="007133EF">
        <w:rPr>
          <w:lang w:val="fr-FR"/>
        </w:rPr>
        <w:t>évaluation des risques de grande a</w:t>
      </w:r>
      <w:r w:rsidR="005E4887" w:rsidRPr="007133EF">
        <w:rPr>
          <w:lang w:val="fr-FR"/>
        </w:rPr>
        <w:t>m</w:t>
      </w:r>
      <w:r w:rsidR="00376078" w:rsidRPr="007133EF">
        <w:rPr>
          <w:lang w:val="fr-FR"/>
        </w:rPr>
        <w:t>pleur pesant sur la biodiversité à l’aide de méthodes éprouvées »</w:t>
      </w:r>
      <w:r w:rsidR="00D542C2" w:rsidRPr="007133EF">
        <w:rPr>
          <w:lang w:val="fr-FR"/>
        </w:rPr>
        <w:t xml:space="preserve">) </w:t>
      </w:r>
      <w:r w:rsidRPr="007133EF">
        <w:rPr>
          <w:lang w:val="fr-FR"/>
        </w:rPr>
        <w:t>du Centre</w:t>
      </w:r>
      <w:r w:rsidR="00376078" w:rsidRPr="007133EF">
        <w:rPr>
          <w:lang w:val="fr-FR"/>
        </w:rPr>
        <w:t xml:space="preserve"> de recherche </w:t>
      </w:r>
      <w:r w:rsidR="00353E7F" w:rsidRPr="007133EF">
        <w:rPr>
          <w:lang w:val="fr-FR"/>
        </w:rPr>
        <w:t>en agro-environnement</w:t>
      </w:r>
      <w:r w:rsidR="00D7505A" w:rsidRPr="007133EF">
        <w:rPr>
          <w:rStyle w:val="FootnoteReference"/>
          <w:szCs w:val="20"/>
          <w:lang w:val="fr-FR"/>
        </w:rPr>
        <w:footnoteReference w:id="5"/>
      </w:r>
      <w:r w:rsidR="00871389">
        <w:rPr>
          <w:lang w:val="fr-FR"/>
        </w:rPr>
        <w:t>,</w:t>
      </w:r>
      <w:r w:rsidR="00D7505A" w:rsidRPr="007133EF">
        <w:rPr>
          <w:lang w:val="fr-FR"/>
        </w:rPr>
        <w:t xml:space="preserve"> </w:t>
      </w:r>
      <w:r w:rsidR="00353E7F" w:rsidRPr="007133EF">
        <w:rPr>
          <w:lang w:val="fr-FR"/>
        </w:rPr>
        <w:t>le projet « </w:t>
      </w:r>
      <w:r w:rsidR="007133EF" w:rsidRPr="007133EF">
        <w:rPr>
          <w:lang w:val="fr-FR"/>
        </w:rPr>
        <w:t>État</w:t>
      </w:r>
      <w:r w:rsidR="00353E7F" w:rsidRPr="007133EF">
        <w:rPr>
          <w:lang w:val="fr-FR"/>
        </w:rPr>
        <w:t xml:space="preserve"> et tendances des populations de pollinisateurs en Europe »</w:t>
      </w:r>
      <w:r w:rsidR="00D7505A" w:rsidRPr="007133EF">
        <w:rPr>
          <w:rStyle w:val="FootnoteReference"/>
          <w:szCs w:val="20"/>
          <w:lang w:val="fr-FR"/>
        </w:rPr>
        <w:footnoteReference w:id="6"/>
      </w:r>
      <w:r w:rsidR="00D7505A" w:rsidRPr="007133EF">
        <w:rPr>
          <w:lang w:val="fr-FR"/>
        </w:rPr>
        <w:t xml:space="preserve"> </w:t>
      </w:r>
      <w:r w:rsidR="00353E7F" w:rsidRPr="007133EF">
        <w:rPr>
          <w:lang w:val="fr-FR"/>
        </w:rPr>
        <w:t>et le projet sur le capital naturel</w:t>
      </w:r>
      <w:r w:rsidR="00D542C2" w:rsidRPr="007133EF">
        <w:rPr>
          <w:rStyle w:val="FootnoteReference"/>
          <w:szCs w:val="20"/>
          <w:lang w:val="fr-FR"/>
        </w:rPr>
        <w:footnoteReference w:id="7"/>
      </w:r>
      <w:r w:rsidR="00871389">
        <w:rPr>
          <w:lang w:val="fr-FR"/>
        </w:rPr>
        <w:t>,</w:t>
      </w:r>
      <w:r w:rsidR="00D542C2" w:rsidRPr="007133EF">
        <w:rPr>
          <w:lang w:val="fr-FR"/>
        </w:rPr>
        <w:t xml:space="preserve"> </w:t>
      </w:r>
      <w:r w:rsidR="00353E7F" w:rsidRPr="007133EF">
        <w:rPr>
          <w:lang w:val="fr-FR"/>
        </w:rPr>
        <w:t xml:space="preserve">notamment son logiciel de </w:t>
      </w:r>
      <w:r w:rsidR="007133EF" w:rsidRPr="007133EF">
        <w:rPr>
          <w:lang w:val="fr-FR"/>
        </w:rPr>
        <w:t>modélisation</w:t>
      </w:r>
      <w:r w:rsidR="00D542C2" w:rsidRPr="007133EF">
        <w:rPr>
          <w:lang w:val="fr-FR"/>
        </w:rPr>
        <w:t xml:space="preserve"> </w:t>
      </w:r>
      <w:r w:rsidR="00D7505A" w:rsidRPr="007133EF">
        <w:rPr>
          <w:lang w:val="fr-FR"/>
        </w:rPr>
        <w:t>InVEST</w:t>
      </w:r>
      <w:r w:rsidR="00D7505A" w:rsidRPr="007133EF">
        <w:rPr>
          <w:b/>
          <w:bCs/>
          <w:lang w:val="fr-FR"/>
        </w:rPr>
        <w:t xml:space="preserve"> </w:t>
      </w:r>
      <w:r w:rsidR="00D7505A" w:rsidRPr="007133EF">
        <w:rPr>
          <w:lang w:val="fr-FR"/>
        </w:rPr>
        <w:t>(</w:t>
      </w:r>
      <w:r w:rsidR="00353E7F" w:rsidRPr="007133EF">
        <w:rPr>
          <w:lang w:val="fr-FR"/>
        </w:rPr>
        <w:t>« évaluation intégrée des services écosystémiques et des choix possibles »</w:t>
      </w:r>
      <w:r w:rsidR="00D7505A" w:rsidRPr="007133EF">
        <w:rPr>
          <w:lang w:val="fr-FR"/>
        </w:rPr>
        <w:t xml:space="preserve">) </w:t>
      </w:r>
      <w:r w:rsidR="00353E7F" w:rsidRPr="007133EF">
        <w:rPr>
          <w:lang w:val="fr-FR"/>
        </w:rPr>
        <w:t>pour la cartographie et l’évaluation des services fournis par les écosystèmes</w:t>
      </w:r>
      <w:r w:rsidR="00D542C2" w:rsidRPr="007133EF">
        <w:rPr>
          <w:lang w:val="fr-FR"/>
        </w:rPr>
        <w:t>.</w:t>
      </w:r>
    </w:p>
    <w:p w:rsidR="00D7505A" w:rsidRPr="007133EF" w:rsidRDefault="00B172F7" w:rsidP="004E0A3B">
      <w:pPr>
        <w:pStyle w:val="CH1"/>
        <w:rPr>
          <w:lang w:val="fr-FR"/>
        </w:rPr>
      </w:pPr>
      <w:r w:rsidRPr="007133EF">
        <w:rPr>
          <w:lang w:val="fr-FR"/>
        </w:rPr>
        <w:tab/>
      </w:r>
      <w:r w:rsidR="00871389">
        <w:rPr>
          <w:lang w:val="fr-FR"/>
        </w:rPr>
        <w:t>I</w:t>
      </w:r>
      <w:r w:rsidR="002213CF" w:rsidRPr="007133EF">
        <w:rPr>
          <w:lang w:val="fr-FR"/>
        </w:rPr>
        <w:t>II.</w:t>
      </w:r>
      <w:r w:rsidRPr="007133EF">
        <w:rPr>
          <w:lang w:val="fr-FR"/>
        </w:rPr>
        <w:tab/>
      </w:r>
      <w:r w:rsidR="00353E7F" w:rsidRPr="007133EF">
        <w:rPr>
          <w:lang w:val="fr-FR"/>
        </w:rPr>
        <w:t>Plan des chapitres</w:t>
      </w:r>
    </w:p>
    <w:p w:rsidR="00FC2738" w:rsidRPr="007133EF" w:rsidRDefault="00FC2738" w:rsidP="004E0A3B">
      <w:pPr>
        <w:pStyle w:val="Normalnumber"/>
        <w:rPr>
          <w:lang w:val="fr-FR"/>
        </w:rPr>
      </w:pPr>
      <w:r w:rsidRPr="007133EF">
        <w:rPr>
          <w:lang w:val="fr-FR"/>
        </w:rPr>
        <w:t>I</w:t>
      </w:r>
      <w:r w:rsidR="00353E7F" w:rsidRPr="007133EF">
        <w:rPr>
          <w:lang w:val="fr-FR"/>
        </w:rPr>
        <w:t xml:space="preserve">l est prévu de présenter les résultats de l’évaluation </w:t>
      </w:r>
      <w:r w:rsidR="00871389">
        <w:rPr>
          <w:lang w:val="fr-FR"/>
        </w:rPr>
        <w:t xml:space="preserve">thématique </w:t>
      </w:r>
      <w:r w:rsidR="00353E7F" w:rsidRPr="007133EF">
        <w:rPr>
          <w:lang w:val="fr-FR"/>
        </w:rPr>
        <w:t>accélérée dans un rapport compo</w:t>
      </w:r>
      <w:r w:rsidR="00E9264D" w:rsidRPr="007133EF">
        <w:rPr>
          <w:lang w:val="fr-FR"/>
        </w:rPr>
        <w:t>sé de</w:t>
      </w:r>
      <w:r w:rsidR="005E4887" w:rsidRPr="007133EF">
        <w:rPr>
          <w:lang w:val="fr-FR"/>
        </w:rPr>
        <w:t>s</w:t>
      </w:r>
      <w:r w:rsidR="00E9264D" w:rsidRPr="007133EF">
        <w:rPr>
          <w:lang w:val="fr-FR"/>
        </w:rPr>
        <w:t xml:space="preserve"> </w:t>
      </w:r>
      <w:r w:rsidR="00353E7F" w:rsidRPr="007133EF">
        <w:rPr>
          <w:lang w:val="fr-FR"/>
        </w:rPr>
        <w:t>cinq chapitres</w:t>
      </w:r>
      <w:r w:rsidR="00E9264D" w:rsidRPr="007133EF">
        <w:rPr>
          <w:lang w:val="fr-FR"/>
        </w:rPr>
        <w:t xml:space="preserve"> décrits ci-après</w:t>
      </w:r>
      <w:r w:rsidR="003C12AB">
        <w:rPr>
          <w:lang w:val="fr-FR"/>
        </w:rPr>
        <w:t> :</w:t>
      </w:r>
    </w:p>
    <w:p w:rsidR="00D7505A" w:rsidRPr="007133EF" w:rsidRDefault="00E9264D" w:rsidP="004E0A3B">
      <w:pPr>
        <w:pStyle w:val="Normalnumber"/>
        <w:rPr>
          <w:lang w:val="fr-FR"/>
        </w:rPr>
      </w:pPr>
      <w:r w:rsidRPr="007133EF">
        <w:rPr>
          <w:lang w:val="fr-FR"/>
        </w:rPr>
        <w:t>Le c</w:t>
      </w:r>
      <w:r w:rsidR="00D7505A" w:rsidRPr="007133EF">
        <w:rPr>
          <w:lang w:val="fr-FR"/>
        </w:rPr>
        <w:t>hap</w:t>
      </w:r>
      <w:r w:rsidRPr="007133EF">
        <w:rPr>
          <w:lang w:val="fr-FR"/>
        </w:rPr>
        <w:t>itre </w:t>
      </w:r>
      <w:r w:rsidR="00D7505A" w:rsidRPr="007133EF">
        <w:rPr>
          <w:lang w:val="fr-FR"/>
        </w:rPr>
        <w:t>1</w:t>
      </w:r>
      <w:r w:rsidR="00FC2738" w:rsidRPr="007133EF">
        <w:rPr>
          <w:lang w:val="fr-FR"/>
        </w:rPr>
        <w:t xml:space="preserve"> </w:t>
      </w:r>
      <w:r w:rsidRPr="007133EF">
        <w:rPr>
          <w:lang w:val="fr-FR"/>
        </w:rPr>
        <w:t xml:space="preserve">du rapport d’évaluation comportera une brève vue d’ensemble de la diversité des pollinisateurs et des systèmes de pollinisation </w:t>
      </w:r>
      <w:r w:rsidR="005E4887" w:rsidRPr="007133EF">
        <w:rPr>
          <w:lang w:val="fr-FR"/>
        </w:rPr>
        <w:t xml:space="preserve">ainsi que </w:t>
      </w:r>
      <w:r w:rsidRPr="007133EF">
        <w:rPr>
          <w:lang w:val="fr-FR"/>
        </w:rPr>
        <w:t>d</w:t>
      </w:r>
      <w:r w:rsidR="005E4887" w:rsidRPr="007133EF">
        <w:rPr>
          <w:lang w:val="fr-FR"/>
        </w:rPr>
        <w:t xml:space="preserve">u </w:t>
      </w:r>
      <w:r w:rsidRPr="007133EF">
        <w:rPr>
          <w:lang w:val="fr-FR"/>
        </w:rPr>
        <w:t xml:space="preserve">rôle </w:t>
      </w:r>
      <w:r w:rsidR="005E4887" w:rsidRPr="007133EF">
        <w:rPr>
          <w:lang w:val="fr-FR"/>
        </w:rPr>
        <w:t xml:space="preserve">qu’ils jouent </w:t>
      </w:r>
      <w:r w:rsidRPr="007133EF">
        <w:rPr>
          <w:lang w:val="fr-FR"/>
        </w:rPr>
        <w:t xml:space="preserve">dans la </w:t>
      </w:r>
      <w:r w:rsidR="00D7505A" w:rsidRPr="007133EF">
        <w:rPr>
          <w:lang w:val="fr-FR"/>
        </w:rPr>
        <w:t xml:space="preserve">production </w:t>
      </w:r>
      <w:r w:rsidRPr="007133EF">
        <w:rPr>
          <w:lang w:val="fr-FR"/>
        </w:rPr>
        <w:t>alimentaire</w:t>
      </w:r>
      <w:r w:rsidR="006E34AE">
        <w:rPr>
          <w:lang w:val="fr-FR"/>
        </w:rPr>
        <w:t xml:space="preserve"> et</w:t>
      </w:r>
      <w:r w:rsidRPr="007133EF">
        <w:rPr>
          <w:lang w:val="fr-FR"/>
        </w:rPr>
        <w:t xml:space="preserve">, </w:t>
      </w:r>
      <w:r w:rsidR="006E34AE">
        <w:rPr>
          <w:lang w:val="fr-FR"/>
        </w:rPr>
        <w:t xml:space="preserve">de manière </w:t>
      </w:r>
      <w:r w:rsidRPr="007133EF">
        <w:rPr>
          <w:lang w:val="fr-FR"/>
        </w:rPr>
        <w:t xml:space="preserve">plus </w:t>
      </w:r>
      <w:r w:rsidR="006E34AE">
        <w:rPr>
          <w:lang w:val="fr-FR"/>
        </w:rPr>
        <w:t>générale</w:t>
      </w:r>
      <w:r w:rsidRPr="007133EF">
        <w:rPr>
          <w:lang w:val="fr-FR"/>
        </w:rPr>
        <w:t>, dans l</w:t>
      </w:r>
      <w:r w:rsidR="006E34AE">
        <w:rPr>
          <w:lang w:val="fr-FR"/>
        </w:rPr>
        <w:t>e maintien</w:t>
      </w:r>
      <w:r w:rsidRPr="007133EF">
        <w:rPr>
          <w:lang w:val="fr-FR"/>
        </w:rPr>
        <w:t xml:space="preserve"> du bien-être humain et de la biodiversité</w:t>
      </w:r>
      <w:r w:rsidR="00D7505A" w:rsidRPr="007133EF">
        <w:rPr>
          <w:lang w:val="fr-FR"/>
        </w:rPr>
        <w:t>. I</w:t>
      </w:r>
      <w:r w:rsidRPr="007133EF">
        <w:rPr>
          <w:lang w:val="fr-FR"/>
        </w:rPr>
        <w:t xml:space="preserve">l évaluera l’état et les tendances des éléments et fonctions </w:t>
      </w:r>
      <w:r w:rsidR="006E34AE">
        <w:rPr>
          <w:lang w:val="fr-FR"/>
        </w:rPr>
        <w:t xml:space="preserve">biologiques </w:t>
      </w:r>
      <w:r w:rsidRPr="007133EF">
        <w:rPr>
          <w:lang w:val="fr-FR"/>
        </w:rPr>
        <w:t xml:space="preserve">qui interagissent pour assurer les services de pollinisation et </w:t>
      </w:r>
      <w:r w:rsidR="006E34AE">
        <w:rPr>
          <w:lang w:val="fr-FR"/>
        </w:rPr>
        <w:t xml:space="preserve">se penchera sur </w:t>
      </w:r>
      <w:r w:rsidRPr="007133EF">
        <w:rPr>
          <w:lang w:val="fr-FR"/>
        </w:rPr>
        <w:t>le rôle</w:t>
      </w:r>
      <w:r w:rsidR="00D7505A" w:rsidRPr="007133EF">
        <w:rPr>
          <w:lang w:val="fr-FR"/>
        </w:rPr>
        <w:t xml:space="preserve"> </w:t>
      </w:r>
      <w:r w:rsidRPr="007133EF">
        <w:rPr>
          <w:lang w:val="fr-FR"/>
        </w:rPr>
        <w:t xml:space="preserve">des pollinisateurs </w:t>
      </w:r>
      <w:r w:rsidR="006E34AE">
        <w:rPr>
          <w:lang w:val="fr-FR"/>
        </w:rPr>
        <w:t>autochto</w:t>
      </w:r>
      <w:r w:rsidR="00B7097E" w:rsidRPr="007133EF">
        <w:rPr>
          <w:lang w:val="fr-FR"/>
        </w:rPr>
        <w:t>nes et exotiques, notamment les insectes, chauves-souris</w:t>
      </w:r>
      <w:r w:rsidR="00871389">
        <w:rPr>
          <w:lang w:val="fr-FR"/>
        </w:rPr>
        <w:t xml:space="preserve"> et autres mammifères</w:t>
      </w:r>
      <w:r w:rsidR="00B7097E" w:rsidRPr="007133EF">
        <w:rPr>
          <w:lang w:val="fr-FR"/>
        </w:rPr>
        <w:t>, oiseaux</w:t>
      </w:r>
      <w:r w:rsidR="00871389">
        <w:rPr>
          <w:lang w:val="fr-FR"/>
        </w:rPr>
        <w:t xml:space="preserve"> et</w:t>
      </w:r>
      <w:r w:rsidR="00B7097E" w:rsidRPr="007133EF">
        <w:rPr>
          <w:lang w:val="fr-FR"/>
        </w:rPr>
        <w:t xml:space="preserve"> </w:t>
      </w:r>
      <w:r w:rsidR="00D7505A" w:rsidRPr="007133EF">
        <w:rPr>
          <w:lang w:val="fr-FR"/>
        </w:rPr>
        <w:t>reptiles</w:t>
      </w:r>
      <w:r w:rsidR="00B7097E" w:rsidRPr="007133EF">
        <w:rPr>
          <w:lang w:val="fr-FR"/>
        </w:rPr>
        <w:t>.</w:t>
      </w:r>
      <w:r w:rsidR="00D7505A" w:rsidRPr="007133EF">
        <w:rPr>
          <w:lang w:val="fr-FR"/>
        </w:rPr>
        <w:t xml:space="preserve"> I</w:t>
      </w:r>
      <w:r w:rsidR="00B7097E" w:rsidRPr="007133EF">
        <w:rPr>
          <w:lang w:val="fr-FR"/>
        </w:rPr>
        <w:t xml:space="preserve">l tiendra en outre </w:t>
      </w:r>
      <w:r w:rsidR="006E34AE" w:rsidRPr="007133EF">
        <w:rPr>
          <w:lang w:val="fr-FR"/>
        </w:rPr>
        <w:t xml:space="preserve">compte </w:t>
      </w:r>
      <w:r w:rsidR="00B7097E" w:rsidRPr="007133EF">
        <w:rPr>
          <w:lang w:val="fr-FR"/>
        </w:rPr>
        <w:t>de la contribution de divers facteurs dans les différentes échelles spatiales</w:t>
      </w:r>
      <w:r w:rsidR="00D7505A" w:rsidRPr="007133EF">
        <w:rPr>
          <w:lang w:val="fr-FR"/>
        </w:rPr>
        <w:t xml:space="preserve">, </w:t>
      </w:r>
      <w:r w:rsidR="00B7097E" w:rsidRPr="007133EF">
        <w:rPr>
          <w:lang w:val="fr-FR"/>
        </w:rPr>
        <w:t>comme la typologie fonctionnelle des phytocénoses</w:t>
      </w:r>
      <w:r w:rsidR="00D7505A" w:rsidRPr="007133EF">
        <w:rPr>
          <w:lang w:val="fr-FR"/>
        </w:rPr>
        <w:t xml:space="preserve">, </w:t>
      </w:r>
      <w:r w:rsidR="00B7097E" w:rsidRPr="007133EF">
        <w:rPr>
          <w:lang w:val="fr-FR"/>
        </w:rPr>
        <w:t>la diversité et la spécificité des pollinisateurs, la saisonnalité et les fluctuations climatiques</w:t>
      </w:r>
      <w:r w:rsidR="005E4887" w:rsidRPr="007133EF">
        <w:rPr>
          <w:lang w:val="fr-FR"/>
        </w:rPr>
        <w:t xml:space="preserve"> et</w:t>
      </w:r>
      <w:r w:rsidR="00B7097E" w:rsidRPr="007133EF">
        <w:rPr>
          <w:lang w:val="fr-FR"/>
        </w:rPr>
        <w:t xml:space="preserve"> la structure de paysage </w:t>
      </w:r>
      <w:r w:rsidR="005E4887" w:rsidRPr="007133EF">
        <w:rPr>
          <w:lang w:val="fr-FR"/>
        </w:rPr>
        <w:t>associé</w:t>
      </w:r>
      <w:r w:rsidR="00B7097E" w:rsidRPr="007133EF">
        <w:rPr>
          <w:lang w:val="fr-FR"/>
        </w:rPr>
        <w:t>e aux processus de dispersion et de mobilité</w:t>
      </w:r>
      <w:r w:rsidR="00D7505A" w:rsidRPr="007133EF">
        <w:rPr>
          <w:lang w:val="fr-FR"/>
        </w:rPr>
        <w:t xml:space="preserve">. </w:t>
      </w:r>
    </w:p>
    <w:p w:rsidR="00D7505A" w:rsidRPr="007133EF" w:rsidRDefault="00B7097E" w:rsidP="004E0A3B">
      <w:pPr>
        <w:pStyle w:val="Normalnumber"/>
        <w:rPr>
          <w:lang w:val="fr-FR"/>
        </w:rPr>
      </w:pPr>
      <w:r w:rsidRPr="007133EF">
        <w:rPr>
          <w:lang w:val="fr-FR"/>
        </w:rPr>
        <w:t>Le chapitre </w:t>
      </w:r>
      <w:r w:rsidR="00D7505A" w:rsidRPr="007133EF">
        <w:rPr>
          <w:lang w:val="fr-FR"/>
        </w:rPr>
        <w:t xml:space="preserve">2 </w:t>
      </w:r>
      <w:r w:rsidR="00F71C50" w:rsidRPr="007133EF">
        <w:rPr>
          <w:lang w:val="fr-FR"/>
        </w:rPr>
        <w:t>examinera les</w:t>
      </w:r>
      <w:r w:rsidRPr="007133EF">
        <w:rPr>
          <w:lang w:val="fr-FR"/>
        </w:rPr>
        <w:t xml:space="preserve"> </w:t>
      </w:r>
      <w:r w:rsidR="00F71C50" w:rsidRPr="007133EF">
        <w:rPr>
          <w:lang w:val="fr-FR"/>
        </w:rPr>
        <w:t>différentes causes des changements observés dans l’action des</w:t>
      </w:r>
      <w:r w:rsidRPr="007133EF">
        <w:rPr>
          <w:lang w:val="fr-FR"/>
        </w:rPr>
        <w:t xml:space="preserve"> pollinisateurs et </w:t>
      </w:r>
      <w:r w:rsidR="005E4887" w:rsidRPr="007133EF">
        <w:rPr>
          <w:lang w:val="fr-FR"/>
        </w:rPr>
        <w:t xml:space="preserve">dans </w:t>
      </w:r>
      <w:r w:rsidR="00F71C50" w:rsidRPr="007133EF">
        <w:rPr>
          <w:lang w:val="fr-FR"/>
        </w:rPr>
        <w:t>l</w:t>
      </w:r>
      <w:r w:rsidRPr="007133EF">
        <w:rPr>
          <w:lang w:val="fr-FR"/>
        </w:rPr>
        <w:t xml:space="preserve">es services de pollinisation, notamment ceux </w:t>
      </w:r>
      <w:r w:rsidR="00F71C50" w:rsidRPr="007133EF">
        <w:rPr>
          <w:lang w:val="fr-FR"/>
        </w:rPr>
        <w:t>revêtant de l’</w:t>
      </w:r>
      <w:r w:rsidR="00D7505A" w:rsidRPr="007133EF">
        <w:rPr>
          <w:lang w:val="fr-FR"/>
        </w:rPr>
        <w:t xml:space="preserve">importance </w:t>
      </w:r>
      <w:r w:rsidR="00F71C50" w:rsidRPr="007133EF">
        <w:rPr>
          <w:lang w:val="fr-FR"/>
        </w:rPr>
        <w:t>pour la</w:t>
      </w:r>
      <w:r w:rsidR="00D7505A" w:rsidRPr="007133EF">
        <w:rPr>
          <w:lang w:val="fr-FR"/>
        </w:rPr>
        <w:t xml:space="preserve"> production</w:t>
      </w:r>
      <w:r w:rsidR="00F71C50" w:rsidRPr="007133EF">
        <w:rPr>
          <w:lang w:val="fr-FR"/>
        </w:rPr>
        <w:t xml:space="preserve"> alimentaire</w:t>
      </w:r>
      <w:r w:rsidR="00D7505A" w:rsidRPr="007133EF">
        <w:rPr>
          <w:lang w:val="fr-FR"/>
        </w:rPr>
        <w:t>. I</w:t>
      </w:r>
      <w:r w:rsidR="00F71C50" w:rsidRPr="007133EF">
        <w:rPr>
          <w:lang w:val="fr-FR"/>
        </w:rPr>
        <w:t xml:space="preserve">l passera en revue les facteurs indirects de ces changements, </w:t>
      </w:r>
      <w:r w:rsidR="005E4887" w:rsidRPr="007133EF">
        <w:rPr>
          <w:lang w:val="fr-FR"/>
        </w:rPr>
        <w:t>en</w:t>
      </w:r>
      <w:r w:rsidR="008671EE">
        <w:rPr>
          <w:lang w:val="fr-FR"/>
        </w:rPr>
        <w:t>tre</w:t>
      </w:r>
      <w:r w:rsidR="005E4887" w:rsidRPr="007133EF">
        <w:rPr>
          <w:lang w:val="fr-FR"/>
        </w:rPr>
        <w:t xml:space="preserve"> autres</w:t>
      </w:r>
      <w:r w:rsidR="00F71C50" w:rsidRPr="007133EF">
        <w:rPr>
          <w:lang w:val="fr-FR"/>
        </w:rPr>
        <w:t xml:space="preserve"> les échanges commerciaux et les politiques dans des domaines comme l’agriculture et l’aménagement du territoire, ainsi que les facteurs directs, notamment les risques liés à l’évolution du climat, aux maladies et aux espèces envahissantes, aux modifications dans l’utilisation des sols, aux nouvelles </w:t>
      </w:r>
      <w:r w:rsidR="00F71C50" w:rsidRPr="007133EF">
        <w:rPr>
          <w:lang w:val="fr-FR"/>
        </w:rPr>
        <w:lastRenderedPageBreak/>
        <w:t xml:space="preserve">pratiques agricoles et à l’utilisation de produits chimiques, </w:t>
      </w:r>
      <w:r w:rsidR="00F01E38" w:rsidRPr="007133EF">
        <w:rPr>
          <w:lang w:val="fr-FR"/>
        </w:rPr>
        <w:t>y compris</w:t>
      </w:r>
      <w:r w:rsidR="00F71C50" w:rsidRPr="007133EF">
        <w:rPr>
          <w:lang w:val="fr-FR"/>
        </w:rPr>
        <w:t xml:space="preserve"> les fongicides et les </w:t>
      </w:r>
      <w:r w:rsidR="00D7505A" w:rsidRPr="007133EF">
        <w:rPr>
          <w:lang w:val="fr-FR"/>
        </w:rPr>
        <w:t>insecticides</w:t>
      </w:r>
      <w:r w:rsidR="00F71C50" w:rsidRPr="007133EF">
        <w:rPr>
          <w:lang w:val="fr-FR"/>
        </w:rPr>
        <w:t>, comme les</w:t>
      </w:r>
      <w:r w:rsidR="00D7505A" w:rsidRPr="007133EF">
        <w:rPr>
          <w:lang w:val="fr-FR"/>
        </w:rPr>
        <w:t xml:space="preserve"> n</w:t>
      </w:r>
      <w:r w:rsidR="00002294" w:rsidRPr="007133EF">
        <w:rPr>
          <w:lang w:val="fr-FR"/>
        </w:rPr>
        <w:t>é</w:t>
      </w:r>
      <w:r w:rsidR="00D7505A" w:rsidRPr="007133EF">
        <w:rPr>
          <w:lang w:val="fr-FR"/>
        </w:rPr>
        <w:t>onicotino</w:t>
      </w:r>
      <w:r w:rsidR="00002294" w:rsidRPr="007133EF">
        <w:rPr>
          <w:lang w:val="fr-FR"/>
        </w:rPr>
        <w:t>ïdes.</w:t>
      </w:r>
    </w:p>
    <w:p w:rsidR="00D7505A" w:rsidRPr="007133EF" w:rsidRDefault="00002294" w:rsidP="004E0A3B">
      <w:pPr>
        <w:pStyle w:val="Normalnumber"/>
        <w:rPr>
          <w:lang w:val="fr-FR"/>
        </w:rPr>
      </w:pPr>
      <w:r w:rsidRPr="007133EF">
        <w:rPr>
          <w:lang w:val="fr-FR"/>
        </w:rPr>
        <w:t>Le c</w:t>
      </w:r>
      <w:r w:rsidR="00D7505A" w:rsidRPr="007133EF">
        <w:rPr>
          <w:lang w:val="fr-FR"/>
        </w:rPr>
        <w:t>hap</w:t>
      </w:r>
      <w:r w:rsidRPr="007133EF">
        <w:rPr>
          <w:lang w:val="fr-FR"/>
        </w:rPr>
        <w:t>itre </w:t>
      </w:r>
      <w:r w:rsidR="00D7505A" w:rsidRPr="007133EF">
        <w:rPr>
          <w:lang w:val="fr-FR"/>
        </w:rPr>
        <w:t xml:space="preserve">3 </w:t>
      </w:r>
      <w:r w:rsidRPr="007133EF">
        <w:rPr>
          <w:lang w:val="fr-FR"/>
        </w:rPr>
        <w:t>évaluera l’état et les tendances de la pollinisation en tant que processus fondamental dans les écosystèmes terrestres naturels et gérés par l’homme</w:t>
      </w:r>
      <w:r w:rsidR="00D7505A" w:rsidRPr="007133EF">
        <w:rPr>
          <w:lang w:val="fr-FR"/>
        </w:rPr>
        <w:t>. I</w:t>
      </w:r>
      <w:r w:rsidRPr="007133EF">
        <w:rPr>
          <w:lang w:val="fr-FR"/>
        </w:rPr>
        <w:t xml:space="preserve">l sera axé sur la contribution </w:t>
      </w:r>
      <w:r w:rsidR="00F01E38" w:rsidRPr="007133EF">
        <w:rPr>
          <w:lang w:val="fr-FR"/>
        </w:rPr>
        <w:t xml:space="preserve">apportée au bien-être humain par </w:t>
      </w:r>
      <w:r w:rsidRPr="007133EF">
        <w:rPr>
          <w:lang w:val="fr-FR"/>
        </w:rPr>
        <w:t xml:space="preserve">les diverses populations </w:t>
      </w:r>
      <w:r w:rsidR="00F01E38" w:rsidRPr="007133EF">
        <w:rPr>
          <w:lang w:val="fr-FR"/>
        </w:rPr>
        <w:t>de pollinisateurs</w:t>
      </w:r>
      <w:r w:rsidR="00D7505A" w:rsidRPr="007133EF">
        <w:rPr>
          <w:lang w:val="fr-FR"/>
        </w:rPr>
        <w:t xml:space="preserve">, </w:t>
      </w:r>
      <w:r w:rsidRPr="007133EF">
        <w:rPr>
          <w:lang w:val="fr-FR"/>
        </w:rPr>
        <w:t xml:space="preserve">eu égard au rôle </w:t>
      </w:r>
      <w:r w:rsidR="00F01E38" w:rsidRPr="007133EF">
        <w:rPr>
          <w:lang w:val="fr-FR"/>
        </w:rPr>
        <w:t>joué par la pollinisation</w:t>
      </w:r>
      <w:r w:rsidRPr="007133EF">
        <w:rPr>
          <w:lang w:val="fr-FR"/>
        </w:rPr>
        <w:t xml:space="preserve"> dans la préservation de la diversité biologique agricole et naturelle et dans la protection des communautés qui </w:t>
      </w:r>
      <w:r w:rsidR="00F01E38" w:rsidRPr="007133EF">
        <w:rPr>
          <w:lang w:val="fr-FR"/>
        </w:rPr>
        <w:t>sont tributaires</w:t>
      </w:r>
      <w:r w:rsidRPr="007133EF">
        <w:rPr>
          <w:lang w:val="fr-FR"/>
        </w:rPr>
        <w:t xml:space="preserve"> des ressources naturelles, notamment </w:t>
      </w:r>
      <w:r w:rsidR="00F01E38" w:rsidRPr="007133EF">
        <w:rPr>
          <w:lang w:val="fr-FR"/>
        </w:rPr>
        <w:t>pour la production de médicaments</w:t>
      </w:r>
      <w:r w:rsidR="00D7505A" w:rsidRPr="007133EF">
        <w:rPr>
          <w:lang w:val="fr-FR"/>
        </w:rPr>
        <w:t xml:space="preserve">. </w:t>
      </w:r>
      <w:r w:rsidRPr="007133EF">
        <w:rPr>
          <w:lang w:val="fr-FR"/>
        </w:rPr>
        <w:t xml:space="preserve">L’accent sera mis </w:t>
      </w:r>
      <w:r w:rsidR="00F01E38" w:rsidRPr="007133EF">
        <w:rPr>
          <w:lang w:val="fr-FR"/>
        </w:rPr>
        <w:t xml:space="preserve">aussi </w:t>
      </w:r>
      <w:r w:rsidRPr="007133EF">
        <w:rPr>
          <w:lang w:val="fr-FR"/>
        </w:rPr>
        <w:t xml:space="preserve">sur la contribution </w:t>
      </w:r>
      <w:r w:rsidR="00F01E38" w:rsidRPr="007133EF">
        <w:rPr>
          <w:lang w:val="fr-FR"/>
        </w:rPr>
        <w:t>capitale de</w:t>
      </w:r>
      <w:r w:rsidRPr="007133EF">
        <w:rPr>
          <w:lang w:val="fr-FR"/>
        </w:rPr>
        <w:t xml:space="preserve"> la pollinisation à la sécurité alimentaire</w:t>
      </w:r>
      <w:r w:rsidR="00967C74" w:rsidRPr="007133EF">
        <w:rPr>
          <w:lang w:val="fr-FR"/>
        </w:rPr>
        <w:t xml:space="preserve">, </w:t>
      </w:r>
      <w:r w:rsidRPr="007133EF">
        <w:rPr>
          <w:lang w:val="fr-FR"/>
        </w:rPr>
        <w:t xml:space="preserve">notamment </w:t>
      </w:r>
      <w:r w:rsidR="00F01E38" w:rsidRPr="007133EF">
        <w:rPr>
          <w:lang w:val="fr-FR"/>
        </w:rPr>
        <w:t xml:space="preserve">du point de vue de </w:t>
      </w:r>
      <w:r w:rsidRPr="007133EF">
        <w:rPr>
          <w:lang w:val="fr-FR"/>
        </w:rPr>
        <w:t>la</w:t>
      </w:r>
      <w:r w:rsidR="00D7505A" w:rsidRPr="007133EF">
        <w:rPr>
          <w:lang w:val="fr-FR"/>
        </w:rPr>
        <w:t xml:space="preserve"> qualit</w:t>
      </w:r>
      <w:r w:rsidRPr="007133EF">
        <w:rPr>
          <w:lang w:val="fr-FR"/>
        </w:rPr>
        <w:t>é</w:t>
      </w:r>
      <w:r w:rsidR="00D7505A" w:rsidRPr="007133EF">
        <w:rPr>
          <w:lang w:val="fr-FR"/>
        </w:rPr>
        <w:t xml:space="preserve">, </w:t>
      </w:r>
      <w:r w:rsidR="00F01E38" w:rsidRPr="007133EF">
        <w:rPr>
          <w:lang w:val="fr-FR"/>
        </w:rPr>
        <w:t xml:space="preserve">de </w:t>
      </w:r>
      <w:r w:rsidRPr="007133EF">
        <w:rPr>
          <w:lang w:val="fr-FR"/>
        </w:rPr>
        <w:t xml:space="preserve">la stabilité et </w:t>
      </w:r>
      <w:r w:rsidR="00F01E38" w:rsidRPr="007133EF">
        <w:rPr>
          <w:lang w:val="fr-FR"/>
        </w:rPr>
        <w:t xml:space="preserve">de la </w:t>
      </w:r>
      <w:r w:rsidRPr="007133EF">
        <w:rPr>
          <w:lang w:val="fr-FR"/>
        </w:rPr>
        <w:t>disponibilité de</w:t>
      </w:r>
      <w:r w:rsidR="00F01E38" w:rsidRPr="007133EF">
        <w:rPr>
          <w:lang w:val="fr-FR"/>
        </w:rPr>
        <w:t>s</w:t>
      </w:r>
      <w:r w:rsidRPr="007133EF">
        <w:rPr>
          <w:lang w:val="fr-FR"/>
        </w:rPr>
        <w:t xml:space="preserve"> denrées, ainsi que </w:t>
      </w:r>
      <w:r w:rsidR="00F01E38" w:rsidRPr="007133EF">
        <w:rPr>
          <w:lang w:val="fr-FR"/>
        </w:rPr>
        <w:t xml:space="preserve">sur </w:t>
      </w:r>
      <w:r w:rsidRPr="007133EF">
        <w:rPr>
          <w:lang w:val="fr-FR"/>
        </w:rPr>
        <w:t xml:space="preserve">sa contribution à la </w:t>
      </w:r>
      <w:r w:rsidR="00D7505A" w:rsidRPr="007133EF">
        <w:rPr>
          <w:lang w:val="fr-FR"/>
        </w:rPr>
        <w:t>g</w:t>
      </w:r>
      <w:r w:rsidRPr="007133EF">
        <w:rPr>
          <w:lang w:val="fr-FR"/>
        </w:rPr>
        <w:t>é</w:t>
      </w:r>
      <w:r w:rsidR="00D7505A" w:rsidRPr="007133EF">
        <w:rPr>
          <w:lang w:val="fr-FR"/>
        </w:rPr>
        <w:t>n</w:t>
      </w:r>
      <w:r w:rsidRPr="007133EF">
        <w:rPr>
          <w:lang w:val="fr-FR"/>
        </w:rPr>
        <w:t>é</w:t>
      </w:r>
      <w:r w:rsidR="00D7505A" w:rsidRPr="007133EF">
        <w:rPr>
          <w:lang w:val="fr-FR"/>
        </w:rPr>
        <w:t>rati</w:t>
      </w:r>
      <w:r w:rsidR="00967C74" w:rsidRPr="007133EF">
        <w:rPr>
          <w:lang w:val="fr-FR"/>
        </w:rPr>
        <w:t>on</w:t>
      </w:r>
      <w:r w:rsidRPr="007133EF">
        <w:rPr>
          <w:lang w:val="fr-FR"/>
        </w:rPr>
        <w:t xml:space="preserve"> de revenus</w:t>
      </w:r>
      <w:r w:rsidR="00D7505A" w:rsidRPr="007133EF">
        <w:rPr>
          <w:lang w:val="fr-FR"/>
        </w:rPr>
        <w:t xml:space="preserve">. </w:t>
      </w:r>
      <w:r w:rsidR="00FE6E54" w:rsidRPr="007133EF">
        <w:rPr>
          <w:lang w:val="fr-FR"/>
        </w:rPr>
        <w:t xml:space="preserve">Dans ce chapitre, on cherchera à déterminer comment le déficit de pollinisation peut être défini et quels sont les régions et les systèmes agricoles qui sont sujets </w:t>
      </w:r>
      <w:r w:rsidR="00871389">
        <w:rPr>
          <w:lang w:val="fr-FR"/>
        </w:rPr>
        <w:t>au déficit et au déclin de pollinisation</w:t>
      </w:r>
      <w:r w:rsidR="00D7505A" w:rsidRPr="007133EF">
        <w:rPr>
          <w:lang w:val="fr-FR"/>
        </w:rPr>
        <w:t>.</w:t>
      </w:r>
    </w:p>
    <w:p w:rsidR="00D7505A" w:rsidRPr="007133EF" w:rsidRDefault="007C7B77" w:rsidP="004E0A3B">
      <w:pPr>
        <w:pStyle w:val="Normalnumber"/>
        <w:rPr>
          <w:lang w:val="fr-FR"/>
        </w:rPr>
      </w:pPr>
      <w:r w:rsidRPr="007133EF">
        <w:rPr>
          <w:lang w:val="fr-FR"/>
        </w:rPr>
        <w:t>Le chapitre </w:t>
      </w:r>
      <w:r w:rsidR="00D7505A" w:rsidRPr="007133EF">
        <w:rPr>
          <w:lang w:val="fr-FR"/>
        </w:rPr>
        <w:t xml:space="preserve">4 </w:t>
      </w:r>
      <w:r w:rsidRPr="007133EF">
        <w:rPr>
          <w:lang w:val="fr-FR"/>
        </w:rPr>
        <w:t>passe</w:t>
      </w:r>
      <w:r w:rsidR="00F01E38" w:rsidRPr="007133EF">
        <w:rPr>
          <w:lang w:val="fr-FR"/>
        </w:rPr>
        <w:t>ra</w:t>
      </w:r>
      <w:r w:rsidRPr="007133EF">
        <w:rPr>
          <w:lang w:val="fr-FR"/>
        </w:rPr>
        <w:t xml:space="preserve"> en revue les méthodes économiques disponibles pour déterminer la valeur de la pollinisation pour la production alimentaire</w:t>
      </w:r>
      <w:r w:rsidR="00D7505A" w:rsidRPr="007133EF">
        <w:rPr>
          <w:lang w:val="fr-FR"/>
        </w:rPr>
        <w:t xml:space="preserve"> </w:t>
      </w:r>
      <w:r w:rsidRPr="007133EF">
        <w:rPr>
          <w:lang w:val="fr-FR"/>
        </w:rPr>
        <w:t>ainsi que les incidences économiques du déclin des  populations de pollinisateurs contribuant à cette production. Il évalue</w:t>
      </w:r>
      <w:r w:rsidR="00F01E38" w:rsidRPr="007133EF">
        <w:rPr>
          <w:lang w:val="fr-FR"/>
        </w:rPr>
        <w:t>ra</w:t>
      </w:r>
      <w:r w:rsidRPr="007133EF">
        <w:rPr>
          <w:lang w:val="fr-FR"/>
        </w:rPr>
        <w:t xml:space="preserve"> la mesure dans laquelle les estimations actuelles de la valeur économique de la pollinisation pour la production alimentaire rendent compte des contributions de la pollinisation à la sécurité alimentaire et au développement, mises en évidence dans le </w:t>
      </w:r>
      <w:r w:rsidR="00D7505A" w:rsidRPr="007133EF">
        <w:rPr>
          <w:lang w:val="fr-FR"/>
        </w:rPr>
        <w:t>chap</w:t>
      </w:r>
      <w:r w:rsidRPr="007133EF">
        <w:rPr>
          <w:lang w:val="fr-FR"/>
        </w:rPr>
        <w:t>itre </w:t>
      </w:r>
      <w:r w:rsidR="00D7505A" w:rsidRPr="007133EF">
        <w:rPr>
          <w:lang w:val="fr-FR"/>
        </w:rPr>
        <w:t>3. I</w:t>
      </w:r>
      <w:r w:rsidRPr="007133EF">
        <w:rPr>
          <w:lang w:val="fr-FR"/>
        </w:rPr>
        <w:t xml:space="preserve">l </w:t>
      </w:r>
      <w:r w:rsidR="007133EF" w:rsidRPr="007133EF">
        <w:rPr>
          <w:lang w:val="fr-FR"/>
        </w:rPr>
        <w:t>étudiera</w:t>
      </w:r>
      <w:r w:rsidRPr="007133EF">
        <w:rPr>
          <w:lang w:val="fr-FR"/>
        </w:rPr>
        <w:t xml:space="preserve"> aussi les méthodologies et approches les plus adaptées pour établir ces valeurs aux niveaux national et local</w:t>
      </w:r>
      <w:r w:rsidR="00D7505A" w:rsidRPr="007133EF">
        <w:rPr>
          <w:lang w:val="fr-FR"/>
        </w:rPr>
        <w:t xml:space="preserve">. </w:t>
      </w:r>
    </w:p>
    <w:p w:rsidR="00D7505A" w:rsidRPr="007133EF" w:rsidRDefault="007C7B77" w:rsidP="004E0A3B">
      <w:pPr>
        <w:pStyle w:val="Normalnumber"/>
        <w:rPr>
          <w:lang w:val="fr-FR"/>
        </w:rPr>
      </w:pPr>
      <w:r w:rsidRPr="007133EF">
        <w:rPr>
          <w:lang w:val="fr-FR"/>
        </w:rPr>
        <w:t>Le chapitre </w:t>
      </w:r>
      <w:r w:rsidR="00D7505A" w:rsidRPr="007133EF">
        <w:rPr>
          <w:lang w:val="fr-FR"/>
        </w:rPr>
        <w:t xml:space="preserve">5 </w:t>
      </w:r>
      <w:r w:rsidR="003E3B63">
        <w:rPr>
          <w:lang w:val="fr-FR"/>
        </w:rPr>
        <w:t>examinera l</w:t>
      </w:r>
      <w:r w:rsidR="007133EF" w:rsidRPr="007133EF">
        <w:rPr>
          <w:lang w:val="fr-FR"/>
        </w:rPr>
        <w:t>es</w:t>
      </w:r>
      <w:r w:rsidRPr="007133EF">
        <w:rPr>
          <w:lang w:val="fr-FR"/>
        </w:rPr>
        <w:t xml:space="preserve"> mesures </w:t>
      </w:r>
      <w:r w:rsidR="003E3B63">
        <w:rPr>
          <w:lang w:val="fr-FR"/>
        </w:rPr>
        <w:t>pr</w:t>
      </w:r>
      <w:r w:rsidRPr="007133EF">
        <w:rPr>
          <w:lang w:val="fr-FR"/>
        </w:rPr>
        <w:t>ises pour répondre aux risques associés à la</w:t>
      </w:r>
      <w:r w:rsidR="00BE26E7" w:rsidRPr="007133EF">
        <w:rPr>
          <w:lang w:val="fr-FR"/>
        </w:rPr>
        <w:t xml:space="preserve"> </w:t>
      </w:r>
      <w:r w:rsidR="00D7505A" w:rsidRPr="007133EF">
        <w:rPr>
          <w:lang w:val="fr-FR"/>
        </w:rPr>
        <w:t>d</w:t>
      </w:r>
      <w:r w:rsidRPr="007133EF">
        <w:rPr>
          <w:lang w:val="fr-FR"/>
        </w:rPr>
        <w:t>ég</w:t>
      </w:r>
      <w:r w:rsidR="00D7505A" w:rsidRPr="007133EF">
        <w:rPr>
          <w:lang w:val="fr-FR"/>
        </w:rPr>
        <w:t xml:space="preserve">radation </w:t>
      </w:r>
      <w:r w:rsidRPr="007133EF">
        <w:rPr>
          <w:lang w:val="fr-FR"/>
        </w:rPr>
        <w:t xml:space="preserve">des services de pollinisation </w:t>
      </w:r>
      <w:r w:rsidR="007133EF" w:rsidRPr="007133EF">
        <w:rPr>
          <w:lang w:val="fr-FR"/>
        </w:rPr>
        <w:t>ainsi que</w:t>
      </w:r>
      <w:r w:rsidRPr="007133EF">
        <w:rPr>
          <w:lang w:val="fr-FR"/>
        </w:rPr>
        <w:t xml:space="preserve"> </w:t>
      </w:r>
      <w:r w:rsidR="003E3B63">
        <w:rPr>
          <w:lang w:val="fr-FR"/>
        </w:rPr>
        <w:t>l</w:t>
      </w:r>
      <w:r w:rsidRPr="007133EF">
        <w:rPr>
          <w:lang w:val="fr-FR"/>
        </w:rPr>
        <w:t>es possibilités de restaurer et de renforcer ces services</w:t>
      </w:r>
      <w:r w:rsidR="00D7505A" w:rsidRPr="007133EF">
        <w:rPr>
          <w:lang w:val="fr-FR"/>
        </w:rPr>
        <w:t>.</w:t>
      </w:r>
      <w:r w:rsidRPr="007133EF">
        <w:rPr>
          <w:lang w:val="fr-FR"/>
        </w:rPr>
        <w:t xml:space="preserve"> Les données d’expérience rassemblées dans l’utilisation d</w:t>
      </w:r>
      <w:r w:rsidR="007133EF" w:rsidRPr="007133EF">
        <w:rPr>
          <w:lang w:val="fr-FR"/>
        </w:rPr>
        <w:t>’</w:t>
      </w:r>
      <w:r w:rsidRPr="007133EF">
        <w:rPr>
          <w:lang w:val="fr-FR"/>
        </w:rPr>
        <w:t xml:space="preserve">outils et </w:t>
      </w:r>
      <w:r w:rsidR="007133EF" w:rsidRPr="007133EF">
        <w:rPr>
          <w:lang w:val="fr-FR"/>
        </w:rPr>
        <w:t xml:space="preserve">de </w:t>
      </w:r>
      <w:r w:rsidRPr="007133EF">
        <w:rPr>
          <w:lang w:val="fr-FR"/>
        </w:rPr>
        <w:t xml:space="preserve">méthodologies de cartographie, de modélisation et d’analyse des différentes </w:t>
      </w:r>
      <w:r w:rsidR="007133EF" w:rsidRPr="007133EF">
        <w:rPr>
          <w:lang w:val="fr-FR"/>
        </w:rPr>
        <w:t>options</w:t>
      </w:r>
      <w:r w:rsidRPr="007133EF">
        <w:rPr>
          <w:lang w:val="fr-FR"/>
        </w:rPr>
        <w:t xml:space="preserve"> </w:t>
      </w:r>
      <w:r w:rsidR="007133EF" w:rsidRPr="007133EF">
        <w:rPr>
          <w:lang w:val="fr-FR"/>
        </w:rPr>
        <w:t xml:space="preserve">offertes </w:t>
      </w:r>
      <w:r w:rsidRPr="007133EF">
        <w:rPr>
          <w:lang w:val="fr-FR"/>
        </w:rPr>
        <w:t xml:space="preserve">seront évaluées sur la base des travaux déjà réalisés par des acteurs comme la </w:t>
      </w:r>
      <w:r w:rsidR="00D7505A" w:rsidRPr="007133EF">
        <w:rPr>
          <w:lang w:val="fr-FR"/>
        </w:rPr>
        <w:t xml:space="preserve">FAO, </w:t>
      </w:r>
      <w:r w:rsidRPr="007133EF">
        <w:rPr>
          <w:lang w:val="fr-FR"/>
        </w:rPr>
        <w:t xml:space="preserve">notamment pour déterminer comment les incertitudes écologiques peuvent être </w:t>
      </w:r>
      <w:r w:rsidR="00D173AD" w:rsidRPr="007133EF">
        <w:rPr>
          <w:lang w:val="fr-FR"/>
        </w:rPr>
        <w:t xml:space="preserve">gérées et comment </w:t>
      </w:r>
      <w:r w:rsidR="007133EF" w:rsidRPr="007133EF">
        <w:rPr>
          <w:lang w:val="fr-FR"/>
        </w:rPr>
        <w:t>les</w:t>
      </w:r>
      <w:r w:rsidR="00D173AD" w:rsidRPr="007133EF">
        <w:rPr>
          <w:lang w:val="fr-FR"/>
        </w:rPr>
        <w:t xml:space="preserve"> besoins en matière de surveillance et de recherche</w:t>
      </w:r>
      <w:r w:rsidR="007133EF" w:rsidRPr="007133EF">
        <w:rPr>
          <w:lang w:val="fr-FR"/>
        </w:rPr>
        <w:t xml:space="preserve"> peuvent être satisfaits</w:t>
      </w:r>
      <w:r w:rsidR="00D7505A" w:rsidRPr="007133EF">
        <w:rPr>
          <w:lang w:val="fr-FR"/>
        </w:rPr>
        <w:t xml:space="preserve">. </w:t>
      </w:r>
      <w:r w:rsidR="00D173AD" w:rsidRPr="007133EF">
        <w:rPr>
          <w:lang w:val="fr-FR"/>
        </w:rPr>
        <w:t xml:space="preserve">Ce chapitre évaluera en outre la mesure dans laquelle la compréhension du déclin et du déficit de pollinisation peut contribuer à faire progresser les pratiques et les politiques, </w:t>
      </w:r>
      <w:r w:rsidR="007133EF" w:rsidRPr="007133EF">
        <w:rPr>
          <w:lang w:val="fr-FR"/>
        </w:rPr>
        <w:t>entre autres</w:t>
      </w:r>
      <w:r w:rsidR="00D173AD" w:rsidRPr="007133EF">
        <w:rPr>
          <w:lang w:val="fr-FR"/>
        </w:rPr>
        <w:t xml:space="preserve"> en matière de gestion de l’utilisation des sols, d’</w:t>
      </w:r>
      <w:r w:rsidR="00D7505A" w:rsidRPr="007133EF">
        <w:rPr>
          <w:lang w:val="fr-FR"/>
        </w:rPr>
        <w:t xml:space="preserve">horticulture </w:t>
      </w:r>
      <w:r w:rsidR="00D173AD" w:rsidRPr="007133EF">
        <w:rPr>
          <w:lang w:val="fr-FR"/>
        </w:rPr>
        <w:t>et d’</w:t>
      </w:r>
      <w:r w:rsidR="00D7505A" w:rsidRPr="007133EF">
        <w:rPr>
          <w:lang w:val="fr-FR"/>
        </w:rPr>
        <w:t xml:space="preserve">agriculture, </w:t>
      </w:r>
      <w:r w:rsidR="00D173AD" w:rsidRPr="007133EF">
        <w:rPr>
          <w:lang w:val="fr-FR"/>
        </w:rPr>
        <w:t xml:space="preserve">grâce notamment à des approches novatrices comme </w:t>
      </w:r>
      <w:r w:rsidR="007133EF" w:rsidRPr="007133EF">
        <w:rPr>
          <w:lang w:val="fr-FR"/>
        </w:rPr>
        <w:t>une intensification de l’</w:t>
      </w:r>
      <w:r w:rsidR="00D173AD" w:rsidRPr="007133EF">
        <w:rPr>
          <w:lang w:val="fr-FR"/>
        </w:rPr>
        <w:t>agriculture écologiquement rationnelle</w:t>
      </w:r>
      <w:r w:rsidR="00D7505A" w:rsidRPr="007133EF">
        <w:rPr>
          <w:lang w:val="fr-FR"/>
        </w:rPr>
        <w:t xml:space="preserve">. </w:t>
      </w:r>
      <w:r w:rsidR="003E3B63">
        <w:rPr>
          <w:lang w:val="fr-FR"/>
        </w:rPr>
        <w:t>L</w:t>
      </w:r>
      <w:r w:rsidR="00D173AD" w:rsidRPr="007133EF">
        <w:rPr>
          <w:lang w:val="fr-FR"/>
        </w:rPr>
        <w:t xml:space="preserve">’évaluation des </w:t>
      </w:r>
      <w:r w:rsidR="003E3B63">
        <w:rPr>
          <w:lang w:val="fr-FR"/>
        </w:rPr>
        <w:t>options de riposte comprendra</w:t>
      </w:r>
      <w:r w:rsidR="00D173AD" w:rsidRPr="007133EF">
        <w:rPr>
          <w:lang w:val="fr-FR"/>
        </w:rPr>
        <w:t xml:space="preserve"> également un examen des </w:t>
      </w:r>
      <w:r w:rsidR="003E3B63">
        <w:rPr>
          <w:lang w:val="fr-FR"/>
        </w:rPr>
        <w:t>contreparties politiques.</w:t>
      </w:r>
    </w:p>
    <w:p w:rsidR="00D7505A" w:rsidRPr="007133EF" w:rsidRDefault="00B172F7" w:rsidP="004E0A3B">
      <w:pPr>
        <w:pStyle w:val="CH1"/>
        <w:rPr>
          <w:lang w:val="fr-FR"/>
        </w:rPr>
      </w:pPr>
      <w:r w:rsidRPr="007133EF">
        <w:rPr>
          <w:lang w:val="fr-FR"/>
        </w:rPr>
        <w:tab/>
      </w:r>
      <w:r w:rsidR="00D4614C" w:rsidRPr="007133EF">
        <w:rPr>
          <w:lang w:val="fr-FR"/>
        </w:rPr>
        <w:t>I</w:t>
      </w:r>
      <w:r w:rsidR="00871389">
        <w:rPr>
          <w:lang w:val="fr-FR"/>
        </w:rPr>
        <w:t>V</w:t>
      </w:r>
      <w:r w:rsidR="00D4614C" w:rsidRPr="007133EF">
        <w:rPr>
          <w:lang w:val="fr-FR"/>
        </w:rPr>
        <w:t>.</w:t>
      </w:r>
      <w:r w:rsidR="00D7505A" w:rsidRPr="007133EF">
        <w:rPr>
          <w:lang w:val="fr-FR"/>
        </w:rPr>
        <w:tab/>
      </w:r>
      <w:r w:rsidR="008A6546" w:rsidRPr="007133EF">
        <w:rPr>
          <w:lang w:val="fr-FR"/>
        </w:rPr>
        <w:t>Déroulement et calendrier des travaux</w:t>
      </w:r>
    </w:p>
    <w:p w:rsidR="008F45EB" w:rsidRPr="007133EF" w:rsidRDefault="008A6546" w:rsidP="004E0A3B">
      <w:pPr>
        <w:pStyle w:val="Normalnumber"/>
        <w:rPr>
          <w:lang w:val="fr-FR"/>
        </w:rPr>
      </w:pPr>
      <w:r w:rsidRPr="007133EF">
        <w:rPr>
          <w:lang w:val="fr-FR"/>
        </w:rPr>
        <w:t>Le déroulement et le calendrier des travaux envisagés pour la réalisation de l’évaluation accélérée sont indiqués dans le tableau ci-après</w:t>
      </w:r>
      <w:r w:rsidR="008F45EB" w:rsidRPr="007133EF">
        <w:rPr>
          <w:lang w:val="fr-FR"/>
        </w:rPr>
        <w:t>.</w:t>
      </w:r>
    </w:p>
    <w:tbl>
      <w:tblPr>
        <w:tblW w:w="8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996"/>
        <w:gridCol w:w="6510"/>
      </w:tblGrid>
      <w:tr w:rsidR="00871389" w:rsidRPr="007133EF" w:rsidTr="008835A9">
        <w:trPr>
          <w:trHeight w:val="584"/>
          <w:tblHeader/>
          <w:jc w:val="right"/>
        </w:trPr>
        <w:tc>
          <w:tcPr>
            <w:tcW w:w="1853" w:type="dxa"/>
            <w:gridSpan w:val="2"/>
            <w:shd w:val="clear" w:color="auto" w:fill="auto"/>
            <w:vAlign w:val="center"/>
          </w:tcPr>
          <w:p w:rsidR="00871389" w:rsidRPr="00871389" w:rsidRDefault="00871389" w:rsidP="00871389">
            <w:pPr>
              <w:pStyle w:val="Normal-pool"/>
              <w:spacing w:before="40" w:after="40"/>
              <w:rPr>
                <w:rFonts w:eastAsia="SimSun"/>
                <w:i/>
                <w:sz w:val="18"/>
                <w:szCs w:val="18"/>
                <w:lang w:val="fr-FR" w:eastAsia="zh-CN"/>
              </w:rPr>
            </w:pPr>
            <w:r w:rsidRPr="00871389">
              <w:rPr>
                <w:rFonts w:eastAsia="SimSun"/>
                <w:i/>
                <w:sz w:val="18"/>
                <w:szCs w:val="18"/>
                <w:lang w:val="fr-FR" w:eastAsia="zh-CN"/>
              </w:rPr>
              <w:t>Calendrier</w:t>
            </w:r>
          </w:p>
        </w:tc>
        <w:tc>
          <w:tcPr>
            <w:tcW w:w="6510" w:type="dxa"/>
            <w:shd w:val="clear" w:color="auto" w:fill="auto"/>
            <w:vAlign w:val="center"/>
          </w:tcPr>
          <w:p w:rsidR="00871389" w:rsidRPr="00871389" w:rsidRDefault="00871389" w:rsidP="00871389">
            <w:pPr>
              <w:pStyle w:val="Normal-pool"/>
              <w:spacing w:before="40" w:after="40"/>
              <w:rPr>
                <w:i/>
                <w:sz w:val="18"/>
                <w:szCs w:val="18"/>
                <w:lang w:val="fr-FR"/>
              </w:rPr>
            </w:pPr>
            <w:r w:rsidRPr="00871389">
              <w:rPr>
                <w:i/>
                <w:sz w:val="18"/>
                <w:szCs w:val="18"/>
                <w:lang w:val="fr-FR"/>
              </w:rPr>
              <w:t>Activités</w:t>
            </w:r>
          </w:p>
        </w:tc>
      </w:tr>
      <w:tr w:rsidR="003265E4" w:rsidRPr="007133EF" w:rsidTr="008835A9">
        <w:trPr>
          <w:trHeight w:val="584"/>
          <w:jc w:val="right"/>
        </w:trPr>
        <w:tc>
          <w:tcPr>
            <w:tcW w:w="857" w:type="dxa"/>
            <w:vMerge w:val="restart"/>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r w:rsidRPr="007133EF">
              <w:rPr>
                <w:rFonts w:eastAsia="SimSun"/>
                <w:sz w:val="18"/>
                <w:szCs w:val="18"/>
                <w:lang w:val="fr-FR" w:eastAsia="zh-CN"/>
              </w:rPr>
              <w:t>2013</w:t>
            </w:r>
          </w:p>
        </w:tc>
        <w:tc>
          <w:tcPr>
            <w:tcW w:w="996" w:type="dxa"/>
            <w:vMerge w:val="restart"/>
            <w:shd w:val="clear" w:color="auto" w:fill="auto"/>
            <w:vAlign w:val="center"/>
          </w:tcPr>
          <w:p w:rsidR="003265E4" w:rsidRPr="007133EF" w:rsidRDefault="003265E4" w:rsidP="00871389">
            <w:pPr>
              <w:pStyle w:val="Normal-pool"/>
              <w:spacing w:before="40" w:after="40"/>
              <w:rPr>
                <w:rFonts w:eastAsia="SimSun"/>
                <w:sz w:val="18"/>
                <w:szCs w:val="18"/>
                <w:lang w:val="fr-FR" w:eastAsia="zh-CN"/>
              </w:rPr>
            </w:pPr>
            <w:r>
              <w:rPr>
                <w:rFonts w:eastAsia="SimSun"/>
                <w:sz w:val="18"/>
                <w:szCs w:val="18"/>
                <w:lang w:val="fr-FR" w:eastAsia="zh-CN"/>
              </w:rPr>
              <w:t>Quatrième trimestre</w:t>
            </w:r>
          </w:p>
        </w:tc>
        <w:tc>
          <w:tcPr>
            <w:tcW w:w="6510" w:type="dxa"/>
            <w:shd w:val="clear" w:color="auto" w:fill="auto"/>
            <w:vAlign w:val="center"/>
          </w:tcPr>
          <w:p w:rsidR="003265E4" w:rsidRPr="007133EF" w:rsidRDefault="003265E4" w:rsidP="004E0A3B">
            <w:pPr>
              <w:pStyle w:val="Normal-pool"/>
              <w:spacing w:before="40" w:after="40"/>
              <w:rPr>
                <w:sz w:val="18"/>
                <w:szCs w:val="18"/>
                <w:lang w:val="fr-FR"/>
              </w:rPr>
            </w:pPr>
            <w:r w:rsidRPr="007133EF">
              <w:rPr>
                <w:sz w:val="18"/>
                <w:szCs w:val="18"/>
                <w:lang w:val="fr-FR"/>
              </w:rPr>
              <w:t>La Plénière examine et approuve l’étude de cadrage initiale établie par le Groupe d’experts multidisciplinaire (14 décembre 2013).</w:t>
            </w:r>
          </w:p>
        </w:tc>
      </w:tr>
      <w:tr w:rsidR="003265E4" w:rsidRPr="007133EF" w:rsidTr="008835A9">
        <w:trPr>
          <w:trHeight w:val="584"/>
          <w:jc w:val="right"/>
        </w:trPr>
        <w:tc>
          <w:tcPr>
            <w:tcW w:w="857" w:type="dxa"/>
            <w:vMerge/>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p>
        </w:tc>
        <w:tc>
          <w:tcPr>
            <w:tcW w:w="996" w:type="dxa"/>
            <w:vMerge/>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p>
        </w:tc>
        <w:tc>
          <w:tcPr>
            <w:tcW w:w="6510" w:type="dxa"/>
            <w:shd w:val="clear" w:color="auto" w:fill="auto"/>
            <w:vAlign w:val="center"/>
          </w:tcPr>
          <w:p w:rsidR="003265E4" w:rsidRPr="007133EF" w:rsidRDefault="003265E4" w:rsidP="00094630">
            <w:pPr>
              <w:pStyle w:val="Normal-pool"/>
              <w:spacing w:before="40" w:after="40"/>
              <w:rPr>
                <w:sz w:val="18"/>
                <w:szCs w:val="18"/>
                <w:lang w:val="fr-FR"/>
              </w:rPr>
            </w:pPr>
            <w:r w:rsidRPr="007133EF">
              <w:rPr>
                <w:sz w:val="18"/>
                <w:szCs w:val="18"/>
                <w:lang w:val="fr-FR"/>
              </w:rPr>
              <w:t xml:space="preserve">Le Groupe d’experts multidisciplinaire, par la voie du secrétariat, demande aux gouvernements et aux autres parties prenantes de désigner des experts </w:t>
            </w:r>
            <w:r>
              <w:rPr>
                <w:sz w:val="18"/>
                <w:szCs w:val="18"/>
                <w:lang w:val="fr-FR"/>
              </w:rPr>
              <w:t>(</w:t>
            </w:r>
            <w:r w:rsidRPr="007133EF">
              <w:rPr>
                <w:sz w:val="18"/>
                <w:szCs w:val="18"/>
                <w:lang w:val="fr-FR"/>
              </w:rPr>
              <w:t>coprésidents de l’équipe chargée du rapport, d’auteurs coordonnateurs principaux, d’auteurs principaux et d’éditeurs-réviseurs</w:t>
            </w:r>
            <w:r>
              <w:rPr>
                <w:sz w:val="18"/>
                <w:szCs w:val="18"/>
                <w:lang w:val="fr-FR"/>
              </w:rPr>
              <w:t xml:space="preserve">) </w:t>
            </w:r>
            <w:r w:rsidRPr="007133EF">
              <w:rPr>
                <w:sz w:val="18"/>
                <w:szCs w:val="18"/>
                <w:lang w:val="fr-FR"/>
              </w:rPr>
              <w:t xml:space="preserve">pour réaliser l’évaluation sur la base </w:t>
            </w:r>
            <w:r>
              <w:rPr>
                <w:sz w:val="18"/>
                <w:szCs w:val="18"/>
                <w:lang w:val="fr-FR"/>
              </w:rPr>
              <w:t xml:space="preserve">des résultats </w:t>
            </w:r>
            <w:r w:rsidRPr="007133EF">
              <w:rPr>
                <w:sz w:val="18"/>
                <w:szCs w:val="18"/>
                <w:lang w:val="fr-FR"/>
              </w:rPr>
              <w:t xml:space="preserve">de l’étude de cadrage approuvée par la Plénière (9 décembre 2013–10 janvier 2014). </w:t>
            </w:r>
          </w:p>
        </w:tc>
      </w:tr>
      <w:tr w:rsidR="003265E4" w:rsidRPr="007133EF" w:rsidTr="008835A9">
        <w:trPr>
          <w:trHeight w:val="584"/>
          <w:jc w:val="right"/>
        </w:trPr>
        <w:tc>
          <w:tcPr>
            <w:tcW w:w="857" w:type="dxa"/>
            <w:vMerge w:val="restart"/>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r>
              <w:rPr>
                <w:rFonts w:eastAsia="SimSun"/>
                <w:sz w:val="18"/>
                <w:szCs w:val="18"/>
                <w:lang w:val="fr-FR" w:eastAsia="zh-CN"/>
              </w:rPr>
              <w:t>2014</w:t>
            </w:r>
          </w:p>
        </w:tc>
        <w:tc>
          <w:tcPr>
            <w:tcW w:w="996" w:type="dxa"/>
            <w:shd w:val="clear" w:color="auto" w:fill="auto"/>
            <w:vAlign w:val="center"/>
          </w:tcPr>
          <w:p w:rsidR="003265E4" w:rsidRPr="007133EF" w:rsidRDefault="003265E4" w:rsidP="00871389">
            <w:pPr>
              <w:pStyle w:val="Normal-pool"/>
              <w:spacing w:before="40" w:after="40"/>
              <w:rPr>
                <w:rFonts w:eastAsia="SimSun"/>
                <w:sz w:val="18"/>
                <w:szCs w:val="18"/>
                <w:lang w:val="fr-FR" w:eastAsia="zh-CN"/>
              </w:rPr>
            </w:pPr>
            <w:r>
              <w:rPr>
                <w:rFonts w:eastAsia="SimSun"/>
                <w:sz w:val="18"/>
                <w:szCs w:val="18"/>
                <w:lang w:val="fr-FR" w:eastAsia="zh-CN"/>
              </w:rPr>
              <w:t>Premier trimestre</w:t>
            </w:r>
          </w:p>
        </w:tc>
        <w:tc>
          <w:tcPr>
            <w:tcW w:w="6510" w:type="dxa"/>
            <w:shd w:val="clear" w:color="auto" w:fill="auto"/>
            <w:vAlign w:val="center"/>
          </w:tcPr>
          <w:p w:rsidR="003265E4" w:rsidRPr="007133EF" w:rsidRDefault="003265E4" w:rsidP="00094630">
            <w:pPr>
              <w:pStyle w:val="Normal-pool"/>
              <w:spacing w:before="40" w:after="40"/>
              <w:rPr>
                <w:sz w:val="18"/>
                <w:szCs w:val="18"/>
                <w:lang w:val="fr-FR"/>
              </w:rPr>
            </w:pPr>
            <w:r w:rsidRPr="007133EF">
              <w:rPr>
                <w:sz w:val="18"/>
                <w:szCs w:val="18"/>
                <w:lang w:val="fr-FR"/>
              </w:rPr>
              <w:t xml:space="preserve">Le Groupe d’experts multidisciplinaire, par courriel et par téléconférences, choisit les coprésidents, les auteurs coordonnateurs principaux, les auteurs principaux et les éditeurs-réviseurs, en appliquant les critères approuvés à cet effet </w:t>
            </w:r>
            <w:r>
              <w:rPr>
                <w:sz w:val="18"/>
                <w:szCs w:val="18"/>
                <w:lang w:val="fr-FR"/>
              </w:rPr>
              <w:t xml:space="preserve">(voir le </w:t>
            </w:r>
            <w:r w:rsidRPr="007133EF">
              <w:rPr>
                <w:sz w:val="18"/>
                <w:szCs w:val="18"/>
                <w:lang w:val="fr-FR"/>
              </w:rPr>
              <w:t>document IPBES/2/9</w:t>
            </w:r>
            <w:r>
              <w:rPr>
                <w:sz w:val="18"/>
                <w:szCs w:val="18"/>
                <w:lang w:val="fr-FR"/>
              </w:rPr>
              <w:t>)</w:t>
            </w:r>
            <w:r w:rsidRPr="007133EF">
              <w:rPr>
                <w:sz w:val="18"/>
                <w:szCs w:val="18"/>
                <w:lang w:val="fr-FR"/>
              </w:rPr>
              <w:t xml:space="preserve"> (11–24 janvier).</w:t>
            </w:r>
          </w:p>
        </w:tc>
      </w:tr>
      <w:tr w:rsidR="003265E4" w:rsidRPr="007133EF" w:rsidTr="008835A9">
        <w:trPr>
          <w:trHeight w:val="584"/>
          <w:jc w:val="right"/>
        </w:trPr>
        <w:tc>
          <w:tcPr>
            <w:tcW w:w="857" w:type="dxa"/>
            <w:vMerge/>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p>
        </w:tc>
        <w:tc>
          <w:tcPr>
            <w:tcW w:w="996" w:type="dxa"/>
            <w:shd w:val="clear" w:color="auto" w:fill="auto"/>
            <w:vAlign w:val="center"/>
          </w:tcPr>
          <w:p w:rsidR="003265E4" w:rsidRPr="007133EF" w:rsidRDefault="003265E4" w:rsidP="00871389">
            <w:pPr>
              <w:pStyle w:val="Normal-pool"/>
              <w:spacing w:before="40" w:after="40"/>
              <w:rPr>
                <w:rFonts w:eastAsia="SimSun"/>
                <w:sz w:val="18"/>
                <w:szCs w:val="18"/>
                <w:lang w:val="fr-FR" w:eastAsia="zh-CN"/>
              </w:rPr>
            </w:pPr>
            <w:r>
              <w:rPr>
                <w:rFonts w:eastAsia="SimSun"/>
                <w:sz w:val="18"/>
                <w:szCs w:val="18"/>
                <w:lang w:val="fr-FR" w:eastAsia="zh-CN"/>
              </w:rPr>
              <w:t>Premier/</w:t>
            </w:r>
            <w:r>
              <w:rPr>
                <w:rFonts w:eastAsia="SimSun"/>
                <w:sz w:val="18"/>
                <w:szCs w:val="18"/>
                <w:lang w:val="fr-FR" w:eastAsia="zh-CN"/>
              </w:rPr>
              <w:br/>
              <w:t>deuxième/</w:t>
            </w:r>
            <w:r>
              <w:rPr>
                <w:rFonts w:eastAsia="SimSun"/>
                <w:sz w:val="18"/>
                <w:szCs w:val="18"/>
                <w:lang w:val="fr-FR" w:eastAsia="zh-CN"/>
              </w:rPr>
              <w:br/>
              <w:t>troisième trimestre</w:t>
            </w:r>
          </w:p>
        </w:tc>
        <w:tc>
          <w:tcPr>
            <w:tcW w:w="6510" w:type="dxa"/>
            <w:shd w:val="clear" w:color="auto" w:fill="auto"/>
            <w:vAlign w:val="center"/>
          </w:tcPr>
          <w:p w:rsidR="003265E4" w:rsidRPr="007133EF" w:rsidRDefault="003265E4" w:rsidP="004E0A3B">
            <w:pPr>
              <w:pStyle w:val="Normal-pool"/>
              <w:spacing w:before="40" w:after="40"/>
              <w:rPr>
                <w:sz w:val="18"/>
                <w:szCs w:val="18"/>
                <w:lang w:val="fr-FR"/>
              </w:rPr>
            </w:pPr>
            <w:r w:rsidRPr="007133EF">
              <w:rPr>
                <w:sz w:val="18"/>
                <w:szCs w:val="18"/>
                <w:lang w:val="fr-FR"/>
              </w:rPr>
              <w:t>Les coprésidents, les auteurs coordonnateurs principaux et les auteurs principaux établissent l’avant-projet de rapport et de résumé à l’intention des décideurs (25 janvier–25 juillet). Les auteurs coordonnateurs principaux et les auteurs principaux se réunissent en février pour progresser dans l’élaboration du plan annoté et des sections et chapitres qui leur ont été affectés et de nouveau début juillet pour finaliser le rapport et établir le résumé à l’intention des décideurs.</w:t>
            </w:r>
          </w:p>
        </w:tc>
      </w:tr>
      <w:tr w:rsidR="003265E4" w:rsidRPr="007133EF" w:rsidTr="008835A9">
        <w:trPr>
          <w:trHeight w:val="584"/>
          <w:jc w:val="right"/>
        </w:trPr>
        <w:tc>
          <w:tcPr>
            <w:tcW w:w="857" w:type="dxa"/>
            <w:vMerge/>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p>
        </w:tc>
        <w:tc>
          <w:tcPr>
            <w:tcW w:w="996" w:type="dxa"/>
            <w:shd w:val="clear" w:color="auto" w:fill="auto"/>
            <w:vAlign w:val="center"/>
          </w:tcPr>
          <w:p w:rsidR="003265E4" w:rsidRPr="007133EF" w:rsidRDefault="003265E4" w:rsidP="00871389">
            <w:pPr>
              <w:pStyle w:val="Normal-pool"/>
              <w:spacing w:before="40" w:after="40"/>
              <w:rPr>
                <w:rFonts w:eastAsia="SimSun"/>
                <w:sz w:val="18"/>
                <w:szCs w:val="18"/>
                <w:lang w:val="fr-FR" w:eastAsia="zh-CN"/>
              </w:rPr>
            </w:pPr>
            <w:r>
              <w:rPr>
                <w:rFonts w:eastAsia="SimSun"/>
                <w:sz w:val="18"/>
                <w:szCs w:val="18"/>
                <w:lang w:val="fr-FR" w:eastAsia="zh-CN"/>
              </w:rPr>
              <w:t>Troisième trimestre</w:t>
            </w:r>
          </w:p>
        </w:tc>
        <w:tc>
          <w:tcPr>
            <w:tcW w:w="6510" w:type="dxa"/>
            <w:shd w:val="clear" w:color="auto" w:fill="auto"/>
            <w:vAlign w:val="center"/>
          </w:tcPr>
          <w:p w:rsidR="003265E4" w:rsidRPr="007133EF" w:rsidRDefault="003265E4" w:rsidP="004E0A3B">
            <w:pPr>
              <w:pStyle w:val="Normal-pool"/>
              <w:spacing w:before="40" w:after="40"/>
              <w:rPr>
                <w:sz w:val="18"/>
                <w:szCs w:val="18"/>
                <w:lang w:val="fr-FR"/>
              </w:rPr>
            </w:pPr>
            <w:r w:rsidRPr="007133EF">
              <w:rPr>
                <w:sz w:val="18"/>
                <w:szCs w:val="18"/>
                <w:lang w:val="fr-FR"/>
              </w:rPr>
              <w:t>L’avant-projet de rapport et de résumé à l’intention des décideurs est examiné par les experts, les gouvernements et les autres parties prenantes (26 juillet–12 septembre).</w:t>
            </w:r>
          </w:p>
        </w:tc>
      </w:tr>
      <w:tr w:rsidR="003265E4" w:rsidRPr="007133EF" w:rsidTr="008835A9">
        <w:trPr>
          <w:trHeight w:val="120"/>
          <w:jc w:val="right"/>
        </w:trPr>
        <w:tc>
          <w:tcPr>
            <w:tcW w:w="857" w:type="dxa"/>
            <w:vMerge/>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p>
        </w:tc>
        <w:tc>
          <w:tcPr>
            <w:tcW w:w="996" w:type="dxa"/>
            <w:shd w:val="clear" w:color="auto" w:fill="auto"/>
            <w:vAlign w:val="center"/>
          </w:tcPr>
          <w:p w:rsidR="003265E4" w:rsidRPr="007133EF" w:rsidRDefault="003265E4" w:rsidP="00871389">
            <w:pPr>
              <w:pStyle w:val="Normal-pool"/>
              <w:spacing w:before="40" w:after="40"/>
              <w:rPr>
                <w:rFonts w:eastAsia="SimSun"/>
                <w:sz w:val="18"/>
                <w:szCs w:val="18"/>
                <w:lang w:val="fr-FR" w:eastAsia="zh-CN"/>
              </w:rPr>
            </w:pPr>
            <w:r>
              <w:rPr>
                <w:rFonts w:eastAsia="SimSun"/>
                <w:sz w:val="18"/>
                <w:szCs w:val="18"/>
                <w:lang w:val="fr-FR" w:eastAsia="zh-CN"/>
              </w:rPr>
              <w:t>Troisième/</w:t>
            </w:r>
            <w:r>
              <w:rPr>
                <w:rFonts w:eastAsia="SimSun"/>
                <w:sz w:val="18"/>
                <w:szCs w:val="18"/>
                <w:lang w:val="fr-FR" w:eastAsia="zh-CN"/>
              </w:rPr>
              <w:br/>
              <w:t xml:space="preserve">quatrième </w:t>
            </w:r>
            <w:r>
              <w:rPr>
                <w:rFonts w:eastAsia="SimSun"/>
                <w:sz w:val="18"/>
                <w:szCs w:val="18"/>
                <w:lang w:val="fr-FR" w:eastAsia="zh-CN"/>
              </w:rPr>
              <w:lastRenderedPageBreak/>
              <w:t>trimestre</w:t>
            </w:r>
          </w:p>
        </w:tc>
        <w:tc>
          <w:tcPr>
            <w:tcW w:w="6510" w:type="dxa"/>
            <w:shd w:val="clear" w:color="auto" w:fill="auto"/>
            <w:vAlign w:val="center"/>
          </w:tcPr>
          <w:p w:rsidR="003265E4" w:rsidRPr="007133EF" w:rsidRDefault="003265E4" w:rsidP="004E0A3B">
            <w:pPr>
              <w:pStyle w:val="Normal-pool"/>
              <w:spacing w:before="40" w:after="40"/>
              <w:rPr>
                <w:sz w:val="18"/>
                <w:szCs w:val="18"/>
                <w:lang w:val="fr-FR"/>
              </w:rPr>
            </w:pPr>
            <w:r w:rsidRPr="007133EF">
              <w:rPr>
                <w:sz w:val="18"/>
                <w:szCs w:val="18"/>
                <w:lang w:val="fr-FR"/>
              </w:rPr>
              <w:lastRenderedPageBreak/>
              <w:t xml:space="preserve">Les coprésidents, les auteurs coordonnateurs principaux et les auteurs principaux révisent l’avant-projet de rapport et de résumé à l’intention des décideurs sous la </w:t>
            </w:r>
            <w:r w:rsidRPr="007133EF">
              <w:rPr>
                <w:sz w:val="18"/>
                <w:szCs w:val="18"/>
                <w:lang w:val="fr-FR"/>
              </w:rPr>
              <w:lastRenderedPageBreak/>
              <w:t xml:space="preserve">supervision des éditeurs-réviseurs et du Groupe d’experts multidisciplinaire. Les auteurs coordonnateurs principaux, les auteurs principaux et les éditeurs-réviseurs, conjointement avec un petit nombre de membres du Groupe d’experts multidisciplinaire, se réunissent une fois pour établir le projet final de rapport et de résumé à l’intention des décideurs (13 septembre–7 novembre). </w:t>
            </w:r>
          </w:p>
        </w:tc>
      </w:tr>
      <w:tr w:rsidR="003265E4" w:rsidRPr="007133EF" w:rsidTr="008835A9">
        <w:trPr>
          <w:trHeight w:val="584"/>
          <w:jc w:val="right"/>
        </w:trPr>
        <w:tc>
          <w:tcPr>
            <w:tcW w:w="857" w:type="dxa"/>
            <w:vMerge/>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p>
        </w:tc>
        <w:tc>
          <w:tcPr>
            <w:tcW w:w="996" w:type="dxa"/>
            <w:shd w:val="clear" w:color="auto" w:fill="auto"/>
            <w:vAlign w:val="center"/>
          </w:tcPr>
          <w:p w:rsidR="003265E4" w:rsidRPr="007133EF" w:rsidRDefault="003265E4" w:rsidP="00094630">
            <w:pPr>
              <w:pStyle w:val="Normal-pool"/>
              <w:spacing w:before="40" w:after="40"/>
              <w:rPr>
                <w:rFonts w:eastAsia="SimSun"/>
                <w:sz w:val="18"/>
                <w:szCs w:val="18"/>
                <w:lang w:val="fr-FR" w:eastAsia="zh-CN"/>
              </w:rPr>
            </w:pPr>
            <w:r>
              <w:rPr>
                <w:rFonts w:eastAsia="SimSun"/>
                <w:sz w:val="18"/>
                <w:szCs w:val="18"/>
                <w:lang w:val="fr-FR" w:eastAsia="zh-CN"/>
              </w:rPr>
              <w:t>Quatrième trimestre</w:t>
            </w:r>
          </w:p>
        </w:tc>
        <w:tc>
          <w:tcPr>
            <w:tcW w:w="6510" w:type="dxa"/>
            <w:shd w:val="clear" w:color="auto" w:fill="auto"/>
            <w:vAlign w:val="center"/>
          </w:tcPr>
          <w:p w:rsidR="003265E4" w:rsidRPr="007133EF" w:rsidRDefault="003265E4" w:rsidP="00094630">
            <w:pPr>
              <w:pStyle w:val="Normal-pool"/>
              <w:spacing w:before="40" w:after="40"/>
              <w:rPr>
                <w:sz w:val="18"/>
                <w:szCs w:val="18"/>
                <w:lang w:val="fr-FR"/>
              </w:rPr>
            </w:pPr>
            <w:r w:rsidRPr="007133EF">
              <w:rPr>
                <w:sz w:val="18"/>
                <w:szCs w:val="18"/>
                <w:lang w:val="fr-FR"/>
              </w:rPr>
              <w:t xml:space="preserve">Le résumé à l’intention des décideurs est traduit dans </w:t>
            </w:r>
            <w:r>
              <w:rPr>
                <w:sz w:val="18"/>
                <w:szCs w:val="18"/>
                <w:lang w:val="fr-FR"/>
              </w:rPr>
              <w:t xml:space="preserve">toutes </w:t>
            </w:r>
            <w:r w:rsidRPr="007133EF">
              <w:rPr>
                <w:sz w:val="18"/>
                <w:szCs w:val="18"/>
                <w:lang w:val="fr-FR"/>
              </w:rPr>
              <w:t>les langues officielles de l’ONU (8 novembre–5 décembre).</w:t>
            </w:r>
          </w:p>
        </w:tc>
      </w:tr>
      <w:tr w:rsidR="003265E4" w:rsidRPr="007133EF" w:rsidTr="008835A9">
        <w:trPr>
          <w:trHeight w:val="584"/>
          <w:jc w:val="right"/>
        </w:trPr>
        <w:tc>
          <w:tcPr>
            <w:tcW w:w="857" w:type="dxa"/>
            <w:vMerge/>
            <w:shd w:val="clear" w:color="auto" w:fill="auto"/>
            <w:vAlign w:val="center"/>
          </w:tcPr>
          <w:p w:rsidR="003265E4" w:rsidRPr="007133EF" w:rsidRDefault="003265E4" w:rsidP="004E0A3B">
            <w:pPr>
              <w:pStyle w:val="Normal-pool"/>
              <w:spacing w:before="40" w:after="40"/>
              <w:rPr>
                <w:rFonts w:eastAsia="SimSun"/>
                <w:sz w:val="18"/>
                <w:szCs w:val="18"/>
                <w:lang w:val="fr-FR" w:eastAsia="zh-CN"/>
              </w:rPr>
            </w:pPr>
          </w:p>
        </w:tc>
        <w:tc>
          <w:tcPr>
            <w:tcW w:w="996" w:type="dxa"/>
            <w:shd w:val="clear" w:color="auto" w:fill="auto"/>
            <w:vAlign w:val="center"/>
          </w:tcPr>
          <w:p w:rsidR="003265E4" w:rsidRPr="007133EF" w:rsidRDefault="003265E4" w:rsidP="00094630">
            <w:pPr>
              <w:pStyle w:val="Normal-pool"/>
              <w:spacing w:before="40" w:after="40"/>
              <w:rPr>
                <w:rFonts w:eastAsia="SimSun"/>
                <w:sz w:val="18"/>
                <w:szCs w:val="18"/>
                <w:lang w:val="fr-FR" w:eastAsia="zh-CN"/>
              </w:rPr>
            </w:pPr>
            <w:r>
              <w:rPr>
                <w:rFonts w:eastAsia="SimSun"/>
                <w:sz w:val="18"/>
                <w:szCs w:val="18"/>
                <w:lang w:val="fr-FR" w:eastAsia="zh-CN"/>
              </w:rPr>
              <w:t>Quatrième trimestre</w:t>
            </w:r>
          </w:p>
        </w:tc>
        <w:tc>
          <w:tcPr>
            <w:tcW w:w="6510" w:type="dxa"/>
            <w:shd w:val="clear" w:color="auto" w:fill="auto"/>
            <w:vAlign w:val="center"/>
          </w:tcPr>
          <w:p w:rsidR="003265E4" w:rsidRPr="007133EF" w:rsidRDefault="003265E4" w:rsidP="004E0A3B">
            <w:pPr>
              <w:pStyle w:val="Normal-pool"/>
              <w:spacing w:before="40" w:after="40"/>
              <w:rPr>
                <w:sz w:val="18"/>
                <w:szCs w:val="18"/>
                <w:lang w:val="fr-FR"/>
              </w:rPr>
            </w:pPr>
            <w:r w:rsidRPr="007133EF">
              <w:rPr>
                <w:sz w:val="18"/>
                <w:szCs w:val="18"/>
                <w:lang w:val="fr-FR"/>
              </w:rPr>
              <w:t>Le projet final de rapport et de résumé à l’intention des décideurs est adressé aux gouvernements et aux autres parties prenantes pour examen final (6 décembre–6 février).</w:t>
            </w:r>
          </w:p>
        </w:tc>
      </w:tr>
      <w:tr w:rsidR="00871389" w:rsidRPr="007133EF" w:rsidTr="008835A9">
        <w:trPr>
          <w:trHeight w:val="504"/>
          <w:jc w:val="right"/>
        </w:trPr>
        <w:tc>
          <w:tcPr>
            <w:tcW w:w="857" w:type="dxa"/>
            <w:vMerge w:val="restart"/>
            <w:shd w:val="clear" w:color="auto" w:fill="auto"/>
            <w:vAlign w:val="center"/>
          </w:tcPr>
          <w:p w:rsidR="00D7505A" w:rsidRPr="007133EF" w:rsidRDefault="00D7505A" w:rsidP="004E0A3B">
            <w:pPr>
              <w:pStyle w:val="Normal-pool"/>
              <w:spacing w:before="40" w:after="40"/>
              <w:rPr>
                <w:rFonts w:eastAsia="SimSun"/>
                <w:sz w:val="18"/>
                <w:szCs w:val="18"/>
                <w:lang w:val="fr-FR" w:eastAsia="zh-CN"/>
              </w:rPr>
            </w:pPr>
            <w:r w:rsidRPr="007133EF">
              <w:rPr>
                <w:rFonts w:eastAsia="SimSun"/>
                <w:sz w:val="18"/>
                <w:szCs w:val="18"/>
                <w:lang w:val="fr-FR" w:eastAsia="zh-CN"/>
              </w:rPr>
              <w:t>2015</w:t>
            </w:r>
          </w:p>
        </w:tc>
        <w:tc>
          <w:tcPr>
            <w:tcW w:w="996" w:type="dxa"/>
            <w:shd w:val="clear" w:color="auto" w:fill="auto"/>
            <w:vAlign w:val="center"/>
          </w:tcPr>
          <w:p w:rsidR="00D7505A" w:rsidRPr="007133EF" w:rsidRDefault="00094630" w:rsidP="004E0A3B">
            <w:pPr>
              <w:pStyle w:val="Normal-pool"/>
              <w:spacing w:before="40" w:after="40"/>
              <w:rPr>
                <w:rFonts w:eastAsia="SimSun"/>
                <w:sz w:val="18"/>
                <w:szCs w:val="18"/>
                <w:lang w:val="fr-FR" w:eastAsia="zh-CN"/>
              </w:rPr>
            </w:pPr>
            <w:r>
              <w:rPr>
                <w:rFonts w:eastAsia="SimSun"/>
                <w:sz w:val="18"/>
                <w:szCs w:val="18"/>
                <w:lang w:val="fr-FR" w:eastAsia="zh-CN"/>
              </w:rPr>
              <w:t>Premier trimestre</w:t>
            </w:r>
          </w:p>
        </w:tc>
        <w:tc>
          <w:tcPr>
            <w:tcW w:w="6510" w:type="dxa"/>
            <w:shd w:val="clear" w:color="auto" w:fill="auto"/>
            <w:vAlign w:val="center"/>
          </w:tcPr>
          <w:p w:rsidR="00D7505A" w:rsidRPr="007133EF" w:rsidRDefault="00921F14" w:rsidP="004E0A3B">
            <w:pPr>
              <w:pStyle w:val="Normal-pool"/>
              <w:spacing w:before="40" w:after="40"/>
              <w:rPr>
                <w:b/>
                <w:sz w:val="18"/>
                <w:szCs w:val="18"/>
                <w:lang w:val="fr-FR"/>
              </w:rPr>
            </w:pPr>
            <w:r w:rsidRPr="007133EF">
              <w:rPr>
                <w:sz w:val="18"/>
                <w:szCs w:val="18"/>
                <w:lang w:val="fr-FR"/>
              </w:rPr>
              <w:t>Les gouvernements envoient au secrétariat des commentaires écrits sur le résumé à l’intention des décideurs d’ici au 31 janvier</w:t>
            </w:r>
            <w:r w:rsidR="00801060" w:rsidRPr="007133EF">
              <w:rPr>
                <w:sz w:val="18"/>
                <w:szCs w:val="18"/>
                <w:lang w:val="fr-FR"/>
              </w:rPr>
              <w:t>.</w:t>
            </w:r>
          </w:p>
        </w:tc>
      </w:tr>
      <w:tr w:rsidR="00871389" w:rsidRPr="007133EF" w:rsidTr="008835A9">
        <w:trPr>
          <w:trHeight w:val="567"/>
          <w:jc w:val="right"/>
        </w:trPr>
        <w:tc>
          <w:tcPr>
            <w:tcW w:w="857" w:type="dxa"/>
            <w:vMerge/>
            <w:shd w:val="clear" w:color="auto" w:fill="auto"/>
          </w:tcPr>
          <w:p w:rsidR="00D7505A" w:rsidRPr="007133EF" w:rsidRDefault="00D7505A" w:rsidP="004E0A3B">
            <w:pPr>
              <w:pStyle w:val="Normal-pool"/>
              <w:spacing w:before="40" w:after="40"/>
              <w:rPr>
                <w:rFonts w:eastAsia="SimSun"/>
                <w:sz w:val="18"/>
                <w:szCs w:val="18"/>
                <w:lang w:val="fr-FR" w:eastAsia="zh-CN"/>
              </w:rPr>
            </w:pPr>
          </w:p>
        </w:tc>
        <w:tc>
          <w:tcPr>
            <w:tcW w:w="996" w:type="dxa"/>
            <w:shd w:val="clear" w:color="auto" w:fill="auto"/>
            <w:vAlign w:val="center"/>
          </w:tcPr>
          <w:p w:rsidR="00D7505A" w:rsidRPr="007133EF" w:rsidRDefault="00094630" w:rsidP="00094630">
            <w:pPr>
              <w:pStyle w:val="Normal-pool"/>
              <w:spacing w:before="40" w:after="40"/>
              <w:rPr>
                <w:rFonts w:eastAsia="SimSun"/>
                <w:sz w:val="18"/>
                <w:szCs w:val="18"/>
                <w:lang w:val="fr-FR" w:eastAsia="zh-CN"/>
              </w:rPr>
            </w:pPr>
            <w:r>
              <w:rPr>
                <w:rFonts w:eastAsia="SimSun"/>
                <w:sz w:val="18"/>
                <w:szCs w:val="18"/>
                <w:lang w:val="fr-FR" w:eastAsia="zh-CN"/>
              </w:rPr>
              <w:t>Premier trimestre</w:t>
            </w:r>
          </w:p>
        </w:tc>
        <w:tc>
          <w:tcPr>
            <w:tcW w:w="6510" w:type="dxa"/>
            <w:shd w:val="clear" w:color="auto" w:fill="auto"/>
            <w:vAlign w:val="center"/>
          </w:tcPr>
          <w:p w:rsidR="00D7505A" w:rsidRPr="007133EF" w:rsidRDefault="007133EF" w:rsidP="004E0A3B">
            <w:pPr>
              <w:pStyle w:val="Normal-pool"/>
              <w:spacing w:before="40" w:after="40"/>
              <w:rPr>
                <w:sz w:val="18"/>
                <w:szCs w:val="18"/>
                <w:lang w:val="fr-FR"/>
              </w:rPr>
            </w:pPr>
            <w:r>
              <w:rPr>
                <w:sz w:val="18"/>
                <w:szCs w:val="18"/>
                <w:lang w:val="fr-FR"/>
              </w:rPr>
              <w:t>La Plénière examine et accepte le</w:t>
            </w:r>
            <w:r w:rsidR="00D7505A" w:rsidRPr="007133EF">
              <w:rPr>
                <w:sz w:val="18"/>
                <w:szCs w:val="18"/>
                <w:lang w:val="fr-FR"/>
              </w:rPr>
              <w:t xml:space="preserve"> r</w:t>
            </w:r>
            <w:r>
              <w:rPr>
                <w:sz w:val="18"/>
                <w:szCs w:val="18"/>
                <w:lang w:val="fr-FR"/>
              </w:rPr>
              <w:t>apport et approuve le résumé à l’intention des décideurs</w:t>
            </w:r>
            <w:r w:rsidR="00F5798B" w:rsidRPr="007133EF">
              <w:rPr>
                <w:sz w:val="18"/>
                <w:szCs w:val="18"/>
                <w:lang w:val="fr-FR"/>
              </w:rPr>
              <w:t xml:space="preserve"> </w:t>
            </w:r>
            <w:r w:rsidR="00D7505A" w:rsidRPr="007133EF">
              <w:rPr>
                <w:sz w:val="18"/>
                <w:szCs w:val="18"/>
                <w:lang w:val="fr-FR"/>
              </w:rPr>
              <w:t>(</w:t>
            </w:r>
            <w:r w:rsidR="00CD7F8B">
              <w:rPr>
                <w:sz w:val="18"/>
                <w:szCs w:val="18"/>
                <w:lang w:val="fr-FR"/>
              </w:rPr>
              <w:t>après le 8 février</w:t>
            </w:r>
            <w:r w:rsidR="00D7505A" w:rsidRPr="007133EF">
              <w:rPr>
                <w:sz w:val="18"/>
                <w:szCs w:val="18"/>
                <w:lang w:val="fr-FR"/>
              </w:rPr>
              <w:t>).</w:t>
            </w:r>
          </w:p>
        </w:tc>
      </w:tr>
    </w:tbl>
    <w:p w:rsidR="00D7505A" w:rsidRPr="007133EF" w:rsidRDefault="00492DE8" w:rsidP="004E0A3B">
      <w:pPr>
        <w:pStyle w:val="CH1"/>
        <w:rPr>
          <w:lang w:val="fr-FR"/>
        </w:rPr>
      </w:pPr>
      <w:r w:rsidRPr="007133EF">
        <w:rPr>
          <w:lang w:val="fr-FR"/>
        </w:rPr>
        <w:tab/>
      </w:r>
      <w:r w:rsidR="00522D3E" w:rsidRPr="007133EF">
        <w:rPr>
          <w:lang w:val="fr-FR"/>
        </w:rPr>
        <w:t>V.</w:t>
      </w:r>
      <w:r w:rsidR="00D7505A" w:rsidRPr="007133EF">
        <w:rPr>
          <w:lang w:val="fr-FR"/>
        </w:rPr>
        <w:tab/>
      </w:r>
      <w:r w:rsidR="003265E4">
        <w:rPr>
          <w:lang w:val="fr-FR"/>
        </w:rPr>
        <w:t>C</w:t>
      </w:r>
      <w:r w:rsidR="00FE6E54" w:rsidRPr="007133EF">
        <w:rPr>
          <w:lang w:val="fr-FR"/>
        </w:rPr>
        <w:t>oûts</w:t>
      </w:r>
      <w:r w:rsidR="00A206D5" w:rsidRPr="007133EF">
        <w:rPr>
          <w:lang w:val="fr-FR"/>
        </w:rPr>
        <w:t xml:space="preserve"> </w:t>
      </w:r>
      <w:r w:rsidR="003265E4">
        <w:rPr>
          <w:lang w:val="fr-FR"/>
        </w:rPr>
        <w:t>estimatifs</w:t>
      </w:r>
    </w:p>
    <w:p w:rsidR="00A206D5" w:rsidRDefault="003265E4" w:rsidP="004E0A3B">
      <w:pPr>
        <w:pStyle w:val="Normalnumber"/>
        <w:keepNext/>
        <w:keepLines/>
        <w:rPr>
          <w:lang w:val="fr-FR"/>
        </w:rPr>
      </w:pPr>
      <w:r w:rsidRPr="00C9391E">
        <w:t xml:space="preserve">Le tableau ci-après </w:t>
      </w:r>
      <w:r>
        <w:t>montre les coûts estimatifs</w:t>
      </w:r>
      <w:r w:rsidRPr="00C9391E">
        <w:t xml:space="preserve"> de l’évaluation </w:t>
      </w:r>
      <w:r>
        <w:t xml:space="preserve">accélérée </w:t>
      </w:r>
      <w:r w:rsidRPr="00C9391E">
        <w:t>et de l’établissement du rapport correspondant.</w:t>
      </w:r>
    </w:p>
    <w:p w:rsidR="00094630" w:rsidRPr="007133EF" w:rsidRDefault="00094630" w:rsidP="00094630">
      <w:pPr>
        <w:pStyle w:val="NormalNonumber"/>
      </w:pPr>
      <w:r>
        <w:t>(en dollars des États-Unis)</w:t>
      </w:r>
    </w:p>
    <w:tbl>
      <w:tblPr>
        <w:tblW w:w="83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570"/>
        <w:gridCol w:w="3153"/>
        <w:gridCol w:w="966"/>
      </w:tblGrid>
      <w:tr w:rsidR="00947ED6" w:rsidRPr="007133EF" w:rsidTr="00094630">
        <w:trPr>
          <w:jc w:val="right"/>
        </w:trPr>
        <w:tc>
          <w:tcPr>
            <w:tcW w:w="627" w:type="dxa"/>
            <w:shd w:val="clear" w:color="auto" w:fill="auto"/>
          </w:tcPr>
          <w:p w:rsidR="00D7505A" w:rsidRPr="00094630" w:rsidRDefault="00FE6E54" w:rsidP="00094630">
            <w:pPr>
              <w:pStyle w:val="Normal-pool"/>
              <w:keepNext/>
              <w:keepLines/>
              <w:spacing w:before="40" w:after="40"/>
              <w:rPr>
                <w:rFonts w:eastAsia="SimSun"/>
                <w:i/>
                <w:sz w:val="18"/>
                <w:szCs w:val="18"/>
                <w:lang w:val="fr-FR" w:eastAsia="zh-CN"/>
              </w:rPr>
            </w:pPr>
            <w:r w:rsidRPr="00094630">
              <w:rPr>
                <w:rFonts w:eastAsia="SimSun"/>
                <w:i/>
                <w:sz w:val="18"/>
                <w:szCs w:val="18"/>
                <w:lang w:val="fr-FR" w:eastAsia="zh-CN"/>
              </w:rPr>
              <w:t>Année</w:t>
            </w:r>
          </w:p>
        </w:tc>
        <w:tc>
          <w:tcPr>
            <w:tcW w:w="3532" w:type="dxa"/>
            <w:shd w:val="clear" w:color="auto" w:fill="auto"/>
          </w:tcPr>
          <w:p w:rsidR="00D7505A" w:rsidRPr="00094630" w:rsidRDefault="00FE6E54" w:rsidP="00094630">
            <w:pPr>
              <w:pStyle w:val="Normal-pool"/>
              <w:keepNext/>
              <w:keepLines/>
              <w:spacing w:before="40" w:after="40"/>
              <w:rPr>
                <w:rFonts w:eastAsia="SimSun"/>
                <w:i/>
                <w:sz w:val="18"/>
                <w:szCs w:val="18"/>
                <w:lang w:val="fr-FR" w:eastAsia="zh-CN"/>
              </w:rPr>
            </w:pPr>
            <w:r w:rsidRPr="00094630">
              <w:rPr>
                <w:rFonts w:eastAsia="SimSun"/>
                <w:i/>
                <w:sz w:val="18"/>
                <w:szCs w:val="18"/>
                <w:lang w:val="fr-FR" w:eastAsia="zh-CN"/>
              </w:rPr>
              <w:t>Poste de dépenses</w:t>
            </w:r>
          </w:p>
        </w:tc>
        <w:tc>
          <w:tcPr>
            <w:tcW w:w="3119" w:type="dxa"/>
            <w:shd w:val="clear" w:color="auto" w:fill="auto"/>
          </w:tcPr>
          <w:p w:rsidR="00D7505A" w:rsidRPr="00094630" w:rsidRDefault="00FE6E54" w:rsidP="00094630">
            <w:pPr>
              <w:pStyle w:val="Normal-pool"/>
              <w:keepNext/>
              <w:keepLines/>
              <w:spacing w:before="40" w:after="40"/>
              <w:rPr>
                <w:rFonts w:eastAsia="SimSun"/>
                <w:i/>
                <w:sz w:val="18"/>
                <w:szCs w:val="18"/>
                <w:lang w:val="fr-FR" w:eastAsia="zh-CN"/>
              </w:rPr>
            </w:pPr>
            <w:r w:rsidRPr="00094630">
              <w:rPr>
                <w:rFonts w:eastAsia="SimSun"/>
                <w:i/>
                <w:sz w:val="18"/>
                <w:szCs w:val="18"/>
                <w:lang w:val="fr-FR" w:eastAsia="zh-CN"/>
              </w:rPr>
              <w:t>Hypothèses</w:t>
            </w:r>
          </w:p>
        </w:tc>
        <w:tc>
          <w:tcPr>
            <w:tcW w:w="956" w:type="dxa"/>
            <w:shd w:val="clear" w:color="auto" w:fill="auto"/>
          </w:tcPr>
          <w:p w:rsidR="00D7505A" w:rsidRPr="00094630" w:rsidRDefault="00D7505A" w:rsidP="00094630">
            <w:pPr>
              <w:pStyle w:val="Normal-pool"/>
              <w:keepNext/>
              <w:keepLines/>
              <w:rPr>
                <w:rFonts w:eastAsia="SimSun"/>
                <w:i/>
                <w:sz w:val="18"/>
                <w:szCs w:val="18"/>
                <w:lang w:val="fr-FR" w:eastAsia="zh-CN"/>
              </w:rPr>
            </w:pPr>
            <w:r w:rsidRPr="00094630">
              <w:rPr>
                <w:rFonts w:eastAsia="SimSun"/>
                <w:i/>
                <w:sz w:val="18"/>
                <w:szCs w:val="18"/>
                <w:lang w:val="fr-FR" w:eastAsia="zh-CN"/>
              </w:rPr>
              <w:t>Co</w:t>
            </w:r>
            <w:r w:rsidR="00FE6E54" w:rsidRPr="00094630">
              <w:rPr>
                <w:rFonts w:eastAsia="SimSun"/>
                <w:i/>
                <w:sz w:val="18"/>
                <w:szCs w:val="18"/>
                <w:lang w:val="fr-FR" w:eastAsia="zh-CN"/>
              </w:rPr>
              <w:t>ût</w:t>
            </w:r>
          </w:p>
        </w:tc>
      </w:tr>
      <w:tr w:rsidR="00947ED6" w:rsidRPr="007133EF" w:rsidTr="00094630">
        <w:trPr>
          <w:jc w:val="right"/>
        </w:trPr>
        <w:tc>
          <w:tcPr>
            <w:tcW w:w="627" w:type="dxa"/>
            <w:vMerge w:val="restart"/>
            <w:shd w:val="clear" w:color="auto" w:fill="auto"/>
            <w:vAlign w:val="center"/>
          </w:tcPr>
          <w:p w:rsidR="00D7505A" w:rsidRPr="007133EF" w:rsidRDefault="00D7505A" w:rsidP="004E0A3B">
            <w:pPr>
              <w:pStyle w:val="Normal-pool"/>
              <w:keepNext/>
              <w:keepLines/>
              <w:rPr>
                <w:rFonts w:eastAsia="SimSun"/>
                <w:sz w:val="18"/>
                <w:szCs w:val="18"/>
                <w:lang w:val="fr-FR" w:eastAsia="zh-CN"/>
              </w:rPr>
            </w:pPr>
            <w:r w:rsidRPr="007133EF">
              <w:rPr>
                <w:rFonts w:eastAsia="SimSun"/>
                <w:sz w:val="18"/>
                <w:szCs w:val="18"/>
                <w:lang w:val="fr-FR" w:eastAsia="zh-CN"/>
              </w:rPr>
              <w:t>2014</w:t>
            </w:r>
          </w:p>
        </w:tc>
        <w:tc>
          <w:tcPr>
            <w:tcW w:w="3532" w:type="dxa"/>
            <w:vMerge w:val="restart"/>
            <w:shd w:val="clear" w:color="auto" w:fill="auto"/>
            <w:vAlign w:val="center"/>
          </w:tcPr>
          <w:p w:rsidR="00D7505A" w:rsidRPr="007133EF" w:rsidRDefault="00FE6E54" w:rsidP="004E0A3B">
            <w:pPr>
              <w:pStyle w:val="ListParagraph"/>
              <w:keepNext/>
              <w:keepLines/>
              <w:tabs>
                <w:tab w:val="left" w:pos="426"/>
              </w:tabs>
              <w:autoSpaceDE w:val="0"/>
              <w:autoSpaceDN w:val="0"/>
              <w:adjustRightInd w:val="0"/>
              <w:spacing w:before="60" w:after="60"/>
              <w:ind w:left="0"/>
              <w:contextualSpacing w:val="0"/>
              <w:rPr>
                <w:rFonts w:eastAsia="SimSun"/>
                <w:sz w:val="18"/>
                <w:szCs w:val="18"/>
                <w:lang w:eastAsia="zh-CN"/>
              </w:rPr>
            </w:pPr>
            <w:r w:rsidRPr="007133EF">
              <w:rPr>
                <w:rFonts w:eastAsia="SimSun"/>
                <w:sz w:val="18"/>
                <w:szCs w:val="18"/>
                <w:lang w:eastAsia="zh-CN"/>
              </w:rPr>
              <w:t>Première réunion des auteurs</w:t>
            </w:r>
            <w:r w:rsidR="00A206D5" w:rsidRPr="007133EF">
              <w:rPr>
                <w:rFonts w:eastAsia="SimSun"/>
                <w:sz w:val="18"/>
                <w:szCs w:val="18"/>
                <w:lang w:eastAsia="zh-CN"/>
              </w:rPr>
              <w:t xml:space="preserve"> </w:t>
            </w:r>
            <w:r w:rsidR="00D7505A" w:rsidRPr="007133EF">
              <w:rPr>
                <w:rFonts w:eastAsia="SimSun"/>
                <w:sz w:val="18"/>
                <w:szCs w:val="18"/>
                <w:lang w:eastAsia="zh-CN"/>
              </w:rPr>
              <w:t>(75</w:t>
            </w:r>
            <w:r w:rsidRPr="007133EF">
              <w:rPr>
                <w:rFonts w:eastAsia="SimSun"/>
                <w:sz w:val="18"/>
                <w:szCs w:val="18"/>
                <w:lang w:eastAsia="zh-CN"/>
              </w:rPr>
              <w:t> </w:t>
            </w:r>
            <w:r w:rsidR="00A206D5" w:rsidRPr="007133EF">
              <w:rPr>
                <w:rFonts w:eastAsia="SimSun"/>
                <w:sz w:val="18"/>
                <w:szCs w:val="18"/>
                <w:lang w:eastAsia="zh-CN"/>
              </w:rPr>
              <w:t>c</w:t>
            </w:r>
            <w:r w:rsidR="00D7505A" w:rsidRPr="007133EF">
              <w:rPr>
                <w:rFonts w:eastAsia="SimSun"/>
                <w:sz w:val="18"/>
                <w:szCs w:val="18"/>
                <w:lang w:eastAsia="zh-CN"/>
              </w:rPr>
              <w:t>o</w:t>
            </w:r>
            <w:r w:rsidRPr="007133EF">
              <w:rPr>
                <w:rFonts w:eastAsia="SimSun"/>
                <w:sz w:val="18"/>
                <w:szCs w:val="18"/>
                <w:lang w:eastAsia="zh-CN"/>
              </w:rPr>
              <w:t>présidents, auteurs coordonnateurs principaux et auteurs principaux</w:t>
            </w:r>
            <w:r w:rsidR="00D7505A" w:rsidRPr="007133EF">
              <w:rPr>
                <w:rFonts w:eastAsia="SimSun"/>
                <w:sz w:val="18"/>
                <w:szCs w:val="18"/>
                <w:lang w:eastAsia="zh-CN"/>
              </w:rPr>
              <w:t xml:space="preserve"> + 4</w:t>
            </w:r>
            <w:r w:rsidRPr="007133EF">
              <w:rPr>
                <w:rFonts w:eastAsia="SimSun"/>
                <w:sz w:val="18"/>
                <w:szCs w:val="18"/>
                <w:lang w:eastAsia="zh-CN"/>
              </w:rPr>
              <w:t> membres du Groupe d’experts multidisciplinaire</w:t>
            </w:r>
            <w:r w:rsidR="00D7505A" w:rsidRPr="007133EF">
              <w:rPr>
                <w:rFonts w:eastAsia="SimSun"/>
                <w:sz w:val="18"/>
                <w:szCs w:val="18"/>
                <w:lang w:eastAsia="zh-CN"/>
              </w:rPr>
              <w:t>/</w:t>
            </w:r>
            <w:r w:rsidR="00094630">
              <w:rPr>
                <w:rFonts w:eastAsia="SimSun"/>
                <w:sz w:val="18"/>
                <w:szCs w:val="18"/>
                <w:lang w:eastAsia="zh-CN"/>
              </w:rPr>
              <w:t xml:space="preserve">membres du </w:t>
            </w:r>
            <w:r w:rsidR="00D7505A" w:rsidRPr="007133EF">
              <w:rPr>
                <w:rFonts w:eastAsia="SimSun"/>
                <w:sz w:val="18"/>
                <w:szCs w:val="18"/>
                <w:lang w:eastAsia="zh-CN"/>
              </w:rPr>
              <w:t>Bureau</w:t>
            </w:r>
            <w:r w:rsidR="00A206D5" w:rsidRPr="007133EF">
              <w:rPr>
                <w:rFonts w:eastAsia="SimSun"/>
                <w:sz w:val="18"/>
                <w:szCs w:val="18"/>
                <w:lang w:eastAsia="zh-CN"/>
              </w:rPr>
              <w:t xml:space="preserve"> </w:t>
            </w:r>
            <w:r w:rsidR="00D7505A" w:rsidRPr="007133EF">
              <w:rPr>
                <w:rFonts w:eastAsia="SimSun"/>
                <w:sz w:val="18"/>
                <w:szCs w:val="18"/>
                <w:lang w:eastAsia="zh-CN"/>
              </w:rPr>
              <w:t>+1</w:t>
            </w:r>
            <w:r w:rsidRPr="007133EF">
              <w:rPr>
                <w:rFonts w:eastAsia="SimSun"/>
                <w:sz w:val="18"/>
                <w:szCs w:val="18"/>
                <w:lang w:eastAsia="zh-CN"/>
              </w:rPr>
              <w:t> agent des services d’appui technique</w:t>
            </w:r>
            <w:r w:rsidR="00D7505A" w:rsidRPr="007133EF">
              <w:rPr>
                <w:rFonts w:eastAsia="SimSun"/>
                <w:sz w:val="18"/>
                <w:szCs w:val="18"/>
                <w:lang w:eastAsia="zh-CN"/>
              </w:rPr>
              <w:t>)</w:t>
            </w:r>
          </w:p>
        </w:tc>
        <w:tc>
          <w:tcPr>
            <w:tcW w:w="3119" w:type="dxa"/>
            <w:shd w:val="clear" w:color="auto" w:fill="auto"/>
          </w:tcPr>
          <w:p w:rsidR="00D7505A" w:rsidRPr="007133EF" w:rsidRDefault="000062A6" w:rsidP="004E0A3B">
            <w:pPr>
              <w:pStyle w:val="ListParagraph"/>
              <w:keepNext/>
              <w:keepLines/>
              <w:tabs>
                <w:tab w:val="left" w:pos="426"/>
              </w:tabs>
              <w:autoSpaceDE w:val="0"/>
              <w:autoSpaceDN w:val="0"/>
              <w:adjustRightInd w:val="0"/>
              <w:spacing w:before="60" w:after="60"/>
              <w:ind w:left="0"/>
              <w:contextualSpacing w:val="0"/>
              <w:rPr>
                <w:rFonts w:eastAsia="SimSun"/>
                <w:sz w:val="18"/>
                <w:szCs w:val="18"/>
                <w:lang w:eastAsia="zh-CN"/>
              </w:rPr>
            </w:pPr>
            <w:r w:rsidRPr="007133EF">
              <w:rPr>
                <w:rFonts w:eastAsia="SimSun"/>
                <w:sz w:val="18"/>
                <w:szCs w:val="18"/>
                <w:lang w:eastAsia="zh-CN"/>
              </w:rPr>
              <w:t>Coûts de la réunion</w:t>
            </w:r>
            <w:r w:rsidR="00D7505A" w:rsidRPr="007133EF">
              <w:rPr>
                <w:rFonts w:eastAsia="SimSun"/>
                <w:sz w:val="18"/>
                <w:szCs w:val="18"/>
                <w:lang w:eastAsia="zh-CN"/>
              </w:rPr>
              <w:t xml:space="preserve"> (1</w:t>
            </w:r>
            <w:r w:rsidRPr="007133EF">
              <w:rPr>
                <w:rFonts w:eastAsia="SimSun"/>
                <w:sz w:val="18"/>
                <w:szCs w:val="18"/>
                <w:lang w:eastAsia="zh-CN"/>
              </w:rPr>
              <w:t> semaine</w:t>
            </w:r>
            <w:r w:rsidR="00D7505A" w:rsidRPr="007133EF">
              <w:rPr>
                <w:rFonts w:eastAsia="SimSun"/>
                <w:sz w:val="18"/>
                <w:szCs w:val="18"/>
                <w:lang w:eastAsia="zh-CN"/>
              </w:rPr>
              <w:t>, 80</w:t>
            </w:r>
            <w:r w:rsidRPr="007133EF">
              <w:rPr>
                <w:rFonts w:eastAsia="SimSun"/>
                <w:sz w:val="18"/>
                <w:szCs w:val="18"/>
                <w:lang w:eastAsia="zh-CN"/>
              </w:rPr>
              <w:t> </w:t>
            </w:r>
            <w:r w:rsidR="00D7505A" w:rsidRPr="007133EF">
              <w:rPr>
                <w:rFonts w:eastAsia="SimSun"/>
                <w:sz w:val="18"/>
                <w:szCs w:val="18"/>
                <w:lang w:eastAsia="zh-CN"/>
              </w:rPr>
              <w:t>participants) (25</w:t>
            </w:r>
            <w:r w:rsidRPr="007133EF">
              <w:rPr>
                <w:rFonts w:eastAsia="SimSun"/>
                <w:sz w:val="18"/>
                <w:szCs w:val="18"/>
                <w:lang w:eastAsia="zh-CN"/>
              </w:rPr>
              <w:t> % en nature</w:t>
            </w:r>
            <w:r w:rsidR="00D7505A" w:rsidRPr="007133EF">
              <w:rPr>
                <w:rFonts w:eastAsia="SimSun"/>
                <w:sz w:val="18"/>
                <w:szCs w:val="18"/>
                <w:lang w:eastAsia="zh-CN"/>
              </w:rPr>
              <w:t>)</w:t>
            </w:r>
          </w:p>
        </w:tc>
        <w:tc>
          <w:tcPr>
            <w:tcW w:w="956" w:type="dxa"/>
            <w:shd w:val="clear" w:color="auto" w:fill="auto"/>
          </w:tcPr>
          <w:p w:rsidR="00D7505A" w:rsidRPr="007133EF" w:rsidRDefault="00D7505A" w:rsidP="004E0A3B">
            <w:pPr>
              <w:pStyle w:val="Normal-pool"/>
              <w:keepNext/>
              <w:keepLines/>
              <w:jc w:val="right"/>
              <w:rPr>
                <w:rFonts w:eastAsia="SimSun"/>
                <w:sz w:val="18"/>
                <w:szCs w:val="18"/>
                <w:lang w:val="fr-FR" w:eastAsia="zh-CN"/>
              </w:rPr>
            </w:pPr>
            <w:r w:rsidRPr="007133EF">
              <w:rPr>
                <w:rFonts w:eastAsia="SimSun"/>
                <w:sz w:val="18"/>
                <w:szCs w:val="18"/>
                <w:lang w:val="fr-FR" w:eastAsia="zh-CN"/>
              </w:rPr>
              <w:t>15</w:t>
            </w:r>
            <w:r w:rsidR="000062A6" w:rsidRPr="007133EF">
              <w:rPr>
                <w:rFonts w:eastAsia="SimSun"/>
                <w:sz w:val="18"/>
                <w:szCs w:val="18"/>
                <w:lang w:val="fr-FR" w:eastAsia="zh-CN"/>
              </w:rPr>
              <w:t> </w:t>
            </w:r>
            <w:r w:rsidRPr="007133EF">
              <w:rPr>
                <w:rFonts w:eastAsia="SimSun"/>
                <w:sz w:val="18"/>
                <w:szCs w:val="18"/>
                <w:lang w:val="fr-FR" w:eastAsia="zh-CN"/>
              </w:rPr>
              <w:t>000</w:t>
            </w:r>
          </w:p>
        </w:tc>
      </w:tr>
      <w:tr w:rsidR="00947ED6" w:rsidRPr="007133EF" w:rsidTr="00094630">
        <w:trPr>
          <w:trHeight w:val="337"/>
          <w:jc w:val="right"/>
        </w:trPr>
        <w:tc>
          <w:tcPr>
            <w:tcW w:w="627" w:type="dxa"/>
            <w:vMerge/>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532" w:type="dxa"/>
            <w:vMerge/>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119" w:type="dxa"/>
            <w:shd w:val="clear" w:color="auto" w:fill="auto"/>
          </w:tcPr>
          <w:p w:rsidR="00D7505A" w:rsidRPr="007133EF" w:rsidRDefault="000062A6"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r w:rsidRPr="007133EF">
              <w:rPr>
                <w:rFonts w:eastAsia="SimSun"/>
                <w:sz w:val="18"/>
                <w:szCs w:val="18"/>
                <w:lang w:eastAsia="zh-CN"/>
              </w:rPr>
              <w:t>Voyage et indemnité journalière de subsistance</w:t>
            </w:r>
            <w:r w:rsidR="00D7505A" w:rsidRPr="007133EF">
              <w:rPr>
                <w:rFonts w:eastAsia="SimSun"/>
                <w:sz w:val="18"/>
                <w:szCs w:val="18"/>
                <w:lang w:eastAsia="zh-CN"/>
              </w:rPr>
              <w:t xml:space="preserve"> (60</w:t>
            </w:r>
            <w:r w:rsidRPr="007133EF">
              <w:rPr>
                <w:rFonts w:eastAsia="SimSun"/>
                <w:sz w:val="18"/>
                <w:szCs w:val="18"/>
                <w:lang w:eastAsia="zh-CN"/>
              </w:rPr>
              <w:t> </w:t>
            </w:r>
            <w:r w:rsidR="00D7505A" w:rsidRPr="007133EF">
              <w:rPr>
                <w:rFonts w:eastAsia="SimSun"/>
                <w:sz w:val="18"/>
                <w:szCs w:val="18"/>
                <w:lang w:eastAsia="zh-CN"/>
              </w:rPr>
              <w:t>x</w:t>
            </w:r>
            <w:r w:rsidRPr="007133EF">
              <w:rPr>
                <w:rFonts w:eastAsia="SimSun"/>
                <w:sz w:val="18"/>
                <w:szCs w:val="18"/>
                <w:lang w:eastAsia="zh-CN"/>
              </w:rPr>
              <w:t> </w:t>
            </w:r>
            <w:r w:rsidR="00D7505A" w:rsidRPr="007133EF">
              <w:rPr>
                <w:rFonts w:eastAsia="SimSun"/>
                <w:sz w:val="18"/>
                <w:szCs w:val="18"/>
                <w:lang w:eastAsia="zh-CN"/>
              </w:rPr>
              <w:t>3</w:t>
            </w:r>
            <w:r w:rsidRPr="007133EF">
              <w:rPr>
                <w:rFonts w:eastAsia="SimSun"/>
                <w:sz w:val="18"/>
                <w:szCs w:val="18"/>
                <w:lang w:eastAsia="zh-CN"/>
              </w:rPr>
              <w:t> </w:t>
            </w:r>
            <w:r w:rsidR="00D7505A" w:rsidRPr="007133EF">
              <w:rPr>
                <w:rFonts w:eastAsia="SimSun"/>
                <w:sz w:val="18"/>
                <w:szCs w:val="18"/>
                <w:lang w:eastAsia="zh-CN"/>
              </w:rPr>
              <w:t>000</w:t>
            </w:r>
            <w:r w:rsidRPr="007133EF">
              <w:rPr>
                <w:rFonts w:eastAsia="SimSun"/>
                <w:sz w:val="18"/>
                <w:szCs w:val="18"/>
                <w:lang w:eastAsia="zh-CN"/>
              </w:rPr>
              <w:t> dollars</w:t>
            </w:r>
            <w:r w:rsidR="00D7505A" w:rsidRPr="007133EF">
              <w:rPr>
                <w:rFonts w:eastAsia="SimSun"/>
                <w:sz w:val="18"/>
                <w:szCs w:val="18"/>
                <w:lang w:eastAsia="zh-CN"/>
              </w:rPr>
              <w:t>)</w:t>
            </w:r>
          </w:p>
        </w:tc>
        <w:tc>
          <w:tcPr>
            <w:tcW w:w="956" w:type="dxa"/>
            <w:shd w:val="clear" w:color="auto" w:fill="auto"/>
          </w:tcPr>
          <w:p w:rsidR="00D7505A" w:rsidRPr="007133EF" w:rsidRDefault="00D7505A" w:rsidP="004E0A3B">
            <w:pPr>
              <w:pStyle w:val="Normal-pool"/>
              <w:jc w:val="right"/>
              <w:rPr>
                <w:rFonts w:eastAsia="SimSun"/>
                <w:sz w:val="18"/>
                <w:szCs w:val="18"/>
                <w:lang w:val="fr-FR" w:eastAsia="zh-CN"/>
              </w:rPr>
            </w:pPr>
            <w:r w:rsidRPr="007133EF">
              <w:rPr>
                <w:rFonts w:eastAsia="SimSun"/>
                <w:sz w:val="18"/>
                <w:szCs w:val="18"/>
                <w:lang w:val="fr-FR" w:eastAsia="zh-CN"/>
              </w:rPr>
              <w:t>180</w:t>
            </w:r>
            <w:r w:rsidR="000062A6" w:rsidRPr="007133EF">
              <w:rPr>
                <w:rFonts w:eastAsia="SimSun"/>
                <w:sz w:val="18"/>
                <w:szCs w:val="18"/>
                <w:lang w:val="fr-FR" w:eastAsia="zh-CN"/>
              </w:rPr>
              <w:t> </w:t>
            </w:r>
            <w:r w:rsidRPr="007133EF">
              <w:rPr>
                <w:rFonts w:eastAsia="SimSun"/>
                <w:sz w:val="18"/>
                <w:szCs w:val="18"/>
                <w:lang w:val="fr-FR" w:eastAsia="zh-CN"/>
              </w:rPr>
              <w:t>000</w:t>
            </w:r>
          </w:p>
        </w:tc>
      </w:tr>
      <w:tr w:rsidR="00947ED6" w:rsidRPr="007133EF" w:rsidTr="00094630">
        <w:trPr>
          <w:jc w:val="right"/>
        </w:trPr>
        <w:tc>
          <w:tcPr>
            <w:tcW w:w="627" w:type="dxa"/>
            <w:vMerge/>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532" w:type="dxa"/>
            <w:vMerge w:val="restart"/>
            <w:shd w:val="clear" w:color="auto" w:fill="auto"/>
            <w:vAlign w:val="center"/>
          </w:tcPr>
          <w:p w:rsidR="00D7505A" w:rsidRPr="007133EF" w:rsidRDefault="000062A6" w:rsidP="004E0A3B">
            <w:pPr>
              <w:pStyle w:val="Normal-pool"/>
              <w:rPr>
                <w:rFonts w:eastAsia="SimSun"/>
                <w:sz w:val="18"/>
                <w:szCs w:val="18"/>
                <w:lang w:val="fr-FR" w:eastAsia="zh-CN"/>
              </w:rPr>
            </w:pPr>
            <w:r w:rsidRPr="007133EF">
              <w:rPr>
                <w:rFonts w:eastAsia="SimSun"/>
                <w:sz w:val="18"/>
                <w:szCs w:val="18"/>
                <w:lang w:val="fr-FR" w:eastAsia="zh-CN"/>
              </w:rPr>
              <w:t>Deuxième</w:t>
            </w:r>
            <w:r w:rsidR="00FE6E54" w:rsidRPr="007133EF">
              <w:rPr>
                <w:rFonts w:eastAsia="SimSun"/>
                <w:sz w:val="18"/>
                <w:szCs w:val="18"/>
                <w:lang w:val="fr-FR" w:eastAsia="zh-CN"/>
              </w:rPr>
              <w:t xml:space="preserve"> réunion des auteurs (75 coprésidents, auteurs coordonnateurs principaux et auteurs principaux + 4 membres du </w:t>
            </w:r>
            <w:r w:rsidRPr="007133EF">
              <w:rPr>
                <w:rFonts w:eastAsia="SimSun"/>
                <w:sz w:val="18"/>
                <w:szCs w:val="18"/>
                <w:lang w:val="fr-FR" w:eastAsia="zh-CN"/>
              </w:rPr>
              <w:t>G</w:t>
            </w:r>
            <w:r w:rsidR="00FE6E54" w:rsidRPr="007133EF">
              <w:rPr>
                <w:rFonts w:eastAsia="SimSun"/>
                <w:sz w:val="18"/>
                <w:szCs w:val="18"/>
                <w:lang w:val="fr-FR" w:eastAsia="zh-CN"/>
              </w:rPr>
              <w:t>roupe d</w:t>
            </w:r>
            <w:r w:rsidRPr="007133EF">
              <w:rPr>
                <w:rFonts w:eastAsia="SimSun"/>
                <w:sz w:val="18"/>
                <w:szCs w:val="18"/>
                <w:lang w:val="fr-FR" w:eastAsia="zh-CN"/>
              </w:rPr>
              <w:t>’</w:t>
            </w:r>
            <w:r w:rsidR="00FE6E54" w:rsidRPr="007133EF">
              <w:rPr>
                <w:rFonts w:eastAsia="SimSun"/>
                <w:sz w:val="18"/>
                <w:szCs w:val="18"/>
                <w:lang w:val="fr-FR" w:eastAsia="zh-CN"/>
              </w:rPr>
              <w:t>experts multidis</w:t>
            </w:r>
            <w:r w:rsidRPr="007133EF">
              <w:rPr>
                <w:rFonts w:eastAsia="SimSun"/>
                <w:sz w:val="18"/>
                <w:szCs w:val="18"/>
                <w:lang w:val="fr-FR" w:eastAsia="zh-CN"/>
              </w:rPr>
              <w:t>ci</w:t>
            </w:r>
            <w:r w:rsidR="00FE6E54" w:rsidRPr="007133EF">
              <w:rPr>
                <w:rFonts w:eastAsia="SimSun"/>
                <w:sz w:val="18"/>
                <w:szCs w:val="18"/>
                <w:lang w:val="fr-FR" w:eastAsia="zh-CN"/>
              </w:rPr>
              <w:t>plin</w:t>
            </w:r>
            <w:r w:rsidRPr="007133EF">
              <w:rPr>
                <w:rFonts w:eastAsia="SimSun"/>
                <w:sz w:val="18"/>
                <w:szCs w:val="18"/>
                <w:lang w:val="fr-FR" w:eastAsia="zh-CN"/>
              </w:rPr>
              <w:t>aire</w:t>
            </w:r>
            <w:r w:rsidR="00FE6E54" w:rsidRPr="007133EF">
              <w:rPr>
                <w:rFonts w:eastAsia="SimSun"/>
                <w:sz w:val="18"/>
                <w:szCs w:val="18"/>
                <w:lang w:val="fr-FR" w:eastAsia="zh-CN"/>
              </w:rPr>
              <w:t>/</w:t>
            </w:r>
            <w:r w:rsidR="00094630">
              <w:rPr>
                <w:rFonts w:eastAsia="SimSun"/>
                <w:sz w:val="18"/>
                <w:szCs w:val="18"/>
                <w:lang w:val="fr-FR" w:eastAsia="zh-CN"/>
              </w:rPr>
              <w:t xml:space="preserve">membres du </w:t>
            </w:r>
            <w:r w:rsidR="00FE6E54" w:rsidRPr="007133EF">
              <w:rPr>
                <w:rFonts w:eastAsia="SimSun"/>
                <w:sz w:val="18"/>
                <w:szCs w:val="18"/>
                <w:lang w:val="fr-FR" w:eastAsia="zh-CN"/>
              </w:rPr>
              <w:t>Bureau +</w:t>
            </w:r>
            <w:r w:rsidRPr="007133EF">
              <w:rPr>
                <w:rFonts w:eastAsia="SimSun"/>
                <w:sz w:val="18"/>
                <w:szCs w:val="18"/>
                <w:lang w:val="fr-FR" w:eastAsia="zh-CN"/>
              </w:rPr>
              <w:t> </w:t>
            </w:r>
            <w:r w:rsidR="00FE6E54" w:rsidRPr="007133EF">
              <w:rPr>
                <w:rFonts w:eastAsia="SimSun"/>
                <w:sz w:val="18"/>
                <w:szCs w:val="18"/>
                <w:lang w:val="fr-FR" w:eastAsia="zh-CN"/>
              </w:rPr>
              <w:t>1 agent des services d’appui technique)</w:t>
            </w:r>
          </w:p>
        </w:tc>
        <w:tc>
          <w:tcPr>
            <w:tcW w:w="3119" w:type="dxa"/>
            <w:shd w:val="clear" w:color="auto" w:fill="auto"/>
          </w:tcPr>
          <w:p w:rsidR="00D7505A" w:rsidRPr="007133EF" w:rsidRDefault="000062A6" w:rsidP="004E0A3B">
            <w:pPr>
              <w:pStyle w:val="Normal-pool"/>
              <w:rPr>
                <w:rFonts w:eastAsia="SimSun"/>
                <w:sz w:val="18"/>
                <w:szCs w:val="18"/>
                <w:lang w:val="fr-FR" w:eastAsia="zh-CN"/>
              </w:rPr>
            </w:pPr>
            <w:r w:rsidRPr="007133EF">
              <w:rPr>
                <w:rFonts w:eastAsia="SimSun"/>
                <w:sz w:val="18"/>
                <w:szCs w:val="18"/>
                <w:lang w:val="fr-FR" w:eastAsia="zh-CN"/>
              </w:rPr>
              <w:t>Coûts de la réunion (1 semaine, 80 participants) (25 % en nature)</w:t>
            </w:r>
          </w:p>
        </w:tc>
        <w:tc>
          <w:tcPr>
            <w:tcW w:w="956" w:type="dxa"/>
            <w:shd w:val="clear" w:color="auto" w:fill="auto"/>
          </w:tcPr>
          <w:p w:rsidR="00D7505A" w:rsidRPr="007133EF" w:rsidRDefault="00D7505A" w:rsidP="004E0A3B">
            <w:pPr>
              <w:pStyle w:val="Normal-pool"/>
              <w:jc w:val="right"/>
              <w:rPr>
                <w:rFonts w:eastAsia="SimSun"/>
                <w:sz w:val="18"/>
                <w:szCs w:val="18"/>
                <w:lang w:val="fr-FR" w:eastAsia="zh-CN"/>
              </w:rPr>
            </w:pPr>
            <w:r w:rsidRPr="007133EF">
              <w:rPr>
                <w:rFonts w:eastAsia="SimSun"/>
                <w:sz w:val="18"/>
                <w:szCs w:val="18"/>
                <w:lang w:val="fr-FR" w:eastAsia="zh-CN"/>
              </w:rPr>
              <w:t>15</w:t>
            </w:r>
            <w:r w:rsidR="000062A6" w:rsidRPr="007133EF">
              <w:rPr>
                <w:rFonts w:eastAsia="SimSun"/>
                <w:sz w:val="18"/>
                <w:szCs w:val="18"/>
                <w:lang w:val="fr-FR" w:eastAsia="zh-CN"/>
              </w:rPr>
              <w:t> </w:t>
            </w:r>
            <w:r w:rsidRPr="007133EF">
              <w:rPr>
                <w:rFonts w:eastAsia="SimSun"/>
                <w:sz w:val="18"/>
                <w:szCs w:val="18"/>
                <w:lang w:val="fr-FR" w:eastAsia="zh-CN"/>
              </w:rPr>
              <w:t>000</w:t>
            </w:r>
          </w:p>
        </w:tc>
      </w:tr>
      <w:tr w:rsidR="00947ED6" w:rsidRPr="007133EF" w:rsidTr="00094630">
        <w:trPr>
          <w:trHeight w:val="337"/>
          <w:jc w:val="right"/>
        </w:trPr>
        <w:tc>
          <w:tcPr>
            <w:tcW w:w="627" w:type="dxa"/>
            <w:vMerge/>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532" w:type="dxa"/>
            <w:vMerge/>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119" w:type="dxa"/>
            <w:shd w:val="clear" w:color="auto" w:fill="auto"/>
          </w:tcPr>
          <w:p w:rsidR="00D7505A" w:rsidRPr="007133EF" w:rsidRDefault="000062A6" w:rsidP="004E0A3B">
            <w:pPr>
              <w:pStyle w:val="Normal-pool"/>
              <w:rPr>
                <w:rFonts w:eastAsia="SimSun"/>
                <w:sz w:val="18"/>
                <w:szCs w:val="18"/>
                <w:lang w:val="fr-FR" w:eastAsia="zh-CN"/>
              </w:rPr>
            </w:pPr>
            <w:r w:rsidRPr="007133EF">
              <w:rPr>
                <w:rFonts w:eastAsia="SimSun"/>
                <w:sz w:val="18"/>
                <w:szCs w:val="18"/>
                <w:lang w:val="fr-FR" w:eastAsia="zh-CN"/>
              </w:rPr>
              <w:t>Voyage et indemnité journalière de subsistance (60 x 3 000 dollars)</w:t>
            </w:r>
          </w:p>
        </w:tc>
        <w:tc>
          <w:tcPr>
            <w:tcW w:w="956" w:type="dxa"/>
            <w:shd w:val="clear" w:color="auto" w:fill="auto"/>
          </w:tcPr>
          <w:p w:rsidR="00D7505A" w:rsidRPr="007133EF" w:rsidRDefault="00D7505A" w:rsidP="004E0A3B">
            <w:pPr>
              <w:pStyle w:val="Normal-pool"/>
              <w:jc w:val="right"/>
              <w:rPr>
                <w:rFonts w:eastAsia="SimSun"/>
                <w:sz w:val="18"/>
                <w:szCs w:val="18"/>
                <w:lang w:val="fr-FR" w:eastAsia="zh-CN"/>
              </w:rPr>
            </w:pPr>
            <w:r w:rsidRPr="007133EF">
              <w:rPr>
                <w:rFonts w:eastAsia="SimSun"/>
                <w:sz w:val="18"/>
                <w:szCs w:val="18"/>
                <w:lang w:val="fr-FR" w:eastAsia="zh-CN"/>
              </w:rPr>
              <w:t>180</w:t>
            </w:r>
            <w:r w:rsidR="000062A6" w:rsidRPr="007133EF">
              <w:rPr>
                <w:rFonts w:eastAsia="SimSun"/>
                <w:sz w:val="18"/>
                <w:szCs w:val="18"/>
                <w:lang w:val="fr-FR" w:eastAsia="zh-CN"/>
              </w:rPr>
              <w:t> </w:t>
            </w:r>
            <w:r w:rsidRPr="007133EF">
              <w:rPr>
                <w:rFonts w:eastAsia="SimSun"/>
                <w:sz w:val="18"/>
                <w:szCs w:val="18"/>
                <w:lang w:val="fr-FR" w:eastAsia="zh-CN"/>
              </w:rPr>
              <w:t>000</w:t>
            </w:r>
          </w:p>
        </w:tc>
      </w:tr>
      <w:tr w:rsidR="00947ED6" w:rsidRPr="007133EF" w:rsidTr="00094630">
        <w:trPr>
          <w:jc w:val="right"/>
        </w:trPr>
        <w:tc>
          <w:tcPr>
            <w:tcW w:w="627" w:type="dxa"/>
            <w:vMerge/>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532" w:type="dxa"/>
            <w:vMerge w:val="restart"/>
            <w:shd w:val="clear" w:color="auto" w:fill="auto"/>
            <w:vAlign w:val="center"/>
          </w:tcPr>
          <w:p w:rsidR="00D7505A" w:rsidRPr="007133EF" w:rsidRDefault="000062A6" w:rsidP="004E0A3B">
            <w:pPr>
              <w:pStyle w:val="Normal-pool"/>
              <w:rPr>
                <w:rFonts w:eastAsia="SimSun"/>
                <w:sz w:val="18"/>
                <w:szCs w:val="18"/>
                <w:lang w:val="fr-FR" w:eastAsia="zh-CN"/>
              </w:rPr>
            </w:pPr>
            <w:r w:rsidRPr="007133EF">
              <w:rPr>
                <w:rFonts w:eastAsia="SimSun"/>
                <w:sz w:val="18"/>
                <w:szCs w:val="18"/>
                <w:lang w:val="fr-FR" w:eastAsia="zh-CN"/>
              </w:rPr>
              <w:t>Troisième</w:t>
            </w:r>
            <w:r w:rsidR="00FE6E54" w:rsidRPr="007133EF">
              <w:rPr>
                <w:rFonts w:eastAsia="SimSun"/>
                <w:sz w:val="18"/>
                <w:szCs w:val="18"/>
                <w:lang w:val="fr-FR" w:eastAsia="zh-CN"/>
              </w:rPr>
              <w:t xml:space="preserve"> réunion des auteurs (75 coprésidents, auteurs coordonnateurs principaux et auteurs principaux + 4 membres du </w:t>
            </w:r>
            <w:r w:rsidRPr="007133EF">
              <w:rPr>
                <w:rFonts w:eastAsia="SimSun"/>
                <w:sz w:val="18"/>
                <w:szCs w:val="18"/>
                <w:lang w:val="fr-FR" w:eastAsia="zh-CN"/>
              </w:rPr>
              <w:t>Gr</w:t>
            </w:r>
            <w:r w:rsidR="00FE6E54" w:rsidRPr="007133EF">
              <w:rPr>
                <w:rFonts w:eastAsia="SimSun"/>
                <w:sz w:val="18"/>
                <w:szCs w:val="18"/>
                <w:lang w:val="fr-FR" w:eastAsia="zh-CN"/>
              </w:rPr>
              <w:t>oupe d</w:t>
            </w:r>
            <w:r w:rsidRPr="007133EF">
              <w:rPr>
                <w:rFonts w:eastAsia="SimSun"/>
                <w:sz w:val="18"/>
                <w:szCs w:val="18"/>
                <w:lang w:val="fr-FR" w:eastAsia="zh-CN"/>
              </w:rPr>
              <w:t>’</w:t>
            </w:r>
            <w:r w:rsidR="00FE6E54" w:rsidRPr="007133EF">
              <w:rPr>
                <w:rFonts w:eastAsia="SimSun"/>
                <w:sz w:val="18"/>
                <w:szCs w:val="18"/>
                <w:lang w:val="fr-FR" w:eastAsia="zh-CN"/>
              </w:rPr>
              <w:t>experts multidisciplin</w:t>
            </w:r>
            <w:r w:rsidRPr="007133EF">
              <w:rPr>
                <w:rFonts w:eastAsia="SimSun"/>
                <w:sz w:val="18"/>
                <w:szCs w:val="18"/>
                <w:lang w:val="fr-FR" w:eastAsia="zh-CN"/>
              </w:rPr>
              <w:t>aire</w:t>
            </w:r>
            <w:r w:rsidR="00FE6E54" w:rsidRPr="007133EF">
              <w:rPr>
                <w:rFonts w:eastAsia="SimSun"/>
                <w:sz w:val="18"/>
                <w:szCs w:val="18"/>
                <w:lang w:val="fr-FR" w:eastAsia="zh-CN"/>
              </w:rPr>
              <w:t>/</w:t>
            </w:r>
            <w:r w:rsidR="00094630">
              <w:rPr>
                <w:rFonts w:eastAsia="SimSun"/>
                <w:sz w:val="18"/>
                <w:szCs w:val="18"/>
                <w:lang w:val="fr-FR" w:eastAsia="zh-CN"/>
              </w:rPr>
              <w:t xml:space="preserve">membres du </w:t>
            </w:r>
            <w:r w:rsidR="00FE6E54" w:rsidRPr="007133EF">
              <w:rPr>
                <w:rFonts w:eastAsia="SimSun"/>
                <w:sz w:val="18"/>
                <w:szCs w:val="18"/>
                <w:lang w:val="fr-FR" w:eastAsia="zh-CN"/>
              </w:rPr>
              <w:t>Bureau +</w:t>
            </w:r>
            <w:r w:rsidRPr="007133EF">
              <w:rPr>
                <w:rFonts w:eastAsia="SimSun"/>
                <w:sz w:val="18"/>
                <w:szCs w:val="18"/>
                <w:lang w:val="fr-FR" w:eastAsia="zh-CN"/>
              </w:rPr>
              <w:t> </w:t>
            </w:r>
            <w:r w:rsidR="00FE6E54" w:rsidRPr="007133EF">
              <w:rPr>
                <w:rFonts w:eastAsia="SimSun"/>
                <w:sz w:val="18"/>
                <w:szCs w:val="18"/>
                <w:lang w:val="fr-FR" w:eastAsia="zh-CN"/>
              </w:rPr>
              <w:t>1 agent des services d’appui technique)</w:t>
            </w:r>
          </w:p>
        </w:tc>
        <w:tc>
          <w:tcPr>
            <w:tcW w:w="3119" w:type="dxa"/>
            <w:shd w:val="clear" w:color="auto" w:fill="auto"/>
          </w:tcPr>
          <w:p w:rsidR="00D7505A" w:rsidRPr="007133EF" w:rsidRDefault="000062A6" w:rsidP="004E0A3B">
            <w:pPr>
              <w:pStyle w:val="Normal-pool"/>
              <w:rPr>
                <w:rFonts w:eastAsia="SimSun"/>
                <w:sz w:val="18"/>
                <w:szCs w:val="18"/>
                <w:lang w:val="fr-FR" w:eastAsia="zh-CN"/>
              </w:rPr>
            </w:pPr>
            <w:r w:rsidRPr="007133EF">
              <w:rPr>
                <w:rFonts w:eastAsia="SimSun"/>
                <w:sz w:val="18"/>
                <w:szCs w:val="18"/>
                <w:lang w:val="fr-FR" w:eastAsia="zh-CN"/>
              </w:rPr>
              <w:t>Coûts de la réunion (1 semaine, 80 participants) (25 % en nature)</w:t>
            </w:r>
          </w:p>
        </w:tc>
        <w:tc>
          <w:tcPr>
            <w:tcW w:w="956" w:type="dxa"/>
            <w:shd w:val="clear" w:color="auto" w:fill="auto"/>
          </w:tcPr>
          <w:p w:rsidR="00D7505A" w:rsidRPr="007133EF" w:rsidRDefault="00D7505A" w:rsidP="004E0A3B">
            <w:pPr>
              <w:pStyle w:val="Normal-pool"/>
              <w:jc w:val="right"/>
              <w:rPr>
                <w:rFonts w:eastAsia="SimSun"/>
                <w:sz w:val="18"/>
                <w:szCs w:val="18"/>
                <w:lang w:val="fr-FR" w:eastAsia="zh-CN"/>
              </w:rPr>
            </w:pPr>
            <w:r w:rsidRPr="007133EF">
              <w:rPr>
                <w:rFonts w:eastAsia="SimSun"/>
                <w:sz w:val="18"/>
                <w:szCs w:val="18"/>
                <w:lang w:val="fr-FR" w:eastAsia="zh-CN"/>
              </w:rPr>
              <w:t>18</w:t>
            </w:r>
            <w:r w:rsidR="000062A6" w:rsidRPr="007133EF">
              <w:rPr>
                <w:rFonts w:eastAsia="SimSun"/>
                <w:sz w:val="18"/>
                <w:szCs w:val="18"/>
                <w:lang w:val="fr-FR" w:eastAsia="zh-CN"/>
              </w:rPr>
              <w:t> </w:t>
            </w:r>
            <w:r w:rsidRPr="007133EF">
              <w:rPr>
                <w:rFonts w:eastAsia="SimSun"/>
                <w:sz w:val="18"/>
                <w:szCs w:val="18"/>
                <w:lang w:val="fr-FR" w:eastAsia="zh-CN"/>
              </w:rPr>
              <w:t>750</w:t>
            </w:r>
          </w:p>
        </w:tc>
      </w:tr>
      <w:tr w:rsidR="00947ED6" w:rsidRPr="007133EF" w:rsidTr="00094630">
        <w:trPr>
          <w:trHeight w:val="339"/>
          <w:jc w:val="right"/>
        </w:trPr>
        <w:tc>
          <w:tcPr>
            <w:tcW w:w="627" w:type="dxa"/>
            <w:vMerge/>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532" w:type="dxa"/>
            <w:vMerge/>
            <w:tcBorders>
              <w:bottom w:val="single" w:sz="4" w:space="0" w:color="auto"/>
            </w:tcBorders>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119" w:type="dxa"/>
            <w:tcBorders>
              <w:bottom w:val="single" w:sz="4" w:space="0" w:color="auto"/>
            </w:tcBorders>
            <w:shd w:val="clear" w:color="auto" w:fill="auto"/>
          </w:tcPr>
          <w:p w:rsidR="00D7505A" w:rsidRPr="007133EF" w:rsidRDefault="000062A6" w:rsidP="004E0A3B">
            <w:pPr>
              <w:pStyle w:val="Normal-pool"/>
              <w:rPr>
                <w:rFonts w:eastAsia="SimSun"/>
                <w:sz w:val="18"/>
                <w:szCs w:val="18"/>
                <w:lang w:val="fr-FR" w:eastAsia="zh-CN"/>
              </w:rPr>
            </w:pPr>
            <w:r w:rsidRPr="007133EF">
              <w:rPr>
                <w:rFonts w:eastAsia="SimSun"/>
                <w:sz w:val="18"/>
                <w:szCs w:val="18"/>
                <w:lang w:val="fr-FR" w:eastAsia="zh-CN"/>
              </w:rPr>
              <w:t>Voyage et indemnité journalière de subsistance (60 x 3 000 dollars)</w:t>
            </w:r>
          </w:p>
        </w:tc>
        <w:tc>
          <w:tcPr>
            <w:tcW w:w="956" w:type="dxa"/>
            <w:tcBorders>
              <w:bottom w:val="single" w:sz="4" w:space="0" w:color="auto"/>
            </w:tcBorders>
            <w:shd w:val="clear" w:color="auto" w:fill="auto"/>
          </w:tcPr>
          <w:p w:rsidR="00D7505A" w:rsidRPr="007133EF" w:rsidRDefault="00D7505A" w:rsidP="004E0A3B">
            <w:pPr>
              <w:pStyle w:val="Normal-pool"/>
              <w:jc w:val="right"/>
              <w:rPr>
                <w:rFonts w:eastAsia="SimSun"/>
                <w:sz w:val="18"/>
                <w:szCs w:val="18"/>
                <w:lang w:val="fr-FR" w:eastAsia="zh-CN"/>
              </w:rPr>
            </w:pPr>
            <w:r w:rsidRPr="007133EF">
              <w:rPr>
                <w:rFonts w:eastAsia="SimSun"/>
                <w:sz w:val="18"/>
                <w:szCs w:val="18"/>
                <w:lang w:val="fr-FR" w:eastAsia="zh-CN"/>
              </w:rPr>
              <w:t>207</w:t>
            </w:r>
            <w:r w:rsidR="000062A6" w:rsidRPr="007133EF">
              <w:rPr>
                <w:rFonts w:eastAsia="SimSun"/>
                <w:sz w:val="18"/>
                <w:szCs w:val="18"/>
                <w:lang w:val="fr-FR" w:eastAsia="zh-CN"/>
              </w:rPr>
              <w:t> </w:t>
            </w:r>
            <w:r w:rsidRPr="007133EF">
              <w:rPr>
                <w:rFonts w:eastAsia="SimSun"/>
                <w:sz w:val="18"/>
                <w:szCs w:val="18"/>
                <w:lang w:val="fr-FR" w:eastAsia="zh-CN"/>
              </w:rPr>
              <w:t>000</w:t>
            </w:r>
          </w:p>
        </w:tc>
      </w:tr>
      <w:tr w:rsidR="00947ED6" w:rsidRPr="007133EF" w:rsidTr="00094630">
        <w:trPr>
          <w:trHeight w:val="361"/>
          <w:jc w:val="right"/>
        </w:trPr>
        <w:tc>
          <w:tcPr>
            <w:tcW w:w="627" w:type="dxa"/>
            <w:vMerge/>
            <w:tcBorders>
              <w:bottom w:val="single" w:sz="4" w:space="0" w:color="auto"/>
            </w:tcBorders>
            <w:shd w:val="clear" w:color="auto" w:fill="auto"/>
            <w:vAlign w:val="center"/>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532" w:type="dxa"/>
            <w:shd w:val="clear" w:color="auto" w:fill="auto"/>
            <w:vAlign w:val="center"/>
          </w:tcPr>
          <w:p w:rsidR="00D7505A" w:rsidRPr="007133EF" w:rsidRDefault="00FE6E54" w:rsidP="004E0A3B">
            <w:pPr>
              <w:pStyle w:val="Normal-pool"/>
              <w:rPr>
                <w:rFonts w:eastAsia="SimSun"/>
                <w:sz w:val="18"/>
                <w:szCs w:val="18"/>
                <w:lang w:val="fr-FR" w:eastAsia="zh-CN"/>
              </w:rPr>
            </w:pPr>
            <w:r w:rsidRPr="007133EF">
              <w:rPr>
                <w:rFonts w:eastAsia="SimSun"/>
                <w:sz w:val="18"/>
                <w:szCs w:val="18"/>
                <w:lang w:val="fr-FR" w:eastAsia="zh-CN"/>
              </w:rPr>
              <w:t>Appui technique</w:t>
            </w:r>
          </w:p>
        </w:tc>
        <w:tc>
          <w:tcPr>
            <w:tcW w:w="3119" w:type="dxa"/>
            <w:shd w:val="clear" w:color="auto" w:fill="auto"/>
          </w:tcPr>
          <w:p w:rsidR="00D7505A" w:rsidRPr="007133EF" w:rsidRDefault="00D7505A" w:rsidP="004E0A3B">
            <w:pPr>
              <w:pStyle w:val="Normal-pool"/>
              <w:rPr>
                <w:rFonts w:eastAsia="SimSun"/>
                <w:sz w:val="18"/>
                <w:szCs w:val="18"/>
                <w:lang w:val="fr-FR" w:eastAsia="zh-CN"/>
              </w:rPr>
            </w:pPr>
            <w:r w:rsidRPr="007133EF">
              <w:rPr>
                <w:rFonts w:eastAsia="SimSun"/>
                <w:sz w:val="18"/>
                <w:szCs w:val="18"/>
                <w:lang w:val="fr-FR" w:eastAsia="zh-CN"/>
              </w:rPr>
              <w:t>1</w:t>
            </w:r>
            <w:r w:rsidR="008A6546" w:rsidRPr="007133EF">
              <w:rPr>
                <w:rFonts w:eastAsia="SimSun"/>
                <w:sz w:val="18"/>
                <w:szCs w:val="18"/>
                <w:lang w:val="fr-FR" w:eastAsia="zh-CN"/>
              </w:rPr>
              <w:t> poste d’administrateur équivalent plein temps</w:t>
            </w:r>
            <w:r w:rsidRPr="007133EF">
              <w:rPr>
                <w:rFonts w:eastAsia="SimSun"/>
                <w:sz w:val="18"/>
                <w:szCs w:val="18"/>
                <w:lang w:val="fr-FR" w:eastAsia="zh-CN"/>
              </w:rPr>
              <w:t xml:space="preserve"> (50</w:t>
            </w:r>
            <w:r w:rsidR="000062A6" w:rsidRPr="007133EF">
              <w:rPr>
                <w:rFonts w:eastAsia="SimSun"/>
                <w:sz w:val="18"/>
                <w:szCs w:val="18"/>
                <w:lang w:val="fr-FR" w:eastAsia="zh-CN"/>
              </w:rPr>
              <w:t> % en nature)</w:t>
            </w:r>
          </w:p>
        </w:tc>
        <w:tc>
          <w:tcPr>
            <w:tcW w:w="956" w:type="dxa"/>
            <w:tcBorders>
              <w:bottom w:val="single" w:sz="4" w:space="0" w:color="auto"/>
            </w:tcBorders>
            <w:shd w:val="clear" w:color="auto" w:fill="auto"/>
          </w:tcPr>
          <w:p w:rsidR="00D7505A" w:rsidRPr="007133EF" w:rsidRDefault="00D7505A" w:rsidP="003265E4">
            <w:pPr>
              <w:pStyle w:val="Normal-pool"/>
              <w:jc w:val="right"/>
              <w:rPr>
                <w:rFonts w:eastAsia="SimSun"/>
                <w:sz w:val="18"/>
                <w:szCs w:val="18"/>
                <w:lang w:val="fr-FR" w:eastAsia="zh-CN"/>
              </w:rPr>
            </w:pPr>
            <w:r w:rsidRPr="007133EF">
              <w:rPr>
                <w:rFonts w:eastAsia="SimSun"/>
                <w:sz w:val="18"/>
                <w:szCs w:val="18"/>
                <w:lang w:val="fr-FR" w:eastAsia="zh-CN"/>
              </w:rPr>
              <w:t>75</w:t>
            </w:r>
            <w:r w:rsidR="000062A6" w:rsidRPr="007133EF">
              <w:rPr>
                <w:rFonts w:eastAsia="SimSun"/>
                <w:sz w:val="18"/>
                <w:szCs w:val="18"/>
                <w:lang w:val="fr-FR" w:eastAsia="zh-CN"/>
              </w:rPr>
              <w:t> </w:t>
            </w:r>
            <w:r w:rsidR="003265E4">
              <w:rPr>
                <w:rFonts w:eastAsia="SimSun"/>
                <w:sz w:val="18"/>
                <w:szCs w:val="18"/>
                <w:lang w:val="fr-FR" w:eastAsia="zh-CN"/>
              </w:rPr>
              <w:t>0</w:t>
            </w:r>
            <w:r w:rsidRPr="007133EF">
              <w:rPr>
                <w:rFonts w:eastAsia="SimSun"/>
                <w:sz w:val="18"/>
                <w:szCs w:val="18"/>
                <w:lang w:val="fr-FR" w:eastAsia="zh-CN"/>
              </w:rPr>
              <w:t>00</w:t>
            </w:r>
          </w:p>
        </w:tc>
      </w:tr>
      <w:tr w:rsidR="00947ED6" w:rsidRPr="007133EF" w:rsidTr="00094630">
        <w:trPr>
          <w:trHeight w:val="317"/>
          <w:jc w:val="right"/>
        </w:trPr>
        <w:tc>
          <w:tcPr>
            <w:tcW w:w="627" w:type="dxa"/>
            <w:vMerge w:val="restart"/>
            <w:shd w:val="clear" w:color="auto" w:fill="auto"/>
            <w:vAlign w:val="center"/>
          </w:tcPr>
          <w:p w:rsidR="00D7505A" w:rsidRPr="007133EF" w:rsidRDefault="00D7505A" w:rsidP="004E0A3B">
            <w:pPr>
              <w:pStyle w:val="Normal-pool"/>
              <w:rPr>
                <w:rFonts w:eastAsia="SimSun"/>
                <w:sz w:val="18"/>
                <w:szCs w:val="18"/>
                <w:lang w:val="fr-FR" w:eastAsia="zh-CN"/>
              </w:rPr>
            </w:pPr>
            <w:r w:rsidRPr="007133EF">
              <w:rPr>
                <w:rFonts w:eastAsia="SimSun"/>
                <w:sz w:val="18"/>
                <w:szCs w:val="18"/>
                <w:lang w:val="fr-FR" w:eastAsia="zh-CN"/>
              </w:rPr>
              <w:t>2015</w:t>
            </w:r>
          </w:p>
        </w:tc>
        <w:tc>
          <w:tcPr>
            <w:tcW w:w="3532" w:type="dxa"/>
            <w:shd w:val="clear" w:color="auto" w:fill="auto"/>
            <w:vAlign w:val="center"/>
          </w:tcPr>
          <w:p w:rsidR="00D7505A" w:rsidRPr="007133EF" w:rsidRDefault="00FA42BA" w:rsidP="00094630">
            <w:pPr>
              <w:pStyle w:val="Normal-pool"/>
              <w:rPr>
                <w:rFonts w:eastAsia="SimSun"/>
                <w:sz w:val="18"/>
                <w:szCs w:val="18"/>
                <w:lang w:val="fr-FR" w:eastAsia="zh-CN"/>
              </w:rPr>
            </w:pPr>
            <w:r w:rsidRPr="007133EF">
              <w:rPr>
                <w:rFonts w:eastAsia="SimSun"/>
                <w:sz w:val="18"/>
                <w:szCs w:val="18"/>
                <w:lang w:val="fr-FR" w:eastAsia="zh-CN"/>
              </w:rPr>
              <w:t xml:space="preserve">Participation </w:t>
            </w:r>
            <w:r w:rsidR="00094630" w:rsidRPr="007133EF">
              <w:rPr>
                <w:rFonts w:eastAsia="SimSun"/>
                <w:sz w:val="18"/>
                <w:szCs w:val="18"/>
                <w:lang w:val="fr-FR" w:eastAsia="zh-CN"/>
              </w:rPr>
              <w:t xml:space="preserve">de deux coprésidents et de deux auteurs coordonnateurs principaux </w:t>
            </w:r>
            <w:r w:rsidR="000062A6" w:rsidRPr="007133EF">
              <w:rPr>
                <w:rFonts w:eastAsia="SimSun"/>
                <w:sz w:val="18"/>
                <w:szCs w:val="18"/>
                <w:lang w:val="fr-FR" w:eastAsia="zh-CN"/>
              </w:rPr>
              <w:t xml:space="preserve">à la troisième </w:t>
            </w:r>
            <w:r w:rsidR="00B36966" w:rsidRPr="007133EF">
              <w:rPr>
                <w:rFonts w:eastAsia="SimSun"/>
                <w:sz w:val="18"/>
                <w:szCs w:val="18"/>
                <w:lang w:val="fr-FR" w:eastAsia="zh-CN"/>
              </w:rPr>
              <w:t>session</w:t>
            </w:r>
            <w:r w:rsidRPr="007133EF">
              <w:rPr>
                <w:rFonts w:eastAsia="SimSun"/>
                <w:sz w:val="18"/>
                <w:szCs w:val="18"/>
                <w:lang w:val="fr-FR" w:eastAsia="zh-CN"/>
              </w:rPr>
              <w:t xml:space="preserve"> </w:t>
            </w:r>
            <w:r w:rsidR="00094630">
              <w:rPr>
                <w:rFonts w:eastAsia="SimSun"/>
                <w:sz w:val="18"/>
                <w:szCs w:val="18"/>
                <w:lang w:val="fr-FR" w:eastAsia="zh-CN"/>
              </w:rPr>
              <w:t>de la</w:t>
            </w:r>
            <w:r w:rsidRPr="007133EF">
              <w:rPr>
                <w:rFonts w:eastAsia="SimSun"/>
                <w:sz w:val="18"/>
                <w:szCs w:val="18"/>
                <w:lang w:val="fr-FR" w:eastAsia="zh-CN"/>
              </w:rPr>
              <w:t xml:space="preserve"> Pl</w:t>
            </w:r>
            <w:r w:rsidR="000062A6" w:rsidRPr="007133EF">
              <w:rPr>
                <w:rFonts w:eastAsia="SimSun"/>
                <w:sz w:val="18"/>
                <w:szCs w:val="18"/>
                <w:lang w:val="fr-FR" w:eastAsia="zh-CN"/>
              </w:rPr>
              <w:t xml:space="preserve">énière </w:t>
            </w:r>
          </w:p>
        </w:tc>
        <w:tc>
          <w:tcPr>
            <w:tcW w:w="3119" w:type="dxa"/>
            <w:shd w:val="clear" w:color="auto" w:fill="auto"/>
          </w:tcPr>
          <w:p w:rsidR="00D7505A" w:rsidRPr="007133EF" w:rsidRDefault="008A6546" w:rsidP="004E0A3B">
            <w:pPr>
              <w:pStyle w:val="Normal-pool"/>
              <w:rPr>
                <w:rFonts w:eastAsia="SimSun"/>
                <w:sz w:val="18"/>
                <w:szCs w:val="18"/>
                <w:lang w:val="fr-FR" w:eastAsia="zh-CN"/>
              </w:rPr>
            </w:pPr>
            <w:r w:rsidRPr="007133EF">
              <w:rPr>
                <w:rFonts w:eastAsia="SimSun"/>
                <w:sz w:val="18"/>
                <w:szCs w:val="18"/>
                <w:lang w:val="fr-FR" w:eastAsia="zh-CN"/>
              </w:rPr>
              <w:t>Voyage et indemnité journalière de subsistance (3 x 3 000 dollars)</w:t>
            </w:r>
          </w:p>
        </w:tc>
        <w:tc>
          <w:tcPr>
            <w:tcW w:w="956" w:type="dxa"/>
            <w:shd w:val="clear" w:color="auto" w:fill="auto"/>
          </w:tcPr>
          <w:p w:rsidR="00D7505A" w:rsidRPr="007133EF" w:rsidRDefault="00D7505A" w:rsidP="004E0A3B">
            <w:pPr>
              <w:pStyle w:val="Normal-pool"/>
              <w:jc w:val="right"/>
              <w:rPr>
                <w:rFonts w:eastAsia="SimSun"/>
                <w:sz w:val="18"/>
                <w:szCs w:val="18"/>
                <w:lang w:val="fr-FR" w:eastAsia="zh-CN"/>
              </w:rPr>
            </w:pPr>
            <w:r w:rsidRPr="007133EF">
              <w:rPr>
                <w:rFonts w:eastAsia="SimSun"/>
                <w:sz w:val="18"/>
                <w:szCs w:val="18"/>
                <w:lang w:val="fr-FR" w:eastAsia="zh-CN"/>
              </w:rPr>
              <w:t>9</w:t>
            </w:r>
            <w:r w:rsidR="008A6546" w:rsidRPr="007133EF">
              <w:rPr>
                <w:rFonts w:eastAsia="SimSun"/>
                <w:sz w:val="18"/>
                <w:szCs w:val="18"/>
                <w:lang w:val="fr-FR" w:eastAsia="zh-CN"/>
              </w:rPr>
              <w:t> </w:t>
            </w:r>
            <w:r w:rsidRPr="007133EF">
              <w:rPr>
                <w:rFonts w:eastAsia="SimSun"/>
                <w:sz w:val="18"/>
                <w:szCs w:val="18"/>
                <w:lang w:val="fr-FR" w:eastAsia="zh-CN"/>
              </w:rPr>
              <w:t>000</w:t>
            </w:r>
          </w:p>
        </w:tc>
      </w:tr>
      <w:tr w:rsidR="00947ED6" w:rsidRPr="007133EF" w:rsidDel="001E184E" w:rsidTr="00094630">
        <w:trPr>
          <w:trHeight w:val="560"/>
          <w:jc w:val="right"/>
        </w:trPr>
        <w:tc>
          <w:tcPr>
            <w:tcW w:w="627" w:type="dxa"/>
            <w:vMerge/>
            <w:shd w:val="clear" w:color="auto" w:fill="auto"/>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532" w:type="dxa"/>
            <w:shd w:val="clear" w:color="auto" w:fill="auto"/>
          </w:tcPr>
          <w:p w:rsidR="00D7505A" w:rsidRPr="007133EF" w:rsidRDefault="00D7505A" w:rsidP="00094630">
            <w:pPr>
              <w:pStyle w:val="Normal-pool"/>
              <w:rPr>
                <w:rFonts w:eastAsia="SimSun"/>
                <w:b/>
                <w:sz w:val="18"/>
                <w:szCs w:val="18"/>
                <w:lang w:val="fr-FR" w:eastAsia="zh-CN"/>
              </w:rPr>
            </w:pPr>
            <w:r w:rsidRPr="007133EF">
              <w:rPr>
                <w:rFonts w:eastAsia="SimSun"/>
                <w:sz w:val="18"/>
                <w:szCs w:val="18"/>
                <w:lang w:val="fr-FR" w:eastAsia="zh-CN"/>
              </w:rPr>
              <w:t>Di</w:t>
            </w:r>
            <w:r w:rsidR="000062A6" w:rsidRPr="007133EF">
              <w:rPr>
                <w:rFonts w:eastAsia="SimSun"/>
                <w:sz w:val="18"/>
                <w:szCs w:val="18"/>
                <w:lang w:val="fr-FR" w:eastAsia="zh-CN"/>
              </w:rPr>
              <w:t xml:space="preserve">ffusion </w:t>
            </w:r>
            <w:r w:rsidR="00094630">
              <w:rPr>
                <w:rFonts w:eastAsia="SimSun"/>
                <w:sz w:val="18"/>
                <w:szCs w:val="18"/>
                <w:lang w:val="fr-FR" w:eastAsia="zh-CN"/>
              </w:rPr>
              <w:t xml:space="preserve">et activités de sensibilisation </w:t>
            </w:r>
            <w:r w:rsidRPr="007133EF">
              <w:rPr>
                <w:rFonts w:eastAsia="SimSun"/>
                <w:sz w:val="18"/>
                <w:szCs w:val="18"/>
                <w:lang w:val="fr-FR" w:eastAsia="zh-CN"/>
              </w:rPr>
              <w:t>(</w:t>
            </w:r>
            <w:r w:rsidR="000062A6" w:rsidRPr="007133EF">
              <w:rPr>
                <w:rFonts w:eastAsia="SimSun"/>
                <w:sz w:val="18"/>
                <w:szCs w:val="18"/>
                <w:lang w:val="fr-FR" w:eastAsia="zh-CN"/>
              </w:rPr>
              <w:t xml:space="preserve">résumé à l’intention des décideurs </w:t>
            </w:r>
            <w:r w:rsidR="00094630">
              <w:rPr>
                <w:rFonts w:eastAsia="SimSun"/>
                <w:sz w:val="18"/>
                <w:szCs w:val="18"/>
                <w:lang w:val="fr-FR" w:eastAsia="zh-CN"/>
              </w:rPr>
              <w:t>(</w:t>
            </w:r>
            <w:r w:rsidR="000062A6" w:rsidRPr="007133EF">
              <w:rPr>
                <w:rFonts w:eastAsia="SimSun"/>
                <w:sz w:val="18"/>
                <w:szCs w:val="18"/>
                <w:lang w:val="fr-FR" w:eastAsia="zh-CN"/>
              </w:rPr>
              <w:t>10 pages</w:t>
            </w:r>
            <w:r w:rsidR="00094630">
              <w:rPr>
                <w:rFonts w:eastAsia="SimSun"/>
                <w:sz w:val="18"/>
                <w:szCs w:val="18"/>
                <w:lang w:val="fr-FR" w:eastAsia="zh-CN"/>
              </w:rPr>
              <w:t>)</w:t>
            </w:r>
            <w:r w:rsidR="008671EE">
              <w:rPr>
                <w:rFonts w:eastAsia="SimSun"/>
                <w:sz w:val="18"/>
                <w:szCs w:val="18"/>
                <w:lang w:val="fr-FR" w:eastAsia="zh-CN"/>
              </w:rPr>
              <w:t xml:space="preserve"> </w:t>
            </w:r>
            <w:r w:rsidR="000062A6" w:rsidRPr="007133EF">
              <w:rPr>
                <w:rFonts w:eastAsia="SimSun"/>
                <w:sz w:val="18"/>
                <w:szCs w:val="18"/>
                <w:lang w:val="fr-FR" w:eastAsia="zh-CN"/>
              </w:rPr>
              <w:t xml:space="preserve">et rapport </w:t>
            </w:r>
            <w:r w:rsidR="00094630">
              <w:rPr>
                <w:rFonts w:eastAsia="SimSun"/>
                <w:sz w:val="18"/>
                <w:szCs w:val="18"/>
                <w:lang w:val="fr-FR" w:eastAsia="zh-CN"/>
              </w:rPr>
              <w:t>(</w:t>
            </w:r>
            <w:r w:rsidR="000062A6" w:rsidRPr="007133EF">
              <w:rPr>
                <w:rFonts w:eastAsia="SimSun"/>
                <w:sz w:val="18"/>
                <w:szCs w:val="18"/>
                <w:lang w:val="fr-FR" w:eastAsia="zh-CN"/>
              </w:rPr>
              <w:t>200 pages</w:t>
            </w:r>
            <w:r w:rsidR="00094630">
              <w:rPr>
                <w:rFonts w:eastAsia="SimSun"/>
                <w:sz w:val="18"/>
                <w:szCs w:val="18"/>
                <w:lang w:val="fr-FR" w:eastAsia="zh-CN"/>
              </w:rPr>
              <w:t>)</w:t>
            </w:r>
            <w:r w:rsidRPr="007133EF">
              <w:rPr>
                <w:rFonts w:eastAsia="SimSun"/>
                <w:sz w:val="18"/>
                <w:szCs w:val="18"/>
                <w:lang w:val="fr-FR" w:eastAsia="zh-CN"/>
              </w:rPr>
              <w:t>)</w:t>
            </w:r>
          </w:p>
        </w:tc>
        <w:tc>
          <w:tcPr>
            <w:tcW w:w="3119" w:type="dxa"/>
            <w:shd w:val="clear" w:color="auto" w:fill="auto"/>
          </w:tcPr>
          <w:p w:rsidR="00D7505A" w:rsidRPr="007133EF" w:rsidRDefault="00D7505A" w:rsidP="00094630">
            <w:pPr>
              <w:pStyle w:val="Normal-pool"/>
              <w:rPr>
                <w:rFonts w:eastAsia="SimSun"/>
                <w:sz w:val="18"/>
                <w:szCs w:val="18"/>
                <w:lang w:val="fr-FR" w:eastAsia="zh-CN"/>
              </w:rPr>
            </w:pPr>
            <w:r w:rsidRPr="007133EF">
              <w:rPr>
                <w:rFonts w:eastAsia="SimSun"/>
                <w:sz w:val="18"/>
                <w:szCs w:val="18"/>
                <w:lang w:val="fr-FR" w:eastAsia="zh-CN"/>
              </w:rPr>
              <w:t>Tra</w:t>
            </w:r>
            <w:r w:rsidR="008A6546" w:rsidRPr="007133EF">
              <w:rPr>
                <w:rFonts w:eastAsia="SimSun"/>
                <w:sz w:val="18"/>
                <w:szCs w:val="18"/>
                <w:lang w:val="fr-FR" w:eastAsia="zh-CN"/>
              </w:rPr>
              <w:t xml:space="preserve">duction du résumé à l’intention des décideurs dans </w:t>
            </w:r>
            <w:r w:rsidR="00094630">
              <w:rPr>
                <w:rFonts w:eastAsia="SimSun"/>
                <w:sz w:val="18"/>
                <w:szCs w:val="18"/>
                <w:lang w:val="fr-FR" w:eastAsia="zh-CN"/>
              </w:rPr>
              <w:t xml:space="preserve">toutes </w:t>
            </w:r>
            <w:r w:rsidR="008A6546" w:rsidRPr="007133EF">
              <w:rPr>
                <w:rFonts w:eastAsia="SimSun"/>
                <w:sz w:val="18"/>
                <w:szCs w:val="18"/>
                <w:lang w:val="fr-FR" w:eastAsia="zh-CN"/>
              </w:rPr>
              <w:t>les langues officielles de l’ONU</w:t>
            </w:r>
            <w:r w:rsidRPr="007133EF">
              <w:rPr>
                <w:rFonts w:eastAsia="SimSun"/>
                <w:sz w:val="18"/>
                <w:szCs w:val="18"/>
                <w:lang w:val="fr-FR" w:eastAsia="zh-CN"/>
              </w:rPr>
              <w:t>, publication</w:t>
            </w:r>
            <w:r w:rsidR="00094630">
              <w:rPr>
                <w:rFonts w:eastAsia="SimSun"/>
                <w:sz w:val="18"/>
                <w:szCs w:val="18"/>
                <w:lang w:val="fr-FR" w:eastAsia="zh-CN"/>
              </w:rPr>
              <w:t xml:space="preserve"> et</w:t>
            </w:r>
            <w:r w:rsidRPr="007133EF">
              <w:rPr>
                <w:rFonts w:eastAsia="SimSun"/>
                <w:sz w:val="18"/>
                <w:szCs w:val="18"/>
                <w:lang w:val="fr-FR" w:eastAsia="zh-CN"/>
              </w:rPr>
              <w:t xml:space="preserve"> </w:t>
            </w:r>
            <w:r w:rsidR="008A6546" w:rsidRPr="007133EF">
              <w:rPr>
                <w:rFonts w:eastAsia="SimSun"/>
                <w:sz w:val="18"/>
                <w:szCs w:val="18"/>
                <w:lang w:val="fr-FR" w:eastAsia="zh-CN"/>
              </w:rPr>
              <w:t>activités de sensibilisation</w:t>
            </w:r>
          </w:p>
        </w:tc>
        <w:tc>
          <w:tcPr>
            <w:tcW w:w="956" w:type="dxa"/>
            <w:shd w:val="clear" w:color="auto" w:fill="auto"/>
          </w:tcPr>
          <w:p w:rsidR="00D7505A" w:rsidRPr="007133EF" w:rsidDel="001E184E" w:rsidRDefault="00D7505A" w:rsidP="004E0A3B">
            <w:pPr>
              <w:pStyle w:val="Normal-pool"/>
              <w:jc w:val="right"/>
              <w:rPr>
                <w:rFonts w:eastAsia="SimSun"/>
                <w:sz w:val="18"/>
                <w:szCs w:val="18"/>
                <w:lang w:val="fr-FR" w:eastAsia="zh-CN"/>
              </w:rPr>
            </w:pPr>
            <w:r w:rsidRPr="007133EF">
              <w:rPr>
                <w:rFonts w:eastAsia="SimSun"/>
                <w:sz w:val="18"/>
                <w:szCs w:val="18"/>
                <w:lang w:val="fr-FR" w:eastAsia="zh-CN"/>
              </w:rPr>
              <w:t>117</w:t>
            </w:r>
            <w:r w:rsidR="008A6546" w:rsidRPr="007133EF">
              <w:rPr>
                <w:rFonts w:eastAsia="SimSun"/>
                <w:sz w:val="18"/>
                <w:szCs w:val="18"/>
                <w:lang w:val="fr-FR" w:eastAsia="zh-CN"/>
              </w:rPr>
              <w:t> </w:t>
            </w:r>
            <w:r w:rsidRPr="007133EF">
              <w:rPr>
                <w:rFonts w:eastAsia="SimSun"/>
                <w:sz w:val="18"/>
                <w:szCs w:val="18"/>
                <w:lang w:val="fr-FR" w:eastAsia="zh-CN"/>
              </w:rPr>
              <w:t>000</w:t>
            </w:r>
          </w:p>
        </w:tc>
      </w:tr>
      <w:tr w:rsidR="00947ED6" w:rsidRPr="007133EF" w:rsidTr="00094630">
        <w:trPr>
          <w:jc w:val="right"/>
        </w:trPr>
        <w:tc>
          <w:tcPr>
            <w:tcW w:w="627" w:type="dxa"/>
            <w:shd w:val="clear" w:color="auto" w:fill="auto"/>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b/>
                <w:sz w:val="18"/>
                <w:szCs w:val="18"/>
                <w:lang w:eastAsia="zh-CN"/>
              </w:rPr>
            </w:pPr>
            <w:r w:rsidRPr="007133EF">
              <w:rPr>
                <w:rFonts w:eastAsia="SimSun"/>
                <w:b/>
                <w:sz w:val="18"/>
                <w:szCs w:val="18"/>
                <w:lang w:eastAsia="zh-CN"/>
              </w:rPr>
              <w:t>Total</w:t>
            </w:r>
          </w:p>
        </w:tc>
        <w:tc>
          <w:tcPr>
            <w:tcW w:w="3532" w:type="dxa"/>
            <w:shd w:val="clear" w:color="auto" w:fill="auto"/>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3119" w:type="dxa"/>
            <w:shd w:val="clear" w:color="auto" w:fill="auto"/>
          </w:tcPr>
          <w:p w:rsidR="00D7505A" w:rsidRPr="007133EF" w:rsidRDefault="00D7505A" w:rsidP="004E0A3B">
            <w:pPr>
              <w:pStyle w:val="ListParagraph"/>
              <w:tabs>
                <w:tab w:val="left" w:pos="426"/>
              </w:tabs>
              <w:autoSpaceDE w:val="0"/>
              <w:autoSpaceDN w:val="0"/>
              <w:adjustRightInd w:val="0"/>
              <w:spacing w:before="60" w:after="60"/>
              <w:ind w:left="0"/>
              <w:contextualSpacing w:val="0"/>
              <w:rPr>
                <w:rFonts w:eastAsia="SimSun"/>
                <w:sz w:val="18"/>
                <w:szCs w:val="18"/>
                <w:lang w:eastAsia="zh-CN"/>
              </w:rPr>
            </w:pPr>
          </w:p>
        </w:tc>
        <w:tc>
          <w:tcPr>
            <w:tcW w:w="956" w:type="dxa"/>
            <w:shd w:val="clear" w:color="auto" w:fill="auto"/>
          </w:tcPr>
          <w:p w:rsidR="00D7505A" w:rsidRPr="007133EF" w:rsidRDefault="00D7505A" w:rsidP="003265E4">
            <w:pPr>
              <w:pStyle w:val="ListParagraph"/>
              <w:tabs>
                <w:tab w:val="left" w:pos="426"/>
              </w:tabs>
              <w:autoSpaceDE w:val="0"/>
              <w:autoSpaceDN w:val="0"/>
              <w:adjustRightInd w:val="0"/>
              <w:spacing w:before="60" w:after="60"/>
              <w:ind w:left="0"/>
              <w:contextualSpacing w:val="0"/>
              <w:jc w:val="right"/>
              <w:rPr>
                <w:rFonts w:eastAsia="SimSun"/>
                <w:b/>
                <w:sz w:val="18"/>
                <w:szCs w:val="18"/>
                <w:lang w:eastAsia="zh-CN"/>
              </w:rPr>
            </w:pPr>
            <w:r w:rsidRPr="007133EF">
              <w:rPr>
                <w:rFonts w:eastAsia="SimSun"/>
                <w:b/>
                <w:sz w:val="18"/>
                <w:szCs w:val="18"/>
                <w:lang w:eastAsia="zh-CN"/>
              </w:rPr>
              <w:t>8</w:t>
            </w:r>
            <w:r w:rsidR="003265E4">
              <w:rPr>
                <w:rFonts w:eastAsia="SimSun"/>
                <w:b/>
                <w:sz w:val="18"/>
                <w:szCs w:val="18"/>
                <w:lang w:eastAsia="zh-CN"/>
              </w:rPr>
              <w:t>67</w:t>
            </w:r>
            <w:r w:rsidR="008A6546" w:rsidRPr="007133EF">
              <w:rPr>
                <w:rFonts w:eastAsia="SimSun"/>
                <w:b/>
                <w:sz w:val="18"/>
                <w:szCs w:val="18"/>
                <w:lang w:eastAsia="zh-CN"/>
              </w:rPr>
              <w:t> </w:t>
            </w:r>
            <w:r w:rsidRPr="007133EF">
              <w:rPr>
                <w:rFonts w:eastAsia="SimSun"/>
                <w:b/>
                <w:sz w:val="18"/>
                <w:szCs w:val="18"/>
                <w:lang w:eastAsia="zh-CN"/>
              </w:rPr>
              <w:t>750</w:t>
            </w:r>
          </w:p>
        </w:tc>
      </w:tr>
    </w:tbl>
    <w:p w:rsidR="00D7505A" w:rsidRPr="007133EF" w:rsidRDefault="00D7505A" w:rsidP="004E0A3B">
      <w:pPr>
        <w:pStyle w:val="Normal-pool"/>
        <w:rPr>
          <w:lang w:val="fr-FR"/>
        </w:rPr>
      </w:pPr>
    </w:p>
    <w:tbl>
      <w:tblPr>
        <w:tblW w:w="0" w:type="auto"/>
        <w:tblLook w:val="01E0"/>
      </w:tblPr>
      <w:tblGrid>
        <w:gridCol w:w="3237"/>
        <w:gridCol w:w="3237"/>
        <w:gridCol w:w="3238"/>
      </w:tblGrid>
      <w:tr w:rsidR="00D7505A" w:rsidRPr="007133EF" w:rsidTr="003E4043">
        <w:tc>
          <w:tcPr>
            <w:tcW w:w="3237" w:type="dxa"/>
          </w:tcPr>
          <w:p w:rsidR="00D7505A" w:rsidRPr="007133EF" w:rsidRDefault="00D7505A" w:rsidP="004E0A3B">
            <w:pPr>
              <w:pStyle w:val="Normal-pool"/>
              <w:rPr>
                <w:sz w:val="18"/>
                <w:szCs w:val="18"/>
                <w:lang w:val="fr-FR"/>
              </w:rPr>
            </w:pPr>
          </w:p>
        </w:tc>
        <w:tc>
          <w:tcPr>
            <w:tcW w:w="3237" w:type="dxa"/>
            <w:tcBorders>
              <w:bottom w:val="single" w:sz="4" w:space="0" w:color="auto"/>
            </w:tcBorders>
          </w:tcPr>
          <w:p w:rsidR="00D7505A" w:rsidRPr="007133EF" w:rsidRDefault="00D7505A" w:rsidP="003C12AB">
            <w:pPr>
              <w:pStyle w:val="Normal-pool"/>
              <w:spacing w:before="360"/>
              <w:rPr>
                <w:sz w:val="18"/>
                <w:szCs w:val="18"/>
                <w:lang w:val="fr-FR"/>
              </w:rPr>
            </w:pPr>
          </w:p>
        </w:tc>
        <w:tc>
          <w:tcPr>
            <w:tcW w:w="3238" w:type="dxa"/>
          </w:tcPr>
          <w:p w:rsidR="00D7505A" w:rsidRPr="007133EF" w:rsidRDefault="00D7505A" w:rsidP="004E0A3B">
            <w:pPr>
              <w:pStyle w:val="Normal-pool"/>
              <w:rPr>
                <w:sz w:val="18"/>
                <w:szCs w:val="18"/>
                <w:lang w:val="fr-FR"/>
              </w:rPr>
            </w:pPr>
          </w:p>
        </w:tc>
      </w:tr>
    </w:tbl>
    <w:p w:rsidR="003A086E" w:rsidRPr="007133EF" w:rsidRDefault="003A086E" w:rsidP="004E0A3B">
      <w:pPr>
        <w:pStyle w:val="Normal-pool"/>
        <w:rPr>
          <w:lang w:val="fr-FR"/>
        </w:rPr>
      </w:pPr>
    </w:p>
    <w:sectPr w:rsidR="003A086E" w:rsidRPr="007133EF" w:rsidSect="0087138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22" w:rsidRDefault="00545B22">
      <w:r>
        <w:separator/>
      </w:r>
    </w:p>
  </w:endnote>
  <w:endnote w:type="continuationSeparator" w:id="0">
    <w:p w:rsidR="00545B22" w:rsidRDefault="0054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89" w:rsidRDefault="00871389">
    <w:pPr>
      <w:pStyle w:val="Footer"/>
    </w:pPr>
    <w:r>
      <w:rPr>
        <w:rStyle w:val="PageNumber"/>
      </w:rPr>
      <w:fldChar w:fldCharType="begin"/>
    </w:r>
    <w:r>
      <w:rPr>
        <w:rStyle w:val="PageNumber"/>
      </w:rPr>
      <w:instrText xml:space="preserve"> PAGE </w:instrText>
    </w:r>
    <w:r>
      <w:rPr>
        <w:rStyle w:val="PageNumber"/>
      </w:rPr>
      <w:fldChar w:fldCharType="separate"/>
    </w:r>
    <w:r w:rsidR="00B33EED">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89" w:rsidRDefault="0087138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33EED">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89" w:rsidRPr="00947ED6" w:rsidRDefault="00911FE3" w:rsidP="00871389">
    <w:pPr>
      <w:pStyle w:val="Footer"/>
      <w:rPr>
        <w:sz w:val="20"/>
      </w:rPr>
    </w:pPr>
    <w:r>
      <w:rPr>
        <w:sz w:val="20"/>
      </w:rPr>
      <w:t>K1353325</w:t>
    </w:r>
    <w:r>
      <w:rPr>
        <w:sz w:val="20"/>
      </w:rPr>
      <w:tab/>
      <w:t>06</w:t>
    </w:r>
    <w:r w:rsidR="00871389">
      <w:rPr>
        <w:sz w:val="20"/>
      </w:rPr>
      <w:t>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22" w:rsidRDefault="00545B22" w:rsidP="00775FC8">
      <w:pPr>
        <w:pStyle w:val="Normal-pool"/>
        <w:spacing w:after="120"/>
        <w:ind w:left="624"/>
      </w:pPr>
      <w:r>
        <w:separator/>
      </w:r>
    </w:p>
  </w:footnote>
  <w:footnote w:type="continuationSeparator" w:id="0">
    <w:p w:rsidR="00545B22" w:rsidRPr="00444A7B" w:rsidRDefault="00545B22" w:rsidP="00775FC8">
      <w:pPr>
        <w:pStyle w:val="Normal-pool"/>
        <w:spacing w:after="120"/>
        <w:ind w:left="624"/>
      </w:pPr>
      <w:r w:rsidRPr="003E61BB">
        <w:continuationSeparator/>
      </w:r>
    </w:p>
  </w:footnote>
  <w:footnote w:id="1">
    <w:p w:rsidR="00871389" w:rsidRPr="00775FC8" w:rsidRDefault="00871389" w:rsidP="00871389">
      <w:pPr>
        <w:pStyle w:val="FootnoteText"/>
        <w:tabs>
          <w:tab w:val="clear" w:pos="1247"/>
          <w:tab w:val="clear" w:pos="1814"/>
          <w:tab w:val="clear" w:pos="2381"/>
          <w:tab w:val="clear" w:pos="2948"/>
          <w:tab w:val="clear" w:pos="3515"/>
          <w:tab w:val="left" w:pos="624"/>
        </w:tabs>
        <w:rPr>
          <w:szCs w:val="18"/>
          <w:lang w:val="en-US"/>
        </w:rPr>
      </w:pPr>
      <w:r w:rsidRPr="00775FC8">
        <w:rPr>
          <w:rStyle w:val="FootnoteReference"/>
          <w:sz w:val="18"/>
        </w:rPr>
        <w:sym w:font="Symbol" w:char="F02A"/>
      </w:r>
      <w:r w:rsidRPr="00775FC8">
        <w:rPr>
          <w:szCs w:val="18"/>
        </w:rPr>
        <w:t xml:space="preserve"> IPBES/</w:t>
      </w:r>
      <w:r w:rsidRPr="00775FC8">
        <w:rPr>
          <w:szCs w:val="18"/>
          <w:lang w:eastAsia="ja-JP"/>
        </w:rPr>
        <w:t>2/1.</w:t>
      </w:r>
    </w:p>
  </w:footnote>
  <w:footnote w:id="2">
    <w:p w:rsidR="00871389" w:rsidRPr="003C5211" w:rsidRDefault="00871389" w:rsidP="00D7505A">
      <w:pPr>
        <w:pStyle w:val="FootnoteText"/>
        <w:rPr>
          <w:szCs w:val="18"/>
          <w:lang w:val="en-GB"/>
        </w:rPr>
      </w:pPr>
      <w:r w:rsidRPr="003C5211">
        <w:rPr>
          <w:rStyle w:val="FootnoteReference"/>
          <w:sz w:val="18"/>
          <w:lang w:val="en-GB"/>
        </w:rPr>
        <w:footnoteRef/>
      </w:r>
      <w:r w:rsidRPr="003C5211">
        <w:rPr>
          <w:szCs w:val="18"/>
          <w:lang w:val="en-GB"/>
        </w:rPr>
        <w:t xml:space="preserve"> http://www.sciencedaily.com/releases/2008/09/080915122725.htm.</w:t>
      </w:r>
    </w:p>
  </w:footnote>
  <w:footnote w:id="3">
    <w:p w:rsidR="00871389" w:rsidRPr="003C5211" w:rsidRDefault="00871389" w:rsidP="00D7505A">
      <w:pPr>
        <w:pStyle w:val="FootnoteText"/>
        <w:rPr>
          <w:szCs w:val="18"/>
          <w:lang w:val="en-GB"/>
        </w:rPr>
      </w:pPr>
      <w:r w:rsidRPr="003C5211">
        <w:rPr>
          <w:rStyle w:val="FootnoteReference"/>
          <w:sz w:val="18"/>
          <w:lang w:val="en-GB"/>
        </w:rPr>
        <w:footnoteRef/>
      </w:r>
      <w:r w:rsidRPr="003C5211">
        <w:rPr>
          <w:szCs w:val="18"/>
          <w:lang w:val="en-GB"/>
        </w:rPr>
        <w:t xml:space="preserve"> </w:t>
      </w:r>
      <w:r w:rsidRPr="00697289">
        <w:rPr>
          <w:szCs w:val="18"/>
          <w:lang w:val="en-GB"/>
        </w:rPr>
        <w:t>Be</w:t>
      </w:r>
      <w:r w:rsidRPr="00546FC7">
        <w:rPr>
          <w:szCs w:val="18"/>
          <w:lang w:val="en-GB"/>
        </w:rPr>
        <w:t xml:space="preserve">rnard Vaissière, </w:t>
      </w:r>
      <w:r w:rsidRPr="00775FC8">
        <w:rPr>
          <w:szCs w:val="18"/>
          <w:lang w:val="en-GB"/>
        </w:rPr>
        <w:t xml:space="preserve">Breno </w:t>
      </w:r>
      <w:r w:rsidRPr="00546FC7">
        <w:rPr>
          <w:szCs w:val="18"/>
          <w:lang w:val="en-GB"/>
        </w:rPr>
        <w:t>Freitas</w:t>
      </w:r>
      <w:r w:rsidRPr="00AF2776">
        <w:rPr>
          <w:szCs w:val="18"/>
          <w:lang w:val="en-GB"/>
        </w:rPr>
        <w:t xml:space="preserve"> </w:t>
      </w:r>
      <w:r>
        <w:rPr>
          <w:szCs w:val="18"/>
          <w:lang w:val="en-GB"/>
        </w:rPr>
        <w:t>et</w:t>
      </w:r>
      <w:r w:rsidRPr="00AF2776">
        <w:rPr>
          <w:szCs w:val="18"/>
          <w:lang w:val="en-GB"/>
        </w:rPr>
        <w:t xml:space="preserve"> </w:t>
      </w:r>
      <w:r w:rsidRPr="00775FC8">
        <w:rPr>
          <w:szCs w:val="18"/>
          <w:lang w:val="en-GB"/>
        </w:rPr>
        <w:t xml:space="preserve">Barbara </w:t>
      </w:r>
      <w:r w:rsidRPr="00546FC7">
        <w:rPr>
          <w:szCs w:val="18"/>
          <w:lang w:val="en-GB"/>
        </w:rPr>
        <w:t xml:space="preserve">Gemmill-Herren, </w:t>
      </w:r>
      <w:r w:rsidRPr="00775FC8">
        <w:rPr>
          <w:i/>
          <w:szCs w:val="18"/>
          <w:lang w:val="en-GB"/>
        </w:rPr>
        <w:t>Protocol to Detect and Assess Pollination Deficits in Crops: A Handbook for its Use</w:t>
      </w:r>
      <w:r w:rsidRPr="00775FC8">
        <w:rPr>
          <w:szCs w:val="18"/>
          <w:lang w:val="en-GB"/>
        </w:rPr>
        <w:t>,</w:t>
      </w:r>
      <w:r w:rsidRPr="00546FC7">
        <w:rPr>
          <w:szCs w:val="18"/>
          <w:lang w:val="en-GB"/>
        </w:rPr>
        <w:t xml:space="preserve"> </w:t>
      </w:r>
      <w:r w:rsidRPr="00775FC8">
        <w:rPr>
          <w:szCs w:val="18"/>
          <w:lang w:val="en-GB"/>
        </w:rPr>
        <w:t>(</w:t>
      </w:r>
      <w:r>
        <w:rPr>
          <w:szCs w:val="18"/>
          <w:lang w:val="en-GB"/>
        </w:rPr>
        <w:t xml:space="preserve">Fonds pour l’environnement mondial, Programme des Nations Unies pour l’environnement et </w:t>
      </w:r>
      <w:r w:rsidRPr="00775FC8">
        <w:rPr>
          <w:szCs w:val="18"/>
          <w:lang w:val="en-GB"/>
        </w:rPr>
        <w:t>FAO, 2011)</w:t>
      </w:r>
      <w:r w:rsidRPr="00546FC7">
        <w:rPr>
          <w:szCs w:val="18"/>
          <w:lang w:val="en-GB"/>
        </w:rPr>
        <w:t>.</w:t>
      </w:r>
    </w:p>
  </w:footnote>
  <w:footnote w:id="4">
    <w:p w:rsidR="00871389" w:rsidRPr="00376078" w:rsidRDefault="00871389" w:rsidP="00D7505A">
      <w:pPr>
        <w:pStyle w:val="FootnoteText"/>
        <w:rPr>
          <w:szCs w:val="18"/>
          <w:lang w:val="fr-FR"/>
        </w:rPr>
      </w:pPr>
      <w:r w:rsidRPr="003C5211">
        <w:rPr>
          <w:rStyle w:val="FootnoteReference"/>
          <w:sz w:val="18"/>
          <w:lang w:val="en-GB"/>
        </w:rPr>
        <w:footnoteRef/>
      </w:r>
      <w:r w:rsidRPr="00376078">
        <w:rPr>
          <w:szCs w:val="18"/>
          <w:lang w:val="fr-FR"/>
        </w:rPr>
        <w:t xml:space="preserve"> Le Mécanisme mondial d’information sur la biodiversité permet d’accéder à plus de 300 millions </w:t>
      </w:r>
      <w:r>
        <w:rPr>
          <w:szCs w:val="18"/>
          <w:lang w:val="fr-FR"/>
        </w:rPr>
        <w:t>de registres normalisés sur la biodiversité primaire au niveau mondial</w:t>
      </w:r>
      <w:r w:rsidRPr="00376078">
        <w:rPr>
          <w:szCs w:val="18"/>
          <w:lang w:val="fr-FR"/>
        </w:rPr>
        <w:t>.</w:t>
      </w:r>
    </w:p>
  </w:footnote>
  <w:footnote w:id="5">
    <w:p w:rsidR="00871389" w:rsidRPr="003C5211" w:rsidRDefault="00871389" w:rsidP="00D7505A">
      <w:pPr>
        <w:pStyle w:val="FootnoteText"/>
        <w:rPr>
          <w:szCs w:val="18"/>
          <w:lang w:val="en-GB"/>
        </w:rPr>
      </w:pPr>
      <w:r w:rsidRPr="003C5211">
        <w:rPr>
          <w:rStyle w:val="FootnoteReference"/>
          <w:sz w:val="18"/>
          <w:lang w:val="en-GB"/>
        </w:rPr>
        <w:footnoteRef/>
      </w:r>
      <w:r w:rsidRPr="003C5211">
        <w:rPr>
          <w:szCs w:val="18"/>
          <w:lang w:val="en-GB"/>
        </w:rPr>
        <w:t xml:space="preserve"> </w:t>
      </w:r>
      <w:hyperlink r:id="rId1" w:history="1">
        <w:r w:rsidRPr="003C5211">
          <w:rPr>
            <w:rStyle w:val="Hyperlink"/>
            <w:sz w:val="18"/>
            <w:szCs w:val="18"/>
            <w:lang w:val="en-GB"/>
          </w:rPr>
          <w:t>http://www.reading.ac.uk/caer/project_alarm.html</w:t>
        </w:r>
      </w:hyperlink>
      <w:r w:rsidRPr="003C5211">
        <w:rPr>
          <w:rStyle w:val="Hyperlink"/>
          <w:sz w:val="18"/>
          <w:szCs w:val="18"/>
          <w:lang w:val="en-GB"/>
        </w:rPr>
        <w:t>.</w:t>
      </w:r>
    </w:p>
  </w:footnote>
  <w:footnote w:id="6">
    <w:p w:rsidR="00871389" w:rsidRPr="00D80282" w:rsidRDefault="00871389" w:rsidP="00D7505A">
      <w:pPr>
        <w:pStyle w:val="FootnoteText"/>
        <w:rPr>
          <w:szCs w:val="18"/>
          <w:lang w:val="en-GB"/>
        </w:rPr>
      </w:pPr>
      <w:r w:rsidRPr="00B172F7">
        <w:rPr>
          <w:rStyle w:val="FootnoteReference"/>
          <w:sz w:val="18"/>
        </w:rPr>
        <w:footnoteRef/>
      </w:r>
      <w:r w:rsidRPr="00D80282">
        <w:rPr>
          <w:szCs w:val="18"/>
          <w:lang w:val="en-GB"/>
        </w:rPr>
        <w:t xml:space="preserve"> </w:t>
      </w:r>
      <w:hyperlink r:id="rId2" w:history="1">
        <w:r w:rsidRPr="00D80282">
          <w:rPr>
            <w:rStyle w:val="Hyperlink"/>
            <w:sz w:val="18"/>
            <w:szCs w:val="18"/>
            <w:lang w:val="en-GB"/>
          </w:rPr>
          <w:t>http://www.step-project.net/</w:t>
        </w:r>
      </w:hyperlink>
      <w:r w:rsidRPr="00D80282">
        <w:rPr>
          <w:rStyle w:val="Hyperlink"/>
          <w:sz w:val="18"/>
          <w:szCs w:val="18"/>
          <w:lang w:val="en-GB"/>
        </w:rPr>
        <w:t>.</w:t>
      </w:r>
    </w:p>
  </w:footnote>
  <w:footnote w:id="7">
    <w:p w:rsidR="00871389" w:rsidRPr="00B172F7" w:rsidRDefault="00871389" w:rsidP="00D542C2">
      <w:pPr>
        <w:pStyle w:val="FootnoteText"/>
        <w:rPr>
          <w:szCs w:val="18"/>
        </w:rPr>
      </w:pPr>
      <w:r w:rsidRPr="00B172F7">
        <w:rPr>
          <w:rStyle w:val="FootnoteReference"/>
          <w:sz w:val="18"/>
        </w:rPr>
        <w:footnoteRef/>
      </w:r>
      <w:r w:rsidRPr="00B172F7">
        <w:rPr>
          <w:szCs w:val="18"/>
        </w:rPr>
        <w:t xml:space="preserve"> www.naturalcapitalproject.org</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89" w:rsidRPr="00492DE8" w:rsidRDefault="00871389">
    <w:pPr>
      <w:pStyle w:val="Header"/>
      <w:rPr>
        <w:szCs w:val="18"/>
      </w:rPr>
    </w:pPr>
    <w:r w:rsidRPr="00D7505A">
      <w:rPr>
        <w:rFonts w:eastAsia="MS Mincho"/>
        <w:szCs w:val="18"/>
      </w:rPr>
      <w:t>IPBES</w:t>
    </w:r>
    <w:r w:rsidRPr="00D7505A">
      <w:rPr>
        <w:rFonts w:eastAsia="MS Mincho"/>
        <w:szCs w:val="18"/>
        <w:lang w:eastAsia="ja-JP"/>
      </w:rPr>
      <w:t>/2/1</w:t>
    </w:r>
    <w:r w:rsidRPr="00492DE8">
      <w:rPr>
        <w:rFonts w:eastAsia="MS Mincho"/>
        <w:szCs w:val="18"/>
        <w:lang w:eastAsia="ja-JP"/>
      </w:rPr>
      <w:t>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89" w:rsidRPr="003C5211" w:rsidRDefault="00871389" w:rsidP="003C5211">
    <w:pPr>
      <w:pStyle w:val="Header"/>
      <w:jc w:val="right"/>
      <w:rPr>
        <w:szCs w:val="18"/>
      </w:rPr>
    </w:pPr>
    <w:r w:rsidRPr="00D7505A">
      <w:rPr>
        <w:rFonts w:eastAsia="MS Mincho"/>
        <w:szCs w:val="18"/>
      </w:rPr>
      <w:t>IPBES</w:t>
    </w:r>
    <w:r w:rsidRPr="00D7505A">
      <w:rPr>
        <w:rFonts w:eastAsia="MS Mincho"/>
        <w:szCs w:val="18"/>
        <w:lang w:eastAsia="ja-JP"/>
      </w:rPr>
      <w:t>/2/1</w:t>
    </w:r>
    <w:r w:rsidRPr="003C5211">
      <w:rPr>
        <w:rFonts w:eastAsia="MS Mincho"/>
        <w:szCs w:val="18"/>
        <w:lang w:eastAsia="ja-JP"/>
      </w:rPr>
      <w:t>6/Add.1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89" w:rsidRPr="00775FC8" w:rsidRDefault="00871389" w:rsidP="00775FC8">
    <w:pPr>
      <w:pStyle w:val="Header"/>
      <w:pBdr>
        <w:bottom w:val="none" w:sz="0" w:space="0" w:color="auto"/>
      </w:pBdr>
      <w:tabs>
        <w:tab w:val="clear" w:pos="4536"/>
        <w:tab w:val="clear" w:pos="9072"/>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F4ACF36E"/>
    <w:numStyleLink w:val="Normallist"/>
  </w:abstractNum>
  <w:num w:numId="1">
    <w:abstractNumId w:val="2"/>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1"/>
  </w:num>
  <w:num w:numId="18">
    <w:abstractNumId w:val="2"/>
  </w:num>
  <w:num w:numId="1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D7505A"/>
    <w:rsid w:val="00002294"/>
    <w:rsid w:val="000062A6"/>
    <w:rsid w:val="000115E6"/>
    <w:rsid w:val="000149E6"/>
    <w:rsid w:val="000247B0"/>
    <w:rsid w:val="000256E6"/>
    <w:rsid w:val="00026997"/>
    <w:rsid w:val="00033E0B"/>
    <w:rsid w:val="00035EDE"/>
    <w:rsid w:val="000430F6"/>
    <w:rsid w:val="000509B4"/>
    <w:rsid w:val="0006035B"/>
    <w:rsid w:val="0007166E"/>
    <w:rsid w:val="00071886"/>
    <w:rsid w:val="000742BC"/>
    <w:rsid w:val="00082A0C"/>
    <w:rsid w:val="00083504"/>
    <w:rsid w:val="00094630"/>
    <w:rsid w:val="0009640C"/>
    <w:rsid w:val="000B06BB"/>
    <w:rsid w:val="000B21D5"/>
    <w:rsid w:val="000B22A2"/>
    <w:rsid w:val="000C2A52"/>
    <w:rsid w:val="000D33C0"/>
    <w:rsid w:val="000D5BA4"/>
    <w:rsid w:val="000D6941"/>
    <w:rsid w:val="000F1A70"/>
    <w:rsid w:val="00100494"/>
    <w:rsid w:val="00115428"/>
    <w:rsid w:val="001202E3"/>
    <w:rsid w:val="00123699"/>
    <w:rsid w:val="0012466F"/>
    <w:rsid w:val="0013059D"/>
    <w:rsid w:val="001317BC"/>
    <w:rsid w:val="00141A55"/>
    <w:rsid w:val="001446A3"/>
    <w:rsid w:val="00155395"/>
    <w:rsid w:val="00160890"/>
    <w:rsid w:val="00181555"/>
    <w:rsid w:val="00181EC8"/>
    <w:rsid w:val="00184349"/>
    <w:rsid w:val="001872AE"/>
    <w:rsid w:val="00195F33"/>
    <w:rsid w:val="001B1617"/>
    <w:rsid w:val="001B504B"/>
    <w:rsid w:val="001D3874"/>
    <w:rsid w:val="001D7E75"/>
    <w:rsid w:val="001E3854"/>
    <w:rsid w:val="001E56D2"/>
    <w:rsid w:val="001E7D56"/>
    <w:rsid w:val="001F06F7"/>
    <w:rsid w:val="001F75DE"/>
    <w:rsid w:val="00200D58"/>
    <w:rsid w:val="002013BE"/>
    <w:rsid w:val="002063A4"/>
    <w:rsid w:val="0021145B"/>
    <w:rsid w:val="002213CF"/>
    <w:rsid w:val="00243D36"/>
    <w:rsid w:val="00247707"/>
    <w:rsid w:val="002657A9"/>
    <w:rsid w:val="00286740"/>
    <w:rsid w:val="002929D8"/>
    <w:rsid w:val="002A237D"/>
    <w:rsid w:val="002A4C53"/>
    <w:rsid w:val="002A57E2"/>
    <w:rsid w:val="002B0672"/>
    <w:rsid w:val="002B1B4C"/>
    <w:rsid w:val="002B247F"/>
    <w:rsid w:val="002C145D"/>
    <w:rsid w:val="002C2C3E"/>
    <w:rsid w:val="002C533E"/>
    <w:rsid w:val="002D027F"/>
    <w:rsid w:val="002D28AE"/>
    <w:rsid w:val="002D7A85"/>
    <w:rsid w:val="002D7B60"/>
    <w:rsid w:val="002D7DBC"/>
    <w:rsid w:val="002F4761"/>
    <w:rsid w:val="002F5C79"/>
    <w:rsid w:val="003019E2"/>
    <w:rsid w:val="0031413F"/>
    <w:rsid w:val="003148BB"/>
    <w:rsid w:val="00314BF5"/>
    <w:rsid w:val="003156D6"/>
    <w:rsid w:val="00317976"/>
    <w:rsid w:val="003265E4"/>
    <w:rsid w:val="00330BE5"/>
    <w:rsid w:val="00353E7F"/>
    <w:rsid w:val="00355EA9"/>
    <w:rsid w:val="003578DE"/>
    <w:rsid w:val="00367FC7"/>
    <w:rsid w:val="00376078"/>
    <w:rsid w:val="0037617C"/>
    <w:rsid w:val="00396257"/>
    <w:rsid w:val="00397EB8"/>
    <w:rsid w:val="003A086E"/>
    <w:rsid w:val="003A4FD0"/>
    <w:rsid w:val="003A69D1"/>
    <w:rsid w:val="003A7705"/>
    <w:rsid w:val="003B1545"/>
    <w:rsid w:val="003C12AB"/>
    <w:rsid w:val="003C409D"/>
    <w:rsid w:val="003C5211"/>
    <w:rsid w:val="003C5BA6"/>
    <w:rsid w:val="003E3B63"/>
    <w:rsid w:val="003E4043"/>
    <w:rsid w:val="003E61BB"/>
    <w:rsid w:val="003F0E85"/>
    <w:rsid w:val="003F78D2"/>
    <w:rsid w:val="00402B45"/>
    <w:rsid w:val="004046EF"/>
    <w:rsid w:val="00405251"/>
    <w:rsid w:val="00410C55"/>
    <w:rsid w:val="00416854"/>
    <w:rsid w:val="00417725"/>
    <w:rsid w:val="0042553E"/>
    <w:rsid w:val="00437F26"/>
    <w:rsid w:val="00444097"/>
    <w:rsid w:val="00444A7B"/>
    <w:rsid w:val="00445487"/>
    <w:rsid w:val="00454769"/>
    <w:rsid w:val="00465F13"/>
    <w:rsid w:val="00466991"/>
    <w:rsid w:val="0047064C"/>
    <w:rsid w:val="00473F0B"/>
    <w:rsid w:val="00492DE8"/>
    <w:rsid w:val="00497162"/>
    <w:rsid w:val="004A2DF0"/>
    <w:rsid w:val="004A42E1"/>
    <w:rsid w:val="004B162C"/>
    <w:rsid w:val="004C3DBE"/>
    <w:rsid w:val="004C5C96"/>
    <w:rsid w:val="004D06A4"/>
    <w:rsid w:val="004E0A3B"/>
    <w:rsid w:val="004F1A81"/>
    <w:rsid w:val="005159A3"/>
    <w:rsid w:val="00517B98"/>
    <w:rsid w:val="005218D9"/>
    <w:rsid w:val="00522D3E"/>
    <w:rsid w:val="005231E1"/>
    <w:rsid w:val="005233C3"/>
    <w:rsid w:val="00523A59"/>
    <w:rsid w:val="00525350"/>
    <w:rsid w:val="00536186"/>
    <w:rsid w:val="00542B63"/>
    <w:rsid w:val="00544CBB"/>
    <w:rsid w:val="00545B22"/>
    <w:rsid w:val="00545EC5"/>
    <w:rsid w:val="00546FC7"/>
    <w:rsid w:val="0055325F"/>
    <w:rsid w:val="0057315F"/>
    <w:rsid w:val="005731F5"/>
    <w:rsid w:val="00576104"/>
    <w:rsid w:val="0059134D"/>
    <w:rsid w:val="005B6B4E"/>
    <w:rsid w:val="005C1805"/>
    <w:rsid w:val="005C67C8"/>
    <w:rsid w:val="005D0249"/>
    <w:rsid w:val="005D6E8C"/>
    <w:rsid w:val="005E4887"/>
    <w:rsid w:val="005F100C"/>
    <w:rsid w:val="005F3F24"/>
    <w:rsid w:val="005F68DA"/>
    <w:rsid w:val="0060773B"/>
    <w:rsid w:val="006157B5"/>
    <w:rsid w:val="00626FC6"/>
    <w:rsid w:val="006303B4"/>
    <w:rsid w:val="00633D3D"/>
    <w:rsid w:val="00641703"/>
    <w:rsid w:val="006431A6"/>
    <w:rsid w:val="006459F6"/>
    <w:rsid w:val="006501AD"/>
    <w:rsid w:val="00651BFA"/>
    <w:rsid w:val="00665A4B"/>
    <w:rsid w:val="006718DB"/>
    <w:rsid w:val="006837D1"/>
    <w:rsid w:val="00692E2A"/>
    <w:rsid w:val="00697289"/>
    <w:rsid w:val="006A45CB"/>
    <w:rsid w:val="006A76F2"/>
    <w:rsid w:val="006D7EFB"/>
    <w:rsid w:val="006E34AE"/>
    <w:rsid w:val="006E6672"/>
    <w:rsid w:val="006E6722"/>
    <w:rsid w:val="006F2954"/>
    <w:rsid w:val="006F61F9"/>
    <w:rsid w:val="006F7874"/>
    <w:rsid w:val="007027B9"/>
    <w:rsid w:val="007120A5"/>
    <w:rsid w:val="007133EF"/>
    <w:rsid w:val="00713D8F"/>
    <w:rsid w:val="00715E88"/>
    <w:rsid w:val="007266DB"/>
    <w:rsid w:val="00734952"/>
    <w:rsid w:val="00734CAA"/>
    <w:rsid w:val="00752EAD"/>
    <w:rsid w:val="0075533C"/>
    <w:rsid w:val="00757581"/>
    <w:rsid w:val="007611A0"/>
    <w:rsid w:val="00775FC8"/>
    <w:rsid w:val="007907E5"/>
    <w:rsid w:val="00796D3F"/>
    <w:rsid w:val="007A1683"/>
    <w:rsid w:val="007A36F8"/>
    <w:rsid w:val="007A5C12"/>
    <w:rsid w:val="007A7CB0"/>
    <w:rsid w:val="007B2241"/>
    <w:rsid w:val="007B68A3"/>
    <w:rsid w:val="007B7D4A"/>
    <w:rsid w:val="007C2541"/>
    <w:rsid w:val="007C463F"/>
    <w:rsid w:val="007C7B77"/>
    <w:rsid w:val="007D66A8"/>
    <w:rsid w:val="007E003F"/>
    <w:rsid w:val="007E1138"/>
    <w:rsid w:val="00801060"/>
    <w:rsid w:val="00802E72"/>
    <w:rsid w:val="00813617"/>
    <w:rsid w:val="008164F2"/>
    <w:rsid w:val="008175BD"/>
    <w:rsid w:val="00820830"/>
    <w:rsid w:val="00821395"/>
    <w:rsid w:val="00830E26"/>
    <w:rsid w:val="00843576"/>
    <w:rsid w:val="00843B64"/>
    <w:rsid w:val="008478FC"/>
    <w:rsid w:val="008671EE"/>
    <w:rsid w:val="00867BFF"/>
    <w:rsid w:val="00871389"/>
    <w:rsid w:val="008835A9"/>
    <w:rsid w:val="0088480A"/>
    <w:rsid w:val="0088757A"/>
    <w:rsid w:val="008957DD"/>
    <w:rsid w:val="00897D98"/>
    <w:rsid w:val="008A26B4"/>
    <w:rsid w:val="008A6546"/>
    <w:rsid w:val="008A6DF2"/>
    <w:rsid w:val="008A7807"/>
    <w:rsid w:val="008B4CC9"/>
    <w:rsid w:val="008C618E"/>
    <w:rsid w:val="008D7C99"/>
    <w:rsid w:val="008E0FCB"/>
    <w:rsid w:val="008E167F"/>
    <w:rsid w:val="008F45EB"/>
    <w:rsid w:val="00911FE3"/>
    <w:rsid w:val="0092178C"/>
    <w:rsid w:val="00921F14"/>
    <w:rsid w:val="00930B88"/>
    <w:rsid w:val="009316CF"/>
    <w:rsid w:val="0093211F"/>
    <w:rsid w:val="00940DCC"/>
    <w:rsid w:val="0094179A"/>
    <w:rsid w:val="00942AA3"/>
    <w:rsid w:val="00942BBA"/>
    <w:rsid w:val="0094459E"/>
    <w:rsid w:val="00944DBC"/>
    <w:rsid w:val="00947ED6"/>
    <w:rsid w:val="00950977"/>
    <w:rsid w:val="00951A7B"/>
    <w:rsid w:val="009564A6"/>
    <w:rsid w:val="009576AE"/>
    <w:rsid w:val="00967621"/>
    <w:rsid w:val="00967C74"/>
    <w:rsid w:val="00967E6A"/>
    <w:rsid w:val="00974F0C"/>
    <w:rsid w:val="00984757"/>
    <w:rsid w:val="009935AC"/>
    <w:rsid w:val="009B384C"/>
    <w:rsid w:val="009B4A0F"/>
    <w:rsid w:val="009C11D2"/>
    <w:rsid w:val="009C6C70"/>
    <w:rsid w:val="009D0B63"/>
    <w:rsid w:val="009D4810"/>
    <w:rsid w:val="009E2B41"/>
    <w:rsid w:val="009E307E"/>
    <w:rsid w:val="009E3D7E"/>
    <w:rsid w:val="00A064DE"/>
    <w:rsid w:val="00A07870"/>
    <w:rsid w:val="00A07F19"/>
    <w:rsid w:val="00A1348D"/>
    <w:rsid w:val="00A206D5"/>
    <w:rsid w:val="00A232EE"/>
    <w:rsid w:val="00A4175F"/>
    <w:rsid w:val="00A44411"/>
    <w:rsid w:val="00A469FA"/>
    <w:rsid w:val="00A55B01"/>
    <w:rsid w:val="00A56B5B"/>
    <w:rsid w:val="00A603FF"/>
    <w:rsid w:val="00A657DD"/>
    <w:rsid w:val="00A666A6"/>
    <w:rsid w:val="00A667F8"/>
    <w:rsid w:val="00A675FD"/>
    <w:rsid w:val="00A72437"/>
    <w:rsid w:val="00A80611"/>
    <w:rsid w:val="00A84CC2"/>
    <w:rsid w:val="00A93052"/>
    <w:rsid w:val="00AB5340"/>
    <w:rsid w:val="00AB64FD"/>
    <w:rsid w:val="00AC7C96"/>
    <w:rsid w:val="00AE237D"/>
    <w:rsid w:val="00AE502A"/>
    <w:rsid w:val="00AE77A9"/>
    <w:rsid w:val="00AF2776"/>
    <w:rsid w:val="00AF4524"/>
    <w:rsid w:val="00AF7C07"/>
    <w:rsid w:val="00B172F7"/>
    <w:rsid w:val="00B22C93"/>
    <w:rsid w:val="00B27589"/>
    <w:rsid w:val="00B33EED"/>
    <w:rsid w:val="00B36966"/>
    <w:rsid w:val="00B405B7"/>
    <w:rsid w:val="00B52222"/>
    <w:rsid w:val="00B54FE7"/>
    <w:rsid w:val="00B66901"/>
    <w:rsid w:val="00B7097E"/>
    <w:rsid w:val="00B71E6D"/>
    <w:rsid w:val="00B72070"/>
    <w:rsid w:val="00B779E1"/>
    <w:rsid w:val="00B8187F"/>
    <w:rsid w:val="00B843E7"/>
    <w:rsid w:val="00B91EE1"/>
    <w:rsid w:val="00BA0090"/>
    <w:rsid w:val="00BA1A67"/>
    <w:rsid w:val="00BB03EB"/>
    <w:rsid w:val="00BE26E7"/>
    <w:rsid w:val="00BE5B5F"/>
    <w:rsid w:val="00C14DE3"/>
    <w:rsid w:val="00C26F55"/>
    <w:rsid w:val="00C30BC5"/>
    <w:rsid w:val="00C30C63"/>
    <w:rsid w:val="00C3645D"/>
    <w:rsid w:val="00C36B8B"/>
    <w:rsid w:val="00C47DBF"/>
    <w:rsid w:val="00C552FF"/>
    <w:rsid w:val="00C558DA"/>
    <w:rsid w:val="00C55AF3"/>
    <w:rsid w:val="00C7008D"/>
    <w:rsid w:val="00C84759"/>
    <w:rsid w:val="00C91927"/>
    <w:rsid w:val="00C93463"/>
    <w:rsid w:val="00CA6C7F"/>
    <w:rsid w:val="00CC10A6"/>
    <w:rsid w:val="00CD4D1C"/>
    <w:rsid w:val="00CD5EB8"/>
    <w:rsid w:val="00CD7044"/>
    <w:rsid w:val="00CD7F8B"/>
    <w:rsid w:val="00CE08B9"/>
    <w:rsid w:val="00CE524C"/>
    <w:rsid w:val="00CF141F"/>
    <w:rsid w:val="00CF4777"/>
    <w:rsid w:val="00D067BB"/>
    <w:rsid w:val="00D1352A"/>
    <w:rsid w:val="00D169AF"/>
    <w:rsid w:val="00D173AD"/>
    <w:rsid w:val="00D25249"/>
    <w:rsid w:val="00D36DF5"/>
    <w:rsid w:val="00D41151"/>
    <w:rsid w:val="00D44172"/>
    <w:rsid w:val="00D4614C"/>
    <w:rsid w:val="00D542C2"/>
    <w:rsid w:val="00D54E48"/>
    <w:rsid w:val="00D63B8C"/>
    <w:rsid w:val="00D67AAD"/>
    <w:rsid w:val="00D739CC"/>
    <w:rsid w:val="00D7505A"/>
    <w:rsid w:val="00D80282"/>
    <w:rsid w:val="00D804F1"/>
    <w:rsid w:val="00D8093D"/>
    <w:rsid w:val="00D8108C"/>
    <w:rsid w:val="00D842AE"/>
    <w:rsid w:val="00D858B9"/>
    <w:rsid w:val="00D9211C"/>
    <w:rsid w:val="00D92DE0"/>
    <w:rsid w:val="00D92FEF"/>
    <w:rsid w:val="00D93A0F"/>
    <w:rsid w:val="00DA00D3"/>
    <w:rsid w:val="00DA1BCA"/>
    <w:rsid w:val="00DC46FF"/>
    <w:rsid w:val="00DC5254"/>
    <w:rsid w:val="00DC719F"/>
    <w:rsid w:val="00DD1A4F"/>
    <w:rsid w:val="00DD3107"/>
    <w:rsid w:val="00DD7C2C"/>
    <w:rsid w:val="00DE66A4"/>
    <w:rsid w:val="00E04D04"/>
    <w:rsid w:val="00E06797"/>
    <w:rsid w:val="00E1265B"/>
    <w:rsid w:val="00E13B48"/>
    <w:rsid w:val="00E1404F"/>
    <w:rsid w:val="00E21C83"/>
    <w:rsid w:val="00E2371B"/>
    <w:rsid w:val="00E24ADA"/>
    <w:rsid w:val="00E32F59"/>
    <w:rsid w:val="00E34894"/>
    <w:rsid w:val="00E46D9A"/>
    <w:rsid w:val="00E565FF"/>
    <w:rsid w:val="00E65388"/>
    <w:rsid w:val="00E808D0"/>
    <w:rsid w:val="00E85B7D"/>
    <w:rsid w:val="00E8635B"/>
    <w:rsid w:val="00E9121B"/>
    <w:rsid w:val="00E9264D"/>
    <w:rsid w:val="00EA0AE2"/>
    <w:rsid w:val="00EA39E5"/>
    <w:rsid w:val="00EB2B06"/>
    <w:rsid w:val="00EC5A46"/>
    <w:rsid w:val="00EC63E2"/>
    <w:rsid w:val="00ED455D"/>
    <w:rsid w:val="00EE6CA7"/>
    <w:rsid w:val="00EF22B3"/>
    <w:rsid w:val="00F01E38"/>
    <w:rsid w:val="00F03B69"/>
    <w:rsid w:val="00F05F07"/>
    <w:rsid w:val="00F07A50"/>
    <w:rsid w:val="00F113DA"/>
    <w:rsid w:val="00F15539"/>
    <w:rsid w:val="00F25F75"/>
    <w:rsid w:val="00F3548F"/>
    <w:rsid w:val="00F37DC8"/>
    <w:rsid w:val="00F439B3"/>
    <w:rsid w:val="00F46977"/>
    <w:rsid w:val="00F5798B"/>
    <w:rsid w:val="00F650C3"/>
    <w:rsid w:val="00F65D85"/>
    <w:rsid w:val="00F71C50"/>
    <w:rsid w:val="00F8091E"/>
    <w:rsid w:val="00F8615C"/>
    <w:rsid w:val="00F969E5"/>
    <w:rsid w:val="00FA42BA"/>
    <w:rsid w:val="00FA6BB0"/>
    <w:rsid w:val="00FC2738"/>
    <w:rsid w:val="00FD5860"/>
    <w:rsid w:val="00FE352D"/>
    <w:rsid w:val="00FE40EB"/>
    <w:rsid w:val="00FE4D02"/>
    <w:rsid w:val="00FE6E54"/>
    <w:rsid w:val="00FE7D62"/>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389"/>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871389"/>
    <w:pPr>
      <w:keepNext/>
      <w:spacing w:before="240" w:after="120"/>
      <w:ind w:left="1247" w:hanging="680"/>
      <w:outlineLvl w:val="0"/>
    </w:pPr>
    <w:rPr>
      <w:b/>
      <w:sz w:val="28"/>
    </w:rPr>
  </w:style>
  <w:style w:type="paragraph" w:styleId="Heading2">
    <w:name w:val="heading 2"/>
    <w:basedOn w:val="Normal"/>
    <w:next w:val="Normalnumber"/>
    <w:qFormat/>
    <w:rsid w:val="00871389"/>
    <w:pPr>
      <w:keepNext/>
      <w:spacing w:before="240" w:after="120"/>
      <w:ind w:left="1247" w:hanging="680"/>
      <w:outlineLvl w:val="1"/>
    </w:pPr>
    <w:rPr>
      <w:b/>
      <w:sz w:val="24"/>
      <w:szCs w:val="24"/>
    </w:rPr>
  </w:style>
  <w:style w:type="paragraph" w:styleId="Heading3">
    <w:name w:val="heading 3"/>
    <w:basedOn w:val="Normal"/>
    <w:next w:val="Normalnumber"/>
    <w:qFormat/>
    <w:rsid w:val="00871389"/>
    <w:pPr>
      <w:spacing w:after="120"/>
      <w:ind w:left="1247" w:hanging="680"/>
      <w:outlineLvl w:val="2"/>
    </w:pPr>
    <w:rPr>
      <w:b/>
    </w:rPr>
  </w:style>
  <w:style w:type="paragraph" w:styleId="Heading4">
    <w:name w:val="heading 4"/>
    <w:basedOn w:val="Heading3"/>
    <w:next w:val="Normalnumber"/>
    <w:qFormat/>
    <w:rsid w:val="00871389"/>
    <w:pPr>
      <w:keepNext/>
      <w:outlineLvl w:val="3"/>
    </w:pPr>
  </w:style>
  <w:style w:type="paragraph" w:styleId="Heading5">
    <w:name w:val="heading 5"/>
    <w:basedOn w:val="Normal"/>
    <w:next w:val="Normal"/>
    <w:qFormat/>
    <w:rsid w:val="00871389"/>
    <w:pPr>
      <w:keepNext/>
      <w:outlineLvl w:val="4"/>
    </w:pPr>
    <w:rPr>
      <w:rFonts w:ascii="Univers" w:hAnsi="Univers"/>
      <w:b/>
      <w:sz w:val="24"/>
    </w:rPr>
  </w:style>
  <w:style w:type="paragraph" w:styleId="Heading6">
    <w:name w:val="heading 6"/>
    <w:basedOn w:val="Normal"/>
    <w:next w:val="Normal"/>
    <w:qFormat/>
    <w:rsid w:val="00871389"/>
    <w:pPr>
      <w:keepNext/>
      <w:ind w:left="578"/>
      <w:outlineLvl w:val="5"/>
    </w:pPr>
    <w:rPr>
      <w:b/>
      <w:bCs/>
      <w:sz w:val="24"/>
    </w:rPr>
  </w:style>
  <w:style w:type="paragraph" w:styleId="Heading7">
    <w:name w:val="heading 7"/>
    <w:basedOn w:val="Normal"/>
    <w:next w:val="Normal"/>
    <w:qFormat/>
    <w:rsid w:val="00871389"/>
    <w:pPr>
      <w:keepNext/>
      <w:widowControl w:val="0"/>
      <w:jc w:val="center"/>
      <w:outlineLvl w:val="6"/>
    </w:pPr>
    <w:rPr>
      <w:snapToGrid w:val="0"/>
      <w:u w:val="single"/>
      <w:lang w:val="en-US"/>
    </w:rPr>
  </w:style>
  <w:style w:type="paragraph" w:styleId="Heading8">
    <w:name w:val="heading 8"/>
    <w:basedOn w:val="Normal"/>
    <w:next w:val="Normal"/>
    <w:qFormat/>
    <w:rsid w:val="00871389"/>
    <w:pPr>
      <w:keepNext/>
      <w:widowControl w:val="0"/>
      <w:numPr>
        <w:numId w:val="16"/>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871389"/>
    <w:pPr>
      <w:keepNext/>
      <w:widowControl w:val="0"/>
      <w:numPr>
        <w:numId w:val="17"/>
      </w:numPr>
      <w:suppressAutoHyphens/>
      <w:jc w:val="center"/>
      <w:outlineLvl w:val="8"/>
    </w:pPr>
    <w:rPr>
      <w:snapToGrid w:val="0"/>
      <w:u w:val="single"/>
      <w:lang w:val="en-US"/>
    </w:rPr>
  </w:style>
  <w:style w:type="character" w:default="1" w:styleId="DefaultParagraphFont">
    <w:name w:val="Default Paragraph Font"/>
    <w:uiPriority w:val="1"/>
    <w:unhideWhenUsed/>
    <w:rsid w:val="008713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389"/>
  </w:style>
  <w:style w:type="character" w:styleId="PageNumber">
    <w:name w:val="page number"/>
    <w:semiHidden/>
    <w:rsid w:val="00871389"/>
    <w:rPr>
      <w:rFonts w:ascii="Times New Roman" w:hAnsi="Times New Roman"/>
      <w:b/>
      <w:sz w:val="18"/>
    </w:rPr>
  </w:style>
  <w:style w:type="table" w:customStyle="1" w:styleId="Tabledocright">
    <w:name w:val="Table_doc_right"/>
    <w:basedOn w:val="TableNormal"/>
    <w:rsid w:val="00871389"/>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71389"/>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871389"/>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871389"/>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871389"/>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871389"/>
    <w:rPr>
      <w:bCs w:val="0"/>
    </w:rPr>
  </w:style>
  <w:style w:type="paragraph" w:styleId="TableofFigures">
    <w:name w:val="table of figures"/>
    <w:basedOn w:val="Normal"/>
    <w:next w:val="Normal"/>
    <w:autoRedefine/>
    <w:semiHidden/>
    <w:rsid w:val="00871389"/>
    <w:pPr>
      <w:tabs>
        <w:tab w:val="clear" w:pos="1814"/>
        <w:tab w:val="clear" w:pos="2381"/>
        <w:tab w:val="clear" w:pos="2948"/>
        <w:tab w:val="clear" w:pos="3515"/>
      </w:tabs>
      <w:ind w:left="1814" w:hanging="567"/>
    </w:pPr>
  </w:style>
  <w:style w:type="paragraph" w:customStyle="1" w:styleId="CH1">
    <w:name w:val="CH1"/>
    <w:basedOn w:val="Normalpool"/>
    <w:next w:val="CH2"/>
    <w:rsid w:val="00871389"/>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871389"/>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871389"/>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871389"/>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871389"/>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871389"/>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71389"/>
    <w:pPr>
      <w:tabs>
        <w:tab w:val="left" w:pos="4321"/>
        <w:tab w:val="right" w:pos="8641"/>
      </w:tabs>
      <w:spacing w:before="60" w:after="120"/>
    </w:pPr>
    <w:rPr>
      <w:b/>
      <w:sz w:val="18"/>
    </w:rPr>
  </w:style>
  <w:style w:type="paragraph" w:customStyle="1" w:styleId="Headerpool">
    <w:name w:val="Header_pool"/>
    <w:basedOn w:val="Normal"/>
    <w:next w:val="Normal"/>
    <w:semiHidden/>
    <w:rsid w:val="0087138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871389"/>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71389"/>
    <w:pPr>
      <w:tabs>
        <w:tab w:val="left" w:pos="4321"/>
        <w:tab w:val="right" w:pos="8641"/>
      </w:tabs>
      <w:spacing w:before="60" w:after="120"/>
    </w:pPr>
    <w:rPr>
      <w:b/>
      <w:sz w:val="18"/>
    </w:rPr>
  </w:style>
  <w:style w:type="paragraph" w:customStyle="1" w:styleId="Header-pool">
    <w:name w:val="Header-pool"/>
    <w:basedOn w:val="Normal-pool"/>
    <w:next w:val="Normal-pool"/>
    <w:rsid w:val="0087138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871389"/>
    <w:pPr>
      <w:tabs>
        <w:tab w:val="left" w:pos="1247"/>
        <w:tab w:val="left" w:pos="1814"/>
        <w:tab w:val="left" w:pos="2381"/>
        <w:tab w:val="left" w:pos="2948"/>
        <w:tab w:val="left" w:pos="3515"/>
        <w:tab w:val="left" w:pos="4082"/>
      </w:tabs>
    </w:pPr>
    <w:rPr>
      <w:lang w:val="fr-CA"/>
    </w:rPr>
  </w:style>
  <w:style w:type="character" w:styleId="FootnoteReference">
    <w:name w:val="footnote reference"/>
    <w:semiHidden/>
    <w:rsid w:val="00871389"/>
    <w:rPr>
      <w:rFonts w:ascii="Times New Roman" w:hAnsi="Times New Roman"/>
      <w:color w:val="auto"/>
      <w:sz w:val="20"/>
      <w:szCs w:val="18"/>
      <w:vertAlign w:val="superscript"/>
    </w:rPr>
  </w:style>
  <w:style w:type="paragraph" w:styleId="FootnoteText">
    <w:name w:val="footnote text"/>
    <w:basedOn w:val="Normalpool"/>
    <w:link w:val="FootnoteTextChar"/>
    <w:semiHidden/>
    <w:rsid w:val="00871389"/>
    <w:pPr>
      <w:spacing w:before="20" w:after="40"/>
      <w:ind w:left="1247"/>
    </w:pPr>
    <w:rPr>
      <w:sz w:val="18"/>
    </w:rPr>
  </w:style>
  <w:style w:type="table" w:customStyle="1" w:styleId="AATable">
    <w:name w:val="AA_Table"/>
    <w:basedOn w:val="TableNormal"/>
    <w:semiHidden/>
    <w:rsid w:val="00871389"/>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871389"/>
    <w:pPr>
      <w:keepNext/>
      <w:keepLines/>
      <w:suppressAutoHyphens/>
      <w:ind w:right="5103"/>
    </w:pPr>
    <w:rPr>
      <w:b/>
    </w:rPr>
  </w:style>
  <w:style w:type="paragraph" w:customStyle="1" w:styleId="AATitle2">
    <w:name w:val="AA_Title2"/>
    <w:basedOn w:val="AATitle"/>
    <w:rsid w:val="00871389"/>
    <w:pPr>
      <w:tabs>
        <w:tab w:val="clear" w:pos="4082"/>
      </w:tabs>
      <w:spacing w:before="120" w:after="120"/>
      <w:ind w:right="4536"/>
    </w:pPr>
  </w:style>
  <w:style w:type="paragraph" w:customStyle="1" w:styleId="BBTitle">
    <w:name w:val="BB_Title"/>
    <w:basedOn w:val="Normalpool"/>
    <w:rsid w:val="00871389"/>
    <w:pPr>
      <w:keepNext/>
      <w:keepLines/>
      <w:suppressAutoHyphens/>
      <w:spacing w:before="320" w:after="240"/>
      <w:ind w:left="1247" w:right="567"/>
    </w:pPr>
    <w:rPr>
      <w:b/>
      <w:sz w:val="28"/>
      <w:szCs w:val="28"/>
    </w:rPr>
  </w:style>
  <w:style w:type="paragraph" w:styleId="Footer">
    <w:name w:val="footer"/>
    <w:basedOn w:val="Normal"/>
    <w:link w:val="FooterChar"/>
    <w:rsid w:val="00871389"/>
    <w:pPr>
      <w:tabs>
        <w:tab w:val="center" w:pos="4320"/>
        <w:tab w:val="right" w:pos="8640"/>
      </w:tabs>
      <w:spacing w:before="60" w:after="120"/>
    </w:pPr>
    <w:rPr>
      <w:sz w:val="18"/>
    </w:rPr>
  </w:style>
  <w:style w:type="paragraph" w:styleId="Header">
    <w:name w:val="header"/>
    <w:basedOn w:val="Normal"/>
    <w:semiHidden/>
    <w:rsid w:val="0087138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871389"/>
    <w:rPr>
      <w:rFonts w:ascii="Times New Roman" w:hAnsi="Times New Roman"/>
      <w:color w:val="auto"/>
      <w:sz w:val="20"/>
      <w:szCs w:val="20"/>
      <w:u w:val="none"/>
      <w:lang w:val="fr-FR"/>
    </w:rPr>
  </w:style>
  <w:style w:type="numbering" w:customStyle="1" w:styleId="Normallist">
    <w:name w:val="Normal_list"/>
    <w:basedOn w:val="NoList"/>
    <w:semiHidden/>
    <w:rsid w:val="00871389"/>
    <w:pPr>
      <w:numPr>
        <w:numId w:val="18"/>
      </w:numPr>
    </w:pPr>
  </w:style>
  <w:style w:type="paragraph" w:customStyle="1" w:styleId="NormalNonumber">
    <w:name w:val="Normal_No_number"/>
    <w:basedOn w:val="Normalpool"/>
    <w:rsid w:val="00871389"/>
    <w:pPr>
      <w:spacing w:after="120"/>
      <w:ind w:left="1247"/>
    </w:pPr>
  </w:style>
  <w:style w:type="paragraph" w:customStyle="1" w:styleId="Normalnumber">
    <w:name w:val="Normal_number"/>
    <w:basedOn w:val="Normalpool"/>
    <w:rsid w:val="00871389"/>
    <w:pPr>
      <w:numPr>
        <w:numId w:val="19"/>
      </w:numPr>
      <w:spacing w:after="120"/>
    </w:pPr>
  </w:style>
  <w:style w:type="paragraph" w:customStyle="1" w:styleId="Titletable">
    <w:name w:val="Title_table"/>
    <w:basedOn w:val="Normalpool"/>
    <w:rsid w:val="00871389"/>
    <w:pPr>
      <w:keepNext/>
      <w:keepLines/>
      <w:suppressAutoHyphens/>
      <w:spacing w:after="60"/>
      <w:ind w:left="1247"/>
    </w:pPr>
    <w:rPr>
      <w:b/>
      <w:bCs/>
    </w:rPr>
  </w:style>
  <w:style w:type="paragraph" w:styleId="TOC1">
    <w:name w:val="toc 1"/>
    <w:basedOn w:val="Normalpool"/>
    <w:next w:val="Normalpool"/>
    <w:rsid w:val="00871389"/>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871389"/>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871389"/>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71389"/>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71389"/>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871389"/>
    <w:rPr>
      <w:b/>
      <w:bCs/>
      <w:sz w:val="28"/>
      <w:szCs w:val="22"/>
    </w:rPr>
  </w:style>
  <w:style w:type="paragraph" w:customStyle="1" w:styleId="ZZAnxtitle">
    <w:name w:val="ZZ_Anx_title"/>
    <w:basedOn w:val="Normalpool"/>
    <w:rsid w:val="00871389"/>
    <w:pPr>
      <w:spacing w:before="360" w:after="120"/>
      <w:ind w:left="1247"/>
    </w:pPr>
    <w:rPr>
      <w:b/>
      <w:bCs/>
      <w:sz w:val="28"/>
      <w:szCs w:val="26"/>
    </w:rPr>
  </w:style>
  <w:style w:type="paragraph" w:styleId="ListParagraph">
    <w:name w:val="List Paragraph"/>
    <w:basedOn w:val="Normal"/>
    <w:uiPriority w:val="34"/>
    <w:qFormat/>
    <w:rsid w:val="00D7505A"/>
    <w:pPr>
      <w:ind w:left="720"/>
      <w:contextualSpacing/>
    </w:pPr>
  </w:style>
  <w:style w:type="paragraph" w:customStyle="1" w:styleId="ColorfulList-Accent11">
    <w:name w:val="Colorful List - Accent 11"/>
    <w:basedOn w:val="Normal"/>
    <w:uiPriority w:val="34"/>
    <w:qFormat/>
    <w:rsid w:val="00D7505A"/>
    <w:pPr>
      <w:ind w:left="720"/>
      <w:contextualSpacing/>
    </w:pPr>
    <w:rPr>
      <w:rFonts w:ascii="Calibri" w:eastAsia="Calibri" w:hAnsi="Calibri"/>
    </w:rPr>
  </w:style>
  <w:style w:type="character" w:customStyle="1" w:styleId="FootnoteTextChar">
    <w:name w:val="Footnote Text Char"/>
    <w:link w:val="FootnoteText"/>
    <w:semiHidden/>
    <w:rsid w:val="00D7505A"/>
    <w:rPr>
      <w:sz w:val="18"/>
      <w:lang w:val="fr-CA" w:eastAsia="en-US"/>
    </w:rPr>
  </w:style>
  <w:style w:type="table" w:styleId="TableGrid">
    <w:name w:val="Table Grid"/>
    <w:basedOn w:val="TableNormal"/>
    <w:uiPriority w:val="59"/>
    <w:rsid w:val="00D7505A"/>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oolChar">
    <w:name w:val="Normal-pool Char"/>
    <w:link w:val="Normal-pool"/>
    <w:rsid w:val="00D7505A"/>
    <w:rPr>
      <w:lang w:val="fr-CA" w:eastAsia="en-US"/>
    </w:rPr>
  </w:style>
  <w:style w:type="paragraph" w:styleId="BalloonText">
    <w:name w:val="Balloon Text"/>
    <w:basedOn w:val="Normal"/>
    <w:link w:val="BalloonTextChar"/>
    <w:rsid w:val="00546FC7"/>
    <w:rPr>
      <w:rFonts w:ascii="Tahoma" w:hAnsi="Tahoma"/>
      <w:sz w:val="16"/>
      <w:szCs w:val="16"/>
      <w:lang/>
    </w:rPr>
  </w:style>
  <w:style w:type="character" w:customStyle="1" w:styleId="BalloonTextChar">
    <w:name w:val="Balloon Text Char"/>
    <w:link w:val="BalloonText"/>
    <w:rsid w:val="00546FC7"/>
    <w:rPr>
      <w:rFonts w:ascii="Tahoma" w:eastAsia="Calibri" w:hAnsi="Tahoma" w:cs="Tahoma"/>
      <w:sz w:val="16"/>
      <w:szCs w:val="16"/>
      <w:lang w:val="en-GB"/>
    </w:rPr>
  </w:style>
  <w:style w:type="character" w:customStyle="1" w:styleId="FooterChar">
    <w:name w:val="Footer Char"/>
    <w:link w:val="Footer"/>
    <w:rsid w:val="008671EE"/>
    <w:rPr>
      <w:sz w:val="18"/>
      <w:lang w:eastAsia="en-US"/>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cms.unov.org/vintars/ShowRecord.aspx?RecordID=af0185c1-cdf9-469c-897f-f19a093e678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tep-project.net/" TargetMode="External"/><Relationship Id="rId1" Type="http://schemas.openxmlformats.org/officeDocument/2006/relationships/hyperlink" Target="http://www.reading.ac.uk/caer/project_al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60D5-A172-466A-B1D2-C261E0EE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12053</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
  <LinksUpToDate>false</LinksUpToDate>
  <CharactersWithSpaces>14139</CharactersWithSpaces>
  <SharedDoc>false</SharedDoc>
  <HLinks>
    <vt:vector size="18" baseType="variant">
      <vt:variant>
        <vt:i4>2097275</vt:i4>
      </vt:variant>
      <vt:variant>
        <vt:i4>0</vt:i4>
      </vt:variant>
      <vt:variant>
        <vt:i4>0</vt:i4>
      </vt:variant>
      <vt:variant>
        <vt:i4>5</vt:i4>
      </vt:variant>
      <vt:variant>
        <vt:lpwstr>https://cms.unov.org/vintars/ShowRecord.aspx?RecordID=af0185c1-cdf9-469c-897f-f19a093e6782</vt:lpwstr>
      </vt:variant>
      <vt:variant>
        <vt:lpwstr/>
      </vt:variant>
      <vt:variant>
        <vt:i4>983104</vt:i4>
      </vt:variant>
      <vt:variant>
        <vt:i4>3</vt:i4>
      </vt:variant>
      <vt:variant>
        <vt:i4>0</vt:i4>
      </vt:variant>
      <vt:variant>
        <vt:i4>5</vt:i4>
      </vt:variant>
      <vt:variant>
        <vt:lpwstr>http://www.step-project.net/</vt:lpwstr>
      </vt:variant>
      <vt:variant>
        <vt:lpwstr/>
      </vt:variant>
      <vt:variant>
        <vt:i4>3604573</vt:i4>
      </vt:variant>
      <vt:variant>
        <vt:i4>0</vt:i4>
      </vt:variant>
      <vt:variant>
        <vt:i4>0</vt:i4>
      </vt:variant>
      <vt:variant>
        <vt:i4>5</vt:i4>
      </vt:variant>
      <vt:variant>
        <vt:lpwstr>http://www.reading.ac.uk/caer/project_alarm.html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Elizabeth Ngamate</dc:creator>
  <cp:lastModifiedBy>Rohan</cp:lastModifiedBy>
  <cp:revision>2</cp:revision>
  <cp:lastPrinted>2013-11-05T12:23:00Z</cp:lastPrinted>
  <dcterms:created xsi:type="dcterms:W3CDTF">2013-11-06T17:58:00Z</dcterms:created>
  <dcterms:modified xsi:type="dcterms:W3CDTF">2013-11-06T17:58:00Z</dcterms:modified>
</cp:coreProperties>
</file>