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D7505A" w:rsidRPr="00D7505A" w:rsidTr="003E4043">
        <w:tblPrEx>
          <w:tblCellMar>
            <w:top w:w="0" w:type="dxa"/>
            <w:bottom w:w="0" w:type="dxa"/>
          </w:tblCellMar>
        </w:tblPrEx>
        <w:trPr>
          <w:cantSplit/>
          <w:trHeight w:val="850"/>
        </w:trPr>
        <w:tc>
          <w:tcPr>
            <w:tcW w:w="1560" w:type="dxa"/>
          </w:tcPr>
          <w:p w:rsidR="00D7505A" w:rsidRPr="00D7505A" w:rsidRDefault="00D7505A" w:rsidP="00D7505A">
            <w:pPr>
              <w:spacing w:after="0" w:line="240" w:lineRule="auto"/>
              <w:rPr>
                <w:rFonts w:ascii="Univers" w:eastAsia="MS Mincho" w:hAnsi="Univers"/>
                <w:b/>
                <w:noProof/>
                <w:sz w:val="27"/>
                <w:szCs w:val="27"/>
              </w:rPr>
            </w:pPr>
            <w:bookmarkStart w:id="0" w:name="_GoBack"/>
            <w:bookmarkEnd w:id="0"/>
            <w:r w:rsidRPr="00D7505A">
              <w:rPr>
                <w:rFonts w:ascii="Univers" w:eastAsia="MS Mincho" w:hAnsi="Univers"/>
                <w:b/>
                <w:noProof/>
                <w:sz w:val="27"/>
                <w:szCs w:val="27"/>
              </w:rPr>
              <w:t>UNITED</w:t>
            </w:r>
            <w:r w:rsidRPr="00D7505A">
              <w:rPr>
                <w:rFonts w:ascii="Univers" w:eastAsia="MS Mincho" w:hAnsi="Univers"/>
                <w:b/>
                <w:noProof/>
                <w:sz w:val="27"/>
                <w:szCs w:val="27"/>
              </w:rPr>
              <w:br/>
              <w:t>NATIONS</w:t>
            </w:r>
          </w:p>
        </w:tc>
        <w:tc>
          <w:tcPr>
            <w:tcW w:w="5387" w:type="dxa"/>
          </w:tcPr>
          <w:p w:rsidR="00D7505A" w:rsidRPr="00D7505A" w:rsidRDefault="00D7505A" w:rsidP="00D7505A">
            <w:pPr>
              <w:spacing w:after="0" w:line="240" w:lineRule="auto"/>
              <w:rPr>
                <w:rFonts w:ascii="Univers" w:eastAsia="MS Mincho" w:hAnsi="Univers"/>
                <w:b/>
                <w:sz w:val="27"/>
                <w:szCs w:val="27"/>
              </w:rPr>
            </w:pPr>
          </w:p>
        </w:tc>
        <w:tc>
          <w:tcPr>
            <w:tcW w:w="2833" w:type="dxa"/>
          </w:tcPr>
          <w:p w:rsidR="00D7505A" w:rsidRPr="00D7505A" w:rsidRDefault="00D7505A" w:rsidP="00D7505A">
            <w:pPr>
              <w:spacing w:after="0" w:line="240" w:lineRule="auto"/>
              <w:jc w:val="right"/>
              <w:rPr>
                <w:rFonts w:ascii="Univers" w:eastAsia="MS Mincho" w:hAnsi="Univers"/>
                <w:b/>
                <w:sz w:val="72"/>
                <w:szCs w:val="72"/>
              </w:rPr>
            </w:pPr>
            <w:r w:rsidRPr="00D7505A">
              <w:rPr>
                <w:rFonts w:ascii="Univers" w:eastAsia="MS Mincho" w:hAnsi="Univers"/>
                <w:b/>
                <w:sz w:val="72"/>
                <w:szCs w:val="72"/>
              </w:rPr>
              <w:t>EP</w:t>
            </w:r>
          </w:p>
        </w:tc>
      </w:tr>
      <w:tr w:rsidR="00D7505A" w:rsidRPr="00D7505A" w:rsidTr="003E4043">
        <w:tblPrEx>
          <w:tblCellMar>
            <w:top w:w="0" w:type="dxa"/>
            <w:bottom w:w="0" w:type="dxa"/>
          </w:tblCellMar>
        </w:tblPrEx>
        <w:trPr>
          <w:cantSplit/>
          <w:trHeight w:val="281"/>
        </w:trPr>
        <w:tc>
          <w:tcPr>
            <w:tcW w:w="1560" w:type="dxa"/>
            <w:tcBorders>
              <w:bottom w:val="single" w:sz="4" w:space="0" w:color="auto"/>
            </w:tcBorders>
          </w:tcPr>
          <w:p w:rsidR="00D7505A" w:rsidRPr="00D7505A" w:rsidRDefault="00D7505A" w:rsidP="00D7505A">
            <w:pPr>
              <w:spacing w:after="0" w:line="240" w:lineRule="auto"/>
              <w:rPr>
                <w:rFonts w:ascii="Times New Roman" w:eastAsia="MS Mincho" w:hAnsi="Times New Roman"/>
                <w:noProof/>
                <w:sz w:val="18"/>
                <w:szCs w:val="18"/>
              </w:rPr>
            </w:pPr>
          </w:p>
        </w:tc>
        <w:tc>
          <w:tcPr>
            <w:tcW w:w="5387" w:type="dxa"/>
            <w:tcBorders>
              <w:bottom w:val="single" w:sz="4" w:space="0" w:color="auto"/>
            </w:tcBorders>
          </w:tcPr>
          <w:p w:rsidR="00D7505A" w:rsidRPr="00D7505A" w:rsidRDefault="00D7505A" w:rsidP="00D7505A">
            <w:pPr>
              <w:spacing w:after="0" w:line="240" w:lineRule="auto"/>
              <w:rPr>
                <w:rFonts w:ascii="Univers" w:eastAsia="MS Mincho" w:hAnsi="Univers"/>
                <w:b/>
                <w:sz w:val="18"/>
                <w:szCs w:val="18"/>
              </w:rPr>
            </w:pPr>
          </w:p>
        </w:tc>
        <w:tc>
          <w:tcPr>
            <w:tcW w:w="2833" w:type="dxa"/>
            <w:tcBorders>
              <w:bottom w:val="single" w:sz="4" w:space="0" w:color="auto"/>
            </w:tcBorders>
          </w:tcPr>
          <w:p w:rsidR="00D7505A" w:rsidRPr="00D7505A" w:rsidRDefault="00D7505A" w:rsidP="00D7505A">
            <w:pPr>
              <w:spacing w:after="0" w:line="240" w:lineRule="auto"/>
              <w:rPr>
                <w:rFonts w:ascii="Times New Roman" w:eastAsia="MS Mincho" w:hAnsi="Times New Roman"/>
                <w:noProof/>
                <w:sz w:val="18"/>
                <w:szCs w:val="18"/>
                <w:lang w:eastAsia="ja-JP"/>
              </w:rPr>
            </w:pPr>
            <w:r w:rsidRPr="00D7505A">
              <w:rPr>
                <w:rFonts w:ascii="Times New Roman" w:eastAsia="MS Mincho" w:hAnsi="Times New Roman"/>
                <w:b/>
                <w:sz w:val="24"/>
                <w:szCs w:val="24"/>
              </w:rPr>
              <w:t>IPBES</w:t>
            </w:r>
            <w:r w:rsidRPr="00D7505A">
              <w:rPr>
                <w:rFonts w:ascii="Times New Roman" w:eastAsia="MS Mincho" w:hAnsi="Times New Roman"/>
                <w:sz w:val="20"/>
                <w:szCs w:val="20"/>
                <w:lang w:eastAsia="ja-JP"/>
              </w:rPr>
              <w:t>/2/1</w:t>
            </w:r>
            <w:r w:rsidRPr="00B172F7">
              <w:rPr>
                <w:rFonts w:ascii="Times New Roman" w:eastAsia="MS Mincho" w:hAnsi="Times New Roman"/>
                <w:sz w:val="20"/>
                <w:szCs w:val="20"/>
                <w:lang w:eastAsia="ja-JP"/>
              </w:rPr>
              <w:t>6/Add.1</w:t>
            </w:r>
          </w:p>
        </w:tc>
      </w:tr>
      <w:bookmarkStart w:id="1" w:name="_MON_1021710482"/>
      <w:bookmarkStart w:id="2" w:name="_MON_1021710510"/>
      <w:bookmarkEnd w:id="1"/>
      <w:bookmarkEnd w:id="2"/>
      <w:tr w:rsidR="00D7505A" w:rsidRPr="00D7505A" w:rsidTr="003E4043">
        <w:tblPrEx>
          <w:tblCellMar>
            <w:top w:w="0" w:type="dxa"/>
            <w:bottom w:w="0" w:type="dxa"/>
          </w:tblCellMar>
        </w:tblPrEx>
        <w:trPr>
          <w:cantSplit/>
          <w:trHeight w:val="2549"/>
        </w:trPr>
        <w:tc>
          <w:tcPr>
            <w:tcW w:w="1560" w:type="dxa"/>
            <w:tcBorders>
              <w:top w:val="single" w:sz="4" w:space="0" w:color="auto"/>
              <w:bottom w:val="single" w:sz="24" w:space="0" w:color="auto"/>
            </w:tcBorders>
          </w:tcPr>
          <w:p w:rsidR="00D7505A" w:rsidRPr="00D7505A" w:rsidRDefault="00D7505A" w:rsidP="00D7505A">
            <w:pPr>
              <w:spacing w:after="0" w:line="240" w:lineRule="auto"/>
              <w:rPr>
                <w:rFonts w:ascii="Times New Roman" w:eastAsia="MS Mincho" w:hAnsi="Times New Roman"/>
                <w:noProof/>
                <w:sz w:val="20"/>
                <w:szCs w:val="20"/>
              </w:rPr>
            </w:pPr>
            <w:r w:rsidRPr="00D7505A">
              <w:rPr>
                <w:rFonts w:ascii="Times New Roman" w:eastAsia="MS Mincho" w:hAnsi="Times New Roman"/>
                <w:noProof/>
                <w:sz w:val="20"/>
                <w:szCs w:val="20"/>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2A4E5E">
              <w:rPr>
                <w:rFonts w:ascii="Times New Roman" w:eastAsia="MS Mincho" w:hAnsi="Times New Roman"/>
                <w:noProof/>
                <w:sz w:val="20"/>
                <w:szCs w:val="20"/>
                <w:lang w:val="en-US"/>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7505A" w:rsidRPr="00D7505A" w:rsidRDefault="00D7505A" w:rsidP="00624D71">
            <w:pPr>
              <w:tabs>
                <w:tab w:val="left" w:pos="624"/>
                <w:tab w:val="left" w:pos="1871"/>
                <w:tab w:val="left" w:pos="2495"/>
                <w:tab w:val="left" w:pos="3119"/>
                <w:tab w:val="left" w:pos="3742"/>
              </w:tabs>
              <w:spacing w:before="1400" w:line="240" w:lineRule="auto"/>
              <w:rPr>
                <w:rFonts w:ascii="Univers" w:eastAsia="MS Mincho" w:hAnsi="Univers"/>
                <w:b/>
                <w:sz w:val="28"/>
                <w:szCs w:val="20"/>
              </w:rPr>
            </w:pPr>
            <w:r w:rsidRPr="00624D71">
              <w:rPr>
                <w:rFonts w:ascii="Univers" w:hAnsi="Univers"/>
                <w:b/>
                <w:sz w:val="32"/>
                <w:szCs w:val="32"/>
              </w:rPr>
              <w:t>United Nations</w:t>
            </w:r>
            <w:r w:rsidRPr="00624D71">
              <w:rPr>
                <w:rFonts w:ascii="Univers" w:hAnsi="Univers"/>
                <w:b/>
                <w:sz w:val="32"/>
                <w:szCs w:val="32"/>
              </w:rPr>
              <w:br/>
              <w:t xml:space="preserve">Environment </w:t>
            </w:r>
            <w:r w:rsidRPr="00624D71">
              <w:rPr>
                <w:rFonts w:ascii="Univers" w:hAnsi="Univers"/>
                <w:b/>
                <w:sz w:val="32"/>
                <w:szCs w:val="32"/>
              </w:rPr>
              <w:br/>
              <w:t>Programme</w:t>
            </w:r>
            <w:r w:rsidRPr="00D7505A">
              <w:rPr>
                <w:rFonts w:ascii="Univers" w:eastAsia="MS Mincho" w:hAnsi="Univers"/>
                <w:b/>
                <w:sz w:val="32"/>
                <w:szCs w:val="32"/>
              </w:rPr>
              <w:t xml:space="preserve"> </w:t>
            </w:r>
          </w:p>
        </w:tc>
        <w:tc>
          <w:tcPr>
            <w:tcW w:w="2833" w:type="dxa"/>
            <w:tcBorders>
              <w:top w:val="single" w:sz="4" w:space="0" w:color="auto"/>
              <w:bottom w:val="single" w:sz="24" w:space="0" w:color="auto"/>
            </w:tcBorders>
          </w:tcPr>
          <w:p w:rsidR="00D7505A" w:rsidRPr="00D7505A" w:rsidRDefault="003F78D2" w:rsidP="00966BC3">
            <w:pPr>
              <w:spacing w:before="120" w:after="0" w:line="240" w:lineRule="auto"/>
              <w:rPr>
                <w:rFonts w:ascii="Times New Roman" w:eastAsia="MS Mincho" w:hAnsi="Times New Roman"/>
                <w:sz w:val="20"/>
                <w:szCs w:val="20"/>
              </w:rPr>
            </w:pPr>
            <w:r>
              <w:rPr>
                <w:rFonts w:ascii="Times New Roman" w:eastAsia="MS Mincho" w:hAnsi="Times New Roman"/>
                <w:sz w:val="20"/>
                <w:szCs w:val="20"/>
              </w:rPr>
              <w:t>Distr.: General</w:t>
            </w:r>
            <w:r>
              <w:rPr>
                <w:rFonts w:ascii="Times New Roman" w:eastAsia="MS Mincho" w:hAnsi="Times New Roman"/>
                <w:sz w:val="20"/>
                <w:szCs w:val="20"/>
              </w:rPr>
              <w:br/>
            </w:r>
            <w:r w:rsidR="00D7505A" w:rsidRPr="00B172F7">
              <w:rPr>
                <w:rFonts w:ascii="Times New Roman" w:eastAsia="MS Mincho" w:hAnsi="Times New Roman"/>
                <w:sz w:val="20"/>
                <w:szCs w:val="20"/>
              </w:rPr>
              <w:t>1</w:t>
            </w:r>
            <w:r w:rsidR="00D7505A" w:rsidRPr="00D7505A">
              <w:rPr>
                <w:rFonts w:ascii="Times New Roman" w:eastAsia="MS Mincho" w:hAnsi="Times New Roman"/>
                <w:sz w:val="20"/>
                <w:szCs w:val="20"/>
              </w:rPr>
              <w:t xml:space="preserve"> </w:t>
            </w:r>
            <w:r w:rsidR="00D7505A" w:rsidRPr="00B172F7">
              <w:rPr>
                <w:rFonts w:ascii="Times New Roman" w:eastAsia="MS Mincho" w:hAnsi="Times New Roman"/>
                <w:sz w:val="20"/>
                <w:szCs w:val="20"/>
              </w:rPr>
              <w:t>October</w:t>
            </w:r>
            <w:r w:rsidR="00D7505A" w:rsidRPr="00D7505A">
              <w:rPr>
                <w:rFonts w:ascii="Times New Roman" w:eastAsia="MS Mincho" w:hAnsi="Times New Roman"/>
                <w:sz w:val="20"/>
                <w:szCs w:val="20"/>
              </w:rPr>
              <w:t xml:space="preserve"> 2013</w:t>
            </w:r>
          </w:p>
          <w:p w:rsidR="00D7505A" w:rsidRPr="00D7505A" w:rsidRDefault="00D7505A" w:rsidP="00966BC3">
            <w:pPr>
              <w:spacing w:before="120" w:after="0" w:line="240" w:lineRule="auto"/>
              <w:rPr>
                <w:rFonts w:ascii="Times New Roman" w:eastAsia="MS Mincho" w:hAnsi="Times New Roman"/>
                <w:sz w:val="20"/>
                <w:szCs w:val="20"/>
              </w:rPr>
            </w:pPr>
            <w:r w:rsidRPr="00D7505A">
              <w:rPr>
                <w:rFonts w:ascii="Times New Roman" w:eastAsia="MS Mincho" w:hAnsi="Times New Roman"/>
                <w:sz w:val="20"/>
                <w:szCs w:val="20"/>
              </w:rPr>
              <w:t xml:space="preserve">Original: English </w:t>
            </w:r>
          </w:p>
        </w:tc>
      </w:tr>
    </w:tbl>
    <w:p w:rsidR="00D7505A" w:rsidRPr="00D7505A" w:rsidRDefault="00D7505A"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rPr>
      </w:pPr>
      <w:r w:rsidRPr="00D7505A">
        <w:rPr>
          <w:rFonts w:ascii="Times New Roman" w:eastAsia="Times New Roman" w:hAnsi="Times New Roman"/>
          <w:b/>
          <w:sz w:val="20"/>
          <w:szCs w:val="20"/>
        </w:rPr>
        <w:t xml:space="preserve">Plenary of the Intergovernmental Science-Policy </w:t>
      </w:r>
      <w:r w:rsidRPr="00D7505A">
        <w:rPr>
          <w:rFonts w:ascii="Times New Roman" w:eastAsia="Times New Roman" w:hAnsi="Times New Roman"/>
          <w:b/>
          <w:sz w:val="20"/>
          <w:szCs w:val="20"/>
        </w:rPr>
        <w:br/>
        <w:t>Platform on Biodiversity and Ecosystem Services</w:t>
      </w:r>
    </w:p>
    <w:p w:rsidR="00D7505A" w:rsidRPr="00D7505A" w:rsidRDefault="00D7505A"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rPr>
      </w:pPr>
      <w:r w:rsidRPr="00D7505A">
        <w:rPr>
          <w:rFonts w:ascii="Times New Roman" w:eastAsia="Times New Roman" w:hAnsi="Times New Roman"/>
          <w:b/>
          <w:sz w:val="20"/>
          <w:szCs w:val="20"/>
        </w:rPr>
        <w:t>Second session</w:t>
      </w:r>
    </w:p>
    <w:p w:rsidR="00D7505A" w:rsidRPr="00B172F7" w:rsidRDefault="00D7505A"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0"/>
          <w:szCs w:val="20"/>
          <w:lang w:eastAsia="ja-JP"/>
        </w:rPr>
      </w:pPr>
      <w:r w:rsidRPr="00D7505A">
        <w:rPr>
          <w:rFonts w:ascii="Times New Roman" w:eastAsia="Times New Roman" w:hAnsi="Times New Roman"/>
          <w:sz w:val="20"/>
          <w:szCs w:val="20"/>
          <w:lang w:eastAsia="ja-JP"/>
        </w:rPr>
        <w:t>Antalya, Turkey, 9–14 December 2013</w:t>
      </w:r>
    </w:p>
    <w:p w:rsidR="00D7505A" w:rsidRPr="00B172F7" w:rsidRDefault="00D7505A" w:rsidP="00D7505A">
      <w:pPr>
        <w:pStyle w:val="AATitle"/>
        <w:rPr>
          <w:b w:val="0"/>
          <w:lang w:val="en-GB"/>
        </w:rPr>
      </w:pPr>
      <w:r w:rsidRPr="00B172F7">
        <w:rPr>
          <w:b w:val="0"/>
          <w:lang w:val="en-GB" w:eastAsia="ja-JP"/>
        </w:rPr>
        <w:t>Item 4 (a) of the provisional agenda</w:t>
      </w:r>
      <w:r w:rsidRPr="00B172F7">
        <w:rPr>
          <w:rStyle w:val="FootnoteReference"/>
          <w:b w:val="0"/>
          <w:lang w:val="en-GB" w:eastAsia="ja-JP"/>
        </w:rPr>
        <w:footnoteReference w:customMarkFollows="1" w:id="1"/>
        <w:sym w:font="Symbol" w:char="F02A"/>
      </w:r>
      <w:r w:rsidRPr="00B172F7">
        <w:rPr>
          <w:b w:val="0"/>
          <w:lang w:val="en-GB" w:eastAsia="ja-JP"/>
        </w:rPr>
        <w:t> </w:t>
      </w:r>
    </w:p>
    <w:p w:rsidR="00D7505A" w:rsidRPr="00B172F7" w:rsidRDefault="00D7505A" w:rsidP="00966BC3">
      <w:pPr>
        <w:pStyle w:val="AATitle2"/>
        <w:spacing w:before="60"/>
        <w:rPr>
          <w:lang w:val="en-GB"/>
        </w:rPr>
      </w:pPr>
      <w:r w:rsidRPr="00B172F7">
        <w:rPr>
          <w:lang w:val="en-GB"/>
        </w:rPr>
        <w:t>Initial work programme of the Platform:</w:t>
      </w:r>
      <w:r w:rsidRPr="00B172F7">
        <w:rPr>
          <w:lang w:val="en-GB"/>
        </w:rPr>
        <w:br/>
        <w:t>work programme 2014</w:t>
      </w:r>
      <w:r w:rsidR="00367FC7">
        <w:rPr>
          <w:lang w:val="en-GB"/>
        </w:rPr>
        <w:t>–</w:t>
      </w:r>
      <w:r w:rsidRPr="00B172F7">
        <w:rPr>
          <w:lang w:val="en-GB"/>
        </w:rPr>
        <w:t>2018</w:t>
      </w:r>
    </w:p>
    <w:p w:rsidR="00D7505A" w:rsidRPr="00624D71" w:rsidRDefault="00D7505A" w:rsidP="001E4ECA">
      <w:pPr>
        <w:pStyle w:val="BBTitle"/>
      </w:pPr>
      <w:r w:rsidRPr="00624D71">
        <w:t xml:space="preserve">Initial </w:t>
      </w:r>
      <w:r w:rsidRPr="00966BC3">
        <w:rPr>
          <w:lang w:val="en-GB"/>
        </w:rPr>
        <w:t>scop</w:t>
      </w:r>
      <w:r w:rsidR="00523A59" w:rsidRPr="00966BC3">
        <w:rPr>
          <w:lang w:val="en-GB"/>
        </w:rPr>
        <w:t>ing</w:t>
      </w:r>
      <w:r w:rsidRPr="00966BC3">
        <w:rPr>
          <w:lang w:val="en-GB"/>
        </w:rPr>
        <w:t xml:space="preserve"> </w:t>
      </w:r>
      <w:r w:rsidR="00CE13FF" w:rsidRPr="00966BC3">
        <w:rPr>
          <w:lang w:val="en-GB"/>
        </w:rPr>
        <w:t xml:space="preserve">for </w:t>
      </w:r>
      <w:r w:rsidRPr="00966BC3">
        <w:rPr>
          <w:lang w:val="en-GB"/>
        </w:rPr>
        <w:t xml:space="preserve">the </w:t>
      </w:r>
      <w:r w:rsidR="00367FC7" w:rsidRPr="00966BC3">
        <w:rPr>
          <w:lang w:val="en-GB"/>
        </w:rPr>
        <w:t>f</w:t>
      </w:r>
      <w:r w:rsidRPr="00966BC3">
        <w:rPr>
          <w:lang w:val="en-GB"/>
        </w:rPr>
        <w:t>ast</w:t>
      </w:r>
      <w:r w:rsidR="00367FC7" w:rsidRPr="00966BC3">
        <w:rPr>
          <w:lang w:val="en-GB"/>
        </w:rPr>
        <w:t>-t</w:t>
      </w:r>
      <w:r w:rsidRPr="00966BC3">
        <w:rPr>
          <w:lang w:val="en-GB"/>
        </w:rPr>
        <w:t xml:space="preserve">rack </w:t>
      </w:r>
      <w:r w:rsidR="003158D2" w:rsidRPr="00966BC3">
        <w:rPr>
          <w:lang w:val="en-GB"/>
        </w:rPr>
        <w:t xml:space="preserve">thematic </w:t>
      </w:r>
      <w:r w:rsidR="00367FC7" w:rsidRPr="00966BC3">
        <w:rPr>
          <w:lang w:val="en-GB"/>
        </w:rPr>
        <w:t>a</w:t>
      </w:r>
      <w:r w:rsidRPr="00966BC3">
        <w:rPr>
          <w:lang w:val="en-GB"/>
        </w:rPr>
        <w:t>ssessment o</w:t>
      </w:r>
      <w:r w:rsidR="00367FC7" w:rsidRPr="00966BC3">
        <w:rPr>
          <w:lang w:val="en-GB"/>
        </w:rPr>
        <w:t>f</w:t>
      </w:r>
      <w:r w:rsidRPr="00966BC3">
        <w:rPr>
          <w:lang w:val="en-GB"/>
        </w:rPr>
        <w:t xml:space="preserve"> </w:t>
      </w:r>
      <w:r w:rsidR="00367FC7" w:rsidRPr="00966BC3">
        <w:rPr>
          <w:lang w:val="en-GB"/>
        </w:rPr>
        <w:t>p</w:t>
      </w:r>
      <w:r w:rsidRPr="00966BC3">
        <w:rPr>
          <w:lang w:val="en-GB"/>
        </w:rPr>
        <w:t xml:space="preserve">ollination and </w:t>
      </w:r>
      <w:r w:rsidR="00367FC7" w:rsidRPr="00966BC3">
        <w:rPr>
          <w:lang w:val="en-GB"/>
        </w:rPr>
        <w:t>f</w:t>
      </w:r>
      <w:r w:rsidRPr="00966BC3">
        <w:rPr>
          <w:lang w:val="en-GB"/>
        </w:rPr>
        <w:t xml:space="preserve">ood </w:t>
      </w:r>
      <w:r w:rsidR="00367FC7" w:rsidRPr="00966BC3">
        <w:rPr>
          <w:lang w:val="en-GB"/>
        </w:rPr>
        <w:t>p</w:t>
      </w:r>
      <w:r w:rsidRPr="00966BC3">
        <w:rPr>
          <w:lang w:val="en-GB"/>
        </w:rPr>
        <w:t>roduction</w:t>
      </w:r>
      <w:r w:rsidR="00CE13FF" w:rsidRPr="00624D71">
        <w:t xml:space="preserve"> </w:t>
      </w:r>
    </w:p>
    <w:p w:rsidR="006A45CB" w:rsidRPr="00624D71" w:rsidRDefault="003E61BB" w:rsidP="002657A9">
      <w:pPr>
        <w:pStyle w:val="CH2"/>
        <w:rPr>
          <w:lang w:val="en-GB"/>
        </w:rPr>
      </w:pPr>
      <w:r>
        <w:tab/>
      </w:r>
      <w:r>
        <w:tab/>
      </w:r>
      <w:r w:rsidR="006A45CB">
        <w:t xml:space="preserve">Note by the </w:t>
      </w:r>
      <w:r w:rsidR="006A45CB" w:rsidRPr="00624D71">
        <w:rPr>
          <w:lang w:val="en-GB"/>
        </w:rPr>
        <w:t>secretariat</w:t>
      </w:r>
    </w:p>
    <w:p w:rsidR="00AB3D63" w:rsidRPr="00624D71" w:rsidRDefault="001E4ECA" w:rsidP="00624D71">
      <w:pPr>
        <w:pStyle w:val="CH1"/>
      </w:pPr>
      <w:r>
        <w:tab/>
        <w:t>I.</w:t>
      </w:r>
      <w:r>
        <w:tab/>
      </w:r>
      <w:r w:rsidR="00AB3D63" w:rsidRPr="00624D71">
        <w:t>Introduction</w:t>
      </w:r>
    </w:p>
    <w:p w:rsidR="00AF2776" w:rsidRPr="00775FC8" w:rsidRDefault="00AB64FD"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775FC8">
        <w:rPr>
          <w:lang w:val="en-GB"/>
        </w:rPr>
        <w:t xml:space="preserve">Recognizing that it would be necessary to </w:t>
      </w:r>
      <w:r w:rsidR="003158D2">
        <w:rPr>
          <w:lang w:val="en-GB"/>
        </w:rPr>
        <w:t>move forward</w:t>
      </w:r>
      <w:r w:rsidRPr="00775FC8">
        <w:rPr>
          <w:lang w:val="en-GB"/>
        </w:rPr>
        <w:t xml:space="preserve"> with the work programme for 2014</w:t>
      </w:r>
      <w:r w:rsidR="00871066">
        <w:rPr>
          <w:lang w:val="en-GB"/>
        </w:rPr>
        <w:t>−</w:t>
      </w:r>
      <w:r w:rsidRPr="00775FC8">
        <w:rPr>
          <w:lang w:val="en-GB"/>
        </w:rPr>
        <w:t xml:space="preserve">2018 </w:t>
      </w:r>
      <w:r w:rsidR="008D74E3">
        <w:rPr>
          <w:lang w:val="en-GB"/>
        </w:rPr>
        <w:t>following its</w:t>
      </w:r>
      <w:r w:rsidRPr="00775FC8">
        <w:rPr>
          <w:lang w:val="en-GB"/>
        </w:rPr>
        <w:t xml:space="preserve"> approv</w:t>
      </w:r>
      <w:r w:rsidR="008D74E3">
        <w:rPr>
          <w:lang w:val="en-GB"/>
        </w:rPr>
        <w:t>al</w:t>
      </w:r>
      <w:r w:rsidRPr="00775FC8">
        <w:rPr>
          <w:lang w:val="en-GB"/>
        </w:rPr>
        <w:t xml:space="preserve"> by </w:t>
      </w:r>
      <w:r>
        <w:rPr>
          <w:lang w:val="en-GB"/>
        </w:rPr>
        <w:t xml:space="preserve">the </w:t>
      </w:r>
      <w:r w:rsidRPr="00775FC8">
        <w:rPr>
          <w:lang w:val="en-GB"/>
        </w:rPr>
        <w:t xml:space="preserve">Plenary </w:t>
      </w:r>
      <w:r>
        <w:rPr>
          <w:lang w:val="en-GB"/>
        </w:rPr>
        <w:t>of the Intergovernmental Science</w:t>
      </w:r>
      <w:r w:rsidR="008D74E3">
        <w:rPr>
          <w:lang w:val="en-GB"/>
        </w:rPr>
        <w:noBreakHyphen/>
      </w:r>
      <w:r>
        <w:rPr>
          <w:lang w:val="en-GB"/>
        </w:rPr>
        <w:t xml:space="preserve">Policy Platform for Biodiversity and Ecosystem Services </w:t>
      </w:r>
      <w:r w:rsidRPr="00775FC8">
        <w:rPr>
          <w:lang w:val="en-GB"/>
        </w:rPr>
        <w:t>at its second session, t</w:t>
      </w:r>
      <w:r w:rsidR="00AF2776" w:rsidRPr="00775FC8">
        <w:rPr>
          <w:lang w:val="en-GB"/>
        </w:rPr>
        <w:t>he Bureau and the Multidisciplinary Expert Panel agreed to prepare</w:t>
      </w:r>
      <w:r w:rsidR="00AB3D63">
        <w:rPr>
          <w:lang w:val="en-GB"/>
        </w:rPr>
        <w:t>,</w:t>
      </w:r>
      <w:r w:rsidRPr="00775FC8">
        <w:rPr>
          <w:lang w:val="en-GB"/>
        </w:rPr>
        <w:t xml:space="preserve"> for consideration by the Plenary at that session</w:t>
      </w:r>
      <w:r w:rsidR="00AB3D63">
        <w:rPr>
          <w:lang w:val="en-GB"/>
        </w:rPr>
        <w:t>,</w:t>
      </w:r>
      <w:r w:rsidR="00AF2776" w:rsidRPr="00775FC8">
        <w:rPr>
          <w:lang w:val="en-GB"/>
        </w:rPr>
        <w:t xml:space="preserve"> a number of initial scoping documents based on the prioritization of requests, suggestions and inputs put to the Platform and the deliverables</w:t>
      </w:r>
      <w:r w:rsidR="00605C15">
        <w:rPr>
          <w:lang w:val="en-GB"/>
        </w:rPr>
        <w:t xml:space="preserve"> set out</w:t>
      </w:r>
      <w:r w:rsidR="00AF2776" w:rsidRPr="00775FC8">
        <w:rPr>
          <w:lang w:val="en-GB"/>
        </w:rPr>
        <w:t xml:space="preserve"> in the draft work programme (IPBES/2/2). </w:t>
      </w:r>
      <w:r w:rsidR="00AB3D63">
        <w:rPr>
          <w:lang w:val="en-GB"/>
        </w:rPr>
        <w:t>T</w:t>
      </w:r>
      <w:r w:rsidR="000F1A70">
        <w:rPr>
          <w:lang w:val="en-GB"/>
        </w:rPr>
        <w:t>he present note</w:t>
      </w:r>
      <w:r w:rsidR="00EB7AAE">
        <w:rPr>
          <w:lang w:val="en-GB"/>
        </w:rPr>
        <w:t xml:space="preserve"> </w:t>
      </w:r>
      <w:r w:rsidR="000F1A70">
        <w:rPr>
          <w:lang w:val="en-GB"/>
        </w:rPr>
        <w:t xml:space="preserve">sets out </w:t>
      </w:r>
      <w:r w:rsidR="00AF2776" w:rsidRPr="00775FC8">
        <w:rPr>
          <w:lang w:val="en-GB"/>
        </w:rPr>
        <w:t xml:space="preserve">the initial scoping for </w:t>
      </w:r>
      <w:r w:rsidRPr="00775FC8">
        <w:rPr>
          <w:lang w:val="en-GB"/>
        </w:rPr>
        <w:t>a proposed</w:t>
      </w:r>
      <w:r w:rsidR="00AF2776" w:rsidRPr="00775FC8">
        <w:rPr>
          <w:lang w:val="en-GB"/>
        </w:rPr>
        <w:t xml:space="preserve"> fast</w:t>
      </w:r>
      <w:r w:rsidRPr="00775FC8">
        <w:rPr>
          <w:lang w:val="en-GB"/>
        </w:rPr>
        <w:noBreakHyphen/>
      </w:r>
      <w:r w:rsidR="00AF2776" w:rsidRPr="00775FC8">
        <w:rPr>
          <w:lang w:val="en-GB"/>
        </w:rPr>
        <w:t>track</w:t>
      </w:r>
      <w:r w:rsidR="003158D2">
        <w:rPr>
          <w:lang w:val="en-GB"/>
        </w:rPr>
        <w:t xml:space="preserve"> thematic</w:t>
      </w:r>
      <w:r w:rsidR="00EB7AAE">
        <w:rPr>
          <w:lang w:val="en-GB"/>
        </w:rPr>
        <w:t xml:space="preserve"> </w:t>
      </w:r>
      <w:r w:rsidR="00AF2776" w:rsidRPr="00775FC8">
        <w:rPr>
          <w:lang w:val="en-GB"/>
        </w:rPr>
        <w:t xml:space="preserve">assessment of pollination </w:t>
      </w:r>
      <w:r w:rsidR="00AF2776" w:rsidRPr="00523771">
        <w:rPr>
          <w:lang w:val="en-GB"/>
        </w:rPr>
        <w:t>a</w:t>
      </w:r>
      <w:r w:rsidR="002657A9" w:rsidRPr="00523771">
        <w:rPr>
          <w:lang w:val="en-GB"/>
        </w:rPr>
        <w:t>nd food production</w:t>
      </w:r>
      <w:r w:rsidR="000F1A70" w:rsidRPr="00523771">
        <w:rPr>
          <w:lang w:val="en-GB"/>
        </w:rPr>
        <w:t>. It has been</w:t>
      </w:r>
      <w:r w:rsidR="00AF2776" w:rsidRPr="00523771">
        <w:rPr>
          <w:lang w:val="en-GB"/>
        </w:rPr>
        <w:t xml:space="preserve"> developed in accordance with the draft procedures for the preparation of the Platform’s</w:t>
      </w:r>
      <w:r w:rsidR="00AF2776" w:rsidRPr="00775FC8">
        <w:rPr>
          <w:lang w:val="en-GB"/>
        </w:rPr>
        <w:t xml:space="preserve"> deliverables (IPBES/2/9). </w:t>
      </w:r>
    </w:p>
    <w:p w:rsidR="00D7505A" w:rsidRPr="00624D71" w:rsidRDefault="00B172F7" w:rsidP="00775FC8">
      <w:pPr>
        <w:pStyle w:val="CH1"/>
        <w:rPr>
          <w:lang w:val="en-GB"/>
        </w:rPr>
      </w:pPr>
      <w:r>
        <w:tab/>
      </w:r>
      <w:r w:rsidR="006237C4">
        <w:t>I</w:t>
      </w:r>
      <w:r w:rsidR="00D858B9">
        <w:t>I.</w:t>
      </w:r>
      <w:r>
        <w:tab/>
      </w:r>
      <w:r w:rsidR="00D858B9">
        <w:t>S</w:t>
      </w:r>
      <w:r w:rsidR="00D7505A" w:rsidRPr="00B172F7">
        <w:t>cope</w:t>
      </w:r>
      <w:r w:rsidR="00D7505A" w:rsidRPr="00624D71">
        <w:rPr>
          <w:lang w:val="en-GB"/>
        </w:rPr>
        <w:t>, rationale</w:t>
      </w:r>
      <w:r w:rsidR="00A8314D">
        <w:rPr>
          <w:lang w:val="en-GB"/>
        </w:rPr>
        <w:t>,</w:t>
      </w:r>
      <w:r w:rsidR="00D7505A" w:rsidRPr="00B172F7">
        <w:t xml:space="preserve"> </w:t>
      </w:r>
      <w:r w:rsidR="00D7505A" w:rsidRPr="003158D2">
        <w:t xml:space="preserve">utility </w:t>
      </w:r>
      <w:r w:rsidR="00D7505A" w:rsidRPr="00624D71">
        <w:rPr>
          <w:lang w:val="en-GB"/>
        </w:rPr>
        <w:t>and assumptions</w:t>
      </w:r>
    </w:p>
    <w:p w:rsidR="00D858B9" w:rsidRPr="00523771" w:rsidRDefault="00D858B9" w:rsidP="00775FC8">
      <w:pPr>
        <w:pStyle w:val="CH2"/>
        <w:rPr>
          <w:lang w:val="en-GB"/>
        </w:rPr>
      </w:pPr>
      <w:r w:rsidRPr="00624D71">
        <w:rPr>
          <w:lang w:val="en-GB"/>
        </w:rPr>
        <w:tab/>
        <w:t>A.</w:t>
      </w:r>
      <w:r w:rsidRPr="00624D71">
        <w:rPr>
          <w:lang w:val="en-GB"/>
        </w:rPr>
        <w:tab/>
      </w:r>
      <w:r w:rsidR="00D7505A" w:rsidRPr="00624D71">
        <w:rPr>
          <w:lang w:val="en-GB"/>
        </w:rPr>
        <w:t xml:space="preserve">Scope </w:t>
      </w:r>
    </w:p>
    <w:p w:rsidR="00D7505A" w:rsidRPr="00523771" w:rsidRDefault="00D858B9"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523771">
        <w:rPr>
          <w:lang w:val="en-GB"/>
        </w:rPr>
        <w:t xml:space="preserve">The </w:t>
      </w:r>
      <w:r w:rsidR="00752EAD" w:rsidRPr="00523771">
        <w:rPr>
          <w:lang w:val="en-GB"/>
        </w:rPr>
        <w:t>objective</w:t>
      </w:r>
      <w:r w:rsidRPr="00523771">
        <w:rPr>
          <w:lang w:val="en-GB"/>
        </w:rPr>
        <w:t xml:space="preserve"> of the </w:t>
      </w:r>
      <w:r w:rsidR="006A45CB" w:rsidRPr="00523771">
        <w:rPr>
          <w:lang w:val="en-GB"/>
        </w:rPr>
        <w:t xml:space="preserve">proposed </w:t>
      </w:r>
      <w:r w:rsidRPr="00523771">
        <w:rPr>
          <w:lang w:val="en-GB"/>
        </w:rPr>
        <w:t>fast-track</w:t>
      </w:r>
      <w:r w:rsidR="003158D2" w:rsidRPr="00523771">
        <w:rPr>
          <w:lang w:val="en-GB"/>
        </w:rPr>
        <w:t xml:space="preserve"> thematic</w:t>
      </w:r>
      <w:r w:rsidRPr="00523771">
        <w:rPr>
          <w:lang w:val="en-GB"/>
        </w:rPr>
        <w:t xml:space="preserve"> assessment </w:t>
      </w:r>
      <w:r w:rsidR="00F46977" w:rsidRPr="00523771">
        <w:rPr>
          <w:lang w:val="en-GB"/>
        </w:rPr>
        <w:t xml:space="preserve">of pollination and food production is </w:t>
      </w:r>
      <w:r w:rsidRPr="00523771">
        <w:rPr>
          <w:lang w:val="en-GB"/>
        </w:rPr>
        <w:t>to a</w:t>
      </w:r>
      <w:r w:rsidR="00D7505A" w:rsidRPr="00523771">
        <w:rPr>
          <w:lang w:val="en-GB"/>
        </w:rPr>
        <w:t xml:space="preserve">ssess changes in pollination as a regulating ecosystem service of importance for food production in the context of its role in supporting human well-being and biodiversity maintenance more broadly, with </w:t>
      </w:r>
      <w:r w:rsidRPr="00523771">
        <w:rPr>
          <w:lang w:val="en-GB"/>
        </w:rPr>
        <w:t xml:space="preserve">an </w:t>
      </w:r>
      <w:r w:rsidR="00D7505A" w:rsidRPr="00523771">
        <w:rPr>
          <w:lang w:val="en-GB"/>
        </w:rPr>
        <w:t xml:space="preserve">emphasis on the status </w:t>
      </w:r>
      <w:r w:rsidRPr="00523771">
        <w:rPr>
          <w:lang w:val="en-GB"/>
        </w:rPr>
        <w:t xml:space="preserve">of </w:t>
      </w:r>
      <w:r w:rsidR="00D7505A" w:rsidRPr="00523771">
        <w:rPr>
          <w:lang w:val="en-GB"/>
        </w:rPr>
        <w:t xml:space="preserve">and trends </w:t>
      </w:r>
      <w:r w:rsidRPr="00523771">
        <w:rPr>
          <w:lang w:val="en-GB"/>
        </w:rPr>
        <w:t>in</w:t>
      </w:r>
      <w:r w:rsidR="00D7505A" w:rsidRPr="00523771">
        <w:rPr>
          <w:lang w:val="en-GB"/>
        </w:rPr>
        <w:t xml:space="preserve"> pollinators and pollination dynamics and diversity, drivers of change, impacts on human well-being of pollination declines and deficits and the effectiveness of responses to pollination declines and deficits.</w:t>
      </w:r>
      <w:r w:rsidR="00697289" w:rsidRPr="00523771">
        <w:rPr>
          <w:lang w:val="en-GB"/>
        </w:rPr>
        <w:t xml:space="preserve"> </w:t>
      </w:r>
    </w:p>
    <w:p w:rsidR="00D858B9" w:rsidRPr="00624D71" w:rsidRDefault="00D858B9" w:rsidP="00775FC8">
      <w:pPr>
        <w:pStyle w:val="CH2"/>
        <w:rPr>
          <w:lang w:val="en-GB"/>
        </w:rPr>
      </w:pPr>
      <w:r w:rsidRPr="00624D71">
        <w:rPr>
          <w:lang w:val="en-GB"/>
        </w:rPr>
        <w:tab/>
        <w:t>B.</w:t>
      </w:r>
      <w:r w:rsidRPr="00624D71">
        <w:rPr>
          <w:lang w:val="en-GB"/>
        </w:rPr>
        <w:tab/>
      </w:r>
      <w:r w:rsidR="00D7505A" w:rsidRPr="00624D71">
        <w:rPr>
          <w:lang w:val="en-GB"/>
        </w:rPr>
        <w:t>Rationale</w:t>
      </w:r>
    </w:p>
    <w:p w:rsidR="00D7505A" w:rsidRPr="00B172F7" w:rsidRDefault="004A2DF0"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Pr>
          <w:lang w:val="en-GB"/>
        </w:rPr>
        <w:t>An assessment of the kind proposed is r</w:t>
      </w:r>
      <w:r w:rsidR="00D7505A" w:rsidRPr="00B172F7">
        <w:rPr>
          <w:lang w:val="en-GB"/>
        </w:rPr>
        <w:t xml:space="preserve">equired </w:t>
      </w:r>
      <w:r>
        <w:rPr>
          <w:lang w:val="en-GB"/>
        </w:rPr>
        <w:t xml:space="preserve">as a means of </w:t>
      </w:r>
      <w:r w:rsidRPr="003158D2">
        <w:rPr>
          <w:lang w:val="en-GB"/>
        </w:rPr>
        <w:t xml:space="preserve">facilitating the </w:t>
      </w:r>
      <w:r w:rsidR="00D7505A" w:rsidRPr="003158D2">
        <w:rPr>
          <w:lang w:val="en-GB"/>
        </w:rPr>
        <w:t>enhanc</w:t>
      </w:r>
      <w:r w:rsidRPr="003158D2">
        <w:rPr>
          <w:lang w:val="en-GB"/>
        </w:rPr>
        <w:t xml:space="preserve">ement of </w:t>
      </w:r>
      <w:r w:rsidR="00D7505A" w:rsidRPr="003158D2">
        <w:rPr>
          <w:lang w:val="en-GB"/>
        </w:rPr>
        <w:t>policy responses to declines and deficits in pollination as an essential regulating ecosystem service underpinning food production and human well-being.</w:t>
      </w:r>
      <w:r w:rsidR="00D7505A" w:rsidRPr="003158D2">
        <w:rPr>
          <w:rFonts w:eastAsia="SimSun"/>
          <w:color w:val="000000"/>
          <w:lang w:val="en-GB" w:eastAsia="zh-CN"/>
        </w:rPr>
        <w:t xml:space="preserve"> </w:t>
      </w:r>
      <w:r w:rsidR="00D7505A" w:rsidRPr="003158D2">
        <w:rPr>
          <w:lang w:val="en-GB"/>
        </w:rPr>
        <w:t xml:space="preserve">The worldwide economic value of the pollination service provided by insect pollinators </w:t>
      </w:r>
      <w:r w:rsidRPr="003158D2">
        <w:rPr>
          <w:lang w:val="en-GB"/>
        </w:rPr>
        <w:t xml:space="preserve">– </w:t>
      </w:r>
      <w:r w:rsidR="00D7505A" w:rsidRPr="003158D2">
        <w:rPr>
          <w:lang w:val="en-GB"/>
        </w:rPr>
        <w:t xml:space="preserve">mainly bees – has </w:t>
      </w:r>
      <w:r w:rsidR="00D7505A" w:rsidRPr="003158D2">
        <w:t>been</w:t>
      </w:r>
      <w:r w:rsidR="00D7505A" w:rsidRPr="003158D2">
        <w:rPr>
          <w:lang w:val="en-GB"/>
        </w:rPr>
        <w:t xml:space="preserve"> estimated</w:t>
      </w:r>
      <w:r w:rsidR="00D7505A" w:rsidRPr="00B172F7">
        <w:rPr>
          <w:lang w:val="en-GB"/>
        </w:rPr>
        <w:t xml:space="preserve"> at an annual </w:t>
      </w:r>
      <w:r w:rsidR="00D7505A" w:rsidRPr="00B172F7">
        <w:rPr>
          <w:lang w:val="en-GB"/>
        </w:rPr>
        <w:lastRenderedPageBreak/>
        <w:t>value in 2005 of €153 billion (</w:t>
      </w:r>
      <w:r>
        <w:rPr>
          <w:lang w:val="en-GB"/>
        </w:rPr>
        <w:t>$</w:t>
      </w:r>
      <w:r w:rsidR="00D7505A" w:rsidRPr="00B172F7">
        <w:rPr>
          <w:lang w:val="en-GB"/>
        </w:rPr>
        <w:t>217 billion) for the main crops that feed the world. This amounts to 9.5</w:t>
      </w:r>
      <w:r w:rsidR="003E61BB">
        <w:rPr>
          <w:lang w:val="en-GB"/>
        </w:rPr>
        <w:t> </w:t>
      </w:r>
      <w:r>
        <w:rPr>
          <w:lang w:val="en-GB"/>
        </w:rPr>
        <w:t>per cent</w:t>
      </w:r>
      <w:r w:rsidR="00D7505A" w:rsidRPr="00B172F7">
        <w:rPr>
          <w:lang w:val="en-GB"/>
        </w:rPr>
        <w:t xml:space="preserve"> of the total value of the world’s agricultural food production</w:t>
      </w:r>
      <w:r>
        <w:rPr>
          <w:lang w:val="en-GB"/>
        </w:rPr>
        <w:t>.</w:t>
      </w:r>
      <w:r w:rsidR="00D7505A" w:rsidRPr="00B172F7">
        <w:rPr>
          <w:vertAlign w:val="superscript"/>
          <w:lang w:val="en-GB"/>
        </w:rPr>
        <w:footnoteReference w:id="2"/>
      </w:r>
      <w:r w:rsidR="00D7505A" w:rsidRPr="00B172F7">
        <w:rPr>
          <w:lang w:val="en-GB"/>
        </w:rPr>
        <w:t xml:space="preserve"> </w:t>
      </w:r>
    </w:p>
    <w:p w:rsidR="00D858B9" w:rsidRDefault="00D858B9" w:rsidP="00775FC8">
      <w:pPr>
        <w:pStyle w:val="CH2"/>
      </w:pPr>
      <w:r>
        <w:tab/>
        <w:t>C.</w:t>
      </w:r>
      <w:r>
        <w:tab/>
      </w:r>
      <w:r w:rsidR="00D7505A" w:rsidRPr="00B172F7">
        <w:t>Utility</w:t>
      </w:r>
    </w:p>
    <w:p w:rsidR="00160890" w:rsidRDefault="00EB7AAE"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624D71">
        <w:rPr>
          <w:lang w:val="en-GB"/>
        </w:rPr>
        <w:t xml:space="preserve"> </w:t>
      </w:r>
      <w:r w:rsidRPr="00523771">
        <w:rPr>
          <w:lang w:val="en-GB"/>
        </w:rPr>
        <w:t>T</w:t>
      </w:r>
      <w:r w:rsidR="00D7505A" w:rsidRPr="00523771">
        <w:rPr>
          <w:lang w:val="en-GB"/>
        </w:rPr>
        <w:t xml:space="preserve">he </w:t>
      </w:r>
      <w:r w:rsidR="00D804F1" w:rsidRPr="00523771">
        <w:rPr>
          <w:lang w:val="en-GB"/>
        </w:rPr>
        <w:t xml:space="preserve">proposed </w:t>
      </w:r>
      <w:r w:rsidR="00D7505A" w:rsidRPr="00523771">
        <w:rPr>
          <w:lang w:val="en-GB"/>
        </w:rPr>
        <w:t>assessment will identify policy</w:t>
      </w:r>
      <w:r w:rsidR="00924C4A" w:rsidRPr="00523771">
        <w:rPr>
          <w:lang w:val="en-GB"/>
        </w:rPr>
        <w:t>-</w:t>
      </w:r>
      <w:r w:rsidR="00D7505A" w:rsidRPr="00523771">
        <w:rPr>
          <w:lang w:val="en-GB"/>
        </w:rPr>
        <w:t>relevant findings for decision</w:t>
      </w:r>
      <w:r w:rsidR="00D804F1" w:rsidRPr="00523771">
        <w:rPr>
          <w:lang w:val="en-GB"/>
        </w:rPr>
        <w:noBreakHyphen/>
      </w:r>
      <w:r w:rsidR="00D7505A" w:rsidRPr="00523771">
        <w:rPr>
          <w:lang w:val="en-GB"/>
        </w:rPr>
        <w:t xml:space="preserve">making </w:t>
      </w:r>
      <w:r w:rsidR="00924C4A">
        <w:rPr>
          <w:lang w:val="en-GB"/>
        </w:rPr>
        <w:t>by</w:t>
      </w:r>
      <w:r w:rsidR="00924C4A" w:rsidRPr="00B172F7">
        <w:rPr>
          <w:lang w:val="en-GB"/>
        </w:rPr>
        <w:t xml:space="preserve"> </w:t>
      </w:r>
      <w:r w:rsidR="00D804F1">
        <w:rPr>
          <w:lang w:val="en-GB"/>
        </w:rPr>
        <w:t>G</w:t>
      </w:r>
      <w:r w:rsidR="00D7505A" w:rsidRPr="00B172F7">
        <w:rPr>
          <w:lang w:val="en-GB"/>
        </w:rPr>
        <w:t>overnment</w:t>
      </w:r>
      <w:r w:rsidR="00D804F1">
        <w:rPr>
          <w:lang w:val="en-GB"/>
        </w:rPr>
        <w:t>s</w:t>
      </w:r>
      <w:r w:rsidR="00D7505A" w:rsidRPr="00B172F7">
        <w:rPr>
          <w:lang w:val="en-GB"/>
        </w:rPr>
        <w:t xml:space="preserve">, </w:t>
      </w:r>
      <w:r w:rsidR="00D804F1">
        <w:rPr>
          <w:lang w:val="en-GB"/>
        </w:rPr>
        <w:t xml:space="preserve">the </w:t>
      </w:r>
      <w:r w:rsidR="00D7505A" w:rsidRPr="00B172F7">
        <w:rPr>
          <w:lang w:val="en-GB"/>
        </w:rPr>
        <w:t xml:space="preserve">private sector and civil society in a </w:t>
      </w:r>
      <w:r w:rsidR="00D7505A" w:rsidRPr="00523771">
        <w:rPr>
          <w:lang w:val="en-GB"/>
        </w:rPr>
        <w:t xml:space="preserve">rapidly changing field and contribute to the implementation of </w:t>
      </w:r>
      <w:r w:rsidR="00D804F1" w:rsidRPr="00523771">
        <w:rPr>
          <w:lang w:val="en-GB"/>
        </w:rPr>
        <w:t xml:space="preserve"> </w:t>
      </w:r>
      <w:r w:rsidR="00D7505A" w:rsidRPr="00523771">
        <w:rPr>
          <w:lang w:val="en-GB"/>
        </w:rPr>
        <w:t xml:space="preserve">Aichi </w:t>
      </w:r>
      <w:r w:rsidR="00D804F1" w:rsidRPr="00624D71">
        <w:rPr>
          <w:lang w:val="en-GB"/>
        </w:rPr>
        <w:t>B</w:t>
      </w:r>
      <w:r w:rsidR="00D7505A" w:rsidRPr="00624D71">
        <w:rPr>
          <w:lang w:val="en-GB"/>
        </w:rPr>
        <w:t>iodiversity</w:t>
      </w:r>
      <w:r w:rsidR="00D7505A" w:rsidRPr="00523771">
        <w:rPr>
          <w:lang w:val="en-GB"/>
        </w:rPr>
        <w:t xml:space="preserve"> </w:t>
      </w:r>
      <w:r w:rsidR="00D804F1" w:rsidRPr="00523771">
        <w:rPr>
          <w:lang w:val="en-GB"/>
        </w:rPr>
        <w:t>T</w:t>
      </w:r>
      <w:r w:rsidR="00D7505A" w:rsidRPr="00523771">
        <w:rPr>
          <w:lang w:val="en-GB"/>
        </w:rPr>
        <w:t>arget 14</w:t>
      </w:r>
      <w:r>
        <w:rPr>
          <w:lang w:val="en-GB"/>
        </w:rPr>
        <w:t xml:space="preserve"> of the </w:t>
      </w:r>
      <w:r w:rsidRPr="008D0250">
        <w:rPr>
          <w:lang w:val="en-GB"/>
        </w:rPr>
        <w:t>Convention on Biological Diversity</w:t>
      </w:r>
      <w:r w:rsidR="00D7505A" w:rsidRPr="00523771">
        <w:rPr>
          <w:lang w:val="en-GB"/>
        </w:rPr>
        <w:t xml:space="preserve">; demonstrate and </w:t>
      </w:r>
      <w:r w:rsidR="00D804F1" w:rsidRPr="00523771">
        <w:rPr>
          <w:lang w:val="en-GB"/>
        </w:rPr>
        <w:t>allow for the continued</w:t>
      </w:r>
      <w:r w:rsidR="00D7505A" w:rsidRPr="00523771">
        <w:rPr>
          <w:lang w:val="en-GB"/>
        </w:rPr>
        <w:t xml:space="preserve"> review </w:t>
      </w:r>
      <w:r w:rsidR="00D804F1" w:rsidRPr="00523771">
        <w:rPr>
          <w:lang w:val="en-GB"/>
        </w:rPr>
        <w:t xml:space="preserve">of </w:t>
      </w:r>
      <w:r w:rsidR="00D7505A" w:rsidRPr="00523771">
        <w:rPr>
          <w:lang w:val="en-GB"/>
        </w:rPr>
        <w:t>how an essential and</w:t>
      </w:r>
      <w:r w:rsidR="00D7505A" w:rsidRPr="00B172F7">
        <w:rPr>
          <w:lang w:val="en-GB"/>
        </w:rPr>
        <w:t xml:space="preserve"> </w:t>
      </w:r>
      <w:r w:rsidR="00D804F1">
        <w:rPr>
          <w:lang w:val="en-GB"/>
        </w:rPr>
        <w:t>vulnerable</w:t>
      </w:r>
      <w:r w:rsidR="00D7505A" w:rsidRPr="00B172F7">
        <w:rPr>
          <w:lang w:val="en-GB"/>
        </w:rPr>
        <w:t xml:space="preserve"> ecosystem service contributes to the post</w:t>
      </w:r>
      <w:r w:rsidR="00D804F1">
        <w:rPr>
          <w:lang w:val="en-GB"/>
        </w:rPr>
        <w:t>-</w:t>
      </w:r>
      <w:r w:rsidR="00D7505A" w:rsidRPr="00B172F7">
        <w:rPr>
          <w:lang w:val="en-GB"/>
        </w:rPr>
        <w:t xml:space="preserve">2015 development agenda; and represent an early deliverable </w:t>
      </w:r>
      <w:r w:rsidR="00D804F1">
        <w:rPr>
          <w:lang w:val="en-GB"/>
        </w:rPr>
        <w:t xml:space="preserve">of the Platform that </w:t>
      </w:r>
      <w:r w:rsidR="00D7505A" w:rsidRPr="00B172F7">
        <w:rPr>
          <w:lang w:val="en-GB"/>
        </w:rPr>
        <w:t xml:space="preserve">highlights how </w:t>
      </w:r>
      <w:r w:rsidR="00D804F1">
        <w:rPr>
          <w:lang w:val="en-GB"/>
        </w:rPr>
        <w:t>the Platform</w:t>
      </w:r>
      <w:r w:rsidR="00D804F1" w:rsidRPr="00B172F7">
        <w:rPr>
          <w:lang w:val="en-GB"/>
        </w:rPr>
        <w:t xml:space="preserve"> </w:t>
      </w:r>
      <w:r w:rsidR="00D7505A" w:rsidRPr="00B172F7">
        <w:rPr>
          <w:lang w:val="en-GB"/>
        </w:rPr>
        <w:t>can</w:t>
      </w:r>
      <w:r w:rsidR="00444A7B">
        <w:rPr>
          <w:lang w:val="en-GB"/>
        </w:rPr>
        <w:t xml:space="preserve"> contribute to efforts to protect biodiversity and promote sustainable development.</w:t>
      </w:r>
    </w:p>
    <w:p w:rsidR="00D858B9" w:rsidRPr="00523771" w:rsidRDefault="00D858B9" w:rsidP="00523771">
      <w:pPr>
        <w:pStyle w:val="CH2"/>
      </w:pPr>
      <w:r w:rsidRPr="00624D71">
        <w:rPr>
          <w:sz w:val="28"/>
          <w:szCs w:val="28"/>
        </w:rPr>
        <w:tab/>
      </w:r>
      <w:r w:rsidRPr="00523771">
        <w:t>D.</w:t>
      </w:r>
      <w:r w:rsidRPr="00523771">
        <w:tab/>
      </w:r>
      <w:r w:rsidR="00D7505A" w:rsidRPr="00624D71">
        <w:rPr>
          <w:lang w:val="en-GB"/>
        </w:rPr>
        <w:t>Assumptions</w:t>
      </w:r>
    </w:p>
    <w:p w:rsidR="00D7505A" w:rsidRPr="00B172F7"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B172F7">
        <w:rPr>
          <w:lang w:val="en-GB"/>
        </w:rPr>
        <w:t xml:space="preserve">The </w:t>
      </w:r>
      <w:r w:rsidR="00A667F8">
        <w:rPr>
          <w:lang w:val="en-GB"/>
        </w:rPr>
        <w:t xml:space="preserve">proposed </w:t>
      </w:r>
      <w:r w:rsidRPr="00B172F7">
        <w:rPr>
          <w:lang w:val="en-GB"/>
        </w:rPr>
        <w:t xml:space="preserve">assessment </w:t>
      </w:r>
      <w:r w:rsidRPr="00624D71">
        <w:rPr>
          <w:lang w:val="en-GB"/>
        </w:rPr>
        <w:t>will</w:t>
      </w:r>
      <w:r w:rsidRPr="00523771">
        <w:rPr>
          <w:lang w:val="en-GB"/>
        </w:rPr>
        <w:t xml:space="preserve"> b</w:t>
      </w:r>
      <w:r w:rsidRPr="00B172F7">
        <w:rPr>
          <w:lang w:val="en-GB"/>
        </w:rPr>
        <w:t>e based on existing scientific literature and draw on the work of existing institutions such as</w:t>
      </w:r>
      <w:r w:rsidR="00A667F8">
        <w:rPr>
          <w:lang w:val="en-GB"/>
        </w:rPr>
        <w:t xml:space="preserve"> the</w:t>
      </w:r>
      <w:r w:rsidRPr="00B172F7">
        <w:rPr>
          <w:lang w:val="en-GB"/>
        </w:rPr>
        <w:t xml:space="preserve"> </w:t>
      </w:r>
      <w:r w:rsidR="00A667F8">
        <w:rPr>
          <w:lang w:val="en-GB"/>
        </w:rPr>
        <w:t xml:space="preserve">Food and Agriculture Organization of the United Nations </w:t>
      </w:r>
      <w:r w:rsidR="00E04D04">
        <w:rPr>
          <w:lang w:val="en-GB"/>
        </w:rPr>
        <w:t>(FAO)</w:t>
      </w:r>
      <w:r w:rsidR="00A667F8">
        <w:rPr>
          <w:lang w:val="en-GB"/>
        </w:rPr>
        <w:t>,</w:t>
      </w:r>
      <w:r w:rsidRPr="00B172F7">
        <w:rPr>
          <w:lang w:val="en-GB"/>
        </w:rPr>
        <w:t xml:space="preserve"> through its work on global action on pollination services for sustainable agriculture</w:t>
      </w:r>
      <w:r w:rsidR="00A667F8">
        <w:rPr>
          <w:lang w:val="en-GB"/>
        </w:rPr>
        <w:t>,</w:t>
      </w:r>
      <w:r w:rsidRPr="00B172F7">
        <w:rPr>
          <w:vertAlign w:val="superscript"/>
          <w:lang w:val="en-GB"/>
        </w:rPr>
        <w:footnoteReference w:id="3"/>
      </w:r>
      <w:r w:rsidRPr="00B172F7">
        <w:rPr>
          <w:rFonts w:eastAsia="SimSun"/>
          <w:lang w:val="en-GB" w:eastAsia="zh-CN"/>
        </w:rPr>
        <w:t xml:space="preserve"> </w:t>
      </w:r>
      <w:r w:rsidR="00A667F8">
        <w:rPr>
          <w:rFonts w:eastAsia="SimSun"/>
          <w:lang w:val="en-GB" w:eastAsia="zh-CN"/>
        </w:rPr>
        <w:t>the Global Biodiversity Information Facility</w:t>
      </w:r>
      <w:r w:rsidR="00A667F8">
        <w:rPr>
          <w:lang w:val="en-GB"/>
        </w:rPr>
        <w:t>,</w:t>
      </w:r>
      <w:r w:rsidRPr="00B172F7">
        <w:rPr>
          <w:vertAlign w:val="superscript"/>
          <w:lang w:val="en-GB"/>
        </w:rPr>
        <w:footnoteReference w:id="4"/>
      </w:r>
      <w:r w:rsidRPr="00B172F7">
        <w:rPr>
          <w:lang w:val="en-GB"/>
        </w:rPr>
        <w:t xml:space="preserve"> </w:t>
      </w:r>
      <w:r w:rsidR="00D542C2">
        <w:rPr>
          <w:lang w:val="en-GB"/>
        </w:rPr>
        <w:t xml:space="preserve">the </w:t>
      </w:r>
      <w:r w:rsidRPr="00B172F7">
        <w:rPr>
          <w:lang w:val="en-GB"/>
        </w:rPr>
        <w:t>ALARM</w:t>
      </w:r>
      <w:r w:rsidR="00D542C2">
        <w:rPr>
          <w:lang w:val="en-GB"/>
        </w:rPr>
        <w:t xml:space="preserve"> (“assessing large-scale risks to biodiversity with tested methods”) project of the Centre for Agri-Environmental Research</w:t>
      </w:r>
      <w:r w:rsidR="00A667F8">
        <w:rPr>
          <w:lang w:val="en-GB"/>
        </w:rPr>
        <w:t>,</w:t>
      </w:r>
      <w:r w:rsidRPr="00B172F7">
        <w:rPr>
          <w:rStyle w:val="FootnoteReference"/>
          <w:szCs w:val="20"/>
          <w:lang w:val="en-GB"/>
        </w:rPr>
        <w:footnoteReference w:id="5"/>
      </w:r>
      <w:r w:rsidRPr="00B172F7">
        <w:rPr>
          <w:lang w:val="en-GB"/>
        </w:rPr>
        <w:t xml:space="preserve"> </w:t>
      </w:r>
      <w:r w:rsidR="00D542C2">
        <w:rPr>
          <w:lang w:val="en-GB"/>
        </w:rPr>
        <w:t>the “Status and Trends of European Pollinators” project</w:t>
      </w:r>
      <w:r w:rsidRPr="00B172F7">
        <w:rPr>
          <w:rStyle w:val="FootnoteReference"/>
          <w:szCs w:val="20"/>
          <w:lang w:val="en-GB"/>
        </w:rPr>
        <w:footnoteReference w:id="6"/>
      </w:r>
      <w:r w:rsidRPr="00B172F7">
        <w:rPr>
          <w:lang w:val="en-GB"/>
        </w:rPr>
        <w:t xml:space="preserve"> </w:t>
      </w:r>
      <w:r w:rsidR="00D542C2">
        <w:rPr>
          <w:lang w:val="en-GB"/>
        </w:rPr>
        <w:t xml:space="preserve">and the work of the </w:t>
      </w:r>
      <w:r w:rsidR="00D542C2" w:rsidRPr="00B172F7">
        <w:rPr>
          <w:lang w:val="en-GB"/>
        </w:rPr>
        <w:t>Natural Capital Project</w:t>
      </w:r>
      <w:r w:rsidR="00D542C2">
        <w:rPr>
          <w:lang w:val="en-GB"/>
        </w:rPr>
        <w:t>,</w:t>
      </w:r>
      <w:r w:rsidR="00D542C2" w:rsidRPr="00B172F7">
        <w:rPr>
          <w:rStyle w:val="FootnoteReference"/>
          <w:szCs w:val="20"/>
          <w:lang w:val="en-GB"/>
        </w:rPr>
        <w:footnoteReference w:id="7"/>
      </w:r>
      <w:r w:rsidR="00D542C2">
        <w:rPr>
          <w:lang w:val="en-GB"/>
        </w:rPr>
        <w:t xml:space="preserve"> including its </w:t>
      </w:r>
      <w:r w:rsidRPr="00B172F7">
        <w:rPr>
          <w:lang w:val="en-GB"/>
        </w:rPr>
        <w:t>InVEST</w:t>
      </w:r>
      <w:r w:rsidRPr="00B172F7">
        <w:rPr>
          <w:b/>
          <w:bCs/>
          <w:lang w:val="en-GB"/>
        </w:rPr>
        <w:t xml:space="preserve"> </w:t>
      </w:r>
      <w:r w:rsidRPr="00B172F7">
        <w:rPr>
          <w:lang w:val="en-GB"/>
        </w:rPr>
        <w:t>(</w:t>
      </w:r>
      <w:r w:rsidR="00D542C2">
        <w:rPr>
          <w:lang w:val="en-GB"/>
        </w:rPr>
        <w:t>“</w:t>
      </w:r>
      <w:r w:rsidRPr="00B172F7">
        <w:rPr>
          <w:lang w:val="en-GB"/>
        </w:rPr>
        <w:t>Integrated Valuation of Ecosystem Services and Tradeoffs</w:t>
      </w:r>
      <w:r w:rsidR="00D542C2">
        <w:rPr>
          <w:lang w:val="en-GB"/>
        </w:rPr>
        <w:t>”</w:t>
      </w:r>
      <w:r w:rsidRPr="00B172F7">
        <w:rPr>
          <w:lang w:val="en-GB"/>
        </w:rPr>
        <w:t xml:space="preserve">) </w:t>
      </w:r>
      <w:r w:rsidR="00D542C2">
        <w:rPr>
          <w:lang w:val="en-GB"/>
        </w:rPr>
        <w:t>modelling software for mapping and valuing ecosystem services.</w:t>
      </w:r>
    </w:p>
    <w:p w:rsidR="00D7505A" w:rsidRPr="003C5211" w:rsidRDefault="00B172F7" w:rsidP="00775FC8">
      <w:pPr>
        <w:pStyle w:val="CH1"/>
      </w:pPr>
      <w:r>
        <w:tab/>
      </w:r>
      <w:r w:rsidR="002213CF">
        <w:t>II</w:t>
      </w:r>
      <w:r w:rsidR="00B2546B">
        <w:t>I</w:t>
      </w:r>
      <w:r w:rsidR="002213CF">
        <w:t>.</w:t>
      </w:r>
      <w:r>
        <w:tab/>
      </w:r>
      <w:r w:rsidR="00F05F07" w:rsidRPr="00624D71">
        <w:rPr>
          <w:lang w:val="en-GB"/>
        </w:rPr>
        <w:t>C</w:t>
      </w:r>
      <w:r w:rsidR="00D7505A" w:rsidRPr="00624D71">
        <w:rPr>
          <w:lang w:val="en-GB"/>
        </w:rPr>
        <w:t xml:space="preserve">hapter </w:t>
      </w:r>
      <w:r w:rsidR="00FC2738" w:rsidRPr="00624D71">
        <w:rPr>
          <w:lang w:val="en-GB"/>
        </w:rPr>
        <w:t>o</w:t>
      </w:r>
      <w:r w:rsidR="00D7505A" w:rsidRPr="00624D71">
        <w:rPr>
          <w:lang w:val="en-GB"/>
        </w:rPr>
        <w:t>utline</w:t>
      </w:r>
    </w:p>
    <w:p w:rsidR="00FC2738" w:rsidRDefault="00FC2738"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Pr>
          <w:lang w:val="en-GB"/>
        </w:rPr>
        <w:t>It is contemplated that the results of the fast-track</w:t>
      </w:r>
      <w:r w:rsidR="003158D2">
        <w:rPr>
          <w:lang w:val="en-GB"/>
        </w:rPr>
        <w:t xml:space="preserve"> thematic</w:t>
      </w:r>
      <w:r>
        <w:rPr>
          <w:lang w:val="en-GB"/>
        </w:rPr>
        <w:t xml:space="preserve"> assessment will be presented in a </w:t>
      </w:r>
      <w:r w:rsidR="003158D2">
        <w:rPr>
          <w:lang w:val="en-GB"/>
        </w:rPr>
        <w:t xml:space="preserve">five-chapter </w:t>
      </w:r>
      <w:r>
        <w:rPr>
          <w:lang w:val="en-GB"/>
        </w:rPr>
        <w:t>report</w:t>
      </w:r>
      <w:r w:rsidR="003158D2">
        <w:rPr>
          <w:lang w:val="en-GB"/>
        </w:rPr>
        <w:t>, as set out below:</w:t>
      </w:r>
    </w:p>
    <w:p w:rsidR="00D7505A" w:rsidRPr="00B172F7"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00055E">
        <w:rPr>
          <w:lang w:val="en-GB"/>
        </w:rPr>
        <w:t>Chapter 1</w:t>
      </w:r>
      <w:r w:rsidR="00FC2738" w:rsidRPr="0000055E">
        <w:rPr>
          <w:lang w:val="en-GB"/>
        </w:rPr>
        <w:t xml:space="preserve"> </w:t>
      </w:r>
      <w:r w:rsidRPr="00B172F7">
        <w:rPr>
          <w:lang w:val="en-GB"/>
        </w:rPr>
        <w:t xml:space="preserve">will include a brief review of the diversity of pollinators and pollination systems and </w:t>
      </w:r>
      <w:r w:rsidR="00FC2738">
        <w:rPr>
          <w:lang w:val="en-GB"/>
        </w:rPr>
        <w:t>their</w:t>
      </w:r>
      <w:r w:rsidR="00FC2738" w:rsidRPr="00B172F7">
        <w:rPr>
          <w:lang w:val="en-GB"/>
        </w:rPr>
        <w:t xml:space="preserve"> </w:t>
      </w:r>
      <w:r w:rsidRPr="00B172F7">
        <w:rPr>
          <w:lang w:val="en-GB"/>
        </w:rPr>
        <w:t xml:space="preserve">role in supporting food production specifically and human well-being and biodiversity maintenance more generally. It will assess </w:t>
      </w:r>
      <w:r w:rsidR="00FC2738">
        <w:rPr>
          <w:lang w:val="en-GB"/>
        </w:rPr>
        <w:t xml:space="preserve">the </w:t>
      </w:r>
      <w:r w:rsidRPr="00B172F7">
        <w:rPr>
          <w:lang w:val="en-GB"/>
        </w:rPr>
        <w:t xml:space="preserve">status </w:t>
      </w:r>
      <w:r w:rsidR="00FC2738">
        <w:rPr>
          <w:lang w:val="en-GB"/>
        </w:rPr>
        <w:t xml:space="preserve">of </w:t>
      </w:r>
      <w:r w:rsidRPr="00B172F7">
        <w:rPr>
          <w:lang w:val="en-GB"/>
        </w:rPr>
        <w:t xml:space="preserve">and trends </w:t>
      </w:r>
      <w:r w:rsidR="00FC2738">
        <w:rPr>
          <w:lang w:val="en-GB"/>
        </w:rPr>
        <w:t>in</w:t>
      </w:r>
      <w:r w:rsidRPr="00B172F7">
        <w:rPr>
          <w:lang w:val="en-GB"/>
        </w:rPr>
        <w:t xml:space="preserve"> the biological elements and functions </w:t>
      </w:r>
      <w:r w:rsidR="00FC2738">
        <w:rPr>
          <w:lang w:val="en-GB"/>
        </w:rPr>
        <w:t>that</w:t>
      </w:r>
      <w:r w:rsidRPr="00B172F7">
        <w:rPr>
          <w:lang w:val="en-GB"/>
        </w:rPr>
        <w:t xml:space="preserve"> interact to provide pollination services. The assessment will include the role of native and exotic pollinators, including insects, </w:t>
      </w:r>
      <w:r w:rsidRPr="00523771">
        <w:rPr>
          <w:lang w:val="en-GB"/>
        </w:rPr>
        <w:t>bats</w:t>
      </w:r>
      <w:r w:rsidR="00EB7AAE" w:rsidRPr="00624D71">
        <w:rPr>
          <w:lang w:val="en-GB"/>
        </w:rPr>
        <w:t xml:space="preserve"> and other mammals</w:t>
      </w:r>
      <w:r w:rsidRPr="00523771">
        <w:rPr>
          <w:lang w:val="en-GB"/>
        </w:rPr>
        <w:t>, birds</w:t>
      </w:r>
      <w:r w:rsidR="00EB7AAE" w:rsidRPr="00523771">
        <w:rPr>
          <w:lang w:val="en-GB"/>
        </w:rPr>
        <w:t xml:space="preserve"> and</w:t>
      </w:r>
      <w:r w:rsidRPr="00523771">
        <w:rPr>
          <w:lang w:val="en-GB"/>
        </w:rPr>
        <w:t xml:space="preserve"> reptiles. It will moreover take into account the role of multiple factors across spatial scales, such as plant community functional composition, pollinator diversity and</w:t>
      </w:r>
      <w:r w:rsidRPr="00B172F7">
        <w:rPr>
          <w:lang w:val="en-GB"/>
        </w:rPr>
        <w:t xml:space="preserve"> specificity, climatic seasonality and fluctuations, landscape structure linked to processes of dispersal</w:t>
      </w:r>
      <w:r w:rsidR="00FC2738">
        <w:rPr>
          <w:lang w:val="en-GB"/>
        </w:rPr>
        <w:t>,</w:t>
      </w:r>
      <w:r w:rsidRPr="00B172F7">
        <w:rPr>
          <w:lang w:val="en-GB"/>
        </w:rPr>
        <w:t xml:space="preserve"> and mobility. </w:t>
      </w:r>
    </w:p>
    <w:p w:rsidR="00D7505A" w:rsidRPr="00B172F7"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B172F7">
        <w:rPr>
          <w:lang w:val="en-GB"/>
        </w:rPr>
        <w:t>Chapter 2 will assess the drivers of change of pollinators and pollination services, especially those of importance for food production. It will include an assessment of indirect drivers of change</w:t>
      </w:r>
      <w:r w:rsidR="00813617">
        <w:rPr>
          <w:lang w:val="en-GB"/>
        </w:rPr>
        <w:t>,</w:t>
      </w:r>
      <w:r w:rsidRPr="00B172F7">
        <w:rPr>
          <w:lang w:val="en-GB"/>
        </w:rPr>
        <w:t xml:space="preserve"> including trade and policies </w:t>
      </w:r>
      <w:r w:rsidR="00813617">
        <w:rPr>
          <w:lang w:val="en-GB"/>
        </w:rPr>
        <w:t xml:space="preserve">in areas </w:t>
      </w:r>
      <w:r w:rsidRPr="00B172F7">
        <w:rPr>
          <w:lang w:val="en-GB"/>
        </w:rPr>
        <w:t xml:space="preserve">such as agriculture and spatial planning. It will also assess direct drivers of change in pollination, including the risk posed by climate change, invasive species and diseases, land-use changes, changing agricultural practices and </w:t>
      </w:r>
      <w:r w:rsidR="00813617">
        <w:rPr>
          <w:lang w:val="en-GB"/>
        </w:rPr>
        <w:t xml:space="preserve">the </w:t>
      </w:r>
      <w:r w:rsidRPr="00B172F7">
        <w:rPr>
          <w:lang w:val="en-GB"/>
        </w:rPr>
        <w:t xml:space="preserve">use of chemicals, including fungicides and insecticides such as neonicotinoids. </w:t>
      </w:r>
    </w:p>
    <w:p w:rsidR="00D7505A" w:rsidRPr="00B172F7"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2E0AD1">
        <w:rPr>
          <w:lang w:val="en-GB"/>
        </w:rPr>
        <w:t>Chapter 3 will assess the state</w:t>
      </w:r>
      <w:r w:rsidRPr="00B172F7">
        <w:rPr>
          <w:lang w:val="en-GB"/>
        </w:rPr>
        <w:t xml:space="preserve"> </w:t>
      </w:r>
      <w:r w:rsidR="00967C74">
        <w:rPr>
          <w:lang w:val="en-GB"/>
        </w:rPr>
        <w:t xml:space="preserve">of </w:t>
      </w:r>
      <w:r w:rsidRPr="00B172F7">
        <w:rPr>
          <w:lang w:val="en-GB"/>
        </w:rPr>
        <w:t xml:space="preserve">and trends </w:t>
      </w:r>
      <w:r w:rsidR="00967C74">
        <w:rPr>
          <w:lang w:val="en-GB"/>
        </w:rPr>
        <w:t>in</w:t>
      </w:r>
      <w:r w:rsidRPr="00B172F7">
        <w:rPr>
          <w:lang w:val="en-GB"/>
        </w:rPr>
        <w:t xml:space="preserve"> pollination as a keystone process in both human</w:t>
      </w:r>
      <w:r w:rsidR="002E0AD1">
        <w:rPr>
          <w:lang w:val="en-GB"/>
        </w:rPr>
        <w:noBreakHyphen/>
      </w:r>
      <w:r w:rsidRPr="00B172F7">
        <w:rPr>
          <w:lang w:val="en-GB"/>
        </w:rPr>
        <w:t xml:space="preserve">managed and natural terrestrial ecosystems. It will focus on the contribution of pollination </w:t>
      </w:r>
      <w:r w:rsidR="00967C74">
        <w:rPr>
          <w:lang w:val="en-GB"/>
        </w:rPr>
        <w:t>by</w:t>
      </w:r>
      <w:r w:rsidR="00967C74" w:rsidRPr="00B172F7">
        <w:rPr>
          <w:lang w:val="en-GB"/>
        </w:rPr>
        <w:t xml:space="preserve"> </w:t>
      </w:r>
      <w:r w:rsidR="00967C74">
        <w:rPr>
          <w:lang w:val="en-GB"/>
        </w:rPr>
        <w:t>various</w:t>
      </w:r>
      <w:r w:rsidR="00967C74" w:rsidRPr="00B172F7">
        <w:rPr>
          <w:lang w:val="en-GB"/>
        </w:rPr>
        <w:t xml:space="preserve"> </w:t>
      </w:r>
      <w:r w:rsidRPr="00B172F7">
        <w:rPr>
          <w:lang w:val="en-GB"/>
        </w:rPr>
        <w:t xml:space="preserve">pollinator populations to human well-being, based on the role of pollination in maintaining agricultural and natural biological diversity and in safeguarding communities </w:t>
      </w:r>
      <w:r w:rsidRPr="00546FC7">
        <w:rPr>
          <w:lang w:val="en-GB"/>
        </w:rPr>
        <w:t>that depend on the use of natural resources, including for medicinal use. Emphasis will be placed on the ess</w:t>
      </w:r>
      <w:r w:rsidRPr="00AF2776">
        <w:rPr>
          <w:lang w:val="en-GB"/>
        </w:rPr>
        <w:t xml:space="preserve">ential role of pollination in contributing to </w:t>
      </w:r>
      <w:r w:rsidR="00967C74" w:rsidRPr="00AF2776">
        <w:rPr>
          <w:lang w:val="en-GB"/>
        </w:rPr>
        <w:t xml:space="preserve">food security, including with regard to </w:t>
      </w:r>
      <w:r w:rsidR="00967C74" w:rsidRPr="00444A7B">
        <w:rPr>
          <w:lang w:val="en-GB"/>
        </w:rPr>
        <w:t>the</w:t>
      </w:r>
      <w:r w:rsidRPr="00444A7B">
        <w:rPr>
          <w:lang w:val="en-GB"/>
        </w:rPr>
        <w:t xml:space="preserve"> quality, stability</w:t>
      </w:r>
      <w:r w:rsidR="00967C74" w:rsidRPr="005C1805">
        <w:rPr>
          <w:lang w:val="en-GB"/>
        </w:rPr>
        <w:t xml:space="preserve"> and</w:t>
      </w:r>
      <w:r w:rsidRPr="005F3F24">
        <w:rPr>
          <w:lang w:val="en-GB"/>
        </w:rPr>
        <w:t xml:space="preserve"> availability </w:t>
      </w:r>
      <w:r w:rsidR="00967C74" w:rsidRPr="00B36966">
        <w:rPr>
          <w:lang w:val="en-GB"/>
        </w:rPr>
        <w:t xml:space="preserve">of food as well as its role in </w:t>
      </w:r>
      <w:r w:rsidRPr="001317BC">
        <w:rPr>
          <w:lang w:val="en-GB"/>
        </w:rPr>
        <w:t>income generati</w:t>
      </w:r>
      <w:r w:rsidR="00967C74" w:rsidRPr="001317BC">
        <w:rPr>
          <w:lang w:val="en-GB"/>
        </w:rPr>
        <w:t>on</w:t>
      </w:r>
      <w:r w:rsidRPr="009D4810">
        <w:rPr>
          <w:lang w:val="en-GB"/>
        </w:rPr>
        <w:t>. The chapter will assess how pollination</w:t>
      </w:r>
      <w:r w:rsidRPr="00B172F7">
        <w:rPr>
          <w:lang w:val="en-GB"/>
        </w:rPr>
        <w:t xml:space="preserve"> deficit can be defined and what areas and agricultural systems are prone to pollination deficits and declines.</w:t>
      </w:r>
    </w:p>
    <w:p w:rsidR="00D7505A" w:rsidRPr="00B172F7"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B172F7">
        <w:rPr>
          <w:lang w:val="en-GB"/>
        </w:rPr>
        <w:lastRenderedPageBreak/>
        <w:t>Chapter 4 will assess economic methodologies for determining the value of pollination for food production and the economic impacts of declines in food</w:t>
      </w:r>
      <w:r w:rsidR="00967C74">
        <w:rPr>
          <w:lang w:val="en-GB"/>
        </w:rPr>
        <w:t>-</w:t>
      </w:r>
      <w:r w:rsidRPr="00B172F7">
        <w:rPr>
          <w:lang w:val="en-GB"/>
        </w:rPr>
        <w:t xml:space="preserve">relevant pollinator populations. It will assess </w:t>
      </w:r>
      <w:r w:rsidR="00967C74">
        <w:rPr>
          <w:lang w:val="en-GB"/>
        </w:rPr>
        <w:t>the</w:t>
      </w:r>
      <w:r w:rsidRPr="00B172F7">
        <w:rPr>
          <w:lang w:val="en-GB"/>
        </w:rPr>
        <w:t xml:space="preserve"> extent </w:t>
      </w:r>
      <w:r w:rsidR="00967C74">
        <w:rPr>
          <w:lang w:val="en-GB"/>
        </w:rPr>
        <w:t xml:space="preserve">to which </w:t>
      </w:r>
      <w:r w:rsidRPr="00B172F7">
        <w:rPr>
          <w:lang w:val="en-GB"/>
        </w:rPr>
        <w:t>the current estimates of the economic value of pollination for food production reflect the contributions of pollination to food security and development as identified in chapter 3. It will also assess methodologies and approaches for undertaking such valuations at</w:t>
      </w:r>
      <w:r w:rsidR="00D36DF5">
        <w:rPr>
          <w:lang w:val="en-GB"/>
        </w:rPr>
        <w:t xml:space="preserve"> the</w:t>
      </w:r>
      <w:r w:rsidRPr="00B172F7">
        <w:rPr>
          <w:lang w:val="en-GB"/>
        </w:rPr>
        <w:t xml:space="preserve"> national and local level</w:t>
      </w:r>
      <w:r w:rsidR="00D36DF5">
        <w:rPr>
          <w:lang w:val="en-GB"/>
        </w:rPr>
        <w:t>s</w:t>
      </w:r>
      <w:r w:rsidRPr="00B172F7">
        <w:rPr>
          <w:lang w:val="en-GB"/>
        </w:rPr>
        <w:t xml:space="preserve">. </w:t>
      </w:r>
    </w:p>
    <w:p w:rsidR="00D7505A" w:rsidRPr="00775FC8" w:rsidRDefault="00D7505A" w:rsidP="00624D71">
      <w:pPr>
        <w:pStyle w:val="Normalnumber"/>
        <w:tabs>
          <w:tab w:val="clear" w:pos="567"/>
          <w:tab w:val="clear" w:pos="1247"/>
          <w:tab w:val="clear" w:pos="1814"/>
          <w:tab w:val="clear" w:pos="2381"/>
          <w:tab w:val="clear" w:pos="2948"/>
          <w:tab w:val="clear" w:pos="3515"/>
          <w:tab w:val="clear" w:pos="4082"/>
          <w:tab w:val="num" w:pos="624"/>
        </w:tabs>
        <w:rPr>
          <w:lang w:val="en-GB"/>
        </w:rPr>
      </w:pPr>
      <w:r w:rsidRPr="00B172F7">
        <w:rPr>
          <w:lang w:val="en-GB"/>
        </w:rPr>
        <w:t xml:space="preserve">Chapter 5 will assess responses to risks associated with </w:t>
      </w:r>
      <w:r w:rsidR="00BE26E7">
        <w:rPr>
          <w:lang w:val="en-GB"/>
        </w:rPr>
        <w:t xml:space="preserve">the </w:t>
      </w:r>
      <w:r w:rsidRPr="00B172F7">
        <w:rPr>
          <w:lang w:val="en-GB"/>
        </w:rPr>
        <w:t>degradation of pollination services and opportunities to restor</w:t>
      </w:r>
      <w:r w:rsidR="00BE26E7">
        <w:rPr>
          <w:lang w:val="en-GB"/>
        </w:rPr>
        <w:t>e</w:t>
      </w:r>
      <w:r w:rsidRPr="00B172F7">
        <w:rPr>
          <w:lang w:val="en-GB"/>
        </w:rPr>
        <w:t xml:space="preserve"> and strengthen th</w:t>
      </w:r>
      <w:r w:rsidR="00BE26E7">
        <w:rPr>
          <w:lang w:val="en-GB"/>
        </w:rPr>
        <w:t>ose services</w:t>
      </w:r>
      <w:r w:rsidRPr="00B172F7">
        <w:rPr>
          <w:lang w:val="en-GB"/>
        </w:rPr>
        <w:t>. Experience</w:t>
      </w:r>
      <w:r w:rsidR="00E04D04">
        <w:rPr>
          <w:lang w:val="en-GB"/>
        </w:rPr>
        <w:t xml:space="preserve"> in</w:t>
      </w:r>
      <w:r w:rsidRPr="00B172F7">
        <w:rPr>
          <w:lang w:val="en-GB"/>
        </w:rPr>
        <w:t xml:space="preserve"> the use of tools and methodologies for mapping, modelling and analysi</w:t>
      </w:r>
      <w:r w:rsidR="00E04D04">
        <w:rPr>
          <w:lang w:val="en-GB"/>
        </w:rPr>
        <w:t>ng</w:t>
      </w:r>
      <w:r w:rsidRPr="00B172F7">
        <w:rPr>
          <w:lang w:val="en-GB"/>
        </w:rPr>
        <w:t xml:space="preserve"> options for action will be assessed based on existing work </w:t>
      </w:r>
      <w:r w:rsidR="00E04D04">
        <w:rPr>
          <w:lang w:val="en-GB"/>
        </w:rPr>
        <w:t xml:space="preserve">by actors </w:t>
      </w:r>
      <w:r w:rsidR="002D7DBC">
        <w:rPr>
          <w:lang w:val="en-GB"/>
        </w:rPr>
        <w:t xml:space="preserve">such </w:t>
      </w:r>
      <w:r w:rsidRPr="00B172F7">
        <w:rPr>
          <w:lang w:val="en-GB"/>
        </w:rPr>
        <w:t xml:space="preserve">as FAO, including by assessing how ecological uncertainties can be managed and research and monitoring needs met. The chapter will furthermore assess how </w:t>
      </w:r>
      <w:r w:rsidR="002D7DBC">
        <w:rPr>
          <w:lang w:val="en-GB"/>
        </w:rPr>
        <w:t>an</w:t>
      </w:r>
      <w:r w:rsidR="002D7DBC" w:rsidRPr="00B172F7">
        <w:rPr>
          <w:lang w:val="en-GB"/>
        </w:rPr>
        <w:t xml:space="preserve"> </w:t>
      </w:r>
      <w:r w:rsidRPr="00B172F7">
        <w:rPr>
          <w:lang w:val="en-GB"/>
        </w:rPr>
        <w:t>understanding of pollination declines and deficits can help advance practices and policies</w:t>
      </w:r>
      <w:r w:rsidR="002D7DBC">
        <w:rPr>
          <w:lang w:val="en-GB"/>
        </w:rPr>
        <w:t>,</w:t>
      </w:r>
      <w:r w:rsidRPr="00B172F7">
        <w:rPr>
          <w:lang w:val="en-GB"/>
        </w:rPr>
        <w:t xml:space="preserve"> particularly for land-use management, horticulture and agriculture, including through innovative approaches such as ecologically</w:t>
      </w:r>
      <w:r w:rsidR="00F44E19">
        <w:rPr>
          <w:lang w:val="en-GB"/>
        </w:rPr>
        <w:t xml:space="preserve"> </w:t>
      </w:r>
      <w:r w:rsidRPr="00B172F7">
        <w:rPr>
          <w:lang w:val="en-GB"/>
        </w:rPr>
        <w:t>intensified agriculture. The assessment of response options will include considerations of policy trade-offs.</w:t>
      </w:r>
      <w:r w:rsidRPr="00775FC8">
        <w:rPr>
          <w:lang w:val="en-GB"/>
        </w:rPr>
        <w:t xml:space="preserve"> </w:t>
      </w:r>
    </w:p>
    <w:p w:rsidR="00D7505A" w:rsidRPr="003C5211" w:rsidRDefault="00B172F7" w:rsidP="00775FC8">
      <w:pPr>
        <w:pStyle w:val="CH1"/>
      </w:pPr>
      <w:r w:rsidRPr="003C5211">
        <w:tab/>
      </w:r>
      <w:r w:rsidR="00624D71">
        <w:t>I</w:t>
      </w:r>
      <w:r w:rsidR="008E1ED1">
        <w:t>V</w:t>
      </w:r>
      <w:r w:rsidR="00D4614C">
        <w:t>.</w:t>
      </w:r>
      <w:r w:rsidR="00D7505A" w:rsidRPr="003C5211">
        <w:tab/>
      </w:r>
      <w:r w:rsidR="00D7505A" w:rsidRPr="00624D71">
        <w:rPr>
          <w:lang w:val="en-GB"/>
        </w:rPr>
        <w:t xml:space="preserve">Process and </w:t>
      </w:r>
      <w:r w:rsidR="00522D3E" w:rsidRPr="00624D71">
        <w:rPr>
          <w:lang w:val="en-GB"/>
        </w:rPr>
        <w:t>t</w:t>
      </w:r>
      <w:r w:rsidR="00D7505A" w:rsidRPr="00624D71">
        <w:rPr>
          <w:lang w:val="en-GB"/>
        </w:rPr>
        <w:t>imetable</w:t>
      </w:r>
    </w:p>
    <w:p w:rsidR="008F45EB" w:rsidRPr="00775FC8" w:rsidRDefault="002D7DBC" w:rsidP="00775FC8">
      <w:pPr>
        <w:pStyle w:val="Normalnumber"/>
        <w:rPr>
          <w:lang w:val="en-GB"/>
        </w:rPr>
      </w:pPr>
      <w:r w:rsidRPr="00775FC8">
        <w:rPr>
          <w:lang w:val="en-GB"/>
        </w:rPr>
        <w:t xml:space="preserve">The proposed process for undertaking the fast-track </w:t>
      </w:r>
      <w:r w:rsidR="008E1ED1">
        <w:rPr>
          <w:lang w:val="en-GB"/>
        </w:rPr>
        <w:t xml:space="preserve">thematic assessment </w:t>
      </w:r>
      <w:r w:rsidRPr="00775FC8">
        <w:rPr>
          <w:lang w:val="en-GB"/>
        </w:rPr>
        <w:t>and t</w:t>
      </w:r>
      <w:r w:rsidR="008F45EB" w:rsidRPr="00775FC8">
        <w:rPr>
          <w:lang w:val="en-GB"/>
        </w:rPr>
        <w:t>he timetable for carrying it out are outlined in the following table.</w:t>
      </w:r>
    </w:p>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2"/>
        <w:gridCol w:w="1432"/>
        <w:gridCol w:w="6364"/>
      </w:tblGrid>
      <w:tr w:rsidR="00523771" w:rsidRPr="00523771" w:rsidTr="00966BC3">
        <w:trPr>
          <w:trHeight w:val="584"/>
          <w:jc w:val="right"/>
        </w:trPr>
        <w:tc>
          <w:tcPr>
            <w:tcW w:w="2604" w:type="dxa"/>
            <w:gridSpan w:val="2"/>
            <w:shd w:val="clear" w:color="auto" w:fill="auto"/>
            <w:vAlign w:val="center"/>
          </w:tcPr>
          <w:p w:rsidR="00523771" w:rsidRPr="00624D71" w:rsidDel="002E0AD1" w:rsidRDefault="00523771" w:rsidP="00523771">
            <w:pPr>
              <w:pStyle w:val="Normal-pool"/>
              <w:spacing w:before="40" w:after="40"/>
              <w:rPr>
                <w:rFonts w:eastAsia="SimSun"/>
                <w:i/>
                <w:lang w:eastAsia="zh-CN"/>
              </w:rPr>
            </w:pPr>
            <w:r w:rsidRPr="00624D71">
              <w:rPr>
                <w:rFonts w:eastAsia="SimSun"/>
                <w:i/>
                <w:lang w:eastAsia="zh-CN"/>
              </w:rPr>
              <w:t>Time frame</w:t>
            </w:r>
          </w:p>
        </w:tc>
        <w:tc>
          <w:tcPr>
            <w:tcW w:w="6364" w:type="dxa"/>
            <w:shd w:val="clear" w:color="auto" w:fill="auto"/>
            <w:vAlign w:val="center"/>
          </w:tcPr>
          <w:p w:rsidR="00523771" w:rsidRPr="00624D71" w:rsidRDefault="00523771" w:rsidP="002E0AD1">
            <w:pPr>
              <w:pStyle w:val="Normal-pool"/>
              <w:spacing w:before="40" w:after="40"/>
              <w:rPr>
                <w:i/>
              </w:rPr>
            </w:pPr>
            <w:r w:rsidRPr="00624D71">
              <w:rPr>
                <w:i/>
              </w:rPr>
              <w:t>Actions</w:t>
            </w:r>
          </w:p>
        </w:tc>
      </w:tr>
      <w:tr w:rsidR="00562956" w:rsidRPr="00624D71" w:rsidTr="00966BC3">
        <w:trPr>
          <w:trHeight w:val="584"/>
          <w:jc w:val="right"/>
        </w:trPr>
        <w:tc>
          <w:tcPr>
            <w:tcW w:w="1172" w:type="dxa"/>
            <w:vMerge w:val="restart"/>
            <w:shd w:val="clear" w:color="auto" w:fill="auto"/>
            <w:vAlign w:val="center"/>
          </w:tcPr>
          <w:p w:rsidR="00562956" w:rsidRDefault="00562956" w:rsidP="00775FC8">
            <w:pPr>
              <w:pStyle w:val="Normal-pool"/>
              <w:spacing w:before="40" w:after="40"/>
              <w:rPr>
                <w:rFonts w:eastAsia="SimSun"/>
                <w:lang w:eastAsia="zh-CN"/>
              </w:rPr>
            </w:pPr>
            <w:r w:rsidRPr="00624D71">
              <w:rPr>
                <w:rFonts w:eastAsia="SimSun"/>
                <w:lang w:eastAsia="zh-CN"/>
              </w:rPr>
              <w:t>2013</w:t>
            </w:r>
          </w:p>
          <w:p w:rsidR="00562956" w:rsidRPr="00624D71" w:rsidRDefault="00562956" w:rsidP="00624D71">
            <w:pPr>
              <w:pStyle w:val="Normal-pool"/>
              <w:spacing w:before="40" w:after="40"/>
              <w:rPr>
                <w:rFonts w:eastAsia="SimSun"/>
                <w:lang w:eastAsia="zh-CN"/>
              </w:rPr>
            </w:pPr>
          </w:p>
        </w:tc>
        <w:tc>
          <w:tcPr>
            <w:tcW w:w="1432" w:type="dxa"/>
            <w:shd w:val="clear" w:color="auto" w:fill="auto"/>
            <w:vAlign w:val="center"/>
          </w:tcPr>
          <w:p w:rsidR="00562956" w:rsidRPr="00624D71" w:rsidRDefault="00562956" w:rsidP="00775FC8">
            <w:pPr>
              <w:pStyle w:val="Normal-pool"/>
              <w:spacing w:before="40" w:after="40"/>
              <w:rPr>
                <w:rFonts w:eastAsia="SimSun"/>
                <w:lang w:eastAsia="zh-CN"/>
              </w:rPr>
            </w:pPr>
            <w:r>
              <w:rPr>
                <w:rFonts w:eastAsia="SimSun"/>
                <w:lang w:eastAsia="zh-CN"/>
              </w:rPr>
              <w:t>Fourth quarter</w:t>
            </w:r>
          </w:p>
        </w:tc>
        <w:tc>
          <w:tcPr>
            <w:tcW w:w="6364" w:type="dxa"/>
            <w:shd w:val="clear" w:color="auto" w:fill="auto"/>
            <w:vAlign w:val="center"/>
          </w:tcPr>
          <w:p w:rsidR="00562956" w:rsidRPr="00624D71" w:rsidRDefault="00562956" w:rsidP="00523771">
            <w:pPr>
              <w:pStyle w:val="Normal-pool"/>
              <w:spacing w:before="40" w:after="40"/>
            </w:pPr>
            <w:r w:rsidRPr="00624D71">
              <w:t>The Plenary reviews and approves the initial scop</w:t>
            </w:r>
            <w:r>
              <w:t>ing exercise</w:t>
            </w:r>
            <w:r w:rsidRPr="00624D71">
              <w:t xml:space="preserve"> prepared by the Multidisciplinary Expert Panel (</w:t>
            </w:r>
            <w:r>
              <w:t xml:space="preserve">14 </w:t>
            </w:r>
            <w:r w:rsidRPr="00624D71">
              <w:t>December, 2013)</w:t>
            </w:r>
          </w:p>
        </w:tc>
      </w:tr>
      <w:tr w:rsidR="00562956" w:rsidRPr="00624D71" w:rsidTr="00966BC3">
        <w:trPr>
          <w:trHeight w:val="584"/>
          <w:jc w:val="right"/>
        </w:trPr>
        <w:tc>
          <w:tcPr>
            <w:tcW w:w="1172" w:type="dxa"/>
            <w:vMerge/>
            <w:shd w:val="clear" w:color="auto" w:fill="auto"/>
            <w:vAlign w:val="center"/>
          </w:tcPr>
          <w:p w:rsidR="00562956" w:rsidRPr="00624D71" w:rsidRDefault="00562956" w:rsidP="003E61BB">
            <w:pPr>
              <w:pStyle w:val="Normal-pool"/>
              <w:spacing w:before="40" w:after="40"/>
              <w:rPr>
                <w:rFonts w:eastAsia="SimSun"/>
                <w:lang w:eastAsia="zh-CN"/>
              </w:rPr>
            </w:pPr>
          </w:p>
        </w:tc>
        <w:tc>
          <w:tcPr>
            <w:tcW w:w="1432" w:type="dxa"/>
            <w:shd w:val="clear" w:color="auto" w:fill="auto"/>
            <w:vAlign w:val="center"/>
          </w:tcPr>
          <w:p w:rsidR="00562956" w:rsidRPr="00624D71" w:rsidRDefault="00562956" w:rsidP="003E61BB">
            <w:pPr>
              <w:pStyle w:val="Normal-pool"/>
              <w:spacing w:before="40" w:after="40"/>
              <w:rPr>
                <w:rFonts w:eastAsia="SimSun"/>
                <w:lang w:eastAsia="zh-CN"/>
              </w:rPr>
            </w:pPr>
            <w:r>
              <w:rPr>
                <w:rFonts w:eastAsia="SimSun"/>
                <w:lang w:eastAsia="zh-CN"/>
              </w:rPr>
              <w:t>Fourth quarter</w:t>
            </w:r>
          </w:p>
        </w:tc>
        <w:tc>
          <w:tcPr>
            <w:tcW w:w="6364" w:type="dxa"/>
            <w:shd w:val="clear" w:color="auto" w:fill="auto"/>
            <w:vAlign w:val="center"/>
          </w:tcPr>
          <w:p w:rsidR="00562956" w:rsidRPr="00624D71" w:rsidRDefault="00562956" w:rsidP="00966BC3">
            <w:pPr>
              <w:pStyle w:val="Normal-pool"/>
              <w:spacing w:before="40" w:after="40"/>
            </w:pPr>
            <w:r w:rsidRPr="00624D71">
              <w:t>The Panel issues a call, through the secretariat, to Governments and other stakeholders for the nomination of experts</w:t>
            </w:r>
            <w:r w:rsidRPr="001F12C8">
              <w:t xml:space="preserve"> (report co-chairs, coordinating lead authors, lead authors and review editors) </w:t>
            </w:r>
            <w:r w:rsidRPr="00624D71">
              <w:t>to conduct the assessment</w:t>
            </w:r>
            <w:r w:rsidR="00624D71">
              <w:t>, based on the results</w:t>
            </w:r>
            <w:r w:rsidRPr="00624D71">
              <w:t xml:space="preserve"> of the scop</w:t>
            </w:r>
            <w:r w:rsidRPr="001F12C8">
              <w:t>ing</w:t>
            </w:r>
            <w:r w:rsidR="00624D71">
              <w:t xml:space="preserve"> exercise</w:t>
            </w:r>
            <w:r w:rsidRPr="00624D71">
              <w:t xml:space="preserve"> approved by the Plenary (9 December 2013–10 January 2014). </w:t>
            </w:r>
          </w:p>
        </w:tc>
      </w:tr>
      <w:tr w:rsidR="00562956" w:rsidRPr="00523771" w:rsidTr="00966BC3">
        <w:trPr>
          <w:trHeight w:val="584"/>
          <w:jc w:val="right"/>
        </w:trPr>
        <w:tc>
          <w:tcPr>
            <w:tcW w:w="1172" w:type="dxa"/>
            <w:vMerge w:val="restart"/>
            <w:shd w:val="clear" w:color="auto" w:fill="auto"/>
            <w:vAlign w:val="center"/>
          </w:tcPr>
          <w:p w:rsidR="00562956" w:rsidRPr="00624D71" w:rsidRDefault="00562956" w:rsidP="00775FC8">
            <w:pPr>
              <w:pStyle w:val="Normal-pool"/>
              <w:spacing w:before="40" w:after="40"/>
              <w:rPr>
                <w:rFonts w:eastAsia="SimSun"/>
                <w:lang w:eastAsia="zh-CN"/>
              </w:rPr>
            </w:pPr>
            <w:r>
              <w:rPr>
                <w:rFonts w:eastAsia="SimSun"/>
                <w:lang w:eastAsia="zh-CN"/>
              </w:rPr>
              <w:t>2014</w:t>
            </w:r>
          </w:p>
        </w:tc>
        <w:tc>
          <w:tcPr>
            <w:tcW w:w="1432" w:type="dxa"/>
            <w:shd w:val="clear" w:color="auto" w:fill="auto"/>
            <w:vAlign w:val="center"/>
          </w:tcPr>
          <w:p w:rsidR="00562956" w:rsidRPr="00624D71" w:rsidRDefault="00562956" w:rsidP="00775FC8">
            <w:pPr>
              <w:pStyle w:val="Normal-pool"/>
              <w:spacing w:before="40" w:after="40"/>
              <w:rPr>
                <w:rFonts w:eastAsia="SimSun"/>
                <w:lang w:eastAsia="zh-CN"/>
              </w:rPr>
            </w:pPr>
            <w:r>
              <w:rPr>
                <w:rFonts w:eastAsia="SimSun"/>
                <w:lang w:eastAsia="zh-CN"/>
              </w:rPr>
              <w:t>First quarter</w:t>
            </w:r>
          </w:p>
        </w:tc>
        <w:tc>
          <w:tcPr>
            <w:tcW w:w="6364" w:type="dxa"/>
            <w:shd w:val="clear" w:color="auto" w:fill="auto"/>
            <w:vAlign w:val="center"/>
          </w:tcPr>
          <w:p w:rsidR="00562956" w:rsidRPr="00624D71" w:rsidRDefault="00562956" w:rsidP="00523771">
            <w:pPr>
              <w:pStyle w:val="Normal-pool"/>
              <w:spacing w:before="40" w:after="40"/>
            </w:pPr>
            <w:r w:rsidRPr="00624D71">
              <w:t xml:space="preserve">The Panel, via e-mail and teleconferences, selects the co-chairs, </w:t>
            </w:r>
            <w:r>
              <w:t>coordinating lead authors</w:t>
            </w:r>
            <w:r w:rsidRPr="00624D71">
              <w:t xml:space="preserve">, </w:t>
            </w:r>
            <w:r>
              <w:t>lead authors</w:t>
            </w:r>
            <w:r w:rsidRPr="00624D71">
              <w:t xml:space="preserve"> and </w:t>
            </w:r>
            <w:r>
              <w:t>review editors</w:t>
            </w:r>
            <w:r w:rsidRPr="00624D71">
              <w:t xml:space="preserve"> using the approved selection criteria</w:t>
            </w:r>
            <w:r w:rsidR="005D6C1A">
              <w:t xml:space="preserve"> (see IPBES/2/9)</w:t>
            </w:r>
            <w:r w:rsidRPr="00624D71">
              <w:t xml:space="preserve"> (11–24 January)</w:t>
            </w:r>
          </w:p>
        </w:tc>
      </w:tr>
      <w:tr w:rsidR="00562956" w:rsidRPr="00523771" w:rsidTr="00966BC3">
        <w:trPr>
          <w:trHeight w:val="584"/>
          <w:jc w:val="right"/>
        </w:trPr>
        <w:tc>
          <w:tcPr>
            <w:tcW w:w="1172" w:type="dxa"/>
            <w:vMerge/>
            <w:shd w:val="clear" w:color="auto" w:fill="auto"/>
            <w:vAlign w:val="center"/>
          </w:tcPr>
          <w:p w:rsidR="00562956" w:rsidRPr="00624D71" w:rsidRDefault="00562956" w:rsidP="00775FC8">
            <w:pPr>
              <w:pStyle w:val="Normal-pool"/>
              <w:spacing w:before="40" w:after="40"/>
              <w:rPr>
                <w:rFonts w:eastAsia="SimSun"/>
                <w:lang w:eastAsia="zh-CN"/>
              </w:rPr>
            </w:pPr>
          </w:p>
        </w:tc>
        <w:tc>
          <w:tcPr>
            <w:tcW w:w="1432" w:type="dxa"/>
            <w:shd w:val="clear" w:color="auto" w:fill="auto"/>
            <w:vAlign w:val="center"/>
          </w:tcPr>
          <w:p w:rsidR="00562956" w:rsidRPr="00624D71" w:rsidRDefault="00562956" w:rsidP="001F12C8">
            <w:pPr>
              <w:pStyle w:val="Normal-pool"/>
              <w:spacing w:before="40" w:after="40"/>
              <w:rPr>
                <w:rFonts w:eastAsia="SimSun"/>
                <w:lang w:eastAsia="zh-CN"/>
              </w:rPr>
            </w:pPr>
            <w:r>
              <w:rPr>
                <w:rFonts w:eastAsia="SimSun"/>
                <w:lang w:eastAsia="zh-CN"/>
              </w:rPr>
              <w:t>First/second/ third quarters</w:t>
            </w:r>
          </w:p>
        </w:tc>
        <w:tc>
          <w:tcPr>
            <w:tcW w:w="6364" w:type="dxa"/>
            <w:shd w:val="clear" w:color="auto" w:fill="auto"/>
            <w:vAlign w:val="center"/>
          </w:tcPr>
          <w:p w:rsidR="00562956" w:rsidRPr="00624D71" w:rsidRDefault="00562956" w:rsidP="00523771">
            <w:pPr>
              <w:pStyle w:val="Normal-pool"/>
              <w:spacing w:before="40" w:after="40"/>
            </w:pPr>
            <w:r w:rsidRPr="00624D71">
              <w:t xml:space="preserve">The report co-chairs, </w:t>
            </w:r>
            <w:r>
              <w:t>coordinating lead authors</w:t>
            </w:r>
            <w:r w:rsidRPr="00624D71">
              <w:t xml:space="preserve"> and </w:t>
            </w:r>
            <w:r>
              <w:t xml:space="preserve">lead </w:t>
            </w:r>
            <w:r w:rsidRPr="001F12C8">
              <w:t>authors</w:t>
            </w:r>
            <w:r w:rsidRPr="00624D71">
              <w:t xml:space="preserve"> prepare </w:t>
            </w:r>
            <w:r w:rsidRPr="001F12C8">
              <w:t>an initial</w:t>
            </w:r>
            <w:r w:rsidRPr="00624D71">
              <w:t xml:space="preserve"> draft report and summary for policymakers (25</w:t>
            </w:r>
            <w:r w:rsidRPr="001F12C8">
              <w:t> </w:t>
            </w:r>
            <w:r w:rsidRPr="00624D71">
              <w:t xml:space="preserve">January–25 July). The </w:t>
            </w:r>
            <w:r w:rsidRPr="001F12C8">
              <w:t>authors</w:t>
            </w:r>
            <w:r w:rsidRPr="00624D71">
              <w:t xml:space="preserve"> meet in February to further develop the annotated outline and the sections and chapters that have been assigned to them</w:t>
            </w:r>
            <w:r w:rsidRPr="001F12C8">
              <w:t>,</w:t>
            </w:r>
            <w:r w:rsidRPr="00624D71">
              <w:t xml:space="preserve"> and again</w:t>
            </w:r>
            <w:r w:rsidRPr="001F12C8">
              <w:t xml:space="preserve"> </w:t>
            </w:r>
            <w:r w:rsidRPr="00624D71">
              <w:t>in early July to finalize the report and prepare the summary for policymakers</w:t>
            </w:r>
          </w:p>
        </w:tc>
      </w:tr>
      <w:tr w:rsidR="00562956" w:rsidRPr="00523771" w:rsidTr="00966BC3">
        <w:trPr>
          <w:trHeight w:val="584"/>
          <w:jc w:val="right"/>
        </w:trPr>
        <w:tc>
          <w:tcPr>
            <w:tcW w:w="1172" w:type="dxa"/>
            <w:vMerge/>
            <w:shd w:val="clear" w:color="auto" w:fill="auto"/>
            <w:vAlign w:val="center"/>
          </w:tcPr>
          <w:p w:rsidR="00562956" w:rsidRPr="00624D71" w:rsidRDefault="00562956" w:rsidP="00775FC8">
            <w:pPr>
              <w:pStyle w:val="Normal-pool"/>
              <w:spacing w:before="40" w:after="40"/>
              <w:rPr>
                <w:rFonts w:eastAsia="SimSun"/>
                <w:lang w:eastAsia="zh-CN"/>
              </w:rPr>
            </w:pPr>
          </w:p>
        </w:tc>
        <w:tc>
          <w:tcPr>
            <w:tcW w:w="1432" w:type="dxa"/>
            <w:shd w:val="clear" w:color="auto" w:fill="auto"/>
            <w:vAlign w:val="center"/>
          </w:tcPr>
          <w:p w:rsidR="00562956" w:rsidRDefault="00562956" w:rsidP="00775FC8">
            <w:pPr>
              <w:pStyle w:val="Normal-pool"/>
              <w:spacing w:before="40" w:after="40"/>
              <w:rPr>
                <w:rFonts w:eastAsia="SimSun"/>
                <w:lang w:eastAsia="zh-CN"/>
              </w:rPr>
            </w:pPr>
          </w:p>
          <w:p w:rsidR="00562956" w:rsidRPr="00624D71" w:rsidRDefault="00562956" w:rsidP="00775FC8">
            <w:pPr>
              <w:pStyle w:val="Normal-pool"/>
              <w:spacing w:before="40" w:after="40"/>
              <w:rPr>
                <w:rFonts w:eastAsia="SimSun"/>
                <w:lang w:eastAsia="zh-CN"/>
              </w:rPr>
            </w:pPr>
            <w:r>
              <w:rPr>
                <w:rFonts w:eastAsia="SimSun"/>
                <w:lang w:eastAsia="zh-CN"/>
              </w:rPr>
              <w:t>Third quarter</w:t>
            </w:r>
          </w:p>
        </w:tc>
        <w:tc>
          <w:tcPr>
            <w:tcW w:w="6364" w:type="dxa"/>
            <w:shd w:val="clear" w:color="auto" w:fill="auto"/>
            <w:vAlign w:val="center"/>
          </w:tcPr>
          <w:p w:rsidR="00562956" w:rsidRPr="00624D71" w:rsidRDefault="00562956" w:rsidP="00775FC8">
            <w:pPr>
              <w:pStyle w:val="Normal-pool"/>
              <w:spacing w:before="40" w:after="40"/>
            </w:pPr>
            <w:r w:rsidRPr="00624D71">
              <w:t xml:space="preserve">The draft report and </w:t>
            </w:r>
            <w:r>
              <w:t xml:space="preserve">the </w:t>
            </w:r>
            <w:r w:rsidRPr="00624D71">
              <w:t>summary for policymakers are reviewed by experts</w:t>
            </w:r>
            <w:r>
              <w:t>,</w:t>
            </w:r>
            <w:r w:rsidRPr="00624D71">
              <w:t xml:space="preserve"> and Governments and other stakeholders (26 July–12 September)</w:t>
            </w:r>
          </w:p>
        </w:tc>
      </w:tr>
      <w:tr w:rsidR="00562956" w:rsidRPr="00523771" w:rsidTr="00966BC3">
        <w:trPr>
          <w:trHeight w:val="120"/>
          <w:jc w:val="right"/>
        </w:trPr>
        <w:tc>
          <w:tcPr>
            <w:tcW w:w="1172" w:type="dxa"/>
            <w:vMerge/>
            <w:shd w:val="clear" w:color="auto" w:fill="auto"/>
            <w:vAlign w:val="center"/>
          </w:tcPr>
          <w:p w:rsidR="00562956" w:rsidRPr="00624D71" w:rsidRDefault="00562956" w:rsidP="00775FC8">
            <w:pPr>
              <w:pStyle w:val="Normal-pool"/>
              <w:spacing w:before="40" w:after="40"/>
              <w:rPr>
                <w:rFonts w:eastAsia="SimSun"/>
                <w:lang w:eastAsia="zh-CN"/>
              </w:rPr>
            </w:pPr>
          </w:p>
        </w:tc>
        <w:tc>
          <w:tcPr>
            <w:tcW w:w="1432" w:type="dxa"/>
            <w:shd w:val="clear" w:color="auto" w:fill="auto"/>
            <w:vAlign w:val="center"/>
          </w:tcPr>
          <w:p w:rsidR="00562956" w:rsidRDefault="00562956" w:rsidP="00775FC8">
            <w:pPr>
              <w:pStyle w:val="Normal-pool"/>
              <w:spacing w:before="40" w:after="40"/>
              <w:rPr>
                <w:rFonts w:eastAsia="SimSun"/>
                <w:lang w:eastAsia="zh-CN"/>
              </w:rPr>
            </w:pPr>
          </w:p>
          <w:p w:rsidR="00562956" w:rsidRPr="00624D71" w:rsidRDefault="00562956" w:rsidP="00775FC8">
            <w:pPr>
              <w:pStyle w:val="Normal-pool"/>
              <w:spacing w:before="40" w:after="40"/>
              <w:rPr>
                <w:rFonts w:eastAsia="SimSun"/>
                <w:lang w:eastAsia="zh-CN"/>
              </w:rPr>
            </w:pPr>
            <w:r>
              <w:rPr>
                <w:rFonts w:eastAsia="SimSun"/>
                <w:lang w:eastAsia="zh-CN"/>
              </w:rPr>
              <w:t>Third/fourth quarters</w:t>
            </w:r>
          </w:p>
        </w:tc>
        <w:tc>
          <w:tcPr>
            <w:tcW w:w="6364" w:type="dxa"/>
            <w:shd w:val="clear" w:color="auto" w:fill="auto"/>
            <w:vAlign w:val="center"/>
          </w:tcPr>
          <w:p w:rsidR="00562956" w:rsidRPr="00624D71" w:rsidRDefault="00562956" w:rsidP="001F12C8">
            <w:pPr>
              <w:pStyle w:val="Normal-pool"/>
              <w:spacing w:before="40" w:after="40"/>
            </w:pPr>
            <w:r w:rsidRPr="00624D71">
              <w:t xml:space="preserve">The report co-chairs, </w:t>
            </w:r>
            <w:r>
              <w:t>coordinating lead authors</w:t>
            </w:r>
            <w:r w:rsidRPr="00624D71">
              <w:t xml:space="preserve"> and </w:t>
            </w:r>
            <w:r>
              <w:t>lead authors</w:t>
            </w:r>
            <w:r w:rsidRPr="00624D71">
              <w:t xml:space="preserve"> revise the first draft report and summary for policymakers under the guidance of </w:t>
            </w:r>
            <w:r>
              <w:t>review editors</w:t>
            </w:r>
            <w:r w:rsidRPr="00624D71">
              <w:t xml:space="preserve"> and the Panel. The </w:t>
            </w:r>
            <w:r>
              <w:t>authors</w:t>
            </w:r>
            <w:r w:rsidRPr="00624D71">
              <w:t xml:space="preserve"> and </w:t>
            </w:r>
            <w:r>
              <w:t>review editors</w:t>
            </w:r>
            <w:r w:rsidRPr="00624D71">
              <w:t>, with a small number of Panel members, meet once to prepare the final draft report and summary for policymakers (13</w:t>
            </w:r>
            <w:r>
              <w:t> </w:t>
            </w:r>
            <w:r w:rsidRPr="00624D71">
              <w:t>September–7 November)</w:t>
            </w:r>
          </w:p>
        </w:tc>
      </w:tr>
      <w:tr w:rsidR="00562956" w:rsidRPr="00523771" w:rsidTr="00966BC3">
        <w:trPr>
          <w:trHeight w:val="584"/>
          <w:jc w:val="right"/>
        </w:trPr>
        <w:tc>
          <w:tcPr>
            <w:tcW w:w="1172" w:type="dxa"/>
            <w:vMerge/>
            <w:shd w:val="clear" w:color="auto" w:fill="auto"/>
            <w:vAlign w:val="center"/>
          </w:tcPr>
          <w:p w:rsidR="00562956" w:rsidRPr="00624D71" w:rsidRDefault="00562956" w:rsidP="00775FC8">
            <w:pPr>
              <w:pStyle w:val="Normal-pool"/>
              <w:spacing w:before="40" w:after="40"/>
              <w:rPr>
                <w:rFonts w:eastAsia="SimSun"/>
                <w:lang w:eastAsia="zh-CN"/>
              </w:rPr>
            </w:pPr>
          </w:p>
        </w:tc>
        <w:tc>
          <w:tcPr>
            <w:tcW w:w="1432" w:type="dxa"/>
            <w:shd w:val="clear" w:color="auto" w:fill="auto"/>
            <w:vAlign w:val="center"/>
          </w:tcPr>
          <w:p w:rsidR="00562956" w:rsidRPr="00624D71" w:rsidRDefault="00562956" w:rsidP="00775FC8">
            <w:pPr>
              <w:pStyle w:val="Normal-pool"/>
              <w:spacing w:before="40" w:after="40"/>
              <w:rPr>
                <w:rFonts w:eastAsia="SimSun"/>
                <w:lang w:eastAsia="zh-CN"/>
              </w:rPr>
            </w:pPr>
            <w:r>
              <w:rPr>
                <w:rFonts w:eastAsia="SimSun"/>
                <w:lang w:eastAsia="zh-CN"/>
              </w:rPr>
              <w:t>Fourth quarter</w:t>
            </w:r>
          </w:p>
        </w:tc>
        <w:tc>
          <w:tcPr>
            <w:tcW w:w="6364" w:type="dxa"/>
            <w:shd w:val="clear" w:color="auto" w:fill="auto"/>
            <w:vAlign w:val="center"/>
          </w:tcPr>
          <w:p w:rsidR="00562956" w:rsidRPr="00624D71" w:rsidRDefault="00562956" w:rsidP="001F12C8">
            <w:pPr>
              <w:pStyle w:val="Normal-pool"/>
              <w:spacing w:before="40" w:after="40"/>
            </w:pPr>
            <w:r w:rsidRPr="00624D71">
              <w:t>The summary for policymakers is translated</w:t>
            </w:r>
            <w:r>
              <w:t xml:space="preserve"> </w:t>
            </w:r>
            <w:r w:rsidRPr="00624D71">
              <w:t xml:space="preserve">into </w:t>
            </w:r>
            <w:r>
              <w:t xml:space="preserve">all </w:t>
            </w:r>
            <w:r w:rsidR="00624D71">
              <w:t xml:space="preserve">the </w:t>
            </w:r>
            <w:r>
              <w:t>official languages of the</w:t>
            </w:r>
            <w:r w:rsidRPr="00624D71">
              <w:t xml:space="preserve"> United Nations (8 November–5 December)</w:t>
            </w:r>
          </w:p>
        </w:tc>
      </w:tr>
      <w:tr w:rsidR="00562956" w:rsidRPr="00523771" w:rsidTr="00966BC3">
        <w:trPr>
          <w:trHeight w:val="584"/>
          <w:jc w:val="right"/>
        </w:trPr>
        <w:tc>
          <w:tcPr>
            <w:tcW w:w="1172" w:type="dxa"/>
            <w:vMerge/>
            <w:shd w:val="clear" w:color="auto" w:fill="auto"/>
            <w:vAlign w:val="center"/>
          </w:tcPr>
          <w:p w:rsidR="00562956" w:rsidRPr="00624D71" w:rsidRDefault="00562956" w:rsidP="00775FC8">
            <w:pPr>
              <w:pStyle w:val="Normal-pool"/>
              <w:spacing w:before="40" w:after="40"/>
              <w:rPr>
                <w:rFonts w:eastAsia="SimSun"/>
                <w:lang w:eastAsia="zh-CN"/>
              </w:rPr>
            </w:pPr>
          </w:p>
        </w:tc>
        <w:tc>
          <w:tcPr>
            <w:tcW w:w="1432" w:type="dxa"/>
            <w:shd w:val="clear" w:color="auto" w:fill="auto"/>
            <w:vAlign w:val="center"/>
          </w:tcPr>
          <w:p w:rsidR="00562956" w:rsidRPr="00624D71" w:rsidRDefault="00562956" w:rsidP="00775FC8">
            <w:pPr>
              <w:pStyle w:val="Normal-pool"/>
              <w:spacing w:before="40" w:after="40"/>
              <w:rPr>
                <w:rFonts w:eastAsia="SimSun"/>
                <w:lang w:eastAsia="zh-CN"/>
              </w:rPr>
            </w:pPr>
            <w:r>
              <w:rPr>
                <w:rFonts w:eastAsia="SimSun"/>
                <w:lang w:eastAsia="zh-CN"/>
              </w:rPr>
              <w:t>Fourth quarter</w:t>
            </w:r>
          </w:p>
        </w:tc>
        <w:tc>
          <w:tcPr>
            <w:tcW w:w="6364" w:type="dxa"/>
            <w:shd w:val="clear" w:color="auto" w:fill="auto"/>
            <w:vAlign w:val="center"/>
          </w:tcPr>
          <w:p w:rsidR="00562956" w:rsidRPr="00624D71" w:rsidRDefault="00562956" w:rsidP="00523771">
            <w:pPr>
              <w:pStyle w:val="Normal-pool"/>
              <w:spacing w:before="40" w:after="40"/>
            </w:pPr>
            <w:r w:rsidRPr="00624D71">
              <w:t>The final draft report and summary for policymakers are sent to Governments and other stakeholders for final review (6 December–6 February)</w:t>
            </w:r>
          </w:p>
        </w:tc>
      </w:tr>
      <w:tr w:rsidR="00947ED6" w:rsidRPr="00523771" w:rsidTr="00966BC3">
        <w:trPr>
          <w:trHeight w:val="504"/>
          <w:jc w:val="right"/>
        </w:trPr>
        <w:tc>
          <w:tcPr>
            <w:tcW w:w="1172" w:type="dxa"/>
            <w:vMerge w:val="restart"/>
            <w:shd w:val="clear" w:color="auto" w:fill="auto"/>
            <w:vAlign w:val="center"/>
          </w:tcPr>
          <w:p w:rsidR="00D7505A" w:rsidRPr="00624D71" w:rsidRDefault="00D7505A" w:rsidP="00775FC8">
            <w:pPr>
              <w:pStyle w:val="Normal-pool"/>
              <w:spacing w:before="40" w:after="40"/>
              <w:rPr>
                <w:rFonts w:eastAsia="SimSun"/>
                <w:lang w:eastAsia="zh-CN"/>
              </w:rPr>
            </w:pPr>
            <w:r w:rsidRPr="00624D71">
              <w:rPr>
                <w:rFonts w:eastAsia="SimSun"/>
                <w:lang w:eastAsia="zh-CN"/>
              </w:rPr>
              <w:t>2015</w:t>
            </w:r>
          </w:p>
        </w:tc>
        <w:tc>
          <w:tcPr>
            <w:tcW w:w="1432" w:type="dxa"/>
            <w:shd w:val="clear" w:color="auto" w:fill="auto"/>
            <w:vAlign w:val="center"/>
          </w:tcPr>
          <w:p w:rsidR="00D7505A" w:rsidRPr="00624D71" w:rsidRDefault="004C0C7B" w:rsidP="00523771">
            <w:pPr>
              <w:pStyle w:val="Normal-pool"/>
              <w:spacing w:before="40" w:after="40"/>
              <w:rPr>
                <w:rFonts w:eastAsia="SimSun"/>
                <w:lang w:eastAsia="zh-CN"/>
              </w:rPr>
            </w:pPr>
            <w:r>
              <w:rPr>
                <w:rFonts w:eastAsia="SimSun"/>
                <w:lang w:eastAsia="zh-CN"/>
              </w:rPr>
              <w:t>First quarter</w:t>
            </w:r>
          </w:p>
        </w:tc>
        <w:tc>
          <w:tcPr>
            <w:tcW w:w="6364" w:type="dxa"/>
            <w:shd w:val="clear" w:color="auto" w:fill="auto"/>
            <w:vAlign w:val="center"/>
          </w:tcPr>
          <w:p w:rsidR="00D7505A" w:rsidRPr="00624D71" w:rsidRDefault="00D7505A" w:rsidP="00775FC8">
            <w:pPr>
              <w:pStyle w:val="Normal-pool"/>
              <w:spacing w:before="40" w:after="40"/>
              <w:rPr>
                <w:b/>
              </w:rPr>
            </w:pPr>
            <w:r w:rsidRPr="00624D71">
              <w:t xml:space="preserve">Governments send written comments </w:t>
            </w:r>
            <w:r w:rsidR="00E808D0" w:rsidRPr="00624D71">
              <w:t>on the summary for policy</w:t>
            </w:r>
            <w:r w:rsidR="007C463F" w:rsidRPr="00624D71">
              <w:t xml:space="preserve">makers </w:t>
            </w:r>
            <w:r w:rsidRPr="00624D71">
              <w:t xml:space="preserve">to </w:t>
            </w:r>
            <w:r w:rsidR="007C463F" w:rsidRPr="00624D71">
              <w:t xml:space="preserve">the </w:t>
            </w:r>
            <w:r w:rsidRPr="00624D71">
              <w:t>secretariat</w:t>
            </w:r>
            <w:r w:rsidR="005F3F24" w:rsidRPr="00624D71">
              <w:t xml:space="preserve"> by</w:t>
            </w:r>
            <w:r w:rsidRPr="00624D71">
              <w:t xml:space="preserve"> </w:t>
            </w:r>
            <w:r w:rsidR="007C463F" w:rsidRPr="00624D71">
              <w:t xml:space="preserve">31 </w:t>
            </w:r>
            <w:r w:rsidRPr="00624D71">
              <w:t>January</w:t>
            </w:r>
          </w:p>
        </w:tc>
      </w:tr>
      <w:tr w:rsidR="00947ED6" w:rsidRPr="00523771" w:rsidTr="00966BC3">
        <w:trPr>
          <w:trHeight w:val="567"/>
          <w:jc w:val="right"/>
        </w:trPr>
        <w:tc>
          <w:tcPr>
            <w:tcW w:w="1172" w:type="dxa"/>
            <w:vMerge/>
            <w:shd w:val="clear" w:color="auto" w:fill="auto"/>
          </w:tcPr>
          <w:p w:rsidR="00D7505A" w:rsidRPr="00624D71" w:rsidRDefault="00D7505A" w:rsidP="00775FC8">
            <w:pPr>
              <w:pStyle w:val="Normal-pool"/>
              <w:spacing w:before="40" w:after="40"/>
              <w:rPr>
                <w:rFonts w:eastAsia="SimSun"/>
                <w:lang w:eastAsia="zh-CN"/>
              </w:rPr>
            </w:pPr>
          </w:p>
        </w:tc>
        <w:tc>
          <w:tcPr>
            <w:tcW w:w="1432" w:type="dxa"/>
            <w:shd w:val="clear" w:color="auto" w:fill="auto"/>
            <w:vAlign w:val="center"/>
          </w:tcPr>
          <w:p w:rsidR="00D7505A" w:rsidRPr="00624D71" w:rsidRDefault="004C0C7B" w:rsidP="00775FC8">
            <w:pPr>
              <w:pStyle w:val="Normal-pool"/>
              <w:spacing w:before="40" w:after="40"/>
              <w:rPr>
                <w:rFonts w:eastAsia="SimSun"/>
                <w:lang w:eastAsia="zh-CN"/>
              </w:rPr>
            </w:pPr>
            <w:r>
              <w:rPr>
                <w:rFonts w:eastAsia="SimSun"/>
                <w:lang w:eastAsia="zh-CN"/>
              </w:rPr>
              <w:t>First quarter</w:t>
            </w:r>
          </w:p>
        </w:tc>
        <w:tc>
          <w:tcPr>
            <w:tcW w:w="6364" w:type="dxa"/>
            <w:shd w:val="clear" w:color="auto" w:fill="auto"/>
            <w:vAlign w:val="center"/>
          </w:tcPr>
          <w:p w:rsidR="00D7505A" w:rsidRPr="00624D71" w:rsidRDefault="00F5798B" w:rsidP="00523771">
            <w:pPr>
              <w:pStyle w:val="Normal-pool"/>
              <w:spacing w:before="40" w:after="40"/>
            </w:pPr>
            <w:r w:rsidRPr="00624D71">
              <w:t xml:space="preserve">The </w:t>
            </w:r>
            <w:r w:rsidR="00D7505A" w:rsidRPr="00624D71">
              <w:t xml:space="preserve">Plenary reviews and accepts the report and approves the </w:t>
            </w:r>
            <w:r w:rsidR="008C618E" w:rsidRPr="00624D71">
              <w:t>summary for policy</w:t>
            </w:r>
            <w:r w:rsidRPr="00624D71">
              <w:t xml:space="preserve">makers </w:t>
            </w:r>
            <w:r w:rsidR="00D7505A" w:rsidRPr="00624D71">
              <w:t>(</w:t>
            </w:r>
            <w:r w:rsidRPr="00624D71">
              <w:t>s</w:t>
            </w:r>
            <w:r w:rsidR="00D7505A" w:rsidRPr="00624D71">
              <w:t xml:space="preserve">tarting after </w:t>
            </w:r>
            <w:r w:rsidR="00CF57ED" w:rsidRPr="00624D71">
              <w:t xml:space="preserve">8 </w:t>
            </w:r>
            <w:r w:rsidR="00D7505A" w:rsidRPr="00624D71">
              <w:t>February)</w:t>
            </w:r>
          </w:p>
        </w:tc>
      </w:tr>
    </w:tbl>
    <w:p w:rsidR="00D7505A" w:rsidRDefault="00492DE8" w:rsidP="00775FC8">
      <w:pPr>
        <w:pStyle w:val="CH1"/>
      </w:pPr>
      <w:r w:rsidRPr="003C5211">
        <w:lastRenderedPageBreak/>
        <w:tab/>
      </w:r>
      <w:r w:rsidR="00B2546B">
        <w:t>V</w:t>
      </w:r>
      <w:r w:rsidR="00522D3E">
        <w:t>.</w:t>
      </w:r>
      <w:r w:rsidR="00D7505A" w:rsidRPr="003C5211">
        <w:tab/>
      </w:r>
      <w:r w:rsidR="00D7505A" w:rsidRPr="00624D71">
        <w:rPr>
          <w:lang w:val="en-GB"/>
        </w:rPr>
        <w:t>Cost estimate</w:t>
      </w:r>
    </w:p>
    <w:p w:rsidR="00A206D5" w:rsidRDefault="00A206D5" w:rsidP="00624D71">
      <w:pPr>
        <w:pStyle w:val="Normalnumber"/>
        <w:keepNext/>
        <w:keepLines/>
        <w:tabs>
          <w:tab w:val="clear" w:pos="567"/>
          <w:tab w:val="clear" w:pos="1247"/>
          <w:tab w:val="clear" w:pos="1814"/>
          <w:tab w:val="clear" w:pos="2381"/>
          <w:tab w:val="clear" w:pos="2948"/>
          <w:tab w:val="clear" w:pos="3515"/>
          <w:tab w:val="clear" w:pos="4082"/>
          <w:tab w:val="num" w:pos="624"/>
        </w:tabs>
        <w:rPr>
          <w:lang w:val="en-GB"/>
        </w:rPr>
      </w:pPr>
      <w:r>
        <w:rPr>
          <w:lang w:val="en-GB"/>
        </w:rPr>
        <w:t>The table below shows the estimated cost of conducting the assessment and preparing the assessment report.</w:t>
      </w:r>
    </w:p>
    <w:p w:rsidR="00B2546B" w:rsidRPr="00624D71" w:rsidRDefault="00B2546B" w:rsidP="00624D71">
      <w:pPr>
        <w:pStyle w:val="Normalnumber"/>
        <w:keepNext/>
        <w:keepLines/>
        <w:numPr>
          <w:ilvl w:val="0"/>
          <w:numId w:val="0"/>
        </w:numPr>
        <w:ind w:left="1247"/>
        <w:rPr>
          <w:sz w:val="18"/>
          <w:szCs w:val="18"/>
          <w:lang w:val="en-GB"/>
        </w:rPr>
      </w:pPr>
      <w:r w:rsidRPr="00624D71">
        <w:rPr>
          <w:sz w:val="18"/>
          <w:szCs w:val="18"/>
          <w:lang w:val="en-GB"/>
        </w:rPr>
        <w:t>(United States dollars)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532"/>
        <w:gridCol w:w="3119"/>
        <w:gridCol w:w="956"/>
      </w:tblGrid>
      <w:tr w:rsidR="00947ED6" w:rsidRPr="00624D71" w:rsidTr="00775FC8">
        <w:trPr>
          <w:jc w:val="right"/>
        </w:trPr>
        <w:tc>
          <w:tcPr>
            <w:tcW w:w="627" w:type="dxa"/>
            <w:shd w:val="clear" w:color="auto" w:fill="auto"/>
          </w:tcPr>
          <w:p w:rsidR="00D7505A" w:rsidRPr="00624D71" w:rsidRDefault="00D7505A" w:rsidP="00775FC8">
            <w:pPr>
              <w:pStyle w:val="Normal-pool"/>
              <w:keepNext/>
              <w:keepLines/>
              <w:spacing w:before="40" w:after="40"/>
              <w:rPr>
                <w:rFonts w:eastAsia="SimSun"/>
                <w:i/>
                <w:lang w:eastAsia="zh-CN"/>
              </w:rPr>
            </w:pPr>
            <w:r w:rsidRPr="00624D71">
              <w:rPr>
                <w:rFonts w:eastAsia="SimSun"/>
                <w:i/>
                <w:lang w:eastAsia="zh-CN"/>
              </w:rPr>
              <w:t>Year</w:t>
            </w:r>
          </w:p>
        </w:tc>
        <w:tc>
          <w:tcPr>
            <w:tcW w:w="3532" w:type="dxa"/>
            <w:shd w:val="clear" w:color="auto" w:fill="auto"/>
          </w:tcPr>
          <w:p w:rsidR="00D7505A" w:rsidRPr="00624D71" w:rsidRDefault="00D7505A" w:rsidP="00775FC8">
            <w:pPr>
              <w:pStyle w:val="Normal-pool"/>
              <w:keepNext/>
              <w:keepLines/>
              <w:spacing w:before="40" w:after="40"/>
              <w:rPr>
                <w:rFonts w:eastAsia="SimSun"/>
                <w:i/>
                <w:lang w:eastAsia="zh-CN"/>
              </w:rPr>
            </w:pPr>
            <w:r w:rsidRPr="00624D71">
              <w:rPr>
                <w:rFonts w:eastAsia="SimSun"/>
                <w:i/>
                <w:lang w:eastAsia="zh-CN"/>
              </w:rPr>
              <w:t xml:space="preserve">Cost </w:t>
            </w:r>
            <w:r w:rsidR="00A206D5" w:rsidRPr="00624D71">
              <w:rPr>
                <w:rFonts w:eastAsia="SimSun"/>
                <w:i/>
                <w:lang w:eastAsia="zh-CN"/>
              </w:rPr>
              <w:t>i</w:t>
            </w:r>
            <w:r w:rsidRPr="00624D71">
              <w:rPr>
                <w:rFonts w:eastAsia="SimSun"/>
                <w:i/>
                <w:lang w:eastAsia="zh-CN"/>
              </w:rPr>
              <w:t>tem</w:t>
            </w:r>
          </w:p>
        </w:tc>
        <w:tc>
          <w:tcPr>
            <w:tcW w:w="3119" w:type="dxa"/>
            <w:shd w:val="clear" w:color="auto" w:fill="auto"/>
          </w:tcPr>
          <w:p w:rsidR="00D7505A" w:rsidRPr="00624D71" w:rsidRDefault="00D7505A" w:rsidP="00775FC8">
            <w:pPr>
              <w:pStyle w:val="Normal-pool"/>
              <w:keepNext/>
              <w:keepLines/>
              <w:spacing w:before="40" w:after="40"/>
              <w:rPr>
                <w:rFonts w:eastAsia="SimSun"/>
                <w:i/>
                <w:lang w:eastAsia="zh-CN"/>
              </w:rPr>
            </w:pPr>
            <w:r w:rsidRPr="00624D71">
              <w:rPr>
                <w:rFonts w:eastAsia="SimSun"/>
                <w:i/>
                <w:lang w:eastAsia="zh-CN"/>
              </w:rPr>
              <w:t>Assumptions</w:t>
            </w:r>
          </w:p>
        </w:tc>
        <w:tc>
          <w:tcPr>
            <w:tcW w:w="956" w:type="dxa"/>
            <w:shd w:val="clear" w:color="auto" w:fill="auto"/>
          </w:tcPr>
          <w:p w:rsidR="00D7505A" w:rsidRPr="00624D71" w:rsidRDefault="00D7505A" w:rsidP="00775FC8">
            <w:pPr>
              <w:pStyle w:val="Normal-pool"/>
              <w:keepNext/>
              <w:keepLines/>
              <w:jc w:val="right"/>
              <w:rPr>
                <w:rFonts w:eastAsia="SimSun"/>
                <w:i/>
                <w:lang w:eastAsia="zh-CN"/>
              </w:rPr>
            </w:pPr>
            <w:r w:rsidRPr="00624D71">
              <w:rPr>
                <w:rFonts w:eastAsia="SimSun"/>
                <w:i/>
                <w:lang w:eastAsia="zh-CN"/>
              </w:rPr>
              <w:t>Cost</w:t>
            </w:r>
          </w:p>
        </w:tc>
      </w:tr>
      <w:tr w:rsidR="00947ED6" w:rsidRPr="00624D71" w:rsidTr="00775FC8">
        <w:trPr>
          <w:jc w:val="right"/>
        </w:trPr>
        <w:tc>
          <w:tcPr>
            <w:tcW w:w="627" w:type="dxa"/>
            <w:vMerge w:val="restart"/>
            <w:shd w:val="clear" w:color="auto" w:fill="auto"/>
            <w:vAlign w:val="center"/>
          </w:tcPr>
          <w:p w:rsidR="00D7505A" w:rsidRPr="00624D71" w:rsidRDefault="00D7505A" w:rsidP="00775FC8">
            <w:pPr>
              <w:pStyle w:val="Normal-pool"/>
              <w:keepNext/>
              <w:keepLines/>
              <w:rPr>
                <w:rFonts w:eastAsia="SimSun"/>
                <w:lang w:eastAsia="zh-CN"/>
              </w:rPr>
            </w:pPr>
            <w:r w:rsidRPr="00624D71">
              <w:rPr>
                <w:rFonts w:eastAsia="SimSun"/>
                <w:lang w:eastAsia="zh-CN"/>
              </w:rPr>
              <w:t>2014</w:t>
            </w:r>
          </w:p>
        </w:tc>
        <w:tc>
          <w:tcPr>
            <w:tcW w:w="3532" w:type="dxa"/>
            <w:vMerge w:val="restart"/>
            <w:shd w:val="clear" w:color="auto" w:fill="auto"/>
            <w:vAlign w:val="center"/>
          </w:tcPr>
          <w:p w:rsidR="00D7505A" w:rsidRPr="00624D71" w:rsidRDefault="00D7505A" w:rsidP="00624D71">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20"/>
                <w:szCs w:val="20"/>
                <w:lang w:eastAsia="zh-CN"/>
              </w:rPr>
            </w:pPr>
            <w:r w:rsidRPr="00624D71">
              <w:rPr>
                <w:rFonts w:ascii="Times New Roman" w:eastAsia="SimSun" w:hAnsi="Times New Roman"/>
                <w:sz w:val="20"/>
                <w:szCs w:val="20"/>
                <w:lang w:eastAsia="zh-CN"/>
              </w:rPr>
              <w:t>First author meeting</w:t>
            </w:r>
            <w:r w:rsidR="00A206D5" w:rsidRPr="00624D71">
              <w:rPr>
                <w:rFonts w:ascii="Times New Roman" w:eastAsia="SimSun" w:hAnsi="Times New Roman"/>
                <w:sz w:val="20"/>
                <w:szCs w:val="20"/>
                <w:lang w:eastAsia="zh-CN"/>
              </w:rPr>
              <w:t xml:space="preserve"> </w:t>
            </w:r>
            <w:r w:rsidRPr="00624D71">
              <w:rPr>
                <w:rFonts w:ascii="Times New Roman" w:eastAsia="SimSun" w:hAnsi="Times New Roman"/>
                <w:sz w:val="20"/>
                <w:szCs w:val="20"/>
                <w:lang w:eastAsia="zh-CN"/>
              </w:rPr>
              <w:t xml:space="preserve">(75 </w:t>
            </w:r>
            <w:r w:rsidR="00A206D5" w:rsidRPr="00624D71">
              <w:rPr>
                <w:rFonts w:ascii="Times New Roman" w:eastAsia="SimSun" w:hAnsi="Times New Roman"/>
                <w:sz w:val="20"/>
                <w:szCs w:val="20"/>
                <w:lang w:eastAsia="zh-CN"/>
              </w:rPr>
              <w:t>c</w:t>
            </w:r>
            <w:r w:rsidRPr="00624D71">
              <w:rPr>
                <w:rFonts w:ascii="Times New Roman" w:eastAsia="SimSun" w:hAnsi="Times New Roman"/>
                <w:sz w:val="20"/>
                <w:szCs w:val="20"/>
                <w:lang w:eastAsia="zh-CN"/>
              </w:rPr>
              <w:t>o-</w:t>
            </w:r>
            <w:r w:rsidR="00A206D5" w:rsidRPr="00624D71">
              <w:rPr>
                <w:rFonts w:ascii="Times New Roman" w:eastAsia="SimSun" w:hAnsi="Times New Roman"/>
                <w:sz w:val="20"/>
                <w:szCs w:val="20"/>
                <w:lang w:eastAsia="zh-CN"/>
              </w:rPr>
              <w:t>c</w:t>
            </w:r>
            <w:r w:rsidRPr="00624D71">
              <w:rPr>
                <w:rFonts w:ascii="Times New Roman" w:eastAsia="SimSun" w:hAnsi="Times New Roman"/>
                <w:sz w:val="20"/>
                <w:szCs w:val="20"/>
                <w:lang w:eastAsia="zh-CN"/>
              </w:rPr>
              <w:t xml:space="preserve">hairs, </w:t>
            </w:r>
            <w:r w:rsidR="006A03AE" w:rsidRPr="00523771">
              <w:rPr>
                <w:rFonts w:ascii="Times New Roman" w:eastAsia="SimSun" w:hAnsi="Times New Roman"/>
                <w:sz w:val="20"/>
                <w:szCs w:val="20"/>
                <w:lang w:eastAsia="zh-CN"/>
              </w:rPr>
              <w:t>coordinating lead authors</w:t>
            </w:r>
            <w:r w:rsidR="006A03AE" w:rsidRPr="00624D71">
              <w:rPr>
                <w:rFonts w:ascii="Times New Roman" w:eastAsia="SimSun" w:hAnsi="Times New Roman"/>
                <w:sz w:val="20"/>
                <w:szCs w:val="20"/>
                <w:lang w:eastAsia="zh-CN"/>
              </w:rPr>
              <w:t xml:space="preserve"> </w:t>
            </w:r>
            <w:r w:rsidR="00A206D5" w:rsidRPr="00624D71">
              <w:rPr>
                <w:rFonts w:ascii="Times New Roman" w:eastAsia="SimSun" w:hAnsi="Times New Roman"/>
                <w:sz w:val="20"/>
                <w:szCs w:val="20"/>
                <w:lang w:eastAsia="zh-CN"/>
              </w:rPr>
              <w:t>and</w:t>
            </w:r>
            <w:r w:rsidRPr="00624D71">
              <w:rPr>
                <w:rFonts w:ascii="Times New Roman" w:eastAsia="SimSun" w:hAnsi="Times New Roman"/>
                <w:sz w:val="20"/>
                <w:szCs w:val="20"/>
                <w:lang w:eastAsia="zh-CN"/>
              </w:rPr>
              <w:t xml:space="preserve"> </w:t>
            </w:r>
            <w:r w:rsidR="006A03AE" w:rsidRPr="00523771">
              <w:rPr>
                <w:rFonts w:ascii="Times New Roman" w:eastAsia="SimSun" w:hAnsi="Times New Roman"/>
                <w:sz w:val="20"/>
                <w:szCs w:val="20"/>
                <w:lang w:eastAsia="zh-CN"/>
              </w:rPr>
              <w:t>lead authors, plus</w:t>
            </w:r>
            <w:r w:rsidRPr="00624D71">
              <w:rPr>
                <w:rFonts w:ascii="Times New Roman" w:eastAsia="SimSun" w:hAnsi="Times New Roman"/>
                <w:sz w:val="20"/>
                <w:szCs w:val="20"/>
                <w:lang w:eastAsia="zh-CN"/>
              </w:rPr>
              <w:t xml:space="preserve"> 4 </w:t>
            </w:r>
            <w:r w:rsidR="006A03AE" w:rsidRPr="00624D71">
              <w:rPr>
                <w:rFonts w:ascii="Times New Roman" w:hAnsi="Times New Roman"/>
                <w:sz w:val="20"/>
                <w:szCs w:val="20"/>
              </w:rPr>
              <w:t>Multidisciplinary Expert Panel</w:t>
            </w:r>
            <w:r w:rsidRPr="00624D71">
              <w:rPr>
                <w:rFonts w:ascii="Times New Roman" w:eastAsia="SimSun" w:hAnsi="Times New Roman"/>
                <w:sz w:val="20"/>
                <w:szCs w:val="20"/>
                <w:lang w:eastAsia="zh-CN"/>
              </w:rPr>
              <w:t>/Bureau</w:t>
            </w:r>
            <w:r w:rsidR="00A206D5" w:rsidRPr="00624D71">
              <w:rPr>
                <w:rFonts w:ascii="Times New Roman" w:eastAsia="SimSun" w:hAnsi="Times New Roman"/>
                <w:sz w:val="20"/>
                <w:szCs w:val="20"/>
                <w:lang w:eastAsia="zh-CN"/>
              </w:rPr>
              <w:t xml:space="preserve"> members</w:t>
            </w:r>
            <w:r w:rsidR="006A03AE" w:rsidRPr="00523771">
              <w:rPr>
                <w:rFonts w:ascii="Times New Roman" w:eastAsia="SimSun" w:hAnsi="Times New Roman"/>
                <w:sz w:val="20"/>
                <w:szCs w:val="20"/>
                <w:lang w:eastAsia="zh-CN"/>
              </w:rPr>
              <w:t>, plus</w:t>
            </w:r>
            <w:r w:rsidRPr="00624D71">
              <w:rPr>
                <w:rFonts w:ascii="Times New Roman" w:eastAsia="SimSun" w:hAnsi="Times New Roman"/>
                <w:sz w:val="20"/>
                <w:szCs w:val="20"/>
                <w:lang w:eastAsia="zh-CN"/>
              </w:rPr>
              <w:t>1</w:t>
            </w:r>
            <w:r w:rsidR="006A03AE" w:rsidRPr="00523771">
              <w:rPr>
                <w:rFonts w:ascii="Times New Roman" w:eastAsia="SimSun" w:hAnsi="Times New Roman"/>
                <w:sz w:val="20"/>
                <w:szCs w:val="20"/>
                <w:lang w:eastAsia="zh-CN"/>
              </w:rPr>
              <w:t> </w:t>
            </w:r>
            <w:r w:rsidRPr="00624D71">
              <w:rPr>
                <w:rFonts w:ascii="Times New Roman" w:eastAsia="SimSun" w:hAnsi="Times New Roman"/>
                <w:sz w:val="20"/>
                <w:szCs w:val="20"/>
                <w:lang w:eastAsia="zh-CN"/>
              </w:rPr>
              <w:t>technical support staff</w:t>
            </w:r>
            <w:r w:rsidR="006A03AE" w:rsidRPr="00523771">
              <w:rPr>
                <w:rFonts w:ascii="Times New Roman" w:eastAsia="SimSun" w:hAnsi="Times New Roman"/>
                <w:sz w:val="20"/>
                <w:szCs w:val="20"/>
                <w:lang w:eastAsia="zh-CN"/>
              </w:rPr>
              <w:t xml:space="preserve"> member</w:t>
            </w:r>
            <w:r w:rsidRPr="00624D71">
              <w:rPr>
                <w:rFonts w:ascii="Times New Roman" w:eastAsia="SimSun" w:hAnsi="Times New Roman"/>
                <w:sz w:val="20"/>
                <w:szCs w:val="20"/>
                <w:lang w:eastAsia="zh-CN"/>
              </w:rPr>
              <w:t>)</w:t>
            </w:r>
          </w:p>
        </w:tc>
        <w:tc>
          <w:tcPr>
            <w:tcW w:w="3119" w:type="dxa"/>
            <w:shd w:val="clear" w:color="auto" w:fill="auto"/>
          </w:tcPr>
          <w:p w:rsidR="00D7505A" w:rsidRPr="00624D71" w:rsidRDefault="00D7505A" w:rsidP="00523771">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r w:rsidRPr="00624D71">
              <w:rPr>
                <w:rFonts w:ascii="Times New Roman" w:eastAsia="SimSun" w:hAnsi="Times New Roman"/>
                <w:sz w:val="20"/>
                <w:szCs w:val="20"/>
                <w:lang w:eastAsia="zh-CN"/>
              </w:rPr>
              <w:t>Meeting costs (1 week, 80 participants) (25</w:t>
            </w:r>
            <w:r w:rsidR="00A206D5" w:rsidRPr="00624D71">
              <w:rPr>
                <w:rFonts w:ascii="Times New Roman" w:eastAsia="SimSun" w:hAnsi="Times New Roman"/>
                <w:sz w:val="20"/>
                <w:szCs w:val="20"/>
                <w:lang w:eastAsia="zh-CN"/>
              </w:rPr>
              <w:t xml:space="preserve"> per cent</w:t>
            </w:r>
            <w:r w:rsidRPr="00624D71">
              <w:rPr>
                <w:rFonts w:ascii="Times New Roman" w:eastAsia="SimSun" w:hAnsi="Times New Roman"/>
                <w:sz w:val="20"/>
                <w:szCs w:val="20"/>
                <w:lang w:eastAsia="zh-CN"/>
              </w:rPr>
              <w:t xml:space="preserve"> in</w:t>
            </w:r>
            <w:r w:rsidR="00A206D5" w:rsidRPr="00624D71">
              <w:rPr>
                <w:rFonts w:ascii="Times New Roman" w:eastAsia="SimSun" w:hAnsi="Times New Roman"/>
                <w:sz w:val="20"/>
                <w:szCs w:val="20"/>
                <w:lang w:eastAsia="zh-CN"/>
              </w:rPr>
              <w:t xml:space="preserve"> </w:t>
            </w:r>
            <w:r w:rsidRPr="00624D71">
              <w:rPr>
                <w:rFonts w:ascii="Times New Roman" w:eastAsia="SimSun" w:hAnsi="Times New Roman"/>
                <w:sz w:val="20"/>
                <w:szCs w:val="20"/>
                <w:lang w:eastAsia="zh-CN"/>
              </w:rPr>
              <w:t>kind)</w:t>
            </w:r>
          </w:p>
        </w:tc>
        <w:tc>
          <w:tcPr>
            <w:tcW w:w="956" w:type="dxa"/>
            <w:shd w:val="clear" w:color="auto" w:fill="auto"/>
          </w:tcPr>
          <w:p w:rsidR="00D7505A" w:rsidRPr="00624D71" w:rsidRDefault="00D7505A" w:rsidP="00523771">
            <w:pPr>
              <w:pStyle w:val="Normal-pool"/>
              <w:keepNext/>
              <w:keepLines/>
              <w:jc w:val="right"/>
              <w:rPr>
                <w:rFonts w:eastAsia="SimSun"/>
                <w:lang w:eastAsia="zh-CN"/>
              </w:rPr>
            </w:pPr>
            <w:r w:rsidRPr="00624D71">
              <w:rPr>
                <w:rFonts w:eastAsia="SimSun"/>
                <w:lang w:eastAsia="zh-CN"/>
              </w:rPr>
              <w:t>15</w:t>
            </w:r>
            <w:r w:rsidR="00DA45F9">
              <w:rPr>
                <w:rFonts w:eastAsia="SimSun"/>
                <w:lang w:eastAsia="zh-CN"/>
              </w:rPr>
              <w:t xml:space="preserve"> </w:t>
            </w:r>
            <w:r w:rsidRPr="00624D71">
              <w:rPr>
                <w:rFonts w:eastAsia="SimSun"/>
                <w:lang w:eastAsia="zh-CN"/>
              </w:rPr>
              <w:t>000</w:t>
            </w:r>
          </w:p>
        </w:tc>
      </w:tr>
      <w:tr w:rsidR="00947ED6" w:rsidRPr="00624D71" w:rsidTr="00775FC8">
        <w:trPr>
          <w:trHeight w:val="337"/>
          <w:jc w:val="right"/>
        </w:trPr>
        <w:tc>
          <w:tcPr>
            <w:tcW w:w="627"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119" w:type="dxa"/>
            <w:shd w:val="clear" w:color="auto" w:fill="auto"/>
          </w:tcPr>
          <w:p w:rsidR="00D7505A" w:rsidRPr="00624D71" w:rsidRDefault="00D7505A" w:rsidP="00546FC7">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r w:rsidRPr="00624D71">
              <w:rPr>
                <w:rFonts w:ascii="Times New Roman" w:eastAsia="SimSun" w:hAnsi="Times New Roman"/>
                <w:sz w:val="20"/>
                <w:szCs w:val="20"/>
                <w:lang w:eastAsia="zh-CN"/>
              </w:rPr>
              <w:t xml:space="preserve">Travel and DSA (60 x </w:t>
            </w:r>
            <w:r w:rsidR="00A206D5" w:rsidRPr="00624D71">
              <w:rPr>
                <w:rFonts w:ascii="Times New Roman" w:eastAsia="SimSun" w:hAnsi="Times New Roman"/>
                <w:sz w:val="20"/>
                <w:szCs w:val="20"/>
                <w:lang w:eastAsia="zh-CN"/>
              </w:rPr>
              <w:t>$</w:t>
            </w:r>
            <w:r w:rsidRPr="00624D71">
              <w:rPr>
                <w:rFonts w:ascii="Times New Roman" w:eastAsia="SimSun" w:hAnsi="Times New Roman"/>
                <w:sz w:val="20"/>
                <w:szCs w:val="20"/>
                <w:lang w:eastAsia="zh-CN"/>
              </w:rPr>
              <w:t>3</w:t>
            </w:r>
            <w:r w:rsidR="00A206D5" w:rsidRPr="00624D71">
              <w:rPr>
                <w:rFonts w:ascii="Times New Roman" w:eastAsia="SimSun" w:hAnsi="Times New Roman"/>
                <w:sz w:val="20"/>
                <w:szCs w:val="20"/>
                <w:lang w:eastAsia="zh-CN"/>
              </w:rPr>
              <w:t>,</w:t>
            </w:r>
            <w:r w:rsidRPr="00624D71">
              <w:rPr>
                <w:rFonts w:ascii="Times New Roman" w:eastAsia="SimSun" w:hAnsi="Times New Roman"/>
                <w:sz w:val="20"/>
                <w:szCs w:val="20"/>
                <w:lang w:eastAsia="zh-CN"/>
              </w:rPr>
              <w:t>000)</w:t>
            </w:r>
          </w:p>
        </w:tc>
        <w:tc>
          <w:tcPr>
            <w:tcW w:w="956" w:type="dxa"/>
            <w:shd w:val="clear" w:color="auto" w:fill="auto"/>
          </w:tcPr>
          <w:p w:rsidR="00D7505A" w:rsidRPr="00624D71" w:rsidRDefault="00D7505A" w:rsidP="00523771">
            <w:pPr>
              <w:pStyle w:val="Normal-pool"/>
              <w:jc w:val="right"/>
              <w:rPr>
                <w:rFonts w:eastAsia="SimSun"/>
                <w:lang w:eastAsia="zh-CN"/>
              </w:rPr>
            </w:pPr>
            <w:r w:rsidRPr="00624D71">
              <w:rPr>
                <w:rFonts w:eastAsia="SimSun"/>
                <w:lang w:eastAsia="zh-CN"/>
              </w:rPr>
              <w:t>180</w:t>
            </w:r>
            <w:r w:rsidR="00DA45F9">
              <w:rPr>
                <w:rFonts w:eastAsia="SimSun"/>
                <w:lang w:eastAsia="zh-CN"/>
              </w:rPr>
              <w:t xml:space="preserve"> </w:t>
            </w:r>
            <w:r w:rsidRPr="00624D71">
              <w:rPr>
                <w:rFonts w:eastAsia="SimSun"/>
                <w:lang w:eastAsia="zh-CN"/>
              </w:rPr>
              <w:t>000</w:t>
            </w:r>
          </w:p>
        </w:tc>
      </w:tr>
      <w:tr w:rsidR="00947ED6" w:rsidRPr="00624D71" w:rsidTr="00775FC8">
        <w:trPr>
          <w:jc w:val="right"/>
        </w:trPr>
        <w:tc>
          <w:tcPr>
            <w:tcW w:w="627"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vMerge w:val="restart"/>
            <w:shd w:val="clear" w:color="auto" w:fill="auto"/>
            <w:vAlign w:val="center"/>
          </w:tcPr>
          <w:p w:rsidR="00D7505A" w:rsidRPr="00624D71" w:rsidRDefault="00D7505A" w:rsidP="00523771">
            <w:pPr>
              <w:pStyle w:val="Normal-pool"/>
              <w:rPr>
                <w:rFonts w:eastAsia="SimSun"/>
                <w:lang w:eastAsia="zh-CN"/>
              </w:rPr>
            </w:pPr>
            <w:r w:rsidRPr="00624D71">
              <w:rPr>
                <w:rFonts w:eastAsia="SimSun"/>
                <w:lang w:eastAsia="zh-CN"/>
              </w:rPr>
              <w:t xml:space="preserve">Second author meeting (75 </w:t>
            </w:r>
            <w:r w:rsidR="00A206D5" w:rsidRPr="00624D71">
              <w:rPr>
                <w:rFonts w:eastAsia="SimSun"/>
                <w:lang w:eastAsia="zh-CN"/>
              </w:rPr>
              <w:t>c</w:t>
            </w:r>
            <w:r w:rsidRPr="00624D71">
              <w:rPr>
                <w:rFonts w:eastAsia="SimSun"/>
                <w:lang w:eastAsia="zh-CN"/>
              </w:rPr>
              <w:t>o-</w:t>
            </w:r>
            <w:r w:rsidR="00A206D5" w:rsidRPr="00624D71">
              <w:rPr>
                <w:rFonts w:eastAsia="SimSun"/>
                <w:lang w:eastAsia="zh-CN"/>
              </w:rPr>
              <w:t>c</w:t>
            </w:r>
            <w:r w:rsidRPr="00624D71">
              <w:rPr>
                <w:rFonts w:eastAsia="SimSun"/>
                <w:lang w:eastAsia="zh-CN"/>
              </w:rPr>
              <w:t xml:space="preserve">hairs, </w:t>
            </w:r>
            <w:r w:rsidR="006A03AE" w:rsidRPr="00523771">
              <w:rPr>
                <w:rFonts w:eastAsia="SimSun"/>
                <w:lang w:eastAsia="zh-CN"/>
              </w:rPr>
              <w:t>coordinating lead authors and lead authors, plus</w:t>
            </w:r>
            <w:r w:rsidR="006A03AE" w:rsidRPr="00523771" w:rsidDel="006A03AE">
              <w:rPr>
                <w:rFonts w:eastAsia="SimSun"/>
                <w:lang w:eastAsia="zh-CN"/>
              </w:rPr>
              <w:t xml:space="preserve"> </w:t>
            </w:r>
            <w:r w:rsidRPr="00624D71">
              <w:rPr>
                <w:rFonts w:eastAsia="SimSun"/>
                <w:lang w:eastAsia="zh-CN"/>
              </w:rPr>
              <w:t xml:space="preserve">4 </w:t>
            </w:r>
            <w:r w:rsidR="006A03AE" w:rsidRPr="00523771">
              <w:rPr>
                <w:rFonts w:eastAsia="SimSun"/>
                <w:lang w:eastAsia="zh-CN"/>
              </w:rPr>
              <w:t>Panel</w:t>
            </w:r>
            <w:r w:rsidRPr="00624D71">
              <w:rPr>
                <w:rFonts w:eastAsia="SimSun"/>
                <w:lang w:eastAsia="zh-CN"/>
              </w:rPr>
              <w:t>/Bureau</w:t>
            </w:r>
            <w:r w:rsidR="00A206D5" w:rsidRPr="00624D71">
              <w:rPr>
                <w:rFonts w:eastAsia="SimSun"/>
                <w:lang w:eastAsia="zh-CN"/>
              </w:rPr>
              <w:t xml:space="preserve"> members</w:t>
            </w:r>
            <w:r w:rsidR="006A03AE" w:rsidRPr="00523771">
              <w:rPr>
                <w:rFonts w:eastAsia="SimSun"/>
                <w:lang w:eastAsia="zh-CN"/>
              </w:rPr>
              <w:t>, plus</w:t>
            </w:r>
            <w:r w:rsidRPr="00624D71">
              <w:rPr>
                <w:rFonts w:eastAsia="SimSun"/>
                <w:lang w:eastAsia="zh-CN"/>
              </w:rPr>
              <w:t>1 technical support staff</w:t>
            </w:r>
            <w:r w:rsidR="006A03AE" w:rsidRPr="00523771">
              <w:rPr>
                <w:rFonts w:eastAsia="SimSun"/>
                <w:lang w:eastAsia="zh-CN"/>
              </w:rPr>
              <w:t xml:space="preserve"> member</w:t>
            </w:r>
            <w:r w:rsidRPr="00624D71">
              <w:rPr>
                <w:rFonts w:eastAsia="SimSun"/>
                <w:lang w:eastAsia="zh-CN"/>
              </w:rPr>
              <w:t>)</w:t>
            </w:r>
          </w:p>
        </w:tc>
        <w:tc>
          <w:tcPr>
            <w:tcW w:w="3119" w:type="dxa"/>
            <w:shd w:val="clear" w:color="auto" w:fill="auto"/>
          </w:tcPr>
          <w:p w:rsidR="00D7505A" w:rsidRPr="00624D71" w:rsidRDefault="00D7505A" w:rsidP="00523771">
            <w:pPr>
              <w:pStyle w:val="Normal-pool"/>
              <w:rPr>
                <w:rFonts w:eastAsia="SimSun"/>
                <w:lang w:eastAsia="zh-CN"/>
              </w:rPr>
            </w:pPr>
            <w:r w:rsidRPr="00624D71">
              <w:rPr>
                <w:rFonts w:eastAsia="SimSun"/>
                <w:lang w:eastAsia="zh-CN"/>
              </w:rPr>
              <w:t>Meeting costs (1 week, 80 participants) (25</w:t>
            </w:r>
            <w:r w:rsidR="00A206D5" w:rsidRPr="00624D71">
              <w:rPr>
                <w:rFonts w:eastAsia="SimSun"/>
                <w:lang w:eastAsia="zh-CN"/>
              </w:rPr>
              <w:t xml:space="preserve"> per cent</w:t>
            </w:r>
            <w:r w:rsidRPr="00624D71">
              <w:rPr>
                <w:rFonts w:eastAsia="SimSun"/>
                <w:lang w:eastAsia="zh-CN"/>
              </w:rPr>
              <w:t xml:space="preserve"> in</w:t>
            </w:r>
            <w:r w:rsidR="00A206D5" w:rsidRPr="00624D71">
              <w:rPr>
                <w:rFonts w:eastAsia="SimSun"/>
                <w:lang w:eastAsia="zh-CN"/>
              </w:rPr>
              <w:t xml:space="preserve"> </w:t>
            </w:r>
            <w:r w:rsidRPr="00624D71">
              <w:rPr>
                <w:rFonts w:eastAsia="SimSun"/>
                <w:lang w:eastAsia="zh-CN"/>
              </w:rPr>
              <w:t>kind)</w:t>
            </w:r>
          </w:p>
        </w:tc>
        <w:tc>
          <w:tcPr>
            <w:tcW w:w="956" w:type="dxa"/>
            <w:shd w:val="clear" w:color="auto" w:fill="auto"/>
          </w:tcPr>
          <w:p w:rsidR="00D7505A" w:rsidRPr="00624D71" w:rsidRDefault="00D7505A" w:rsidP="00775FC8">
            <w:pPr>
              <w:pStyle w:val="Normal-pool"/>
              <w:jc w:val="right"/>
              <w:rPr>
                <w:rFonts w:eastAsia="SimSun"/>
                <w:lang w:eastAsia="zh-CN"/>
              </w:rPr>
            </w:pPr>
            <w:r w:rsidRPr="00624D71">
              <w:rPr>
                <w:rFonts w:eastAsia="SimSun"/>
                <w:lang w:eastAsia="zh-CN"/>
              </w:rPr>
              <w:t>15</w:t>
            </w:r>
            <w:r w:rsidR="00DA45F9">
              <w:rPr>
                <w:rFonts w:eastAsia="SimSun"/>
                <w:lang w:eastAsia="zh-CN"/>
              </w:rPr>
              <w:t xml:space="preserve"> </w:t>
            </w:r>
            <w:r w:rsidRPr="00624D71">
              <w:rPr>
                <w:rFonts w:eastAsia="SimSun"/>
                <w:lang w:eastAsia="zh-CN"/>
              </w:rPr>
              <w:t>000</w:t>
            </w:r>
          </w:p>
        </w:tc>
      </w:tr>
      <w:tr w:rsidR="00947ED6" w:rsidRPr="00624D71" w:rsidTr="00775FC8">
        <w:trPr>
          <w:trHeight w:val="337"/>
          <w:jc w:val="right"/>
        </w:trPr>
        <w:tc>
          <w:tcPr>
            <w:tcW w:w="627"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119" w:type="dxa"/>
            <w:shd w:val="clear" w:color="auto" w:fill="auto"/>
          </w:tcPr>
          <w:p w:rsidR="00D7505A" w:rsidRPr="00624D71" w:rsidRDefault="00D7505A" w:rsidP="00775FC8">
            <w:pPr>
              <w:pStyle w:val="Normal-pool"/>
              <w:rPr>
                <w:rFonts w:eastAsia="SimSun"/>
                <w:lang w:eastAsia="zh-CN"/>
              </w:rPr>
            </w:pPr>
            <w:r w:rsidRPr="00624D71">
              <w:rPr>
                <w:rFonts w:eastAsia="SimSun"/>
                <w:lang w:eastAsia="zh-CN"/>
              </w:rPr>
              <w:t xml:space="preserve">Travel and DSA (60 x </w:t>
            </w:r>
            <w:r w:rsidR="00A206D5" w:rsidRPr="00624D71">
              <w:rPr>
                <w:rFonts w:eastAsia="SimSun"/>
                <w:lang w:eastAsia="zh-CN"/>
              </w:rPr>
              <w:t>$</w:t>
            </w:r>
            <w:r w:rsidRPr="00624D71">
              <w:rPr>
                <w:rFonts w:eastAsia="SimSun"/>
                <w:lang w:eastAsia="zh-CN"/>
              </w:rPr>
              <w:t>3</w:t>
            </w:r>
            <w:r w:rsidR="00A206D5" w:rsidRPr="00624D71">
              <w:rPr>
                <w:rFonts w:eastAsia="SimSun"/>
                <w:lang w:eastAsia="zh-CN"/>
              </w:rPr>
              <w:t>,</w:t>
            </w:r>
            <w:r w:rsidRPr="00624D71">
              <w:rPr>
                <w:rFonts w:eastAsia="SimSun"/>
                <w:lang w:eastAsia="zh-CN"/>
              </w:rPr>
              <w:t>000)</w:t>
            </w:r>
          </w:p>
        </w:tc>
        <w:tc>
          <w:tcPr>
            <w:tcW w:w="956" w:type="dxa"/>
            <w:shd w:val="clear" w:color="auto" w:fill="auto"/>
          </w:tcPr>
          <w:p w:rsidR="00D7505A" w:rsidRPr="00624D71" w:rsidRDefault="00D7505A" w:rsidP="00523771">
            <w:pPr>
              <w:pStyle w:val="Normal-pool"/>
              <w:jc w:val="right"/>
              <w:rPr>
                <w:rFonts w:eastAsia="SimSun"/>
                <w:lang w:eastAsia="zh-CN"/>
              </w:rPr>
            </w:pPr>
            <w:r w:rsidRPr="00624D71">
              <w:rPr>
                <w:rFonts w:eastAsia="SimSun"/>
                <w:lang w:eastAsia="zh-CN"/>
              </w:rPr>
              <w:t>180</w:t>
            </w:r>
            <w:r w:rsidR="00DA45F9">
              <w:rPr>
                <w:rFonts w:eastAsia="SimSun"/>
                <w:lang w:eastAsia="zh-CN"/>
              </w:rPr>
              <w:t xml:space="preserve"> </w:t>
            </w:r>
            <w:r w:rsidRPr="00624D71">
              <w:rPr>
                <w:rFonts w:eastAsia="SimSun"/>
                <w:lang w:eastAsia="zh-CN"/>
              </w:rPr>
              <w:t>000</w:t>
            </w:r>
          </w:p>
        </w:tc>
      </w:tr>
      <w:tr w:rsidR="00947ED6" w:rsidRPr="00624D71" w:rsidTr="00775FC8">
        <w:trPr>
          <w:jc w:val="right"/>
        </w:trPr>
        <w:tc>
          <w:tcPr>
            <w:tcW w:w="627"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vMerge w:val="restart"/>
            <w:shd w:val="clear" w:color="auto" w:fill="auto"/>
            <w:vAlign w:val="center"/>
          </w:tcPr>
          <w:p w:rsidR="00D7505A" w:rsidRPr="00624D71" w:rsidRDefault="00D7505A" w:rsidP="00523771">
            <w:pPr>
              <w:pStyle w:val="Normal-pool"/>
              <w:rPr>
                <w:rFonts w:eastAsia="SimSun"/>
                <w:lang w:eastAsia="zh-CN"/>
              </w:rPr>
            </w:pPr>
            <w:r w:rsidRPr="00624D71">
              <w:rPr>
                <w:rFonts w:eastAsia="SimSun"/>
                <w:lang w:eastAsia="zh-CN"/>
              </w:rPr>
              <w:t xml:space="preserve">Third author meeting (75 </w:t>
            </w:r>
            <w:r w:rsidR="0061644F" w:rsidRPr="00523771">
              <w:rPr>
                <w:rFonts w:eastAsia="SimSun"/>
                <w:lang w:eastAsia="zh-CN"/>
              </w:rPr>
              <w:t>c</w:t>
            </w:r>
            <w:r w:rsidRPr="00624D71">
              <w:rPr>
                <w:rFonts w:eastAsia="SimSun"/>
                <w:lang w:eastAsia="zh-CN"/>
              </w:rPr>
              <w:t>o-</w:t>
            </w:r>
            <w:r w:rsidR="0061644F" w:rsidRPr="00523771">
              <w:rPr>
                <w:rFonts w:eastAsia="SimSun"/>
                <w:lang w:eastAsia="zh-CN"/>
              </w:rPr>
              <w:t>c</w:t>
            </w:r>
            <w:r w:rsidRPr="00624D71">
              <w:rPr>
                <w:rFonts w:eastAsia="SimSun"/>
                <w:lang w:eastAsia="zh-CN"/>
              </w:rPr>
              <w:t xml:space="preserve">hairs, </w:t>
            </w:r>
            <w:r w:rsidR="00367590" w:rsidRPr="00523771">
              <w:rPr>
                <w:rFonts w:eastAsia="SimSun"/>
                <w:lang w:eastAsia="zh-CN"/>
              </w:rPr>
              <w:t>coordinating lead authors and lead authors, plus</w:t>
            </w:r>
            <w:r w:rsidR="00367590" w:rsidRPr="00523771" w:rsidDel="006A03AE">
              <w:rPr>
                <w:rFonts w:eastAsia="SimSun"/>
                <w:lang w:eastAsia="zh-CN"/>
              </w:rPr>
              <w:t xml:space="preserve"> </w:t>
            </w:r>
            <w:r w:rsidRPr="00624D71">
              <w:rPr>
                <w:rFonts w:eastAsia="SimSun"/>
                <w:lang w:eastAsia="zh-CN"/>
              </w:rPr>
              <w:t xml:space="preserve">12 </w:t>
            </w:r>
            <w:r w:rsidR="00367590" w:rsidRPr="00523771">
              <w:rPr>
                <w:rFonts w:eastAsia="SimSun"/>
                <w:lang w:eastAsia="zh-CN"/>
              </w:rPr>
              <w:t>review editors, plus</w:t>
            </w:r>
            <w:r w:rsidRPr="00624D71">
              <w:rPr>
                <w:rFonts w:eastAsia="SimSun"/>
                <w:lang w:eastAsia="zh-CN"/>
              </w:rPr>
              <w:t xml:space="preserve"> 4 </w:t>
            </w:r>
            <w:r w:rsidR="00367590" w:rsidRPr="00523771">
              <w:rPr>
                <w:rFonts w:eastAsia="SimSun"/>
                <w:lang w:eastAsia="zh-CN"/>
              </w:rPr>
              <w:t>Panel</w:t>
            </w:r>
            <w:r w:rsidRPr="00624D71">
              <w:rPr>
                <w:rFonts w:eastAsia="SimSun"/>
                <w:lang w:eastAsia="zh-CN"/>
              </w:rPr>
              <w:t xml:space="preserve">/Bureau </w:t>
            </w:r>
            <w:r w:rsidR="00465F13" w:rsidRPr="00624D71">
              <w:rPr>
                <w:rFonts w:eastAsia="SimSun"/>
                <w:lang w:eastAsia="zh-CN"/>
              </w:rPr>
              <w:t>members</w:t>
            </w:r>
            <w:r w:rsidR="00367590" w:rsidRPr="00523771">
              <w:rPr>
                <w:rFonts w:eastAsia="SimSun"/>
                <w:lang w:eastAsia="zh-CN"/>
              </w:rPr>
              <w:t xml:space="preserve">, plus </w:t>
            </w:r>
            <w:r w:rsidRPr="00624D71">
              <w:rPr>
                <w:rFonts w:eastAsia="SimSun"/>
                <w:lang w:eastAsia="zh-CN"/>
              </w:rPr>
              <w:t>1 technical support staff</w:t>
            </w:r>
            <w:r w:rsidR="00367590" w:rsidRPr="00523771">
              <w:rPr>
                <w:rFonts w:eastAsia="SimSun"/>
                <w:lang w:eastAsia="zh-CN"/>
              </w:rPr>
              <w:t xml:space="preserve"> member</w:t>
            </w:r>
            <w:r w:rsidRPr="00624D71">
              <w:rPr>
                <w:rFonts w:eastAsia="SimSun"/>
                <w:lang w:eastAsia="zh-CN"/>
              </w:rPr>
              <w:t>)</w:t>
            </w:r>
          </w:p>
        </w:tc>
        <w:tc>
          <w:tcPr>
            <w:tcW w:w="3119" w:type="dxa"/>
            <w:shd w:val="clear" w:color="auto" w:fill="auto"/>
          </w:tcPr>
          <w:p w:rsidR="00D7505A" w:rsidRPr="00624D71" w:rsidRDefault="00D7505A" w:rsidP="00523771">
            <w:pPr>
              <w:pStyle w:val="Normal-pool"/>
              <w:rPr>
                <w:rFonts w:eastAsia="SimSun"/>
                <w:lang w:eastAsia="zh-CN"/>
              </w:rPr>
            </w:pPr>
            <w:r w:rsidRPr="00624D71">
              <w:rPr>
                <w:rFonts w:eastAsia="SimSun"/>
                <w:lang w:eastAsia="zh-CN"/>
              </w:rPr>
              <w:t>Meeting costs (1 week, 92 participants) (25</w:t>
            </w:r>
            <w:r w:rsidR="00A206D5" w:rsidRPr="00624D71">
              <w:rPr>
                <w:rFonts w:eastAsia="SimSun"/>
                <w:lang w:eastAsia="zh-CN"/>
              </w:rPr>
              <w:t xml:space="preserve"> per cent</w:t>
            </w:r>
            <w:r w:rsidRPr="00624D71">
              <w:rPr>
                <w:rFonts w:eastAsia="SimSun"/>
                <w:lang w:eastAsia="zh-CN"/>
              </w:rPr>
              <w:t xml:space="preserve"> in</w:t>
            </w:r>
            <w:r w:rsidR="00465F13" w:rsidRPr="00624D71">
              <w:rPr>
                <w:rFonts w:eastAsia="SimSun"/>
                <w:lang w:eastAsia="zh-CN"/>
              </w:rPr>
              <w:t xml:space="preserve"> </w:t>
            </w:r>
            <w:r w:rsidRPr="00624D71">
              <w:rPr>
                <w:rFonts w:eastAsia="SimSun"/>
                <w:lang w:eastAsia="zh-CN"/>
              </w:rPr>
              <w:t>kind)</w:t>
            </w:r>
          </w:p>
        </w:tc>
        <w:tc>
          <w:tcPr>
            <w:tcW w:w="956" w:type="dxa"/>
            <w:shd w:val="clear" w:color="auto" w:fill="auto"/>
          </w:tcPr>
          <w:p w:rsidR="00D7505A" w:rsidRPr="00624D71" w:rsidRDefault="00D7505A" w:rsidP="00523771">
            <w:pPr>
              <w:pStyle w:val="Normal-pool"/>
              <w:jc w:val="right"/>
              <w:rPr>
                <w:rFonts w:eastAsia="SimSun"/>
                <w:lang w:eastAsia="zh-CN"/>
              </w:rPr>
            </w:pPr>
            <w:r w:rsidRPr="00624D71">
              <w:rPr>
                <w:rFonts w:eastAsia="SimSun"/>
                <w:lang w:eastAsia="zh-CN"/>
              </w:rPr>
              <w:t>18</w:t>
            </w:r>
            <w:r w:rsidR="00DA45F9">
              <w:rPr>
                <w:rFonts w:eastAsia="SimSun"/>
                <w:lang w:eastAsia="zh-CN"/>
              </w:rPr>
              <w:t xml:space="preserve"> </w:t>
            </w:r>
            <w:r w:rsidRPr="00624D71">
              <w:rPr>
                <w:rFonts w:eastAsia="SimSun"/>
                <w:lang w:eastAsia="zh-CN"/>
              </w:rPr>
              <w:t>750</w:t>
            </w:r>
          </w:p>
        </w:tc>
      </w:tr>
      <w:tr w:rsidR="00947ED6" w:rsidRPr="00624D71" w:rsidTr="00775FC8">
        <w:trPr>
          <w:trHeight w:val="339"/>
          <w:jc w:val="right"/>
        </w:trPr>
        <w:tc>
          <w:tcPr>
            <w:tcW w:w="627" w:type="dxa"/>
            <w:vMerge/>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vMerge/>
            <w:tcBorders>
              <w:bottom w:val="single" w:sz="4" w:space="0" w:color="auto"/>
            </w:tcBorders>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119" w:type="dxa"/>
            <w:tcBorders>
              <w:bottom w:val="single" w:sz="4" w:space="0" w:color="auto"/>
            </w:tcBorders>
            <w:shd w:val="clear" w:color="auto" w:fill="auto"/>
          </w:tcPr>
          <w:p w:rsidR="00D7505A" w:rsidRPr="00624D71" w:rsidRDefault="00D7505A" w:rsidP="00775FC8">
            <w:pPr>
              <w:pStyle w:val="Normal-pool"/>
              <w:rPr>
                <w:rFonts w:eastAsia="SimSun"/>
                <w:lang w:eastAsia="zh-CN"/>
              </w:rPr>
            </w:pPr>
            <w:r w:rsidRPr="00624D71">
              <w:rPr>
                <w:rFonts w:eastAsia="SimSun"/>
                <w:lang w:eastAsia="zh-CN"/>
              </w:rPr>
              <w:t xml:space="preserve">Travel and DSA (69 x </w:t>
            </w:r>
            <w:r w:rsidR="00465F13" w:rsidRPr="00624D71">
              <w:rPr>
                <w:rFonts w:eastAsia="SimSun"/>
                <w:lang w:eastAsia="zh-CN"/>
              </w:rPr>
              <w:t>$</w:t>
            </w:r>
            <w:r w:rsidRPr="00624D71">
              <w:rPr>
                <w:rFonts w:eastAsia="SimSun"/>
                <w:lang w:eastAsia="zh-CN"/>
              </w:rPr>
              <w:t>3</w:t>
            </w:r>
            <w:r w:rsidR="00465F13" w:rsidRPr="00624D71">
              <w:rPr>
                <w:rFonts w:eastAsia="SimSun"/>
                <w:lang w:eastAsia="zh-CN"/>
              </w:rPr>
              <w:t>,</w:t>
            </w:r>
            <w:r w:rsidRPr="00624D71">
              <w:rPr>
                <w:rFonts w:eastAsia="SimSun"/>
                <w:lang w:eastAsia="zh-CN"/>
              </w:rPr>
              <w:t>000)</w:t>
            </w:r>
          </w:p>
        </w:tc>
        <w:tc>
          <w:tcPr>
            <w:tcW w:w="956" w:type="dxa"/>
            <w:tcBorders>
              <w:bottom w:val="single" w:sz="4" w:space="0" w:color="auto"/>
            </w:tcBorders>
            <w:shd w:val="clear" w:color="auto" w:fill="auto"/>
          </w:tcPr>
          <w:p w:rsidR="00D7505A" w:rsidRPr="00624D71" w:rsidRDefault="00D7505A" w:rsidP="00775FC8">
            <w:pPr>
              <w:pStyle w:val="Normal-pool"/>
              <w:jc w:val="right"/>
              <w:rPr>
                <w:rFonts w:eastAsia="SimSun"/>
                <w:lang w:eastAsia="zh-CN"/>
              </w:rPr>
            </w:pPr>
            <w:r w:rsidRPr="00624D71">
              <w:rPr>
                <w:rFonts w:eastAsia="SimSun"/>
                <w:lang w:eastAsia="zh-CN"/>
              </w:rPr>
              <w:t>207</w:t>
            </w:r>
            <w:r w:rsidR="00DA45F9">
              <w:rPr>
                <w:rFonts w:eastAsia="SimSun"/>
                <w:lang w:eastAsia="zh-CN"/>
              </w:rPr>
              <w:t xml:space="preserve"> </w:t>
            </w:r>
            <w:r w:rsidRPr="00624D71">
              <w:rPr>
                <w:rFonts w:eastAsia="SimSun"/>
                <w:lang w:eastAsia="zh-CN"/>
              </w:rPr>
              <w:t>000</w:t>
            </w:r>
          </w:p>
        </w:tc>
      </w:tr>
      <w:tr w:rsidR="00947ED6" w:rsidRPr="00624D71" w:rsidTr="00775FC8">
        <w:trPr>
          <w:trHeight w:val="361"/>
          <w:jc w:val="right"/>
        </w:trPr>
        <w:tc>
          <w:tcPr>
            <w:tcW w:w="627" w:type="dxa"/>
            <w:vMerge/>
            <w:tcBorders>
              <w:bottom w:val="single" w:sz="4" w:space="0" w:color="auto"/>
            </w:tcBorders>
            <w:shd w:val="clear" w:color="auto" w:fill="auto"/>
            <w:vAlign w:val="center"/>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shd w:val="clear" w:color="auto" w:fill="auto"/>
            <w:vAlign w:val="center"/>
          </w:tcPr>
          <w:p w:rsidR="00D7505A" w:rsidRPr="00624D71" w:rsidRDefault="00D7505A" w:rsidP="00775FC8">
            <w:pPr>
              <w:pStyle w:val="Normal-pool"/>
              <w:rPr>
                <w:rFonts w:eastAsia="SimSun"/>
                <w:lang w:eastAsia="zh-CN"/>
              </w:rPr>
            </w:pPr>
            <w:r w:rsidRPr="00624D71">
              <w:rPr>
                <w:rFonts w:eastAsia="SimSun"/>
                <w:lang w:eastAsia="zh-CN"/>
              </w:rPr>
              <w:t>Technical support</w:t>
            </w:r>
          </w:p>
        </w:tc>
        <w:tc>
          <w:tcPr>
            <w:tcW w:w="3119" w:type="dxa"/>
            <w:shd w:val="clear" w:color="auto" w:fill="auto"/>
          </w:tcPr>
          <w:p w:rsidR="00D7505A" w:rsidRPr="00624D71" w:rsidRDefault="00D7505A" w:rsidP="00523771">
            <w:pPr>
              <w:pStyle w:val="Normal-pool"/>
              <w:rPr>
                <w:rFonts w:eastAsia="SimSun"/>
                <w:lang w:eastAsia="zh-CN"/>
              </w:rPr>
            </w:pPr>
            <w:r w:rsidRPr="00624D71">
              <w:rPr>
                <w:rFonts w:eastAsia="SimSun"/>
                <w:lang w:eastAsia="zh-CN"/>
              </w:rPr>
              <w:t xml:space="preserve">1 </w:t>
            </w:r>
            <w:r w:rsidR="00115428" w:rsidRPr="00624D71">
              <w:rPr>
                <w:rFonts w:eastAsia="SimSun"/>
                <w:lang w:eastAsia="zh-CN"/>
              </w:rPr>
              <w:t>full-time equivalent</w:t>
            </w:r>
            <w:r w:rsidRPr="00624D71">
              <w:rPr>
                <w:rFonts w:eastAsia="SimSun"/>
                <w:lang w:eastAsia="zh-CN"/>
              </w:rPr>
              <w:t xml:space="preserve"> professional position (50</w:t>
            </w:r>
            <w:r w:rsidR="00465F13" w:rsidRPr="00624D71">
              <w:rPr>
                <w:rFonts w:eastAsia="SimSun"/>
                <w:lang w:eastAsia="zh-CN"/>
              </w:rPr>
              <w:t xml:space="preserve"> per cent</w:t>
            </w:r>
            <w:r w:rsidRPr="00624D71">
              <w:rPr>
                <w:rFonts w:eastAsia="SimSun"/>
                <w:lang w:eastAsia="zh-CN"/>
              </w:rPr>
              <w:t xml:space="preserve"> in</w:t>
            </w:r>
            <w:r w:rsidR="00465F13" w:rsidRPr="00624D71">
              <w:rPr>
                <w:rFonts w:eastAsia="SimSun"/>
                <w:lang w:eastAsia="zh-CN"/>
              </w:rPr>
              <w:t xml:space="preserve"> </w:t>
            </w:r>
            <w:r w:rsidRPr="00624D71">
              <w:rPr>
                <w:rFonts w:eastAsia="SimSun"/>
                <w:lang w:eastAsia="zh-CN"/>
              </w:rPr>
              <w:t>kind)</w:t>
            </w:r>
          </w:p>
        </w:tc>
        <w:tc>
          <w:tcPr>
            <w:tcW w:w="956" w:type="dxa"/>
            <w:tcBorders>
              <w:bottom w:val="single" w:sz="4" w:space="0" w:color="auto"/>
            </w:tcBorders>
            <w:shd w:val="clear" w:color="auto" w:fill="auto"/>
          </w:tcPr>
          <w:p w:rsidR="00D7505A" w:rsidRPr="00624D71" w:rsidRDefault="00D7505A" w:rsidP="00523771">
            <w:pPr>
              <w:pStyle w:val="Normal-pool"/>
              <w:jc w:val="right"/>
              <w:rPr>
                <w:rFonts w:eastAsia="SimSun"/>
                <w:lang w:eastAsia="zh-CN"/>
              </w:rPr>
            </w:pPr>
            <w:r w:rsidRPr="00624D71">
              <w:rPr>
                <w:rFonts w:eastAsia="SimSun"/>
                <w:lang w:eastAsia="zh-CN"/>
              </w:rPr>
              <w:t>75</w:t>
            </w:r>
            <w:r w:rsidR="00DA45F9">
              <w:rPr>
                <w:rFonts w:eastAsia="SimSun"/>
                <w:lang w:eastAsia="zh-CN"/>
              </w:rPr>
              <w:t xml:space="preserve"> </w:t>
            </w:r>
            <w:r w:rsidR="00225770">
              <w:rPr>
                <w:rFonts w:eastAsia="SimSun"/>
                <w:lang w:eastAsia="zh-CN"/>
              </w:rPr>
              <w:t>0</w:t>
            </w:r>
            <w:r w:rsidRPr="00624D71">
              <w:rPr>
                <w:rFonts w:eastAsia="SimSun"/>
                <w:lang w:eastAsia="zh-CN"/>
              </w:rPr>
              <w:t>00</w:t>
            </w:r>
          </w:p>
        </w:tc>
      </w:tr>
      <w:tr w:rsidR="00947ED6" w:rsidRPr="00624D71" w:rsidTr="00775FC8">
        <w:trPr>
          <w:trHeight w:val="317"/>
          <w:jc w:val="right"/>
        </w:trPr>
        <w:tc>
          <w:tcPr>
            <w:tcW w:w="627" w:type="dxa"/>
            <w:vMerge w:val="restart"/>
            <w:shd w:val="clear" w:color="auto" w:fill="auto"/>
            <w:vAlign w:val="center"/>
          </w:tcPr>
          <w:p w:rsidR="00D7505A" w:rsidRPr="00624D71" w:rsidRDefault="00D7505A" w:rsidP="00775FC8">
            <w:pPr>
              <w:pStyle w:val="Normal-pool"/>
              <w:rPr>
                <w:rFonts w:eastAsia="SimSun"/>
                <w:lang w:eastAsia="zh-CN"/>
              </w:rPr>
            </w:pPr>
            <w:r w:rsidRPr="00624D71">
              <w:rPr>
                <w:rFonts w:eastAsia="SimSun"/>
                <w:lang w:eastAsia="zh-CN"/>
              </w:rPr>
              <w:t>2015</w:t>
            </w:r>
          </w:p>
        </w:tc>
        <w:tc>
          <w:tcPr>
            <w:tcW w:w="3532" w:type="dxa"/>
            <w:shd w:val="clear" w:color="auto" w:fill="auto"/>
            <w:vAlign w:val="center"/>
          </w:tcPr>
          <w:p w:rsidR="00D7505A" w:rsidRPr="00624D71" w:rsidRDefault="00FA42BA" w:rsidP="001F12C8">
            <w:pPr>
              <w:pStyle w:val="Normal-pool"/>
              <w:rPr>
                <w:rFonts w:eastAsia="SimSun"/>
                <w:lang w:eastAsia="zh-CN"/>
              </w:rPr>
            </w:pPr>
            <w:r w:rsidRPr="00624D71">
              <w:rPr>
                <w:rFonts w:eastAsia="SimSun"/>
                <w:lang w:eastAsia="zh-CN"/>
              </w:rPr>
              <w:t xml:space="preserve">Participation </w:t>
            </w:r>
            <w:r w:rsidR="001F12C8" w:rsidRPr="001F12C8">
              <w:rPr>
                <w:rFonts w:eastAsia="SimSun"/>
                <w:lang w:eastAsia="zh-CN"/>
              </w:rPr>
              <w:t xml:space="preserve">by 2 co-chairs and 2 coordinating lead authors </w:t>
            </w:r>
            <w:r w:rsidRPr="00624D71">
              <w:rPr>
                <w:rFonts w:eastAsia="SimSun"/>
                <w:lang w:eastAsia="zh-CN"/>
              </w:rPr>
              <w:t>in the third</w:t>
            </w:r>
            <w:r w:rsidR="00B36966" w:rsidRPr="00624D71">
              <w:rPr>
                <w:rFonts w:eastAsia="SimSun"/>
                <w:lang w:eastAsia="zh-CN"/>
              </w:rPr>
              <w:t xml:space="preserve"> session</w:t>
            </w:r>
            <w:r w:rsidRPr="00624D71">
              <w:rPr>
                <w:rFonts w:eastAsia="SimSun"/>
                <w:lang w:eastAsia="zh-CN"/>
              </w:rPr>
              <w:t xml:space="preserve"> of the Plenary by </w:t>
            </w:r>
          </w:p>
        </w:tc>
        <w:tc>
          <w:tcPr>
            <w:tcW w:w="3119" w:type="dxa"/>
            <w:shd w:val="clear" w:color="auto" w:fill="auto"/>
          </w:tcPr>
          <w:p w:rsidR="00D7505A" w:rsidRPr="00624D71" w:rsidRDefault="00D7505A" w:rsidP="00775FC8">
            <w:pPr>
              <w:pStyle w:val="Normal-pool"/>
              <w:rPr>
                <w:rFonts w:eastAsia="SimSun"/>
                <w:lang w:eastAsia="zh-CN"/>
              </w:rPr>
            </w:pPr>
            <w:r w:rsidRPr="00624D71">
              <w:rPr>
                <w:rFonts w:eastAsia="SimSun"/>
                <w:lang w:eastAsia="zh-CN"/>
              </w:rPr>
              <w:t xml:space="preserve">Travel and DSA (3 x </w:t>
            </w:r>
            <w:r w:rsidR="00F15539" w:rsidRPr="00624D71">
              <w:rPr>
                <w:rFonts w:eastAsia="SimSun"/>
                <w:lang w:eastAsia="zh-CN"/>
              </w:rPr>
              <w:t>$</w:t>
            </w:r>
            <w:r w:rsidRPr="00624D71">
              <w:rPr>
                <w:rFonts w:eastAsia="SimSun"/>
                <w:lang w:eastAsia="zh-CN"/>
              </w:rPr>
              <w:t>3</w:t>
            </w:r>
            <w:r w:rsidR="00F15539" w:rsidRPr="00624D71">
              <w:rPr>
                <w:rFonts w:eastAsia="SimSun"/>
                <w:lang w:eastAsia="zh-CN"/>
              </w:rPr>
              <w:t>,</w:t>
            </w:r>
            <w:r w:rsidRPr="00624D71">
              <w:rPr>
                <w:rFonts w:eastAsia="SimSun"/>
                <w:lang w:eastAsia="zh-CN"/>
              </w:rPr>
              <w:t>000)</w:t>
            </w:r>
          </w:p>
        </w:tc>
        <w:tc>
          <w:tcPr>
            <w:tcW w:w="956" w:type="dxa"/>
            <w:shd w:val="clear" w:color="auto" w:fill="auto"/>
          </w:tcPr>
          <w:p w:rsidR="00D7505A" w:rsidRPr="00624D71" w:rsidRDefault="00D7505A" w:rsidP="00523771">
            <w:pPr>
              <w:pStyle w:val="Normal-pool"/>
              <w:jc w:val="right"/>
              <w:rPr>
                <w:rFonts w:eastAsia="SimSun"/>
                <w:lang w:eastAsia="zh-CN"/>
              </w:rPr>
            </w:pPr>
            <w:r w:rsidRPr="00624D71">
              <w:rPr>
                <w:rFonts w:eastAsia="SimSun"/>
                <w:lang w:eastAsia="zh-CN"/>
              </w:rPr>
              <w:t>9</w:t>
            </w:r>
            <w:r w:rsidR="00DA45F9">
              <w:rPr>
                <w:rFonts w:eastAsia="SimSun"/>
                <w:lang w:eastAsia="zh-CN"/>
              </w:rPr>
              <w:t xml:space="preserve"> </w:t>
            </w:r>
            <w:r w:rsidRPr="00624D71">
              <w:rPr>
                <w:rFonts w:eastAsia="SimSun"/>
                <w:lang w:eastAsia="zh-CN"/>
              </w:rPr>
              <w:t>000</w:t>
            </w:r>
          </w:p>
        </w:tc>
      </w:tr>
      <w:tr w:rsidR="00947ED6" w:rsidRPr="00624D71" w:rsidDel="001E184E" w:rsidTr="00775FC8">
        <w:trPr>
          <w:trHeight w:val="560"/>
          <w:jc w:val="right"/>
        </w:trPr>
        <w:tc>
          <w:tcPr>
            <w:tcW w:w="627" w:type="dxa"/>
            <w:vMerge/>
            <w:shd w:val="clear" w:color="auto" w:fill="auto"/>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532" w:type="dxa"/>
            <w:shd w:val="clear" w:color="auto" w:fill="auto"/>
          </w:tcPr>
          <w:p w:rsidR="00D7505A" w:rsidRPr="00624D71" w:rsidRDefault="00D7505A" w:rsidP="00523771">
            <w:pPr>
              <w:pStyle w:val="Normal-pool"/>
              <w:rPr>
                <w:rFonts w:eastAsia="SimSun"/>
                <w:lang w:eastAsia="zh-CN"/>
              </w:rPr>
            </w:pPr>
            <w:r w:rsidRPr="00624D71">
              <w:rPr>
                <w:rFonts w:eastAsia="SimSun"/>
                <w:lang w:eastAsia="zh-CN"/>
              </w:rPr>
              <w:t>Dissemination</w:t>
            </w:r>
            <w:r w:rsidR="00367590" w:rsidRPr="00523771">
              <w:rPr>
                <w:rFonts w:eastAsia="SimSun"/>
                <w:lang w:eastAsia="zh-CN"/>
              </w:rPr>
              <w:t xml:space="preserve"> and outreach</w:t>
            </w:r>
            <w:r w:rsidRPr="00624D71">
              <w:rPr>
                <w:rFonts w:eastAsia="SimSun"/>
                <w:lang w:eastAsia="zh-CN"/>
              </w:rPr>
              <w:t xml:space="preserve"> (</w:t>
            </w:r>
            <w:r w:rsidR="00FA42BA" w:rsidRPr="00624D71">
              <w:rPr>
                <w:rFonts w:eastAsia="SimSun"/>
                <w:lang w:eastAsia="zh-CN"/>
              </w:rPr>
              <w:t>summary for policymakers</w:t>
            </w:r>
            <w:r w:rsidR="00367590" w:rsidRPr="00523771">
              <w:rPr>
                <w:rFonts w:eastAsia="SimSun"/>
                <w:lang w:eastAsia="zh-CN"/>
              </w:rPr>
              <w:t xml:space="preserve"> (10 pages)</w:t>
            </w:r>
            <w:r w:rsidR="00FA42BA" w:rsidRPr="00624D71">
              <w:rPr>
                <w:rFonts w:eastAsia="SimSun"/>
                <w:lang w:eastAsia="zh-CN"/>
              </w:rPr>
              <w:t xml:space="preserve"> and </w:t>
            </w:r>
            <w:r w:rsidRPr="00624D71">
              <w:rPr>
                <w:rFonts w:eastAsia="SimSun"/>
                <w:lang w:eastAsia="zh-CN"/>
              </w:rPr>
              <w:t xml:space="preserve">report </w:t>
            </w:r>
            <w:r w:rsidR="00367590" w:rsidRPr="00523771">
              <w:rPr>
                <w:rFonts w:eastAsia="SimSun"/>
                <w:lang w:eastAsia="zh-CN"/>
              </w:rPr>
              <w:t>(200 pages)</w:t>
            </w:r>
            <w:r w:rsidRPr="00624D71">
              <w:rPr>
                <w:rFonts w:eastAsia="SimSun"/>
                <w:lang w:eastAsia="zh-CN"/>
              </w:rPr>
              <w:t>)</w:t>
            </w:r>
            <w:r w:rsidR="00FA42BA" w:rsidRPr="00624D71">
              <w:rPr>
                <w:rFonts w:eastAsia="SimSun"/>
                <w:lang w:eastAsia="zh-CN"/>
              </w:rPr>
              <w:t xml:space="preserve"> </w:t>
            </w:r>
          </w:p>
        </w:tc>
        <w:tc>
          <w:tcPr>
            <w:tcW w:w="3119" w:type="dxa"/>
            <w:shd w:val="clear" w:color="auto" w:fill="auto"/>
          </w:tcPr>
          <w:p w:rsidR="00D7505A" w:rsidRPr="00624D71" w:rsidRDefault="00624D71" w:rsidP="00966BC3">
            <w:pPr>
              <w:pStyle w:val="Normal-pool"/>
              <w:rPr>
                <w:rFonts w:eastAsia="SimSun"/>
                <w:lang w:eastAsia="zh-CN"/>
              </w:rPr>
            </w:pPr>
            <w:r>
              <w:rPr>
                <w:rFonts w:eastAsia="SimSun"/>
                <w:lang w:eastAsia="zh-CN"/>
              </w:rPr>
              <w:t xml:space="preserve">Translation </w:t>
            </w:r>
            <w:r w:rsidR="00D7505A" w:rsidRPr="00624D71">
              <w:rPr>
                <w:rFonts w:eastAsia="SimSun"/>
                <w:lang w:eastAsia="zh-CN"/>
              </w:rPr>
              <w:t>of</w:t>
            </w:r>
            <w:r w:rsidR="00FA42BA" w:rsidRPr="00624D71">
              <w:rPr>
                <w:rFonts w:eastAsia="SimSun"/>
                <w:lang w:eastAsia="zh-CN"/>
              </w:rPr>
              <w:t xml:space="preserve"> the summary </w:t>
            </w:r>
            <w:r w:rsidR="00D67AAD" w:rsidRPr="00624D71">
              <w:rPr>
                <w:rFonts w:eastAsia="SimSun"/>
                <w:lang w:eastAsia="zh-CN"/>
              </w:rPr>
              <w:t>for policy</w:t>
            </w:r>
            <w:r w:rsidR="00FA42BA" w:rsidRPr="00624D71">
              <w:rPr>
                <w:rFonts w:eastAsia="SimSun"/>
                <w:lang w:eastAsia="zh-CN"/>
              </w:rPr>
              <w:t>makers in</w:t>
            </w:r>
            <w:r>
              <w:rPr>
                <w:rFonts w:eastAsia="SimSun"/>
                <w:lang w:eastAsia="zh-CN"/>
              </w:rPr>
              <w:t>to</w:t>
            </w:r>
            <w:r w:rsidR="00FA42BA" w:rsidRPr="00624D71">
              <w:rPr>
                <w:rFonts w:eastAsia="SimSun"/>
                <w:lang w:eastAsia="zh-CN"/>
              </w:rPr>
              <w:t xml:space="preserve"> </w:t>
            </w:r>
            <w:r>
              <w:rPr>
                <w:rFonts w:eastAsia="SimSun"/>
                <w:lang w:eastAsia="zh-CN"/>
              </w:rPr>
              <w:t xml:space="preserve">all of </w:t>
            </w:r>
            <w:r w:rsidR="00FA42BA" w:rsidRPr="00624D71">
              <w:rPr>
                <w:rFonts w:eastAsia="SimSun"/>
                <w:lang w:eastAsia="zh-CN"/>
              </w:rPr>
              <w:t>official</w:t>
            </w:r>
            <w:r>
              <w:rPr>
                <w:rFonts w:eastAsia="SimSun"/>
                <w:lang w:eastAsia="zh-CN"/>
              </w:rPr>
              <w:t xml:space="preserve"> languages of the </w:t>
            </w:r>
            <w:r w:rsidR="00FA42BA" w:rsidRPr="00624D71">
              <w:rPr>
                <w:rFonts w:eastAsia="SimSun"/>
                <w:lang w:eastAsia="zh-CN"/>
              </w:rPr>
              <w:t xml:space="preserve"> United Nations l</w:t>
            </w:r>
            <w:r w:rsidR="00D7505A" w:rsidRPr="00624D71">
              <w:rPr>
                <w:rFonts w:eastAsia="SimSun"/>
                <w:lang w:eastAsia="zh-CN"/>
              </w:rPr>
              <w:t>anguages,</w:t>
            </w:r>
            <w:r>
              <w:rPr>
                <w:rFonts w:eastAsia="SimSun"/>
                <w:lang w:eastAsia="zh-CN"/>
              </w:rPr>
              <w:t xml:space="preserve"> publication and</w:t>
            </w:r>
            <w:r w:rsidR="00D7505A" w:rsidRPr="00624D71">
              <w:rPr>
                <w:rFonts w:eastAsia="SimSun"/>
                <w:lang w:eastAsia="zh-CN"/>
              </w:rPr>
              <w:t xml:space="preserve"> outreach</w:t>
            </w:r>
          </w:p>
        </w:tc>
        <w:tc>
          <w:tcPr>
            <w:tcW w:w="956" w:type="dxa"/>
            <w:shd w:val="clear" w:color="auto" w:fill="auto"/>
          </w:tcPr>
          <w:p w:rsidR="00D7505A" w:rsidRPr="00624D71" w:rsidDel="001E184E" w:rsidRDefault="00D7505A" w:rsidP="00523771">
            <w:pPr>
              <w:pStyle w:val="Normal-pool"/>
              <w:jc w:val="right"/>
              <w:rPr>
                <w:rFonts w:eastAsia="SimSun"/>
                <w:lang w:eastAsia="zh-CN"/>
              </w:rPr>
            </w:pPr>
            <w:r w:rsidRPr="00624D71">
              <w:rPr>
                <w:rFonts w:eastAsia="SimSun"/>
                <w:lang w:eastAsia="zh-CN"/>
              </w:rPr>
              <w:t>117</w:t>
            </w:r>
            <w:r w:rsidR="00DA45F9">
              <w:rPr>
                <w:rFonts w:eastAsia="SimSun"/>
                <w:lang w:eastAsia="zh-CN"/>
              </w:rPr>
              <w:t xml:space="preserve"> </w:t>
            </w:r>
            <w:r w:rsidRPr="00624D71">
              <w:rPr>
                <w:rFonts w:eastAsia="SimSun"/>
                <w:lang w:eastAsia="zh-CN"/>
              </w:rPr>
              <w:t>000</w:t>
            </w:r>
          </w:p>
        </w:tc>
      </w:tr>
      <w:tr w:rsidR="00947ED6" w:rsidRPr="00624D71" w:rsidTr="00775FC8">
        <w:trPr>
          <w:jc w:val="right"/>
        </w:trPr>
        <w:tc>
          <w:tcPr>
            <w:tcW w:w="627" w:type="dxa"/>
            <w:shd w:val="clear" w:color="auto" w:fill="auto"/>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b/>
                <w:sz w:val="20"/>
                <w:szCs w:val="20"/>
                <w:lang w:eastAsia="zh-CN"/>
              </w:rPr>
            </w:pPr>
            <w:r w:rsidRPr="00624D71">
              <w:rPr>
                <w:rFonts w:ascii="Times New Roman" w:eastAsia="SimSun" w:hAnsi="Times New Roman"/>
                <w:b/>
                <w:sz w:val="20"/>
                <w:szCs w:val="20"/>
                <w:lang w:eastAsia="zh-CN"/>
              </w:rPr>
              <w:t>Total</w:t>
            </w:r>
          </w:p>
        </w:tc>
        <w:tc>
          <w:tcPr>
            <w:tcW w:w="3532" w:type="dxa"/>
            <w:shd w:val="clear" w:color="auto" w:fill="auto"/>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3119" w:type="dxa"/>
            <w:shd w:val="clear" w:color="auto" w:fill="auto"/>
          </w:tcPr>
          <w:p w:rsidR="00D7505A" w:rsidRPr="00624D71" w:rsidRDefault="00D7505A" w:rsidP="00492DE8">
            <w:pPr>
              <w:pStyle w:val="ListParagraph"/>
              <w:tabs>
                <w:tab w:val="left" w:pos="426"/>
              </w:tabs>
              <w:autoSpaceDE w:val="0"/>
              <w:autoSpaceDN w:val="0"/>
              <w:adjustRightInd w:val="0"/>
              <w:spacing w:before="60" w:after="60"/>
              <w:ind w:left="0"/>
              <w:contextualSpacing w:val="0"/>
              <w:rPr>
                <w:rFonts w:ascii="Times New Roman" w:eastAsia="SimSun" w:hAnsi="Times New Roman"/>
                <w:sz w:val="20"/>
                <w:szCs w:val="20"/>
                <w:lang w:eastAsia="zh-CN"/>
              </w:rPr>
            </w:pPr>
          </w:p>
        </w:tc>
        <w:tc>
          <w:tcPr>
            <w:tcW w:w="956" w:type="dxa"/>
            <w:shd w:val="clear" w:color="auto" w:fill="auto"/>
          </w:tcPr>
          <w:p w:rsidR="00D7505A" w:rsidRPr="00624D71" w:rsidRDefault="00D7505A" w:rsidP="00966BC3">
            <w:pPr>
              <w:pStyle w:val="ListParagraph"/>
              <w:tabs>
                <w:tab w:val="left" w:pos="426"/>
              </w:tabs>
              <w:autoSpaceDE w:val="0"/>
              <w:autoSpaceDN w:val="0"/>
              <w:adjustRightInd w:val="0"/>
              <w:spacing w:before="60" w:after="60"/>
              <w:ind w:left="0"/>
              <w:contextualSpacing w:val="0"/>
              <w:jc w:val="right"/>
              <w:rPr>
                <w:rFonts w:ascii="Times New Roman" w:eastAsia="SimSun" w:hAnsi="Times New Roman"/>
                <w:b/>
                <w:sz w:val="20"/>
                <w:szCs w:val="20"/>
                <w:lang w:eastAsia="zh-CN"/>
              </w:rPr>
            </w:pPr>
            <w:r w:rsidRPr="00624D71">
              <w:rPr>
                <w:rFonts w:ascii="Times New Roman" w:eastAsia="SimSun" w:hAnsi="Times New Roman"/>
                <w:b/>
                <w:sz w:val="20"/>
                <w:szCs w:val="20"/>
                <w:lang w:eastAsia="zh-CN"/>
              </w:rPr>
              <w:t>81</w:t>
            </w:r>
            <w:r w:rsidR="00225770">
              <w:rPr>
                <w:rFonts w:ascii="Times New Roman" w:eastAsia="SimSun" w:hAnsi="Times New Roman"/>
                <w:b/>
                <w:sz w:val="20"/>
                <w:szCs w:val="20"/>
                <w:lang w:eastAsia="zh-CN"/>
              </w:rPr>
              <w:t>6</w:t>
            </w:r>
            <w:r w:rsidR="00DA45F9">
              <w:rPr>
                <w:rFonts w:ascii="Times New Roman" w:eastAsia="SimSun" w:hAnsi="Times New Roman"/>
                <w:b/>
                <w:sz w:val="20"/>
                <w:szCs w:val="20"/>
                <w:lang w:eastAsia="zh-CN"/>
              </w:rPr>
              <w:t xml:space="preserve"> </w:t>
            </w:r>
            <w:r w:rsidR="00225770">
              <w:rPr>
                <w:rFonts w:ascii="Times New Roman" w:eastAsia="SimSun" w:hAnsi="Times New Roman"/>
                <w:b/>
                <w:sz w:val="20"/>
                <w:szCs w:val="20"/>
                <w:lang w:eastAsia="zh-CN"/>
              </w:rPr>
              <w:t>7</w:t>
            </w:r>
            <w:r w:rsidRPr="00624D71">
              <w:rPr>
                <w:rFonts w:ascii="Times New Roman" w:eastAsia="SimSun" w:hAnsi="Times New Roman"/>
                <w:b/>
                <w:sz w:val="20"/>
                <w:szCs w:val="20"/>
                <w:lang w:eastAsia="zh-CN"/>
              </w:rPr>
              <w:t>50</w:t>
            </w:r>
          </w:p>
        </w:tc>
      </w:tr>
    </w:tbl>
    <w:p w:rsidR="00D7505A" w:rsidRPr="00B172F7" w:rsidRDefault="00D7505A" w:rsidP="00546FC7">
      <w:pPr>
        <w:pStyle w:val="Normal-pool"/>
      </w:pPr>
    </w:p>
    <w:tbl>
      <w:tblPr>
        <w:tblW w:w="0" w:type="auto"/>
        <w:tblLook w:val="01E0"/>
      </w:tblPr>
      <w:tblGrid>
        <w:gridCol w:w="3237"/>
        <w:gridCol w:w="3237"/>
        <w:gridCol w:w="3238"/>
      </w:tblGrid>
      <w:tr w:rsidR="00D7505A" w:rsidRPr="00492DE8" w:rsidTr="003E4043">
        <w:tc>
          <w:tcPr>
            <w:tcW w:w="3237" w:type="dxa"/>
          </w:tcPr>
          <w:p w:rsidR="00D7505A" w:rsidRPr="00B172F7" w:rsidRDefault="00D7505A" w:rsidP="00AF2776">
            <w:pPr>
              <w:pStyle w:val="Normal-pool"/>
              <w:rPr>
                <w:sz w:val="18"/>
                <w:szCs w:val="18"/>
              </w:rPr>
            </w:pPr>
          </w:p>
        </w:tc>
        <w:tc>
          <w:tcPr>
            <w:tcW w:w="3237" w:type="dxa"/>
            <w:tcBorders>
              <w:bottom w:val="single" w:sz="4" w:space="0" w:color="auto"/>
            </w:tcBorders>
          </w:tcPr>
          <w:p w:rsidR="00D7505A" w:rsidRPr="00B172F7" w:rsidRDefault="00D7505A" w:rsidP="00AF2776">
            <w:pPr>
              <w:pStyle w:val="Normal-pool"/>
              <w:rPr>
                <w:sz w:val="18"/>
                <w:szCs w:val="18"/>
              </w:rPr>
            </w:pPr>
          </w:p>
        </w:tc>
        <w:tc>
          <w:tcPr>
            <w:tcW w:w="3238" w:type="dxa"/>
          </w:tcPr>
          <w:p w:rsidR="00D7505A" w:rsidRPr="00B172F7" w:rsidRDefault="00D7505A" w:rsidP="00AF2776">
            <w:pPr>
              <w:pStyle w:val="Normal-pool"/>
              <w:rPr>
                <w:sz w:val="18"/>
                <w:szCs w:val="18"/>
              </w:rPr>
            </w:pPr>
          </w:p>
        </w:tc>
      </w:tr>
    </w:tbl>
    <w:p w:rsidR="003A086E" w:rsidRPr="00B172F7" w:rsidRDefault="003A086E" w:rsidP="00775FC8">
      <w:pPr>
        <w:pStyle w:val="Normal-pool"/>
      </w:pPr>
    </w:p>
    <w:sectPr w:rsidR="003A086E" w:rsidRPr="00B172F7" w:rsidSect="00713D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15" w:rsidRDefault="00947815">
      <w:r>
        <w:separator/>
      </w:r>
    </w:p>
  </w:endnote>
  <w:endnote w:type="continuationSeparator" w:id="0">
    <w:p w:rsidR="00947815" w:rsidRDefault="00947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Default="001E4ECA">
    <w:pPr>
      <w:pStyle w:val="Footer"/>
    </w:pPr>
    <w:r>
      <w:rPr>
        <w:rStyle w:val="PageNumber"/>
      </w:rPr>
      <w:fldChar w:fldCharType="begin"/>
    </w:r>
    <w:r>
      <w:rPr>
        <w:rStyle w:val="PageNumber"/>
      </w:rPr>
      <w:instrText xml:space="preserve"> PAGE </w:instrText>
    </w:r>
    <w:r>
      <w:rPr>
        <w:rStyle w:val="PageNumber"/>
      </w:rPr>
      <w:fldChar w:fldCharType="separate"/>
    </w:r>
    <w:r w:rsidR="002A4E5E">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Default="001E4ECA"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A4E5E">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Pr="00947ED6" w:rsidRDefault="001E4ECA" w:rsidP="00947ED6">
    <w:pPr>
      <w:pStyle w:val="Footer"/>
      <w:tabs>
        <w:tab w:val="clear" w:pos="4320"/>
        <w:tab w:val="clear" w:pos="8640"/>
        <w:tab w:val="left" w:pos="624"/>
      </w:tabs>
      <w:rPr>
        <w:rFonts w:ascii="Times New Roman" w:hAnsi="Times New Roman"/>
        <w:sz w:val="20"/>
        <w:szCs w:val="20"/>
      </w:rPr>
    </w:pPr>
    <w:r w:rsidRPr="00947ED6">
      <w:rPr>
        <w:rFonts w:ascii="Times New Roman" w:hAnsi="Times New Roman"/>
        <w:sz w:val="20"/>
        <w:szCs w:val="20"/>
      </w:rPr>
      <w:t>K1353324</w:t>
    </w:r>
    <w:r w:rsidRPr="00947ED6">
      <w:rPr>
        <w:rFonts w:ascii="Times New Roman" w:hAnsi="Times New Roman"/>
        <w:sz w:val="20"/>
        <w:szCs w:val="20"/>
      </w:rPr>
      <w:tab/>
    </w:r>
    <w:r>
      <w:rPr>
        <w:rFonts w:ascii="Times New Roman" w:hAnsi="Times New Roman"/>
        <w:sz w:val="20"/>
        <w:szCs w:val="20"/>
      </w:rPr>
      <w:t>2</w:t>
    </w:r>
    <w:r w:rsidR="00476EC2">
      <w:rPr>
        <w:rFonts w:ascii="Times New Roman" w:hAnsi="Times New Roman"/>
        <w:sz w:val="20"/>
        <w:szCs w:val="20"/>
      </w:rPr>
      <w:t>8</w:t>
    </w:r>
    <w:r w:rsidRPr="00947ED6">
      <w:rPr>
        <w:rFonts w:ascii="Times New Roman" w:hAnsi="Times New Roman"/>
        <w:sz w:val="20"/>
        <w:szCs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15" w:rsidRDefault="00947815" w:rsidP="00775FC8">
      <w:pPr>
        <w:pStyle w:val="Normal-pool"/>
        <w:spacing w:after="120"/>
        <w:ind w:left="624"/>
      </w:pPr>
      <w:r>
        <w:separator/>
      </w:r>
    </w:p>
  </w:footnote>
  <w:footnote w:type="continuationSeparator" w:id="0">
    <w:p w:rsidR="00947815" w:rsidRPr="00444A7B" w:rsidRDefault="00947815" w:rsidP="00775FC8">
      <w:pPr>
        <w:pStyle w:val="Normal-pool"/>
        <w:spacing w:after="120"/>
        <w:ind w:left="624"/>
      </w:pPr>
      <w:r w:rsidRPr="003E61BB">
        <w:continuationSeparator/>
      </w:r>
    </w:p>
  </w:footnote>
  <w:footnote w:id="1">
    <w:p w:rsidR="001E4ECA" w:rsidRPr="00775FC8" w:rsidRDefault="001E4ECA" w:rsidP="00D7505A">
      <w:pPr>
        <w:pStyle w:val="FootnoteText"/>
        <w:tabs>
          <w:tab w:val="clear" w:pos="1247"/>
          <w:tab w:val="clear" w:pos="1814"/>
          <w:tab w:val="clear" w:pos="2381"/>
          <w:tab w:val="clear" w:pos="2948"/>
          <w:tab w:val="clear" w:pos="3515"/>
          <w:tab w:val="left" w:pos="624"/>
        </w:tabs>
        <w:rPr>
          <w:szCs w:val="18"/>
          <w:lang w:val="en-US"/>
        </w:rPr>
      </w:pPr>
      <w:r w:rsidRPr="00775FC8">
        <w:rPr>
          <w:rStyle w:val="FootnoteReference"/>
          <w:sz w:val="18"/>
        </w:rPr>
        <w:sym w:font="Symbol" w:char="F02A"/>
      </w:r>
      <w:r w:rsidRPr="00775FC8">
        <w:rPr>
          <w:szCs w:val="18"/>
        </w:rPr>
        <w:t xml:space="preserve"> IPBES/</w:t>
      </w:r>
      <w:r w:rsidRPr="00775FC8">
        <w:rPr>
          <w:szCs w:val="18"/>
          <w:lang w:eastAsia="ja-JP"/>
        </w:rPr>
        <w:t>2/1.</w:t>
      </w:r>
    </w:p>
  </w:footnote>
  <w:footnote w:id="2">
    <w:p w:rsidR="001E4ECA" w:rsidRPr="003C5211" w:rsidRDefault="001E4ECA" w:rsidP="00D7505A">
      <w:pPr>
        <w:pStyle w:val="FootnoteText"/>
        <w:rPr>
          <w:szCs w:val="18"/>
          <w:lang w:val="en-GB"/>
        </w:rPr>
      </w:pPr>
      <w:r w:rsidRPr="003C5211">
        <w:rPr>
          <w:rStyle w:val="FootnoteReference"/>
          <w:sz w:val="18"/>
          <w:lang w:val="en-GB"/>
        </w:rPr>
        <w:footnoteRef/>
      </w:r>
      <w:r w:rsidRPr="003C5211">
        <w:rPr>
          <w:szCs w:val="18"/>
          <w:lang w:val="en-GB"/>
        </w:rPr>
        <w:t xml:space="preserve"> http://www.sciencedaily.com/releases/2008/09/080915122725.htm.</w:t>
      </w:r>
    </w:p>
  </w:footnote>
  <w:footnote w:id="3">
    <w:p w:rsidR="001E4ECA" w:rsidRPr="003D2C13" w:rsidRDefault="001E4ECA" w:rsidP="00D7505A">
      <w:pPr>
        <w:pStyle w:val="FootnoteText"/>
        <w:rPr>
          <w:szCs w:val="18"/>
          <w:lang w:val="en-GB"/>
        </w:rPr>
      </w:pPr>
      <w:r w:rsidRPr="003C5211">
        <w:rPr>
          <w:rStyle w:val="FootnoteReference"/>
          <w:sz w:val="18"/>
          <w:lang w:val="en-GB"/>
        </w:rPr>
        <w:footnoteRef/>
      </w:r>
      <w:r w:rsidRPr="003C5211">
        <w:rPr>
          <w:szCs w:val="18"/>
          <w:lang w:val="en-GB"/>
        </w:rPr>
        <w:t xml:space="preserve"> </w:t>
      </w:r>
      <w:r w:rsidRPr="00697289">
        <w:rPr>
          <w:szCs w:val="18"/>
          <w:lang w:val="en-GB"/>
        </w:rPr>
        <w:t>Be</w:t>
      </w:r>
      <w:r w:rsidRPr="00546FC7">
        <w:rPr>
          <w:szCs w:val="18"/>
          <w:lang w:val="en-GB"/>
        </w:rPr>
        <w:t xml:space="preserve">rnard Vaissière, </w:t>
      </w:r>
      <w:r w:rsidRPr="00775FC8">
        <w:rPr>
          <w:szCs w:val="18"/>
          <w:lang w:val="en-GB"/>
        </w:rPr>
        <w:t xml:space="preserve">Breno </w:t>
      </w:r>
      <w:r w:rsidRPr="00546FC7">
        <w:rPr>
          <w:szCs w:val="18"/>
          <w:lang w:val="en-GB"/>
        </w:rPr>
        <w:t>Freitas</w:t>
      </w:r>
      <w:r w:rsidRPr="00AF2776">
        <w:rPr>
          <w:szCs w:val="18"/>
          <w:lang w:val="en-GB"/>
        </w:rPr>
        <w:t xml:space="preserve"> and </w:t>
      </w:r>
      <w:r w:rsidRPr="00EB7AAE">
        <w:rPr>
          <w:szCs w:val="18"/>
          <w:lang w:val="en-GB"/>
        </w:rPr>
        <w:t xml:space="preserve">Barbara Gemmill-Herren, </w:t>
      </w:r>
      <w:r w:rsidRPr="00EB7AAE">
        <w:rPr>
          <w:i/>
          <w:szCs w:val="18"/>
          <w:lang w:val="en-GB"/>
        </w:rPr>
        <w:t>Protocol to Detect and Assess Pollination Deficits in Crops: A Handbook for its Use</w:t>
      </w:r>
      <w:r w:rsidRPr="00523771">
        <w:rPr>
          <w:szCs w:val="18"/>
          <w:lang w:val="en-GB"/>
        </w:rPr>
        <w:t xml:space="preserve"> (Global Environment Facility, United Nations Environment Programme and F</w:t>
      </w:r>
      <w:r w:rsidRPr="00624D71">
        <w:rPr>
          <w:szCs w:val="18"/>
          <w:lang w:val="en-GB"/>
        </w:rPr>
        <w:t>ood and Agriculture Organization of the United Nations</w:t>
      </w:r>
      <w:r w:rsidRPr="00523771">
        <w:rPr>
          <w:szCs w:val="18"/>
          <w:lang w:val="en-GB"/>
        </w:rPr>
        <w:t xml:space="preserve">, 2011). </w:t>
      </w:r>
    </w:p>
  </w:footnote>
  <w:footnote w:id="4">
    <w:p w:rsidR="001E4ECA" w:rsidRPr="003C5211" w:rsidRDefault="001E4ECA" w:rsidP="00D7505A">
      <w:pPr>
        <w:pStyle w:val="FootnoteText"/>
        <w:rPr>
          <w:szCs w:val="18"/>
          <w:lang w:val="en-GB"/>
        </w:rPr>
      </w:pPr>
      <w:r w:rsidRPr="003D2C13">
        <w:rPr>
          <w:rStyle w:val="FootnoteReference"/>
          <w:sz w:val="18"/>
          <w:lang w:val="en-GB"/>
        </w:rPr>
        <w:footnoteRef/>
      </w:r>
      <w:r w:rsidRPr="003D2C13">
        <w:rPr>
          <w:szCs w:val="18"/>
          <w:lang w:val="en-GB"/>
        </w:rPr>
        <w:t xml:space="preserve"> The Global Biodiversity Information Facility provides access to over 300 million standardized primary biodiversity records globally.</w:t>
      </w:r>
    </w:p>
  </w:footnote>
  <w:footnote w:id="5">
    <w:p w:rsidR="001E4ECA" w:rsidRPr="003C5211" w:rsidRDefault="001E4ECA" w:rsidP="00D7505A">
      <w:pPr>
        <w:pStyle w:val="FootnoteText"/>
        <w:rPr>
          <w:szCs w:val="18"/>
          <w:lang w:val="en-GB"/>
        </w:rPr>
      </w:pPr>
      <w:r w:rsidRPr="003C5211">
        <w:rPr>
          <w:rStyle w:val="FootnoteReference"/>
          <w:sz w:val="18"/>
          <w:lang w:val="en-GB"/>
        </w:rPr>
        <w:footnoteRef/>
      </w:r>
      <w:r w:rsidRPr="003C5211">
        <w:rPr>
          <w:szCs w:val="18"/>
          <w:lang w:val="en-GB"/>
        </w:rPr>
        <w:t xml:space="preserve"> </w:t>
      </w:r>
      <w:hyperlink r:id="rId1" w:history="1">
        <w:r w:rsidRPr="003C5211">
          <w:rPr>
            <w:rStyle w:val="Hyperlink"/>
            <w:sz w:val="18"/>
            <w:szCs w:val="18"/>
            <w:lang w:val="en-GB"/>
          </w:rPr>
          <w:t>http://www.reading.ac.uk/caer/project_alarm.html</w:t>
        </w:r>
      </w:hyperlink>
      <w:r w:rsidRPr="003C5211">
        <w:rPr>
          <w:rStyle w:val="Hyperlink"/>
          <w:sz w:val="18"/>
          <w:szCs w:val="18"/>
          <w:lang w:val="en-GB"/>
        </w:rPr>
        <w:t>.</w:t>
      </w:r>
    </w:p>
  </w:footnote>
  <w:footnote w:id="6">
    <w:p w:rsidR="001E4ECA" w:rsidRPr="00B172F7" w:rsidRDefault="001E4ECA" w:rsidP="00D7505A">
      <w:pPr>
        <w:pStyle w:val="FootnoteText"/>
        <w:rPr>
          <w:szCs w:val="18"/>
        </w:rPr>
      </w:pPr>
      <w:r w:rsidRPr="00B172F7">
        <w:rPr>
          <w:rStyle w:val="FootnoteReference"/>
          <w:sz w:val="18"/>
        </w:rPr>
        <w:footnoteRef/>
      </w:r>
      <w:r w:rsidRPr="00B172F7">
        <w:rPr>
          <w:szCs w:val="18"/>
        </w:rPr>
        <w:t xml:space="preserve"> </w:t>
      </w:r>
      <w:hyperlink r:id="rId2" w:history="1">
        <w:r w:rsidRPr="00B172F7">
          <w:rPr>
            <w:rStyle w:val="Hyperlink"/>
            <w:sz w:val="18"/>
            <w:szCs w:val="18"/>
          </w:rPr>
          <w:t>http://www.step-project.net/</w:t>
        </w:r>
      </w:hyperlink>
      <w:r>
        <w:rPr>
          <w:rStyle w:val="Hyperlink"/>
          <w:sz w:val="18"/>
          <w:szCs w:val="18"/>
        </w:rPr>
        <w:t>.</w:t>
      </w:r>
    </w:p>
  </w:footnote>
  <w:footnote w:id="7">
    <w:p w:rsidR="001E4ECA" w:rsidRPr="00B172F7" w:rsidRDefault="001E4ECA" w:rsidP="00D542C2">
      <w:pPr>
        <w:pStyle w:val="FootnoteText"/>
        <w:rPr>
          <w:szCs w:val="18"/>
        </w:rPr>
      </w:pPr>
      <w:r w:rsidRPr="00B172F7">
        <w:rPr>
          <w:rStyle w:val="FootnoteReference"/>
          <w:sz w:val="18"/>
        </w:rPr>
        <w:footnoteRef/>
      </w:r>
      <w:r w:rsidRPr="00B172F7">
        <w:rPr>
          <w:szCs w:val="18"/>
        </w:rPr>
        <w:t xml:space="preserve"> www.naturalcapitalproject.org</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Pr="00492DE8" w:rsidRDefault="001E4ECA">
    <w:pPr>
      <w:pStyle w:val="Header"/>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492DE8">
      <w:rPr>
        <w:rFonts w:ascii="Times New Roman" w:eastAsia="MS Mincho" w:hAnsi="Times New Roman"/>
        <w:szCs w:val="18"/>
        <w:lang w:eastAsia="ja-JP"/>
      </w:rPr>
      <w:t>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Pr="003C5211" w:rsidRDefault="001E4ECA" w:rsidP="003C5211">
    <w:pPr>
      <w:pStyle w:val="Header"/>
      <w:jc w:val="right"/>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3C5211">
      <w:rPr>
        <w:rFonts w:ascii="Times New Roman" w:eastAsia="MS Mincho" w:hAnsi="Times New Roman"/>
        <w:szCs w:val="18"/>
        <w:lang w:eastAsia="ja-JP"/>
      </w:rPr>
      <w:t>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CA" w:rsidRPr="00775FC8" w:rsidRDefault="001E4ECA" w:rsidP="00775FC8">
    <w:pPr>
      <w:pStyle w:val="Header"/>
      <w:pBdr>
        <w:bottom w:val="none" w:sz="0" w:space="0" w:color="auto"/>
      </w:pBdr>
      <w:tabs>
        <w:tab w:val="clear" w:pos="4536"/>
        <w:tab w:val="clear" w:pos="9072"/>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1623A36"/>
    <w:multiLevelType w:val="hybridMultilevel"/>
    <w:tmpl w:val="E5A20F80"/>
    <w:lvl w:ilvl="0" w:tplc="33406FC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
    <w:nsid w:val="62291BF8"/>
    <w:multiLevelType w:val="multilevel"/>
    <w:tmpl w:val="F4ACF36E"/>
    <w:numStyleLink w:val="Normallist"/>
  </w:abstractNum>
  <w:abstractNum w:abstractNumId="5">
    <w:nsid w:val="632B3D17"/>
    <w:multiLevelType w:val="hybridMultilevel"/>
    <w:tmpl w:val="E7C05C32"/>
    <w:lvl w:ilvl="0" w:tplc="C982205C">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62D1898"/>
    <w:multiLevelType w:val="hybridMultilevel"/>
    <w:tmpl w:val="8B048B04"/>
    <w:lvl w:ilvl="0" w:tplc="54F80282">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2"/>
  </w:num>
  <w:num w:numId="2">
    <w:abstractNumId w:val="0"/>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 w:numId="17">
    <w:abstractNumId w:val="6"/>
  </w:num>
  <w:num w:numId="18">
    <w:abstractNumId w:val="5"/>
  </w:num>
  <w:num w:numId="19">
    <w:abstractNumId w:val="4"/>
  </w:num>
  <w:num w:numId="20">
    <w:abstractNumId w:val="4"/>
  </w:num>
  <w:num w:numId="21">
    <w:abstractNumId w:val="4"/>
  </w:num>
  <w:num w:numId="22">
    <w:abstractNumId w:val="4"/>
  </w:num>
  <w:num w:numId="2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D7505A"/>
    <w:rsid w:val="0000055E"/>
    <w:rsid w:val="00001735"/>
    <w:rsid w:val="000149E6"/>
    <w:rsid w:val="000150DC"/>
    <w:rsid w:val="000247B0"/>
    <w:rsid w:val="00024BD5"/>
    <w:rsid w:val="000256E6"/>
    <w:rsid w:val="00026997"/>
    <w:rsid w:val="00033E0B"/>
    <w:rsid w:val="00034848"/>
    <w:rsid w:val="00035EDE"/>
    <w:rsid w:val="000509B4"/>
    <w:rsid w:val="0006035B"/>
    <w:rsid w:val="0007166E"/>
    <w:rsid w:val="00071886"/>
    <w:rsid w:val="000742BC"/>
    <w:rsid w:val="00082A0C"/>
    <w:rsid w:val="00083504"/>
    <w:rsid w:val="0009640C"/>
    <w:rsid w:val="000B06BB"/>
    <w:rsid w:val="000B21D5"/>
    <w:rsid w:val="000B22A2"/>
    <w:rsid w:val="000C2A52"/>
    <w:rsid w:val="000D33C0"/>
    <w:rsid w:val="000D6941"/>
    <w:rsid w:val="000F1A70"/>
    <w:rsid w:val="000F6547"/>
    <w:rsid w:val="00100494"/>
    <w:rsid w:val="00115428"/>
    <w:rsid w:val="001202E3"/>
    <w:rsid w:val="00123699"/>
    <w:rsid w:val="0012466F"/>
    <w:rsid w:val="0013059D"/>
    <w:rsid w:val="001317BC"/>
    <w:rsid w:val="00141A55"/>
    <w:rsid w:val="001439D8"/>
    <w:rsid w:val="001446A3"/>
    <w:rsid w:val="00155395"/>
    <w:rsid w:val="00160890"/>
    <w:rsid w:val="00181EC8"/>
    <w:rsid w:val="00184349"/>
    <w:rsid w:val="001872AE"/>
    <w:rsid w:val="00195F33"/>
    <w:rsid w:val="001B1617"/>
    <w:rsid w:val="001B504B"/>
    <w:rsid w:val="001B572B"/>
    <w:rsid w:val="001D3874"/>
    <w:rsid w:val="001D7E75"/>
    <w:rsid w:val="001E4ECA"/>
    <w:rsid w:val="001E56D2"/>
    <w:rsid w:val="001E7D56"/>
    <w:rsid w:val="001F06F7"/>
    <w:rsid w:val="001F12C8"/>
    <w:rsid w:val="001F75DE"/>
    <w:rsid w:val="00200D58"/>
    <w:rsid w:val="002013BE"/>
    <w:rsid w:val="002063A4"/>
    <w:rsid w:val="0021145B"/>
    <w:rsid w:val="002213CF"/>
    <w:rsid w:val="00225770"/>
    <w:rsid w:val="00243D36"/>
    <w:rsid w:val="00247707"/>
    <w:rsid w:val="00254F39"/>
    <w:rsid w:val="002657A9"/>
    <w:rsid w:val="00286740"/>
    <w:rsid w:val="002929D8"/>
    <w:rsid w:val="002A237D"/>
    <w:rsid w:val="002A4C53"/>
    <w:rsid w:val="002A4E5E"/>
    <w:rsid w:val="002A750E"/>
    <w:rsid w:val="002B0672"/>
    <w:rsid w:val="002B1B4C"/>
    <w:rsid w:val="002B2452"/>
    <w:rsid w:val="002B247F"/>
    <w:rsid w:val="002C145D"/>
    <w:rsid w:val="002C2C3E"/>
    <w:rsid w:val="002C533E"/>
    <w:rsid w:val="002D027F"/>
    <w:rsid w:val="002D28AE"/>
    <w:rsid w:val="002D7A85"/>
    <w:rsid w:val="002D7B60"/>
    <w:rsid w:val="002D7DBC"/>
    <w:rsid w:val="002E0AD1"/>
    <w:rsid w:val="002F4761"/>
    <w:rsid w:val="002F5C79"/>
    <w:rsid w:val="003019E2"/>
    <w:rsid w:val="0031413F"/>
    <w:rsid w:val="003148BB"/>
    <w:rsid w:val="00314BF5"/>
    <w:rsid w:val="003156D6"/>
    <w:rsid w:val="003158D2"/>
    <w:rsid w:val="00317976"/>
    <w:rsid w:val="00330BE5"/>
    <w:rsid w:val="00355EA9"/>
    <w:rsid w:val="003578DE"/>
    <w:rsid w:val="00367590"/>
    <w:rsid w:val="00367FC7"/>
    <w:rsid w:val="0037617C"/>
    <w:rsid w:val="00396257"/>
    <w:rsid w:val="00397EB8"/>
    <w:rsid w:val="003A086E"/>
    <w:rsid w:val="003A4FD0"/>
    <w:rsid w:val="003A69D1"/>
    <w:rsid w:val="003A7705"/>
    <w:rsid w:val="003B1545"/>
    <w:rsid w:val="003C409D"/>
    <w:rsid w:val="003C5211"/>
    <w:rsid w:val="003C5BA6"/>
    <w:rsid w:val="003D2C13"/>
    <w:rsid w:val="003E4043"/>
    <w:rsid w:val="003E61BB"/>
    <w:rsid w:val="003F0E85"/>
    <w:rsid w:val="003F78D2"/>
    <w:rsid w:val="00402B45"/>
    <w:rsid w:val="004046EF"/>
    <w:rsid w:val="00405251"/>
    <w:rsid w:val="00410C55"/>
    <w:rsid w:val="00416854"/>
    <w:rsid w:val="00417725"/>
    <w:rsid w:val="0042553E"/>
    <w:rsid w:val="00427741"/>
    <w:rsid w:val="00436D35"/>
    <w:rsid w:val="00437F26"/>
    <w:rsid w:val="00444097"/>
    <w:rsid w:val="00444A7B"/>
    <w:rsid w:val="00445487"/>
    <w:rsid w:val="00454769"/>
    <w:rsid w:val="00465F13"/>
    <w:rsid w:val="00466991"/>
    <w:rsid w:val="0047064C"/>
    <w:rsid w:val="00473F0B"/>
    <w:rsid w:val="00476EC2"/>
    <w:rsid w:val="004916D4"/>
    <w:rsid w:val="00492DE8"/>
    <w:rsid w:val="00497D7E"/>
    <w:rsid w:val="004A2DF0"/>
    <w:rsid w:val="004A42E1"/>
    <w:rsid w:val="004B162C"/>
    <w:rsid w:val="004C0C7B"/>
    <w:rsid w:val="004C3DBE"/>
    <w:rsid w:val="004C5C96"/>
    <w:rsid w:val="004D06A4"/>
    <w:rsid w:val="004F1A81"/>
    <w:rsid w:val="005218D9"/>
    <w:rsid w:val="00522D3E"/>
    <w:rsid w:val="005231E1"/>
    <w:rsid w:val="00523771"/>
    <w:rsid w:val="00523A59"/>
    <w:rsid w:val="00536186"/>
    <w:rsid w:val="00544CBB"/>
    <w:rsid w:val="00545EC5"/>
    <w:rsid w:val="00546FC7"/>
    <w:rsid w:val="0055325F"/>
    <w:rsid w:val="00562956"/>
    <w:rsid w:val="0057315F"/>
    <w:rsid w:val="005731F5"/>
    <w:rsid w:val="00576104"/>
    <w:rsid w:val="0059134D"/>
    <w:rsid w:val="005B2B21"/>
    <w:rsid w:val="005C1805"/>
    <w:rsid w:val="005C67C8"/>
    <w:rsid w:val="005C7169"/>
    <w:rsid w:val="005D0249"/>
    <w:rsid w:val="005D6C1A"/>
    <w:rsid w:val="005D6E8C"/>
    <w:rsid w:val="005F100C"/>
    <w:rsid w:val="005F3F24"/>
    <w:rsid w:val="005F68DA"/>
    <w:rsid w:val="00605C15"/>
    <w:rsid w:val="0060773B"/>
    <w:rsid w:val="006157B5"/>
    <w:rsid w:val="0061644F"/>
    <w:rsid w:val="006237C4"/>
    <w:rsid w:val="00624D71"/>
    <w:rsid w:val="00626FC6"/>
    <w:rsid w:val="006303B4"/>
    <w:rsid w:val="00633D3D"/>
    <w:rsid w:val="00641703"/>
    <w:rsid w:val="006431A6"/>
    <w:rsid w:val="006459F6"/>
    <w:rsid w:val="006501AD"/>
    <w:rsid w:val="00651BFA"/>
    <w:rsid w:val="00665A4B"/>
    <w:rsid w:val="006718DB"/>
    <w:rsid w:val="006837D1"/>
    <w:rsid w:val="00692E2A"/>
    <w:rsid w:val="00697289"/>
    <w:rsid w:val="006A03AE"/>
    <w:rsid w:val="006A45CB"/>
    <w:rsid w:val="006A76F2"/>
    <w:rsid w:val="006D7EFB"/>
    <w:rsid w:val="006E6672"/>
    <w:rsid w:val="006E6722"/>
    <w:rsid w:val="006F2954"/>
    <w:rsid w:val="006F61F9"/>
    <w:rsid w:val="006F7874"/>
    <w:rsid w:val="007027B9"/>
    <w:rsid w:val="00713D8F"/>
    <w:rsid w:val="00715E88"/>
    <w:rsid w:val="00725FB0"/>
    <w:rsid w:val="00734952"/>
    <w:rsid w:val="00734CAA"/>
    <w:rsid w:val="00752EAD"/>
    <w:rsid w:val="0075533C"/>
    <w:rsid w:val="00757581"/>
    <w:rsid w:val="007611A0"/>
    <w:rsid w:val="00775FC8"/>
    <w:rsid w:val="00796D3F"/>
    <w:rsid w:val="007A1683"/>
    <w:rsid w:val="007A36F8"/>
    <w:rsid w:val="007A5C12"/>
    <w:rsid w:val="007A79C6"/>
    <w:rsid w:val="007A7CB0"/>
    <w:rsid w:val="007B2241"/>
    <w:rsid w:val="007B68A3"/>
    <w:rsid w:val="007B7D4A"/>
    <w:rsid w:val="007C0F15"/>
    <w:rsid w:val="007C2541"/>
    <w:rsid w:val="007C463F"/>
    <w:rsid w:val="007D66A8"/>
    <w:rsid w:val="007E003F"/>
    <w:rsid w:val="007E1138"/>
    <w:rsid w:val="00801060"/>
    <w:rsid w:val="00802E72"/>
    <w:rsid w:val="00811044"/>
    <w:rsid w:val="00812755"/>
    <w:rsid w:val="00813617"/>
    <w:rsid w:val="008164F2"/>
    <w:rsid w:val="00820830"/>
    <w:rsid w:val="00821395"/>
    <w:rsid w:val="00830E26"/>
    <w:rsid w:val="0083382D"/>
    <w:rsid w:val="00843576"/>
    <w:rsid w:val="00843B64"/>
    <w:rsid w:val="008478FC"/>
    <w:rsid w:val="00867BFF"/>
    <w:rsid w:val="00871066"/>
    <w:rsid w:val="0088480A"/>
    <w:rsid w:val="0088757A"/>
    <w:rsid w:val="008957DD"/>
    <w:rsid w:val="00897D98"/>
    <w:rsid w:val="008A03CB"/>
    <w:rsid w:val="008A26B4"/>
    <w:rsid w:val="008A6DF2"/>
    <w:rsid w:val="008A7807"/>
    <w:rsid w:val="008B0D61"/>
    <w:rsid w:val="008B4CC9"/>
    <w:rsid w:val="008C618E"/>
    <w:rsid w:val="008D74E3"/>
    <w:rsid w:val="008D7C99"/>
    <w:rsid w:val="008E0FCB"/>
    <w:rsid w:val="008E1ED1"/>
    <w:rsid w:val="008F45EB"/>
    <w:rsid w:val="0092178C"/>
    <w:rsid w:val="00924C4A"/>
    <w:rsid w:val="00930B88"/>
    <w:rsid w:val="009316CF"/>
    <w:rsid w:val="00940DCC"/>
    <w:rsid w:val="0094179A"/>
    <w:rsid w:val="00942AA3"/>
    <w:rsid w:val="0094459E"/>
    <w:rsid w:val="00944DBC"/>
    <w:rsid w:val="00947815"/>
    <w:rsid w:val="00947ED6"/>
    <w:rsid w:val="00950977"/>
    <w:rsid w:val="00951A7B"/>
    <w:rsid w:val="009564A6"/>
    <w:rsid w:val="00966BC3"/>
    <w:rsid w:val="00967621"/>
    <w:rsid w:val="00967C74"/>
    <w:rsid w:val="00967E6A"/>
    <w:rsid w:val="00984757"/>
    <w:rsid w:val="009935AC"/>
    <w:rsid w:val="00997AE4"/>
    <w:rsid w:val="009B4A0F"/>
    <w:rsid w:val="009C11D2"/>
    <w:rsid w:val="009C6C70"/>
    <w:rsid w:val="009D0B63"/>
    <w:rsid w:val="009D4810"/>
    <w:rsid w:val="009E2B41"/>
    <w:rsid w:val="009E307E"/>
    <w:rsid w:val="009E3D7E"/>
    <w:rsid w:val="00A064DE"/>
    <w:rsid w:val="00A07870"/>
    <w:rsid w:val="00A07F19"/>
    <w:rsid w:val="00A1348D"/>
    <w:rsid w:val="00A206D5"/>
    <w:rsid w:val="00A232EE"/>
    <w:rsid w:val="00A37A2E"/>
    <w:rsid w:val="00A4175F"/>
    <w:rsid w:val="00A44411"/>
    <w:rsid w:val="00A469FA"/>
    <w:rsid w:val="00A55B01"/>
    <w:rsid w:val="00A56B5B"/>
    <w:rsid w:val="00A603FF"/>
    <w:rsid w:val="00A657DD"/>
    <w:rsid w:val="00A666A6"/>
    <w:rsid w:val="00A667F8"/>
    <w:rsid w:val="00A675FD"/>
    <w:rsid w:val="00A72437"/>
    <w:rsid w:val="00A80611"/>
    <w:rsid w:val="00A8314D"/>
    <w:rsid w:val="00A84CC2"/>
    <w:rsid w:val="00AB3D63"/>
    <w:rsid w:val="00AB5340"/>
    <w:rsid w:val="00AB64FD"/>
    <w:rsid w:val="00AC7C96"/>
    <w:rsid w:val="00AE237D"/>
    <w:rsid w:val="00AE502A"/>
    <w:rsid w:val="00AE77A9"/>
    <w:rsid w:val="00AF2776"/>
    <w:rsid w:val="00AF4524"/>
    <w:rsid w:val="00AF7C07"/>
    <w:rsid w:val="00B1254B"/>
    <w:rsid w:val="00B172F7"/>
    <w:rsid w:val="00B22C93"/>
    <w:rsid w:val="00B2546B"/>
    <w:rsid w:val="00B27589"/>
    <w:rsid w:val="00B36966"/>
    <w:rsid w:val="00B405B7"/>
    <w:rsid w:val="00B52222"/>
    <w:rsid w:val="00B54FE7"/>
    <w:rsid w:val="00B66901"/>
    <w:rsid w:val="00B71E6D"/>
    <w:rsid w:val="00B72070"/>
    <w:rsid w:val="00B779E1"/>
    <w:rsid w:val="00B856BC"/>
    <w:rsid w:val="00B91EE1"/>
    <w:rsid w:val="00BA0090"/>
    <w:rsid w:val="00BA1A67"/>
    <w:rsid w:val="00BE26E7"/>
    <w:rsid w:val="00BE4ACA"/>
    <w:rsid w:val="00BE5B5F"/>
    <w:rsid w:val="00C14DE3"/>
    <w:rsid w:val="00C26F55"/>
    <w:rsid w:val="00C30BC5"/>
    <w:rsid w:val="00C30C63"/>
    <w:rsid w:val="00C36B8B"/>
    <w:rsid w:val="00C47DBF"/>
    <w:rsid w:val="00C552FF"/>
    <w:rsid w:val="00C558DA"/>
    <w:rsid w:val="00C55AF3"/>
    <w:rsid w:val="00C7008D"/>
    <w:rsid w:val="00C84759"/>
    <w:rsid w:val="00C91927"/>
    <w:rsid w:val="00CA6C7F"/>
    <w:rsid w:val="00CC10A6"/>
    <w:rsid w:val="00CD4D1C"/>
    <w:rsid w:val="00CD5EB8"/>
    <w:rsid w:val="00CD7044"/>
    <w:rsid w:val="00CE08B9"/>
    <w:rsid w:val="00CE13FF"/>
    <w:rsid w:val="00CE524C"/>
    <w:rsid w:val="00CF141F"/>
    <w:rsid w:val="00CF4777"/>
    <w:rsid w:val="00CF57ED"/>
    <w:rsid w:val="00D00CB4"/>
    <w:rsid w:val="00D067BB"/>
    <w:rsid w:val="00D1352A"/>
    <w:rsid w:val="00D169AF"/>
    <w:rsid w:val="00D25249"/>
    <w:rsid w:val="00D36DF5"/>
    <w:rsid w:val="00D41151"/>
    <w:rsid w:val="00D44172"/>
    <w:rsid w:val="00D44667"/>
    <w:rsid w:val="00D4614C"/>
    <w:rsid w:val="00D542C2"/>
    <w:rsid w:val="00D54E48"/>
    <w:rsid w:val="00D63B8C"/>
    <w:rsid w:val="00D67AAD"/>
    <w:rsid w:val="00D739CC"/>
    <w:rsid w:val="00D7505A"/>
    <w:rsid w:val="00D804F1"/>
    <w:rsid w:val="00D8093D"/>
    <w:rsid w:val="00D8108C"/>
    <w:rsid w:val="00D842AE"/>
    <w:rsid w:val="00D858B9"/>
    <w:rsid w:val="00D9211C"/>
    <w:rsid w:val="00D92DE0"/>
    <w:rsid w:val="00D92FEF"/>
    <w:rsid w:val="00D93A0F"/>
    <w:rsid w:val="00DA00D3"/>
    <w:rsid w:val="00DA1BCA"/>
    <w:rsid w:val="00DA45F9"/>
    <w:rsid w:val="00DC46FF"/>
    <w:rsid w:val="00DC5254"/>
    <w:rsid w:val="00DC719F"/>
    <w:rsid w:val="00DD1A4F"/>
    <w:rsid w:val="00DD3107"/>
    <w:rsid w:val="00DD4733"/>
    <w:rsid w:val="00DD7C2C"/>
    <w:rsid w:val="00E04D04"/>
    <w:rsid w:val="00E06797"/>
    <w:rsid w:val="00E1265B"/>
    <w:rsid w:val="00E13B48"/>
    <w:rsid w:val="00E1404F"/>
    <w:rsid w:val="00E21C83"/>
    <w:rsid w:val="00E227E6"/>
    <w:rsid w:val="00E2371B"/>
    <w:rsid w:val="00E24ADA"/>
    <w:rsid w:val="00E32F59"/>
    <w:rsid w:val="00E46D9A"/>
    <w:rsid w:val="00E565FF"/>
    <w:rsid w:val="00E65388"/>
    <w:rsid w:val="00E808D0"/>
    <w:rsid w:val="00E85B7D"/>
    <w:rsid w:val="00E8635B"/>
    <w:rsid w:val="00E87CA3"/>
    <w:rsid w:val="00E9121B"/>
    <w:rsid w:val="00EA0AE2"/>
    <w:rsid w:val="00EA39E5"/>
    <w:rsid w:val="00EB2B06"/>
    <w:rsid w:val="00EB7AAE"/>
    <w:rsid w:val="00EC5A46"/>
    <w:rsid w:val="00EC63E2"/>
    <w:rsid w:val="00ED455D"/>
    <w:rsid w:val="00EF22B3"/>
    <w:rsid w:val="00EF23F1"/>
    <w:rsid w:val="00F03B69"/>
    <w:rsid w:val="00F0458A"/>
    <w:rsid w:val="00F05F07"/>
    <w:rsid w:val="00F07A50"/>
    <w:rsid w:val="00F113DA"/>
    <w:rsid w:val="00F15539"/>
    <w:rsid w:val="00F37DC8"/>
    <w:rsid w:val="00F439B3"/>
    <w:rsid w:val="00F44E19"/>
    <w:rsid w:val="00F46977"/>
    <w:rsid w:val="00F5798B"/>
    <w:rsid w:val="00F650C3"/>
    <w:rsid w:val="00F65D85"/>
    <w:rsid w:val="00F8091E"/>
    <w:rsid w:val="00F841DB"/>
    <w:rsid w:val="00F8615C"/>
    <w:rsid w:val="00F969E5"/>
    <w:rsid w:val="00F96D74"/>
    <w:rsid w:val="00FA1584"/>
    <w:rsid w:val="00FA42BA"/>
    <w:rsid w:val="00FA6BB0"/>
    <w:rsid w:val="00FB2DF2"/>
    <w:rsid w:val="00FC2738"/>
    <w:rsid w:val="00FC4E08"/>
    <w:rsid w:val="00FC59C1"/>
    <w:rsid w:val="00FD5860"/>
    <w:rsid w:val="00FE352D"/>
    <w:rsid w:val="00FE40EB"/>
    <w:rsid w:val="00FE4D02"/>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5A"/>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E2371B"/>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styleId="ListParagraph">
    <w:name w:val="List Paragraph"/>
    <w:basedOn w:val="Normal"/>
    <w:uiPriority w:val="34"/>
    <w:qFormat/>
    <w:rsid w:val="00D7505A"/>
    <w:pPr>
      <w:ind w:left="720"/>
      <w:contextualSpacing/>
    </w:pPr>
  </w:style>
  <w:style w:type="paragraph" w:customStyle="1" w:styleId="ColorfulList-Accent11">
    <w:name w:val="Colorful List - Accent 11"/>
    <w:basedOn w:val="Normal"/>
    <w:uiPriority w:val="34"/>
    <w:qFormat/>
    <w:rsid w:val="00D7505A"/>
    <w:pPr>
      <w:ind w:left="720"/>
      <w:contextualSpacing/>
    </w:pPr>
  </w:style>
  <w:style w:type="character" w:customStyle="1" w:styleId="FootnoteTextChar">
    <w:name w:val="Footnote Text Char"/>
    <w:link w:val="FootnoteText"/>
    <w:uiPriority w:val="99"/>
    <w:semiHidden/>
    <w:rsid w:val="00D7505A"/>
    <w:rPr>
      <w:sz w:val="18"/>
      <w:lang w:val="fr-CA" w:eastAsia="en-US"/>
    </w:rPr>
  </w:style>
  <w:style w:type="table" w:styleId="TableGrid">
    <w:name w:val="Table Grid"/>
    <w:basedOn w:val="TableNormal"/>
    <w:uiPriority w:val="59"/>
    <w:rsid w:val="00D7505A"/>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oolChar">
    <w:name w:val="Normal-pool Char"/>
    <w:link w:val="Normal-pool"/>
    <w:rsid w:val="00D7505A"/>
    <w:rPr>
      <w:lang w:val="en-GB" w:eastAsia="en-US"/>
    </w:rPr>
  </w:style>
  <w:style w:type="paragraph" w:styleId="BalloonText">
    <w:name w:val="Balloon Text"/>
    <w:basedOn w:val="Normal"/>
    <w:link w:val="BalloonTextChar"/>
    <w:rsid w:val="00546FC7"/>
    <w:pPr>
      <w:spacing w:after="0" w:line="240" w:lineRule="auto"/>
    </w:pPr>
    <w:rPr>
      <w:rFonts w:ascii="Tahoma" w:hAnsi="Tahoma" w:cs="Tahoma"/>
      <w:sz w:val="16"/>
      <w:szCs w:val="16"/>
    </w:rPr>
  </w:style>
  <w:style w:type="character" w:customStyle="1" w:styleId="BalloonTextChar">
    <w:name w:val="Balloon Text Char"/>
    <w:link w:val="BalloonText"/>
    <w:rsid w:val="00546FC7"/>
    <w:rPr>
      <w:rFonts w:ascii="Tahoma" w:eastAsia="Calibri" w:hAnsi="Tahoma" w:cs="Tahoma"/>
      <w:sz w:val="16"/>
      <w:szCs w:val="16"/>
      <w:lang w:val="en-GB"/>
    </w:rPr>
  </w:style>
  <w:style w:type="paragraph" w:styleId="Revision">
    <w:name w:val="Revision"/>
    <w:hidden/>
    <w:uiPriority w:val="99"/>
    <w:semiHidden/>
    <w:rsid w:val="001F12C8"/>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tep-project.net/" TargetMode="External"/><Relationship Id="rId1" Type="http://schemas.openxmlformats.org/officeDocument/2006/relationships/hyperlink" Target="http://www.reading.ac.uk/caer/project_al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DF69-3D62-4A56-BC4F-1C23CF79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11335</CharactersWithSpaces>
  <SharedDoc>false</SharedDoc>
  <HLinks>
    <vt:vector size="12" baseType="variant">
      <vt:variant>
        <vt:i4>983104</vt:i4>
      </vt:variant>
      <vt:variant>
        <vt:i4>3</vt:i4>
      </vt:variant>
      <vt:variant>
        <vt:i4>0</vt:i4>
      </vt:variant>
      <vt:variant>
        <vt:i4>5</vt:i4>
      </vt:variant>
      <vt:variant>
        <vt:lpwstr>http://www.step-project.net/</vt:lpwstr>
      </vt:variant>
      <vt:variant>
        <vt:lpwstr/>
      </vt:variant>
      <vt:variant>
        <vt:i4>3604573</vt:i4>
      </vt:variant>
      <vt:variant>
        <vt:i4>0</vt:i4>
      </vt:variant>
      <vt:variant>
        <vt:i4>0</vt:i4>
      </vt:variant>
      <vt:variant>
        <vt:i4>5</vt:i4>
      </vt:variant>
      <vt:variant>
        <vt:lpwstr>http://www.reading.ac.uk/caer/project_alarm.html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Elizabeth Ngamate</dc:creator>
  <cp:lastModifiedBy>Rohan</cp:lastModifiedBy>
  <cp:revision>2</cp:revision>
  <cp:lastPrinted>2013-10-31T08:38:00Z</cp:lastPrinted>
  <dcterms:created xsi:type="dcterms:W3CDTF">2013-11-06T17:58:00Z</dcterms:created>
  <dcterms:modified xsi:type="dcterms:W3CDTF">2013-11-06T17:58:00Z</dcterms:modified>
</cp:coreProperties>
</file>