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8034CE" w:rsidRPr="008C00D6" w14:paraId="5B8B4158" w14:textId="77777777" w:rsidTr="009527C6">
        <w:trPr>
          <w:cantSplit/>
          <w:trHeight w:val="1079"/>
          <w:jc w:val="right"/>
        </w:trPr>
        <w:tc>
          <w:tcPr>
            <w:tcW w:w="1526" w:type="dxa"/>
          </w:tcPr>
          <w:p w14:paraId="6D74CDB2" w14:textId="77777777" w:rsidR="008034CE" w:rsidRPr="0081483A" w:rsidRDefault="008034CE" w:rsidP="00D62DAC">
            <w:pPr>
              <w:keepNext/>
              <w:spacing w:before="40" w:after="0" w:line="240" w:lineRule="auto"/>
              <w:outlineLvl w:val="1"/>
              <w:rPr>
                <w:rFonts w:ascii="Times New Roman" w:hAnsi="Times New Roman"/>
                <w:sz w:val="27"/>
                <w:szCs w:val="27"/>
                <w:lang w:val="en-GB"/>
              </w:rPr>
            </w:pPr>
            <w:bookmarkStart w:id="0" w:name="_GoBack"/>
            <w:bookmarkEnd w:id="0"/>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350407AC"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02CD46E1" wp14:editId="1824C549">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76A71B70"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55B1470E" wp14:editId="0CFFC426">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03D47C3F" w14:textId="77777777" w:rsidR="008034CE" w:rsidRPr="0081483A" w:rsidRDefault="008034CE" w:rsidP="008034CE">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4B149409" wp14:editId="6F7FF9E1">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09AF2760" w14:textId="77777777" w:rsidR="008034CE" w:rsidRPr="0081483A" w:rsidRDefault="008034CE" w:rsidP="00985ADF">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1BA21A10" wp14:editId="34CE8BE4">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1F8640FA" w14:textId="77777777" w:rsidR="008034CE" w:rsidRPr="0081483A" w:rsidRDefault="008034CE" w:rsidP="00D62DAC">
            <w:pPr>
              <w:spacing w:after="0" w:line="240" w:lineRule="auto"/>
              <w:jc w:val="center"/>
              <w:rPr>
                <w:rFonts w:ascii="Times New Roman" w:hAnsi="Times New Roman"/>
                <w:sz w:val="20"/>
                <w:szCs w:val="20"/>
                <w:lang w:val="en-GB"/>
              </w:rPr>
            </w:pPr>
            <w:r>
              <w:rPr>
                <w:noProof/>
              </w:rPr>
              <w:drawing>
                <wp:inline distT="0" distB="0" distL="0" distR="0" wp14:anchorId="72D96684" wp14:editId="193EDB1A">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7C778C03" w14:textId="77777777" w:rsidR="008034CE" w:rsidRPr="0081483A" w:rsidRDefault="008034CE" w:rsidP="00D62DAC">
            <w:pPr>
              <w:spacing w:after="0" w:line="240" w:lineRule="auto"/>
              <w:jc w:val="center"/>
              <w:rPr>
                <w:rFonts w:ascii="Times New Roman" w:hAnsi="Times New Roman"/>
                <w:sz w:val="20"/>
                <w:szCs w:val="20"/>
                <w:lang w:val="en-GB"/>
              </w:rPr>
            </w:pPr>
          </w:p>
        </w:tc>
        <w:tc>
          <w:tcPr>
            <w:tcW w:w="1666" w:type="dxa"/>
          </w:tcPr>
          <w:p w14:paraId="11433D16" w14:textId="77777777" w:rsidR="008034CE" w:rsidRPr="003F1D30" w:rsidRDefault="008034CE" w:rsidP="00D62DAC">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8034CE" w:rsidRPr="008C00D6" w14:paraId="7DCFEF2B" w14:textId="77777777" w:rsidTr="009527C6">
        <w:trPr>
          <w:cantSplit/>
          <w:trHeight w:val="282"/>
          <w:jc w:val="right"/>
        </w:trPr>
        <w:tc>
          <w:tcPr>
            <w:tcW w:w="1526" w:type="dxa"/>
            <w:tcBorders>
              <w:bottom w:val="single" w:sz="2" w:space="0" w:color="auto"/>
            </w:tcBorders>
          </w:tcPr>
          <w:p w14:paraId="0856AA55" w14:textId="77777777" w:rsidR="008034CE" w:rsidRPr="0081483A"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7FD13ECA" w14:textId="77777777" w:rsidR="008034CE" w:rsidRPr="00EA5E72"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1962C944" w14:textId="77777777" w:rsidR="008034CE" w:rsidRPr="00EA5E72" w:rsidRDefault="008034CE" w:rsidP="00D62DAC">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sidR="003A10A9">
              <w:rPr>
                <w:rFonts w:ascii="Times New Roman" w:eastAsia="Times New Roman" w:hAnsi="Times New Roman"/>
                <w:sz w:val="20"/>
                <w:szCs w:val="20"/>
                <w:lang w:val="en-GB"/>
              </w:rPr>
              <w:t>/5/INF/5</w:t>
            </w:r>
          </w:p>
        </w:tc>
      </w:tr>
      <w:tr w:rsidR="008034CE" w:rsidRPr="008C00D6" w14:paraId="57EBE540" w14:textId="77777777" w:rsidTr="009527C6">
        <w:trPr>
          <w:cantSplit/>
          <w:trHeight w:val="1433"/>
          <w:jc w:val="right"/>
        </w:trPr>
        <w:tc>
          <w:tcPr>
            <w:tcW w:w="2009" w:type="dxa"/>
            <w:gridSpan w:val="2"/>
            <w:tcBorders>
              <w:top w:val="single" w:sz="2" w:space="0" w:color="auto"/>
              <w:bottom w:val="single" w:sz="24" w:space="0" w:color="auto"/>
            </w:tcBorders>
          </w:tcPr>
          <w:p w14:paraId="2D17510A" w14:textId="77777777" w:rsidR="008034CE" w:rsidRPr="0081483A" w:rsidRDefault="008034CE" w:rsidP="00D62DAC">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1B6845BF" wp14:editId="0A4866F0">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728CAF64" w14:textId="77777777"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1A318977" w14:textId="23103D77"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00680531">
              <w:rPr>
                <w:rFonts w:ascii="Times New Roman" w:eastAsia="Times New Roman" w:hAnsi="Times New Roman"/>
                <w:sz w:val="20"/>
                <w:szCs w:val="20"/>
              </w:rPr>
              <w:t>26</w:t>
            </w:r>
            <w:r w:rsidR="00680531" w:rsidRPr="00347222">
              <w:rPr>
                <w:rFonts w:ascii="Times New Roman" w:eastAsia="Times New Roman" w:hAnsi="Times New Roman"/>
                <w:sz w:val="20"/>
                <w:szCs w:val="20"/>
              </w:rPr>
              <w:t xml:space="preserve"> </w:t>
            </w:r>
            <w:r w:rsidR="00347222" w:rsidRPr="00347222">
              <w:rPr>
                <w:rFonts w:ascii="Times New Roman" w:eastAsia="Times New Roman" w:hAnsi="Times New Roman"/>
                <w:sz w:val="20"/>
                <w:szCs w:val="20"/>
              </w:rPr>
              <w:t>January 2017</w:t>
            </w:r>
          </w:p>
          <w:p w14:paraId="797350B3" w14:textId="4112C5DD" w:rsidR="008034CE" w:rsidRPr="009E78C3"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English</w:t>
            </w:r>
            <w:r w:rsidR="0086607D">
              <w:rPr>
                <w:rFonts w:ascii="Times New Roman" w:eastAsia="Times New Roman" w:hAnsi="Times New Roman"/>
                <w:sz w:val="20"/>
                <w:szCs w:val="20"/>
                <w:lang w:val="en-GB"/>
              </w:rPr>
              <w:t xml:space="preserve"> only</w:t>
            </w:r>
          </w:p>
        </w:tc>
      </w:tr>
    </w:tbl>
    <w:p w14:paraId="0FC6BCC4" w14:textId="77777777" w:rsidR="007F3540" w:rsidRPr="00EA5E72" w:rsidRDefault="007F3540" w:rsidP="00EA5E72">
      <w:pPr>
        <w:pStyle w:val="AATitle"/>
        <w:keepNext w:val="0"/>
        <w:keepLines w:val="0"/>
        <w:tabs>
          <w:tab w:val="clear" w:pos="4082"/>
        </w:tabs>
        <w:ind w:right="3402"/>
      </w:pPr>
      <w:r>
        <w:t>Plenary of the Intergovernmental Science-Policy</w:t>
      </w:r>
    </w:p>
    <w:p w14:paraId="56446FFC" w14:textId="77777777" w:rsidR="007F3540" w:rsidRPr="00EA5E72" w:rsidRDefault="007F3540" w:rsidP="00EA5E72">
      <w:pPr>
        <w:pStyle w:val="AATitle"/>
        <w:keepNext w:val="0"/>
        <w:keepLines w:val="0"/>
        <w:tabs>
          <w:tab w:val="clear" w:pos="4082"/>
        </w:tabs>
        <w:ind w:right="3402"/>
      </w:pPr>
      <w:r w:rsidRPr="0081483A">
        <w:t>Platform on Biodiversity and Ecosystem Services</w:t>
      </w:r>
    </w:p>
    <w:p w14:paraId="1A890D03" w14:textId="4B3E4ABB" w:rsidR="007F3540" w:rsidRPr="00EA5E72" w:rsidRDefault="007F3540" w:rsidP="00EA5E72">
      <w:pPr>
        <w:pStyle w:val="AATitle"/>
        <w:keepNext w:val="0"/>
        <w:keepLines w:val="0"/>
        <w:tabs>
          <w:tab w:val="clear" w:pos="4082"/>
        </w:tabs>
        <w:ind w:right="3402"/>
      </w:pPr>
      <w:r w:rsidRPr="0081483A">
        <w:t>F</w:t>
      </w:r>
      <w:r>
        <w:t>ifth</w:t>
      </w:r>
      <w:r w:rsidRPr="0081483A">
        <w:t xml:space="preserve"> session</w:t>
      </w:r>
    </w:p>
    <w:p w14:paraId="16C4E63D" w14:textId="77777777" w:rsidR="007F3540" w:rsidRDefault="007F3540" w:rsidP="00EA5E72">
      <w:pPr>
        <w:pStyle w:val="AATitle"/>
        <w:keepNext w:val="0"/>
        <w:keepLines w:val="0"/>
        <w:tabs>
          <w:tab w:val="clear" w:pos="4082"/>
        </w:tabs>
        <w:ind w:right="3402"/>
        <w:rPr>
          <w:b w:val="0"/>
          <w:lang w:eastAsia="ja-JP"/>
        </w:rPr>
      </w:pPr>
      <w:r w:rsidRPr="00EA5E72">
        <w:rPr>
          <w:b w:val="0"/>
          <w:lang w:eastAsia="ja-JP"/>
        </w:rPr>
        <w:t xml:space="preserve">Bonn, Germany, </w:t>
      </w:r>
      <w:r w:rsidR="00984A20">
        <w:rPr>
          <w:b w:val="0"/>
          <w:lang w:eastAsia="ja-JP"/>
        </w:rPr>
        <w:t>7</w:t>
      </w:r>
      <w:r w:rsidR="009E78C3" w:rsidRPr="00EA5E72">
        <w:rPr>
          <w:b w:val="0"/>
          <w:lang w:eastAsia="ja-JP"/>
        </w:rPr>
        <w:t>–</w:t>
      </w:r>
      <w:r w:rsidRPr="00EA5E72">
        <w:rPr>
          <w:b w:val="0"/>
          <w:lang w:eastAsia="ja-JP"/>
        </w:rPr>
        <w:t>10 March 2017</w:t>
      </w:r>
    </w:p>
    <w:p w14:paraId="1AC163D7" w14:textId="77777777" w:rsidR="003A10A9" w:rsidRPr="00F9521B" w:rsidRDefault="003A10A9" w:rsidP="002473EF">
      <w:pPr>
        <w:pStyle w:val="AgendaItemTitle"/>
        <w:spacing w:after="60"/>
        <w:ind w:right="3396"/>
        <w:rPr>
          <w:b w:val="0"/>
        </w:rPr>
      </w:pPr>
      <w:r w:rsidRPr="00B628DE">
        <w:rPr>
          <w:b w:val="0"/>
        </w:rPr>
        <w:t>Item 6 (c)</w:t>
      </w:r>
      <w:r>
        <w:rPr>
          <w:b w:val="0"/>
        </w:rPr>
        <w:t xml:space="preserve"> of the provisional agenda</w:t>
      </w:r>
      <w:r w:rsidRPr="00B23629">
        <w:rPr>
          <w:rStyle w:val="FootnoteReference"/>
          <w:b w:val="0"/>
          <w:vertAlign w:val="baseline"/>
        </w:rPr>
        <w:footnoteReference w:id="1"/>
      </w:r>
    </w:p>
    <w:p w14:paraId="081FF2FF" w14:textId="77777777" w:rsidR="003A10A9" w:rsidRPr="008429B3" w:rsidRDefault="003A10A9" w:rsidP="002473EF">
      <w:pPr>
        <w:pStyle w:val="AATitle2"/>
        <w:spacing w:before="60" w:after="60"/>
      </w:pPr>
      <w:r>
        <w:t>Work programme of the Platform: k</w:t>
      </w:r>
      <w:r w:rsidRPr="008A6135">
        <w:t>nowledge and data</w:t>
      </w:r>
      <w:r>
        <w:t xml:space="preserve"> </w:t>
      </w:r>
    </w:p>
    <w:p w14:paraId="4CB9C37A" w14:textId="77777777" w:rsidR="003A10A9" w:rsidRPr="00AE7103" w:rsidRDefault="003A10A9" w:rsidP="00E35C65">
      <w:pPr>
        <w:pStyle w:val="BBTitle"/>
        <w:rPr>
          <w:color w:val="000000" w:themeColor="text1"/>
        </w:rPr>
      </w:pPr>
      <w:r>
        <w:t>Update on the w</w:t>
      </w:r>
      <w:r w:rsidRPr="00CB35E1">
        <w:t xml:space="preserve">ork on knowledge and data (deliverables 1 (d) and </w:t>
      </w:r>
      <w:r w:rsidRPr="00AE7103">
        <w:rPr>
          <w:color w:val="000000" w:themeColor="text1"/>
        </w:rPr>
        <w:t>4 (b))</w:t>
      </w:r>
    </w:p>
    <w:p w14:paraId="0D8D0AEC" w14:textId="77777777" w:rsidR="003A10A9" w:rsidRPr="00AE7103" w:rsidRDefault="00E35C65" w:rsidP="003A10A9">
      <w:pPr>
        <w:pStyle w:val="CH2"/>
        <w:rPr>
          <w:color w:val="000000" w:themeColor="text1"/>
        </w:rPr>
      </w:pPr>
      <w:r w:rsidRPr="00AE7103">
        <w:rPr>
          <w:color w:val="000000" w:themeColor="text1"/>
        </w:rPr>
        <w:tab/>
      </w:r>
      <w:r w:rsidRPr="00AE7103">
        <w:rPr>
          <w:color w:val="000000" w:themeColor="text1"/>
        </w:rPr>
        <w:tab/>
      </w:r>
      <w:r w:rsidR="003A10A9" w:rsidRPr="00AE7103">
        <w:rPr>
          <w:color w:val="000000" w:themeColor="text1"/>
        </w:rPr>
        <w:t xml:space="preserve">Note by the secretariat </w:t>
      </w:r>
    </w:p>
    <w:p w14:paraId="76E8ACEA" w14:textId="29FB91EA" w:rsidR="003A10A9" w:rsidRPr="00AE7103" w:rsidRDefault="003A10A9" w:rsidP="00E35C65">
      <w:pPr>
        <w:pStyle w:val="Normalnumber"/>
        <w:numPr>
          <w:ilvl w:val="0"/>
          <w:numId w:val="9"/>
        </w:numPr>
        <w:tabs>
          <w:tab w:val="clear" w:pos="567"/>
          <w:tab w:val="clear" w:pos="1247"/>
          <w:tab w:val="clear" w:pos="1814"/>
          <w:tab w:val="clear" w:pos="2381"/>
          <w:tab w:val="clear" w:pos="2948"/>
          <w:tab w:val="clear" w:pos="3515"/>
          <w:tab w:val="clear" w:pos="4082"/>
          <w:tab w:val="left" w:pos="624"/>
        </w:tabs>
        <w:rPr>
          <w:color w:val="000000" w:themeColor="text1"/>
        </w:rPr>
      </w:pPr>
      <w:r w:rsidRPr="00AE7103">
        <w:rPr>
          <w:color w:val="000000" w:themeColor="text1"/>
        </w:rPr>
        <w:t xml:space="preserve">In section II of its decision IPBES-2/5 on the work programme </w:t>
      </w:r>
      <w:r w:rsidR="00EB74EB">
        <w:rPr>
          <w:color w:val="000000" w:themeColor="text1"/>
        </w:rPr>
        <w:t xml:space="preserve">for the period 2014–2018, the Plenary </w:t>
      </w:r>
      <w:r w:rsidRPr="00AE7103">
        <w:rPr>
          <w:color w:val="000000" w:themeColor="text1"/>
        </w:rPr>
        <w:t>of the Intergovernmental Science-Policy Platform on Biodiversity and Ecosystem Services (IPBES) established a task force on knowledge and data for the period 2014–2018</w:t>
      </w:r>
      <w:r w:rsidR="00EB74EB">
        <w:rPr>
          <w:color w:val="000000" w:themeColor="text1"/>
        </w:rPr>
        <w:t xml:space="preserve">, whose </w:t>
      </w:r>
      <w:r w:rsidRPr="00AE7103">
        <w:rPr>
          <w:color w:val="000000" w:themeColor="text1"/>
        </w:rPr>
        <w:t xml:space="preserve">terms of reference are set out in annex III to the decision. The primary purpose of the task force is the implementation of deliverables 1 (d) and 4 (b) of the first work programme. </w:t>
      </w:r>
    </w:p>
    <w:p w14:paraId="573E7B27" w14:textId="6CA55116" w:rsidR="003A10A9" w:rsidRPr="00AE7103" w:rsidRDefault="003A10A9" w:rsidP="003A10A9">
      <w:pPr>
        <w:pStyle w:val="Normalnumber"/>
        <w:numPr>
          <w:ilvl w:val="0"/>
          <w:numId w:val="9"/>
        </w:numPr>
        <w:tabs>
          <w:tab w:val="clear" w:pos="4082"/>
        </w:tabs>
        <w:rPr>
          <w:color w:val="000000" w:themeColor="text1"/>
        </w:rPr>
      </w:pPr>
      <w:r w:rsidRPr="00AE7103">
        <w:rPr>
          <w:color w:val="000000" w:themeColor="text1"/>
        </w:rPr>
        <w:t xml:space="preserve">In </w:t>
      </w:r>
      <w:r w:rsidR="00935052">
        <w:rPr>
          <w:color w:val="000000" w:themeColor="text1"/>
        </w:rPr>
        <w:t xml:space="preserve">section II of </w:t>
      </w:r>
      <w:r w:rsidRPr="00AE7103">
        <w:rPr>
          <w:color w:val="000000" w:themeColor="text1"/>
        </w:rPr>
        <w:t xml:space="preserve">its decision IPBES-3/1 </w:t>
      </w:r>
      <w:r w:rsidR="00935052" w:rsidRPr="00AE7103">
        <w:rPr>
          <w:color w:val="000000" w:themeColor="text1"/>
        </w:rPr>
        <w:t xml:space="preserve">on the work programme </w:t>
      </w:r>
      <w:r w:rsidR="00935052">
        <w:rPr>
          <w:color w:val="000000" w:themeColor="text1"/>
        </w:rPr>
        <w:t xml:space="preserve">for the period 2014–2018, </w:t>
      </w:r>
      <w:r w:rsidRPr="00AE7103">
        <w:rPr>
          <w:color w:val="000000" w:themeColor="text1"/>
        </w:rPr>
        <w:t xml:space="preserve">the Plenary approved the data and information management plan for 2015 prepared by </w:t>
      </w:r>
      <w:r w:rsidR="00D04ABA">
        <w:rPr>
          <w:color w:val="000000" w:themeColor="text1"/>
        </w:rPr>
        <w:t xml:space="preserve">the secretariat, working with the Bureau and </w:t>
      </w:r>
      <w:r w:rsidRPr="00AE7103">
        <w:rPr>
          <w:color w:val="000000" w:themeColor="text1"/>
        </w:rPr>
        <w:t xml:space="preserve">the task force, </w:t>
      </w:r>
      <w:r w:rsidR="00D04ABA">
        <w:rPr>
          <w:color w:val="000000" w:themeColor="text1"/>
        </w:rPr>
        <w:t xml:space="preserve">which is </w:t>
      </w:r>
      <w:r w:rsidRPr="00AE7103">
        <w:rPr>
          <w:color w:val="000000" w:themeColor="text1"/>
        </w:rPr>
        <w:t xml:space="preserve">set out in annex II to the decision, and requested the secretariat to submit to the Plenary, for information, data and information management plans for each ongoing assessment and to develop data and information management plans in the context of any scoping process or report. Activities to be undertaken under the data and information management plan in 2016 </w:t>
      </w:r>
      <w:r w:rsidR="00DC1652">
        <w:rPr>
          <w:color w:val="000000" w:themeColor="text1"/>
        </w:rPr>
        <w:t>were set out in appendix II to the note by the secretariat on an update on the work of the task force on knowledge and data</w:t>
      </w:r>
      <w:r w:rsidR="00DC1652" w:rsidRPr="00AE7103">
        <w:rPr>
          <w:color w:val="000000" w:themeColor="text1"/>
        </w:rPr>
        <w:t xml:space="preserve"> </w:t>
      </w:r>
      <w:r w:rsidR="00DC1652">
        <w:rPr>
          <w:color w:val="000000" w:themeColor="text1"/>
        </w:rPr>
        <w:t>submitted</w:t>
      </w:r>
      <w:r w:rsidRPr="00AE7103">
        <w:rPr>
          <w:color w:val="000000" w:themeColor="text1"/>
        </w:rPr>
        <w:t xml:space="preserve"> to the Plenary at its fourth session (IPBES/4/INF/7). </w:t>
      </w:r>
    </w:p>
    <w:p w14:paraId="1307619C" w14:textId="06C60170" w:rsidR="003A10A9" w:rsidRDefault="00D04ABA" w:rsidP="00294F72">
      <w:pPr>
        <w:pStyle w:val="Normalnumber"/>
        <w:numPr>
          <w:ilvl w:val="0"/>
          <w:numId w:val="9"/>
        </w:numPr>
        <w:tabs>
          <w:tab w:val="clear" w:pos="567"/>
          <w:tab w:val="clear" w:pos="1247"/>
          <w:tab w:val="clear" w:pos="1814"/>
          <w:tab w:val="clear" w:pos="2381"/>
          <w:tab w:val="clear" w:pos="2948"/>
          <w:tab w:val="clear" w:pos="3515"/>
          <w:tab w:val="clear" w:pos="4082"/>
          <w:tab w:val="left" w:pos="624"/>
        </w:tabs>
        <w:rPr>
          <w:color w:val="000000" w:themeColor="text1"/>
          <w:lang w:val="en-US"/>
        </w:rPr>
      </w:pPr>
      <w:r>
        <w:rPr>
          <w:color w:val="000000" w:themeColor="text1"/>
          <w:lang w:val="en-US"/>
        </w:rPr>
        <w:t xml:space="preserve">The note by the secretariat </w:t>
      </w:r>
      <w:r w:rsidR="003A10A9" w:rsidRPr="00AE7103">
        <w:rPr>
          <w:color w:val="000000" w:themeColor="text1"/>
          <w:lang w:val="en-US"/>
        </w:rPr>
        <w:t>on work on knowledge and data (deliverables 1 (d) and 4 (b)</w:t>
      </w:r>
      <w:r>
        <w:rPr>
          <w:color w:val="000000" w:themeColor="text1"/>
          <w:lang w:val="en-US"/>
        </w:rPr>
        <w:t>) (IPBES/5/5)</w:t>
      </w:r>
      <w:r w:rsidR="003A10A9" w:rsidRPr="00AE7103">
        <w:rPr>
          <w:color w:val="000000" w:themeColor="text1"/>
          <w:lang w:val="en-US"/>
        </w:rPr>
        <w:t xml:space="preserve"> </w:t>
      </w:r>
      <w:r w:rsidR="008B7795">
        <w:rPr>
          <w:color w:val="000000" w:themeColor="text1"/>
          <w:lang w:val="en-US"/>
        </w:rPr>
        <w:t>describes</w:t>
      </w:r>
      <w:r w:rsidR="003A10A9" w:rsidRPr="00AE7103">
        <w:rPr>
          <w:color w:val="000000" w:themeColor="text1"/>
          <w:lang w:val="en-US"/>
        </w:rPr>
        <w:t xml:space="preserve"> </w:t>
      </w:r>
      <w:r>
        <w:rPr>
          <w:color w:val="000000" w:themeColor="text1"/>
          <w:lang w:val="en-US"/>
        </w:rPr>
        <w:t xml:space="preserve">the </w:t>
      </w:r>
      <w:r w:rsidR="003A10A9" w:rsidRPr="00AE7103">
        <w:rPr>
          <w:color w:val="000000" w:themeColor="text1"/>
          <w:lang w:val="en-US"/>
        </w:rPr>
        <w:t>progress made by the task force in all areas of its work</w:t>
      </w:r>
      <w:r w:rsidR="008B7795">
        <w:rPr>
          <w:color w:val="000000" w:themeColor="text1"/>
          <w:lang w:val="en-US"/>
        </w:rPr>
        <w:t xml:space="preserve"> and sets out</w:t>
      </w:r>
      <w:r>
        <w:rPr>
          <w:color w:val="000000" w:themeColor="text1"/>
          <w:lang w:val="en-US"/>
        </w:rPr>
        <w:t xml:space="preserve"> a proposed workplan for 2017 and 2018</w:t>
      </w:r>
      <w:r w:rsidR="003A10A9" w:rsidRPr="00AE7103">
        <w:rPr>
          <w:color w:val="000000" w:themeColor="text1"/>
          <w:lang w:val="en-US"/>
        </w:rPr>
        <w:t xml:space="preserve"> as well as suggested action for the Plenary. The annex to the present note provides additional information</w:t>
      </w:r>
      <w:r w:rsidR="003A10A9" w:rsidRPr="00AE7103">
        <w:rPr>
          <w:color w:val="000000" w:themeColor="text1"/>
        </w:rPr>
        <w:t xml:space="preserve"> on progress made by the task force on knowledge and data with regard to the provision of guidance and support </w:t>
      </w:r>
      <w:r>
        <w:rPr>
          <w:color w:val="000000" w:themeColor="text1"/>
        </w:rPr>
        <w:t>pertaining to</w:t>
      </w:r>
      <w:r w:rsidR="003A10A9" w:rsidRPr="00AE7103">
        <w:rPr>
          <w:color w:val="000000" w:themeColor="text1"/>
        </w:rPr>
        <w:t xml:space="preserve"> the use of indicators in IPBES assessments as well as related activities for 2017 and 2018. </w:t>
      </w:r>
      <w:r w:rsidR="003A10A9" w:rsidRPr="00AE7103">
        <w:rPr>
          <w:color w:val="000000" w:themeColor="text1"/>
          <w:lang w:val="en-US"/>
        </w:rPr>
        <w:t xml:space="preserve">It is presented without formal editing. </w:t>
      </w:r>
    </w:p>
    <w:p w14:paraId="7C05D726" w14:textId="77777777" w:rsidR="000E2975" w:rsidRDefault="000E2975" w:rsidP="000E2975">
      <w:pPr>
        <w:pStyle w:val="Normal-pool"/>
        <w:sectPr w:rsidR="000E2975" w:rsidSect="00B23629">
          <w:headerReference w:type="even" r:id="rId14"/>
          <w:headerReference w:type="default" r:id="rId15"/>
          <w:footerReference w:type="even" r:id="rId16"/>
          <w:footerReference w:type="default" r:id="rId17"/>
          <w:headerReference w:type="first" r:id="rId18"/>
          <w:footerReference w:type="first" r:id="rId19"/>
          <w:footnotePr>
            <w:numFmt w:val="chicago"/>
            <w:numRestart w:val="eachSect"/>
          </w:footnotePr>
          <w:type w:val="continuous"/>
          <w:pgSz w:w="11907" w:h="16840" w:code="9"/>
          <w:pgMar w:top="907" w:right="992" w:bottom="1418" w:left="1418" w:header="539" w:footer="975" w:gutter="0"/>
          <w:cols w:space="539"/>
          <w:titlePg/>
          <w:docGrid w:linePitch="360"/>
        </w:sectPr>
      </w:pPr>
    </w:p>
    <w:p w14:paraId="1D385A5E" w14:textId="77777777" w:rsidR="003A10A9" w:rsidRPr="00AE7103" w:rsidRDefault="003A10A9" w:rsidP="000E2975">
      <w:pPr>
        <w:pStyle w:val="ZZAnxheader"/>
        <w:rPr>
          <w:rFonts w:eastAsia="Calibri"/>
          <w:w w:val="103"/>
        </w:rPr>
      </w:pPr>
      <w:r w:rsidRPr="00AE7103">
        <w:rPr>
          <w:rFonts w:eastAsia="Calibri"/>
          <w:w w:val="103"/>
        </w:rPr>
        <w:lastRenderedPageBreak/>
        <w:t xml:space="preserve">Annex </w:t>
      </w:r>
    </w:p>
    <w:p w14:paraId="15EF8093" w14:textId="77777777" w:rsidR="003A10A9" w:rsidRPr="00AE7103" w:rsidRDefault="003A10A9" w:rsidP="000E2975">
      <w:pPr>
        <w:pStyle w:val="ZZAnxtitle"/>
      </w:pPr>
      <w:r w:rsidRPr="00AE7103">
        <w:t xml:space="preserve">Update on the work of the task force on knowledge and data </w:t>
      </w:r>
    </w:p>
    <w:p w14:paraId="20243243" w14:textId="77777777" w:rsidR="003A10A9" w:rsidRPr="00AE7103" w:rsidRDefault="005E4604" w:rsidP="005E4604">
      <w:pPr>
        <w:pStyle w:val="CH1"/>
        <w:rPr>
          <w:color w:val="000000" w:themeColor="text1"/>
        </w:rPr>
      </w:pPr>
      <w:r w:rsidRPr="00AE7103">
        <w:rPr>
          <w:color w:val="000000" w:themeColor="text1"/>
        </w:rPr>
        <w:tab/>
        <w:t>I.</w:t>
      </w:r>
      <w:r w:rsidRPr="00AE7103">
        <w:rPr>
          <w:color w:val="000000" w:themeColor="text1"/>
        </w:rPr>
        <w:tab/>
      </w:r>
      <w:r w:rsidR="003A10A9" w:rsidRPr="00AE7103">
        <w:rPr>
          <w:color w:val="000000" w:themeColor="text1"/>
        </w:rPr>
        <w:t>Overview</w:t>
      </w:r>
    </w:p>
    <w:p w14:paraId="27A90A49" w14:textId="177FB272" w:rsidR="003A10A9" w:rsidRPr="00AE7103" w:rsidRDefault="003A10A9" w:rsidP="00C62D79">
      <w:pPr>
        <w:pStyle w:val="Normalnumber"/>
        <w:numPr>
          <w:ilvl w:val="0"/>
          <w:numId w:val="37"/>
        </w:numPr>
        <w:tabs>
          <w:tab w:val="clear" w:pos="567"/>
          <w:tab w:val="clear" w:pos="1247"/>
          <w:tab w:val="clear" w:pos="1814"/>
          <w:tab w:val="clear" w:pos="2381"/>
          <w:tab w:val="clear" w:pos="2948"/>
          <w:tab w:val="clear" w:pos="3515"/>
          <w:tab w:val="clear" w:pos="4082"/>
          <w:tab w:val="left" w:pos="624"/>
        </w:tabs>
        <w:rPr>
          <w:color w:val="000000" w:themeColor="text1"/>
        </w:rPr>
      </w:pPr>
      <w:r w:rsidRPr="00AE7103">
        <w:rPr>
          <w:color w:val="000000" w:themeColor="text1"/>
        </w:rPr>
        <w:t xml:space="preserve">In order to implement the data and information management plan in 2016 and to respond more effectively to its mandate, the task force on knowledge and data established three task groups </w:t>
      </w:r>
      <w:r w:rsidR="00B23629">
        <w:rPr>
          <w:color w:val="000000" w:themeColor="text1"/>
        </w:rPr>
        <w:br/>
      </w:r>
      <w:r w:rsidRPr="00AE7103">
        <w:rPr>
          <w:color w:val="000000" w:themeColor="text1"/>
        </w:rPr>
        <w:t xml:space="preserve">(sub-groups of the task force consisting of members of the task force and resource persons), on </w:t>
      </w:r>
      <w:r w:rsidR="002473EF">
        <w:rPr>
          <w:color w:val="000000" w:themeColor="text1"/>
        </w:rPr>
        <w:br/>
      </w:r>
      <w:r w:rsidRPr="00AE7103">
        <w:rPr>
          <w:color w:val="000000" w:themeColor="text1"/>
        </w:rPr>
        <w:t xml:space="preserve">i) indicators and data for IPBES assessments; ii) a web-based infrastructure in support of data and information management needs; and iii) on knowledge generation catalysis. The current composition of the task force is set out in appendix I. The task force held its third meeting in Bonn, Germany, from 13 to 16 June 2016, and worked intersessionally, mainly through its three task groups. The following sections provide information on the work of the task groups on indicators. </w:t>
      </w:r>
    </w:p>
    <w:p w14:paraId="1AFC531C" w14:textId="77777777" w:rsidR="003A10A9" w:rsidRPr="00AE7103" w:rsidRDefault="005E4604" w:rsidP="005E4604">
      <w:pPr>
        <w:pStyle w:val="CH1"/>
        <w:rPr>
          <w:color w:val="000000" w:themeColor="text1"/>
        </w:rPr>
      </w:pPr>
      <w:r w:rsidRPr="00AE7103">
        <w:rPr>
          <w:color w:val="000000" w:themeColor="text1"/>
        </w:rPr>
        <w:tab/>
        <w:t>II.</w:t>
      </w:r>
      <w:r w:rsidRPr="00AE7103">
        <w:rPr>
          <w:color w:val="000000" w:themeColor="text1"/>
        </w:rPr>
        <w:tab/>
      </w:r>
      <w:r w:rsidR="003A10A9" w:rsidRPr="00AE7103">
        <w:rPr>
          <w:color w:val="000000" w:themeColor="text1"/>
        </w:rPr>
        <w:t>Guidance and support regarding the use of indicators in IPBES assessments</w:t>
      </w:r>
    </w:p>
    <w:p w14:paraId="5D0D22AD" w14:textId="77777777" w:rsidR="003A10A9" w:rsidRPr="00AE7103" w:rsidRDefault="005E4604" w:rsidP="005E4604">
      <w:pPr>
        <w:pStyle w:val="CH2"/>
        <w:rPr>
          <w:color w:val="000000" w:themeColor="text1"/>
        </w:rPr>
      </w:pPr>
      <w:r w:rsidRPr="00AE7103">
        <w:rPr>
          <w:color w:val="000000" w:themeColor="text1"/>
        </w:rPr>
        <w:tab/>
        <w:t>A.</w:t>
      </w:r>
      <w:r w:rsidRPr="00AE7103">
        <w:rPr>
          <w:color w:val="000000" w:themeColor="text1"/>
        </w:rPr>
        <w:tab/>
      </w:r>
      <w:r w:rsidR="003A10A9" w:rsidRPr="00AE7103">
        <w:rPr>
          <w:color w:val="000000" w:themeColor="text1"/>
        </w:rPr>
        <w:t>Introduction</w:t>
      </w:r>
    </w:p>
    <w:p w14:paraId="5BF827F4" w14:textId="7531D005" w:rsidR="003A10A9" w:rsidRPr="00AE7103" w:rsidRDefault="003A10A9" w:rsidP="00294F72">
      <w:pPr>
        <w:pStyle w:val="Normalnumber"/>
        <w:numPr>
          <w:ilvl w:val="0"/>
          <w:numId w:val="37"/>
        </w:numPr>
        <w:tabs>
          <w:tab w:val="clear" w:pos="4082"/>
        </w:tabs>
        <w:rPr>
          <w:color w:val="000000" w:themeColor="text1"/>
        </w:rPr>
      </w:pPr>
      <w:r w:rsidRPr="00AE7103">
        <w:rPr>
          <w:color w:val="000000" w:themeColor="text1"/>
        </w:rPr>
        <w:t>According to its terms of reference, the responsibilities of the task force on knowledge and data include to advise on the indicators and metrics to be used in IPBES products and on the standards necessary for capturing and managing associated data. The Plenary, at its fourth meeting, was presented with a draft shortlist of indicators for IPBES regional assessments (IPBES/4/INF/7, appendix V). In preparing the draft shortlist of indicators, it has become evident that there are large gaps in existing indicators relevant to IPBES assessments in terms of evaluating biodiversity, ecosystem services and their links to human well-being that need</w:t>
      </w:r>
      <w:r w:rsidR="00FC56EA">
        <w:rPr>
          <w:color w:val="000000" w:themeColor="text1"/>
        </w:rPr>
        <w:t>ed</w:t>
      </w:r>
      <w:r w:rsidRPr="00AE7103">
        <w:rPr>
          <w:color w:val="000000" w:themeColor="text1"/>
        </w:rPr>
        <w:t xml:space="preserve"> to be addressed. Furthermore, assessment authors have voiced the need for support in the use of indicators. </w:t>
      </w:r>
    </w:p>
    <w:p w14:paraId="5A21A510" w14:textId="77777777" w:rsidR="003A10A9" w:rsidRPr="00AE7103" w:rsidRDefault="003A10A9" w:rsidP="00B23629">
      <w:pPr>
        <w:pStyle w:val="Normalnumber"/>
        <w:numPr>
          <w:ilvl w:val="0"/>
          <w:numId w:val="37"/>
        </w:numPr>
        <w:tabs>
          <w:tab w:val="clear" w:pos="567"/>
          <w:tab w:val="clear" w:pos="1247"/>
          <w:tab w:val="clear" w:pos="1814"/>
          <w:tab w:val="clear" w:pos="2381"/>
          <w:tab w:val="clear" w:pos="2948"/>
          <w:tab w:val="clear" w:pos="3515"/>
          <w:tab w:val="clear" w:pos="4082"/>
          <w:tab w:val="left" w:pos="624"/>
        </w:tabs>
        <w:rPr>
          <w:color w:val="000000" w:themeColor="text1"/>
        </w:rPr>
      </w:pPr>
      <w:r w:rsidRPr="00AE7103">
        <w:rPr>
          <w:color w:val="000000" w:themeColor="text1"/>
        </w:rPr>
        <w:t>The work of the task group on indicators comprises therefore three main elements: (i) the selection of core and highlighted indicators for use in IPBES assessments, (ii) the collaboration with organizations that have developed the selected indicators regarding the provision of information and data related to those indicators, and (iii) the provision of tailored support to assessment authors.</w:t>
      </w:r>
    </w:p>
    <w:p w14:paraId="57C64674" w14:textId="77777777" w:rsidR="003A10A9" w:rsidRPr="00AE7103" w:rsidRDefault="005E4604" w:rsidP="005E4604">
      <w:pPr>
        <w:pStyle w:val="CH2"/>
        <w:rPr>
          <w:color w:val="000000" w:themeColor="text1"/>
        </w:rPr>
      </w:pPr>
      <w:r w:rsidRPr="00AE7103">
        <w:rPr>
          <w:color w:val="000000" w:themeColor="text1"/>
        </w:rPr>
        <w:tab/>
        <w:t>B.</w:t>
      </w:r>
      <w:r w:rsidRPr="00AE7103">
        <w:rPr>
          <w:color w:val="000000" w:themeColor="text1"/>
        </w:rPr>
        <w:tab/>
      </w:r>
      <w:r w:rsidR="003A10A9" w:rsidRPr="00AE7103">
        <w:rPr>
          <w:color w:val="000000" w:themeColor="text1"/>
        </w:rPr>
        <w:t>Selection of a first set of core and highlighted indicators</w:t>
      </w:r>
    </w:p>
    <w:p w14:paraId="6C89C2B4" w14:textId="77777777" w:rsidR="003A10A9" w:rsidRPr="00AE7103" w:rsidRDefault="003A10A9" w:rsidP="00C62D79">
      <w:pPr>
        <w:pStyle w:val="Normalnumber"/>
        <w:numPr>
          <w:ilvl w:val="0"/>
          <w:numId w:val="37"/>
        </w:numPr>
        <w:tabs>
          <w:tab w:val="clear" w:pos="567"/>
          <w:tab w:val="clear" w:pos="1247"/>
          <w:tab w:val="clear" w:pos="1814"/>
          <w:tab w:val="clear" w:pos="2381"/>
          <w:tab w:val="clear" w:pos="2948"/>
          <w:tab w:val="clear" w:pos="3515"/>
          <w:tab w:val="clear" w:pos="4082"/>
          <w:tab w:val="left" w:pos="624"/>
        </w:tabs>
        <w:rPr>
          <w:color w:val="000000" w:themeColor="text1"/>
        </w:rPr>
      </w:pPr>
      <w:r w:rsidRPr="00AE7103">
        <w:rPr>
          <w:color w:val="000000" w:themeColor="text1"/>
        </w:rPr>
        <w:t>Quantitative indicators of change in biodiversity, nature’s contributions to people and quality of life, and the direct and indirect drivers that underpin these changes represent an important assessment element. The task group on indicators aims to provide the authors of ongoing assessments with a set of indicators that cover all elements of the IPBES conceptual framework. Complementing other forms of information and knowledge that follow general guidelines but are not necessarily harmonized, standardized indicators have the potential to provide a common thread and quantitative point of comparison among assessments. They facilitate the synthesis envisioned for the global assessment, and ensure comparability and coherence across the regional assessments and between the regional/ land degradation and restoration assessments on the one hand, and the global assessment on the other hand. The IPBES set of indicators includes two types of indicators:</w:t>
      </w:r>
    </w:p>
    <w:p w14:paraId="7BFF692D" w14:textId="7467DDD3" w:rsidR="003A10A9" w:rsidRPr="00AE7103" w:rsidRDefault="003A10A9" w:rsidP="005746C1">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color w:val="000000" w:themeColor="text1"/>
        </w:rPr>
      </w:pPr>
      <w:r w:rsidRPr="00AE7103">
        <w:rPr>
          <w:color w:val="000000" w:themeColor="text1"/>
        </w:rPr>
        <w:t xml:space="preserve">a list of </w:t>
      </w:r>
      <w:r w:rsidRPr="00AE7103">
        <w:rPr>
          <w:b/>
          <w:color w:val="000000" w:themeColor="text1"/>
        </w:rPr>
        <w:t>core indicators</w:t>
      </w:r>
      <w:r w:rsidRPr="00AE7103">
        <w:rPr>
          <w:color w:val="000000" w:themeColor="text1"/>
        </w:rPr>
        <w:t xml:space="preserve">, which authors are urged to use (in addition to other indicators or data sources they may choose) in their work; </w:t>
      </w:r>
    </w:p>
    <w:p w14:paraId="1072D1DF" w14:textId="77777777" w:rsidR="003A10A9" w:rsidRPr="00AE7103" w:rsidRDefault="003A10A9" w:rsidP="005746C1">
      <w:pPr>
        <w:pStyle w:val="Normalnumber"/>
        <w:numPr>
          <w:ilvl w:val="1"/>
          <w:numId w:val="9"/>
        </w:numPr>
        <w:tabs>
          <w:tab w:val="clear" w:pos="4082"/>
          <w:tab w:val="left" w:pos="624"/>
        </w:tabs>
        <w:ind w:firstLine="624"/>
        <w:rPr>
          <w:color w:val="000000" w:themeColor="text1"/>
        </w:rPr>
      </w:pPr>
      <w:r w:rsidRPr="00AE7103">
        <w:rPr>
          <w:color w:val="000000" w:themeColor="text1"/>
        </w:rPr>
        <w:t xml:space="preserve">a list of </w:t>
      </w:r>
      <w:r w:rsidRPr="00AE7103">
        <w:rPr>
          <w:b/>
          <w:color w:val="000000" w:themeColor="text1"/>
        </w:rPr>
        <w:t>highlighted indicators</w:t>
      </w:r>
      <w:r w:rsidRPr="00AE7103">
        <w:rPr>
          <w:color w:val="000000" w:themeColor="text1"/>
        </w:rPr>
        <w:t xml:space="preserve">, which authors may be interested in using, but with no expectation regarding their consistent use in the assessments. </w:t>
      </w:r>
    </w:p>
    <w:p w14:paraId="1FEA087E" w14:textId="77777777" w:rsidR="003A10A9" w:rsidRPr="00AE7103" w:rsidRDefault="003A10A9" w:rsidP="00C62D79">
      <w:pPr>
        <w:pStyle w:val="Normalnumber"/>
        <w:numPr>
          <w:ilvl w:val="0"/>
          <w:numId w:val="37"/>
        </w:numPr>
        <w:tabs>
          <w:tab w:val="clear" w:pos="567"/>
          <w:tab w:val="clear" w:pos="1247"/>
          <w:tab w:val="clear" w:pos="1814"/>
          <w:tab w:val="clear" w:pos="2381"/>
          <w:tab w:val="clear" w:pos="2948"/>
          <w:tab w:val="clear" w:pos="3515"/>
          <w:tab w:val="clear" w:pos="4082"/>
          <w:tab w:val="left" w:pos="624"/>
        </w:tabs>
        <w:rPr>
          <w:rFonts w:cstheme="minorHAnsi"/>
          <w:color w:val="000000" w:themeColor="text1"/>
        </w:rPr>
      </w:pPr>
      <w:r w:rsidRPr="00AE7103">
        <w:rPr>
          <w:color w:val="000000" w:themeColor="text1"/>
        </w:rPr>
        <w:t xml:space="preserve">Since the fourth session of the Plenary, the task group has finalized the identification of </w:t>
      </w:r>
      <w:r w:rsidRPr="00AE7103">
        <w:rPr>
          <w:rFonts w:cstheme="minorHAnsi"/>
          <w:color w:val="000000" w:themeColor="text1"/>
        </w:rPr>
        <w:t xml:space="preserve">a list of </w:t>
      </w:r>
      <w:r w:rsidRPr="00AE7103">
        <w:rPr>
          <w:b/>
          <w:color w:val="000000" w:themeColor="text1"/>
        </w:rPr>
        <w:t>30 core indicators</w:t>
      </w:r>
      <w:r w:rsidRPr="00AE7103">
        <w:rPr>
          <w:rFonts w:cstheme="minorHAnsi"/>
          <w:color w:val="000000" w:themeColor="text1"/>
        </w:rPr>
        <w:t xml:space="preserve"> (see appendix III) and </w:t>
      </w:r>
      <w:r w:rsidRPr="00AE7103">
        <w:rPr>
          <w:b/>
          <w:color w:val="000000" w:themeColor="text1"/>
        </w:rPr>
        <w:t>42 highlighted indicators</w:t>
      </w:r>
      <w:r w:rsidRPr="00AE7103">
        <w:rPr>
          <w:rFonts w:cstheme="minorHAnsi"/>
          <w:color w:val="000000" w:themeColor="text1"/>
        </w:rPr>
        <w:t xml:space="preserve"> (see appendix IV). The indicators were selected through the following process: </w:t>
      </w:r>
    </w:p>
    <w:p w14:paraId="70549141" w14:textId="77777777" w:rsidR="003A10A9" w:rsidRPr="00AE7103" w:rsidRDefault="003A10A9" w:rsidP="003A10A9">
      <w:pPr>
        <w:pStyle w:val="Normalnumber"/>
        <w:numPr>
          <w:ilvl w:val="1"/>
          <w:numId w:val="9"/>
        </w:numPr>
        <w:tabs>
          <w:tab w:val="clear" w:pos="4082"/>
        </w:tabs>
        <w:jc w:val="both"/>
        <w:rPr>
          <w:rFonts w:cstheme="minorHAnsi"/>
          <w:color w:val="000000" w:themeColor="text1"/>
        </w:rPr>
      </w:pPr>
      <w:r w:rsidRPr="00AE7103">
        <w:rPr>
          <w:rFonts w:cstheme="minorHAnsi"/>
          <w:color w:val="000000" w:themeColor="text1"/>
        </w:rPr>
        <w:t>Symposium on biodiversity assessment and support for IPBES, held from 7 to 10 March 2016 in Monte Verita, Switzerland. The symposium was jointly organized by the Future Earth clusters “Global Biodiversity Assessment and Monitoring, Prediction and Reporting” and “Support for IPBES” as a first step in addressing the gaps identified in the list of indicators provided to the fourth session of the IPBES Plenary. The following information was prepared during the symposium:</w:t>
      </w:r>
    </w:p>
    <w:p w14:paraId="77554F64" w14:textId="4FB5DA38" w:rsidR="003A10A9" w:rsidRPr="00AE7103" w:rsidRDefault="003A10A9" w:rsidP="00B23629">
      <w:pPr>
        <w:pStyle w:val="Normalnumber"/>
        <w:numPr>
          <w:ilvl w:val="2"/>
          <w:numId w:val="9"/>
        </w:numPr>
        <w:tabs>
          <w:tab w:val="clear" w:pos="567"/>
          <w:tab w:val="clear" w:pos="1247"/>
          <w:tab w:val="clear" w:pos="1814"/>
          <w:tab w:val="clear" w:pos="2381"/>
          <w:tab w:val="clear" w:pos="2948"/>
          <w:tab w:val="clear" w:pos="3515"/>
          <w:tab w:val="clear" w:pos="4082"/>
          <w:tab w:val="left" w:pos="624"/>
        </w:tabs>
        <w:ind w:left="3119" w:hanging="624"/>
        <w:rPr>
          <w:rFonts w:cstheme="minorHAnsi"/>
          <w:color w:val="000000" w:themeColor="text1"/>
        </w:rPr>
      </w:pPr>
      <w:r w:rsidRPr="00AE7103">
        <w:rPr>
          <w:rFonts w:cstheme="minorHAnsi"/>
          <w:color w:val="000000" w:themeColor="text1"/>
        </w:rPr>
        <w:t xml:space="preserve">Tables evaluating the pertinence for IPBES assessments of indicators included in lists from the </w:t>
      </w:r>
      <w:r w:rsidR="00FC56EA">
        <w:rPr>
          <w:rFonts w:cstheme="minorHAnsi"/>
          <w:color w:val="000000" w:themeColor="text1"/>
        </w:rPr>
        <w:t>A</w:t>
      </w:r>
      <w:r w:rsidRPr="00AE7103">
        <w:rPr>
          <w:rFonts w:cstheme="minorHAnsi"/>
          <w:color w:val="000000" w:themeColor="text1"/>
        </w:rPr>
        <w:t xml:space="preserve">d </w:t>
      </w:r>
      <w:r w:rsidR="00FC56EA">
        <w:rPr>
          <w:rFonts w:cstheme="minorHAnsi"/>
          <w:color w:val="000000" w:themeColor="text1"/>
        </w:rPr>
        <w:t>H</w:t>
      </w:r>
      <w:r w:rsidRPr="00AE7103">
        <w:rPr>
          <w:rFonts w:cstheme="minorHAnsi"/>
          <w:color w:val="000000" w:themeColor="text1"/>
        </w:rPr>
        <w:t xml:space="preserve">oc </w:t>
      </w:r>
      <w:r w:rsidR="00FC56EA">
        <w:rPr>
          <w:rFonts w:cstheme="minorHAnsi"/>
          <w:color w:val="000000" w:themeColor="text1"/>
        </w:rPr>
        <w:t>T</w:t>
      </w:r>
      <w:r w:rsidRPr="00AE7103">
        <w:rPr>
          <w:rFonts w:cstheme="minorHAnsi"/>
          <w:color w:val="000000" w:themeColor="text1"/>
        </w:rPr>
        <w:t xml:space="preserve">echnical </w:t>
      </w:r>
      <w:r w:rsidR="00FC56EA">
        <w:rPr>
          <w:rFonts w:cstheme="minorHAnsi"/>
          <w:color w:val="000000" w:themeColor="text1"/>
        </w:rPr>
        <w:t>E</w:t>
      </w:r>
      <w:r w:rsidRPr="00AE7103">
        <w:rPr>
          <w:rFonts w:cstheme="minorHAnsi"/>
          <w:color w:val="000000" w:themeColor="text1"/>
        </w:rPr>
        <w:t xml:space="preserve">xpert </w:t>
      </w:r>
      <w:r w:rsidR="00FC56EA">
        <w:rPr>
          <w:rFonts w:cstheme="minorHAnsi"/>
          <w:color w:val="000000" w:themeColor="text1"/>
        </w:rPr>
        <w:t>G</w:t>
      </w:r>
      <w:r w:rsidRPr="00AE7103">
        <w:rPr>
          <w:rFonts w:cstheme="minorHAnsi"/>
          <w:color w:val="000000" w:themeColor="text1"/>
        </w:rPr>
        <w:t xml:space="preserve">roup on </w:t>
      </w:r>
      <w:r w:rsidR="00FC56EA">
        <w:rPr>
          <w:rFonts w:cstheme="minorHAnsi"/>
          <w:color w:val="000000" w:themeColor="text1"/>
        </w:rPr>
        <w:t>I</w:t>
      </w:r>
      <w:r w:rsidRPr="00AE7103">
        <w:rPr>
          <w:rFonts w:cstheme="minorHAnsi"/>
          <w:color w:val="000000" w:themeColor="text1"/>
        </w:rPr>
        <w:t xml:space="preserve">ndicators under the </w:t>
      </w:r>
      <w:r w:rsidRPr="00AE7103">
        <w:rPr>
          <w:rFonts w:cstheme="minorHAnsi"/>
          <w:color w:val="000000" w:themeColor="text1"/>
        </w:rPr>
        <w:lastRenderedPageBreak/>
        <w:t xml:space="preserve">Convention on Biological Diversity, the Biodiversity Indicators Partnership, the Intergovernmental Panel on Climate Change, the National Oceanic and Atmospheric Administration of the United States of America, the list provided to the fourth session of the IPBES Plenary, and additional new indicators not included in these lists. The following 16 criteria were used: Relevance for IPBES framework, global coverage, disaggregation to IPBES regional or </w:t>
      </w:r>
      <w:r w:rsidR="00B23629">
        <w:rPr>
          <w:rFonts w:cstheme="minorHAnsi"/>
          <w:color w:val="000000" w:themeColor="text1"/>
        </w:rPr>
        <w:br/>
      </w:r>
      <w:r w:rsidRPr="00AE7103">
        <w:rPr>
          <w:rFonts w:cstheme="minorHAnsi"/>
          <w:color w:val="000000" w:themeColor="text1"/>
        </w:rPr>
        <w:t>sub-regional scales, geographic representativeness, taxonomic representativeness (if applicable), spatial explicitness, comparability across regions, regular and recent updating, comparability with future projections, broad acceptance, scientific or institutional credibility, transparency, sensitivity, timing of the availability of the indicator, accessibility, and available institutional support;</w:t>
      </w:r>
    </w:p>
    <w:p w14:paraId="1ED39502" w14:textId="77777777" w:rsidR="003A10A9" w:rsidRPr="00AE7103" w:rsidRDefault="003A10A9" w:rsidP="00B23629">
      <w:pPr>
        <w:pStyle w:val="Normalnumber"/>
        <w:numPr>
          <w:ilvl w:val="2"/>
          <w:numId w:val="9"/>
        </w:numPr>
        <w:tabs>
          <w:tab w:val="clear" w:pos="567"/>
          <w:tab w:val="clear" w:pos="1247"/>
          <w:tab w:val="clear" w:pos="1814"/>
          <w:tab w:val="clear" w:pos="2381"/>
          <w:tab w:val="clear" w:pos="2948"/>
          <w:tab w:val="clear" w:pos="3515"/>
          <w:tab w:val="clear" w:pos="4082"/>
          <w:tab w:val="left" w:pos="624"/>
        </w:tabs>
        <w:ind w:left="3119" w:hanging="624"/>
        <w:rPr>
          <w:rFonts w:cstheme="minorHAnsi"/>
          <w:color w:val="000000" w:themeColor="text1"/>
        </w:rPr>
      </w:pPr>
      <w:r w:rsidRPr="00AE7103">
        <w:rPr>
          <w:rFonts w:cstheme="minorHAnsi"/>
          <w:color w:val="000000" w:themeColor="text1"/>
        </w:rPr>
        <w:t>A list of new indicators that could be mobilised immediately or in the near future for marine systems, freshwater systems, biodiversity and ecosystem conservation status (Aichi Biodiversity Target 12) as well as ecosystem services, and human well-being;</w:t>
      </w:r>
    </w:p>
    <w:p w14:paraId="360833EF" w14:textId="24D89786" w:rsidR="003A10A9" w:rsidRPr="00AE7103" w:rsidRDefault="003A10A9" w:rsidP="00B23629">
      <w:pPr>
        <w:pStyle w:val="Normalnumber"/>
        <w:numPr>
          <w:ilvl w:val="2"/>
          <w:numId w:val="9"/>
        </w:numPr>
        <w:tabs>
          <w:tab w:val="clear" w:pos="567"/>
          <w:tab w:val="clear" w:pos="1247"/>
          <w:tab w:val="clear" w:pos="1814"/>
          <w:tab w:val="clear" w:pos="2381"/>
          <w:tab w:val="clear" w:pos="2948"/>
          <w:tab w:val="clear" w:pos="3515"/>
          <w:tab w:val="clear" w:pos="4082"/>
          <w:tab w:val="left" w:pos="624"/>
        </w:tabs>
        <w:ind w:left="3119" w:hanging="624"/>
        <w:rPr>
          <w:rFonts w:cstheme="minorHAnsi"/>
          <w:color w:val="000000" w:themeColor="text1"/>
        </w:rPr>
      </w:pPr>
      <w:r w:rsidRPr="00AE7103">
        <w:rPr>
          <w:rFonts w:cstheme="minorHAnsi"/>
          <w:color w:val="000000" w:themeColor="text1"/>
        </w:rPr>
        <w:t>An explanatory text for each of these indicators, as well as information sheets regarding their use (“fact sheets”)</w:t>
      </w:r>
      <w:r w:rsidR="00FC56EA">
        <w:rPr>
          <w:rFonts w:cstheme="minorHAnsi"/>
          <w:color w:val="000000" w:themeColor="text1"/>
        </w:rPr>
        <w:t>.</w:t>
      </w:r>
    </w:p>
    <w:p w14:paraId="73BD393A" w14:textId="77777777" w:rsidR="003A10A9" w:rsidRPr="00AE7103" w:rsidRDefault="003A10A9" w:rsidP="00776736">
      <w:pPr>
        <w:pStyle w:val="Normalnumber"/>
        <w:numPr>
          <w:ilvl w:val="1"/>
          <w:numId w:val="9"/>
        </w:numPr>
        <w:tabs>
          <w:tab w:val="clear" w:pos="4082"/>
        </w:tabs>
        <w:rPr>
          <w:rFonts w:cstheme="minorHAnsi"/>
          <w:color w:val="000000" w:themeColor="text1"/>
        </w:rPr>
      </w:pPr>
      <w:r w:rsidRPr="00AE7103">
        <w:rPr>
          <w:rFonts w:cstheme="minorHAnsi"/>
          <w:color w:val="000000" w:themeColor="text1"/>
        </w:rPr>
        <w:t xml:space="preserve">Review by the IPBES task group on indicators of 200 indicators (141 indicators discussed under the Convention on Biological Diversity, 22 indicators selected by the Future Earth symposium, 12 indicators from the Environmental Performance Index, and 3 indicators that were part of the list of indicators presented to the fourth session of the IPBES Plenary, but not included in any of the previous lists); </w:t>
      </w:r>
    </w:p>
    <w:p w14:paraId="3D496B5E" w14:textId="77777777" w:rsidR="003A10A9" w:rsidRPr="00AE7103" w:rsidRDefault="003A10A9" w:rsidP="00776736">
      <w:pPr>
        <w:pStyle w:val="Normalnumber"/>
        <w:numPr>
          <w:ilvl w:val="1"/>
          <w:numId w:val="9"/>
        </w:numPr>
        <w:tabs>
          <w:tab w:val="clear" w:pos="4082"/>
        </w:tabs>
        <w:rPr>
          <w:rFonts w:cstheme="minorHAnsi"/>
          <w:color w:val="000000" w:themeColor="text1"/>
        </w:rPr>
      </w:pPr>
      <w:r w:rsidRPr="00AE7103">
        <w:rPr>
          <w:rFonts w:cstheme="minorHAnsi"/>
          <w:color w:val="000000" w:themeColor="text1"/>
        </w:rPr>
        <w:t>Continuation of the scoring exercise by the IPBES task group for the 200 indicators according to the criteria listed above, leading to</w:t>
      </w:r>
      <w:r w:rsidRPr="00AE7103">
        <w:rPr>
          <w:rFonts w:cstheme="minorHAnsi" w:hint="eastAsia"/>
          <w:color w:val="000000" w:themeColor="text1"/>
          <w:lang w:eastAsia="ko-KR"/>
        </w:rPr>
        <w:t xml:space="preserve"> the selection of 30 core and 42 highlighted indicators. </w:t>
      </w:r>
    </w:p>
    <w:p w14:paraId="44A8D462" w14:textId="64A33294" w:rsidR="003A10A9" w:rsidRPr="00AE7103" w:rsidRDefault="003A10A9" w:rsidP="00776736">
      <w:pPr>
        <w:pStyle w:val="Normalnumber"/>
        <w:numPr>
          <w:ilvl w:val="1"/>
          <w:numId w:val="9"/>
        </w:numPr>
        <w:tabs>
          <w:tab w:val="clear" w:pos="4082"/>
        </w:tabs>
        <w:rPr>
          <w:rFonts w:cstheme="minorHAnsi"/>
          <w:color w:val="000000" w:themeColor="text1"/>
        </w:rPr>
      </w:pPr>
      <w:r w:rsidRPr="00AE7103">
        <w:rPr>
          <w:rFonts w:cstheme="minorHAnsi" w:hint="eastAsia"/>
          <w:color w:val="000000" w:themeColor="text1"/>
          <w:lang w:eastAsia="ko-KR"/>
        </w:rPr>
        <w:t xml:space="preserve">Review </w:t>
      </w:r>
      <w:r w:rsidRPr="00AE7103">
        <w:rPr>
          <w:rFonts w:cstheme="minorHAnsi"/>
          <w:color w:val="000000" w:themeColor="text1"/>
          <w:lang w:eastAsia="ko-KR"/>
        </w:rPr>
        <w:t xml:space="preserve">and </w:t>
      </w:r>
      <w:r w:rsidRPr="00AE7103">
        <w:rPr>
          <w:rFonts w:cstheme="minorHAnsi" w:hint="eastAsia"/>
          <w:color w:val="000000" w:themeColor="text1"/>
          <w:lang w:eastAsia="ko-KR"/>
        </w:rPr>
        <w:t xml:space="preserve">approval </w:t>
      </w:r>
      <w:r w:rsidR="00FC56EA">
        <w:rPr>
          <w:rFonts w:cstheme="minorHAnsi"/>
          <w:color w:val="000000" w:themeColor="text1"/>
          <w:lang w:eastAsia="ko-KR"/>
        </w:rPr>
        <w:t xml:space="preserve">of these indicators </w:t>
      </w:r>
      <w:r w:rsidRPr="00AE7103">
        <w:rPr>
          <w:rFonts w:cstheme="minorHAnsi" w:hint="eastAsia"/>
          <w:color w:val="000000" w:themeColor="text1"/>
          <w:lang w:eastAsia="ko-KR"/>
        </w:rPr>
        <w:t>by the IPBES knowledge and data task force, with comments addressed by the IPBES task group on indicators.</w:t>
      </w:r>
    </w:p>
    <w:p w14:paraId="1BE88846" w14:textId="77777777" w:rsidR="003A10A9" w:rsidRPr="00AE7103" w:rsidRDefault="003A10A9" w:rsidP="00776736">
      <w:pPr>
        <w:pStyle w:val="Normalnumber"/>
        <w:numPr>
          <w:ilvl w:val="0"/>
          <w:numId w:val="9"/>
        </w:numPr>
        <w:tabs>
          <w:tab w:val="clear" w:pos="4082"/>
        </w:tabs>
        <w:rPr>
          <w:rFonts w:cstheme="minorHAnsi"/>
          <w:color w:val="000000" w:themeColor="text1"/>
        </w:rPr>
      </w:pPr>
      <w:r w:rsidRPr="00AE7103">
        <w:rPr>
          <w:rFonts w:cstheme="minorHAnsi"/>
          <w:color w:val="000000" w:themeColor="text1"/>
        </w:rPr>
        <w:t xml:space="preserve">The lists of indicators were endorsed by the Multidisciplinary Expert Panel in July 2016. They were presented to assessment authors before and during the joint second author meeting of the regional assessments and the land degradation and restoration assessment in August 2016. </w:t>
      </w:r>
      <w:r w:rsidRPr="00AE7103">
        <w:rPr>
          <w:rFonts w:cstheme="minorHAnsi"/>
          <w:color w:val="000000" w:themeColor="text1"/>
          <w:lang w:eastAsia="ko-KR"/>
        </w:rPr>
        <w:t>Lists</w:t>
      </w:r>
      <w:r w:rsidRPr="00AE7103">
        <w:rPr>
          <w:rFonts w:cstheme="minorHAnsi" w:hint="eastAsia"/>
          <w:color w:val="000000" w:themeColor="text1"/>
          <w:lang w:eastAsia="ko-KR"/>
        </w:rPr>
        <w:t xml:space="preserve"> with basic information and links to metadata </w:t>
      </w:r>
      <w:r w:rsidRPr="00AE7103">
        <w:rPr>
          <w:rFonts w:cstheme="minorHAnsi"/>
          <w:color w:val="000000" w:themeColor="text1"/>
          <w:lang w:eastAsia="ko-KR"/>
        </w:rPr>
        <w:t xml:space="preserve">were distributed </w:t>
      </w:r>
      <w:r w:rsidRPr="00AE7103">
        <w:rPr>
          <w:rFonts w:cstheme="minorHAnsi" w:hint="eastAsia"/>
          <w:color w:val="000000" w:themeColor="text1"/>
          <w:lang w:eastAsia="ko-KR"/>
        </w:rPr>
        <w:t xml:space="preserve">to the authors of </w:t>
      </w:r>
      <w:r w:rsidRPr="00AE7103">
        <w:rPr>
          <w:rFonts w:cstheme="minorHAnsi"/>
          <w:color w:val="000000" w:themeColor="text1"/>
          <w:lang w:eastAsia="ko-KR"/>
        </w:rPr>
        <w:t>these</w:t>
      </w:r>
      <w:r w:rsidRPr="00AE7103">
        <w:rPr>
          <w:rFonts w:cstheme="minorHAnsi" w:hint="eastAsia"/>
          <w:color w:val="000000" w:themeColor="text1"/>
          <w:lang w:eastAsia="ko-KR"/>
        </w:rPr>
        <w:t xml:space="preserve"> assessments.</w:t>
      </w:r>
    </w:p>
    <w:p w14:paraId="42C0A2A5" w14:textId="77777777" w:rsidR="003A10A9" w:rsidRPr="00AE7103" w:rsidRDefault="005E4604" w:rsidP="005E4604">
      <w:pPr>
        <w:pStyle w:val="CH2"/>
        <w:rPr>
          <w:color w:val="000000" w:themeColor="text1"/>
        </w:rPr>
      </w:pPr>
      <w:r w:rsidRPr="00AE7103">
        <w:rPr>
          <w:color w:val="000000" w:themeColor="text1"/>
        </w:rPr>
        <w:tab/>
        <w:t>C.</w:t>
      </w:r>
      <w:r w:rsidRPr="00AE7103">
        <w:rPr>
          <w:color w:val="000000" w:themeColor="text1"/>
        </w:rPr>
        <w:tab/>
      </w:r>
      <w:r w:rsidR="003A10A9" w:rsidRPr="00AE7103">
        <w:rPr>
          <w:color w:val="000000" w:themeColor="text1"/>
        </w:rPr>
        <w:t>Selection of core and highlighted indicators with a socioeconomic focus</w:t>
      </w:r>
    </w:p>
    <w:p w14:paraId="732C7D23" w14:textId="77777777" w:rsidR="003A10A9" w:rsidRPr="00AE7103" w:rsidRDefault="003A10A9" w:rsidP="003A10A9">
      <w:pPr>
        <w:pStyle w:val="Normalnumber"/>
        <w:numPr>
          <w:ilvl w:val="0"/>
          <w:numId w:val="9"/>
        </w:numPr>
        <w:tabs>
          <w:tab w:val="clear" w:pos="4082"/>
        </w:tabs>
        <w:rPr>
          <w:color w:val="000000" w:themeColor="text1"/>
        </w:rPr>
      </w:pPr>
      <w:r w:rsidRPr="00AE7103">
        <w:rPr>
          <w:color w:val="000000" w:themeColor="text1"/>
        </w:rPr>
        <w:t xml:space="preserve">The 30 core indicators selected according to the process described in section B did not sufficiently cover socioeconomic (ecosystem services and human well-being) components of the IPBES conceptual framework. Therefore, a group of experts was formed to identify additional indicators with this focus. This process is still ongoing and is expected to continue throughout 2017. The following activities have been undertaken so far: </w:t>
      </w:r>
    </w:p>
    <w:p w14:paraId="0CC9A8D2" w14:textId="77777777" w:rsidR="003A10A9" w:rsidRPr="002B59B1" w:rsidRDefault="003A10A9" w:rsidP="002B59B1">
      <w:pPr>
        <w:pStyle w:val="Normalnumber"/>
        <w:numPr>
          <w:ilvl w:val="1"/>
          <w:numId w:val="9"/>
        </w:numPr>
        <w:tabs>
          <w:tab w:val="clear" w:pos="4082"/>
        </w:tabs>
        <w:rPr>
          <w:color w:val="000000" w:themeColor="text1"/>
        </w:rPr>
      </w:pPr>
      <w:r w:rsidRPr="002B59B1">
        <w:rPr>
          <w:color w:val="000000" w:themeColor="text1"/>
        </w:rPr>
        <w:t>Selection of a list of 66 potential indicators to inform on each of the different boxes and arrows of the IPBES conceptual framework;</w:t>
      </w:r>
    </w:p>
    <w:p w14:paraId="2F5E3291" w14:textId="77777777"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rPr>
        <w:t>Identification of 80 additional indicators that address different dimensions of well-being and sustainability, including food security, energy security, water security, biodiversity, health, income, trade</w:t>
      </w:r>
      <w:r w:rsidRPr="00AE7103">
        <w:rPr>
          <w:rFonts w:hint="eastAsia"/>
          <w:color w:val="000000" w:themeColor="text1"/>
          <w:lang w:eastAsia="ko-KR"/>
        </w:rPr>
        <w:t>-</w:t>
      </w:r>
      <w:r w:rsidRPr="00AE7103">
        <w:rPr>
          <w:color w:val="000000" w:themeColor="text1"/>
        </w:rPr>
        <w:t>offs, livelihoods, justice and equity, resilience and sustainability;</w:t>
      </w:r>
    </w:p>
    <w:p w14:paraId="4BC6B9F2" w14:textId="77777777"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rPr>
        <w:t xml:space="preserve">Development of a conceptual approach and use of narratives to identify key indicators that provide information across boxes in the IPBES conceptual framework as well as across dimensions of well-being and sustainability; </w:t>
      </w:r>
    </w:p>
    <w:p w14:paraId="21D84784" w14:textId="77777777" w:rsidR="003A10A9" w:rsidRPr="00AE7103" w:rsidRDefault="003A10A9" w:rsidP="003A10A9">
      <w:pPr>
        <w:pStyle w:val="Normalnumber"/>
        <w:numPr>
          <w:ilvl w:val="1"/>
          <w:numId w:val="9"/>
        </w:numPr>
        <w:tabs>
          <w:tab w:val="clear" w:pos="4082"/>
        </w:tabs>
        <w:rPr>
          <w:color w:val="000000" w:themeColor="text1"/>
        </w:rPr>
      </w:pPr>
      <w:r w:rsidRPr="00AE7103">
        <w:rPr>
          <w:rFonts w:cstheme="minorHAnsi"/>
          <w:color w:val="000000" w:themeColor="text1"/>
        </w:rPr>
        <w:t>Symposium on biodiversity assessment and support for IPBES, held from 7 to 10 March 2016 in Monte Verita, Switzerland</w:t>
      </w:r>
      <w:r w:rsidRPr="00AE7103">
        <w:rPr>
          <w:color w:val="000000" w:themeColor="text1"/>
        </w:rPr>
        <w:t>. During the symposium, the group reduced the total list of indicators with a socioeconomic focus to 86 that cover both the different boxes of the IPBES conceptual framework and the different dimensions of well-being and sustainability;</w:t>
      </w:r>
    </w:p>
    <w:p w14:paraId="013C5B30" w14:textId="77777777"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rPr>
        <w:t>Presentation of the 86 indicators at the 2016 GEO BON Open Science Conference, which was held from 4 to 6 July, 2016 in Leipzig, Germany;</w:t>
      </w:r>
    </w:p>
    <w:p w14:paraId="0382F7D0" w14:textId="50D8F51F"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rPr>
        <w:t xml:space="preserve">Scoring </w:t>
      </w:r>
      <w:r w:rsidRPr="00AE7103">
        <w:rPr>
          <w:rFonts w:cstheme="minorHAnsi"/>
          <w:color w:val="000000" w:themeColor="text1"/>
        </w:rPr>
        <w:t>by the expert group of the 86 indicators according to the same 14 criteria listed in paragraph 5 (</w:t>
      </w:r>
      <w:r w:rsidR="00FC56EA">
        <w:rPr>
          <w:rFonts w:cstheme="minorHAnsi"/>
          <w:color w:val="000000" w:themeColor="text1"/>
        </w:rPr>
        <w:t>a(i)</w:t>
      </w:r>
      <w:r w:rsidRPr="00AE7103">
        <w:rPr>
          <w:rFonts w:cstheme="minorHAnsi"/>
          <w:color w:val="000000" w:themeColor="text1"/>
        </w:rPr>
        <w:t>) above, resulting in a list of 25 indicators;</w:t>
      </w:r>
    </w:p>
    <w:p w14:paraId="5269A2F5" w14:textId="77777777" w:rsidR="003A10A9" w:rsidRPr="00AE7103" w:rsidRDefault="003A10A9" w:rsidP="003A10A9">
      <w:pPr>
        <w:pStyle w:val="Normalnumber"/>
        <w:numPr>
          <w:ilvl w:val="1"/>
          <w:numId w:val="9"/>
        </w:numPr>
        <w:tabs>
          <w:tab w:val="clear" w:pos="4082"/>
        </w:tabs>
        <w:rPr>
          <w:color w:val="000000" w:themeColor="text1"/>
        </w:rPr>
      </w:pPr>
      <w:r w:rsidRPr="00AE7103">
        <w:rPr>
          <w:rFonts w:cstheme="minorHAnsi"/>
          <w:color w:val="000000" w:themeColor="text1"/>
        </w:rPr>
        <w:t xml:space="preserve">Presentation and consultation regarding the 25 indicators during the </w:t>
      </w:r>
      <w:r w:rsidRPr="00AE7103">
        <w:rPr>
          <w:color w:val="000000" w:themeColor="text1"/>
        </w:rPr>
        <w:t xml:space="preserve">joint second author meeting of the regional assessments and the land degradation and restoration assessment and the first </w:t>
      </w:r>
      <w:r w:rsidRPr="00AE7103">
        <w:rPr>
          <w:color w:val="000000" w:themeColor="text1"/>
        </w:rPr>
        <w:lastRenderedPageBreak/>
        <w:t>author meeting of the global assessment and identification of a list of 18 consensus indicators for review by the task force on data and knowledge;</w:t>
      </w:r>
    </w:p>
    <w:p w14:paraId="399D5F6A" w14:textId="1B94352A"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rPr>
        <w:t>After agreement by the task force on 15 indicators, presentation of these indicators to the Multidisciplinary Expert Panel at its eighth meeting in October 2016</w:t>
      </w:r>
      <w:r w:rsidRPr="00AE7103">
        <w:rPr>
          <w:rFonts w:hint="eastAsia"/>
          <w:color w:val="000000" w:themeColor="text1"/>
          <w:lang w:eastAsia="ko-KR"/>
        </w:rPr>
        <w:t xml:space="preserve">, </w:t>
      </w:r>
      <w:r w:rsidRPr="00AE7103">
        <w:rPr>
          <w:color w:val="000000" w:themeColor="text1"/>
          <w:lang w:eastAsia="ko-KR"/>
        </w:rPr>
        <w:t>and</w:t>
      </w:r>
      <w:r w:rsidRPr="00AE7103">
        <w:rPr>
          <w:rFonts w:hint="eastAsia"/>
          <w:color w:val="000000" w:themeColor="text1"/>
          <w:lang w:eastAsia="ko-KR"/>
        </w:rPr>
        <w:t xml:space="preserve"> </w:t>
      </w:r>
      <w:r w:rsidRPr="00AE7103">
        <w:rPr>
          <w:color w:val="000000" w:themeColor="text1"/>
          <w:lang w:eastAsia="ko-KR"/>
        </w:rPr>
        <w:t xml:space="preserve">recommendation by </w:t>
      </w:r>
      <w:r w:rsidRPr="00AE7103">
        <w:rPr>
          <w:rFonts w:hint="eastAsia"/>
          <w:color w:val="000000" w:themeColor="text1"/>
          <w:lang w:eastAsia="ko-KR"/>
        </w:rPr>
        <w:t>the Multidisciplinary Expert Panel</w:t>
      </w:r>
      <w:r w:rsidRPr="00AE7103">
        <w:rPr>
          <w:color w:val="000000" w:themeColor="text1"/>
          <w:lang w:eastAsia="ko-KR"/>
        </w:rPr>
        <w:t xml:space="preserve"> </w:t>
      </w:r>
      <w:r w:rsidRPr="00AE7103">
        <w:rPr>
          <w:color w:val="000000" w:themeColor="text1"/>
        </w:rPr>
        <w:t xml:space="preserve">to the </w:t>
      </w:r>
      <w:r w:rsidRPr="00AE7103">
        <w:rPr>
          <w:rFonts w:hint="eastAsia"/>
          <w:color w:val="000000" w:themeColor="text1"/>
          <w:lang w:eastAsia="ko-KR"/>
        </w:rPr>
        <w:t>authors of</w:t>
      </w:r>
      <w:r w:rsidRPr="00AE7103">
        <w:rPr>
          <w:color w:val="000000" w:themeColor="text1"/>
        </w:rPr>
        <w:t xml:space="preserve"> the regional assessments to use a small set of </w:t>
      </w:r>
      <w:r w:rsidRPr="00AE7103">
        <w:rPr>
          <w:rFonts w:hint="eastAsia"/>
          <w:color w:val="000000" w:themeColor="text1"/>
          <w:lang w:eastAsia="ko-KR"/>
        </w:rPr>
        <w:t>9</w:t>
      </w:r>
      <w:r w:rsidR="00B23629">
        <w:rPr>
          <w:color w:val="000000" w:themeColor="text1"/>
          <w:lang w:eastAsia="ko-KR"/>
        </w:rPr>
        <w:t> </w:t>
      </w:r>
      <w:r w:rsidRPr="00AE7103">
        <w:rPr>
          <w:color w:val="000000" w:themeColor="text1"/>
        </w:rPr>
        <w:t>indicators with socioeconomic focus, as far as possible (appendix V)</w:t>
      </w:r>
      <w:r w:rsidRPr="00AE7103">
        <w:rPr>
          <w:rFonts w:hint="eastAsia"/>
          <w:color w:val="000000" w:themeColor="text1"/>
          <w:lang w:eastAsia="ko-KR"/>
        </w:rPr>
        <w:t>;</w:t>
      </w:r>
    </w:p>
    <w:p w14:paraId="656227E4" w14:textId="77777777"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rPr>
        <w:t>Request by the Multidisciplinary Expert Panel to continue the work on additional indicators with a socio</w:t>
      </w:r>
      <w:r w:rsidRPr="00AE7103">
        <w:rPr>
          <w:rFonts w:hint="eastAsia"/>
          <w:color w:val="000000" w:themeColor="text1"/>
          <w:lang w:eastAsia="ko-KR"/>
        </w:rPr>
        <w:t xml:space="preserve">ecological </w:t>
      </w:r>
      <w:r w:rsidRPr="00AE7103">
        <w:rPr>
          <w:color w:val="000000" w:themeColor="text1"/>
        </w:rPr>
        <w:t>focus</w:t>
      </w:r>
      <w:r w:rsidRPr="00AE7103">
        <w:rPr>
          <w:rFonts w:hint="eastAsia"/>
          <w:color w:val="000000" w:themeColor="text1"/>
          <w:lang w:eastAsia="ko-KR"/>
        </w:rPr>
        <w:t xml:space="preserve"> </w:t>
      </w:r>
      <w:r w:rsidRPr="00AE7103">
        <w:rPr>
          <w:color w:val="000000" w:themeColor="text1"/>
        </w:rPr>
        <w:t>for use in the global assessment</w:t>
      </w:r>
      <w:r w:rsidRPr="00AE7103">
        <w:rPr>
          <w:rFonts w:hint="eastAsia"/>
          <w:color w:val="000000" w:themeColor="text1"/>
          <w:lang w:eastAsia="ko-KR"/>
        </w:rPr>
        <w:t xml:space="preserve"> for an even coverage of the IPBES </w:t>
      </w:r>
      <w:r w:rsidRPr="00AE7103">
        <w:rPr>
          <w:color w:val="000000" w:themeColor="text1"/>
          <w:lang w:eastAsia="ko-KR"/>
        </w:rPr>
        <w:t>c</w:t>
      </w:r>
      <w:r w:rsidRPr="00AE7103">
        <w:rPr>
          <w:rFonts w:hint="eastAsia"/>
          <w:color w:val="000000" w:themeColor="text1"/>
          <w:lang w:eastAsia="ko-KR"/>
        </w:rPr>
        <w:t xml:space="preserve">onceptual </w:t>
      </w:r>
      <w:r w:rsidRPr="00AE7103">
        <w:rPr>
          <w:color w:val="000000" w:themeColor="text1"/>
          <w:lang w:eastAsia="ko-KR"/>
        </w:rPr>
        <w:t>f</w:t>
      </w:r>
      <w:r w:rsidRPr="00AE7103">
        <w:rPr>
          <w:rFonts w:hint="eastAsia"/>
          <w:color w:val="000000" w:themeColor="text1"/>
          <w:lang w:eastAsia="ko-KR"/>
        </w:rPr>
        <w:t>ramework</w:t>
      </w:r>
      <w:r w:rsidRPr="00AE7103">
        <w:rPr>
          <w:color w:val="000000" w:themeColor="text1"/>
          <w:lang w:eastAsia="ko-KR"/>
        </w:rPr>
        <w:t>, including the development of narratives to illustrate their role</w:t>
      </w:r>
      <w:r w:rsidRPr="00AE7103">
        <w:rPr>
          <w:rFonts w:hint="eastAsia"/>
          <w:color w:val="000000" w:themeColor="text1"/>
          <w:lang w:eastAsia="ko-KR"/>
        </w:rPr>
        <w:t>.</w:t>
      </w:r>
    </w:p>
    <w:p w14:paraId="01A1537D" w14:textId="77777777" w:rsidR="003A10A9" w:rsidRPr="00AE7103" w:rsidRDefault="005E4604" w:rsidP="005E4604">
      <w:pPr>
        <w:pStyle w:val="CH2"/>
        <w:rPr>
          <w:color w:val="000000" w:themeColor="text1"/>
        </w:rPr>
      </w:pPr>
      <w:r w:rsidRPr="00AE7103">
        <w:rPr>
          <w:color w:val="000000" w:themeColor="text1"/>
        </w:rPr>
        <w:tab/>
        <w:t>D.</w:t>
      </w:r>
      <w:r w:rsidRPr="00AE7103">
        <w:rPr>
          <w:color w:val="000000" w:themeColor="text1"/>
        </w:rPr>
        <w:tab/>
      </w:r>
      <w:r w:rsidR="003A10A9" w:rsidRPr="00AE7103">
        <w:rPr>
          <w:color w:val="000000" w:themeColor="text1"/>
        </w:rPr>
        <w:t xml:space="preserve">Collaboration with </w:t>
      </w:r>
      <w:r w:rsidR="003A10A9" w:rsidRPr="00AE7103">
        <w:rPr>
          <w:rFonts w:eastAsiaTheme="minorEastAsia"/>
          <w:color w:val="000000" w:themeColor="text1"/>
          <w:lang w:eastAsia="ko-KR"/>
        </w:rPr>
        <w:t>organizations in provision of information and data related to indicators</w:t>
      </w:r>
    </w:p>
    <w:p w14:paraId="250C86FA" w14:textId="1FC85F35" w:rsidR="003A10A9" w:rsidRPr="00AE7103" w:rsidRDefault="003A10A9" w:rsidP="003A10A9">
      <w:pPr>
        <w:pStyle w:val="Normalnumber"/>
        <w:numPr>
          <w:ilvl w:val="0"/>
          <w:numId w:val="9"/>
        </w:numPr>
        <w:tabs>
          <w:tab w:val="clear" w:pos="4082"/>
        </w:tabs>
        <w:rPr>
          <w:color w:val="000000" w:themeColor="text1"/>
        </w:rPr>
      </w:pPr>
      <w:r w:rsidRPr="00AE7103">
        <w:rPr>
          <w:color w:val="000000" w:themeColor="text1"/>
        </w:rPr>
        <w:t xml:space="preserve">The task group on indicators provides comprehensive support to assessment authors in the use of the IPBES core and highlighted indicators. To this end, under the </w:t>
      </w:r>
      <w:r w:rsidRPr="00AE7103">
        <w:rPr>
          <w:color w:val="000000" w:themeColor="text1"/>
          <w:lang w:eastAsia="ko-KR"/>
        </w:rPr>
        <w:t xml:space="preserve">overall </w:t>
      </w:r>
      <w:r w:rsidRPr="00AE7103">
        <w:rPr>
          <w:color w:val="000000" w:themeColor="text1"/>
        </w:rPr>
        <w:t>guidance of the task group lead</w:t>
      </w:r>
      <w:r w:rsidRPr="00AE7103">
        <w:rPr>
          <w:color w:val="000000" w:themeColor="text1"/>
          <w:lang w:eastAsia="ko-KR"/>
        </w:rPr>
        <w:t>,</w:t>
      </w:r>
      <w:r w:rsidRPr="00AE7103">
        <w:rPr>
          <w:color w:val="000000" w:themeColor="text1"/>
        </w:rPr>
        <w:t xml:space="preserve"> the </w:t>
      </w:r>
      <w:r w:rsidR="00FC56EA">
        <w:rPr>
          <w:color w:val="000000" w:themeColor="text1"/>
        </w:rPr>
        <w:t>technical support unit (</w:t>
      </w:r>
      <w:r w:rsidRPr="00AE7103">
        <w:rPr>
          <w:color w:val="000000" w:themeColor="text1"/>
        </w:rPr>
        <w:t>TSU</w:t>
      </w:r>
      <w:r w:rsidR="00FC56EA">
        <w:rPr>
          <w:color w:val="000000" w:themeColor="text1"/>
        </w:rPr>
        <w:t>)</w:t>
      </w:r>
      <w:r w:rsidRPr="00AE7103">
        <w:rPr>
          <w:color w:val="000000" w:themeColor="text1"/>
        </w:rPr>
        <w:t xml:space="preserve"> on knowledge and data, supported by the Biodiversity Indicators Partnership, is collaborating with the organizations that have developed indicators </w:t>
      </w:r>
      <w:r w:rsidRPr="00AE7103">
        <w:rPr>
          <w:color w:val="000000" w:themeColor="text1"/>
          <w:lang w:eastAsia="ko-KR"/>
        </w:rPr>
        <w:t>that</w:t>
      </w:r>
      <w:r w:rsidRPr="00AE7103">
        <w:rPr>
          <w:color w:val="000000" w:themeColor="text1"/>
        </w:rPr>
        <w:t xml:space="preserve"> are included in the IPBES core and highlighted lists</w:t>
      </w:r>
      <w:r w:rsidRPr="00AE7103">
        <w:rPr>
          <w:rFonts w:hint="eastAsia"/>
          <w:color w:val="000000" w:themeColor="text1"/>
          <w:lang w:eastAsia="ko-KR"/>
        </w:rPr>
        <w:t xml:space="preserve"> (appendix III and IV)</w:t>
      </w:r>
      <w:r w:rsidRPr="00AE7103">
        <w:rPr>
          <w:color w:val="000000" w:themeColor="text1"/>
          <w:lang w:eastAsia="ko-KR"/>
        </w:rPr>
        <w:t xml:space="preserve"> </w:t>
      </w:r>
      <w:r w:rsidRPr="00AE7103">
        <w:rPr>
          <w:color w:val="000000" w:themeColor="text1"/>
        </w:rPr>
        <w:t xml:space="preserve">in the provision of </w:t>
      </w:r>
      <w:r w:rsidRPr="00AE7103">
        <w:rPr>
          <w:color w:val="000000" w:themeColor="text1"/>
          <w:lang w:eastAsia="ko-KR"/>
        </w:rPr>
        <w:t>indicator associated</w:t>
      </w:r>
      <w:r w:rsidRPr="00AE7103">
        <w:rPr>
          <w:color w:val="000000" w:themeColor="text1"/>
        </w:rPr>
        <w:t xml:space="preserve"> information and data to assessment authors. </w:t>
      </w:r>
      <w:r w:rsidRPr="00AE7103">
        <w:rPr>
          <w:color w:val="000000" w:themeColor="text1"/>
          <w:lang w:eastAsia="ko-KR"/>
        </w:rPr>
        <w:t xml:space="preserve">The resources provided by the indicator providers are </w:t>
      </w:r>
      <w:r w:rsidR="00B23629">
        <w:rPr>
          <w:color w:val="000000" w:themeColor="text1"/>
          <w:lang w:eastAsia="ko-KR"/>
        </w:rPr>
        <w:br/>
      </w:r>
      <w:r w:rsidRPr="00AE7103">
        <w:rPr>
          <w:color w:val="000000" w:themeColor="text1"/>
          <w:lang w:eastAsia="ko-KR"/>
        </w:rPr>
        <w:t xml:space="preserve">(i) factsheets that contain descriptive and technical information on indicators with reference materials, (ii) visuals and storylines that contain global (and, in some cases, regional) level graphs and maps with brief analyses, and (iii) datasets with values (and sample size and uncertainties, in some cases) at IPBES regional, sub-regional and country levels. The descriptive and visuals/storyline factsheets are intended to orient assessment authors in understanding and using the indicators properly in relevant sections of the assessments. </w:t>
      </w:r>
    </w:p>
    <w:p w14:paraId="6CA2F0DF" w14:textId="77777777" w:rsidR="003A10A9" w:rsidRPr="00AE7103" w:rsidRDefault="003A10A9" w:rsidP="003A10A9">
      <w:pPr>
        <w:pStyle w:val="Normalnumber"/>
        <w:numPr>
          <w:ilvl w:val="0"/>
          <w:numId w:val="9"/>
        </w:numPr>
        <w:tabs>
          <w:tab w:val="clear" w:pos="4082"/>
        </w:tabs>
        <w:rPr>
          <w:color w:val="000000" w:themeColor="text1"/>
        </w:rPr>
      </w:pPr>
      <w:r w:rsidRPr="00AE7103">
        <w:rPr>
          <w:color w:val="000000" w:themeColor="text1"/>
        </w:rPr>
        <w:t xml:space="preserve">A portal for information and data on IPBES indicators has been made available at www.ipbes.net/indicators. </w:t>
      </w:r>
      <w:r w:rsidRPr="00AE7103">
        <w:rPr>
          <w:color w:val="000000" w:themeColor="text1"/>
          <w:lang w:eastAsia="ko-KR"/>
        </w:rPr>
        <w:t xml:space="preserve">Factsheets and visuals/storylines that have been submitted by the institutes providing the indicators are made available on this portal. The global, regional and land degradation and restoration assessment authors have been informed on the availability of the resources and have been provided with access to the indicators web portal. </w:t>
      </w:r>
      <w:r w:rsidRPr="00AE7103">
        <w:rPr>
          <w:rFonts w:hint="eastAsia"/>
          <w:color w:val="000000" w:themeColor="text1"/>
          <w:lang w:eastAsia="ko-KR"/>
        </w:rPr>
        <w:t>Additional resources will be posted as they become available.</w:t>
      </w:r>
      <w:r w:rsidRPr="00AE7103">
        <w:rPr>
          <w:color w:val="000000" w:themeColor="text1"/>
          <w:lang w:eastAsia="ko-KR"/>
        </w:rPr>
        <w:t xml:space="preserve"> </w:t>
      </w:r>
    </w:p>
    <w:p w14:paraId="41FF8E5D" w14:textId="77777777" w:rsidR="003A10A9" w:rsidRPr="00AE7103" w:rsidRDefault="005E4604" w:rsidP="005E4604">
      <w:pPr>
        <w:pStyle w:val="CH2"/>
        <w:rPr>
          <w:color w:val="000000" w:themeColor="text1"/>
        </w:rPr>
      </w:pPr>
      <w:r w:rsidRPr="00AE7103">
        <w:rPr>
          <w:rFonts w:eastAsiaTheme="minorEastAsia"/>
          <w:color w:val="000000" w:themeColor="text1"/>
          <w:lang w:eastAsia="ko-KR"/>
        </w:rPr>
        <w:tab/>
        <w:t>E.</w:t>
      </w:r>
      <w:r w:rsidRPr="00AE7103">
        <w:rPr>
          <w:rFonts w:eastAsiaTheme="minorEastAsia"/>
          <w:color w:val="000000" w:themeColor="text1"/>
          <w:lang w:eastAsia="ko-KR"/>
        </w:rPr>
        <w:tab/>
      </w:r>
      <w:r w:rsidR="003A10A9" w:rsidRPr="00AE7103">
        <w:rPr>
          <w:rFonts w:eastAsiaTheme="minorEastAsia"/>
          <w:color w:val="000000" w:themeColor="text1"/>
          <w:lang w:eastAsia="ko-KR"/>
        </w:rPr>
        <w:t>Provision of tailored support to assessment authors</w:t>
      </w:r>
    </w:p>
    <w:p w14:paraId="040564E0" w14:textId="45E61D90" w:rsidR="003A10A9" w:rsidRPr="00AE7103" w:rsidRDefault="003A10A9" w:rsidP="00B23629">
      <w:pPr>
        <w:pStyle w:val="Normalnumber"/>
        <w:numPr>
          <w:ilvl w:val="0"/>
          <w:numId w:val="9"/>
        </w:numPr>
        <w:tabs>
          <w:tab w:val="clear" w:pos="4082"/>
        </w:tabs>
        <w:rPr>
          <w:rFonts w:cs="Arial"/>
          <w:color w:val="000000" w:themeColor="text1"/>
        </w:rPr>
      </w:pPr>
      <w:r w:rsidRPr="00AE7103">
        <w:rPr>
          <w:rFonts w:cstheme="minorHAnsi"/>
          <w:color w:val="000000" w:themeColor="text1"/>
        </w:rPr>
        <w:t>The task group on indicators provides assessment authors with tailored support, including the re-calculation of data for IPBES regions and the p</w:t>
      </w:r>
      <w:r w:rsidR="00B23629">
        <w:rPr>
          <w:rFonts w:cstheme="minorHAnsi"/>
          <w:color w:val="000000" w:themeColor="text1"/>
        </w:rPr>
        <w:t xml:space="preserve">reparation of maps and graphs. </w:t>
      </w:r>
      <w:r w:rsidRPr="00AE7103">
        <w:rPr>
          <w:color w:val="000000" w:themeColor="text1"/>
          <w:lang w:eastAsia="ko-KR"/>
        </w:rPr>
        <w:t xml:space="preserve">Technically supported by the TSU on knowledge and data, under the guidance of the task group lead, datasets of the IPBES core indicators are further processed to visualize at IPBES regional, sub-regional and country levels for trend analyses and multi-scale, cross-regional comparisons. A workflow is being developed to produce standardized graphs and, as TSU capacity and expertise allows, maps for easy interpretation and integration of core indicators into the drafts of IPBES assessments. </w:t>
      </w:r>
      <w:r w:rsidRPr="00AE7103">
        <w:rPr>
          <w:rFonts w:hint="eastAsia"/>
          <w:color w:val="000000" w:themeColor="text1"/>
          <w:lang w:eastAsia="ko-KR"/>
        </w:rPr>
        <w:t>There is an effort to</w:t>
      </w:r>
      <w:r w:rsidRPr="00AE7103">
        <w:rPr>
          <w:color w:val="000000" w:themeColor="text1"/>
          <w:lang w:eastAsia="ko-KR"/>
        </w:rPr>
        <w:t xml:space="preserve"> put in place a collaboration, via the </w:t>
      </w:r>
      <w:r w:rsidR="00FC56EA">
        <w:rPr>
          <w:color w:val="000000" w:themeColor="text1"/>
          <w:lang w:eastAsia="ko-KR"/>
        </w:rPr>
        <w:t>TSU</w:t>
      </w:r>
      <w:r w:rsidRPr="00AE7103">
        <w:rPr>
          <w:color w:val="000000" w:themeColor="text1"/>
          <w:lang w:eastAsia="ko-KR"/>
        </w:rPr>
        <w:t>, between</w:t>
      </w:r>
      <w:r w:rsidRPr="00AE7103">
        <w:rPr>
          <w:rFonts w:hint="eastAsia"/>
          <w:color w:val="000000" w:themeColor="text1"/>
          <w:lang w:eastAsia="ko-KR"/>
        </w:rPr>
        <w:t xml:space="preserve"> assessment groups and indicator providers in co-producing visuals (graphs and maps) and narratives that are relevant for IPBES assessments. </w:t>
      </w:r>
    </w:p>
    <w:p w14:paraId="5DFB85BE" w14:textId="77777777" w:rsidR="003A10A9" w:rsidRPr="00AE7103" w:rsidRDefault="005E4604" w:rsidP="005E4604">
      <w:pPr>
        <w:pStyle w:val="CH2"/>
        <w:rPr>
          <w:color w:val="000000" w:themeColor="text1"/>
        </w:rPr>
      </w:pPr>
      <w:r w:rsidRPr="00AE7103">
        <w:rPr>
          <w:color w:val="000000" w:themeColor="text1"/>
        </w:rPr>
        <w:tab/>
        <w:t>F.</w:t>
      </w:r>
      <w:r w:rsidRPr="00AE7103">
        <w:rPr>
          <w:color w:val="000000" w:themeColor="text1"/>
        </w:rPr>
        <w:tab/>
      </w:r>
      <w:r w:rsidR="003A10A9" w:rsidRPr="00AE7103">
        <w:rPr>
          <w:color w:val="000000" w:themeColor="text1"/>
        </w:rPr>
        <w:t>Next steps</w:t>
      </w:r>
    </w:p>
    <w:p w14:paraId="1546B5D9" w14:textId="77777777" w:rsidR="003A10A9" w:rsidRPr="00AE7103" w:rsidRDefault="003A10A9" w:rsidP="003A10A9">
      <w:pPr>
        <w:pStyle w:val="Normalnumber"/>
        <w:numPr>
          <w:ilvl w:val="0"/>
          <w:numId w:val="9"/>
        </w:numPr>
        <w:tabs>
          <w:tab w:val="clear" w:pos="4082"/>
        </w:tabs>
        <w:rPr>
          <w:color w:val="000000" w:themeColor="text1"/>
        </w:rPr>
      </w:pPr>
      <w:r w:rsidRPr="00AE7103">
        <w:rPr>
          <w:color w:val="000000" w:themeColor="text1"/>
        </w:rPr>
        <w:t xml:space="preserve">In terms of the identification of additional indicators with a socioeconomic focus, the following activities are planned: </w:t>
      </w:r>
    </w:p>
    <w:p w14:paraId="54BB07EB" w14:textId="77777777"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lang w:eastAsia="ko-KR"/>
        </w:rPr>
        <w:t>The expert group working on indicators with socioeconomic focus plans to hold a workshop</w:t>
      </w:r>
      <w:r w:rsidRPr="00AE7103">
        <w:rPr>
          <w:color w:val="000000" w:themeColor="text1"/>
        </w:rPr>
        <w:t xml:space="preserve"> in Apri</w:t>
      </w:r>
      <w:r w:rsidRPr="00AE7103">
        <w:rPr>
          <w:color w:val="000000" w:themeColor="text1"/>
          <w:lang w:eastAsia="ko-KR"/>
        </w:rPr>
        <w:t>l 2017, immediately following the IPBES global workshop on values, to revisit the list of indicators, and develop narratives;</w:t>
      </w:r>
    </w:p>
    <w:p w14:paraId="262BA428" w14:textId="77777777"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lang w:eastAsia="ko-KR"/>
        </w:rPr>
        <w:t xml:space="preserve">The recommended additional core and highlighted indicators with socioeconomic focus will be reviewed by the IPBES task group on indicators and the IPBES knowledge and data task force, and will be submitted to the IPBES Multidisciplinary Expert Panel for its endorsement; </w:t>
      </w:r>
    </w:p>
    <w:p w14:paraId="73454794" w14:textId="77777777"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rPr>
        <w:t>Collaboration with</w:t>
      </w:r>
      <w:r w:rsidRPr="00AE7103">
        <w:rPr>
          <w:color w:val="000000" w:themeColor="text1"/>
          <w:lang w:eastAsia="ko-KR"/>
        </w:rPr>
        <w:t xml:space="preserve"> indicator holding organizations will be initiated regarding information and data associated with the endorsed indicators, and relevant resources will be provided to the assessment authors.</w:t>
      </w:r>
    </w:p>
    <w:p w14:paraId="43D7E9AF" w14:textId="77777777" w:rsidR="003A10A9" w:rsidRPr="00AE7103" w:rsidRDefault="003A10A9" w:rsidP="00776736">
      <w:pPr>
        <w:pStyle w:val="Normalnumber"/>
        <w:keepNext/>
        <w:keepLines/>
        <w:numPr>
          <w:ilvl w:val="0"/>
          <w:numId w:val="9"/>
        </w:numPr>
        <w:tabs>
          <w:tab w:val="clear" w:pos="4082"/>
        </w:tabs>
        <w:rPr>
          <w:color w:val="000000" w:themeColor="text1"/>
        </w:rPr>
      </w:pPr>
      <w:r w:rsidRPr="00AE7103">
        <w:rPr>
          <w:color w:val="000000" w:themeColor="text1"/>
        </w:rPr>
        <w:lastRenderedPageBreak/>
        <w:t xml:space="preserve">In terms of collaboration with </w:t>
      </w:r>
      <w:r w:rsidRPr="00AE7103">
        <w:rPr>
          <w:color w:val="000000" w:themeColor="text1"/>
          <w:lang w:eastAsia="ko-KR"/>
        </w:rPr>
        <w:t>organizations</w:t>
      </w:r>
      <w:r w:rsidRPr="00AE7103">
        <w:rPr>
          <w:color w:val="000000" w:themeColor="text1"/>
        </w:rPr>
        <w:t xml:space="preserve"> and </w:t>
      </w:r>
      <w:r w:rsidRPr="00AE7103">
        <w:rPr>
          <w:color w:val="000000" w:themeColor="text1"/>
          <w:lang w:eastAsia="ko-KR"/>
        </w:rPr>
        <w:t xml:space="preserve">tailored </w:t>
      </w:r>
      <w:r w:rsidRPr="00AE7103">
        <w:rPr>
          <w:color w:val="000000" w:themeColor="text1"/>
        </w:rPr>
        <w:t xml:space="preserve">support to assessment authors, the following activities are planned: </w:t>
      </w:r>
    </w:p>
    <w:p w14:paraId="4D2CAE39" w14:textId="77777777"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lang w:eastAsia="ko-KR"/>
        </w:rPr>
        <w:t xml:space="preserve">Graphs and </w:t>
      </w:r>
      <w:r w:rsidRPr="00AE7103">
        <w:rPr>
          <w:color w:val="000000" w:themeColor="text1"/>
        </w:rPr>
        <w:t>maps</w:t>
      </w:r>
      <w:r w:rsidRPr="00AE7103">
        <w:rPr>
          <w:color w:val="000000" w:themeColor="text1"/>
          <w:lang w:eastAsia="ko-KR"/>
        </w:rPr>
        <w:t xml:space="preserve"> developed</w:t>
      </w:r>
      <w:r w:rsidRPr="00AE7103">
        <w:rPr>
          <w:color w:val="000000" w:themeColor="text1"/>
        </w:rPr>
        <w:t xml:space="preserve"> </w:t>
      </w:r>
      <w:r w:rsidRPr="00AE7103">
        <w:rPr>
          <w:color w:val="000000" w:themeColor="text1"/>
          <w:lang w:eastAsia="ko-KR"/>
        </w:rPr>
        <w:t>in standardized format will be</w:t>
      </w:r>
      <w:r w:rsidRPr="00AE7103">
        <w:rPr>
          <w:color w:val="000000" w:themeColor="text1"/>
        </w:rPr>
        <w:t xml:space="preserve"> made available to authors through the </w:t>
      </w:r>
      <w:r w:rsidRPr="00AE7103">
        <w:rPr>
          <w:color w:val="000000" w:themeColor="text1"/>
          <w:lang w:eastAsia="ko-KR"/>
        </w:rPr>
        <w:t>IPBES indicators portal</w:t>
      </w:r>
      <w:r w:rsidRPr="00AE7103">
        <w:rPr>
          <w:color w:val="000000" w:themeColor="text1"/>
        </w:rPr>
        <w:t>.</w:t>
      </w:r>
      <w:r w:rsidRPr="00AE7103">
        <w:rPr>
          <w:color w:val="000000" w:themeColor="text1"/>
          <w:lang w:eastAsia="ko-KR"/>
        </w:rPr>
        <w:t xml:space="preserve"> Datasets will be made available subject to arrangements with indicator providers. </w:t>
      </w:r>
    </w:p>
    <w:p w14:paraId="46249DC5" w14:textId="77777777" w:rsidR="003A10A9" w:rsidRPr="00AE7103" w:rsidRDefault="003A10A9" w:rsidP="003A10A9">
      <w:pPr>
        <w:pStyle w:val="Normalnumber"/>
        <w:numPr>
          <w:ilvl w:val="1"/>
          <w:numId w:val="9"/>
        </w:numPr>
        <w:tabs>
          <w:tab w:val="clear" w:pos="4082"/>
        </w:tabs>
        <w:rPr>
          <w:color w:val="000000" w:themeColor="text1"/>
        </w:rPr>
      </w:pPr>
      <w:r w:rsidRPr="00AE7103">
        <w:rPr>
          <w:color w:val="000000" w:themeColor="text1"/>
          <w:lang w:eastAsia="ko-KR"/>
        </w:rPr>
        <w:t>V</w:t>
      </w:r>
      <w:r w:rsidRPr="00AE7103">
        <w:rPr>
          <w:rFonts w:hint="eastAsia"/>
          <w:color w:val="000000" w:themeColor="text1"/>
          <w:lang w:eastAsia="ko-KR"/>
        </w:rPr>
        <w:t xml:space="preserve">isual resources (graphs and maps) will be revised </w:t>
      </w:r>
      <w:r w:rsidRPr="00AE7103">
        <w:rPr>
          <w:color w:val="000000" w:themeColor="text1"/>
          <w:lang w:eastAsia="ko-KR"/>
        </w:rPr>
        <w:t xml:space="preserve">according to specific </w:t>
      </w:r>
      <w:r w:rsidRPr="00AE7103">
        <w:rPr>
          <w:rFonts w:hint="eastAsia"/>
          <w:color w:val="000000" w:themeColor="text1"/>
          <w:lang w:eastAsia="ko-KR"/>
        </w:rPr>
        <w:t>feedback from the assessment groups and</w:t>
      </w:r>
      <w:r w:rsidRPr="00AE7103">
        <w:rPr>
          <w:color w:val="000000" w:themeColor="text1"/>
          <w:lang w:eastAsia="ko-KR"/>
        </w:rPr>
        <w:t>,</w:t>
      </w:r>
      <w:r w:rsidRPr="00AE7103">
        <w:rPr>
          <w:rFonts w:hint="eastAsia"/>
          <w:color w:val="000000" w:themeColor="text1"/>
          <w:lang w:eastAsia="ko-KR"/>
        </w:rPr>
        <w:t xml:space="preserve"> </w:t>
      </w:r>
      <w:r w:rsidRPr="00AE7103">
        <w:rPr>
          <w:color w:val="000000" w:themeColor="text1"/>
          <w:lang w:eastAsia="ko-KR"/>
        </w:rPr>
        <w:t xml:space="preserve">as much as possible, from </w:t>
      </w:r>
      <w:r w:rsidRPr="00AE7103">
        <w:rPr>
          <w:rFonts w:hint="eastAsia"/>
          <w:color w:val="000000" w:themeColor="text1"/>
          <w:lang w:eastAsia="ko-KR"/>
        </w:rPr>
        <w:t>indicator providers as a part of the refinement process.</w:t>
      </w:r>
      <w:r w:rsidRPr="00AE7103">
        <w:rPr>
          <w:color w:val="000000" w:themeColor="text1"/>
        </w:rPr>
        <w:t xml:space="preserve"> The indicator visuals are prepared in support of all ongoing assessments.</w:t>
      </w:r>
    </w:p>
    <w:p w14:paraId="05C558F9" w14:textId="77777777" w:rsidR="00BA3197" w:rsidRPr="00AE7103" w:rsidRDefault="005E4604">
      <w:pPr>
        <w:spacing w:after="0" w:line="240" w:lineRule="auto"/>
        <w:rPr>
          <w:rFonts w:eastAsia="Calibri"/>
          <w:color w:val="000000" w:themeColor="text1"/>
          <w:w w:val="103"/>
        </w:rPr>
        <w:sectPr w:rsidR="00BA3197" w:rsidRPr="00AE7103" w:rsidSect="000E2975">
          <w:headerReference w:type="first" r:id="rId20"/>
          <w:footerReference w:type="first" r:id="rId21"/>
          <w:footnotePr>
            <w:numFmt w:val="chicago"/>
            <w:numRestart w:val="eachSect"/>
          </w:footnotePr>
          <w:pgSz w:w="11907" w:h="16840" w:code="9"/>
          <w:pgMar w:top="907" w:right="992" w:bottom="1418" w:left="1418" w:header="539" w:footer="975" w:gutter="0"/>
          <w:cols w:space="539"/>
          <w:titlePg/>
          <w:docGrid w:linePitch="360"/>
        </w:sectPr>
      </w:pPr>
      <w:r w:rsidRPr="00AE7103">
        <w:rPr>
          <w:rFonts w:eastAsia="Calibri"/>
          <w:color w:val="000000" w:themeColor="text1"/>
          <w:w w:val="103"/>
        </w:rPr>
        <w:br w:type="page"/>
      </w:r>
    </w:p>
    <w:p w14:paraId="7EF30A17" w14:textId="4A7918B1" w:rsidR="00D80FCB" w:rsidRPr="002641E9" w:rsidRDefault="00E64D1C" w:rsidP="00E64D1C">
      <w:pPr>
        <w:pStyle w:val="CH2"/>
        <w:rPr>
          <w:rFonts w:eastAsia="Calibri"/>
        </w:rPr>
      </w:pPr>
      <w:r>
        <w:rPr>
          <w:rFonts w:eastAsia="Calibri"/>
        </w:rPr>
        <w:lastRenderedPageBreak/>
        <w:tab/>
      </w:r>
      <w:r>
        <w:rPr>
          <w:rFonts w:eastAsia="Calibri"/>
        </w:rPr>
        <w:tab/>
      </w:r>
      <w:r w:rsidR="00D80FCB" w:rsidRPr="002641E9">
        <w:rPr>
          <w:rFonts w:eastAsia="Calibri"/>
        </w:rPr>
        <w:t xml:space="preserve">Appendix I </w:t>
      </w:r>
    </w:p>
    <w:p w14:paraId="4CD7190E" w14:textId="1815B2A2" w:rsidR="00D80FCB" w:rsidRPr="002641E9" w:rsidRDefault="00E64D1C" w:rsidP="00E64D1C">
      <w:pPr>
        <w:pStyle w:val="CH2"/>
      </w:pPr>
      <w:r>
        <w:tab/>
      </w:r>
      <w:r>
        <w:tab/>
      </w:r>
      <w:r w:rsidR="00D80FCB" w:rsidRPr="002641E9">
        <w:t>List of members and resource persons of the task force on knowledge and data</w:t>
      </w:r>
    </w:p>
    <w:tbl>
      <w:tblPr>
        <w:tblStyle w:val="TableGrid"/>
        <w:tblW w:w="0" w:type="auto"/>
        <w:tblInd w:w="1385" w:type="dxa"/>
        <w:tblLook w:val="04A0" w:firstRow="1" w:lastRow="0" w:firstColumn="1" w:lastColumn="0" w:noHBand="0" w:noVBand="1"/>
      </w:tblPr>
      <w:tblGrid>
        <w:gridCol w:w="1471"/>
        <w:gridCol w:w="1835"/>
        <w:gridCol w:w="2203"/>
        <w:gridCol w:w="796"/>
        <w:gridCol w:w="2023"/>
      </w:tblGrid>
      <w:tr w:rsidR="00AE7103" w:rsidRPr="00AE7103" w14:paraId="58BC449E" w14:textId="77777777" w:rsidTr="00776736">
        <w:trPr>
          <w:tblHeader/>
        </w:trPr>
        <w:tc>
          <w:tcPr>
            <w:tcW w:w="1471" w:type="dxa"/>
            <w:shd w:val="clear" w:color="auto" w:fill="D9D9D9" w:themeFill="background1" w:themeFillShade="D9"/>
            <w:vAlign w:val="center"/>
          </w:tcPr>
          <w:p w14:paraId="6F15F576" w14:textId="77777777" w:rsidR="002274EA" w:rsidRPr="00AE7103" w:rsidRDefault="002274EA" w:rsidP="001D4A80">
            <w:pPr>
              <w:pStyle w:val="Normal-pool"/>
              <w:spacing w:before="40" w:after="40"/>
              <w:rPr>
                <w:rFonts w:eastAsia="Times New Roman"/>
                <w:b/>
                <w:color w:val="000000" w:themeColor="text1"/>
                <w:sz w:val="18"/>
                <w:szCs w:val="18"/>
                <w:lang w:eastAsia="nl-NL"/>
              </w:rPr>
            </w:pPr>
            <w:r w:rsidRPr="00AE7103">
              <w:rPr>
                <w:rFonts w:eastAsia="Times New Roman"/>
                <w:b/>
                <w:color w:val="000000" w:themeColor="text1"/>
                <w:sz w:val="18"/>
                <w:szCs w:val="18"/>
                <w:lang w:eastAsia="nl-NL"/>
              </w:rPr>
              <w:t>Role</w:t>
            </w:r>
          </w:p>
        </w:tc>
        <w:tc>
          <w:tcPr>
            <w:tcW w:w="0" w:type="auto"/>
            <w:shd w:val="clear" w:color="auto" w:fill="D9D9D9" w:themeFill="background1" w:themeFillShade="D9"/>
            <w:vAlign w:val="center"/>
          </w:tcPr>
          <w:p w14:paraId="3876909A" w14:textId="77777777" w:rsidR="002274EA" w:rsidRPr="00AE7103" w:rsidRDefault="002274EA" w:rsidP="001D4A80">
            <w:pPr>
              <w:pStyle w:val="Normal-pool"/>
              <w:spacing w:before="40" w:after="40"/>
              <w:rPr>
                <w:rFonts w:eastAsia="Times New Roman"/>
                <w:b/>
                <w:color w:val="000000" w:themeColor="text1"/>
                <w:sz w:val="18"/>
                <w:szCs w:val="18"/>
                <w:lang w:eastAsia="nl-NL"/>
              </w:rPr>
            </w:pPr>
            <w:r w:rsidRPr="00AE7103">
              <w:rPr>
                <w:rFonts w:eastAsia="Times New Roman"/>
                <w:b/>
                <w:color w:val="000000" w:themeColor="text1"/>
                <w:sz w:val="18"/>
                <w:szCs w:val="18"/>
                <w:lang w:eastAsia="nl-NL"/>
              </w:rPr>
              <w:t>Name</w:t>
            </w:r>
          </w:p>
        </w:tc>
        <w:tc>
          <w:tcPr>
            <w:tcW w:w="0" w:type="auto"/>
            <w:shd w:val="clear" w:color="auto" w:fill="D9D9D9" w:themeFill="background1" w:themeFillShade="D9"/>
          </w:tcPr>
          <w:p w14:paraId="37962A9B" w14:textId="77777777" w:rsidR="002274EA" w:rsidRPr="00AE7103" w:rsidRDefault="002274EA" w:rsidP="001D4A80">
            <w:pPr>
              <w:pStyle w:val="Normal-pool"/>
              <w:spacing w:before="40" w:after="40"/>
              <w:rPr>
                <w:rFonts w:eastAsia="Times New Roman"/>
                <w:b/>
                <w:color w:val="000000" w:themeColor="text1"/>
                <w:sz w:val="18"/>
                <w:szCs w:val="18"/>
                <w:lang w:eastAsia="nl-NL"/>
              </w:rPr>
            </w:pPr>
            <w:r w:rsidRPr="00AE7103">
              <w:rPr>
                <w:rFonts w:eastAsia="Times New Roman"/>
                <w:b/>
                <w:color w:val="000000" w:themeColor="text1"/>
                <w:sz w:val="18"/>
                <w:szCs w:val="18"/>
                <w:lang w:eastAsia="nl-NL"/>
              </w:rPr>
              <w:t>Task group(s)</w:t>
            </w:r>
          </w:p>
        </w:tc>
        <w:tc>
          <w:tcPr>
            <w:tcW w:w="0" w:type="auto"/>
            <w:shd w:val="clear" w:color="auto" w:fill="D9D9D9" w:themeFill="background1" w:themeFillShade="D9"/>
            <w:vAlign w:val="center"/>
          </w:tcPr>
          <w:p w14:paraId="16ED3ACD" w14:textId="77777777" w:rsidR="002274EA" w:rsidRPr="00AE7103" w:rsidRDefault="002274EA" w:rsidP="00B23629">
            <w:pPr>
              <w:pStyle w:val="Normal-pool"/>
              <w:spacing w:before="40" w:after="40"/>
              <w:jc w:val="center"/>
              <w:rPr>
                <w:rFonts w:eastAsia="Times New Roman"/>
                <w:b/>
                <w:color w:val="000000" w:themeColor="text1"/>
                <w:sz w:val="18"/>
                <w:szCs w:val="18"/>
                <w:lang w:eastAsia="nl-NL"/>
              </w:rPr>
            </w:pPr>
            <w:r w:rsidRPr="00AE7103">
              <w:rPr>
                <w:rFonts w:eastAsia="Times New Roman"/>
                <w:b/>
                <w:color w:val="000000" w:themeColor="text1"/>
                <w:sz w:val="18"/>
                <w:szCs w:val="18"/>
                <w:lang w:eastAsia="nl-NL"/>
              </w:rPr>
              <w:t>Gender</w:t>
            </w:r>
          </w:p>
        </w:tc>
        <w:tc>
          <w:tcPr>
            <w:tcW w:w="0" w:type="auto"/>
            <w:shd w:val="clear" w:color="auto" w:fill="D9D9D9" w:themeFill="background1" w:themeFillShade="D9"/>
            <w:vAlign w:val="center"/>
          </w:tcPr>
          <w:p w14:paraId="25F590AF" w14:textId="77777777" w:rsidR="002274EA" w:rsidRPr="00AE7103" w:rsidRDefault="002274EA" w:rsidP="001D4A80">
            <w:pPr>
              <w:pStyle w:val="Normal-pool"/>
              <w:spacing w:before="40" w:after="40"/>
              <w:rPr>
                <w:rFonts w:eastAsia="Times New Roman"/>
                <w:b/>
                <w:color w:val="000000" w:themeColor="text1"/>
                <w:sz w:val="18"/>
                <w:szCs w:val="18"/>
                <w:lang w:eastAsia="nl-NL"/>
              </w:rPr>
            </w:pPr>
            <w:r w:rsidRPr="00AE7103">
              <w:rPr>
                <w:rFonts w:eastAsia="Times New Roman"/>
                <w:b/>
                <w:color w:val="000000" w:themeColor="text1"/>
                <w:sz w:val="18"/>
                <w:szCs w:val="18"/>
                <w:lang w:eastAsia="nl-NL"/>
              </w:rPr>
              <w:t>Country</w:t>
            </w:r>
          </w:p>
        </w:tc>
      </w:tr>
      <w:tr w:rsidR="00AE7103" w:rsidRPr="00AE7103" w14:paraId="6AC05E1D" w14:textId="77777777" w:rsidTr="00776736">
        <w:tc>
          <w:tcPr>
            <w:tcW w:w="1471" w:type="dxa"/>
          </w:tcPr>
          <w:p w14:paraId="49A1405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Bureau, co-chair of the task force</w:t>
            </w:r>
          </w:p>
        </w:tc>
        <w:tc>
          <w:tcPr>
            <w:tcW w:w="0" w:type="auto"/>
          </w:tcPr>
          <w:p w14:paraId="4A2DDC0A"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Asghar Mohammadi Fazel</w:t>
            </w:r>
          </w:p>
        </w:tc>
        <w:tc>
          <w:tcPr>
            <w:tcW w:w="0" w:type="auto"/>
          </w:tcPr>
          <w:p w14:paraId="5C5F3955"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Knowledge generation</w:t>
            </w:r>
          </w:p>
        </w:tc>
        <w:tc>
          <w:tcPr>
            <w:tcW w:w="0" w:type="auto"/>
          </w:tcPr>
          <w:p w14:paraId="4C275994"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1CA46B98"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Iran</w:t>
            </w:r>
          </w:p>
        </w:tc>
      </w:tr>
      <w:tr w:rsidR="00AE7103" w:rsidRPr="00AE7103" w14:paraId="1F051DC9" w14:textId="77777777" w:rsidTr="00776736">
        <w:tc>
          <w:tcPr>
            <w:tcW w:w="1471" w:type="dxa"/>
          </w:tcPr>
          <w:p w14:paraId="70E76BB4"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Bureau, co-chair of the task force</w:t>
            </w:r>
          </w:p>
        </w:tc>
        <w:tc>
          <w:tcPr>
            <w:tcW w:w="0" w:type="auto"/>
          </w:tcPr>
          <w:p w14:paraId="791BCB2D"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Youngbae Suh</w:t>
            </w:r>
          </w:p>
        </w:tc>
        <w:tc>
          <w:tcPr>
            <w:tcW w:w="0" w:type="auto"/>
          </w:tcPr>
          <w:p w14:paraId="3A4E880A"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w:t>
            </w:r>
          </w:p>
        </w:tc>
        <w:tc>
          <w:tcPr>
            <w:tcW w:w="0" w:type="auto"/>
          </w:tcPr>
          <w:p w14:paraId="71C5C9DC"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4BDE022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Republic of Korea</w:t>
            </w:r>
          </w:p>
        </w:tc>
      </w:tr>
      <w:tr w:rsidR="00AE7103" w:rsidRPr="00AE7103" w14:paraId="5F869330" w14:textId="77777777" w:rsidTr="00776736">
        <w:tc>
          <w:tcPr>
            <w:tcW w:w="1471" w:type="dxa"/>
          </w:tcPr>
          <w:p w14:paraId="2254616B"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 xml:space="preserve">MEP </w:t>
            </w:r>
          </w:p>
        </w:tc>
        <w:tc>
          <w:tcPr>
            <w:tcW w:w="0" w:type="auto"/>
          </w:tcPr>
          <w:p w14:paraId="1A29FE98"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Yi Huang</w:t>
            </w:r>
          </w:p>
        </w:tc>
        <w:tc>
          <w:tcPr>
            <w:tcW w:w="0" w:type="auto"/>
          </w:tcPr>
          <w:p w14:paraId="5818D3F3" w14:textId="77777777" w:rsidR="002274EA" w:rsidRPr="00AE7103" w:rsidRDefault="002274EA" w:rsidP="001D4A80">
            <w:pPr>
              <w:pStyle w:val="Normal-pool"/>
              <w:spacing w:before="40" w:after="40"/>
              <w:rPr>
                <w:color w:val="000000" w:themeColor="text1"/>
                <w:sz w:val="18"/>
                <w:szCs w:val="18"/>
              </w:rPr>
            </w:pPr>
          </w:p>
        </w:tc>
        <w:tc>
          <w:tcPr>
            <w:tcW w:w="0" w:type="auto"/>
          </w:tcPr>
          <w:p w14:paraId="4B87FD19"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3B059088"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China</w:t>
            </w:r>
          </w:p>
        </w:tc>
      </w:tr>
      <w:tr w:rsidR="00AE7103" w:rsidRPr="00AE7103" w14:paraId="2FF935B4" w14:textId="77777777" w:rsidTr="00776736">
        <w:tc>
          <w:tcPr>
            <w:tcW w:w="1471" w:type="dxa"/>
          </w:tcPr>
          <w:p w14:paraId="48C973DA"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 xml:space="preserve">MEP </w:t>
            </w:r>
          </w:p>
        </w:tc>
        <w:tc>
          <w:tcPr>
            <w:tcW w:w="0" w:type="auto"/>
          </w:tcPr>
          <w:p w14:paraId="736E3CBF"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Mark Lonsdale</w:t>
            </w:r>
          </w:p>
        </w:tc>
        <w:tc>
          <w:tcPr>
            <w:tcW w:w="0" w:type="auto"/>
          </w:tcPr>
          <w:p w14:paraId="671D6152"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Knowledge generation</w:t>
            </w:r>
          </w:p>
        </w:tc>
        <w:tc>
          <w:tcPr>
            <w:tcW w:w="0" w:type="auto"/>
          </w:tcPr>
          <w:p w14:paraId="6D2B8364"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395C9627"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Australia</w:t>
            </w:r>
          </w:p>
        </w:tc>
      </w:tr>
      <w:tr w:rsidR="00AE7103" w:rsidRPr="00AE7103" w14:paraId="655D642D" w14:textId="77777777" w:rsidTr="00776736">
        <w:tc>
          <w:tcPr>
            <w:tcW w:w="1471" w:type="dxa"/>
          </w:tcPr>
          <w:p w14:paraId="068E0493"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 xml:space="preserve">MEP </w:t>
            </w:r>
          </w:p>
        </w:tc>
        <w:tc>
          <w:tcPr>
            <w:tcW w:w="0" w:type="auto"/>
          </w:tcPr>
          <w:p w14:paraId="11522823"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Voahangy Raharimalala</w:t>
            </w:r>
          </w:p>
        </w:tc>
        <w:tc>
          <w:tcPr>
            <w:tcW w:w="0" w:type="auto"/>
          </w:tcPr>
          <w:p w14:paraId="17DA8B0D"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w:t>
            </w:r>
          </w:p>
        </w:tc>
        <w:tc>
          <w:tcPr>
            <w:tcW w:w="0" w:type="auto"/>
          </w:tcPr>
          <w:p w14:paraId="36153E60"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6806BBBE"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Madagascar</w:t>
            </w:r>
          </w:p>
        </w:tc>
      </w:tr>
      <w:tr w:rsidR="00AE7103" w:rsidRPr="00AE7103" w14:paraId="5E62CD91" w14:textId="77777777" w:rsidTr="00776736">
        <w:tc>
          <w:tcPr>
            <w:tcW w:w="1471" w:type="dxa"/>
          </w:tcPr>
          <w:p w14:paraId="4AD911BA"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 xml:space="preserve">MEP </w:t>
            </w:r>
          </w:p>
        </w:tc>
        <w:tc>
          <w:tcPr>
            <w:tcW w:w="0" w:type="auto"/>
          </w:tcPr>
          <w:p w14:paraId="0489DE5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Yoshihisa Shirayama</w:t>
            </w:r>
          </w:p>
        </w:tc>
        <w:tc>
          <w:tcPr>
            <w:tcW w:w="0" w:type="auto"/>
          </w:tcPr>
          <w:p w14:paraId="3822A9C9" w14:textId="77777777" w:rsidR="002274EA" w:rsidRPr="00AE7103" w:rsidRDefault="002274EA" w:rsidP="001D4A80">
            <w:pPr>
              <w:pStyle w:val="Normal-pool"/>
              <w:spacing w:before="40" w:after="40"/>
              <w:rPr>
                <w:color w:val="000000" w:themeColor="text1"/>
                <w:sz w:val="18"/>
                <w:szCs w:val="18"/>
              </w:rPr>
            </w:pPr>
          </w:p>
        </w:tc>
        <w:tc>
          <w:tcPr>
            <w:tcW w:w="0" w:type="auto"/>
          </w:tcPr>
          <w:p w14:paraId="24D84E20"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1939EDC1"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Japan</w:t>
            </w:r>
          </w:p>
        </w:tc>
      </w:tr>
      <w:tr w:rsidR="00AE7103" w:rsidRPr="00AE7103" w14:paraId="7296EA3D" w14:textId="77777777" w:rsidTr="00776736">
        <w:tc>
          <w:tcPr>
            <w:tcW w:w="1471" w:type="dxa"/>
          </w:tcPr>
          <w:p w14:paraId="0F75265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 xml:space="preserve">MEP </w:t>
            </w:r>
          </w:p>
        </w:tc>
        <w:tc>
          <w:tcPr>
            <w:tcW w:w="0" w:type="auto"/>
          </w:tcPr>
          <w:p w14:paraId="1C4BC7D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Paul Leadley</w:t>
            </w:r>
          </w:p>
        </w:tc>
        <w:tc>
          <w:tcPr>
            <w:tcW w:w="0" w:type="auto"/>
          </w:tcPr>
          <w:p w14:paraId="223D8753"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w:t>
            </w:r>
          </w:p>
        </w:tc>
        <w:tc>
          <w:tcPr>
            <w:tcW w:w="0" w:type="auto"/>
          </w:tcPr>
          <w:p w14:paraId="2D7D524C"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3BCAEA9A"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France</w:t>
            </w:r>
          </w:p>
        </w:tc>
      </w:tr>
      <w:tr w:rsidR="00AE7103" w:rsidRPr="00AE7103" w14:paraId="2AD13772" w14:textId="77777777" w:rsidTr="00776736">
        <w:tc>
          <w:tcPr>
            <w:tcW w:w="1471" w:type="dxa"/>
          </w:tcPr>
          <w:p w14:paraId="22A50D43"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30FA9AC8"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Andras Baldi</w:t>
            </w:r>
          </w:p>
        </w:tc>
        <w:tc>
          <w:tcPr>
            <w:tcW w:w="0" w:type="auto"/>
          </w:tcPr>
          <w:p w14:paraId="1910C386"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Knowledge generation</w:t>
            </w:r>
          </w:p>
        </w:tc>
        <w:tc>
          <w:tcPr>
            <w:tcW w:w="0" w:type="auto"/>
          </w:tcPr>
          <w:p w14:paraId="3329AF7E"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613E370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Hungary</w:t>
            </w:r>
          </w:p>
        </w:tc>
      </w:tr>
      <w:tr w:rsidR="00AE7103" w:rsidRPr="00AE7103" w14:paraId="28F7C4CE" w14:textId="77777777" w:rsidTr="00776736">
        <w:tc>
          <w:tcPr>
            <w:tcW w:w="1471" w:type="dxa"/>
          </w:tcPr>
          <w:p w14:paraId="3748E396"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024FBCCD"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Juan Carlos Bello Silva</w:t>
            </w:r>
          </w:p>
        </w:tc>
        <w:tc>
          <w:tcPr>
            <w:tcW w:w="0" w:type="auto"/>
          </w:tcPr>
          <w:p w14:paraId="480AA6A4"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5BA7B4D3"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4BD0EBED"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Colombia</w:t>
            </w:r>
          </w:p>
        </w:tc>
      </w:tr>
      <w:tr w:rsidR="00AE7103" w:rsidRPr="00AE7103" w14:paraId="59BA62E7" w14:textId="77777777" w:rsidTr="00776736">
        <w:tc>
          <w:tcPr>
            <w:tcW w:w="1471" w:type="dxa"/>
          </w:tcPr>
          <w:p w14:paraId="4445E748"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48C683D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Romain Julliard</w:t>
            </w:r>
          </w:p>
        </w:tc>
        <w:tc>
          <w:tcPr>
            <w:tcW w:w="0" w:type="auto"/>
          </w:tcPr>
          <w:p w14:paraId="02BC5195"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w:t>
            </w:r>
          </w:p>
        </w:tc>
        <w:tc>
          <w:tcPr>
            <w:tcW w:w="0" w:type="auto"/>
          </w:tcPr>
          <w:p w14:paraId="0D927462"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4687905F"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France</w:t>
            </w:r>
          </w:p>
        </w:tc>
      </w:tr>
      <w:tr w:rsidR="00AE7103" w:rsidRPr="00AE7103" w14:paraId="29379FEE" w14:textId="77777777" w:rsidTr="00776736">
        <w:tc>
          <w:tcPr>
            <w:tcW w:w="1471" w:type="dxa"/>
          </w:tcPr>
          <w:p w14:paraId="5E712251"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353E549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Sandra Knapp</w:t>
            </w:r>
          </w:p>
        </w:tc>
        <w:tc>
          <w:tcPr>
            <w:tcW w:w="0" w:type="auto"/>
          </w:tcPr>
          <w:p w14:paraId="333F2208" w14:textId="77777777" w:rsidR="002274EA" w:rsidRPr="00AE7103" w:rsidRDefault="002274EA" w:rsidP="001D4A80">
            <w:pPr>
              <w:pStyle w:val="Normal-pool"/>
              <w:spacing w:before="40" w:after="40"/>
              <w:rPr>
                <w:color w:val="000000" w:themeColor="text1"/>
                <w:sz w:val="18"/>
                <w:szCs w:val="18"/>
              </w:rPr>
            </w:pPr>
          </w:p>
        </w:tc>
        <w:tc>
          <w:tcPr>
            <w:tcW w:w="0" w:type="auto"/>
          </w:tcPr>
          <w:p w14:paraId="18096134"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3AE2C8A1"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United Kingdom</w:t>
            </w:r>
          </w:p>
        </w:tc>
      </w:tr>
      <w:tr w:rsidR="00AE7103" w:rsidRPr="00AE7103" w14:paraId="4934FD60" w14:textId="77777777" w:rsidTr="00776736">
        <w:tc>
          <w:tcPr>
            <w:tcW w:w="1471" w:type="dxa"/>
          </w:tcPr>
          <w:p w14:paraId="55FF4653"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3D39C854"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Catherine Laurent</w:t>
            </w:r>
          </w:p>
        </w:tc>
        <w:tc>
          <w:tcPr>
            <w:tcW w:w="0" w:type="auto"/>
          </w:tcPr>
          <w:p w14:paraId="6CC700C0"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Knowledge generation</w:t>
            </w:r>
          </w:p>
        </w:tc>
        <w:tc>
          <w:tcPr>
            <w:tcW w:w="0" w:type="auto"/>
          </w:tcPr>
          <w:p w14:paraId="2974B578"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7D628FD6"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France</w:t>
            </w:r>
          </w:p>
        </w:tc>
      </w:tr>
      <w:tr w:rsidR="00AE7103" w:rsidRPr="00AE7103" w14:paraId="515BDA17" w14:textId="77777777" w:rsidTr="00776736">
        <w:tc>
          <w:tcPr>
            <w:tcW w:w="1471" w:type="dxa"/>
          </w:tcPr>
          <w:p w14:paraId="10E936CD"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5DE811AA"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Gregory Insarov</w:t>
            </w:r>
          </w:p>
        </w:tc>
        <w:tc>
          <w:tcPr>
            <w:tcW w:w="0" w:type="auto"/>
          </w:tcPr>
          <w:p w14:paraId="2AFA93A1"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69FE5E67"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5E788A3B"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Russia</w:t>
            </w:r>
          </w:p>
        </w:tc>
      </w:tr>
      <w:tr w:rsidR="00AE7103" w:rsidRPr="00AE7103" w14:paraId="0531D837" w14:textId="77777777" w:rsidTr="00776736">
        <w:tc>
          <w:tcPr>
            <w:tcW w:w="1471" w:type="dxa"/>
          </w:tcPr>
          <w:p w14:paraId="4BCA8A5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3429C0E3"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Jae Chun Choe</w:t>
            </w:r>
          </w:p>
        </w:tc>
        <w:tc>
          <w:tcPr>
            <w:tcW w:w="0" w:type="auto"/>
          </w:tcPr>
          <w:p w14:paraId="40D98E6B"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7539836C"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3A73BD4C"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Republic of Korea</w:t>
            </w:r>
          </w:p>
        </w:tc>
      </w:tr>
      <w:tr w:rsidR="00AE7103" w:rsidRPr="00AE7103" w14:paraId="3D485C21" w14:textId="77777777" w:rsidTr="00776736">
        <w:tc>
          <w:tcPr>
            <w:tcW w:w="1471" w:type="dxa"/>
          </w:tcPr>
          <w:p w14:paraId="6440740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17AFCCF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Walter Jetz</w:t>
            </w:r>
          </w:p>
        </w:tc>
        <w:tc>
          <w:tcPr>
            <w:tcW w:w="0" w:type="auto"/>
          </w:tcPr>
          <w:p w14:paraId="4E560D52"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 Knowledge generation</w:t>
            </w:r>
          </w:p>
        </w:tc>
        <w:tc>
          <w:tcPr>
            <w:tcW w:w="0" w:type="auto"/>
          </w:tcPr>
          <w:p w14:paraId="5649DF79"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6B0F193E"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Germany</w:t>
            </w:r>
          </w:p>
        </w:tc>
      </w:tr>
      <w:tr w:rsidR="00AE7103" w:rsidRPr="00AE7103" w14:paraId="1DCFC85E" w14:textId="77777777" w:rsidTr="00776736">
        <w:tc>
          <w:tcPr>
            <w:tcW w:w="1471" w:type="dxa"/>
          </w:tcPr>
          <w:p w14:paraId="1C033A87"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42E90D08"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Ferenc Horvath</w:t>
            </w:r>
          </w:p>
        </w:tc>
        <w:tc>
          <w:tcPr>
            <w:tcW w:w="0" w:type="auto"/>
          </w:tcPr>
          <w:p w14:paraId="01A5CA65"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50523A0A"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7D89780F"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Hungary</w:t>
            </w:r>
          </w:p>
        </w:tc>
      </w:tr>
      <w:tr w:rsidR="00AE7103" w:rsidRPr="00AE7103" w14:paraId="343D54D8" w14:textId="77777777" w:rsidTr="00776736">
        <w:tc>
          <w:tcPr>
            <w:tcW w:w="1471" w:type="dxa"/>
          </w:tcPr>
          <w:p w14:paraId="47468DCC"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78BAA82B"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Nidhi Nagabhatla</w:t>
            </w:r>
          </w:p>
        </w:tc>
        <w:tc>
          <w:tcPr>
            <w:tcW w:w="0" w:type="auto"/>
          </w:tcPr>
          <w:p w14:paraId="2BD26A64"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 Knowledge generation</w:t>
            </w:r>
          </w:p>
        </w:tc>
        <w:tc>
          <w:tcPr>
            <w:tcW w:w="0" w:type="auto"/>
          </w:tcPr>
          <w:p w14:paraId="4248400A"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68CDA4EF"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India/Canada</w:t>
            </w:r>
          </w:p>
        </w:tc>
      </w:tr>
      <w:tr w:rsidR="00AE7103" w:rsidRPr="00AE7103" w14:paraId="5F087491" w14:textId="77777777" w:rsidTr="00776736">
        <w:tc>
          <w:tcPr>
            <w:tcW w:w="1471" w:type="dxa"/>
          </w:tcPr>
          <w:p w14:paraId="2FECAB27"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256EB1FD"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Hiroya Yamano</w:t>
            </w:r>
          </w:p>
        </w:tc>
        <w:tc>
          <w:tcPr>
            <w:tcW w:w="0" w:type="auto"/>
          </w:tcPr>
          <w:p w14:paraId="22AF00F1" w14:textId="77777777" w:rsidR="002274EA" w:rsidRPr="00AE7103" w:rsidRDefault="002274EA" w:rsidP="001D4A80">
            <w:pPr>
              <w:pStyle w:val="Normal-pool"/>
              <w:spacing w:before="40" w:after="40"/>
              <w:rPr>
                <w:color w:val="000000" w:themeColor="text1"/>
                <w:sz w:val="18"/>
                <w:szCs w:val="18"/>
              </w:rPr>
            </w:pPr>
          </w:p>
        </w:tc>
        <w:tc>
          <w:tcPr>
            <w:tcW w:w="0" w:type="auto"/>
          </w:tcPr>
          <w:p w14:paraId="2EC3E2B6"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2BDD2CB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Japan</w:t>
            </w:r>
          </w:p>
        </w:tc>
      </w:tr>
      <w:tr w:rsidR="00AE7103" w:rsidRPr="00AE7103" w14:paraId="662ECE0B" w14:textId="77777777" w:rsidTr="00776736">
        <w:tc>
          <w:tcPr>
            <w:tcW w:w="1471" w:type="dxa"/>
          </w:tcPr>
          <w:p w14:paraId="626CB897"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7FF2517E"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Antonio Saraiva</w:t>
            </w:r>
          </w:p>
        </w:tc>
        <w:tc>
          <w:tcPr>
            <w:tcW w:w="0" w:type="auto"/>
          </w:tcPr>
          <w:p w14:paraId="0E2D4A69"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7A8C4687"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727AA59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Brazil</w:t>
            </w:r>
          </w:p>
        </w:tc>
      </w:tr>
      <w:tr w:rsidR="00AE7103" w:rsidRPr="00AE7103" w14:paraId="2F4A2A8F" w14:textId="77777777" w:rsidTr="00776736">
        <w:tc>
          <w:tcPr>
            <w:tcW w:w="1471" w:type="dxa"/>
          </w:tcPr>
          <w:p w14:paraId="2CA36D84"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14AD1B8D"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Luthando Dziba</w:t>
            </w:r>
          </w:p>
        </w:tc>
        <w:tc>
          <w:tcPr>
            <w:tcW w:w="0" w:type="auto"/>
          </w:tcPr>
          <w:p w14:paraId="5006A559"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2A0218DB"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2D805503"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South Africa</w:t>
            </w:r>
          </w:p>
        </w:tc>
      </w:tr>
      <w:tr w:rsidR="00AE7103" w:rsidRPr="00AE7103" w14:paraId="71631D9C" w14:textId="77777777" w:rsidTr="00776736">
        <w:tc>
          <w:tcPr>
            <w:tcW w:w="1471" w:type="dxa"/>
          </w:tcPr>
          <w:p w14:paraId="4B4F7AF4"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432CB5A9"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Sheila Vergara</w:t>
            </w:r>
          </w:p>
        </w:tc>
        <w:tc>
          <w:tcPr>
            <w:tcW w:w="0" w:type="auto"/>
          </w:tcPr>
          <w:p w14:paraId="2541F820"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6ED8B465"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0A8D7F8E"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Philippines</w:t>
            </w:r>
          </w:p>
        </w:tc>
      </w:tr>
      <w:tr w:rsidR="00AE7103" w:rsidRPr="00AE7103" w14:paraId="01327352" w14:textId="77777777" w:rsidTr="00776736">
        <w:tc>
          <w:tcPr>
            <w:tcW w:w="1471" w:type="dxa"/>
          </w:tcPr>
          <w:p w14:paraId="0273DE44"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32227C18"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Sheila Mbiru</w:t>
            </w:r>
          </w:p>
        </w:tc>
        <w:tc>
          <w:tcPr>
            <w:tcW w:w="0" w:type="auto"/>
          </w:tcPr>
          <w:p w14:paraId="6FFF70B2"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3593548D"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701F70AC"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Kenya</w:t>
            </w:r>
          </w:p>
        </w:tc>
      </w:tr>
      <w:tr w:rsidR="00AE7103" w:rsidRPr="00AE7103" w14:paraId="5C087588" w14:textId="77777777" w:rsidTr="00776736">
        <w:tc>
          <w:tcPr>
            <w:tcW w:w="1471" w:type="dxa"/>
          </w:tcPr>
          <w:p w14:paraId="077EB59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2308CFBA"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James Watson</w:t>
            </w:r>
          </w:p>
        </w:tc>
        <w:tc>
          <w:tcPr>
            <w:tcW w:w="0" w:type="auto"/>
          </w:tcPr>
          <w:p w14:paraId="2415D333" w14:textId="77777777" w:rsidR="002274EA" w:rsidRPr="00AE7103" w:rsidRDefault="002274EA" w:rsidP="001D4A80">
            <w:pPr>
              <w:pStyle w:val="Normal-pool"/>
              <w:spacing w:before="40" w:after="40"/>
              <w:rPr>
                <w:color w:val="000000" w:themeColor="text1"/>
                <w:sz w:val="18"/>
                <w:szCs w:val="18"/>
              </w:rPr>
            </w:pPr>
          </w:p>
        </w:tc>
        <w:tc>
          <w:tcPr>
            <w:tcW w:w="0" w:type="auto"/>
          </w:tcPr>
          <w:p w14:paraId="74540555"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565D801B"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Australia</w:t>
            </w:r>
          </w:p>
        </w:tc>
      </w:tr>
      <w:tr w:rsidR="00AE7103" w:rsidRPr="00AE7103" w14:paraId="7FABD612" w14:textId="77777777" w:rsidTr="00776736">
        <w:tc>
          <w:tcPr>
            <w:tcW w:w="1471" w:type="dxa"/>
          </w:tcPr>
          <w:p w14:paraId="4B91C78F"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32A19B08"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Eduardo Dalcin</w:t>
            </w:r>
          </w:p>
        </w:tc>
        <w:tc>
          <w:tcPr>
            <w:tcW w:w="0" w:type="auto"/>
          </w:tcPr>
          <w:p w14:paraId="7CC552D3"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39076F73"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6D4B5FEC"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Brazil</w:t>
            </w:r>
          </w:p>
        </w:tc>
      </w:tr>
      <w:tr w:rsidR="00AE7103" w:rsidRPr="00AE7103" w14:paraId="4B07D6AC" w14:textId="77777777" w:rsidTr="00776736">
        <w:tc>
          <w:tcPr>
            <w:tcW w:w="1471" w:type="dxa"/>
          </w:tcPr>
          <w:p w14:paraId="7E405BC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Expert</w:t>
            </w:r>
          </w:p>
        </w:tc>
        <w:tc>
          <w:tcPr>
            <w:tcW w:w="0" w:type="auto"/>
          </w:tcPr>
          <w:p w14:paraId="060D1EFC"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Mialy Andriamahefazafy</w:t>
            </w:r>
          </w:p>
        </w:tc>
        <w:tc>
          <w:tcPr>
            <w:tcW w:w="0" w:type="auto"/>
          </w:tcPr>
          <w:p w14:paraId="406A669D"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Knowledge generation</w:t>
            </w:r>
          </w:p>
        </w:tc>
        <w:tc>
          <w:tcPr>
            <w:tcW w:w="0" w:type="auto"/>
          </w:tcPr>
          <w:p w14:paraId="4CEF704C"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18B3F698"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Madagascar</w:t>
            </w:r>
          </w:p>
        </w:tc>
      </w:tr>
      <w:tr w:rsidR="00AE7103" w:rsidRPr="00AE7103" w14:paraId="50F18D88" w14:textId="77777777" w:rsidTr="00776736">
        <w:tc>
          <w:tcPr>
            <w:tcW w:w="1471" w:type="dxa"/>
          </w:tcPr>
          <w:p w14:paraId="06C359D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0F59EF96"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Sarah Ivory</w:t>
            </w:r>
          </w:p>
        </w:tc>
        <w:tc>
          <w:tcPr>
            <w:tcW w:w="0" w:type="auto"/>
          </w:tcPr>
          <w:p w14:paraId="0849119B"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w:t>
            </w:r>
          </w:p>
        </w:tc>
        <w:tc>
          <w:tcPr>
            <w:tcW w:w="0" w:type="auto"/>
          </w:tcPr>
          <w:p w14:paraId="76351F0D"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6EF53B51"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BIP</w:t>
            </w:r>
          </w:p>
        </w:tc>
      </w:tr>
      <w:tr w:rsidR="00AE7103" w:rsidRPr="00AE7103" w14:paraId="595BCC43" w14:textId="77777777" w:rsidTr="00776736">
        <w:tc>
          <w:tcPr>
            <w:tcW w:w="1471" w:type="dxa"/>
          </w:tcPr>
          <w:p w14:paraId="5DCF8507"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7D2F4996"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Anna Chenery</w:t>
            </w:r>
          </w:p>
        </w:tc>
        <w:tc>
          <w:tcPr>
            <w:tcW w:w="0" w:type="auto"/>
          </w:tcPr>
          <w:p w14:paraId="1A26FCDA"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w:t>
            </w:r>
          </w:p>
        </w:tc>
        <w:tc>
          <w:tcPr>
            <w:tcW w:w="0" w:type="auto"/>
          </w:tcPr>
          <w:p w14:paraId="64BEE653"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0A96E1A9"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BIP</w:t>
            </w:r>
          </w:p>
        </w:tc>
      </w:tr>
      <w:tr w:rsidR="00AE7103" w:rsidRPr="00AE7103" w14:paraId="44DD6A52" w14:textId="77777777" w:rsidTr="00776736">
        <w:tc>
          <w:tcPr>
            <w:tcW w:w="1471" w:type="dxa"/>
          </w:tcPr>
          <w:p w14:paraId="31B80533"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7BAC4DB7"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Cornelia Krug</w:t>
            </w:r>
          </w:p>
        </w:tc>
        <w:tc>
          <w:tcPr>
            <w:tcW w:w="0" w:type="auto"/>
          </w:tcPr>
          <w:p w14:paraId="1C2E5DAB"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 Knowledge generation</w:t>
            </w:r>
          </w:p>
        </w:tc>
        <w:tc>
          <w:tcPr>
            <w:tcW w:w="0" w:type="auto"/>
          </w:tcPr>
          <w:p w14:paraId="39CC2A16"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687753F9"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Malgun Gothic"/>
                <w:color w:val="000000" w:themeColor="text1"/>
                <w:sz w:val="18"/>
                <w:szCs w:val="18"/>
                <w:lang w:eastAsia="ko-KR"/>
              </w:rPr>
              <w:t>University Zuerich, UZH</w:t>
            </w:r>
          </w:p>
        </w:tc>
      </w:tr>
      <w:tr w:rsidR="00AE7103" w:rsidRPr="00AE7103" w14:paraId="1C5E7C47" w14:textId="77777777" w:rsidTr="00776736">
        <w:tc>
          <w:tcPr>
            <w:tcW w:w="1471" w:type="dxa"/>
          </w:tcPr>
          <w:p w14:paraId="7D44B71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5030A507"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Patricia Balvanera</w:t>
            </w:r>
          </w:p>
        </w:tc>
        <w:tc>
          <w:tcPr>
            <w:tcW w:w="0" w:type="auto"/>
          </w:tcPr>
          <w:p w14:paraId="7537D5E1"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w:t>
            </w:r>
          </w:p>
        </w:tc>
        <w:tc>
          <w:tcPr>
            <w:tcW w:w="0" w:type="auto"/>
          </w:tcPr>
          <w:p w14:paraId="7A151EDB"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174DBD29"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Malgun Gothic"/>
                <w:color w:val="000000" w:themeColor="text1"/>
                <w:sz w:val="18"/>
                <w:szCs w:val="18"/>
                <w:lang w:eastAsia="ko-KR"/>
              </w:rPr>
              <w:t>National Autonomous University of Mexico</w:t>
            </w:r>
          </w:p>
        </w:tc>
      </w:tr>
      <w:tr w:rsidR="00AE7103" w:rsidRPr="00AE7103" w14:paraId="649869FB" w14:textId="77777777" w:rsidTr="00776736">
        <w:tc>
          <w:tcPr>
            <w:tcW w:w="1471" w:type="dxa"/>
          </w:tcPr>
          <w:p w14:paraId="6FD273FA"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77B822E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Carlos Guerra</w:t>
            </w:r>
          </w:p>
        </w:tc>
        <w:tc>
          <w:tcPr>
            <w:tcW w:w="0" w:type="auto"/>
          </w:tcPr>
          <w:p w14:paraId="6E1FACBD"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5032D11C"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488D0227"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GEO-BON</w:t>
            </w:r>
          </w:p>
        </w:tc>
      </w:tr>
      <w:tr w:rsidR="00AE7103" w:rsidRPr="00AE7103" w14:paraId="1050F046" w14:textId="77777777" w:rsidTr="00776736">
        <w:tc>
          <w:tcPr>
            <w:tcW w:w="1471" w:type="dxa"/>
          </w:tcPr>
          <w:p w14:paraId="4626BDE4"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574FA96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Salvatore Arico</w:t>
            </w:r>
          </w:p>
        </w:tc>
        <w:tc>
          <w:tcPr>
            <w:tcW w:w="0" w:type="auto"/>
          </w:tcPr>
          <w:p w14:paraId="2622722B"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Knowledge generation</w:t>
            </w:r>
          </w:p>
        </w:tc>
        <w:tc>
          <w:tcPr>
            <w:tcW w:w="0" w:type="auto"/>
          </w:tcPr>
          <w:p w14:paraId="1282935F"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365C5C6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UNESCO</w:t>
            </w:r>
          </w:p>
        </w:tc>
      </w:tr>
      <w:tr w:rsidR="00AE7103" w:rsidRPr="00AE7103" w14:paraId="6E44059F" w14:textId="77777777" w:rsidTr="00776736">
        <w:tc>
          <w:tcPr>
            <w:tcW w:w="1471" w:type="dxa"/>
          </w:tcPr>
          <w:p w14:paraId="0C1E6AA6"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05EE252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Anne-Helene Prieur-Richard</w:t>
            </w:r>
          </w:p>
        </w:tc>
        <w:tc>
          <w:tcPr>
            <w:tcW w:w="0" w:type="auto"/>
          </w:tcPr>
          <w:p w14:paraId="1C13B0D2"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 Knowledge generation</w:t>
            </w:r>
          </w:p>
        </w:tc>
        <w:tc>
          <w:tcPr>
            <w:tcW w:w="0" w:type="auto"/>
          </w:tcPr>
          <w:p w14:paraId="3A731A7E"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6CCC221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Future Earth</w:t>
            </w:r>
          </w:p>
        </w:tc>
      </w:tr>
      <w:tr w:rsidR="00AE7103" w:rsidRPr="00AE7103" w14:paraId="78030346" w14:textId="77777777" w:rsidTr="00776736">
        <w:tc>
          <w:tcPr>
            <w:tcW w:w="1471" w:type="dxa"/>
          </w:tcPr>
          <w:p w14:paraId="429892FB"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724B8883"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Tim Hirsch</w:t>
            </w:r>
          </w:p>
        </w:tc>
        <w:tc>
          <w:tcPr>
            <w:tcW w:w="0" w:type="auto"/>
          </w:tcPr>
          <w:p w14:paraId="56C107EB"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 Knowledge generation</w:t>
            </w:r>
          </w:p>
        </w:tc>
        <w:tc>
          <w:tcPr>
            <w:tcW w:w="0" w:type="auto"/>
          </w:tcPr>
          <w:p w14:paraId="4659A5CD"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783A84BB"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GBIF</w:t>
            </w:r>
          </w:p>
        </w:tc>
      </w:tr>
      <w:tr w:rsidR="00AE7103" w:rsidRPr="00AE7103" w14:paraId="1E7392C9" w14:textId="77777777" w:rsidTr="00776736">
        <w:tc>
          <w:tcPr>
            <w:tcW w:w="1471" w:type="dxa"/>
          </w:tcPr>
          <w:p w14:paraId="26A192B0"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1F851FF7"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Kyle Copas</w:t>
            </w:r>
          </w:p>
        </w:tc>
        <w:tc>
          <w:tcPr>
            <w:tcW w:w="0" w:type="auto"/>
          </w:tcPr>
          <w:p w14:paraId="5127F8C8"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057FF763"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19424591"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GBIF</w:t>
            </w:r>
          </w:p>
        </w:tc>
      </w:tr>
      <w:tr w:rsidR="00AE7103" w:rsidRPr="00AE7103" w14:paraId="18A307A3" w14:textId="77777777" w:rsidTr="00776736">
        <w:tc>
          <w:tcPr>
            <w:tcW w:w="1471" w:type="dxa"/>
          </w:tcPr>
          <w:p w14:paraId="52D2EAF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Resource Person</w:t>
            </w:r>
          </w:p>
        </w:tc>
        <w:tc>
          <w:tcPr>
            <w:tcW w:w="0" w:type="auto"/>
          </w:tcPr>
          <w:p w14:paraId="008C8CDA"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Tim Wilkinson</w:t>
            </w:r>
          </w:p>
        </w:tc>
        <w:tc>
          <w:tcPr>
            <w:tcW w:w="0" w:type="auto"/>
          </w:tcPr>
          <w:p w14:paraId="2B04447D"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5DC43937"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4BD3D519"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UNEP-WCMC</w:t>
            </w:r>
          </w:p>
        </w:tc>
      </w:tr>
      <w:tr w:rsidR="00AE7103" w:rsidRPr="00AE7103" w14:paraId="623E8C8E" w14:textId="77777777" w:rsidTr="00776736">
        <w:tc>
          <w:tcPr>
            <w:tcW w:w="1471" w:type="dxa"/>
          </w:tcPr>
          <w:p w14:paraId="4168ACBD"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 xml:space="preserve">IPBES </w:t>
            </w:r>
            <w:r w:rsidRPr="00AE7103">
              <w:rPr>
                <w:rFonts w:eastAsia="Times New Roman"/>
                <w:color w:val="000000" w:themeColor="text1"/>
                <w:sz w:val="18"/>
                <w:szCs w:val="18"/>
                <w:lang w:eastAsia="nl-NL"/>
              </w:rPr>
              <w:lastRenderedPageBreak/>
              <w:t>Secretariat (TSU)</w:t>
            </w:r>
          </w:p>
        </w:tc>
        <w:tc>
          <w:tcPr>
            <w:tcW w:w="0" w:type="auto"/>
          </w:tcPr>
          <w:p w14:paraId="67B7B529"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lastRenderedPageBreak/>
              <w:t>HyeJin Kim</w:t>
            </w:r>
          </w:p>
        </w:tc>
        <w:tc>
          <w:tcPr>
            <w:tcW w:w="0" w:type="auto"/>
          </w:tcPr>
          <w:p w14:paraId="0DADD252"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Indicators</w:t>
            </w:r>
          </w:p>
        </w:tc>
        <w:tc>
          <w:tcPr>
            <w:tcW w:w="0" w:type="auto"/>
          </w:tcPr>
          <w:p w14:paraId="606A40E5"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6748785E" w14:textId="77777777" w:rsidR="002274EA" w:rsidRPr="00AE7103" w:rsidRDefault="002274EA" w:rsidP="001D4A80">
            <w:pPr>
              <w:pStyle w:val="Normal-pool"/>
              <w:spacing w:before="40" w:after="40"/>
              <w:rPr>
                <w:rFonts w:eastAsia="Times New Roman"/>
                <w:color w:val="000000" w:themeColor="text1"/>
                <w:sz w:val="18"/>
                <w:szCs w:val="18"/>
                <w:lang w:eastAsia="nl-NL"/>
              </w:rPr>
            </w:pPr>
          </w:p>
        </w:tc>
      </w:tr>
      <w:tr w:rsidR="00AE7103" w:rsidRPr="00AE7103" w14:paraId="28CEA960" w14:textId="77777777" w:rsidTr="00776736">
        <w:tc>
          <w:tcPr>
            <w:tcW w:w="1471" w:type="dxa"/>
          </w:tcPr>
          <w:p w14:paraId="14A31EB2"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IPBES Secretariat (TSU)</w:t>
            </w:r>
          </w:p>
        </w:tc>
        <w:tc>
          <w:tcPr>
            <w:tcW w:w="0" w:type="auto"/>
          </w:tcPr>
          <w:p w14:paraId="50DD56D9"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Sungryong Kang</w:t>
            </w:r>
          </w:p>
        </w:tc>
        <w:tc>
          <w:tcPr>
            <w:tcW w:w="0" w:type="auto"/>
          </w:tcPr>
          <w:p w14:paraId="5659A7E9"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Knowledge generation</w:t>
            </w:r>
          </w:p>
        </w:tc>
        <w:tc>
          <w:tcPr>
            <w:tcW w:w="0" w:type="auto"/>
          </w:tcPr>
          <w:p w14:paraId="488B70C2"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M</w:t>
            </w:r>
          </w:p>
        </w:tc>
        <w:tc>
          <w:tcPr>
            <w:tcW w:w="0" w:type="auto"/>
          </w:tcPr>
          <w:p w14:paraId="28719786" w14:textId="77777777" w:rsidR="002274EA" w:rsidRPr="00AE7103" w:rsidRDefault="002274EA" w:rsidP="001D4A80">
            <w:pPr>
              <w:pStyle w:val="Normal-pool"/>
              <w:spacing w:before="40" w:after="40"/>
              <w:rPr>
                <w:rFonts w:eastAsia="Times New Roman"/>
                <w:color w:val="000000" w:themeColor="text1"/>
                <w:sz w:val="18"/>
                <w:szCs w:val="18"/>
                <w:lang w:eastAsia="nl-NL"/>
              </w:rPr>
            </w:pPr>
          </w:p>
        </w:tc>
      </w:tr>
      <w:tr w:rsidR="00AE7103" w:rsidRPr="00AE7103" w14:paraId="181983CA" w14:textId="77777777" w:rsidTr="00776736">
        <w:tc>
          <w:tcPr>
            <w:tcW w:w="1471" w:type="dxa"/>
          </w:tcPr>
          <w:p w14:paraId="1B449C79"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IPBES Secretariat (TSU)</w:t>
            </w:r>
          </w:p>
        </w:tc>
        <w:tc>
          <w:tcPr>
            <w:tcW w:w="0" w:type="auto"/>
          </w:tcPr>
          <w:p w14:paraId="32338435" w14:textId="77777777" w:rsidR="002274EA" w:rsidRPr="00AE7103" w:rsidRDefault="002274EA" w:rsidP="001D4A80">
            <w:pPr>
              <w:pStyle w:val="Normal-pool"/>
              <w:spacing w:before="40" w:after="40"/>
              <w:rPr>
                <w:rFonts w:eastAsia="Times New Roman"/>
                <w:color w:val="000000" w:themeColor="text1"/>
                <w:sz w:val="18"/>
                <w:szCs w:val="18"/>
                <w:lang w:eastAsia="nl-NL"/>
              </w:rPr>
            </w:pPr>
            <w:r w:rsidRPr="00AE7103">
              <w:rPr>
                <w:rFonts w:eastAsia="Times New Roman"/>
                <w:color w:val="000000" w:themeColor="text1"/>
                <w:sz w:val="18"/>
                <w:szCs w:val="18"/>
                <w:lang w:eastAsia="nl-NL"/>
              </w:rPr>
              <w:t>Jihyun Yoon</w:t>
            </w:r>
          </w:p>
        </w:tc>
        <w:tc>
          <w:tcPr>
            <w:tcW w:w="0" w:type="auto"/>
          </w:tcPr>
          <w:p w14:paraId="7D63AC35" w14:textId="77777777" w:rsidR="002274EA" w:rsidRPr="00AE7103" w:rsidRDefault="002274EA" w:rsidP="001D4A80">
            <w:pPr>
              <w:pStyle w:val="Normal-pool"/>
              <w:spacing w:before="40" w:after="40"/>
              <w:rPr>
                <w:color w:val="000000" w:themeColor="text1"/>
                <w:sz w:val="18"/>
                <w:szCs w:val="18"/>
              </w:rPr>
            </w:pPr>
            <w:r w:rsidRPr="00AE7103">
              <w:rPr>
                <w:color w:val="000000" w:themeColor="text1"/>
                <w:sz w:val="18"/>
                <w:szCs w:val="18"/>
              </w:rPr>
              <w:t>Web-based Infrastructure</w:t>
            </w:r>
          </w:p>
        </w:tc>
        <w:tc>
          <w:tcPr>
            <w:tcW w:w="0" w:type="auto"/>
          </w:tcPr>
          <w:p w14:paraId="73D26DFA" w14:textId="77777777" w:rsidR="002274EA" w:rsidRPr="00AE7103" w:rsidRDefault="002274EA" w:rsidP="00B23629">
            <w:pPr>
              <w:pStyle w:val="Normal-pool"/>
              <w:spacing w:before="40" w:after="40"/>
              <w:jc w:val="center"/>
              <w:rPr>
                <w:rFonts w:eastAsia="Times New Roman"/>
                <w:color w:val="000000" w:themeColor="text1"/>
                <w:spacing w:val="4"/>
                <w:w w:val="103"/>
                <w:kern w:val="14"/>
                <w:sz w:val="18"/>
                <w:szCs w:val="18"/>
                <w:lang w:eastAsia="nl-NL"/>
              </w:rPr>
            </w:pPr>
            <w:r w:rsidRPr="00AE7103">
              <w:rPr>
                <w:rFonts w:eastAsia="Times New Roman"/>
                <w:color w:val="000000" w:themeColor="text1"/>
                <w:sz w:val="18"/>
                <w:szCs w:val="18"/>
                <w:lang w:eastAsia="nl-NL"/>
              </w:rPr>
              <w:t>F</w:t>
            </w:r>
          </w:p>
        </w:tc>
        <w:tc>
          <w:tcPr>
            <w:tcW w:w="0" w:type="auto"/>
          </w:tcPr>
          <w:p w14:paraId="6AD2126B" w14:textId="77777777" w:rsidR="002274EA" w:rsidRPr="00AE7103" w:rsidRDefault="002274EA" w:rsidP="001D4A80">
            <w:pPr>
              <w:pStyle w:val="Normal-pool"/>
              <w:spacing w:before="40" w:after="40"/>
              <w:rPr>
                <w:rFonts w:eastAsia="Times New Roman"/>
                <w:color w:val="000000" w:themeColor="text1"/>
                <w:sz w:val="18"/>
                <w:szCs w:val="18"/>
                <w:lang w:eastAsia="nl-NL"/>
              </w:rPr>
            </w:pPr>
          </w:p>
        </w:tc>
      </w:tr>
    </w:tbl>
    <w:p w14:paraId="25E1AC09" w14:textId="77777777" w:rsidR="002274EA" w:rsidRPr="00AE7103" w:rsidRDefault="002274EA" w:rsidP="002274EA">
      <w:pPr>
        <w:pStyle w:val="NormalNonumber"/>
        <w:rPr>
          <w:color w:val="000000" w:themeColor="text1"/>
        </w:rPr>
      </w:pPr>
    </w:p>
    <w:p w14:paraId="5D918BF7" w14:textId="77777777" w:rsidR="002274EA" w:rsidRPr="00AE7103" w:rsidRDefault="002274EA">
      <w:pPr>
        <w:spacing w:after="0" w:line="240" w:lineRule="auto"/>
        <w:rPr>
          <w:rFonts w:ascii="Times New Roman" w:eastAsia="Times New Roman" w:hAnsi="Times New Roman"/>
          <w:color w:val="000000" w:themeColor="text1"/>
          <w:sz w:val="20"/>
          <w:szCs w:val="20"/>
          <w:lang w:val="en-GB"/>
        </w:rPr>
      </w:pPr>
      <w:r w:rsidRPr="00AE7103">
        <w:rPr>
          <w:color w:val="000000" w:themeColor="text1"/>
        </w:rPr>
        <w:br w:type="page"/>
      </w:r>
    </w:p>
    <w:p w14:paraId="33B37380" w14:textId="314D6E39" w:rsidR="00E13370" w:rsidRPr="00AE7103" w:rsidRDefault="00E64D1C" w:rsidP="00E64D1C">
      <w:pPr>
        <w:pStyle w:val="CH2"/>
        <w:rPr>
          <w:rFonts w:eastAsia="Calibri"/>
          <w:w w:val="103"/>
        </w:rPr>
      </w:pPr>
      <w:r>
        <w:rPr>
          <w:rFonts w:eastAsia="Calibri"/>
          <w:w w:val="103"/>
        </w:rPr>
        <w:lastRenderedPageBreak/>
        <w:tab/>
      </w:r>
      <w:r>
        <w:rPr>
          <w:rFonts w:eastAsia="Calibri"/>
          <w:w w:val="103"/>
        </w:rPr>
        <w:tab/>
      </w:r>
      <w:r w:rsidR="00E13370" w:rsidRPr="00AE7103">
        <w:rPr>
          <w:rFonts w:eastAsia="Calibri"/>
          <w:w w:val="103"/>
        </w:rPr>
        <w:t xml:space="preserve">Appendix II </w:t>
      </w:r>
    </w:p>
    <w:p w14:paraId="0662B724" w14:textId="0D39E725" w:rsidR="002274EA" w:rsidRPr="00AE7103" w:rsidRDefault="00E64D1C" w:rsidP="00E64D1C">
      <w:pPr>
        <w:pStyle w:val="CH2"/>
      </w:pPr>
      <w:r>
        <w:tab/>
      </w:r>
      <w:r>
        <w:tab/>
      </w:r>
      <w:r w:rsidR="00E13370" w:rsidRPr="00AE7103">
        <w:t>List of resource persons of the group working on additional socio-economic indicators</w:t>
      </w:r>
    </w:p>
    <w:tbl>
      <w:tblPr>
        <w:tblStyle w:val="TableGrid"/>
        <w:tblW w:w="8406" w:type="dxa"/>
        <w:tblInd w:w="1385" w:type="dxa"/>
        <w:tblLook w:val="04A0" w:firstRow="1" w:lastRow="0" w:firstColumn="1" w:lastColumn="0" w:noHBand="0" w:noVBand="1"/>
      </w:tblPr>
      <w:tblGrid>
        <w:gridCol w:w="2290"/>
        <w:gridCol w:w="5252"/>
        <w:gridCol w:w="864"/>
      </w:tblGrid>
      <w:tr w:rsidR="00AE7103" w:rsidRPr="00AE7103" w14:paraId="79DBD989" w14:textId="77777777" w:rsidTr="00776736">
        <w:trPr>
          <w:trHeight w:val="288"/>
        </w:trPr>
        <w:tc>
          <w:tcPr>
            <w:tcW w:w="2290" w:type="dxa"/>
            <w:shd w:val="clear" w:color="auto" w:fill="D9D9D9" w:themeFill="background1" w:themeFillShade="D9"/>
            <w:vAlign w:val="center"/>
          </w:tcPr>
          <w:p w14:paraId="1418980D" w14:textId="77777777" w:rsidR="00E13370" w:rsidRPr="00AE7103" w:rsidRDefault="00E13370" w:rsidP="0056015E">
            <w:pPr>
              <w:pStyle w:val="Normal-pool"/>
              <w:spacing w:before="60" w:after="60"/>
              <w:rPr>
                <w:rFonts w:eastAsia="Malgun Gothic"/>
                <w:b/>
                <w:color w:val="000000" w:themeColor="text1"/>
                <w:sz w:val="18"/>
                <w:szCs w:val="18"/>
                <w:lang w:val="en-US" w:eastAsia="ko-KR"/>
              </w:rPr>
            </w:pPr>
            <w:r w:rsidRPr="00AE7103">
              <w:rPr>
                <w:rFonts w:eastAsia="Malgun Gothic"/>
                <w:b/>
                <w:color w:val="000000" w:themeColor="text1"/>
                <w:sz w:val="18"/>
                <w:szCs w:val="18"/>
                <w:lang w:eastAsia="ko-KR"/>
              </w:rPr>
              <w:t>Name</w:t>
            </w:r>
          </w:p>
        </w:tc>
        <w:tc>
          <w:tcPr>
            <w:tcW w:w="0" w:type="auto"/>
            <w:shd w:val="clear" w:color="auto" w:fill="D9D9D9" w:themeFill="background1" w:themeFillShade="D9"/>
            <w:vAlign w:val="center"/>
          </w:tcPr>
          <w:p w14:paraId="0E8DF880" w14:textId="77777777" w:rsidR="00E13370" w:rsidRPr="00AE7103" w:rsidRDefault="00E13370" w:rsidP="0056015E">
            <w:pPr>
              <w:pStyle w:val="Normal-pool"/>
              <w:spacing w:before="60" w:after="60"/>
              <w:rPr>
                <w:rFonts w:eastAsia="Malgun Gothic"/>
                <w:b/>
                <w:color w:val="000000" w:themeColor="text1"/>
                <w:sz w:val="18"/>
                <w:szCs w:val="18"/>
                <w:lang w:val="en-US" w:eastAsia="ko-KR"/>
              </w:rPr>
            </w:pPr>
            <w:r w:rsidRPr="00AE7103">
              <w:rPr>
                <w:rFonts w:eastAsia="Malgun Gothic"/>
                <w:b/>
                <w:color w:val="000000" w:themeColor="text1"/>
                <w:sz w:val="18"/>
                <w:szCs w:val="18"/>
                <w:lang w:eastAsia="ko-KR"/>
              </w:rPr>
              <w:t>Affiliation</w:t>
            </w:r>
          </w:p>
        </w:tc>
        <w:tc>
          <w:tcPr>
            <w:tcW w:w="864" w:type="dxa"/>
            <w:shd w:val="clear" w:color="auto" w:fill="D9D9D9" w:themeFill="background1" w:themeFillShade="D9"/>
            <w:vAlign w:val="center"/>
          </w:tcPr>
          <w:p w14:paraId="77830ECE" w14:textId="77777777" w:rsidR="00E13370" w:rsidRPr="00AE7103" w:rsidRDefault="00E13370" w:rsidP="0056015E">
            <w:pPr>
              <w:pStyle w:val="Normal-pool"/>
              <w:spacing w:before="60" w:after="60"/>
              <w:jc w:val="center"/>
              <w:rPr>
                <w:rFonts w:eastAsia="Malgun Gothic"/>
                <w:b/>
                <w:color w:val="000000" w:themeColor="text1"/>
                <w:sz w:val="18"/>
                <w:szCs w:val="18"/>
                <w:lang w:val="en-US" w:eastAsia="ko-KR"/>
              </w:rPr>
            </w:pPr>
            <w:r w:rsidRPr="00AE7103">
              <w:rPr>
                <w:rFonts w:eastAsia="Malgun Gothic"/>
                <w:b/>
                <w:color w:val="000000" w:themeColor="text1"/>
                <w:sz w:val="18"/>
                <w:szCs w:val="18"/>
                <w:lang w:eastAsia="ko-KR"/>
              </w:rPr>
              <w:t>Gender</w:t>
            </w:r>
          </w:p>
        </w:tc>
      </w:tr>
      <w:tr w:rsidR="00AE7103" w:rsidRPr="00AE7103" w14:paraId="20702256" w14:textId="77777777" w:rsidTr="00776736">
        <w:trPr>
          <w:trHeight w:val="288"/>
        </w:trPr>
        <w:tc>
          <w:tcPr>
            <w:tcW w:w="2290" w:type="dxa"/>
            <w:vAlign w:val="center"/>
          </w:tcPr>
          <w:p w14:paraId="023561C5"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Patricia Balvanera</w:t>
            </w:r>
          </w:p>
        </w:tc>
        <w:tc>
          <w:tcPr>
            <w:tcW w:w="0" w:type="auto"/>
            <w:vAlign w:val="center"/>
          </w:tcPr>
          <w:p w14:paraId="54F485ED"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National Autonomous University of Mexico, Mexico</w:t>
            </w:r>
          </w:p>
        </w:tc>
        <w:tc>
          <w:tcPr>
            <w:tcW w:w="864" w:type="dxa"/>
            <w:vAlign w:val="center"/>
          </w:tcPr>
          <w:p w14:paraId="43C2BA41"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0F63E65A" w14:textId="77777777" w:rsidTr="00776736">
        <w:trPr>
          <w:trHeight w:val="288"/>
        </w:trPr>
        <w:tc>
          <w:tcPr>
            <w:tcW w:w="2290" w:type="dxa"/>
            <w:vAlign w:val="center"/>
          </w:tcPr>
          <w:p w14:paraId="08E2051A"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Paul Leadley</w:t>
            </w:r>
          </w:p>
        </w:tc>
        <w:tc>
          <w:tcPr>
            <w:tcW w:w="0" w:type="auto"/>
            <w:vAlign w:val="center"/>
          </w:tcPr>
          <w:p w14:paraId="61EA7156"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University of Paris, France</w:t>
            </w:r>
          </w:p>
        </w:tc>
        <w:tc>
          <w:tcPr>
            <w:tcW w:w="864" w:type="dxa"/>
            <w:vAlign w:val="center"/>
          </w:tcPr>
          <w:p w14:paraId="7A0AE79A"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M</w:t>
            </w:r>
          </w:p>
        </w:tc>
      </w:tr>
      <w:tr w:rsidR="00AE7103" w:rsidRPr="00AE7103" w14:paraId="62696F95" w14:textId="77777777" w:rsidTr="00776736">
        <w:trPr>
          <w:trHeight w:val="288"/>
        </w:trPr>
        <w:tc>
          <w:tcPr>
            <w:tcW w:w="2290" w:type="dxa"/>
            <w:vAlign w:val="center"/>
          </w:tcPr>
          <w:p w14:paraId="0688B14A"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Cornelia Krug</w:t>
            </w:r>
          </w:p>
        </w:tc>
        <w:tc>
          <w:tcPr>
            <w:tcW w:w="0" w:type="auto"/>
            <w:vAlign w:val="center"/>
          </w:tcPr>
          <w:p w14:paraId="450605E6"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University of Paris, France</w:t>
            </w:r>
          </w:p>
        </w:tc>
        <w:tc>
          <w:tcPr>
            <w:tcW w:w="864" w:type="dxa"/>
            <w:vAlign w:val="center"/>
          </w:tcPr>
          <w:p w14:paraId="131D343B"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494F433F" w14:textId="77777777" w:rsidTr="00776736">
        <w:trPr>
          <w:trHeight w:val="288"/>
        </w:trPr>
        <w:tc>
          <w:tcPr>
            <w:tcW w:w="2290" w:type="dxa"/>
            <w:vAlign w:val="center"/>
          </w:tcPr>
          <w:p w14:paraId="01EA9128"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Berta Martin-Lopez</w:t>
            </w:r>
          </w:p>
        </w:tc>
        <w:tc>
          <w:tcPr>
            <w:tcW w:w="0" w:type="auto"/>
            <w:vAlign w:val="center"/>
          </w:tcPr>
          <w:p w14:paraId="1ECF5FD5"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Leuphana University, Germany</w:t>
            </w:r>
          </w:p>
        </w:tc>
        <w:tc>
          <w:tcPr>
            <w:tcW w:w="864" w:type="dxa"/>
            <w:vAlign w:val="center"/>
          </w:tcPr>
          <w:p w14:paraId="149C3FFB"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5C1582E2" w14:textId="77777777" w:rsidTr="00776736">
        <w:trPr>
          <w:trHeight w:val="288"/>
        </w:trPr>
        <w:tc>
          <w:tcPr>
            <w:tcW w:w="2290" w:type="dxa"/>
            <w:vAlign w:val="center"/>
          </w:tcPr>
          <w:p w14:paraId="00D3912C"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Tuyeni Mwampamba</w:t>
            </w:r>
          </w:p>
        </w:tc>
        <w:tc>
          <w:tcPr>
            <w:tcW w:w="0" w:type="auto"/>
            <w:vAlign w:val="center"/>
          </w:tcPr>
          <w:p w14:paraId="4F74EAD3"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National Autonomous University of Mexico, Mexico</w:t>
            </w:r>
          </w:p>
        </w:tc>
        <w:tc>
          <w:tcPr>
            <w:tcW w:w="864" w:type="dxa"/>
            <w:vAlign w:val="center"/>
          </w:tcPr>
          <w:p w14:paraId="53617014"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0ACD471E" w14:textId="77777777" w:rsidTr="00776736">
        <w:trPr>
          <w:trHeight w:val="288"/>
        </w:trPr>
        <w:tc>
          <w:tcPr>
            <w:tcW w:w="2290" w:type="dxa"/>
            <w:vAlign w:val="center"/>
          </w:tcPr>
          <w:p w14:paraId="404B0D37"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Harini Nagendra</w:t>
            </w:r>
          </w:p>
        </w:tc>
        <w:tc>
          <w:tcPr>
            <w:tcW w:w="0" w:type="auto"/>
            <w:vAlign w:val="center"/>
          </w:tcPr>
          <w:p w14:paraId="1A46CD27"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Azim Premji University, India</w:t>
            </w:r>
          </w:p>
        </w:tc>
        <w:tc>
          <w:tcPr>
            <w:tcW w:w="864" w:type="dxa"/>
            <w:vAlign w:val="center"/>
          </w:tcPr>
          <w:p w14:paraId="2939004D"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0C895390" w14:textId="77777777" w:rsidTr="00776736">
        <w:trPr>
          <w:trHeight w:val="288"/>
        </w:trPr>
        <w:tc>
          <w:tcPr>
            <w:tcW w:w="2290" w:type="dxa"/>
            <w:vAlign w:val="center"/>
          </w:tcPr>
          <w:p w14:paraId="002E05C5"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Unai Pascual</w:t>
            </w:r>
          </w:p>
        </w:tc>
        <w:tc>
          <w:tcPr>
            <w:tcW w:w="0" w:type="auto"/>
            <w:vAlign w:val="center"/>
          </w:tcPr>
          <w:p w14:paraId="00A00F11"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 xml:space="preserve">Basque Centre for Climate Change (BC3), Spain </w:t>
            </w:r>
          </w:p>
        </w:tc>
        <w:tc>
          <w:tcPr>
            <w:tcW w:w="864" w:type="dxa"/>
            <w:vAlign w:val="center"/>
          </w:tcPr>
          <w:p w14:paraId="176EB102"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M</w:t>
            </w:r>
          </w:p>
        </w:tc>
      </w:tr>
      <w:tr w:rsidR="00AE7103" w:rsidRPr="00AE7103" w14:paraId="2F32EE3F" w14:textId="77777777" w:rsidTr="00776736">
        <w:trPr>
          <w:trHeight w:val="288"/>
        </w:trPr>
        <w:tc>
          <w:tcPr>
            <w:tcW w:w="2290" w:type="dxa"/>
            <w:vAlign w:val="center"/>
          </w:tcPr>
          <w:p w14:paraId="0B576C18"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Fabio Scarano</w:t>
            </w:r>
          </w:p>
        </w:tc>
        <w:tc>
          <w:tcPr>
            <w:tcW w:w="0" w:type="auto"/>
            <w:vAlign w:val="center"/>
          </w:tcPr>
          <w:p w14:paraId="33DA91B6"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Conservation International, Brazil</w:t>
            </w:r>
          </w:p>
        </w:tc>
        <w:tc>
          <w:tcPr>
            <w:tcW w:w="864" w:type="dxa"/>
            <w:vAlign w:val="center"/>
          </w:tcPr>
          <w:p w14:paraId="6314C769"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M</w:t>
            </w:r>
          </w:p>
        </w:tc>
      </w:tr>
      <w:tr w:rsidR="00AE7103" w:rsidRPr="00AE7103" w14:paraId="741848D1" w14:textId="77777777" w:rsidTr="00776736">
        <w:trPr>
          <w:trHeight w:val="288"/>
        </w:trPr>
        <w:tc>
          <w:tcPr>
            <w:tcW w:w="2290" w:type="dxa"/>
            <w:vAlign w:val="center"/>
          </w:tcPr>
          <w:p w14:paraId="4FEABE54"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Suneetha Subramanian</w:t>
            </w:r>
          </w:p>
        </w:tc>
        <w:tc>
          <w:tcPr>
            <w:tcW w:w="0" w:type="auto"/>
            <w:vAlign w:val="center"/>
          </w:tcPr>
          <w:p w14:paraId="7B947561"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United Nations University, Japan</w:t>
            </w:r>
          </w:p>
        </w:tc>
        <w:tc>
          <w:tcPr>
            <w:tcW w:w="864" w:type="dxa"/>
            <w:vAlign w:val="center"/>
          </w:tcPr>
          <w:p w14:paraId="0967F46A"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25569C7F" w14:textId="77777777" w:rsidTr="00776736">
        <w:trPr>
          <w:trHeight w:val="288"/>
        </w:trPr>
        <w:tc>
          <w:tcPr>
            <w:tcW w:w="2290" w:type="dxa"/>
            <w:vAlign w:val="center"/>
          </w:tcPr>
          <w:p w14:paraId="62AE709C"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Katie Brauman</w:t>
            </w:r>
          </w:p>
        </w:tc>
        <w:tc>
          <w:tcPr>
            <w:tcW w:w="0" w:type="auto"/>
            <w:vAlign w:val="center"/>
          </w:tcPr>
          <w:p w14:paraId="59230615"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University of Minnesota, UAS</w:t>
            </w:r>
          </w:p>
        </w:tc>
        <w:tc>
          <w:tcPr>
            <w:tcW w:w="864" w:type="dxa"/>
            <w:vAlign w:val="center"/>
          </w:tcPr>
          <w:p w14:paraId="2FAD45AC"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66A997E0" w14:textId="77777777" w:rsidTr="00776736">
        <w:trPr>
          <w:trHeight w:val="288"/>
        </w:trPr>
        <w:tc>
          <w:tcPr>
            <w:tcW w:w="2290" w:type="dxa"/>
            <w:vAlign w:val="center"/>
          </w:tcPr>
          <w:p w14:paraId="06BE72C8"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Alexandra Marques</w:t>
            </w:r>
          </w:p>
        </w:tc>
        <w:tc>
          <w:tcPr>
            <w:tcW w:w="0" w:type="auto"/>
            <w:vAlign w:val="center"/>
          </w:tcPr>
          <w:p w14:paraId="53461070"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Leiden University, The Netherlands</w:t>
            </w:r>
          </w:p>
        </w:tc>
        <w:tc>
          <w:tcPr>
            <w:tcW w:w="864" w:type="dxa"/>
            <w:vAlign w:val="center"/>
          </w:tcPr>
          <w:p w14:paraId="41F171DA"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4D27C5D4" w14:textId="77777777" w:rsidTr="00776736">
        <w:trPr>
          <w:trHeight w:val="288"/>
        </w:trPr>
        <w:tc>
          <w:tcPr>
            <w:tcW w:w="2290" w:type="dxa"/>
            <w:vAlign w:val="center"/>
          </w:tcPr>
          <w:p w14:paraId="13346ADB"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Ilse Geijzendorffer</w:t>
            </w:r>
          </w:p>
        </w:tc>
        <w:tc>
          <w:tcPr>
            <w:tcW w:w="0" w:type="auto"/>
            <w:vAlign w:val="center"/>
          </w:tcPr>
          <w:p w14:paraId="5CF41E69" w14:textId="3BA619FA" w:rsidR="00E13370" w:rsidRPr="002641E9"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Tour du Valat, France</w:t>
            </w:r>
          </w:p>
        </w:tc>
        <w:tc>
          <w:tcPr>
            <w:tcW w:w="864" w:type="dxa"/>
            <w:vAlign w:val="center"/>
          </w:tcPr>
          <w:p w14:paraId="1C3F8D98"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5A563850" w14:textId="77777777" w:rsidTr="00776736">
        <w:trPr>
          <w:trHeight w:val="288"/>
        </w:trPr>
        <w:tc>
          <w:tcPr>
            <w:tcW w:w="2290" w:type="dxa"/>
            <w:vAlign w:val="center"/>
          </w:tcPr>
          <w:p w14:paraId="09DD260B"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Dan Faith</w:t>
            </w:r>
          </w:p>
        </w:tc>
        <w:tc>
          <w:tcPr>
            <w:tcW w:w="0" w:type="auto"/>
            <w:vAlign w:val="center"/>
          </w:tcPr>
          <w:p w14:paraId="0409272D"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Australian Museum, Australia</w:t>
            </w:r>
          </w:p>
        </w:tc>
        <w:tc>
          <w:tcPr>
            <w:tcW w:w="864" w:type="dxa"/>
            <w:vAlign w:val="center"/>
          </w:tcPr>
          <w:p w14:paraId="6E309F25"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M</w:t>
            </w:r>
          </w:p>
        </w:tc>
      </w:tr>
      <w:tr w:rsidR="00AE7103" w:rsidRPr="00AE7103" w14:paraId="05A082A7" w14:textId="77777777" w:rsidTr="00776736">
        <w:trPr>
          <w:trHeight w:val="288"/>
        </w:trPr>
        <w:tc>
          <w:tcPr>
            <w:tcW w:w="2290" w:type="dxa"/>
            <w:vAlign w:val="center"/>
          </w:tcPr>
          <w:p w14:paraId="38BB483A"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Marie Stenseke</w:t>
            </w:r>
          </w:p>
        </w:tc>
        <w:tc>
          <w:tcPr>
            <w:tcW w:w="0" w:type="auto"/>
            <w:vAlign w:val="center"/>
          </w:tcPr>
          <w:p w14:paraId="03CEB9E2"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University of Gothenburg, Sweden</w:t>
            </w:r>
          </w:p>
        </w:tc>
        <w:tc>
          <w:tcPr>
            <w:tcW w:w="864" w:type="dxa"/>
            <w:vAlign w:val="center"/>
          </w:tcPr>
          <w:p w14:paraId="2CBDBA4A"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r w:rsidR="00AE7103" w:rsidRPr="00AE7103" w14:paraId="51F69F70" w14:textId="77777777" w:rsidTr="00776736">
        <w:trPr>
          <w:trHeight w:val="288"/>
        </w:trPr>
        <w:tc>
          <w:tcPr>
            <w:tcW w:w="2290" w:type="dxa"/>
            <w:vAlign w:val="center"/>
          </w:tcPr>
          <w:p w14:paraId="79C0E501"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eastAsia="ko-KR"/>
              </w:rPr>
              <w:t>HyeJin Kim</w:t>
            </w:r>
          </w:p>
        </w:tc>
        <w:tc>
          <w:tcPr>
            <w:tcW w:w="0" w:type="auto"/>
            <w:vAlign w:val="center"/>
          </w:tcPr>
          <w:p w14:paraId="781E5B3C" w14:textId="77777777" w:rsidR="00E13370" w:rsidRPr="00AE7103" w:rsidRDefault="00E13370" w:rsidP="0056015E">
            <w:pPr>
              <w:pStyle w:val="Normal-pool"/>
              <w:spacing w:before="60" w:after="60"/>
              <w:rPr>
                <w:rFonts w:eastAsia="Malgun Gothic"/>
                <w:color w:val="000000" w:themeColor="text1"/>
                <w:sz w:val="18"/>
                <w:szCs w:val="18"/>
                <w:lang w:val="en-US" w:eastAsia="ko-KR"/>
              </w:rPr>
            </w:pPr>
            <w:r w:rsidRPr="00AE7103">
              <w:rPr>
                <w:rFonts w:eastAsia="Malgun Gothic"/>
                <w:color w:val="000000" w:themeColor="text1"/>
                <w:sz w:val="18"/>
                <w:szCs w:val="18"/>
                <w:lang w:val="en-US" w:eastAsia="ko-KR"/>
              </w:rPr>
              <w:t>National Institute of Ecology, Korea</w:t>
            </w:r>
          </w:p>
        </w:tc>
        <w:tc>
          <w:tcPr>
            <w:tcW w:w="864" w:type="dxa"/>
            <w:vAlign w:val="center"/>
          </w:tcPr>
          <w:p w14:paraId="3F9F0103" w14:textId="77777777" w:rsidR="00E13370" w:rsidRPr="00AE7103" w:rsidRDefault="00E13370" w:rsidP="0056015E">
            <w:pPr>
              <w:pStyle w:val="Normal-pool"/>
              <w:spacing w:before="60" w:after="60"/>
              <w:jc w:val="center"/>
              <w:rPr>
                <w:rFonts w:eastAsia="Malgun Gothic"/>
                <w:color w:val="000000" w:themeColor="text1"/>
                <w:sz w:val="18"/>
                <w:szCs w:val="18"/>
                <w:lang w:val="en-US" w:eastAsia="ko-KR"/>
              </w:rPr>
            </w:pPr>
            <w:r w:rsidRPr="00AE7103">
              <w:rPr>
                <w:rFonts w:eastAsia="Malgun Gothic"/>
                <w:color w:val="000000" w:themeColor="text1"/>
                <w:sz w:val="18"/>
                <w:szCs w:val="18"/>
                <w:lang w:eastAsia="ko-KR"/>
              </w:rPr>
              <w:t>F</w:t>
            </w:r>
          </w:p>
        </w:tc>
      </w:tr>
    </w:tbl>
    <w:p w14:paraId="7D4F733C" w14:textId="77777777" w:rsidR="00E13370" w:rsidRPr="00AE7103" w:rsidRDefault="00E13370" w:rsidP="00E64D1C">
      <w:pPr>
        <w:pStyle w:val="Normal-pool"/>
      </w:pPr>
    </w:p>
    <w:p w14:paraId="6C04C60C" w14:textId="77777777" w:rsidR="00D80FCB" w:rsidRPr="00AE7103" w:rsidRDefault="00D80FCB" w:rsidP="0056015E">
      <w:pPr>
        <w:pStyle w:val="Normal-pool"/>
        <w:rPr>
          <w:color w:val="000000" w:themeColor="text1"/>
        </w:rPr>
      </w:pPr>
    </w:p>
    <w:p w14:paraId="0E2EA0F1" w14:textId="77777777" w:rsidR="00D80FCB" w:rsidRPr="00AE7103" w:rsidRDefault="00D80FCB" w:rsidP="0056015E">
      <w:pPr>
        <w:pStyle w:val="Normal-pool"/>
        <w:rPr>
          <w:rFonts w:eastAsiaTheme="minorEastAsia"/>
          <w:color w:val="000000" w:themeColor="text1"/>
          <w:lang w:eastAsia="ko-KR"/>
        </w:rPr>
        <w:sectPr w:rsidR="00D80FCB" w:rsidRPr="00AE7103" w:rsidSect="007748F0">
          <w:headerReference w:type="first" r:id="rId22"/>
          <w:footerReference w:type="first" r:id="rId23"/>
          <w:footnotePr>
            <w:numFmt w:val="chicago"/>
            <w:numRestart w:val="eachSect"/>
          </w:footnotePr>
          <w:pgSz w:w="11907" w:h="16840" w:code="9"/>
          <w:pgMar w:top="907" w:right="992" w:bottom="1418" w:left="1418" w:header="539" w:footer="975" w:gutter="0"/>
          <w:cols w:space="539"/>
          <w:titlePg/>
          <w:docGrid w:linePitch="360"/>
        </w:sectPr>
      </w:pPr>
    </w:p>
    <w:p w14:paraId="2DE0E44A" w14:textId="1E23C094" w:rsidR="00D80FCB" w:rsidRPr="00110E4C" w:rsidRDefault="00E64D1C" w:rsidP="00E64D1C">
      <w:pPr>
        <w:pStyle w:val="CH2"/>
        <w:rPr>
          <w:rFonts w:eastAsia="Calibri"/>
        </w:rPr>
      </w:pPr>
      <w:r>
        <w:rPr>
          <w:rFonts w:eastAsia="Calibri"/>
        </w:rPr>
        <w:tab/>
      </w:r>
      <w:r w:rsidR="00D80FCB" w:rsidRPr="00110E4C">
        <w:rPr>
          <w:rFonts w:eastAsia="Calibri"/>
        </w:rPr>
        <w:t xml:space="preserve">Appendix III </w:t>
      </w:r>
    </w:p>
    <w:p w14:paraId="27A2C134" w14:textId="5C9FB865" w:rsidR="00D80FCB" w:rsidRDefault="00E64D1C" w:rsidP="002C0261">
      <w:pPr>
        <w:pStyle w:val="CH2"/>
        <w:spacing w:after="240"/>
        <w:rPr>
          <w:color w:val="000000" w:themeColor="text1"/>
        </w:rPr>
      </w:pPr>
      <w:r>
        <w:tab/>
      </w:r>
      <w:r w:rsidR="00D80FCB" w:rsidRPr="00110E4C">
        <w:t>List of core indicators selected for use in IPBES regional assessments and globa</w:t>
      </w:r>
      <w:r w:rsidR="00D80FCB" w:rsidRPr="00AE7103">
        <w:rPr>
          <w:color w:val="000000" w:themeColor="text1"/>
        </w:rPr>
        <w:t xml:space="preserve">l assessment </w:t>
      </w:r>
    </w:p>
    <w:tbl>
      <w:tblPr>
        <w:tblW w:w="49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4"/>
        <w:gridCol w:w="3428"/>
        <w:gridCol w:w="902"/>
        <w:gridCol w:w="1083"/>
        <w:gridCol w:w="992"/>
        <w:gridCol w:w="992"/>
        <w:gridCol w:w="992"/>
        <w:gridCol w:w="1263"/>
        <w:gridCol w:w="632"/>
        <w:gridCol w:w="2436"/>
      </w:tblGrid>
      <w:tr w:rsidR="00E64D1C" w:rsidRPr="00581C84" w14:paraId="16D6905D" w14:textId="77777777" w:rsidTr="00776736">
        <w:trPr>
          <w:trHeight w:val="57"/>
          <w:tblHeader/>
        </w:trPr>
        <w:tc>
          <w:tcPr>
            <w:tcW w:w="894" w:type="dxa"/>
            <w:shd w:val="clear" w:color="auto" w:fill="DDD9C3" w:themeFill="background2" w:themeFillShade="E6"/>
            <w:hideMark/>
          </w:tcPr>
          <w:p w14:paraId="43F72644"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Aichi Target</w:t>
            </w:r>
          </w:p>
        </w:tc>
        <w:tc>
          <w:tcPr>
            <w:tcW w:w="3428" w:type="dxa"/>
            <w:shd w:val="clear" w:color="auto" w:fill="DDD9C3" w:themeFill="background2" w:themeFillShade="E6"/>
            <w:hideMark/>
          </w:tcPr>
          <w:p w14:paraId="7B83E1AE"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Specific Indicator</w:t>
            </w:r>
          </w:p>
        </w:tc>
        <w:tc>
          <w:tcPr>
            <w:tcW w:w="902" w:type="dxa"/>
            <w:shd w:val="clear" w:color="auto" w:fill="DDD9C3" w:themeFill="background2" w:themeFillShade="E6"/>
            <w:hideMark/>
          </w:tcPr>
          <w:p w14:paraId="0D75CE65"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DPSIR¹</w:t>
            </w:r>
          </w:p>
        </w:tc>
        <w:tc>
          <w:tcPr>
            <w:tcW w:w="1083" w:type="dxa"/>
            <w:shd w:val="clear" w:color="auto" w:fill="DDD9C3" w:themeFill="background2" w:themeFillShade="E6"/>
            <w:hideMark/>
          </w:tcPr>
          <w:p w14:paraId="7B7BA7AB"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CF²</w:t>
            </w:r>
          </w:p>
        </w:tc>
        <w:tc>
          <w:tcPr>
            <w:tcW w:w="992" w:type="dxa"/>
            <w:shd w:val="clear" w:color="auto" w:fill="DDD9C3" w:themeFill="background2" w:themeFillShade="E6"/>
            <w:hideMark/>
          </w:tcPr>
          <w:p w14:paraId="51DC470D"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GA Chapter</w:t>
            </w:r>
          </w:p>
        </w:tc>
        <w:tc>
          <w:tcPr>
            <w:tcW w:w="992" w:type="dxa"/>
            <w:shd w:val="clear" w:color="auto" w:fill="DDD9C3" w:themeFill="background2" w:themeFillShade="E6"/>
            <w:hideMark/>
          </w:tcPr>
          <w:p w14:paraId="0A9EA859"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RA Chapter</w:t>
            </w:r>
          </w:p>
        </w:tc>
        <w:tc>
          <w:tcPr>
            <w:tcW w:w="992" w:type="dxa"/>
            <w:shd w:val="clear" w:color="auto" w:fill="DDD9C3" w:themeFill="background2" w:themeFillShade="E6"/>
            <w:hideMark/>
          </w:tcPr>
          <w:p w14:paraId="03AD2405"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LDRA Chapter</w:t>
            </w:r>
          </w:p>
        </w:tc>
        <w:tc>
          <w:tcPr>
            <w:tcW w:w="1263" w:type="dxa"/>
            <w:shd w:val="clear" w:color="auto" w:fill="DDD9C3" w:themeFill="background2" w:themeFillShade="E6"/>
            <w:hideMark/>
          </w:tcPr>
          <w:p w14:paraId="244B8472"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Origin³</w:t>
            </w:r>
          </w:p>
        </w:tc>
        <w:tc>
          <w:tcPr>
            <w:tcW w:w="632" w:type="dxa"/>
            <w:shd w:val="clear" w:color="auto" w:fill="DDD9C3" w:themeFill="background2" w:themeFillShade="E6"/>
            <w:hideMark/>
          </w:tcPr>
          <w:p w14:paraId="0024DED6"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BIP</w:t>
            </w:r>
            <w:r w:rsidRPr="00581C84">
              <w:rPr>
                <w:rFonts w:ascii="Cambria Math" w:eastAsia="Malgun Gothic" w:hAnsi="Cambria Math" w:cs="Cambria Math"/>
                <w:b/>
                <w:sz w:val="18"/>
                <w:szCs w:val="18"/>
                <w:lang w:eastAsia="ko-KR"/>
              </w:rPr>
              <w:t>⁴</w:t>
            </w:r>
          </w:p>
        </w:tc>
        <w:tc>
          <w:tcPr>
            <w:tcW w:w="2436" w:type="dxa"/>
            <w:shd w:val="clear" w:color="auto" w:fill="DDD9C3" w:themeFill="background2" w:themeFillShade="E6"/>
            <w:hideMark/>
          </w:tcPr>
          <w:p w14:paraId="21856DEB" w14:textId="77777777" w:rsidR="00D80FCB" w:rsidRPr="00581C84" w:rsidRDefault="00D80FCB" w:rsidP="00581C84">
            <w:pPr>
              <w:pStyle w:val="Normal-pool"/>
              <w:tabs>
                <w:tab w:val="left" w:pos="624"/>
              </w:tabs>
              <w:spacing w:before="40" w:after="40"/>
              <w:rPr>
                <w:rFonts w:eastAsia="Malgun Gothic"/>
                <w:b/>
                <w:sz w:val="18"/>
                <w:szCs w:val="18"/>
                <w:lang w:eastAsia="ko-KR"/>
              </w:rPr>
            </w:pPr>
            <w:r w:rsidRPr="00581C84">
              <w:rPr>
                <w:rFonts w:eastAsia="Malgun Gothic"/>
                <w:b/>
                <w:sz w:val="18"/>
                <w:szCs w:val="18"/>
                <w:lang w:eastAsia="ko-KR"/>
              </w:rPr>
              <w:t>Source</w:t>
            </w:r>
          </w:p>
        </w:tc>
      </w:tr>
      <w:tr w:rsidR="00941845" w:rsidRPr="00581C84" w14:paraId="6DF5F9E0" w14:textId="77777777" w:rsidTr="00776736">
        <w:trPr>
          <w:tblHeader/>
        </w:trPr>
        <w:tc>
          <w:tcPr>
            <w:tcW w:w="894" w:type="dxa"/>
            <w:shd w:val="clear" w:color="auto" w:fill="auto"/>
            <w:hideMark/>
          </w:tcPr>
          <w:p w14:paraId="406D064B"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3428" w:type="dxa"/>
            <w:shd w:val="clear" w:color="auto" w:fill="auto"/>
            <w:hideMark/>
          </w:tcPr>
          <w:p w14:paraId="3197422A"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Ecological Footprint</w:t>
            </w:r>
          </w:p>
        </w:tc>
        <w:tc>
          <w:tcPr>
            <w:tcW w:w="902" w:type="dxa"/>
            <w:shd w:val="clear" w:color="auto" w:fill="auto"/>
            <w:hideMark/>
          </w:tcPr>
          <w:p w14:paraId="12D213B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w:t>
            </w:r>
          </w:p>
        </w:tc>
        <w:tc>
          <w:tcPr>
            <w:tcW w:w="1083" w:type="dxa"/>
            <w:shd w:val="clear" w:color="auto" w:fill="auto"/>
            <w:hideMark/>
          </w:tcPr>
          <w:p w14:paraId="204AE76A"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w:t>
            </w:r>
          </w:p>
        </w:tc>
        <w:tc>
          <w:tcPr>
            <w:tcW w:w="992" w:type="dxa"/>
            <w:shd w:val="clear" w:color="auto" w:fill="auto"/>
            <w:hideMark/>
          </w:tcPr>
          <w:p w14:paraId="749C8D1E"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34DEC045"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992" w:type="dxa"/>
            <w:shd w:val="clear" w:color="auto" w:fill="auto"/>
            <w:hideMark/>
          </w:tcPr>
          <w:p w14:paraId="6082E105"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w:t>
            </w:r>
          </w:p>
        </w:tc>
        <w:tc>
          <w:tcPr>
            <w:tcW w:w="1263" w:type="dxa"/>
            <w:shd w:val="clear" w:color="auto" w:fill="auto"/>
            <w:hideMark/>
          </w:tcPr>
          <w:p w14:paraId="17FF615F"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3B474A3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38F6C525"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Global Footprint Network</w:t>
            </w:r>
          </w:p>
        </w:tc>
      </w:tr>
      <w:tr w:rsidR="00941845" w:rsidRPr="00581C84" w14:paraId="653D1BEF" w14:textId="77777777" w:rsidTr="00776736">
        <w:trPr>
          <w:tblHeader/>
        </w:trPr>
        <w:tc>
          <w:tcPr>
            <w:tcW w:w="894" w:type="dxa"/>
            <w:shd w:val="clear" w:color="auto" w:fill="auto"/>
            <w:hideMark/>
          </w:tcPr>
          <w:p w14:paraId="107FF3A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3428" w:type="dxa"/>
            <w:shd w:val="clear" w:color="auto" w:fill="auto"/>
            <w:hideMark/>
          </w:tcPr>
          <w:p w14:paraId="17B1EE4F"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Water Footprint (Human appropriation of fresh water)</w:t>
            </w:r>
          </w:p>
        </w:tc>
        <w:tc>
          <w:tcPr>
            <w:tcW w:w="902" w:type="dxa"/>
            <w:shd w:val="clear" w:color="auto" w:fill="auto"/>
            <w:hideMark/>
          </w:tcPr>
          <w:p w14:paraId="2010147C"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w:t>
            </w:r>
          </w:p>
        </w:tc>
        <w:tc>
          <w:tcPr>
            <w:tcW w:w="1083" w:type="dxa"/>
            <w:shd w:val="clear" w:color="auto" w:fill="auto"/>
            <w:hideMark/>
          </w:tcPr>
          <w:p w14:paraId="23EE8CF9"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w:t>
            </w:r>
          </w:p>
        </w:tc>
        <w:tc>
          <w:tcPr>
            <w:tcW w:w="992" w:type="dxa"/>
            <w:shd w:val="clear" w:color="auto" w:fill="auto"/>
            <w:hideMark/>
          </w:tcPr>
          <w:p w14:paraId="11A3019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35804B6E"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992" w:type="dxa"/>
            <w:shd w:val="clear" w:color="auto" w:fill="auto"/>
            <w:hideMark/>
          </w:tcPr>
          <w:p w14:paraId="15DA8B7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w:t>
            </w:r>
          </w:p>
        </w:tc>
        <w:tc>
          <w:tcPr>
            <w:tcW w:w="1263" w:type="dxa"/>
            <w:shd w:val="clear" w:color="auto" w:fill="auto"/>
            <w:hideMark/>
          </w:tcPr>
          <w:p w14:paraId="7C23FE4F"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0BE00680" w14:textId="0F1EABEB"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2C662242"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Water Footprint Network</w:t>
            </w:r>
          </w:p>
        </w:tc>
      </w:tr>
      <w:tr w:rsidR="00941845" w:rsidRPr="00581C84" w14:paraId="6C985CAB" w14:textId="77777777" w:rsidTr="00776736">
        <w:trPr>
          <w:tblHeader/>
        </w:trPr>
        <w:tc>
          <w:tcPr>
            <w:tcW w:w="894" w:type="dxa"/>
            <w:shd w:val="clear" w:color="auto" w:fill="auto"/>
            <w:hideMark/>
          </w:tcPr>
          <w:p w14:paraId="7465977B"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3428" w:type="dxa"/>
            <w:shd w:val="clear" w:color="auto" w:fill="auto"/>
            <w:hideMark/>
          </w:tcPr>
          <w:p w14:paraId="78714CF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Percentage of Category 1 nations in CITES</w:t>
            </w:r>
          </w:p>
        </w:tc>
        <w:tc>
          <w:tcPr>
            <w:tcW w:w="902" w:type="dxa"/>
            <w:shd w:val="clear" w:color="auto" w:fill="auto"/>
            <w:hideMark/>
          </w:tcPr>
          <w:p w14:paraId="2DA235D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42F81CB2"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w:t>
            </w:r>
          </w:p>
        </w:tc>
        <w:tc>
          <w:tcPr>
            <w:tcW w:w="992" w:type="dxa"/>
            <w:shd w:val="clear" w:color="auto" w:fill="auto"/>
            <w:hideMark/>
          </w:tcPr>
          <w:p w14:paraId="4371BD3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2,3,6</w:t>
            </w:r>
          </w:p>
        </w:tc>
        <w:tc>
          <w:tcPr>
            <w:tcW w:w="992" w:type="dxa"/>
            <w:shd w:val="clear" w:color="auto" w:fill="auto"/>
            <w:hideMark/>
          </w:tcPr>
          <w:p w14:paraId="7D74DE0A"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07771787" w14:textId="6E3F679B"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7ECE4D1D"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4B713EC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BP</w:t>
            </w:r>
          </w:p>
        </w:tc>
        <w:tc>
          <w:tcPr>
            <w:tcW w:w="2436" w:type="dxa"/>
            <w:shd w:val="clear" w:color="auto" w:fill="auto"/>
            <w:hideMark/>
          </w:tcPr>
          <w:p w14:paraId="52825233"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Convention on International Trade in Endangered Species of Wild Fauna and Flora (CITES)</w:t>
            </w:r>
          </w:p>
        </w:tc>
      </w:tr>
      <w:tr w:rsidR="00941845" w:rsidRPr="00581C84" w14:paraId="3A717349" w14:textId="77777777" w:rsidTr="00776736">
        <w:trPr>
          <w:tblHeader/>
        </w:trPr>
        <w:tc>
          <w:tcPr>
            <w:tcW w:w="894" w:type="dxa"/>
            <w:shd w:val="clear" w:color="auto" w:fill="auto"/>
            <w:hideMark/>
          </w:tcPr>
          <w:p w14:paraId="2C280CC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5</w:t>
            </w:r>
          </w:p>
        </w:tc>
        <w:tc>
          <w:tcPr>
            <w:tcW w:w="3428" w:type="dxa"/>
            <w:shd w:val="clear" w:color="auto" w:fill="auto"/>
            <w:hideMark/>
          </w:tcPr>
          <w:p w14:paraId="177EDD2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Biodiversity Habitat Index</w:t>
            </w:r>
          </w:p>
        </w:tc>
        <w:tc>
          <w:tcPr>
            <w:tcW w:w="902" w:type="dxa"/>
            <w:shd w:val="clear" w:color="auto" w:fill="auto"/>
            <w:hideMark/>
          </w:tcPr>
          <w:p w14:paraId="78F5DC41"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w:t>
            </w:r>
          </w:p>
        </w:tc>
        <w:tc>
          <w:tcPr>
            <w:tcW w:w="1083" w:type="dxa"/>
            <w:shd w:val="clear" w:color="auto" w:fill="auto"/>
            <w:hideMark/>
          </w:tcPr>
          <w:p w14:paraId="0B0F9C55"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 BEF</w:t>
            </w:r>
          </w:p>
        </w:tc>
        <w:tc>
          <w:tcPr>
            <w:tcW w:w="992" w:type="dxa"/>
            <w:shd w:val="clear" w:color="auto" w:fill="auto"/>
            <w:hideMark/>
          </w:tcPr>
          <w:p w14:paraId="70ED1FF3"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53EF9A8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3,4</w:t>
            </w:r>
          </w:p>
        </w:tc>
        <w:tc>
          <w:tcPr>
            <w:tcW w:w="992" w:type="dxa"/>
            <w:shd w:val="clear" w:color="auto" w:fill="auto"/>
            <w:hideMark/>
          </w:tcPr>
          <w:p w14:paraId="2A07DA3A"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1263" w:type="dxa"/>
            <w:shd w:val="clear" w:color="auto" w:fill="auto"/>
            <w:hideMark/>
          </w:tcPr>
          <w:p w14:paraId="0A4BAADB"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13E6477D" w14:textId="68B5522E"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0451352B"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GEO BON - CSIRO</w:t>
            </w:r>
          </w:p>
        </w:tc>
      </w:tr>
      <w:tr w:rsidR="00941845" w:rsidRPr="00581C84" w14:paraId="11C6C7CE" w14:textId="77777777" w:rsidTr="00776736">
        <w:trPr>
          <w:tblHeader/>
        </w:trPr>
        <w:tc>
          <w:tcPr>
            <w:tcW w:w="894" w:type="dxa"/>
            <w:shd w:val="clear" w:color="auto" w:fill="auto"/>
            <w:hideMark/>
          </w:tcPr>
          <w:p w14:paraId="2D6087FE" w14:textId="70675A20"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5,</w:t>
            </w:r>
            <w:r w:rsidR="00FC56EA" w:rsidRPr="00581C84">
              <w:rPr>
                <w:rFonts w:eastAsia="Malgun Gothic"/>
                <w:sz w:val="18"/>
                <w:szCs w:val="18"/>
                <w:lang w:eastAsia="ko-KR"/>
              </w:rPr>
              <w:t xml:space="preserve"> </w:t>
            </w:r>
            <w:r w:rsidRPr="00581C84">
              <w:rPr>
                <w:rFonts w:eastAsia="Malgun Gothic"/>
                <w:sz w:val="18"/>
                <w:szCs w:val="18"/>
                <w:lang w:eastAsia="ko-KR"/>
              </w:rPr>
              <w:t>12</w:t>
            </w:r>
          </w:p>
        </w:tc>
        <w:tc>
          <w:tcPr>
            <w:tcW w:w="3428" w:type="dxa"/>
            <w:shd w:val="clear" w:color="auto" w:fill="auto"/>
            <w:hideMark/>
          </w:tcPr>
          <w:p w14:paraId="6B4DF842"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Species Habitat Index</w:t>
            </w:r>
          </w:p>
        </w:tc>
        <w:tc>
          <w:tcPr>
            <w:tcW w:w="902" w:type="dxa"/>
            <w:shd w:val="clear" w:color="auto" w:fill="auto"/>
            <w:hideMark/>
          </w:tcPr>
          <w:p w14:paraId="2939E5C7"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P,S</w:t>
            </w:r>
          </w:p>
        </w:tc>
        <w:tc>
          <w:tcPr>
            <w:tcW w:w="1083" w:type="dxa"/>
            <w:shd w:val="clear" w:color="auto" w:fill="auto"/>
            <w:hideMark/>
          </w:tcPr>
          <w:p w14:paraId="2D30C90D"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 BEF</w:t>
            </w:r>
          </w:p>
        </w:tc>
        <w:tc>
          <w:tcPr>
            <w:tcW w:w="992" w:type="dxa"/>
            <w:shd w:val="clear" w:color="auto" w:fill="auto"/>
            <w:hideMark/>
          </w:tcPr>
          <w:p w14:paraId="439DD5AF"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191B6BE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3,4</w:t>
            </w:r>
          </w:p>
        </w:tc>
        <w:tc>
          <w:tcPr>
            <w:tcW w:w="992" w:type="dxa"/>
            <w:shd w:val="clear" w:color="auto" w:fill="auto"/>
            <w:hideMark/>
          </w:tcPr>
          <w:p w14:paraId="4C0626EC"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1263" w:type="dxa"/>
            <w:shd w:val="clear" w:color="auto" w:fill="auto"/>
            <w:hideMark/>
          </w:tcPr>
          <w:p w14:paraId="23100E91"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3A0B9A8E" w14:textId="09C514A2"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6A35172B"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GEO BON - Map of Life</w:t>
            </w:r>
          </w:p>
        </w:tc>
      </w:tr>
      <w:tr w:rsidR="00941845" w:rsidRPr="00581C84" w14:paraId="1455DE98" w14:textId="77777777" w:rsidTr="00776736">
        <w:trPr>
          <w:tblHeader/>
        </w:trPr>
        <w:tc>
          <w:tcPr>
            <w:tcW w:w="894" w:type="dxa"/>
            <w:shd w:val="clear" w:color="auto" w:fill="auto"/>
            <w:hideMark/>
          </w:tcPr>
          <w:p w14:paraId="11EBF4FE"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5</w:t>
            </w:r>
          </w:p>
        </w:tc>
        <w:tc>
          <w:tcPr>
            <w:tcW w:w="3428" w:type="dxa"/>
            <w:shd w:val="clear" w:color="auto" w:fill="auto"/>
            <w:hideMark/>
          </w:tcPr>
          <w:p w14:paraId="24226EDF"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 xml:space="preserve">Forest area as a percentage of total land area </w:t>
            </w:r>
          </w:p>
        </w:tc>
        <w:tc>
          <w:tcPr>
            <w:tcW w:w="902" w:type="dxa"/>
            <w:shd w:val="clear" w:color="auto" w:fill="auto"/>
            <w:hideMark/>
          </w:tcPr>
          <w:p w14:paraId="58041622"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w:t>
            </w:r>
          </w:p>
        </w:tc>
        <w:tc>
          <w:tcPr>
            <w:tcW w:w="1083" w:type="dxa"/>
            <w:shd w:val="clear" w:color="auto" w:fill="auto"/>
            <w:hideMark/>
          </w:tcPr>
          <w:p w14:paraId="2FD20E3D"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 BEF</w:t>
            </w:r>
          </w:p>
        </w:tc>
        <w:tc>
          <w:tcPr>
            <w:tcW w:w="992" w:type="dxa"/>
            <w:shd w:val="clear" w:color="auto" w:fill="auto"/>
            <w:hideMark/>
          </w:tcPr>
          <w:p w14:paraId="2879059D"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45D92E81"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3,4</w:t>
            </w:r>
          </w:p>
        </w:tc>
        <w:tc>
          <w:tcPr>
            <w:tcW w:w="992" w:type="dxa"/>
            <w:shd w:val="clear" w:color="auto" w:fill="auto"/>
            <w:hideMark/>
          </w:tcPr>
          <w:p w14:paraId="37D9D5DE"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1263" w:type="dxa"/>
            <w:shd w:val="clear" w:color="auto" w:fill="auto"/>
            <w:hideMark/>
          </w:tcPr>
          <w:p w14:paraId="3AEE78AB"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69981BD9"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0B714AF9"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FAO</w:t>
            </w:r>
          </w:p>
        </w:tc>
      </w:tr>
      <w:tr w:rsidR="00941845" w:rsidRPr="00581C84" w14:paraId="7EF33ADF" w14:textId="77777777" w:rsidTr="00776736">
        <w:trPr>
          <w:tblHeader/>
        </w:trPr>
        <w:tc>
          <w:tcPr>
            <w:tcW w:w="894" w:type="dxa"/>
            <w:shd w:val="clear" w:color="auto" w:fill="auto"/>
            <w:hideMark/>
          </w:tcPr>
          <w:p w14:paraId="3D49202C"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5</w:t>
            </w:r>
          </w:p>
        </w:tc>
        <w:tc>
          <w:tcPr>
            <w:tcW w:w="3428" w:type="dxa"/>
            <w:shd w:val="clear" w:color="auto" w:fill="auto"/>
            <w:hideMark/>
          </w:tcPr>
          <w:p w14:paraId="3963FF3E"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Trends in forest extent (tree cover)</w:t>
            </w:r>
          </w:p>
        </w:tc>
        <w:tc>
          <w:tcPr>
            <w:tcW w:w="902" w:type="dxa"/>
            <w:shd w:val="clear" w:color="auto" w:fill="auto"/>
            <w:hideMark/>
          </w:tcPr>
          <w:p w14:paraId="4C43BD6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w:t>
            </w:r>
          </w:p>
        </w:tc>
        <w:tc>
          <w:tcPr>
            <w:tcW w:w="1083" w:type="dxa"/>
            <w:shd w:val="clear" w:color="auto" w:fill="auto"/>
            <w:hideMark/>
          </w:tcPr>
          <w:p w14:paraId="5DC5BDA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 BEF</w:t>
            </w:r>
          </w:p>
        </w:tc>
        <w:tc>
          <w:tcPr>
            <w:tcW w:w="992" w:type="dxa"/>
            <w:shd w:val="clear" w:color="auto" w:fill="auto"/>
            <w:hideMark/>
          </w:tcPr>
          <w:p w14:paraId="0609BA7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3E421D73"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3,4</w:t>
            </w:r>
          </w:p>
        </w:tc>
        <w:tc>
          <w:tcPr>
            <w:tcW w:w="992" w:type="dxa"/>
            <w:shd w:val="clear" w:color="auto" w:fill="auto"/>
            <w:hideMark/>
          </w:tcPr>
          <w:p w14:paraId="0970988D"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1263" w:type="dxa"/>
            <w:shd w:val="clear" w:color="auto" w:fill="auto"/>
            <w:hideMark/>
          </w:tcPr>
          <w:p w14:paraId="3F990F8C"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6DF63BC8" w14:textId="09E0A275"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1A60644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Hansen et al., 2013</w:t>
            </w:r>
          </w:p>
        </w:tc>
      </w:tr>
      <w:tr w:rsidR="00941845" w:rsidRPr="00581C84" w14:paraId="6D268472" w14:textId="77777777" w:rsidTr="00776736">
        <w:trPr>
          <w:tblHeader/>
        </w:trPr>
        <w:tc>
          <w:tcPr>
            <w:tcW w:w="894" w:type="dxa"/>
            <w:shd w:val="clear" w:color="auto" w:fill="auto"/>
            <w:hideMark/>
          </w:tcPr>
          <w:p w14:paraId="542689BA" w14:textId="1FB276A2"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5,</w:t>
            </w:r>
            <w:r w:rsidR="00FC56EA" w:rsidRPr="00581C84">
              <w:rPr>
                <w:rFonts w:eastAsia="Malgun Gothic"/>
                <w:sz w:val="18"/>
                <w:szCs w:val="18"/>
                <w:lang w:eastAsia="ko-KR"/>
              </w:rPr>
              <w:t xml:space="preserve"> </w:t>
            </w:r>
            <w:r w:rsidRPr="00581C84">
              <w:rPr>
                <w:rFonts w:eastAsia="Malgun Gothic"/>
                <w:sz w:val="18"/>
                <w:szCs w:val="18"/>
                <w:lang w:eastAsia="ko-KR"/>
              </w:rPr>
              <w:t>7,</w:t>
            </w:r>
            <w:r w:rsidR="00FC56EA" w:rsidRPr="00581C84">
              <w:rPr>
                <w:rFonts w:eastAsia="Malgun Gothic"/>
                <w:sz w:val="18"/>
                <w:szCs w:val="18"/>
                <w:lang w:eastAsia="ko-KR"/>
              </w:rPr>
              <w:t xml:space="preserve"> </w:t>
            </w:r>
            <w:r w:rsidRPr="00581C84">
              <w:rPr>
                <w:rFonts w:eastAsia="Malgun Gothic"/>
                <w:sz w:val="18"/>
                <w:szCs w:val="18"/>
                <w:lang w:eastAsia="ko-KR"/>
              </w:rPr>
              <w:t>14</w:t>
            </w:r>
          </w:p>
        </w:tc>
        <w:tc>
          <w:tcPr>
            <w:tcW w:w="3428" w:type="dxa"/>
            <w:shd w:val="clear" w:color="auto" w:fill="auto"/>
            <w:hideMark/>
          </w:tcPr>
          <w:p w14:paraId="657E833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Total wood removals</w:t>
            </w:r>
          </w:p>
        </w:tc>
        <w:tc>
          <w:tcPr>
            <w:tcW w:w="902" w:type="dxa"/>
            <w:shd w:val="clear" w:color="auto" w:fill="auto"/>
            <w:hideMark/>
          </w:tcPr>
          <w:p w14:paraId="417C4B8A"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S,I</w:t>
            </w:r>
          </w:p>
        </w:tc>
        <w:tc>
          <w:tcPr>
            <w:tcW w:w="1083" w:type="dxa"/>
            <w:shd w:val="clear" w:color="auto" w:fill="auto"/>
            <w:hideMark/>
          </w:tcPr>
          <w:p w14:paraId="586ACB51"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 NBP</w:t>
            </w:r>
          </w:p>
        </w:tc>
        <w:tc>
          <w:tcPr>
            <w:tcW w:w="992" w:type="dxa"/>
            <w:shd w:val="clear" w:color="auto" w:fill="auto"/>
            <w:hideMark/>
          </w:tcPr>
          <w:p w14:paraId="1406C8A2"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2,3,4,5,6</w:t>
            </w:r>
          </w:p>
        </w:tc>
        <w:tc>
          <w:tcPr>
            <w:tcW w:w="992" w:type="dxa"/>
            <w:shd w:val="clear" w:color="auto" w:fill="auto"/>
            <w:hideMark/>
          </w:tcPr>
          <w:p w14:paraId="634B9909"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2,4,5</w:t>
            </w:r>
          </w:p>
        </w:tc>
        <w:tc>
          <w:tcPr>
            <w:tcW w:w="992" w:type="dxa"/>
            <w:shd w:val="clear" w:color="auto" w:fill="auto"/>
            <w:hideMark/>
          </w:tcPr>
          <w:p w14:paraId="663AD239"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5</w:t>
            </w:r>
          </w:p>
        </w:tc>
        <w:tc>
          <w:tcPr>
            <w:tcW w:w="1263" w:type="dxa"/>
            <w:shd w:val="clear" w:color="auto" w:fill="auto"/>
            <w:hideMark/>
          </w:tcPr>
          <w:p w14:paraId="799FBA62"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Future Earth</w:t>
            </w:r>
          </w:p>
        </w:tc>
        <w:tc>
          <w:tcPr>
            <w:tcW w:w="632" w:type="dxa"/>
            <w:shd w:val="clear" w:color="auto" w:fill="auto"/>
            <w:hideMark/>
          </w:tcPr>
          <w:p w14:paraId="7FBE2E1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BP</w:t>
            </w:r>
          </w:p>
        </w:tc>
        <w:tc>
          <w:tcPr>
            <w:tcW w:w="2436" w:type="dxa"/>
            <w:shd w:val="clear" w:color="auto" w:fill="auto"/>
            <w:hideMark/>
          </w:tcPr>
          <w:p w14:paraId="3DFB4F85"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FAO</w:t>
            </w:r>
          </w:p>
        </w:tc>
      </w:tr>
      <w:tr w:rsidR="00941845" w:rsidRPr="00581C84" w14:paraId="3120D8DD" w14:textId="77777777" w:rsidTr="00776736">
        <w:trPr>
          <w:tblHeader/>
        </w:trPr>
        <w:tc>
          <w:tcPr>
            <w:tcW w:w="894" w:type="dxa"/>
            <w:shd w:val="clear" w:color="auto" w:fill="auto"/>
            <w:hideMark/>
          </w:tcPr>
          <w:p w14:paraId="79B3EF2A"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6</w:t>
            </w:r>
          </w:p>
        </w:tc>
        <w:tc>
          <w:tcPr>
            <w:tcW w:w="3428" w:type="dxa"/>
            <w:shd w:val="clear" w:color="auto" w:fill="auto"/>
            <w:hideMark/>
          </w:tcPr>
          <w:p w14:paraId="06EB11E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Trends in fisheries certified by the Marine Stewardship Council</w:t>
            </w:r>
          </w:p>
        </w:tc>
        <w:tc>
          <w:tcPr>
            <w:tcW w:w="902" w:type="dxa"/>
            <w:shd w:val="clear" w:color="auto" w:fill="auto"/>
            <w:hideMark/>
          </w:tcPr>
          <w:p w14:paraId="03197C5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03C3F7C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w:t>
            </w:r>
          </w:p>
        </w:tc>
        <w:tc>
          <w:tcPr>
            <w:tcW w:w="992" w:type="dxa"/>
            <w:shd w:val="clear" w:color="auto" w:fill="auto"/>
            <w:hideMark/>
          </w:tcPr>
          <w:p w14:paraId="1004CBBC"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2308B83E"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3,4</w:t>
            </w:r>
          </w:p>
        </w:tc>
        <w:tc>
          <w:tcPr>
            <w:tcW w:w="992" w:type="dxa"/>
            <w:shd w:val="clear" w:color="auto" w:fill="auto"/>
            <w:hideMark/>
          </w:tcPr>
          <w:p w14:paraId="2090DBA9" w14:textId="117692B5"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704795E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054ECD9F" w14:textId="7A9A3B44"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3B33110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Marine Stewardship Council</w:t>
            </w:r>
          </w:p>
        </w:tc>
      </w:tr>
      <w:tr w:rsidR="00941845" w:rsidRPr="00581C84" w14:paraId="0F394583" w14:textId="77777777" w:rsidTr="00776736">
        <w:trPr>
          <w:tblHeader/>
        </w:trPr>
        <w:tc>
          <w:tcPr>
            <w:tcW w:w="894" w:type="dxa"/>
            <w:shd w:val="clear" w:color="auto" w:fill="auto"/>
            <w:hideMark/>
          </w:tcPr>
          <w:p w14:paraId="542C6D47"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6</w:t>
            </w:r>
          </w:p>
        </w:tc>
        <w:tc>
          <w:tcPr>
            <w:tcW w:w="3428" w:type="dxa"/>
            <w:shd w:val="clear" w:color="auto" w:fill="auto"/>
            <w:hideMark/>
          </w:tcPr>
          <w:p w14:paraId="4769123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Estimated fisheries catch and fishing effort</w:t>
            </w:r>
          </w:p>
        </w:tc>
        <w:tc>
          <w:tcPr>
            <w:tcW w:w="902" w:type="dxa"/>
            <w:shd w:val="clear" w:color="auto" w:fill="auto"/>
            <w:hideMark/>
          </w:tcPr>
          <w:p w14:paraId="24EC7E2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w:t>
            </w:r>
          </w:p>
        </w:tc>
        <w:tc>
          <w:tcPr>
            <w:tcW w:w="1083" w:type="dxa"/>
            <w:shd w:val="clear" w:color="auto" w:fill="auto"/>
            <w:hideMark/>
          </w:tcPr>
          <w:p w14:paraId="1FB0848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 BEF</w:t>
            </w:r>
          </w:p>
        </w:tc>
        <w:tc>
          <w:tcPr>
            <w:tcW w:w="992" w:type="dxa"/>
            <w:shd w:val="clear" w:color="auto" w:fill="auto"/>
            <w:hideMark/>
          </w:tcPr>
          <w:p w14:paraId="51D8C0CD"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0369543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3,4</w:t>
            </w:r>
          </w:p>
        </w:tc>
        <w:tc>
          <w:tcPr>
            <w:tcW w:w="992" w:type="dxa"/>
            <w:shd w:val="clear" w:color="auto" w:fill="auto"/>
            <w:hideMark/>
          </w:tcPr>
          <w:p w14:paraId="7ACF757F" w14:textId="0CE6E4BA"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03DB94F5"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19EE2C62" w14:textId="6F85C9C3"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612979FA"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Sea Around Us</w:t>
            </w:r>
          </w:p>
        </w:tc>
      </w:tr>
      <w:tr w:rsidR="00941845" w:rsidRPr="00581C84" w14:paraId="17DE3D36" w14:textId="77777777" w:rsidTr="00776736">
        <w:trPr>
          <w:tblHeader/>
        </w:trPr>
        <w:tc>
          <w:tcPr>
            <w:tcW w:w="894" w:type="dxa"/>
            <w:shd w:val="clear" w:color="auto" w:fill="auto"/>
            <w:hideMark/>
          </w:tcPr>
          <w:p w14:paraId="232C765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6</w:t>
            </w:r>
          </w:p>
        </w:tc>
        <w:tc>
          <w:tcPr>
            <w:tcW w:w="3428" w:type="dxa"/>
            <w:shd w:val="clear" w:color="auto" w:fill="auto"/>
            <w:hideMark/>
          </w:tcPr>
          <w:p w14:paraId="7BC42FC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Proportion of fish stocks within biologically sustainable levels</w:t>
            </w:r>
          </w:p>
        </w:tc>
        <w:tc>
          <w:tcPr>
            <w:tcW w:w="902" w:type="dxa"/>
            <w:shd w:val="clear" w:color="auto" w:fill="auto"/>
            <w:hideMark/>
          </w:tcPr>
          <w:p w14:paraId="3069FF7F"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w:t>
            </w:r>
          </w:p>
        </w:tc>
        <w:tc>
          <w:tcPr>
            <w:tcW w:w="1083" w:type="dxa"/>
            <w:shd w:val="clear" w:color="auto" w:fill="auto"/>
            <w:hideMark/>
          </w:tcPr>
          <w:p w14:paraId="6D7B7E1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BEF</w:t>
            </w:r>
          </w:p>
        </w:tc>
        <w:tc>
          <w:tcPr>
            <w:tcW w:w="992" w:type="dxa"/>
            <w:shd w:val="clear" w:color="auto" w:fill="auto"/>
            <w:hideMark/>
          </w:tcPr>
          <w:p w14:paraId="35A0C86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w:t>
            </w:r>
          </w:p>
        </w:tc>
        <w:tc>
          <w:tcPr>
            <w:tcW w:w="992" w:type="dxa"/>
            <w:shd w:val="clear" w:color="auto" w:fill="auto"/>
            <w:hideMark/>
          </w:tcPr>
          <w:p w14:paraId="7434795E"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w:t>
            </w:r>
          </w:p>
        </w:tc>
        <w:tc>
          <w:tcPr>
            <w:tcW w:w="992" w:type="dxa"/>
            <w:shd w:val="clear" w:color="auto" w:fill="auto"/>
            <w:hideMark/>
          </w:tcPr>
          <w:p w14:paraId="1C211193" w14:textId="10E1652D"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3BABE2C9"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4C27FD3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352998F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FAO</w:t>
            </w:r>
          </w:p>
        </w:tc>
      </w:tr>
      <w:tr w:rsidR="00941845" w:rsidRPr="00581C84" w14:paraId="1E31F04A" w14:textId="77777777" w:rsidTr="00776736">
        <w:trPr>
          <w:tblHeader/>
        </w:trPr>
        <w:tc>
          <w:tcPr>
            <w:tcW w:w="894" w:type="dxa"/>
            <w:shd w:val="clear" w:color="auto" w:fill="auto"/>
            <w:hideMark/>
          </w:tcPr>
          <w:p w14:paraId="43DEEF4C"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6,14</w:t>
            </w:r>
          </w:p>
        </w:tc>
        <w:tc>
          <w:tcPr>
            <w:tcW w:w="3428" w:type="dxa"/>
            <w:shd w:val="clear" w:color="auto" w:fill="auto"/>
            <w:hideMark/>
          </w:tcPr>
          <w:p w14:paraId="5A8F16AB"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Inland fishery production</w:t>
            </w:r>
          </w:p>
        </w:tc>
        <w:tc>
          <w:tcPr>
            <w:tcW w:w="902" w:type="dxa"/>
            <w:shd w:val="clear" w:color="auto" w:fill="auto"/>
            <w:hideMark/>
          </w:tcPr>
          <w:p w14:paraId="3E6572B7"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 I</w:t>
            </w:r>
          </w:p>
        </w:tc>
        <w:tc>
          <w:tcPr>
            <w:tcW w:w="1083" w:type="dxa"/>
            <w:shd w:val="clear" w:color="auto" w:fill="auto"/>
            <w:hideMark/>
          </w:tcPr>
          <w:p w14:paraId="54EEB317"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BEF, NBP</w:t>
            </w:r>
          </w:p>
        </w:tc>
        <w:tc>
          <w:tcPr>
            <w:tcW w:w="992" w:type="dxa"/>
            <w:shd w:val="clear" w:color="auto" w:fill="auto"/>
            <w:hideMark/>
          </w:tcPr>
          <w:p w14:paraId="645966AD"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54C4D53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2,4</w:t>
            </w:r>
          </w:p>
        </w:tc>
        <w:tc>
          <w:tcPr>
            <w:tcW w:w="992" w:type="dxa"/>
            <w:shd w:val="clear" w:color="auto" w:fill="auto"/>
            <w:hideMark/>
          </w:tcPr>
          <w:p w14:paraId="1E3454B5" w14:textId="31F32C44"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58A2604B"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Future Earth</w:t>
            </w:r>
          </w:p>
        </w:tc>
        <w:tc>
          <w:tcPr>
            <w:tcW w:w="632" w:type="dxa"/>
            <w:shd w:val="clear" w:color="auto" w:fill="auto"/>
            <w:hideMark/>
          </w:tcPr>
          <w:p w14:paraId="68551474"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BP</w:t>
            </w:r>
          </w:p>
        </w:tc>
        <w:tc>
          <w:tcPr>
            <w:tcW w:w="2436" w:type="dxa"/>
            <w:shd w:val="clear" w:color="auto" w:fill="auto"/>
            <w:hideMark/>
          </w:tcPr>
          <w:p w14:paraId="22FEA5F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FAO</w:t>
            </w:r>
          </w:p>
        </w:tc>
      </w:tr>
      <w:tr w:rsidR="00941845" w:rsidRPr="00581C84" w14:paraId="1573BB06" w14:textId="77777777" w:rsidTr="00776736">
        <w:trPr>
          <w:tblHeader/>
        </w:trPr>
        <w:tc>
          <w:tcPr>
            <w:tcW w:w="894" w:type="dxa"/>
            <w:shd w:val="clear" w:color="auto" w:fill="auto"/>
            <w:hideMark/>
          </w:tcPr>
          <w:p w14:paraId="7CDC0E83"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6</w:t>
            </w:r>
          </w:p>
        </w:tc>
        <w:tc>
          <w:tcPr>
            <w:tcW w:w="3428" w:type="dxa"/>
            <w:shd w:val="clear" w:color="auto" w:fill="auto"/>
            <w:hideMark/>
          </w:tcPr>
          <w:p w14:paraId="2125AA4F"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Marine Trophic Index</w:t>
            </w:r>
          </w:p>
        </w:tc>
        <w:tc>
          <w:tcPr>
            <w:tcW w:w="902" w:type="dxa"/>
            <w:shd w:val="clear" w:color="auto" w:fill="auto"/>
            <w:hideMark/>
          </w:tcPr>
          <w:p w14:paraId="3D034FC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w:t>
            </w:r>
          </w:p>
        </w:tc>
        <w:tc>
          <w:tcPr>
            <w:tcW w:w="1083" w:type="dxa"/>
            <w:shd w:val="clear" w:color="auto" w:fill="auto"/>
            <w:hideMark/>
          </w:tcPr>
          <w:p w14:paraId="431825D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 BEF</w:t>
            </w:r>
          </w:p>
        </w:tc>
        <w:tc>
          <w:tcPr>
            <w:tcW w:w="992" w:type="dxa"/>
            <w:shd w:val="clear" w:color="auto" w:fill="auto"/>
            <w:hideMark/>
          </w:tcPr>
          <w:p w14:paraId="106F6FF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1E26EA37"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3,4</w:t>
            </w:r>
          </w:p>
        </w:tc>
        <w:tc>
          <w:tcPr>
            <w:tcW w:w="992" w:type="dxa"/>
            <w:shd w:val="clear" w:color="auto" w:fill="auto"/>
            <w:hideMark/>
          </w:tcPr>
          <w:p w14:paraId="55F3FC26" w14:textId="58F5FA07" w:rsidR="00D80FCB" w:rsidRPr="00581C84" w:rsidRDefault="00D80FCB"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0C1D122D"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Future Earth</w:t>
            </w:r>
          </w:p>
        </w:tc>
        <w:tc>
          <w:tcPr>
            <w:tcW w:w="632" w:type="dxa"/>
            <w:shd w:val="clear" w:color="auto" w:fill="auto"/>
            <w:hideMark/>
          </w:tcPr>
          <w:p w14:paraId="524F100E"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3E27BC68"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Sea Around Us</w:t>
            </w:r>
          </w:p>
        </w:tc>
      </w:tr>
      <w:tr w:rsidR="00941845" w:rsidRPr="00581C84" w14:paraId="5C0943DE" w14:textId="77777777" w:rsidTr="00776736">
        <w:trPr>
          <w:tblHeader/>
        </w:trPr>
        <w:tc>
          <w:tcPr>
            <w:tcW w:w="894" w:type="dxa"/>
            <w:shd w:val="clear" w:color="auto" w:fill="auto"/>
            <w:hideMark/>
          </w:tcPr>
          <w:p w14:paraId="13DA9579"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7</w:t>
            </w:r>
          </w:p>
        </w:tc>
        <w:tc>
          <w:tcPr>
            <w:tcW w:w="3428" w:type="dxa"/>
            <w:shd w:val="clear" w:color="auto" w:fill="auto"/>
            <w:hideMark/>
          </w:tcPr>
          <w:p w14:paraId="43A4F097"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Proportion of area of forest production under FSC and PEFC certification</w:t>
            </w:r>
          </w:p>
        </w:tc>
        <w:tc>
          <w:tcPr>
            <w:tcW w:w="902" w:type="dxa"/>
            <w:shd w:val="clear" w:color="auto" w:fill="auto"/>
            <w:hideMark/>
          </w:tcPr>
          <w:p w14:paraId="29AE9C16"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2AA6B98E"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 DD</w:t>
            </w:r>
          </w:p>
        </w:tc>
        <w:tc>
          <w:tcPr>
            <w:tcW w:w="992" w:type="dxa"/>
            <w:shd w:val="clear" w:color="auto" w:fill="auto"/>
            <w:hideMark/>
          </w:tcPr>
          <w:p w14:paraId="592953F3"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2,3,4,6</w:t>
            </w:r>
          </w:p>
        </w:tc>
        <w:tc>
          <w:tcPr>
            <w:tcW w:w="992" w:type="dxa"/>
            <w:shd w:val="clear" w:color="auto" w:fill="auto"/>
            <w:hideMark/>
          </w:tcPr>
          <w:p w14:paraId="2186898A"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41573B1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6</w:t>
            </w:r>
          </w:p>
        </w:tc>
        <w:tc>
          <w:tcPr>
            <w:tcW w:w="1263" w:type="dxa"/>
            <w:shd w:val="clear" w:color="auto" w:fill="auto"/>
            <w:hideMark/>
          </w:tcPr>
          <w:p w14:paraId="4A81BD0A"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6E3DF582"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5A006400" w14:textId="77777777" w:rsidR="00D80FCB" w:rsidRPr="00581C84" w:rsidRDefault="00D80FC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Forest Stewardship Council (FSC), Programme for the Endorsement of Forest Certification (PEFC)</w:t>
            </w:r>
          </w:p>
        </w:tc>
      </w:tr>
      <w:tr w:rsidR="00941845" w:rsidRPr="00581C84" w14:paraId="2CCB45E8" w14:textId="77777777" w:rsidTr="00776736">
        <w:trPr>
          <w:tblHeader/>
        </w:trPr>
        <w:tc>
          <w:tcPr>
            <w:tcW w:w="894" w:type="dxa"/>
            <w:shd w:val="clear" w:color="auto" w:fill="auto"/>
            <w:hideMark/>
          </w:tcPr>
          <w:p w14:paraId="6A7D7CC1" w14:textId="77777777" w:rsidR="00941845" w:rsidRPr="00581C84" w:rsidRDefault="00941845"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7</w:t>
            </w:r>
          </w:p>
        </w:tc>
        <w:tc>
          <w:tcPr>
            <w:tcW w:w="3428" w:type="dxa"/>
            <w:shd w:val="clear" w:color="auto" w:fill="auto"/>
            <w:hideMark/>
          </w:tcPr>
          <w:p w14:paraId="6B27E189" w14:textId="77777777" w:rsidR="00941845" w:rsidRPr="00581C84" w:rsidRDefault="00941845"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Nitrogen Use Efficiency</w:t>
            </w:r>
          </w:p>
        </w:tc>
        <w:tc>
          <w:tcPr>
            <w:tcW w:w="902" w:type="dxa"/>
            <w:shd w:val="clear" w:color="auto" w:fill="auto"/>
            <w:hideMark/>
          </w:tcPr>
          <w:p w14:paraId="74043469" w14:textId="77777777" w:rsidR="00941845" w:rsidRPr="00581C84" w:rsidRDefault="00941845"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w:t>
            </w:r>
          </w:p>
        </w:tc>
        <w:tc>
          <w:tcPr>
            <w:tcW w:w="1083" w:type="dxa"/>
            <w:shd w:val="clear" w:color="auto" w:fill="auto"/>
            <w:hideMark/>
          </w:tcPr>
          <w:p w14:paraId="605B92DC" w14:textId="77777777" w:rsidR="00941845" w:rsidRPr="00581C84" w:rsidRDefault="00941845"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w:t>
            </w:r>
          </w:p>
        </w:tc>
        <w:tc>
          <w:tcPr>
            <w:tcW w:w="992" w:type="dxa"/>
            <w:shd w:val="clear" w:color="auto" w:fill="auto"/>
            <w:hideMark/>
          </w:tcPr>
          <w:p w14:paraId="341DDF5C" w14:textId="77777777" w:rsidR="00941845" w:rsidRPr="00581C84" w:rsidRDefault="00941845"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790E934D" w14:textId="77777777" w:rsidR="00941845" w:rsidRPr="00581C84" w:rsidRDefault="00941845"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992" w:type="dxa"/>
            <w:shd w:val="clear" w:color="auto" w:fill="auto"/>
            <w:hideMark/>
          </w:tcPr>
          <w:p w14:paraId="3F35EABB" w14:textId="77777777" w:rsidR="00941845" w:rsidRPr="00581C84" w:rsidRDefault="00941845"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w:t>
            </w:r>
          </w:p>
        </w:tc>
        <w:tc>
          <w:tcPr>
            <w:tcW w:w="1263" w:type="dxa"/>
            <w:shd w:val="clear" w:color="auto" w:fill="auto"/>
            <w:hideMark/>
          </w:tcPr>
          <w:p w14:paraId="127AE838" w14:textId="77777777" w:rsidR="00941845" w:rsidRPr="00581C84" w:rsidRDefault="00941845"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EPI</w:t>
            </w:r>
          </w:p>
        </w:tc>
        <w:tc>
          <w:tcPr>
            <w:tcW w:w="632" w:type="dxa"/>
            <w:shd w:val="clear" w:color="auto" w:fill="auto"/>
            <w:hideMark/>
          </w:tcPr>
          <w:p w14:paraId="102B6F7C" w14:textId="26B61DDB" w:rsidR="00941845" w:rsidRPr="00581C84" w:rsidRDefault="00941845"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6D6091EE" w14:textId="77777777" w:rsidR="00941845" w:rsidRPr="00581C84" w:rsidRDefault="00941845"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Lassaletta et al., (2014) from Environmental Performance Index (EPI)</w:t>
            </w:r>
          </w:p>
        </w:tc>
      </w:tr>
      <w:tr w:rsidR="00E64D1C" w:rsidRPr="00581C84" w14:paraId="6DA2557B" w14:textId="77777777" w:rsidTr="00776736">
        <w:trPr>
          <w:tblHeader/>
        </w:trPr>
        <w:tc>
          <w:tcPr>
            <w:tcW w:w="894" w:type="dxa"/>
            <w:shd w:val="clear" w:color="auto" w:fill="auto"/>
            <w:hideMark/>
          </w:tcPr>
          <w:p w14:paraId="0D45A53C"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7</w:t>
            </w:r>
          </w:p>
        </w:tc>
        <w:tc>
          <w:tcPr>
            <w:tcW w:w="3428" w:type="dxa"/>
            <w:shd w:val="clear" w:color="auto" w:fill="auto"/>
            <w:hideMark/>
          </w:tcPr>
          <w:p w14:paraId="43E09B01"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Nitrogen + Phosphate Fertilizers (N+P205 total nutrients)</w:t>
            </w:r>
          </w:p>
        </w:tc>
        <w:tc>
          <w:tcPr>
            <w:tcW w:w="902" w:type="dxa"/>
            <w:shd w:val="clear" w:color="auto" w:fill="auto"/>
            <w:hideMark/>
          </w:tcPr>
          <w:p w14:paraId="1AA755A6"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w:t>
            </w:r>
          </w:p>
        </w:tc>
        <w:tc>
          <w:tcPr>
            <w:tcW w:w="1083" w:type="dxa"/>
            <w:shd w:val="clear" w:color="auto" w:fill="auto"/>
            <w:hideMark/>
          </w:tcPr>
          <w:p w14:paraId="208D8471"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w:t>
            </w:r>
          </w:p>
        </w:tc>
        <w:tc>
          <w:tcPr>
            <w:tcW w:w="992" w:type="dxa"/>
            <w:shd w:val="clear" w:color="auto" w:fill="auto"/>
            <w:hideMark/>
          </w:tcPr>
          <w:p w14:paraId="701EB34C"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64D1590D"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992" w:type="dxa"/>
            <w:shd w:val="clear" w:color="auto" w:fill="auto"/>
            <w:hideMark/>
          </w:tcPr>
          <w:p w14:paraId="4E523E09"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w:t>
            </w:r>
          </w:p>
        </w:tc>
        <w:tc>
          <w:tcPr>
            <w:tcW w:w="1263" w:type="dxa"/>
            <w:shd w:val="clear" w:color="auto" w:fill="auto"/>
            <w:hideMark/>
          </w:tcPr>
          <w:p w14:paraId="4422B1D7"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Future Earth</w:t>
            </w:r>
          </w:p>
        </w:tc>
        <w:tc>
          <w:tcPr>
            <w:tcW w:w="632" w:type="dxa"/>
            <w:shd w:val="clear" w:color="auto" w:fill="auto"/>
            <w:hideMark/>
          </w:tcPr>
          <w:p w14:paraId="020D6564"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BP</w:t>
            </w:r>
          </w:p>
        </w:tc>
        <w:tc>
          <w:tcPr>
            <w:tcW w:w="2436" w:type="dxa"/>
            <w:shd w:val="clear" w:color="auto" w:fill="auto"/>
            <w:hideMark/>
          </w:tcPr>
          <w:p w14:paraId="56F77076"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FAO</w:t>
            </w:r>
          </w:p>
        </w:tc>
      </w:tr>
      <w:tr w:rsidR="00E64D1C" w:rsidRPr="00581C84" w14:paraId="3D406772" w14:textId="77777777" w:rsidTr="00776736">
        <w:trPr>
          <w:tblHeader/>
        </w:trPr>
        <w:tc>
          <w:tcPr>
            <w:tcW w:w="894" w:type="dxa"/>
            <w:shd w:val="clear" w:color="auto" w:fill="auto"/>
            <w:hideMark/>
          </w:tcPr>
          <w:p w14:paraId="07B62EC5"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8</w:t>
            </w:r>
          </w:p>
        </w:tc>
        <w:tc>
          <w:tcPr>
            <w:tcW w:w="3428" w:type="dxa"/>
            <w:shd w:val="clear" w:color="auto" w:fill="auto"/>
            <w:hideMark/>
          </w:tcPr>
          <w:p w14:paraId="732D025F"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Trends in pesticide use</w:t>
            </w:r>
          </w:p>
        </w:tc>
        <w:tc>
          <w:tcPr>
            <w:tcW w:w="902" w:type="dxa"/>
            <w:shd w:val="clear" w:color="auto" w:fill="auto"/>
            <w:hideMark/>
          </w:tcPr>
          <w:p w14:paraId="20C0E94E"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w:t>
            </w:r>
          </w:p>
        </w:tc>
        <w:tc>
          <w:tcPr>
            <w:tcW w:w="1083" w:type="dxa"/>
            <w:shd w:val="clear" w:color="auto" w:fill="auto"/>
            <w:hideMark/>
          </w:tcPr>
          <w:p w14:paraId="23C3134E"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w:t>
            </w:r>
          </w:p>
        </w:tc>
        <w:tc>
          <w:tcPr>
            <w:tcW w:w="992" w:type="dxa"/>
            <w:shd w:val="clear" w:color="auto" w:fill="auto"/>
            <w:hideMark/>
          </w:tcPr>
          <w:p w14:paraId="0DC85322"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5929F0E1"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992" w:type="dxa"/>
            <w:shd w:val="clear" w:color="auto" w:fill="auto"/>
            <w:hideMark/>
          </w:tcPr>
          <w:p w14:paraId="390AC40D" w14:textId="33A418FA" w:rsidR="00E64D1C" w:rsidRPr="00581C84" w:rsidRDefault="00E64D1C"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6D0FF82B"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18B07479"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BP</w:t>
            </w:r>
          </w:p>
        </w:tc>
        <w:tc>
          <w:tcPr>
            <w:tcW w:w="2436" w:type="dxa"/>
            <w:shd w:val="clear" w:color="auto" w:fill="auto"/>
            <w:hideMark/>
          </w:tcPr>
          <w:p w14:paraId="4470FA55" w14:textId="77777777" w:rsidR="00E64D1C" w:rsidRPr="00581C84" w:rsidRDefault="00E64D1C"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FAO</w:t>
            </w:r>
          </w:p>
        </w:tc>
      </w:tr>
      <w:tr w:rsidR="002F6C9B" w:rsidRPr="00581C84" w14:paraId="103D778E" w14:textId="77777777" w:rsidTr="00776736">
        <w:trPr>
          <w:tblHeader/>
        </w:trPr>
        <w:tc>
          <w:tcPr>
            <w:tcW w:w="894" w:type="dxa"/>
            <w:shd w:val="clear" w:color="auto" w:fill="auto"/>
            <w:hideMark/>
          </w:tcPr>
          <w:p w14:paraId="6ACD4EB6" w14:textId="77777777" w:rsidR="002F6C9B" w:rsidRPr="00581C84" w:rsidRDefault="002F6C9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8</w:t>
            </w:r>
          </w:p>
        </w:tc>
        <w:tc>
          <w:tcPr>
            <w:tcW w:w="3428" w:type="dxa"/>
            <w:shd w:val="clear" w:color="auto" w:fill="auto"/>
            <w:hideMark/>
          </w:tcPr>
          <w:p w14:paraId="61519533" w14:textId="77777777" w:rsidR="002F6C9B" w:rsidRPr="00581C84" w:rsidRDefault="002F6C9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Trends in nitrogen deposition</w:t>
            </w:r>
          </w:p>
        </w:tc>
        <w:tc>
          <w:tcPr>
            <w:tcW w:w="902" w:type="dxa"/>
            <w:shd w:val="clear" w:color="auto" w:fill="auto"/>
            <w:hideMark/>
          </w:tcPr>
          <w:p w14:paraId="11D5B3C0" w14:textId="77777777" w:rsidR="002F6C9B" w:rsidRPr="00581C84" w:rsidRDefault="002F6C9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w:t>
            </w:r>
          </w:p>
        </w:tc>
        <w:tc>
          <w:tcPr>
            <w:tcW w:w="1083" w:type="dxa"/>
            <w:shd w:val="clear" w:color="auto" w:fill="auto"/>
            <w:hideMark/>
          </w:tcPr>
          <w:p w14:paraId="4E5D87A5" w14:textId="77777777" w:rsidR="002F6C9B" w:rsidRPr="00581C84" w:rsidRDefault="002F6C9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w:t>
            </w:r>
          </w:p>
        </w:tc>
        <w:tc>
          <w:tcPr>
            <w:tcW w:w="992" w:type="dxa"/>
            <w:shd w:val="clear" w:color="auto" w:fill="auto"/>
            <w:hideMark/>
          </w:tcPr>
          <w:p w14:paraId="752995F0" w14:textId="77777777" w:rsidR="002F6C9B" w:rsidRPr="00581C84" w:rsidRDefault="002F6C9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5769FF96" w14:textId="77777777" w:rsidR="002F6C9B" w:rsidRPr="00581C84" w:rsidRDefault="002F6C9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992" w:type="dxa"/>
            <w:shd w:val="clear" w:color="auto" w:fill="auto"/>
            <w:hideMark/>
          </w:tcPr>
          <w:p w14:paraId="187F10CF" w14:textId="395EEE0F" w:rsidR="002F6C9B" w:rsidRPr="00581C84" w:rsidRDefault="002F6C9B"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5DB49D94" w14:textId="77777777" w:rsidR="002F6C9B" w:rsidRPr="00581C84" w:rsidRDefault="002F6C9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750E226F" w14:textId="77777777" w:rsidR="002F6C9B" w:rsidRPr="00581C84" w:rsidRDefault="002F6C9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3A4BFD34" w14:textId="77777777" w:rsidR="002F6C9B" w:rsidRPr="00581C84" w:rsidRDefault="002F6C9B"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International Nitrogen Initiative</w:t>
            </w:r>
          </w:p>
        </w:tc>
      </w:tr>
      <w:tr w:rsidR="002C0261" w:rsidRPr="00581C84" w14:paraId="69C52EE2" w14:textId="77777777" w:rsidTr="00776736">
        <w:trPr>
          <w:tblHeader/>
        </w:trPr>
        <w:tc>
          <w:tcPr>
            <w:tcW w:w="894" w:type="dxa"/>
            <w:shd w:val="clear" w:color="auto" w:fill="DDD9C3" w:themeFill="background2" w:themeFillShade="E6"/>
          </w:tcPr>
          <w:p w14:paraId="3DC3B064" w14:textId="2BA20076"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b/>
                <w:sz w:val="18"/>
                <w:szCs w:val="18"/>
                <w:lang w:eastAsia="ko-KR"/>
              </w:rPr>
              <w:t>Aichi Target</w:t>
            </w:r>
          </w:p>
        </w:tc>
        <w:tc>
          <w:tcPr>
            <w:tcW w:w="3428" w:type="dxa"/>
            <w:shd w:val="clear" w:color="auto" w:fill="DDD9C3" w:themeFill="background2" w:themeFillShade="E6"/>
          </w:tcPr>
          <w:p w14:paraId="1752C891" w14:textId="00F88411"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b/>
                <w:sz w:val="18"/>
                <w:szCs w:val="18"/>
                <w:lang w:eastAsia="ko-KR"/>
              </w:rPr>
              <w:t>Specific Indicator</w:t>
            </w:r>
          </w:p>
        </w:tc>
        <w:tc>
          <w:tcPr>
            <w:tcW w:w="902" w:type="dxa"/>
            <w:shd w:val="clear" w:color="auto" w:fill="DDD9C3" w:themeFill="background2" w:themeFillShade="E6"/>
          </w:tcPr>
          <w:p w14:paraId="5DE52D27" w14:textId="58EF2171"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b/>
                <w:sz w:val="18"/>
                <w:szCs w:val="18"/>
                <w:lang w:eastAsia="ko-KR"/>
              </w:rPr>
              <w:t>DPSIR¹</w:t>
            </w:r>
          </w:p>
        </w:tc>
        <w:tc>
          <w:tcPr>
            <w:tcW w:w="1083" w:type="dxa"/>
            <w:shd w:val="clear" w:color="auto" w:fill="DDD9C3" w:themeFill="background2" w:themeFillShade="E6"/>
          </w:tcPr>
          <w:p w14:paraId="3C022023" w14:textId="68E2DEC4"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b/>
                <w:sz w:val="18"/>
                <w:szCs w:val="18"/>
                <w:lang w:eastAsia="ko-KR"/>
              </w:rPr>
              <w:t>CF²</w:t>
            </w:r>
          </w:p>
        </w:tc>
        <w:tc>
          <w:tcPr>
            <w:tcW w:w="992" w:type="dxa"/>
            <w:shd w:val="clear" w:color="auto" w:fill="DDD9C3" w:themeFill="background2" w:themeFillShade="E6"/>
          </w:tcPr>
          <w:p w14:paraId="3897B8EE" w14:textId="6288EE0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b/>
                <w:sz w:val="18"/>
                <w:szCs w:val="18"/>
                <w:lang w:eastAsia="ko-KR"/>
              </w:rPr>
              <w:t>GA Chapter</w:t>
            </w:r>
          </w:p>
        </w:tc>
        <w:tc>
          <w:tcPr>
            <w:tcW w:w="992" w:type="dxa"/>
            <w:shd w:val="clear" w:color="auto" w:fill="DDD9C3" w:themeFill="background2" w:themeFillShade="E6"/>
          </w:tcPr>
          <w:p w14:paraId="2F9E509D" w14:textId="3A2060CE"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b/>
                <w:sz w:val="18"/>
                <w:szCs w:val="18"/>
                <w:lang w:eastAsia="ko-KR"/>
              </w:rPr>
              <w:t>RA Chapter</w:t>
            </w:r>
          </w:p>
        </w:tc>
        <w:tc>
          <w:tcPr>
            <w:tcW w:w="992" w:type="dxa"/>
            <w:shd w:val="clear" w:color="auto" w:fill="DDD9C3" w:themeFill="background2" w:themeFillShade="E6"/>
          </w:tcPr>
          <w:p w14:paraId="67875BD1" w14:textId="072E85A6" w:rsidR="002C0261" w:rsidRPr="00581C84" w:rsidRDefault="002C0261" w:rsidP="00581C84">
            <w:pPr>
              <w:pStyle w:val="Normal-pool"/>
              <w:tabs>
                <w:tab w:val="left" w:pos="624"/>
              </w:tabs>
              <w:spacing w:before="40" w:after="40"/>
              <w:rPr>
                <w:rFonts w:eastAsia="Malgun Gothic"/>
                <w:sz w:val="18"/>
                <w:szCs w:val="18"/>
                <w:lang w:val="en-US" w:eastAsia="ko-KR"/>
              </w:rPr>
            </w:pPr>
            <w:r w:rsidRPr="00581C84">
              <w:rPr>
                <w:rFonts w:eastAsia="Malgun Gothic"/>
                <w:b/>
                <w:sz w:val="18"/>
                <w:szCs w:val="18"/>
                <w:lang w:eastAsia="ko-KR"/>
              </w:rPr>
              <w:t>LDRA Chapter</w:t>
            </w:r>
          </w:p>
        </w:tc>
        <w:tc>
          <w:tcPr>
            <w:tcW w:w="1263" w:type="dxa"/>
            <w:shd w:val="clear" w:color="auto" w:fill="DDD9C3" w:themeFill="background2" w:themeFillShade="E6"/>
          </w:tcPr>
          <w:p w14:paraId="4EDA5763" w14:textId="1EC9D75F"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b/>
                <w:sz w:val="18"/>
                <w:szCs w:val="18"/>
                <w:lang w:eastAsia="ko-KR"/>
              </w:rPr>
              <w:t>Origin³</w:t>
            </w:r>
          </w:p>
        </w:tc>
        <w:tc>
          <w:tcPr>
            <w:tcW w:w="632" w:type="dxa"/>
            <w:shd w:val="clear" w:color="auto" w:fill="DDD9C3" w:themeFill="background2" w:themeFillShade="E6"/>
          </w:tcPr>
          <w:p w14:paraId="29575179" w14:textId="4058157A"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b/>
                <w:sz w:val="18"/>
                <w:szCs w:val="18"/>
                <w:lang w:eastAsia="ko-KR"/>
              </w:rPr>
              <w:t>BIP</w:t>
            </w:r>
            <w:r w:rsidRPr="00581C84">
              <w:rPr>
                <w:rFonts w:ascii="Cambria Math" w:eastAsia="Malgun Gothic" w:hAnsi="Cambria Math" w:cs="Cambria Math"/>
                <w:b/>
                <w:sz w:val="18"/>
                <w:szCs w:val="18"/>
                <w:lang w:eastAsia="ko-KR"/>
              </w:rPr>
              <w:t>⁴</w:t>
            </w:r>
          </w:p>
        </w:tc>
        <w:tc>
          <w:tcPr>
            <w:tcW w:w="2436" w:type="dxa"/>
            <w:shd w:val="clear" w:color="auto" w:fill="DDD9C3" w:themeFill="background2" w:themeFillShade="E6"/>
          </w:tcPr>
          <w:p w14:paraId="15DD6700" w14:textId="0E3CCB7B"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b/>
                <w:sz w:val="18"/>
                <w:szCs w:val="18"/>
                <w:lang w:eastAsia="ko-KR"/>
              </w:rPr>
              <w:t>Source</w:t>
            </w:r>
          </w:p>
        </w:tc>
      </w:tr>
      <w:tr w:rsidR="002C0261" w:rsidRPr="00581C84" w14:paraId="1181B6BF" w14:textId="77777777" w:rsidTr="00776736">
        <w:trPr>
          <w:tblHeader/>
        </w:trPr>
        <w:tc>
          <w:tcPr>
            <w:tcW w:w="894" w:type="dxa"/>
            <w:shd w:val="clear" w:color="auto" w:fill="auto"/>
            <w:hideMark/>
          </w:tcPr>
          <w:p w14:paraId="212036E3"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11</w:t>
            </w:r>
          </w:p>
        </w:tc>
        <w:tc>
          <w:tcPr>
            <w:tcW w:w="3428" w:type="dxa"/>
            <w:shd w:val="clear" w:color="auto" w:fill="auto"/>
            <w:hideMark/>
          </w:tcPr>
          <w:p w14:paraId="6BE6740F"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Percentage of areas covered by protected areas - marine, coastal, terrestrial, inland water</w:t>
            </w:r>
          </w:p>
        </w:tc>
        <w:tc>
          <w:tcPr>
            <w:tcW w:w="902" w:type="dxa"/>
            <w:shd w:val="clear" w:color="auto" w:fill="auto"/>
            <w:hideMark/>
          </w:tcPr>
          <w:p w14:paraId="02FF5C3D"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19823C2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w:t>
            </w:r>
          </w:p>
        </w:tc>
        <w:tc>
          <w:tcPr>
            <w:tcW w:w="992" w:type="dxa"/>
            <w:shd w:val="clear" w:color="auto" w:fill="auto"/>
            <w:hideMark/>
          </w:tcPr>
          <w:p w14:paraId="344A22D3"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2,3,6</w:t>
            </w:r>
          </w:p>
        </w:tc>
        <w:tc>
          <w:tcPr>
            <w:tcW w:w="992" w:type="dxa"/>
            <w:shd w:val="clear" w:color="auto" w:fill="auto"/>
            <w:hideMark/>
          </w:tcPr>
          <w:p w14:paraId="1B26B8CB"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378C09CE" w14:textId="09DF9AFB"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1260F74F"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2CFC528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66F649FF"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UNEP-WCMC, IUCN</w:t>
            </w:r>
          </w:p>
        </w:tc>
      </w:tr>
      <w:tr w:rsidR="002C0261" w:rsidRPr="00581C84" w14:paraId="6582E148" w14:textId="77777777" w:rsidTr="00776736">
        <w:trPr>
          <w:tblHeader/>
        </w:trPr>
        <w:tc>
          <w:tcPr>
            <w:tcW w:w="894" w:type="dxa"/>
            <w:shd w:val="clear" w:color="auto" w:fill="auto"/>
            <w:hideMark/>
          </w:tcPr>
          <w:p w14:paraId="384C8192" w14:textId="3C52BB46"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5, 11, 12</w:t>
            </w:r>
          </w:p>
        </w:tc>
        <w:tc>
          <w:tcPr>
            <w:tcW w:w="3428" w:type="dxa"/>
            <w:shd w:val="clear" w:color="auto" w:fill="auto"/>
            <w:hideMark/>
          </w:tcPr>
          <w:p w14:paraId="6A13A31D"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 xml:space="preserve">Protected area coverage of Key Biodiversity Areas (including Important Bird and Biodiversity Areas, Alliance for Zero Extinction sites) </w:t>
            </w:r>
          </w:p>
        </w:tc>
        <w:tc>
          <w:tcPr>
            <w:tcW w:w="902" w:type="dxa"/>
            <w:shd w:val="clear" w:color="auto" w:fill="auto"/>
            <w:hideMark/>
          </w:tcPr>
          <w:p w14:paraId="0E65910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6978F522"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 DD</w:t>
            </w:r>
          </w:p>
        </w:tc>
        <w:tc>
          <w:tcPr>
            <w:tcW w:w="992" w:type="dxa"/>
            <w:shd w:val="clear" w:color="auto" w:fill="auto"/>
            <w:hideMark/>
          </w:tcPr>
          <w:p w14:paraId="6060F968"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2,3,4,6</w:t>
            </w:r>
          </w:p>
        </w:tc>
        <w:tc>
          <w:tcPr>
            <w:tcW w:w="992" w:type="dxa"/>
            <w:shd w:val="clear" w:color="auto" w:fill="auto"/>
            <w:hideMark/>
          </w:tcPr>
          <w:p w14:paraId="034D05BE"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3CE20046" w14:textId="62494761"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4531446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0E197B56"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BP</w:t>
            </w:r>
          </w:p>
        </w:tc>
        <w:tc>
          <w:tcPr>
            <w:tcW w:w="2436" w:type="dxa"/>
            <w:shd w:val="clear" w:color="auto" w:fill="auto"/>
            <w:hideMark/>
          </w:tcPr>
          <w:p w14:paraId="029D3EE7"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BirdLife  International, IUCN, Alliance for Zero Extinction (AZE)</w:t>
            </w:r>
          </w:p>
        </w:tc>
      </w:tr>
      <w:tr w:rsidR="002C0261" w:rsidRPr="00581C84" w14:paraId="7588FB6E" w14:textId="77777777" w:rsidTr="00776736">
        <w:trPr>
          <w:tblHeader/>
        </w:trPr>
        <w:tc>
          <w:tcPr>
            <w:tcW w:w="894" w:type="dxa"/>
            <w:shd w:val="clear" w:color="auto" w:fill="auto"/>
            <w:hideMark/>
          </w:tcPr>
          <w:p w14:paraId="69097E4B"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11</w:t>
            </w:r>
          </w:p>
        </w:tc>
        <w:tc>
          <w:tcPr>
            <w:tcW w:w="3428" w:type="dxa"/>
            <w:shd w:val="clear" w:color="auto" w:fill="auto"/>
            <w:hideMark/>
          </w:tcPr>
          <w:p w14:paraId="2C3EECBF"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Species Protection Index</w:t>
            </w:r>
          </w:p>
        </w:tc>
        <w:tc>
          <w:tcPr>
            <w:tcW w:w="902" w:type="dxa"/>
            <w:shd w:val="clear" w:color="auto" w:fill="auto"/>
            <w:hideMark/>
          </w:tcPr>
          <w:p w14:paraId="050D2BA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P,R</w:t>
            </w:r>
          </w:p>
        </w:tc>
        <w:tc>
          <w:tcPr>
            <w:tcW w:w="1083" w:type="dxa"/>
            <w:shd w:val="clear" w:color="auto" w:fill="auto"/>
            <w:hideMark/>
          </w:tcPr>
          <w:p w14:paraId="654FD44B"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 DD</w:t>
            </w:r>
          </w:p>
        </w:tc>
        <w:tc>
          <w:tcPr>
            <w:tcW w:w="992" w:type="dxa"/>
            <w:shd w:val="clear" w:color="auto" w:fill="auto"/>
            <w:hideMark/>
          </w:tcPr>
          <w:p w14:paraId="42903768"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2,3,4,6</w:t>
            </w:r>
          </w:p>
        </w:tc>
        <w:tc>
          <w:tcPr>
            <w:tcW w:w="992" w:type="dxa"/>
            <w:shd w:val="clear" w:color="auto" w:fill="auto"/>
            <w:hideMark/>
          </w:tcPr>
          <w:p w14:paraId="31AA7BC8"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745B69D1" w14:textId="304436EC"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71F75FAC"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3A1E474A" w14:textId="7B2AB9EA"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36A1BAD3"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GEO BON - Map of Life</w:t>
            </w:r>
          </w:p>
        </w:tc>
      </w:tr>
      <w:tr w:rsidR="002C0261" w:rsidRPr="00581C84" w14:paraId="50E98557" w14:textId="77777777" w:rsidTr="00776736">
        <w:trPr>
          <w:tblHeader/>
        </w:trPr>
        <w:tc>
          <w:tcPr>
            <w:tcW w:w="894" w:type="dxa"/>
            <w:shd w:val="clear" w:color="auto" w:fill="auto"/>
            <w:hideMark/>
          </w:tcPr>
          <w:p w14:paraId="23228F71"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11</w:t>
            </w:r>
          </w:p>
        </w:tc>
        <w:tc>
          <w:tcPr>
            <w:tcW w:w="3428" w:type="dxa"/>
            <w:shd w:val="clear" w:color="auto" w:fill="auto"/>
            <w:hideMark/>
          </w:tcPr>
          <w:p w14:paraId="7FE5ABDA"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Protected area management effectiveness</w:t>
            </w:r>
          </w:p>
        </w:tc>
        <w:tc>
          <w:tcPr>
            <w:tcW w:w="902" w:type="dxa"/>
            <w:shd w:val="clear" w:color="auto" w:fill="auto"/>
            <w:hideMark/>
          </w:tcPr>
          <w:p w14:paraId="28FEC72D"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512BE249"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 DD, BEF</w:t>
            </w:r>
          </w:p>
        </w:tc>
        <w:tc>
          <w:tcPr>
            <w:tcW w:w="992" w:type="dxa"/>
            <w:shd w:val="clear" w:color="auto" w:fill="auto"/>
            <w:hideMark/>
          </w:tcPr>
          <w:p w14:paraId="1B94FBAA"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2,3,6</w:t>
            </w:r>
          </w:p>
        </w:tc>
        <w:tc>
          <w:tcPr>
            <w:tcW w:w="992" w:type="dxa"/>
            <w:shd w:val="clear" w:color="auto" w:fill="auto"/>
            <w:hideMark/>
          </w:tcPr>
          <w:p w14:paraId="3D8766E0"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0E82691C" w14:textId="43FBB7AD"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3C07007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IPBES</w:t>
            </w:r>
          </w:p>
        </w:tc>
        <w:tc>
          <w:tcPr>
            <w:tcW w:w="632" w:type="dxa"/>
            <w:shd w:val="clear" w:color="auto" w:fill="auto"/>
            <w:hideMark/>
          </w:tcPr>
          <w:p w14:paraId="73A96590"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BP</w:t>
            </w:r>
          </w:p>
        </w:tc>
        <w:tc>
          <w:tcPr>
            <w:tcW w:w="2436" w:type="dxa"/>
            <w:shd w:val="clear" w:color="auto" w:fill="auto"/>
            <w:hideMark/>
          </w:tcPr>
          <w:p w14:paraId="44AA361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UNEP-WCMC</w:t>
            </w:r>
          </w:p>
        </w:tc>
      </w:tr>
      <w:tr w:rsidR="002C0261" w:rsidRPr="00581C84" w14:paraId="75D7D5A9" w14:textId="77777777" w:rsidTr="00776736">
        <w:trPr>
          <w:tblHeader/>
        </w:trPr>
        <w:tc>
          <w:tcPr>
            <w:tcW w:w="894" w:type="dxa"/>
            <w:shd w:val="clear" w:color="auto" w:fill="auto"/>
            <w:hideMark/>
          </w:tcPr>
          <w:p w14:paraId="29AD3FE9"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11</w:t>
            </w:r>
          </w:p>
        </w:tc>
        <w:tc>
          <w:tcPr>
            <w:tcW w:w="3428" w:type="dxa"/>
            <w:shd w:val="clear" w:color="auto" w:fill="auto"/>
            <w:hideMark/>
          </w:tcPr>
          <w:p w14:paraId="7679974C"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Protected Area Connectedness Index</w:t>
            </w:r>
          </w:p>
        </w:tc>
        <w:tc>
          <w:tcPr>
            <w:tcW w:w="902" w:type="dxa"/>
            <w:shd w:val="clear" w:color="auto" w:fill="auto"/>
            <w:hideMark/>
          </w:tcPr>
          <w:p w14:paraId="31AE2DA8"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021A4101"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 IGID</w:t>
            </w:r>
          </w:p>
        </w:tc>
        <w:tc>
          <w:tcPr>
            <w:tcW w:w="992" w:type="dxa"/>
            <w:shd w:val="clear" w:color="auto" w:fill="auto"/>
            <w:hideMark/>
          </w:tcPr>
          <w:p w14:paraId="443C74F7"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2,3,4,6</w:t>
            </w:r>
          </w:p>
        </w:tc>
        <w:tc>
          <w:tcPr>
            <w:tcW w:w="992" w:type="dxa"/>
            <w:shd w:val="clear" w:color="auto" w:fill="auto"/>
            <w:hideMark/>
          </w:tcPr>
          <w:p w14:paraId="5E600B03"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2593566C" w14:textId="2AC24DAD"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20672908"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309DC96F" w14:textId="312B3E92"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304583A3"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GEO BON - CSIRO</w:t>
            </w:r>
          </w:p>
        </w:tc>
      </w:tr>
      <w:tr w:rsidR="002C0261" w:rsidRPr="00581C84" w14:paraId="1338AD84" w14:textId="77777777" w:rsidTr="00776736">
        <w:trPr>
          <w:tblHeader/>
        </w:trPr>
        <w:tc>
          <w:tcPr>
            <w:tcW w:w="894" w:type="dxa"/>
            <w:shd w:val="clear" w:color="auto" w:fill="auto"/>
            <w:hideMark/>
          </w:tcPr>
          <w:p w14:paraId="742C9F3D" w14:textId="1A915181"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12, 14</w:t>
            </w:r>
          </w:p>
        </w:tc>
        <w:tc>
          <w:tcPr>
            <w:tcW w:w="3428" w:type="dxa"/>
            <w:shd w:val="clear" w:color="auto" w:fill="auto"/>
            <w:hideMark/>
          </w:tcPr>
          <w:p w14:paraId="6EE5E842"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Biodiversity Intactness Index </w:t>
            </w:r>
          </w:p>
        </w:tc>
        <w:tc>
          <w:tcPr>
            <w:tcW w:w="902" w:type="dxa"/>
            <w:shd w:val="clear" w:color="auto" w:fill="auto"/>
            <w:hideMark/>
          </w:tcPr>
          <w:p w14:paraId="050C2AFC"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P,S</w:t>
            </w:r>
          </w:p>
        </w:tc>
        <w:tc>
          <w:tcPr>
            <w:tcW w:w="1083" w:type="dxa"/>
            <w:shd w:val="clear" w:color="auto" w:fill="auto"/>
            <w:hideMark/>
          </w:tcPr>
          <w:p w14:paraId="3ED9B487"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DD, BEF</w:t>
            </w:r>
          </w:p>
        </w:tc>
        <w:tc>
          <w:tcPr>
            <w:tcW w:w="992" w:type="dxa"/>
            <w:shd w:val="clear" w:color="auto" w:fill="auto"/>
            <w:hideMark/>
          </w:tcPr>
          <w:p w14:paraId="40EF749D"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2,3,4,5</w:t>
            </w:r>
          </w:p>
        </w:tc>
        <w:tc>
          <w:tcPr>
            <w:tcW w:w="992" w:type="dxa"/>
            <w:shd w:val="clear" w:color="auto" w:fill="auto"/>
            <w:hideMark/>
          </w:tcPr>
          <w:p w14:paraId="3D596F2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4,5</w:t>
            </w:r>
          </w:p>
        </w:tc>
        <w:tc>
          <w:tcPr>
            <w:tcW w:w="992" w:type="dxa"/>
            <w:shd w:val="clear" w:color="auto" w:fill="auto"/>
            <w:hideMark/>
          </w:tcPr>
          <w:p w14:paraId="2B09BC8E"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w:t>
            </w:r>
          </w:p>
        </w:tc>
        <w:tc>
          <w:tcPr>
            <w:tcW w:w="1263" w:type="dxa"/>
            <w:shd w:val="clear" w:color="auto" w:fill="auto"/>
            <w:hideMark/>
          </w:tcPr>
          <w:p w14:paraId="2F934C7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40E8F92C" w14:textId="630C248E"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44ABF090"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GEO BON - PREDICTS</w:t>
            </w:r>
          </w:p>
        </w:tc>
      </w:tr>
      <w:tr w:rsidR="002C0261" w:rsidRPr="00581C84" w14:paraId="1AD41323" w14:textId="77777777" w:rsidTr="00776736">
        <w:trPr>
          <w:tblHeader/>
        </w:trPr>
        <w:tc>
          <w:tcPr>
            <w:tcW w:w="894" w:type="dxa"/>
            <w:shd w:val="clear" w:color="auto" w:fill="auto"/>
            <w:hideMark/>
          </w:tcPr>
          <w:p w14:paraId="0065555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12</w:t>
            </w:r>
          </w:p>
        </w:tc>
        <w:tc>
          <w:tcPr>
            <w:tcW w:w="3428" w:type="dxa"/>
            <w:shd w:val="clear" w:color="auto" w:fill="auto"/>
            <w:hideMark/>
          </w:tcPr>
          <w:p w14:paraId="4A87501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 xml:space="preserve">Red List Index </w:t>
            </w:r>
          </w:p>
        </w:tc>
        <w:tc>
          <w:tcPr>
            <w:tcW w:w="902" w:type="dxa"/>
            <w:shd w:val="clear" w:color="auto" w:fill="auto"/>
            <w:hideMark/>
          </w:tcPr>
          <w:p w14:paraId="441803EE"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w:t>
            </w:r>
          </w:p>
        </w:tc>
        <w:tc>
          <w:tcPr>
            <w:tcW w:w="1083" w:type="dxa"/>
            <w:shd w:val="clear" w:color="auto" w:fill="auto"/>
            <w:hideMark/>
          </w:tcPr>
          <w:p w14:paraId="685BA291"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BEF</w:t>
            </w:r>
          </w:p>
        </w:tc>
        <w:tc>
          <w:tcPr>
            <w:tcW w:w="992" w:type="dxa"/>
            <w:shd w:val="clear" w:color="auto" w:fill="auto"/>
            <w:hideMark/>
          </w:tcPr>
          <w:p w14:paraId="1E787E1A"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w:t>
            </w:r>
          </w:p>
        </w:tc>
        <w:tc>
          <w:tcPr>
            <w:tcW w:w="992" w:type="dxa"/>
            <w:shd w:val="clear" w:color="auto" w:fill="auto"/>
            <w:hideMark/>
          </w:tcPr>
          <w:p w14:paraId="0F8A74BA"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3</w:t>
            </w:r>
          </w:p>
        </w:tc>
        <w:tc>
          <w:tcPr>
            <w:tcW w:w="992" w:type="dxa"/>
            <w:shd w:val="clear" w:color="auto" w:fill="auto"/>
            <w:hideMark/>
          </w:tcPr>
          <w:p w14:paraId="4DACCFC6" w14:textId="63E33A4B"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79ABAE5A"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4A4CA137"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78D191D2"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IUCN, BirdLife International and other Red List Partners</w:t>
            </w:r>
          </w:p>
        </w:tc>
      </w:tr>
      <w:tr w:rsidR="002C0261" w:rsidRPr="00581C84" w14:paraId="5B9B04C4" w14:textId="77777777" w:rsidTr="00776736">
        <w:trPr>
          <w:tblHeader/>
        </w:trPr>
        <w:tc>
          <w:tcPr>
            <w:tcW w:w="894" w:type="dxa"/>
            <w:shd w:val="clear" w:color="auto" w:fill="auto"/>
            <w:hideMark/>
          </w:tcPr>
          <w:p w14:paraId="54EEE447"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13</w:t>
            </w:r>
          </w:p>
        </w:tc>
        <w:tc>
          <w:tcPr>
            <w:tcW w:w="3428" w:type="dxa"/>
            <w:shd w:val="clear" w:color="auto" w:fill="auto"/>
            <w:hideMark/>
          </w:tcPr>
          <w:p w14:paraId="6BB86B5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Proportion of local breeds, classified as being at risk, not-at-risk or unknown level of risk of extinction</w:t>
            </w:r>
          </w:p>
        </w:tc>
        <w:tc>
          <w:tcPr>
            <w:tcW w:w="902" w:type="dxa"/>
            <w:shd w:val="clear" w:color="auto" w:fill="auto"/>
            <w:hideMark/>
          </w:tcPr>
          <w:p w14:paraId="1CFA792B"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w:t>
            </w:r>
          </w:p>
        </w:tc>
        <w:tc>
          <w:tcPr>
            <w:tcW w:w="1083" w:type="dxa"/>
            <w:shd w:val="clear" w:color="auto" w:fill="auto"/>
            <w:hideMark/>
          </w:tcPr>
          <w:p w14:paraId="50071FA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BEF, NBP</w:t>
            </w:r>
          </w:p>
        </w:tc>
        <w:tc>
          <w:tcPr>
            <w:tcW w:w="992" w:type="dxa"/>
            <w:shd w:val="clear" w:color="auto" w:fill="auto"/>
            <w:hideMark/>
          </w:tcPr>
          <w:p w14:paraId="3C55B92F"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3FAE1B6A"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w:t>
            </w:r>
          </w:p>
        </w:tc>
        <w:tc>
          <w:tcPr>
            <w:tcW w:w="992" w:type="dxa"/>
            <w:shd w:val="clear" w:color="auto" w:fill="auto"/>
            <w:hideMark/>
          </w:tcPr>
          <w:p w14:paraId="155E7519" w14:textId="1F403FDE"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63BEED69"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2EA6D13A"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50B5701E"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FAO</w:t>
            </w:r>
          </w:p>
        </w:tc>
      </w:tr>
      <w:tr w:rsidR="002C0261" w:rsidRPr="00581C84" w14:paraId="358837DA" w14:textId="77777777" w:rsidTr="00776736">
        <w:trPr>
          <w:tblHeader/>
        </w:trPr>
        <w:tc>
          <w:tcPr>
            <w:tcW w:w="894" w:type="dxa"/>
            <w:shd w:val="clear" w:color="auto" w:fill="auto"/>
            <w:hideMark/>
          </w:tcPr>
          <w:p w14:paraId="6512B32F"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14</w:t>
            </w:r>
          </w:p>
        </w:tc>
        <w:tc>
          <w:tcPr>
            <w:tcW w:w="3428" w:type="dxa"/>
            <w:shd w:val="clear" w:color="auto" w:fill="auto"/>
            <w:hideMark/>
          </w:tcPr>
          <w:p w14:paraId="19710611"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Percentage of undernourished people</w:t>
            </w:r>
          </w:p>
        </w:tc>
        <w:tc>
          <w:tcPr>
            <w:tcW w:w="902" w:type="dxa"/>
            <w:shd w:val="clear" w:color="auto" w:fill="auto"/>
            <w:hideMark/>
          </w:tcPr>
          <w:p w14:paraId="2002748C"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w:t>
            </w:r>
          </w:p>
        </w:tc>
        <w:tc>
          <w:tcPr>
            <w:tcW w:w="1083" w:type="dxa"/>
            <w:shd w:val="clear" w:color="auto" w:fill="auto"/>
            <w:hideMark/>
          </w:tcPr>
          <w:p w14:paraId="193DE572"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GQL</w:t>
            </w:r>
          </w:p>
        </w:tc>
        <w:tc>
          <w:tcPr>
            <w:tcW w:w="992" w:type="dxa"/>
            <w:shd w:val="clear" w:color="auto" w:fill="auto"/>
            <w:hideMark/>
          </w:tcPr>
          <w:p w14:paraId="7697FDEF"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2,3,4</w:t>
            </w:r>
          </w:p>
        </w:tc>
        <w:tc>
          <w:tcPr>
            <w:tcW w:w="992" w:type="dxa"/>
            <w:shd w:val="clear" w:color="auto" w:fill="auto"/>
            <w:hideMark/>
          </w:tcPr>
          <w:p w14:paraId="3FF5AA8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w:t>
            </w:r>
          </w:p>
        </w:tc>
        <w:tc>
          <w:tcPr>
            <w:tcW w:w="992" w:type="dxa"/>
            <w:shd w:val="clear" w:color="auto" w:fill="auto"/>
            <w:hideMark/>
          </w:tcPr>
          <w:p w14:paraId="4E9B6AFC"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5</w:t>
            </w:r>
          </w:p>
        </w:tc>
        <w:tc>
          <w:tcPr>
            <w:tcW w:w="1263" w:type="dxa"/>
            <w:shd w:val="clear" w:color="auto" w:fill="auto"/>
            <w:hideMark/>
          </w:tcPr>
          <w:p w14:paraId="3B642801"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Future Earth</w:t>
            </w:r>
          </w:p>
        </w:tc>
        <w:tc>
          <w:tcPr>
            <w:tcW w:w="632" w:type="dxa"/>
            <w:shd w:val="clear" w:color="auto" w:fill="auto"/>
            <w:hideMark/>
          </w:tcPr>
          <w:p w14:paraId="0C5F7BC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BP</w:t>
            </w:r>
          </w:p>
        </w:tc>
        <w:tc>
          <w:tcPr>
            <w:tcW w:w="2436" w:type="dxa"/>
            <w:shd w:val="clear" w:color="auto" w:fill="auto"/>
            <w:hideMark/>
          </w:tcPr>
          <w:p w14:paraId="461BDA08"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FAO</w:t>
            </w:r>
          </w:p>
        </w:tc>
      </w:tr>
      <w:tr w:rsidR="002C0261" w:rsidRPr="00581C84" w14:paraId="3015E8C5" w14:textId="77777777" w:rsidTr="00776736">
        <w:trPr>
          <w:tblHeader/>
        </w:trPr>
        <w:tc>
          <w:tcPr>
            <w:tcW w:w="894" w:type="dxa"/>
            <w:shd w:val="clear" w:color="auto" w:fill="auto"/>
            <w:hideMark/>
          </w:tcPr>
          <w:p w14:paraId="45D382F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17</w:t>
            </w:r>
          </w:p>
        </w:tc>
        <w:tc>
          <w:tcPr>
            <w:tcW w:w="3428" w:type="dxa"/>
            <w:shd w:val="clear" w:color="auto" w:fill="auto"/>
            <w:hideMark/>
          </w:tcPr>
          <w:p w14:paraId="5E53C5E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Number of countries with developed or revised NBSAPs</w:t>
            </w:r>
          </w:p>
        </w:tc>
        <w:tc>
          <w:tcPr>
            <w:tcW w:w="902" w:type="dxa"/>
            <w:shd w:val="clear" w:color="auto" w:fill="auto"/>
            <w:hideMark/>
          </w:tcPr>
          <w:p w14:paraId="4EDBDAAD"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6360FBAF"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w:t>
            </w:r>
          </w:p>
        </w:tc>
        <w:tc>
          <w:tcPr>
            <w:tcW w:w="992" w:type="dxa"/>
            <w:shd w:val="clear" w:color="auto" w:fill="auto"/>
            <w:hideMark/>
          </w:tcPr>
          <w:p w14:paraId="1AA44470"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2,3,6</w:t>
            </w:r>
          </w:p>
        </w:tc>
        <w:tc>
          <w:tcPr>
            <w:tcW w:w="992" w:type="dxa"/>
            <w:shd w:val="clear" w:color="auto" w:fill="auto"/>
            <w:hideMark/>
          </w:tcPr>
          <w:p w14:paraId="2AE24AB1"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46581F26" w14:textId="7EDEDB58"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3DAFCD2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1C5DE43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w:t>
            </w:r>
          </w:p>
        </w:tc>
        <w:tc>
          <w:tcPr>
            <w:tcW w:w="2436" w:type="dxa"/>
            <w:shd w:val="clear" w:color="auto" w:fill="auto"/>
            <w:hideMark/>
          </w:tcPr>
          <w:p w14:paraId="5908579C"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Secretariat of the Convention on Biological Diversity (CBD)</w:t>
            </w:r>
          </w:p>
        </w:tc>
      </w:tr>
      <w:tr w:rsidR="002C0261" w:rsidRPr="00581C84" w14:paraId="263619D7" w14:textId="77777777" w:rsidTr="00776736">
        <w:trPr>
          <w:tblHeader/>
        </w:trPr>
        <w:tc>
          <w:tcPr>
            <w:tcW w:w="894" w:type="dxa"/>
            <w:shd w:val="clear" w:color="auto" w:fill="auto"/>
            <w:hideMark/>
          </w:tcPr>
          <w:p w14:paraId="538F9306"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19</w:t>
            </w:r>
          </w:p>
        </w:tc>
        <w:tc>
          <w:tcPr>
            <w:tcW w:w="3428" w:type="dxa"/>
            <w:shd w:val="clear" w:color="auto" w:fill="auto"/>
            <w:hideMark/>
          </w:tcPr>
          <w:p w14:paraId="460835A1"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 xml:space="preserve">Proportion of known species assessed through the IUCN Red List </w:t>
            </w:r>
          </w:p>
        </w:tc>
        <w:tc>
          <w:tcPr>
            <w:tcW w:w="902" w:type="dxa"/>
            <w:shd w:val="clear" w:color="auto" w:fill="auto"/>
            <w:hideMark/>
          </w:tcPr>
          <w:p w14:paraId="43FE4345"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0C67897B"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w:t>
            </w:r>
          </w:p>
        </w:tc>
        <w:tc>
          <w:tcPr>
            <w:tcW w:w="992" w:type="dxa"/>
            <w:shd w:val="clear" w:color="auto" w:fill="auto"/>
            <w:hideMark/>
          </w:tcPr>
          <w:p w14:paraId="7B11FE3C"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2,3,6</w:t>
            </w:r>
          </w:p>
        </w:tc>
        <w:tc>
          <w:tcPr>
            <w:tcW w:w="992" w:type="dxa"/>
            <w:shd w:val="clear" w:color="auto" w:fill="auto"/>
            <w:hideMark/>
          </w:tcPr>
          <w:p w14:paraId="7C5339BB"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1FDAB78B" w14:textId="4691CBE9"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24C005AC"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75A65778"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BP</w:t>
            </w:r>
          </w:p>
        </w:tc>
        <w:tc>
          <w:tcPr>
            <w:tcW w:w="2436" w:type="dxa"/>
            <w:shd w:val="clear" w:color="auto" w:fill="auto"/>
            <w:hideMark/>
          </w:tcPr>
          <w:p w14:paraId="09769B72"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IUCN</w:t>
            </w:r>
          </w:p>
        </w:tc>
      </w:tr>
      <w:tr w:rsidR="002C0261" w:rsidRPr="00581C84" w14:paraId="148F9CDE" w14:textId="77777777" w:rsidTr="00776736">
        <w:trPr>
          <w:tblHeader/>
        </w:trPr>
        <w:tc>
          <w:tcPr>
            <w:tcW w:w="894" w:type="dxa"/>
            <w:shd w:val="clear" w:color="auto" w:fill="auto"/>
            <w:hideMark/>
          </w:tcPr>
          <w:p w14:paraId="048A142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19</w:t>
            </w:r>
          </w:p>
        </w:tc>
        <w:tc>
          <w:tcPr>
            <w:tcW w:w="3428" w:type="dxa"/>
            <w:shd w:val="clear" w:color="auto" w:fill="auto"/>
            <w:hideMark/>
          </w:tcPr>
          <w:p w14:paraId="4033640C"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Species Status Information Index</w:t>
            </w:r>
          </w:p>
        </w:tc>
        <w:tc>
          <w:tcPr>
            <w:tcW w:w="902" w:type="dxa"/>
            <w:shd w:val="clear" w:color="auto" w:fill="auto"/>
            <w:hideMark/>
          </w:tcPr>
          <w:p w14:paraId="0E91F854"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R</w:t>
            </w:r>
          </w:p>
        </w:tc>
        <w:tc>
          <w:tcPr>
            <w:tcW w:w="1083" w:type="dxa"/>
            <w:shd w:val="clear" w:color="auto" w:fill="auto"/>
            <w:hideMark/>
          </w:tcPr>
          <w:p w14:paraId="10F06B6F"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IGID, BEF</w:t>
            </w:r>
          </w:p>
        </w:tc>
        <w:tc>
          <w:tcPr>
            <w:tcW w:w="992" w:type="dxa"/>
            <w:shd w:val="clear" w:color="auto" w:fill="auto"/>
            <w:hideMark/>
          </w:tcPr>
          <w:p w14:paraId="72564EA6"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2,3,6</w:t>
            </w:r>
          </w:p>
        </w:tc>
        <w:tc>
          <w:tcPr>
            <w:tcW w:w="992" w:type="dxa"/>
            <w:shd w:val="clear" w:color="auto" w:fill="auto"/>
            <w:hideMark/>
          </w:tcPr>
          <w:p w14:paraId="74142186"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4,6</w:t>
            </w:r>
          </w:p>
        </w:tc>
        <w:tc>
          <w:tcPr>
            <w:tcW w:w="992" w:type="dxa"/>
            <w:shd w:val="clear" w:color="auto" w:fill="auto"/>
            <w:hideMark/>
          </w:tcPr>
          <w:p w14:paraId="43570F2F" w14:textId="624876BE"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1263" w:type="dxa"/>
            <w:shd w:val="clear" w:color="auto" w:fill="auto"/>
            <w:hideMark/>
          </w:tcPr>
          <w:p w14:paraId="7DEE6180" w14:textId="77777777" w:rsidR="002C0261" w:rsidRPr="00581C84" w:rsidRDefault="002C0261" w:rsidP="00581C84">
            <w:pPr>
              <w:pStyle w:val="Normal-pool"/>
              <w:tabs>
                <w:tab w:val="left" w:pos="624"/>
              </w:tabs>
              <w:spacing w:before="40" w:after="40"/>
              <w:rPr>
                <w:rFonts w:eastAsia="Malgun Gothic"/>
                <w:sz w:val="18"/>
                <w:szCs w:val="18"/>
                <w:lang w:eastAsia="ko-KR"/>
              </w:rPr>
            </w:pPr>
            <w:r w:rsidRPr="00581C84">
              <w:rPr>
                <w:rFonts w:eastAsia="Malgun Gothic"/>
                <w:sz w:val="18"/>
                <w:szCs w:val="18"/>
                <w:lang w:eastAsia="ko-KR"/>
              </w:rPr>
              <w:t>CBD</w:t>
            </w:r>
          </w:p>
        </w:tc>
        <w:tc>
          <w:tcPr>
            <w:tcW w:w="632" w:type="dxa"/>
            <w:shd w:val="clear" w:color="auto" w:fill="auto"/>
            <w:hideMark/>
          </w:tcPr>
          <w:p w14:paraId="3D1F6D20" w14:textId="110053B5" w:rsidR="002C0261" w:rsidRPr="00581C84" w:rsidRDefault="002C0261" w:rsidP="00581C84">
            <w:pPr>
              <w:pStyle w:val="Normal-pool"/>
              <w:tabs>
                <w:tab w:val="left" w:pos="624"/>
              </w:tabs>
              <w:spacing w:before="40" w:after="40"/>
              <w:rPr>
                <w:rFonts w:eastAsia="Malgun Gothic"/>
                <w:sz w:val="18"/>
                <w:szCs w:val="18"/>
                <w:lang w:val="en-US" w:eastAsia="ko-KR"/>
              </w:rPr>
            </w:pPr>
          </w:p>
        </w:tc>
        <w:tc>
          <w:tcPr>
            <w:tcW w:w="2436" w:type="dxa"/>
            <w:shd w:val="clear" w:color="auto" w:fill="auto"/>
            <w:hideMark/>
          </w:tcPr>
          <w:p w14:paraId="79AA47C0" w14:textId="77777777" w:rsidR="002C0261" w:rsidRPr="00581C84" w:rsidRDefault="002C0261" w:rsidP="00581C84">
            <w:pPr>
              <w:pStyle w:val="Normal-pool"/>
              <w:tabs>
                <w:tab w:val="left" w:pos="624"/>
              </w:tabs>
              <w:spacing w:before="40" w:after="40"/>
              <w:rPr>
                <w:rFonts w:eastAsia="Malgun Gothic"/>
                <w:color w:val="000000" w:themeColor="text1"/>
                <w:sz w:val="18"/>
                <w:szCs w:val="18"/>
                <w:lang w:eastAsia="ko-KR"/>
              </w:rPr>
            </w:pPr>
            <w:r w:rsidRPr="00581C84">
              <w:rPr>
                <w:rFonts w:eastAsia="Malgun Gothic"/>
                <w:sz w:val="18"/>
                <w:szCs w:val="18"/>
                <w:lang w:eastAsia="ko-KR"/>
              </w:rPr>
              <w:t>GEO BON - Map of Life</w:t>
            </w:r>
          </w:p>
        </w:tc>
      </w:tr>
    </w:tbl>
    <w:p w14:paraId="6481BDE6" w14:textId="77777777" w:rsidR="00D80FCB" w:rsidRPr="00AE7103" w:rsidRDefault="00D80FCB" w:rsidP="001B5632">
      <w:pPr>
        <w:pStyle w:val="Normal-pool"/>
        <w:spacing w:before="40" w:after="40"/>
        <w:rPr>
          <w:color w:val="000000" w:themeColor="text1"/>
          <w:sz w:val="16"/>
          <w:szCs w:val="16"/>
        </w:rPr>
      </w:pPr>
      <w:r w:rsidRPr="00AE7103">
        <w:rPr>
          <w:color w:val="000000" w:themeColor="text1"/>
          <w:sz w:val="16"/>
          <w:szCs w:val="16"/>
        </w:rPr>
        <w:t>¹ DPSIR - D: Drivers, P: Pressure, S:</w:t>
      </w:r>
      <w:r w:rsidR="003933AD" w:rsidRPr="00AE7103">
        <w:rPr>
          <w:color w:val="000000" w:themeColor="text1"/>
          <w:sz w:val="16"/>
          <w:szCs w:val="16"/>
        </w:rPr>
        <w:t xml:space="preserve"> Status, I: Impact, R: Response</w:t>
      </w:r>
    </w:p>
    <w:p w14:paraId="605F04CF" w14:textId="77777777" w:rsidR="003933AD" w:rsidRPr="00AE7103" w:rsidRDefault="00D80FCB" w:rsidP="001B5632">
      <w:pPr>
        <w:pStyle w:val="Normal-pool"/>
        <w:spacing w:before="40" w:after="40"/>
        <w:rPr>
          <w:color w:val="000000" w:themeColor="text1"/>
          <w:sz w:val="16"/>
          <w:szCs w:val="16"/>
        </w:rPr>
      </w:pPr>
      <w:r w:rsidRPr="00AE7103">
        <w:rPr>
          <w:color w:val="000000" w:themeColor="text1"/>
          <w:sz w:val="16"/>
          <w:szCs w:val="16"/>
        </w:rPr>
        <w:t>²</w:t>
      </w:r>
      <w:r w:rsidRPr="00AE7103">
        <w:rPr>
          <w:rFonts w:eastAsiaTheme="minorEastAsia"/>
          <w:color w:val="000000" w:themeColor="text1"/>
          <w:sz w:val="16"/>
          <w:szCs w:val="16"/>
        </w:rPr>
        <w:t xml:space="preserve"> </w:t>
      </w:r>
      <w:r w:rsidRPr="00AE7103">
        <w:rPr>
          <w:color w:val="000000" w:themeColor="text1"/>
          <w:sz w:val="16"/>
          <w:szCs w:val="16"/>
        </w:rPr>
        <w:t>CF (Conceptual Framework) - DD: direct driver, NBP: nature's benefit to people/ ecosystem goods and services, BEF: nature/biodiversity and ecosystem functions, IGID: institutions, governance and other indirect drivers, GQL: good quality of life/human well-being</w:t>
      </w:r>
    </w:p>
    <w:p w14:paraId="38485463" w14:textId="77777777" w:rsidR="00D80FCB" w:rsidRPr="00AE7103" w:rsidRDefault="00D80FCB" w:rsidP="001B5632">
      <w:pPr>
        <w:pStyle w:val="Normal-pool"/>
        <w:spacing w:before="40" w:after="40"/>
        <w:rPr>
          <w:color w:val="000000" w:themeColor="text1"/>
          <w:sz w:val="16"/>
          <w:szCs w:val="16"/>
        </w:rPr>
      </w:pPr>
      <w:r w:rsidRPr="00AE7103">
        <w:rPr>
          <w:color w:val="000000" w:themeColor="text1"/>
          <w:sz w:val="16"/>
          <w:szCs w:val="16"/>
        </w:rPr>
        <w:t>³ CBD: Convention of Biological Diversity SBSTTA 20 draft indicator list; Future Earth: recommended by Future Earth indicator group; EPI: used in the Yale Environmental Protection Index; IPBES: added by the IPBES Task Force for Data and Knowledge</w:t>
      </w:r>
    </w:p>
    <w:p w14:paraId="49DA35FA" w14:textId="77777777" w:rsidR="003933AD" w:rsidRPr="00AE7103" w:rsidRDefault="00D80FCB" w:rsidP="001B5632">
      <w:pPr>
        <w:pStyle w:val="Normal-pool"/>
        <w:spacing w:before="40" w:after="40"/>
        <w:rPr>
          <w:rFonts w:eastAsia="Calibri"/>
          <w:color w:val="000000" w:themeColor="text1"/>
          <w:w w:val="103"/>
        </w:rPr>
      </w:pPr>
      <w:r w:rsidRPr="00AE7103">
        <w:rPr>
          <w:rFonts w:ascii="Cambria Math" w:hAnsi="Cambria Math" w:cs="Cambria Math"/>
          <w:color w:val="000000" w:themeColor="text1"/>
          <w:sz w:val="16"/>
          <w:szCs w:val="16"/>
        </w:rPr>
        <w:t>⁴</w:t>
      </w:r>
      <w:r w:rsidRPr="00AE7103">
        <w:rPr>
          <w:rFonts w:eastAsiaTheme="minorEastAsia"/>
          <w:color w:val="000000" w:themeColor="text1"/>
          <w:sz w:val="16"/>
          <w:szCs w:val="16"/>
        </w:rPr>
        <w:t xml:space="preserve"> </w:t>
      </w:r>
      <w:r w:rsidRPr="00AE7103">
        <w:rPr>
          <w:color w:val="000000" w:themeColor="text1"/>
          <w:sz w:val="16"/>
          <w:szCs w:val="16"/>
        </w:rPr>
        <w:t>BIP (Biodiversity Indicator Partnership): B: indicators in BIP global suite, BP: data/indicator holder in BIP partnership</w:t>
      </w:r>
      <w:r w:rsidR="003933AD" w:rsidRPr="00AE7103">
        <w:rPr>
          <w:rFonts w:eastAsia="Calibri"/>
          <w:b/>
          <w:bCs/>
          <w:color w:val="000000" w:themeColor="text1"/>
          <w:w w:val="103"/>
        </w:rPr>
        <w:br w:type="page"/>
      </w:r>
    </w:p>
    <w:p w14:paraId="535593C2" w14:textId="77777777" w:rsidR="00D80FCB" w:rsidRPr="00110E4C" w:rsidRDefault="00D80FCB" w:rsidP="00B663D1">
      <w:pPr>
        <w:pStyle w:val="CH2"/>
        <w:rPr>
          <w:rFonts w:eastAsia="Calibri"/>
        </w:rPr>
      </w:pPr>
      <w:r w:rsidRPr="00110E4C">
        <w:rPr>
          <w:rFonts w:eastAsia="Calibri"/>
        </w:rPr>
        <w:t>Appendix IV</w:t>
      </w:r>
    </w:p>
    <w:p w14:paraId="15124E73" w14:textId="77777777" w:rsidR="00D80FCB" w:rsidRPr="00AE7103" w:rsidRDefault="00D80FCB" w:rsidP="00B663D1">
      <w:pPr>
        <w:pStyle w:val="CH2"/>
        <w:rPr>
          <w:color w:val="000000" w:themeColor="text1"/>
        </w:rPr>
      </w:pPr>
      <w:r w:rsidRPr="00110E4C">
        <w:t>List of highlighted indicators selected for use in IPBES regional assessments and global</w:t>
      </w:r>
      <w:r w:rsidRPr="00AE7103">
        <w:rPr>
          <w:color w:val="000000" w:themeColor="text1"/>
        </w:rPr>
        <w:t xml:space="preserve"> assessment </w:t>
      </w:r>
    </w:p>
    <w:tbl>
      <w:tblPr>
        <w:tblW w:w="0" w:type="auto"/>
        <w:jc w:val="right"/>
        <w:tblCellMar>
          <w:left w:w="99" w:type="dxa"/>
          <w:right w:w="99" w:type="dxa"/>
        </w:tblCellMar>
        <w:tblLook w:val="04A0" w:firstRow="1" w:lastRow="0" w:firstColumn="1" w:lastColumn="0" w:noHBand="0" w:noVBand="1"/>
      </w:tblPr>
      <w:tblGrid>
        <w:gridCol w:w="992"/>
        <w:gridCol w:w="4505"/>
        <w:gridCol w:w="793"/>
        <w:gridCol w:w="1388"/>
        <w:gridCol w:w="944"/>
        <w:gridCol w:w="941"/>
        <w:gridCol w:w="877"/>
        <w:gridCol w:w="571"/>
        <w:gridCol w:w="2603"/>
      </w:tblGrid>
      <w:tr w:rsidR="00FC56EA" w:rsidRPr="00AE7103" w14:paraId="514BC0A9" w14:textId="77777777" w:rsidTr="00776736">
        <w:trPr>
          <w:tblHeader/>
          <w:jc w:val="right"/>
        </w:trPr>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584480" w14:textId="77777777" w:rsidR="00D80FCB" w:rsidRPr="00AE7103" w:rsidRDefault="00D80FCB" w:rsidP="003933AD">
            <w:pPr>
              <w:pStyle w:val="Normal-pool"/>
              <w:spacing w:before="40" w:after="40"/>
              <w:rPr>
                <w:rFonts w:eastAsia="Malgun Gothic"/>
                <w:b/>
                <w:color w:val="000000" w:themeColor="text1"/>
                <w:sz w:val="18"/>
                <w:szCs w:val="18"/>
                <w:lang w:eastAsia="ko-KR"/>
              </w:rPr>
            </w:pPr>
            <w:r w:rsidRPr="00AE7103">
              <w:rPr>
                <w:rFonts w:eastAsia="Malgun Gothic"/>
                <w:b/>
                <w:color w:val="000000" w:themeColor="text1"/>
                <w:sz w:val="18"/>
                <w:szCs w:val="18"/>
                <w:lang w:eastAsia="ko-KR"/>
              </w:rPr>
              <w:t>Aichi Target</w:t>
            </w:r>
          </w:p>
        </w:tc>
        <w:tc>
          <w:tcPr>
            <w:tcW w:w="45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48E195" w14:textId="77777777" w:rsidR="00D80FCB" w:rsidRPr="00AE7103" w:rsidRDefault="00D80FCB" w:rsidP="003933AD">
            <w:pPr>
              <w:pStyle w:val="Normal-pool"/>
              <w:spacing w:before="40" w:after="40"/>
              <w:rPr>
                <w:rFonts w:eastAsia="Malgun Gothic"/>
                <w:b/>
                <w:color w:val="000000" w:themeColor="text1"/>
                <w:sz w:val="18"/>
                <w:szCs w:val="18"/>
                <w:lang w:eastAsia="ko-KR"/>
              </w:rPr>
            </w:pPr>
            <w:r w:rsidRPr="00AE7103">
              <w:rPr>
                <w:rFonts w:eastAsia="Malgun Gothic"/>
                <w:b/>
                <w:color w:val="000000" w:themeColor="text1"/>
                <w:sz w:val="18"/>
                <w:szCs w:val="18"/>
                <w:lang w:eastAsia="ko-KR"/>
              </w:rPr>
              <w:t>Specific Indicator</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02C701" w14:textId="77777777" w:rsidR="00D80FCB" w:rsidRPr="00AE7103" w:rsidRDefault="00D80FCB" w:rsidP="003933AD">
            <w:pPr>
              <w:pStyle w:val="Normal-pool"/>
              <w:spacing w:before="40" w:after="40"/>
              <w:rPr>
                <w:rFonts w:eastAsia="Malgun Gothic"/>
                <w:b/>
                <w:color w:val="000000" w:themeColor="text1"/>
                <w:sz w:val="18"/>
                <w:szCs w:val="18"/>
                <w:lang w:eastAsia="ko-KR"/>
              </w:rPr>
            </w:pPr>
            <w:r w:rsidRPr="00AE7103">
              <w:rPr>
                <w:rFonts w:eastAsia="Malgun Gothic"/>
                <w:b/>
                <w:color w:val="000000" w:themeColor="text1"/>
                <w:sz w:val="18"/>
                <w:szCs w:val="18"/>
                <w:lang w:eastAsia="ko-KR"/>
              </w:rPr>
              <w:t>DPSIR¹</w:t>
            </w:r>
          </w:p>
        </w:tc>
        <w:tc>
          <w:tcPr>
            <w:tcW w:w="1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F993BD8" w14:textId="77777777" w:rsidR="00D80FCB" w:rsidRPr="00AE7103" w:rsidRDefault="00D80FCB" w:rsidP="003933AD">
            <w:pPr>
              <w:pStyle w:val="Normal-pool"/>
              <w:spacing w:before="40" w:after="40"/>
              <w:rPr>
                <w:rFonts w:eastAsia="Malgun Gothic"/>
                <w:b/>
                <w:color w:val="000000" w:themeColor="text1"/>
                <w:sz w:val="18"/>
                <w:szCs w:val="18"/>
                <w:lang w:eastAsia="ko-KR"/>
              </w:rPr>
            </w:pPr>
            <w:r w:rsidRPr="00AE7103">
              <w:rPr>
                <w:rFonts w:eastAsia="Malgun Gothic"/>
                <w:b/>
                <w:color w:val="000000" w:themeColor="text1"/>
                <w:sz w:val="18"/>
                <w:szCs w:val="18"/>
                <w:lang w:eastAsia="ko-KR"/>
              </w:rPr>
              <w:t>CF²</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4999614" w14:textId="77777777" w:rsidR="00D80FCB" w:rsidRPr="00AE7103" w:rsidRDefault="00D80FCB" w:rsidP="003933AD">
            <w:pPr>
              <w:pStyle w:val="Normal-pool"/>
              <w:spacing w:before="40" w:after="40"/>
              <w:rPr>
                <w:rFonts w:eastAsia="Malgun Gothic"/>
                <w:b/>
                <w:color w:val="000000" w:themeColor="text1"/>
                <w:sz w:val="18"/>
                <w:szCs w:val="18"/>
                <w:lang w:eastAsia="ko-KR"/>
              </w:rPr>
            </w:pPr>
            <w:r w:rsidRPr="00AE7103">
              <w:rPr>
                <w:rFonts w:eastAsia="Malgun Gothic"/>
                <w:b/>
                <w:color w:val="000000" w:themeColor="text1"/>
                <w:sz w:val="18"/>
                <w:szCs w:val="18"/>
                <w:lang w:eastAsia="ko-KR"/>
              </w:rPr>
              <w:t>GA Chapter</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31F311E" w14:textId="77777777" w:rsidR="00D80FCB" w:rsidRPr="00AE7103" w:rsidRDefault="00D80FCB" w:rsidP="003933AD">
            <w:pPr>
              <w:pStyle w:val="Normal-pool"/>
              <w:spacing w:before="40" w:after="40"/>
              <w:rPr>
                <w:rFonts w:eastAsia="Malgun Gothic"/>
                <w:b/>
                <w:color w:val="000000" w:themeColor="text1"/>
                <w:sz w:val="18"/>
                <w:szCs w:val="18"/>
                <w:lang w:eastAsia="ko-KR"/>
              </w:rPr>
            </w:pPr>
            <w:r w:rsidRPr="00AE7103">
              <w:rPr>
                <w:rFonts w:eastAsia="Malgun Gothic"/>
                <w:b/>
                <w:color w:val="000000" w:themeColor="text1"/>
                <w:sz w:val="18"/>
                <w:szCs w:val="18"/>
                <w:lang w:eastAsia="ko-KR"/>
              </w:rPr>
              <w:t>RA Chapter</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AC1A0C" w14:textId="77777777" w:rsidR="00D80FCB" w:rsidRPr="00AE7103" w:rsidRDefault="00D80FCB" w:rsidP="003933AD">
            <w:pPr>
              <w:pStyle w:val="Normal-pool"/>
              <w:spacing w:before="40" w:after="40"/>
              <w:rPr>
                <w:rFonts w:eastAsia="Malgun Gothic"/>
                <w:b/>
                <w:color w:val="000000" w:themeColor="text1"/>
                <w:sz w:val="18"/>
                <w:szCs w:val="18"/>
                <w:lang w:eastAsia="ko-KR"/>
              </w:rPr>
            </w:pPr>
            <w:r w:rsidRPr="00AE7103">
              <w:rPr>
                <w:rFonts w:eastAsia="Malgun Gothic"/>
                <w:b/>
                <w:color w:val="000000" w:themeColor="text1"/>
                <w:sz w:val="18"/>
                <w:szCs w:val="18"/>
                <w:lang w:eastAsia="ko-KR"/>
              </w:rPr>
              <w:t>Origin³</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B702982" w14:textId="77777777" w:rsidR="00D80FCB" w:rsidRPr="00AE7103" w:rsidRDefault="00D80FCB" w:rsidP="003933AD">
            <w:pPr>
              <w:pStyle w:val="Normal-pool"/>
              <w:spacing w:before="40" w:after="40"/>
              <w:rPr>
                <w:rFonts w:eastAsia="Malgun Gothic"/>
                <w:b/>
                <w:color w:val="000000" w:themeColor="text1"/>
                <w:sz w:val="18"/>
                <w:szCs w:val="18"/>
                <w:lang w:eastAsia="ko-KR"/>
              </w:rPr>
            </w:pPr>
            <w:r w:rsidRPr="00AE7103">
              <w:rPr>
                <w:rFonts w:eastAsia="Malgun Gothic"/>
                <w:b/>
                <w:color w:val="000000" w:themeColor="text1"/>
                <w:sz w:val="18"/>
                <w:szCs w:val="18"/>
                <w:lang w:eastAsia="ko-KR"/>
              </w:rPr>
              <w:t>BIP</w:t>
            </w:r>
            <w:r w:rsidRPr="00AE7103">
              <w:rPr>
                <w:rFonts w:ascii="Cambria Math" w:eastAsia="Malgun Gothic" w:hAnsi="Cambria Math" w:cs="Cambria Math"/>
                <w:b/>
                <w:color w:val="000000" w:themeColor="text1"/>
                <w:sz w:val="18"/>
                <w:szCs w:val="18"/>
                <w:lang w:eastAsia="ko-KR"/>
              </w:rPr>
              <w:t>⁴</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8F53053" w14:textId="77777777" w:rsidR="00D80FCB" w:rsidRPr="00AE7103" w:rsidRDefault="00D80FCB" w:rsidP="003933AD">
            <w:pPr>
              <w:pStyle w:val="Normal-pool"/>
              <w:spacing w:before="40" w:after="40"/>
              <w:rPr>
                <w:rFonts w:eastAsia="Malgun Gothic"/>
                <w:b/>
                <w:color w:val="000000" w:themeColor="text1"/>
                <w:sz w:val="18"/>
                <w:szCs w:val="18"/>
                <w:lang w:eastAsia="ko-KR"/>
              </w:rPr>
            </w:pPr>
            <w:r w:rsidRPr="00AE7103">
              <w:rPr>
                <w:rFonts w:eastAsia="Malgun Gothic"/>
                <w:b/>
                <w:color w:val="000000" w:themeColor="text1"/>
                <w:sz w:val="18"/>
                <w:szCs w:val="18"/>
                <w:lang w:eastAsia="ko-KR"/>
              </w:rPr>
              <w:t>Source</w:t>
            </w:r>
          </w:p>
        </w:tc>
      </w:tr>
      <w:tr w:rsidR="00AE7103" w:rsidRPr="00AE7103" w14:paraId="262F0975"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AEB6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w:t>
            </w:r>
          </w:p>
        </w:tc>
        <w:tc>
          <w:tcPr>
            <w:tcW w:w="4505" w:type="dxa"/>
            <w:tcBorders>
              <w:top w:val="nil"/>
              <w:left w:val="nil"/>
              <w:bottom w:val="single" w:sz="4" w:space="0" w:color="auto"/>
              <w:right w:val="single" w:sz="4" w:space="0" w:color="auto"/>
            </w:tcBorders>
            <w:shd w:val="clear" w:color="auto" w:fill="auto"/>
            <w:vAlign w:val="center"/>
            <w:hideMark/>
          </w:tcPr>
          <w:p w14:paraId="2396EB9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Number of countries implementing natural resource accounts, excluding energy, within the System of Environmental-Economic Accounting (SEEA)</w:t>
            </w:r>
          </w:p>
        </w:tc>
        <w:tc>
          <w:tcPr>
            <w:tcW w:w="0" w:type="auto"/>
            <w:tcBorders>
              <w:top w:val="nil"/>
              <w:left w:val="nil"/>
              <w:bottom w:val="single" w:sz="4" w:space="0" w:color="auto"/>
              <w:right w:val="single" w:sz="4" w:space="0" w:color="auto"/>
            </w:tcBorders>
            <w:shd w:val="clear" w:color="auto" w:fill="auto"/>
            <w:vAlign w:val="center"/>
            <w:hideMark/>
          </w:tcPr>
          <w:p w14:paraId="6FD82F9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53A738E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513EEFD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76835FC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28FEEF6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5732F13F" w14:textId="549803D2"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585DEBE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UNSTATS, World Bank</w:t>
            </w:r>
          </w:p>
        </w:tc>
      </w:tr>
      <w:tr w:rsidR="00AE7103" w:rsidRPr="00AE7103" w14:paraId="59C78E93"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A848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4505" w:type="dxa"/>
            <w:tcBorders>
              <w:top w:val="nil"/>
              <w:left w:val="nil"/>
              <w:bottom w:val="single" w:sz="4" w:space="0" w:color="auto"/>
              <w:right w:val="single" w:sz="4" w:space="0" w:color="auto"/>
            </w:tcBorders>
            <w:shd w:val="clear" w:color="auto" w:fill="auto"/>
            <w:vAlign w:val="center"/>
            <w:hideMark/>
          </w:tcPr>
          <w:p w14:paraId="5E0A08C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 xml:space="preserve">Number of countries with national instruments on biodiversity relevant tradable permit schemes </w:t>
            </w:r>
          </w:p>
        </w:tc>
        <w:tc>
          <w:tcPr>
            <w:tcW w:w="0" w:type="auto"/>
            <w:tcBorders>
              <w:top w:val="nil"/>
              <w:left w:val="nil"/>
              <w:bottom w:val="single" w:sz="4" w:space="0" w:color="auto"/>
              <w:right w:val="single" w:sz="4" w:space="0" w:color="auto"/>
            </w:tcBorders>
            <w:shd w:val="clear" w:color="auto" w:fill="auto"/>
            <w:vAlign w:val="center"/>
            <w:hideMark/>
          </w:tcPr>
          <w:p w14:paraId="41FF91E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048C71E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1AFA8CD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18FA4A2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54FCAF6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7CE1394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675F9AE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OECD</w:t>
            </w:r>
          </w:p>
        </w:tc>
      </w:tr>
      <w:tr w:rsidR="00AE7103" w:rsidRPr="00AE7103" w14:paraId="6A728D8E"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58FB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4505" w:type="dxa"/>
            <w:tcBorders>
              <w:top w:val="nil"/>
              <w:left w:val="nil"/>
              <w:bottom w:val="single" w:sz="4" w:space="0" w:color="auto"/>
              <w:right w:val="single" w:sz="4" w:space="0" w:color="auto"/>
            </w:tcBorders>
            <w:shd w:val="clear" w:color="auto" w:fill="auto"/>
            <w:vAlign w:val="center"/>
            <w:hideMark/>
          </w:tcPr>
          <w:p w14:paraId="6B584CE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Number of countries with national instruments on biodiversity-relevant taxes, charges and fees</w:t>
            </w:r>
          </w:p>
        </w:tc>
        <w:tc>
          <w:tcPr>
            <w:tcW w:w="0" w:type="auto"/>
            <w:tcBorders>
              <w:top w:val="nil"/>
              <w:left w:val="nil"/>
              <w:bottom w:val="single" w:sz="4" w:space="0" w:color="auto"/>
              <w:right w:val="single" w:sz="4" w:space="0" w:color="auto"/>
            </w:tcBorders>
            <w:shd w:val="clear" w:color="auto" w:fill="auto"/>
            <w:vAlign w:val="center"/>
            <w:hideMark/>
          </w:tcPr>
          <w:p w14:paraId="358B34C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3875721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0CA7B3F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18B057D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40257FC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79A4F95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48FE9A4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OECD</w:t>
            </w:r>
          </w:p>
        </w:tc>
      </w:tr>
      <w:tr w:rsidR="00AE7103" w:rsidRPr="00AE7103" w14:paraId="3050C120"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D7E0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4505" w:type="dxa"/>
            <w:tcBorders>
              <w:top w:val="nil"/>
              <w:left w:val="nil"/>
              <w:bottom w:val="single" w:sz="4" w:space="0" w:color="auto"/>
              <w:right w:val="single" w:sz="4" w:space="0" w:color="auto"/>
            </w:tcBorders>
            <w:shd w:val="clear" w:color="auto" w:fill="auto"/>
            <w:vAlign w:val="center"/>
            <w:hideMark/>
          </w:tcPr>
          <w:p w14:paraId="65C83BD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Number of countries with national instruments on REDD plus schemes</w:t>
            </w:r>
          </w:p>
        </w:tc>
        <w:tc>
          <w:tcPr>
            <w:tcW w:w="0" w:type="auto"/>
            <w:tcBorders>
              <w:top w:val="nil"/>
              <w:left w:val="nil"/>
              <w:bottom w:val="single" w:sz="4" w:space="0" w:color="auto"/>
              <w:right w:val="single" w:sz="4" w:space="0" w:color="auto"/>
            </w:tcBorders>
            <w:shd w:val="clear" w:color="auto" w:fill="auto"/>
            <w:vAlign w:val="center"/>
            <w:hideMark/>
          </w:tcPr>
          <w:p w14:paraId="4DAC7F8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6DA4F80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6CCC98F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0014DCA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3B60B61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0835C97A" w14:textId="66D76A8D"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127F14E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UNFCCC</w:t>
            </w:r>
          </w:p>
        </w:tc>
      </w:tr>
      <w:tr w:rsidR="00AE7103" w:rsidRPr="00AE7103" w14:paraId="36A475DD"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DA3B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4505" w:type="dxa"/>
            <w:tcBorders>
              <w:top w:val="nil"/>
              <w:left w:val="nil"/>
              <w:bottom w:val="single" w:sz="4" w:space="0" w:color="auto"/>
              <w:right w:val="single" w:sz="4" w:space="0" w:color="auto"/>
            </w:tcBorders>
            <w:shd w:val="clear" w:color="auto" w:fill="auto"/>
            <w:vAlign w:val="center"/>
            <w:hideMark/>
          </w:tcPr>
          <w:p w14:paraId="174F95E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Trends in potentially harmful elements of government support to agriculture (produced support estimates)</w:t>
            </w:r>
          </w:p>
        </w:tc>
        <w:tc>
          <w:tcPr>
            <w:tcW w:w="0" w:type="auto"/>
            <w:tcBorders>
              <w:top w:val="nil"/>
              <w:left w:val="nil"/>
              <w:bottom w:val="single" w:sz="4" w:space="0" w:color="auto"/>
              <w:right w:val="single" w:sz="4" w:space="0" w:color="auto"/>
            </w:tcBorders>
            <w:shd w:val="clear" w:color="auto" w:fill="auto"/>
            <w:vAlign w:val="center"/>
            <w:hideMark/>
          </w:tcPr>
          <w:p w14:paraId="6337802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633B8CC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7E95058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3603398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34C2F68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3678E7B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575D702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OECD</w:t>
            </w:r>
          </w:p>
        </w:tc>
      </w:tr>
      <w:tr w:rsidR="00AE7103" w:rsidRPr="00AE7103" w14:paraId="70B4F02C"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762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4505" w:type="dxa"/>
            <w:tcBorders>
              <w:top w:val="nil"/>
              <w:left w:val="nil"/>
              <w:bottom w:val="single" w:sz="4" w:space="0" w:color="auto"/>
              <w:right w:val="single" w:sz="4" w:space="0" w:color="auto"/>
            </w:tcBorders>
            <w:shd w:val="clear" w:color="auto" w:fill="auto"/>
            <w:vAlign w:val="center"/>
            <w:hideMark/>
          </w:tcPr>
          <w:p w14:paraId="69A2977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Trends in potentially harmful elements of government support to fisheries</w:t>
            </w:r>
          </w:p>
        </w:tc>
        <w:tc>
          <w:tcPr>
            <w:tcW w:w="0" w:type="auto"/>
            <w:tcBorders>
              <w:top w:val="nil"/>
              <w:left w:val="nil"/>
              <w:bottom w:val="single" w:sz="4" w:space="0" w:color="auto"/>
              <w:right w:val="single" w:sz="4" w:space="0" w:color="auto"/>
            </w:tcBorders>
            <w:shd w:val="clear" w:color="auto" w:fill="auto"/>
            <w:vAlign w:val="center"/>
            <w:hideMark/>
          </w:tcPr>
          <w:p w14:paraId="1D99BB6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2DB6111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3CBB6B1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7D07235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15E4D63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06F9F82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3EB2E98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OECD</w:t>
            </w:r>
          </w:p>
        </w:tc>
      </w:tr>
      <w:tr w:rsidR="00AE7103" w:rsidRPr="00AE7103" w14:paraId="71BD660D"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EC0E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w:t>
            </w:r>
          </w:p>
        </w:tc>
        <w:tc>
          <w:tcPr>
            <w:tcW w:w="4505" w:type="dxa"/>
            <w:tcBorders>
              <w:top w:val="nil"/>
              <w:left w:val="nil"/>
              <w:bottom w:val="single" w:sz="4" w:space="0" w:color="auto"/>
              <w:right w:val="single" w:sz="4" w:space="0" w:color="auto"/>
            </w:tcBorders>
            <w:shd w:val="clear" w:color="auto" w:fill="auto"/>
            <w:vAlign w:val="center"/>
            <w:hideMark/>
          </w:tcPr>
          <w:p w14:paraId="7BEBD7C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Human appropriation of net primary productivity</w:t>
            </w:r>
          </w:p>
        </w:tc>
        <w:tc>
          <w:tcPr>
            <w:tcW w:w="0" w:type="auto"/>
            <w:tcBorders>
              <w:top w:val="nil"/>
              <w:left w:val="nil"/>
              <w:bottom w:val="single" w:sz="4" w:space="0" w:color="auto"/>
              <w:right w:val="single" w:sz="4" w:space="0" w:color="auto"/>
            </w:tcBorders>
            <w:shd w:val="clear" w:color="auto" w:fill="auto"/>
            <w:vAlign w:val="center"/>
            <w:hideMark/>
          </w:tcPr>
          <w:p w14:paraId="21C2CAE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w:t>
            </w:r>
          </w:p>
        </w:tc>
        <w:tc>
          <w:tcPr>
            <w:tcW w:w="1388" w:type="dxa"/>
            <w:tcBorders>
              <w:top w:val="nil"/>
              <w:left w:val="nil"/>
              <w:bottom w:val="single" w:sz="4" w:space="0" w:color="auto"/>
              <w:right w:val="single" w:sz="4" w:space="0" w:color="auto"/>
            </w:tcBorders>
            <w:shd w:val="clear" w:color="auto" w:fill="auto"/>
            <w:vAlign w:val="center"/>
            <w:hideMark/>
          </w:tcPr>
          <w:p w14:paraId="48EF14C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DD</w:t>
            </w:r>
          </w:p>
        </w:tc>
        <w:tc>
          <w:tcPr>
            <w:tcW w:w="0" w:type="auto"/>
            <w:tcBorders>
              <w:top w:val="nil"/>
              <w:left w:val="nil"/>
              <w:bottom w:val="single" w:sz="4" w:space="0" w:color="auto"/>
              <w:right w:val="single" w:sz="4" w:space="0" w:color="auto"/>
            </w:tcBorders>
            <w:shd w:val="clear" w:color="auto" w:fill="auto"/>
            <w:vAlign w:val="center"/>
            <w:hideMark/>
          </w:tcPr>
          <w:p w14:paraId="16FDD33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229DB20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w:t>
            </w:r>
          </w:p>
        </w:tc>
        <w:tc>
          <w:tcPr>
            <w:tcW w:w="0" w:type="auto"/>
            <w:tcBorders>
              <w:top w:val="nil"/>
              <w:left w:val="nil"/>
              <w:bottom w:val="single" w:sz="4" w:space="0" w:color="auto"/>
              <w:right w:val="single" w:sz="4" w:space="0" w:color="auto"/>
            </w:tcBorders>
            <w:shd w:val="clear" w:color="auto" w:fill="auto"/>
            <w:vAlign w:val="center"/>
            <w:hideMark/>
          </w:tcPr>
          <w:p w14:paraId="16C3EC2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754812D9" w14:textId="711F8633"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6907F7E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Krausmann et al., 2013</w:t>
            </w:r>
          </w:p>
        </w:tc>
      </w:tr>
      <w:tr w:rsidR="00AE7103" w:rsidRPr="00AE7103" w14:paraId="3B10816D"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0EF7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w:t>
            </w:r>
          </w:p>
        </w:tc>
        <w:tc>
          <w:tcPr>
            <w:tcW w:w="4505" w:type="dxa"/>
            <w:tcBorders>
              <w:top w:val="nil"/>
              <w:left w:val="nil"/>
              <w:bottom w:val="single" w:sz="4" w:space="0" w:color="auto"/>
              <w:right w:val="single" w:sz="4" w:space="0" w:color="auto"/>
            </w:tcBorders>
            <w:shd w:val="clear" w:color="auto" w:fill="auto"/>
            <w:vAlign w:val="center"/>
            <w:hideMark/>
          </w:tcPr>
          <w:p w14:paraId="60EF940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Trend in Carbon Intensity</w:t>
            </w:r>
          </w:p>
        </w:tc>
        <w:tc>
          <w:tcPr>
            <w:tcW w:w="0" w:type="auto"/>
            <w:tcBorders>
              <w:top w:val="nil"/>
              <w:left w:val="nil"/>
              <w:bottom w:val="single" w:sz="4" w:space="0" w:color="auto"/>
              <w:right w:val="single" w:sz="4" w:space="0" w:color="auto"/>
            </w:tcBorders>
            <w:shd w:val="clear" w:color="auto" w:fill="auto"/>
            <w:vAlign w:val="center"/>
            <w:hideMark/>
          </w:tcPr>
          <w:p w14:paraId="620F9F2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0C5A3CC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7CDA069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533CA5F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58B7514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EPI</w:t>
            </w:r>
          </w:p>
        </w:tc>
        <w:tc>
          <w:tcPr>
            <w:tcW w:w="0" w:type="auto"/>
            <w:tcBorders>
              <w:top w:val="nil"/>
              <w:left w:val="nil"/>
              <w:bottom w:val="single" w:sz="4" w:space="0" w:color="auto"/>
              <w:right w:val="single" w:sz="4" w:space="0" w:color="auto"/>
            </w:tcBorders>
            <w:shd w:val="clear" w:color="auto" w:fill="auto"/>
            <w:vAlign w:val="center"/>
            <w:hideMark/>
          </w:tcPr>
          <w:p w14:paraId="0BB660F3" w14:textId="616C50B4"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6EB1EE5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WRI, WB, IEA from Environmental Performance Index (EPI)</w:t>
            </w:r>
          </w:p>
        </w:tc>
      </w:tr>
      <w:tr w:rsidR="00AE7103" w:rsidRPr="00AE7103" w14:paraId="01A3F01C"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210F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5, 12</w:t>
            </w:r>
          </w:p>
        </w:tc>
        <w:tc>
          <w:tcPr>
            <w:tcW w:w="4505" w:type="dxa"/>
            <w:tcBorders>
              <w:top w:val="nil"/>
              <w:left w:val="nil"/>
              <w:bottom w:val="single" w:sz="4" w:space="0" w:color="auto"/>
              <w:right w:val="single" w:sz="4" w:space="0" w:color="auto"/>
            </w:tcBorders>
            <w:shd w:val="clear" w:color="auto" w:fill="auto"/>
            <w:vAlign w:val="center"/>
            <w:hideMark/>
          </w:tcPr>
          <w:p w14:paraId="18906E9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Global climate risk Index</w:t>
            </w:r>
          </w:p>
        </w:tc>
        <w:tc>
          <w:tcPr>
            <w:tcW w:w="0" w:type="auto"/>
            <w:tcBorders>
              <w:top w:val="nil"/>
              <w:left w:val="nil"/>
              <w:bottom w:val="single" w:sz="4" w:space="0" w:color="auto"/>
              <w:right w:val="single" w:sz="4" w:space="0" w:color="auto"/>
            </w:tcBorders>
            <w:shd w:val="clear" w:color="auto" w:fill="auto"/>
            <w:vAlign w:val="center"/>
            <w:hideMark/>
          </w:tcPr>
          <w:p w14:paraId="77EFD24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D,I</w:t>
            </w:r>
          </w:p>
        </w:tc>
        <w:tc>
          <w:tcPr>
            <w:tcW w:w="1388" w:type="dxa"/>
            <w:tcBorders>
              <w:top w:val="nil"/>
              <w:left w:val="nil"/>
              <w:bottom w:val="single" w:sz="4" w:space="0" w:color="auto"/>
              <w:right w:val="single" w:sz="4" w:space="0" w:color="auto"/>
            </w:tcBorders>
            <w:shd w:val="clear" w:color="auto" w:fill="auto"/>
            <w:vAlign w:val="center"/>
            <w:hideMark/>
          </w:tcPr>
          <w:p w14:paraId="4661DCF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DD,NBP</w:t>
            </w:r>
          </w:p>
        </w:tc>
        <w:tc>
          <w:tcPr>
            <w:tcW w:w="0" w:type="auto"/>
            <w:tcBorders>
              <w:top w:val="nil"/>
              <w:left w:val="nil"/>
              <w:bottom w:val="single" w:sz="4" w:space="0" w:color="auto"/>
              <w:right w:val="single" w:sz="4" w:space="0" w:color="auto"/>
            </w:tcBorders>
            <w:shd w:val="clear" w:color="auto" w:fill="auto"/>
            <w:vAlign w:val="center"/>
            <w:hideMark/>
          </w:tcPr>
          <w:p w14:paraId="336678A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7D2F436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2,4</w:t>
            </w:r>
          </w:p>
        </w:tc>
        <w:tc>
          <w:tcPr>
            <w:tcW w:w="0" w:type="auto"/>
            <w:tcBorders>
              <w:top w:val="nil"/>
              <w:left w:val="nil"/>
              <w:bottom w:val="single" w:sz="4" w:space="0" w:color="auto"/>
              <w:right w:val="single" w:sz="4" w:space="0" w:color="auto"/>
            </w:tcBorders>
            <w:shd w:val="clear" w:color="auto" w:fill="auto"/>
            <w:vAlign w:val="center"/>
            <w:hideMark/>
          </w:tcPr>
          <w:p w14:paraId="1938E09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Future Earth</w:t>
            </w:r>
          </w:p>
        </w:tc>
        <w:tc>
          <w:tcPr>
            <w:tcW w:w="0" w:type="auto"/>
            <w:tcBorders>
              <w:top w:val="nil"/>
              <w:left w:val="nil"/>
              <w:bottom w:val="single" w:sz="4" w:space="0" w:color="auto"/>
              <w:right w:val="single" w:sz="4" w:space="0" w:color="auto"/>
            </w:tcBorders>
            <w:shd w:val="clear" w:color="auto" w:fill="auto"/>
            <w:vAlign w:val="center"/>
            <w:hideMark/>
          </w:tcPr>
          <w:p w14:paraId="360CE08A" w14:textId="1361051A"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270EE64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germanwatch.org</w:t>
            </w:r>
          </w:p>
        </w:tc>
      </w:tr>
      <w:tr w:rsidR="00AE7103" w:rsidRPr="00AE7103" w14:paraId="7EF006A8"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F00E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5, 14</w:t>
            </w:r>
          </w:p>
        </w:tc>
        <w:tc>
          <w:tcPr>
            <w:tcW w:w="4505" w:type="dxa"/>
            <w:tcBorders>
              <w:top w:val="nil"/>
              <w:left w:val="nil"/>
              <w:bottom w:val="single" w:sz="4" w:space="0" w:color="auto"/>
              <w:right w:val="single" w:sz="4" w:space="0" w:color="auto"/>
            </w:tcBorders>
            <w:shd w:val="clear" w:color="auto" w:fill="auto"/>
            <w:vAlign w:val="center"/>
            <w:hideMark/>
          </w:tcPr>
          <w:p w14:paraId="511216C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Wetland Extent Trend Index</w:t>
            </w:r>
          </w:p>
        </w:tc>
        <w:tc>
          <w:tcPr>
            <w:tcW w:w="0" w:type="auto"/>
            <w:tcBorders>
              <w:top w:val="nil"/>
              <w:left w:val="nil"/>
              <w:bottom w:val="single" w:sz="4" w:space="0" w:color="auto"/>
              <w:right w:val="single" w:sz="4" w:space="0" w:color="auto"/>
            </w:tcBorders>
            <w:shd w:val="clear" w:color="auto" w:fill="auto"/>
            <w:vAlign w:val="center"/>
            <w:hideMark/>
          </w:tcPr>
          <w:p w14:paraId="3E0191F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5D4ACBC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BEF,NBP</w:t>
            </w:r>
          </w:p>
        </w:tc>
        <w:tc>
          <w:tcPr>
            <w:tcW w:w="0" w:type="auto"/>
            <w:tcBorders>
              <w:top w:val="nil"/>
              <w:left w:val="nil"/>
              <w:bottom w:val="single" w:sz="4" w:space="0" w:color="auto"/>
              <w:right w:val="single" w:sz="4" w:space="0" w:color="auto"/>
            </w:tcBorders>
            <w:shd w:val="clear" w:color="auto" w:fill="auto"/>
            <w:vAlign w:val="center"/>
            <w:hideMark/>
          </w:tcPr>
          <w:p w14:paraId="1978CA4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49F564C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w:t>
            </w:r>
          </w:p>
        </w:tc>
        <w:tc>
          <w:tcPr>
            <w:tcW w:w="0" w:type="auto"/>
            <w:tcBorders>
              <w:top w:val="nil"/>
              <w:left w:val="nil"/>
              <w:bottom w:val="single" w:sz="4" w:space="0" w:color="auto"/>
              <w:right w:val="single" w:sz="4" w:space="0" w:color="auto"/>
            </w:tcBorders>
            <w:shd w:val="clear" w:color="auto" w:fill="auto"/>
            <w:vAlign w:val="center"/>
            <w:hideMark/>
          </w:tcPr>
          <w:p w14:paraId="662815B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IPBES</w:t>
            </w:r>
          </w:p>
        </w:tc>
        <w:tc>
          <w:tcPr>
            <w:tcW w:w="0" w:type="auto"/>
            <w:tcBorders>
              <w:top w:val="nil"/>
              <w:left w:val="nil"/>
              <w:bottom w:val="single" w:sz="4" w:space="0" w:color="auto"/>
              <w:right w:val="single" w:sz="4" w:space="0" w:color="auto"/>
            </w:tcBorders>
            <w:shd w:val="clear" w:color="auto" w:fill="auto"/>
            <w:vAlign w:val="center"/>
            <w:hideMark/>
          </w:tcPr>
          <w:p w14:paraId="2AD5C4C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65EAE21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UNEP-WCMC</w:t>
            </w:r>
          </w:p>
        </w:tc>
      </w:tr>
      <w:tr w:rsidR="00AE7103" w:rsidRPr="00AE7103" w14:paraId="276B71CB"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C62B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5-12, 14</w:t>
            </w:r>
          </w:p>
        </w:tc>
        <w:tc>
          <w:tcPr>
            <w:tcW w:w="4505" w:type="dxa"/>
            <w:tcBorders>
              <w:top w:val="nil"/>
              <w:left w:val="nil"/>
              <w:bottom w:val="single" w:sz="4" w:space="0" w:color="auto"/>
              <w:right w:val="single" w:sz="4" w:space="0" w:color="auto"/>
            </w:tcBorders>
            <w:shd w:val="clear" w:color="auto" w:fill="auto"/>
            <w:vAlign w:val="center"/>
            <w:hideMark/>
          </w:tcPr>
          <w:p w14:paraId="7CA4519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 xml:space="preserve">Living Planet Index </w:t>
            </w:r>
          </w:p>
        </w:tc>
        <w:tc>
          <w:tcPr>
            <w:tcW w:w="0" w:type="auto"/>
            <w:tcBorders>
              <w:top w:val="nil"/>
              <w:left w:val="nil"/>
              <w:bottom w:val="single" w:sz="4" w:space="0" w:color="auto"/>
              <w:right w:val="single" w:sz="4" w:space="0" w:color="auto"/>
            </w:tcBorders>
            <w:shd w:val="clear" w:color="auto" w:fill="auto"/>
            <w:vAlign w:val="center"/>
            <w:hideMark/>
          </w:tcPr>
          <w:p w14:paraId="46DBB7E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762BA21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BEF</w:t>
            </w:r>
          </w:p>
        </w:tc>
        <w:tc>
          <w:tcPr>
            <w:tcW w:w="0" w:type="auto"/>
            <w:tcBorders>
              <w:top w:val="nil"/>
              <w:left w:val="nil"/>
              <w:bottom w:val="single" w:sz="4" w:space="0" w:color="auto"/>
              <w:right w:val="single" w:sz="4" w:space="0" w:color="auto"/>
            </w:tcBorders>
            <w:shd w:val="clear" w:color="auto" w:fill="auto"/>
            <w:vAlign w:val="center"/>
            <w:hideMark/>
          </w:tcPr>
          <w:p w14:paraId="02F61F8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w:t>
            </w:r>
          </w:p>
        </w:tc>
        <w:tc>
          <w:tcPr>
            <w:tcW w:w="0" w:type="auto"/>
            <w:tcBorders>
              <w:top w:val="nil"/>
              <w:left w:val="nil"/>
              <w:bottom w:val="single" w:sz="4" w:space="0" w:color="auto"/>
              <w:right w:val="single" w:sz="4" w:space="0" w:color="auto"/>
            </w:tcBorders>
            <w:shd w:val="clear" w:color="auto" w:fill="auto"/>
            <w:vAlign w:val="center"/>
            <w:hideMark/>
          </w:tcPr>
          <w:p w14:paraId="3724497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0" w:type="auto"/>
            <w:tcBorders>
              <w:top w:val="nil"/>
              <w:left w:val="nil"/>
              <w:bottom w:val="single" w:sz="4" w:space="0" w:color="auto"/>
              <w:right w:val="single" w:sz="4" w:space="0" w:color="auto"/>
            </w:tcBorders>
            <w:shd w:val="clear" w:color="auto" w:fill="auto"/>
            <w:vAlign w:val="center"/>
            <w:hideMark/>
          </w:tcPr>
          <w:p w14:paraId="0624639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3D0E135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6007D46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WWF/ZSL</w:t>
            </w:r>
          </w:p>
        </w:tc>
      </w:tr>
      <w:tr w:rsidR="00AE7103" w:rsidRPr="00AE7103" w14:paraId="5B2C0612"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9497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798365F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BioTime-Local Species Richness, Temporal Species Turnover, Overall Abundance</w:t>
            </w:r>
          </w:p>
        </w:tc>
        <w:tc>
          <w:tcPr>
            <w:tcW w:w="0" w:type="auto"/>
            <w:tcBorders>
              <w:top w:val="nil"/>
              <w:left w:val="nil"/>
              <w:bottom w:val="single" w:sz="4" w:space="0" w:color="auto"/>
              <w:right w:val="single" w:sz="4" w:space="0" w:color="auto"/>
            </w:tcBorders>
            <w:shd w:val="clear" w:color="auto" w:fill="auto"/>
            <w:vAlign w:val="center"/>
            <w:hideMark/>
          </w:tcPr>
          <w:p w14:paraId="40EAABF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05D4CFD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BEF</w:t>
            </w:r>
          </w:p>
        </w:tc>
        <w:tc>
          <w:tcPr>
            <w:tcW w:w="0" w:type="auto"/>
            <w:tcBorders>
              <w:top w:val="nil"/>
              <w:left w:val="nil"/>
              <w:bottom w:val="single" w:sz="4" w:space="0" w:color="auto"/>
              <w:right w:val="single" w:sz="4" w:space="0" w:color="auto"/>
            </w:tcBorders>
            <w:shd w:val="clear" w:color="auto" w:fill="auto"/>
            <w:vAlign w:val="center"/>
            <w:hideMark/>
          </w:tcPr>
          <w:p w14:paraId="5037520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w:t>
            </w:r>
          </w:p>
        </w:tc>
        <w:tc>
          <w:tcPr>
            <w:tcW w:w="0" w:type="auto"/>
            <w:tcBorders>
              <w:top w:val="nil"/>
              <w:left w:val="nil"/>
              <w:bottom w:val="single" w:sz="4" w:space="0" w:color="auto"/>
              <w:right w:val="single" w:sz="4" w:space="0" w:color="auto"/>
            </w:tcBorders>
            <w:shd w:val="clear" w:color="auto" w:fill="auto"/>
            <w:vAlign w:val="center"/>
            <w:hideMark/>
          </w:tcPr>
          <w:p w14:paraId="7552192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0" w:type="auto"/>
            <w:tcBorders>
              <w:top w:val="nil"/>
              <w:left w:val="nil"/>
              <w:bottom w:val="single" w:sz="4" w:space="0" w:color="auto"/>
              <w:right w:val="single" w:sz="4" w:space="0" w:color="auto"/>
            </w:tcBorders>
            <w:shd w:val="clear" w:color="auto" w:fill="auto"/>
            <w:vAlign w:val="center"/>
            <w:hideMark/>
          </w:tcPr>
          <w:p w14:paraId="699CB64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Future Earth</w:t>
            </w:r>
          </w:p>
        </w:tc>
        <w:tc>
          <w:tcPr>
            <w:tcW w:w="0" w:type="auto"/>
            <w:tcBorders>
              <w:top w:val="nil"/>
              <w:left w:val="nil"/>
              <w:bottom w:val="single" w:sz="4" w:space="0" w:color="auto"/>
              <w:right w:val="single" w:sz="4" w:space="0" w:color="auto"/>
            </w:tcBorders>
            <w:shd w:val="clear" w:color="auto" w:fill="auto"/>
            <w:vAlign w:val="center"/>
            <w:hideMark/>
          </w:tcPr>
          <w:p w14:paraId="3C08AC76" w14:textId="0C0D65A7"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33CD045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Dornelas et al., 2014</w:t>
            </w:r>
          </w:p>
        </w:tc>
      </w:tr>
      <w:tr w:rsidR="00AE7103" w:rsidRPr="00AE7103" w14:paraId="76B0C9EC"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1CE8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518D2A1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Coverage of fisheries with management measures to reduce bycatch and discards</w:t>
            </w:r>
          </w:p>
        </w:tc>
        <w:tc>
          <w:tcPr>
            <w:tcW w:w="0" w:type="auto"/>
            <w:tcBorders>
              <w:top w:val="nil"/>
              <w:left w:val="nil"/>
              <w:bottom w:val="single" w:sz="4" w:space="0" w:color="auto"/>
              <w:right w:val="single" w:sz="4" w:space="0" w:color="auto"/>
            </w:tcBorders>
            <w:shd w:val="clear" w:color="auto" w:fill="auto"/>
            <w:vAlign w:val="center"/>
            <w:hideMark/>
          </w:tcPr>
          <w:p w14:paraId="2F95C4A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1FA4EE0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154CCD2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3E670AA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120FF54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09411AA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21A94B0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FAO</w:t>
            </w:r>
          </w:p>
        </w:tc>
      </w:tr>
      <w:tr w:rsidR="00AE7103" w:rsidRPr="00AE7103" w14:paraId="4F9C25DA"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F564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53DD98D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Global effort in bottom trawling</w:t>
            </w:r>
          </w:p>
        </w:tc>
        <w:tc>
          <w:tcPr>
            <w:tcW w:w="0" w:type="auto"/>
            <w:tcBorders>
              <w:top w:val="nil"/>
              <w:left w:val="nil"/>
              <w:bottom w:val="single" w:sz="4" w:space="0" w:color="auto"/>
              <w:right w:val="single" w:sz="4" w:space="0" w:color="auto"/>
            </w:tcBorders>
            <w:shd w:val="clear" w:color="auto" w:fill="auto"/>
            <w:vAlign w:val="center"/>
            <w:hideMark/>
          </w:tcPr>
          <w:p w14:paraId="773E439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w:t>
            </w:r>
          </w:p>
        </w:tc>
        <w:tc>
          <w:tcPr>
            <w:tcW w:w="1388" w:type="dxa"/>
            <w:tcBorders>
              <w:top w:val="nil"/>
              <w:left w:val="nil"/>
              <w:bottom w:val="single" w:sz="4" w:space="0" w:color="auto"/>
              <w:right w:val="single" w:sz="4" w:space="0" w:color="auto"/>
            </w:tcBorders>
            <w:shd w:val="clear" w:color="auto" w:fill="auto"/>
            <w:vAlign w:val="center"/>
            <w:hideMark/>
          </w:tcPr>
          <w:p w14:paraId="2AB46BA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DD</w:t>
            </w:r>
          </w:p>
        </w:tc>
        <w:tc>
          <w:tcPr>
            <w:tcW w:w="0" w:type="auto"/>
            <w:tcBorders>
              <w:top w:val="nil"/>
              <w:left w:val="nil"/>
              <w:bottom w:val="single" w:sz="4" w:space="0" w:color="auto"/>
              <w:right w:val="single" w:sz="4" w:space="0" w:color="auto"/>
            </w:tcBorders>
            <w:shd w:val="clear" w:color="auto" w:fill="auto"/>
            <w:vAlign w:val="center"/>
            <w:hideMark/>
          </w:tcPr>
          <w:p w14:paraId="669381B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43E460B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w:t>
            </w:r>
          </w:p>
        </w:tc>
        <w:tc>
          <w:tcPr>
            <w:tcW w:w="0" w:type="auto"/>
            <w:tcBorders>
              <w:top w:val="nil"/>
              <w:left w:val="nil"/>
              <w:bottom w:val="single" w:sz="4" w:space="0" w:color="auto"/>
              <w:right w:val="single" w:sz="4" w:space="0" w:color="auto"/>
            </w:tcBorders>
            <w:shd w:val="clear" w:color="auto" w:fill="auto"/>
            <w:vAlign w:val="center"/>
            <w:hideMark/>
          </w:tcPr>
          <w:p w14:paraId="2B5E088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517A96B6" w14:textId="79017BC6"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66F4924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Around the Sea</w:t>
            </w:r>
          </w:p>
        </w:tc>
      </w:tr>
      <w:tr w:rsidR="00AE7103" w:rsidRPr="00AE7103" w14:paraId="1A04F945"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4EC4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1EC9D9C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Mean length of fish</w:t>
            </w:r>
          </w:p>
        </w:tc>
        <w:tc>
          <w:tcPr>
            <w:tcW w:w="0" w:type="auto"/>
            <w:tcBorders>
              <w:top w:val="nil"/>
              <w:left w:val="nil"/>
              <w:bottom w:val="single" w:sz="4" w:space="0" w:color="auto"/>
              <w:right w:val="single" w:sz="4" w:space="0" w:color="auto"/>
            </w:tcBorders>
            <w:shd w:val="clear" w:color="auto" w:fill="auto"/>
            <w:vAlign w:val="center"/>
            <w:hideMark/>
          </w:tcPr>
          <w:p w14:paraId="40B3992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4507576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BEF</w:t>
            </w:r>
          </w:p>
        </w:tc>
        <w:tc>
          <w:tcPr>
            <w:tcW w:w="0" w:type="auto"/>
            <w:tcBorders>
              <w:top w:val="nil"/>
              <w:left w:val="nil"/>
              <w:bottom w:val="single" w:sz="4" w:space="0" w:color="auto"/>
              <w:right w:val="single" w:sz="4" w:space="0" w:color="auto"/>
            </w:tcBorders>
            <w:shd w:val="clear" w:color="auto" w:fill="auto"/>
            <w:vAlign w:val="center"/>
            <w:hideMark/>
          </w:tcPr>
          <w:p w14:paraId="45B16D1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w:t>
            </w:r>
          </w:p>
        </w:tc>
        <w:tc>
          <w:tcPr>
            <w:tcW w:w="0" w:type="auto"/>
            <w:tcBorders>
              <w:top w:val="nil"/>
              <w:left w:val="nil"/>
              <w:bottom w:val="single" w:sz="4" w:space="0" w:color="auto"/>
              <w:right w:val="single" w:sz="4" w:space="0" w:color="auto"/>
            </w:tcBorders>
            <w:shd w:val="clear" w:color="auto" w:fill="auto"/>
            <w:vAlign w:val="center"/>
            <w:hideMark/>
          </w:tcPr>
          <w:p w14:paraId="42B25D8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0" w:type="auto"/>
            <w:tcBorders>
              <w:top w:val="nil"/>
              <w:left w:val="nil"/>
              <w:bottom w:val="single" w:sz="4" w:space="0" w:color="auto"/>
              <w:right w:val="single" w:sz="4" w:space="0" w:color="auto"/>
            </w:tcBorders>
            <w:shd w:val="clear" w:color="auto" w:fill="auto"/>
            <w:vAlign w:val="center"/>
            <w:hideMark/>
          </w:tcPr>
          <w:p w14:paraId="4FB9CB0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Future Earth</w:t>
            </w:r>
          </w:p>
        </w:tc>
        <w:tc>
          <w:tcPr>
            <w:tcW w:w="0" w:type="auto"/>
            <w:tcBorders>
              <w:top w:val="nil"/>
              <w:left w:val="nil"/>
              <w:bottom w:val="single" w:sz="4" w:space="0" w:color="auto"/>
              <w:right w:val="single" w:sz="4" w:space="0" w:color="auto"/>
            </w:tcBorders>
            <w:shd w:val="clear" w:color="auto" w:fill="auto"/>
            <w:vAlign w:val="center"/>
            <w:hideMark/>
          </w:tcPr>
          <w:p w14:paraId="25AF5325" w14:textId="48F65F67"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5215665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Shin et al., 2010</w:t>
            </w:r>
          </w:p>
        </w:tc>
      </w:tr>
      <w:tr w:rsidR="00AE7103" w:rsidRPr="00AE7103" w14:paraId="495BB74B"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B8CB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40B2B26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 xml:space="preserve">Non declining exploited species </w:t>
            </w:r>
          </w:p>
        </w:tc>
        <w:tc>
          <w:tcPr>
            <w:tcW w:w="0" w:type="auto"/>
            <w:tcBorders>
              <w:top w:val="nil"/>
              <w:left w:val="nil"/>
              <w:bottom w:val="single" w:sz="4" w:space="0" w:color="auto"/>
              <w:right w:val="single" w:sz="4" w:space="0" w:color="auto"/>
            </w:tcBorders>
            <w:shd w:val="clear" w:color="auto" w:fill="auto"/>
            <w:vAlign w:val="center"/>
            <w:hideMark/>
          </w:tcPr>
          <w:p w14:paraId="22731CC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3523750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BES</w:t>
            </w:r>
          </w:p>
        </w:tc>
        <w:tc>
          <w:tcPr>
            <w:tcW w:w="0" w:type="auto"/>
            <w:tcBorders>
              <w:top w:val="nil"/>
              <w:left w:val="nil"/>
              <w:bottom w:val="single" w:sz="4" w:space="0" w:color="auto"/>
              <w:right w:val="single" w:sz="4" w:space="0" w:color="auto"/>
            </w:tcBorders>
            <w:shd w:val="clear" w:color="auto" w:fill="auto"/>
            <w:vAlign w:val="center"/>
            <w:hideMark/>
          </w:tcPr>
          <w:p w14:paraId="2C4C6D2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0B031C3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3,4</w:t>
            </w:r>
          </w:p>
        </w:tc>
        <w:tc>
          <w:tcPr>
            <w:tcW w:w="0" w:type="auto"/>
            <w:tcBorders>
              <w:top w:val="nil"/>
              <w:left w:val="nil"/>
              <w:bottom w:val="single" w:sz="4" w:space="0" w:color="auto"/>
              <w:right w:val="single" w:sz="4" w:space="0" w:color="auto"/>
            </w:tcBorders>
            <w:shd w:val="clear" w:color="auto" w:fill="auto"/>
            <w:vAlign w:val="center"/>
            <w:hideMark/>
          </w:tcPr>
          <w:p w14:paraId="115E880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Future Earth</w:t>
            </w:r>
          </w:p>
        </w:tc>
        <w:tc>
          <w:tcPr>
            <w:tcW w:w="0" w:type="auto"/>
            <w:tcBorders>
              <w:top w:val="nil"/>
              <w:left w:val="nil"/>
              <w:bottom w:val="single" w:sz="4" w:space="0" w:color="auto"/>
              <w:right w:val="single" w:sz="4" w:space="0" w:color="auto"/>
            </w:tcBorders>
            <w:shd w:val="clear" w:color="auto" w:fill="auto"/>
            <w:vAlign w:val="center"/>
            <w:hideMark/>
          </w:tcPr>
          <w:p w14:paraId="72946B4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42E43F4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Kleisner et al., 2015</w:t>
            </w:r>
          </w:p>
        </w:tc>
      </w:tr>
      <w:tr w:rsidR="00AE7103" w:rsidRPr="00AE7103" w14:paraId="4025D146"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39CCC"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5FF3352B"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Number and coverage of stocks with adaptive management systems / plans</w:t>
            </w:r>
          </w:p>
        </w:tc>
        <w:tc>
          <w:tcPr>
            <w:tcW w:w="0" w:type="auto"/>
            <w:tcBorders>
              <w:top w:val="nil"/>
              <w:left w:val="nil"/>
              <w:bottom w:val="single" w:sz="4" w:space="0" w:color="auto"/>
              <w:right w:val="single" w:sz="4" w:space="0" w:color="auto"/>
            </w:tcBorders>
            <w:shd w:val="clear" w:color="auto" w:fill="auto"/>
            <w:vAlign w:val="center"/>
            <w:hideMark/>
          </w:tcPr>
          <w:p w14:paraId="104BA484"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40F31307"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482DBA6D"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1D55BAFF"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7CF3827A"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24E18B37"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7BA6916C"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FAO</w:t>
            </w:r>
          </w:p>
        </w:tc>
      </w:tr>
      <w:tr w:rsidR="00AE7103" w:rsidRPr="00AE7103" w14:paraId="05BDCFD0"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A39C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1FE76ED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Policies make adequate provisions to minimize impacts of fisheries on threatened species.</w:t>
            </w:r>
          </w:p>
        </w:tc>
        <w:tc>
          <w:tcPr>
            <w:tcW w:w="0" w:type="auto"/>
            <w:tcBorders>
              <w:top w:val="nil"/>
              <w:left w:val="nil"/>
              <w:bottom w:val="single" w:sz="4" w:space="0" w:color="auto"/>
              <w:right w:val="single" w:sz="4" w:space="0" w:color="auto"/>
            </w:tcBorders>
            <w:shd w:val="clear" w:color="auto" w:fill="auto"/>
            <w:vAlign w:val="center"/>
            <w:hideMark/>
          </w:tcPr>
          <w:p w14:paraId="0C942F5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2BE99C9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3C28065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66893DF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3A1BAD5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52D680D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0A19402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FAO</w:t>
            </w:r>
          </w:p>
        </w:tc>
      </w:tr>
      <w:tr w:rsidR="00AE7103" w:rsidRPr="00AE7103" w14:paraId="070CA2B1"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A1D4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13A207E9" w14:textId="69E12108"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Policies to secure that mortalities and significant i</w:t>
            </w:r>
            <w:r w:rsidR="00941845">
              <w:rPr>
                <w:rFonts w:eastAsia="Malgun Gothic"/>
                <w:color w:val="000000" w:themeColor="text1"/>
                <w:sz w:val="18"/>
                <w:szCs w:val="18"/>
                <w:lang w:eastAsia="ko-KR"/>
              </w:rPr>
              <w:t>ndirect adverse impacts on non-</w:t>
            </w:r>
            <w:r w:rsidRPr="00AE7103">
              <w:rPr>
                <w:rFonts w:eastAsia="Malgun Gothic"/>
                <w:color w:val="000000" w:themeColor="text1"/>
                <w:sz w:val="18"/>
                <w:szCs w:val="18"/>
                <w:lang w:eastAsia="ko-KR"/>
              </w:rPr>
              <w:t>species are accounted for are in place</w:t>
            </w:r>
          </w:p>
        </w:tc>
        <w:tc>
          <w:tcPr>
            <w:tcW w:w="0" w:type="auto"/>
            <w:tcBorders>
              <w:top w:val="nil"/>
              <w:left w:val="nil"/>
              <w:bottom w:val="single" w:sz="4" w:space="0" w:color="auto"/>
              <w:right w:val="single" w:sz="4" w:space="0" w:color="auto"/>
            </w:tcBorders>
            <w:shd w:val="clear" w:color="auto" w:fill="auto"/>
            <w:vAlign w:val="center"/>
            <w:hideMark/>
          </w:tcPr>
          <w:p w14:paraId="4A16245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4E7C643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151D403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1E35343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7A21826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729410B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3551328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FAO</w:t>
            </w:r>
          </w:p>
        </w:tc>
      </w:tr>
      <w:tr w:rsidR="00AE7103" w:rsidRPr="00AE7103" w14:paraId="3BB4B7B7"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A098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03DBBCB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Presence of regulations requiring recovery of depleted species</w:t>
            </w:r>
          </w:p>
        </w:tc>
        <w:tc>
          <w:tcPr>
            <w:tcW w:w="0" w:type="auto"/>
            <w:tcBorders>
              <w:top w:val="nil"/>
              <w:left w:val="nil"/>
              <w:bottom w:val="single" w:sz="4" w:space="0" w:color="auto"/>
              <w:right w:val="single" w:sz="4" w:space="0" w:color="auto"/>
            </w:tcBorders>
            <w:shd w:val="clear" w:color="auto" w:fill="auto"/>
            <w:vAlign w:val="center"/>
            <w:hideMark/>
          </w:tcPr>
          <w:p w14:paraId="1FE2541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48C12AB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3590439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7A7E9A0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65E8D18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2FBAAB4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2749224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FAO</w:t>
            </w:r>
          </w:p>
        </w:tc>
      </w:tr>
      <w:tr w:rsidR="00AE7103" w:rsidRPr="00AE7103" w14:paraId="1D3C65AB"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8AA9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6</w:t>
            </w:r>
          </w:p>
        </w:tc>
        <w:tc>
          <w:tcPr>
            <w:tcW w:w="4505" w:type="dxa"/>
            <w:tcBorders>
              <w:top w:val="nil"/>
              <w:left w:val="nil"/>
              <w:bottom w:val="single" w:sz="4" w:space="0" w:color="auto"/>
              <w:right w:val="single" w:sz="4" w:space="0" w:color="auto"/>
            </w:tcBorders>
            <w:shd w:val="clear" w:color="auto" w:fill="auto"/>
            <w:vAlign w:val="center"/>
            <w:hideMark/>
          </w:tcPr>
          <w:p w14:paraId="44B63FA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Proportion of predatory fish</w:t>
            </w:r>
          </w:p>
        </w:tc>
        <w:tc>
          <w:tcPr>
            <w:tcW w:w="0" w:type="auto"/>
            <w:tcBorders>
              <w:top w:val="nil"/>
              <w:left w:val="nil"/>
              <w:bottom w:val="single" w:sz="4" w:space="0" w:color="auto"/>
              <w:right w:val="single" w:sz="4" w:space="0" w:color="auto"/>
            </w:tcBorders>
            <w:shd w:val="clear" w:color="auto" w:fill="auto"/>
            <w:vAlign w:val="center"/>
            <w:hideMark/>
          </w:tcPr>
          <w:p w14:paraId="1EB48B6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0F5424C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BEF</w:t>
            </w:r>
          </w:p>
        </w:tc>
        <w:tc>
          <w:tcPr>
            <w:tcW w:w="0" w:type="auto"/>
            <w:tcBorders>
              <w:top w:val="nil"/>
              <w:left w:val="nil"/>
              <w:bottom w:val="single" w:sz="4" w:space="0" w:color="auto"/>
              <w:right w:val="single" w:sz="4" w:space="0" w:color="auto"/>
            </w:tcBorders>
            <w:shd w:val="clear" w:color="auto" w:fill="auto"/>
            <w:vAlign w:val="center"/>
            <w:hideMark/>
          </w:tcPr>
          <w:p w14:paraId="2A1337D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w:t>
            </w:r>
          </w:p>
        </w:tc>
        <w:tc>
          <w:tcPr>
            <w:tcW w:w="0" w:type="auto"/>
            <w:tcBorders>
              <w:top w:val="nil"/>
              <w:left w:val="nil"/>
              <w:bottom w:val="single" w:sz="4" w:space="0" w:color="auto"/>
              <w:right w:val="single" w:sz="4" w:space="0" w:color="auto"/>
            </w:tcBorders>
            <w:shd w:val="clear" w:color="auto" w:fill="auto"/>
            <w:vAlign w:val="center"/>
            <w:hideMark/>
          </w:tcPr>
          <w:p w14:paraId="3E51F54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0" w:type="auto"/>
            <w:tcBorders>
              <w:top w:val="nil"/>
              <w:left w:val="nil"/>
              <w:bottom w:val="single" w:sz="4" w:space="0" w:color="auto"/>
              <w:right w:val="single" w:sz="4" w:space="0" w:color="auto"/>
            </w:tcBorders>
            <w:shd w:val="clear" w:color="auto" w:fill="auto"/>
            <w:vAlign w:val="center"/>
            <w:hideMark/>
          </w:tcPr>
          <w:p w14:paraId="693B1A7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Future Earth</w:t>
            </w:r>
          </w:p>
        </w:tc>
        <w:tc>
          <w:tcPr>
            <w:tcW w:w="0" w:type="auto"/>
            <w:tcBorders>
              <w:top w:val="nil"/>
              <w:left w:val="nil"/>
              <w:bottom w:val="single" w:sz="4" w:space="0" w:color="auto"/>
              <w:right w:val="single" w:sz="4" w:space="0" w:color="auto"/>
            </w:tcBorders>
            <w:shd w:val="clear" w:color="auto" w:fill="auto"/>
            <w:vAlign w:val="center"/>
            <w:hideMark/>
          </w:tcPr>
          <w:p w14:paraId="1B72AB6F" w14:textId="2EB6D1A7"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19278C4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Shin et al., 2010</w:t>
            </w:r>
          </w:p>
        </w:tc>
      </w:tr>
      <w:tr w:rsidR="00AE7103" w:rsidRPr="00AE7103" w14:paraId="07FDC870"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129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7</w:t>
            </w:r>
          </w:p>
        </w:tc>
        <w:tc>
          <w:tcPr>
            <w:tcW w:w="4505" w:type="dxa"/>
            <w:tcBorders>
              <w:top w:val="nil"/>
              <w:left w:val="nil"/>
              <w:bottom w:val="single" w:sz="4" w:space="0" w:color="auto"/>
              <w:right w:val="single" w:sz="4" w:space="0" w:color="auto"/>
            </w:tcBorders>
            <w:shd w:val="clear" w:color="auto" w:fill="auto"/>
            <w:vAlign w:val="center"/>
            <w:hideMark/>
          </w:tcPr>
          <w:p w14:paraId="1077BB1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 xml:space="preserve">Areas of agricultural land under conservation agriculture </w:t>
            </w:r>
          </w:p>
        </w:tc>
        <w:tc>
          <w:tcPr>
            <w:tcW w:w="0" w:type="auto"/>
            <w:tcBorders>
              <w:top w:val="nil"/>
              <w:left w:val="nil"/>
              <w:bottom w:val="single" w:sz="4" w:space="0" w:color="auto"/>
              <w:right w:val="single" w:sz="4" w:space="0" w:color="auto"/>
            </w:tcBorders>
            <w:shd w:val="clear" w:color="auto" w:fill="auto"/>
            <w:vAlign w:val="center"/>
            <w:hideMark/>
          </w:tcPr>
          <w:p w14:paraId="5C50778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P,R</w:t>
            </w:r>
          </w:p>
        </w:tc>
        <w:tc>
          <w:tcPr>
            <w:tcW w:w="1388" w:type="dxa"/>
            <w:tcBorders>
              <w:top w:val="nil"/>
              <w:left w:val="nil"/>
              <w:bottom w:val="single" w:sz="4" w:space="0" w:color="auto"/>
              <w:right w:val="single" w:sz="4" w:space="0" w:color="auto"/>
            </w:tcBorders>
            <w:shd w:val="clear" w:color="auto" w:fill="auto"/>
            <w:vAlign w:val="center"/>
            <w:hideMark/>
          </w:tcPr>
          <w:p w14:paraId="1607708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IGID,DD</w:t>
            </w:r>
          </w:p>
        </w:tc>
        <w:tc>
          <w:tcPr>
            <w:tcW w:w="0" w:type="auto"/>
            <w:tcBorders>
              <w:top w:val="nil"/>
              <w:left w:val="nil"/>
              <w:bottom w:val="single" w:sz="4" w:space="0" w:color="auto"/>
              <w:right w:val="single" w:sz="4" w:space="0" w:color="auto"/>
            </w:tcBorders>
            <w:shd w:val="clear" w:color="auto" w:fill="auto"/>
            <w:vAlign w:val="center"/>
            <w:hideMark/>
          </w:tcPr>
          <w:p w14:paraId="3673F09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2,3,4,6</w:t>
            </w:r>
          </w:p>
        </w:tc>
        <w:tc>
          <w:tcPr>
            <w:tcW w:w="0" w:type="auto"/>
            <w:tcBorders>
              <w:top w:val="nil"/>
              <w:left w:val="nil"/>
              <w:bottom w:val="single" w:sz="4" w:space="0" w:color="auto"/>
              <w:right w:val="single" w:sz="4" w:space="0" w:color="auto"/>
            </w:tcBorders>
            <w:shd w:val="clear" w:color="auto" w:fill="auto"/>
            <w:vAlign w:val="center"/>
            <w:hideMark/>
          </w:tcPr>
          <w:p w14:paraId="18E2722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4242281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7F08159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74309CD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FAO</w:t>
            </w:r>
          </w:p>
        </w:tc>
      </w:tr>
      <w:tr w:rsidR="00AE7103" w:rsidRPr="00AE7103" w14:paraId="58A3626E"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2C8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7</w:t>
            </w:r>
          </w:p>
        </w:tc>
        <w:tc>
          <w:tcPr>
            <w:tcW w:w="4505" w:type="dxa"/>
            <w:tcBorders>
              <w:top w:val="nil"/>
              <w:left w:val="nil"/>
              <w:bottom w:val="single" w:sz="4" w:space="0" w:color="auto"/>
              <w:right w:val="single" w:sz="4" w:space="0" w:color="auto"/>
            </w:tcBorders>
            <w:shd w:val="clear" w:color="auto" w:fill="auto"/>
            <w:vAlign w:val="center"/>
            <w:hideMark/>
          </w:tcPr>
          <w:p w14:paraId="315D227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Nitrogen Use Balance</w:t>
            </w:r>
          </w:p>
        </w:tc>
        <w:tc>
          <w:tcPr>
            <w:tcW w:w="0" w:type="auto"/>
            <w:tcBorders>
              <w:top w:val="nil"/>
              <w:left w:val="nil"/>
              <w:bottom w:val="single" w:sz="4" w:space="0" w:color="auto"/>
              <w:right w:val="single" w:sz="4" w:space="0" w:color="auto"/>
            </w:tcBorders>
            <w:shd w:val="clear" w:color="auto" w:fill="auto"/>
            <w:vAlign w:val="center"/>
            <w:hideMark/>
          </w:tcPr>
          <w:p w14:paraId="5CFF479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w:t>
            </w:r>
          </w:p>
        </w:tc>
        <w:tc>
          <w:tcPr>
            <w:tcW w:w="1388" w:type="dxa"/>
            <w:tcBorders>
              <w:top w:val="nil"/>
              <w:left w:val="nil"/>
              <w:bottom w:val="single" w:sz="4" w:space="0" w:color="auto"/>
              <w:right w:val="single" w:sz="4" w:space="0" w:color="auto"/>
            </w:tcBorders>
            <w:shd w:val="clear" w:color="auto" w:fill="auto"/>
            <w:vAlign w:val="center"/>
            <w:hideMark/>
          </w:tcPr>
          <w:p w14:paraId="486AD72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DD</w:t>
            </w:r>
          </w:p>
        </w:tc>
        <w:tc>
          <w:tcPr>
            <w:tcW w:w="0" w:type="auto"/>
            <w:tcBorders>
              <w:top w:val="nil"/>
              <w:left w:val="nil"/>
              <w:bottom w:val="single" w:sz="4" w:space="0" w:color="auto"/>
              <w:right w:val="single" w:sz="4" w:space="0" w:color="auto"/>
            </w:tcBorders>
            <w:shd w:val="clear" w:color="auto" w:fill="auto"/>
            <w:vAlign w:val="center"/>
            <w:hideMark/>
          </w:tcPr>
          <w:p w14:paraId="45CBF45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2,3,4,5</w:t>
            </w:r>
          </w:p>
        </w:tc>
        <w:tc>
          <w:tcPr>
            <w:tcW w:w="0" w:type="auto"/>
            <w:tcBorders>
              <w:top w:val="nil"/>
              <w:left w:val="nil"/>
              <w:bottom w:val="single" w:sz="4" w:space="0" w:color="auto"/>
              <w:right w:val="single" w:sz="4" w:space="0" w:color="auto"/>
            </w:tcBorders>
            <w:shd w:val="clear" w:color="auto" w:fill="auto"/>
            <w:vAlign w:val="center"/>
            <w:hideMark/>
          </w:tcPr>
          <w:p w14:paraId="3C688D6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4,5</w:t>
            </w:r>
          </w:p>
        </w:tc>
        <w:tc>
          <w:tcPr>
            <w:tcW w:w="0" w:type="auto"/>
            <w:tcBorders>
              <w:top w:val="nil"/>
              <w:left w:val="nil"/>
              <w:bottom w:val="single" w:sz="4" w:space="0" w:color="auto"/>
              <w:right w:val="single" w:sz="4" w:space="0" w:color="auto"/>
            </w:tcBorders>
            <w:shd w:val="clear" w:color="auto" w:fill="auto"/>
            <w:vAlign w:val="center"/>
            <w:hideMark/>
          </w:tcPr>
          <w:p w14:paraId="1205C1A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EPI</w:t>
            </w:r>
          </w:p>
        </w:tc>
        <w:tc>
          <w:tcPr>
            <w:tcW w:w="0" w:type="auto"/>
            <w:tcBorders>
              <w:top w:val="nil"/>
              <w:left w:val="nil"/>
              <w:bottom w:val="single" w:sz="4" w:space="0" w:color="auto"/>
              <w:right w:val="single" w:sz="4" w:space="0" w:color="auto"/>
            </w:tcBorders>
            <w:shd w:val="clear" w:color="auto" w:fill="auto"/>
            <w:vAlign w:val="center"/>
            <w:hideMark/>
          </w:tcPr>
          <w:p w14:paraId="01E2C23E" w14:textId="3695C856"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73427C3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Zhang et al. 2015</w:t>
            </w:r>
          </w:p>
        </w:tc>
      </w:tr>
      <w:tr w:rsidR="00AE7103" w:rsidRPr="00AE7103" w14:paraId="5467F78B"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405D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7</w:t>
            </w:r>
          </w:p>
        </w:tc>
        <w:tc>
          <w:tcPr>
            <w:tcW w:w="4505" w:type="dxa"/>
            <w:tcBorders>
              <w:top w:val="nil"/>
              <w:left w:val="nil"/>
              <w:bottom w:val="single" w:sz="4" w:space="0" w:color="auto"/>
              <w:right w:val="single" w:sz="4" w:space="0" w:color="auto"/>
            </w:tcBorders>
            <w:shd w:val="clear" w:color="auto" w:fill="auto"/>
            <w:vAlign w:val="center"/>
            <w:hideMark/>
          </w:tcPr>
          <w:p w14:paraId="2860772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Number of world natural heritage sites per country per year</w:t>
            </w:r>
          </w:p>
        </w:tc>
        <w:tc>
          <w:tcPr>
            <w:tcW w:w="0" w:type="auto"/>
            <w:tcBorders>
              <w:top w:val="nil"/>
              <w:left w:val="nil"/>
              <w:bottom w:val="single" w:sz="4" w:space="0" w:color="auto"/>
              <w:right w:val="single" w:sz="4" w:space="0" w:color="auto"/>
            </w:tcBorders>
            <w:shd w:val="clear" w:color="auto" w:fill="auto"/>
            <w:vAlign w:val="center"/>
            <w:hideMark/>
          </w:tcPr>
          <w:p w14:paraId="17C6C9B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w:t>
            </w:r>
          </w:p>
        </w:tc>
        <w:tc>
          <w:tcPr>
            <w:tcW w:w="1388" w:type="dxa"/>
            <w:tcBorders>
              <w:top w:val="nil"/>
              <w:left w:val="nil"/>
              <w:bottom w:val="single" w:sz="4" w:space="0" w:color="auto"/>
              <w:right w:val="single" w:sz="4" w:space="0" w:color="auto"/>
            </w:tcBorders>
            <w:shd w:val="clear" w:color="auto" w:fill="auto"/>
            <w:vAlign w:val="center"/>
            <w:hideMark/>
          </w:tcPr>
          <w:p w14:paraId="40342E3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NBP,IGID,GQL</w:t>
            </w:r>
          </w:p>
        </w:tc>
        <w:tc>
          <w:tcPr>
            <w:tcW w:w="0" w:type="auto"/>
            <w:tcBorders>
              <w:top w:val="nil"/>
              <w:left w:val="nil"/>
              <w:bottom w:val="single" w:sz="4" w:space="0" w:color="auto"/>
              <w:right w:val="single" w:sz="4" w:space="0" w:color="auto"/>
            </w:tcBorders>
            <w:shd w:val="clear" w:color="auto" w:fill="auto"/>
            <w:vAlign w:val="center"/>
            <w:hideMark/>
          </w:tcPr>
          <w:p w14:paraId="2CDDE68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2,3,4,6</w:t>
            </w:r>
          </w:p>
        </w:tc>
        <w:tc>
          <w:tcPr>
            <w:tcW w:w="0" w:type="auto"/>
            <w:tcBorders>
              <w:top w:val="nil"/>
              <w:left w:val="nil"/>
              <w:bottom w:val="single" w:sz="4" w:space="0" w:color="auto"/>
              <w:right w:val="single" w:sz="4" w:space="0" w:color="auto"/>
            </w:tcBorders>
            <w:shd w:val="clear" w:color="auto" w:fill="auto"/>
            <w:vAlign w:val="center"/>
            <w:hideMark/>
          </w:tcPr>
          <w:p w14:paraId="57E2584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2,4,6</w:t>
            </w:r>
          </w:p>
        </w:tc>
        <w:tc>
          <w:tcPr>
            <w:tcW w:w="0" w:type="auto"/>
            <w:tcBorders>
              <w:top w:val="nil"/>
              <w:left w:val="nil"/>
              <w:bottom w:val="single" w:sz="4" w:space="0" w:color="auto"/>
              <w:right w:val="single" w:sz="4" w:space="0" w:color="auto"/>
            </w:tcBorders>
            <w:shd w:val="clear" w:color="auto" w:fill="auto"/>
            <w:vAlign w:val="center"/>
            <w:hideMark/>
          </w:tcPr>
          <w:p w14:paraId="2161B0A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Future Earth</w:t>
            </w:r>
          </w:p>
        </w:tc>
        <w:tc>
          <w:tcPr>
            <w:tcW w:w="0" w:type="auto"/>
            <w:tcBorders>
              <w:top w:val="nil"/>
              <w:left w:val="nil"/>
              <w:bottom w:val="single" w:sz="4" w:space="0" w:color="auto"/>
              <w:right w:val="single" w:sz="4" w:space="0" w:color="auto"/>
            </w:tcBorders>
            <w:shd w:val="clear" w:color="auto" w:fill="auto"/>
            <w:vAlign w:val="center"/>
            <w:hideMark/>
          </w:tcPr>
          <w:p w14:paraId="3BC3B39D" w14:textId="2B336ED3"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5DCE74E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UNESCO</w:t>
            </w:r>
          </w:p>
        </w:tc>
      </w:tr>
      <w:tr w:rsidR="00AE7103" w:rsidRPr="00AE7103" w14:paraId="1881134D"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74B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7</w:t>
            </w:r>
          </w:p>
        </w:tc>
        <w:tc>
          <w:tcPr>
            <w:tcW w:w="4505" w:type="dxa"/>
            <w:tcBorders>
              <w:top w:val="nil"/>
              <w:left w:val="nil"/>
              <w:bottom w:val="single" w:sz="4" w:space="0" w:color="auto"/>
              <w:right w:val="single" w:sz="4" w:space="0" w:color="auto"/>
            </w:tcBorders>
            <w:shd w:val="clear" w:color="auto" w:fill="auto"/>
            <w:vAlign w:val="center"/>
            <w:hideMark/>
          </w:tcPr>
          <w:p w14:paraId="47DAC642" w14:textId="02C06FE1"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 xml:space="preserve">Proportion of agricultural area under productive and sustainable </w:t>
            </w:r>
            <w:r w:rsidR="00941845">
              <w:rPr>
                <w:rFonts w:eastAsia="Malgun Gothic"/>
                <w:color w:val="000000" w:themeColor="text1"/>
                <w:sz w:val="18"/>
                <w:szCs w:val="18"/>
                <w:lang w:eastAsia="ko-KR"/>
              </w:rPr>
              <w:t xml:space="preserve">agriculture (indicator for SDG </w:t>
            </w:r>
            <w:r w:rsidRPr="00AE7103">
              <w:rPr>
                <w:rFonts w:eastAsia="Malgun Gothic"/>
                <w:color w:val="000000" w:themeColor="text1"/>
                <w:sz w:val="18"/>
                <w:szCs w:val="18"/>
                <w:lang w:eastAsia="ko-KR"/>
              </w:rPr>
              <w:t>2.4)</w:t>
            </w:r>
          </w:p>
        </w:tc>
        <w:tc>
          <w:tcPr>
            <w:tcW w:w="0" w:type="auto"/>
            <w:tcBorders>
              <w:top w:val="nil"/>
              <w:left w:val="nil"/>
              <w:bottom w:val="single" w:sz="4" w:space="0" w:color="auto"/>
              <w:right w:val="single" w:sz="4" w:space="0" w:color="auto"/>
            </w:tcBorders>
            <w:shd w:val="clear" w:color="auto" w:fill="auto"/>
            <w:vAlign w:val="center"/>
            <w:hideMark/>
          </w:tcPr>
          <w:p w14:paraId="2EF49EC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P,R</w:t>
            </w:r>
          </w:p>
        </w:tc>
        <w:tc>
          <w:tcPr>
            <w:tcW w:w="1388" w:type="dxa"/>
            <w:tcBorders>
              <w:top w:val="nil"/>
              <w:left w:val="nil"/>
              <w:bottom w:val="single" w:sz="4" w:space="0" w:color="auto"/>
              <w:right w:val="single" w:sz="4" w:space="0" w:color="auto"/>
            </w:tcBorders>
            <w:shd w:val="clear" w:color="auto" w:fill="auto"/>
            <w:vAlign w:val="center"/>
            <w:hideMark/>
          </w:tcPr>
          <w:p w14:paraId="797C191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IGID,DD</w:t>
            </w:r>
          </w:p>
        </w:tc>
        <w:tc>
          <w:tcPr>
            <w:tcW w:w="0" w:type="auto"/>
            <w:tcBorders>
              <w:top w:val="nil"/>
              <w:left w:val="nil"/>
              <w:bottom w:val="single" w:sz="4" w:space="0" w:color="auto"/>
              <w:right w:val="single" w:sz="4" w:space="0" w:color="auto"/>
            </w:tcBorders>
            <w:shd w:val="clear" w:color="auto" w:fill="auto"/>
            <w:vAlign w:val="center"/>
            <w:hideMark/>
          </w:tcPr>
          <w:p w14:paraId="28DBC7F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2,3,4,6</w:t>
            </w:r>
          </w:p>
        </w:tc>
        <w:tc>
          <w:tcPr>
            <w:tcW w:w="0" w:type="auto"/>
            <w:tcBorders>
              <w:top w:val="nil"/>
              <w:left w:val="nil"/>
              <w:bottom w:val="single" w:sz="4" w:space="0" w:color="auto"/>
              <w:right w:val="single" w:sz="4" w:space="0" w:color="auto"/>
            </w:tcBorders>
            <w:shd w:val="clear" w:color="auto" w:fill="auto"/>
            <w:vAlign w:val="center"/>
            <w:hideMark/>
          </w:tcPr>
          <w:p w14:paraId="12945B7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608628F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15DF71A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381854F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FAO</w:t>
            </w:r>
          </w:p>
        </w:tc>
      </w:tr>
      <w:tr w:rsidR="00AE7103" w:rsidRPr="00AE7103" w14:paraId="12C3DB33"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3CF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9</w:t>
            </w:r>
          </w:p>
        </w:tc>
        <w:tc>
          <w:tcPr>
            <w:tcW w:w="4505" w:type="dxa"/>
            <w:tcBorders>
              <w:top w:val="nil"/>
              <w:left w:val="nil"/>
              <w:bottom w:val="single" w:sz="4" w:space="0" w:color="auto"/>
              <w:right w:val="single" w:sz="4" w:space="0" w:color="auto"/>
            </w:tcBorders>
            <w:shd w:val="clear" w:color="auto" w:fill="auto"/>
            <w:vAlign w:val="center"/>
            <w:hideMark/>
          </w:tcPr>
          <w:p w14:paraId="4505172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Trends in invasive alien species vertebrate eradications</w:t>
            </w:r>
          </w:p>
        </w:tc>
        <w:tc>
          <w:tcPr>
            <w:tcW w:w="0" w:type="auto"/>
            <w:tcBorders>
              <w:top w:val="nil"/>
              <w:left w:val="nil"/>
              <w:bottom w:val="single" w:sz="4" w:space="0" w:color="auto"/>
              <w:right w:val="single" w:sz="4" w:space="0" w:color="auto"/>
            </w:tcBorders>
            <w:shd w:val="clear" w:color="auto" w:fill="auto"/>
            <w:vAlign w:val="center"/>
            <w:hideMark/>
          </w:tcPr>
          <w:p w14:paraId="6F56546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5DF13C2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0A9D6F5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54C47DB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1118E3E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02EAD9E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06B6180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IUCN ISSG, Island Conservation</w:t>
            </w:r>
          </w:p>
        </w:tc>
      </w:tr>
      <w:tr w:rsidR="00AE7103" w:rsidRPr="00AE7103" w14:paraId="5C2A6CC2"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CEF2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9</w:t>
            </w:r>
          </w:p>
        </w:tc>
        <w:tc>
          <w:tcPr>
            <w:tcW w:w="4505" w:type="dxa"/>
            <w:tcBorders>
              <w:top w:val="nil"/>
              <w:left w:val="nil"/>
              <w:bottom w:val="single" w:sz="4" w:space="0" w:color="auto"/>
              <w:right w:val="single" w:sz="4" w:space="0" w:color="auto"/>
            </w:tcBorders>
            <w:shd w:val="clear" w:color="auto" w:fill="auto"/>
            <w:vAlign w:val="center"/>
            <w:hideMark/>
          </w:tcPr>
          <w:p w14:paraId="312FD8F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 xml:space="preserve">Trends in the numbers of invasive alien species introduction events </w:t>
            </w:r>
          </w:p>
        </w:tc>
        <w:tc>
          <w:tcPr>
            <w:tcW w:w="0" w:type="auto"/>
            <w:tcBorders>
              <w:top w:val="nil"/>
              <w:left w:val="nil"/>
              <w:bottom w:val="single" w:sz="4" w:space="0" w:color="auto"/>
              <w:right w:val="single" w:sz="4" w:space="0" w:color="auto"/>
            </w:tcBorders>
            <w:shd w:val="clear" w:color="auto" w:fill="auto"/>
            <w:vAlign w:val="center"/>
            <w:hideMark/>
          </w:tcPr>
          <w:p w14:paraId="13A34E8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w:t>
            </w:r>
          </w:p>
        </w:tc>
        <w:tc>
          <w:tcPr>
            <w:tcW w:w="1388" w:type="dxa"/>
            <w:tcBorders>
              <w:top w:val="nil"/>
              <w:left w:val="nil"/>
              <w:bottom w:val="single" w:sz="4" w:space="0" w:color="auto"/>
              <w:right w:val="single" w:sz="4" w:space="0" w:color="auto"/>
            </w:tcBorders>
            <w:shd w:val="clear" w:color="auto" w:fill="auto"/>
            <w:vAlign w:val="center"/>
            <w:hideMark/>
          </w:tcPr>
          <w:p w14:paraId="7B085FD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DD</w:t>
            </w:r>
          </w:p>
        </w:tc>
        <w:tc>
          <w:tcPr>
            <w:tcW w:w="0" w:type="auto"/>
            <w:tcBorders>
              <w:top w:val="nil"/>
              <w:left w:val="nil"/>
              <w:bottom w:val="single" w:sz="4" w:space="0" w:color="auto"/>
              <w:right w:val="single" w:sz="4" w:space="0" w:color="auto"/>
            </w:tcBorders>
            <w:shd w:val="clear" w:color="auto" w:fill="auto"/>
            <w:vAlign w:val="center"/>
            <w:hideMark/>
          </w:tcPr>
          <w:p w14:paraId="0B52A4C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7C88847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w:t>
            </w:r>
          </w:p>
        </w:tc>
        <w:tc>
          <w:tcPr>
            <w:tcW w:w="0" w:type="auto"/>
            <w:tcBorders>
              <w:top w:val="nil"/>
              <w:left w:val="nil"/>
              <w:bottom w:val="single" w:sz="4" w:space="0" w:color="auto"/>
              <w:right w:val="single" w:sz="4" w:space="0" w:color="auto"/>
            </w:tcBorders>
            <w:shd w:val="clear" w:color="auto" w:fill="auto"/>
            <w:vAlign w:val="center"/>
            <w:hideMark/>
          </w:tcPr>
          <w:p w14:paraId="1C4EB41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125F3E0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6ADA84E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IUCN ISSG</w:t>
            </w:r>
          </w:p>
        </w:tc>
      </w:tr>
      <w:tr w:rsidR="00AE7103" w:rsidRPr="00AE7103" w14:paraId="7D04BB19"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B47A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11</w:t>
            </w:r>
          </w:p>
        </w:tc>
        <w:tc>
          <w:tcPr>
            <w:tcW w:w="4505" w:type="dxa"/>
            <w:tcBorders>
              <w:top w:val="nil"/>
              <w:left w:val="nil"/>
              <w:bottom w:val="single" w:sz="4" w:space="0" w:color="auto"/>
              <w:right w:val="single" w:sz="4" w:space="0" w:color="auto"/>
            </w:tcBorders>
            <w:shd w:val="clear" w:color="auto" w:fill="auto"/>
            <w:vAlign w:val="center"/>
            <w:hideMark/>
          </w:tcPr>
          <w:p w14:paraId="7A18070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Protected area coverage of terrestrial, marine and freshwater ecoregions</w:t>
            </w:r>
          </w:p>
        </w:tc>
        <w:tc>
          <w:tcPr>
            <w:tcW w:w="0" w:type="auto"/>
            <w:tcBorders>
              <w:top w:val="nil"/>
              <w:left w:val="nil"/>
              <w:bottom w:val="single" w:sz="4" w:space="0" w:color="auto"/>
              <w:right w:val="single" w:sz="4" w:space="0" w:color="auto"/>
            </w:tcBorders>
            <w:shd w:val="clear" w:color="auto" w:fill="auto"/>
            <w:vAlign w:val="center"/>
            <w:hideMark/>
          </w:tcPr>
          <w:p w14:paraId="06D2E7C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6412420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IGID,BEF</w:t>
            </w:r>
          </w:p>
        </w:tc>
        <w:tc>
          <w:tcPr>
            <w:tcW w:w="0" w:type="auto"/>
            <w:tcBorders>
              <w:top w:val="nil"/>
              <w:left w:val="nil"/>
              <w:bottom w:val="single" w:sz="4" w:space="0" w:color="auto"/>
              <w:right w:val="single" w:sz="4" w:space="0" w:color="auto"/>
            </w:tcBorders>
            <w:shd w:val="clear" w:color="auto" w:fill="auto"/>
            <w:vAlign w:val="center"/>
            <w:hideMark/>
          </w:tcPr>
          <w:p w14:paraId="2B7B57F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35E96CC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3,4,6</w:t>
            </w:r>
          </w:p>
        </w:tc>
        <w:tc>
          <w:tcPr>
            <w:tcW w:w="0" w:type="auto"/>
            <w:tcBorders>
              <w:top w:val="nil"/>
              <w:left w:val="nil"/>
              <w:bottom w:val="single" w:sz="4" w:space="0" w:color="auto"/>
              <w:right w:val="single" w:sz="4" w:space="0" w:color="auto"/>
            </w:tcBorders>
            <w:shd w:val="clear" w:color="auto" w:fill="auto"/>
            <w:vAlign w:val="center"/>
            <w:hideMark/>
          </w:tcPr>
          <w:p w14:paraId="56FED8E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09D4AC4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3EE1F1C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UNEP-WCMC</w:t>
            </w:r>
          </w:p>
        </w:tc>
      </w:tr>
      <w:tr w:rsidR="00AE7103" w:rsidRPr="00AE7103" w14:paraId="43D43374"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AB88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11</w:t>
            </w:r>
          </w:p>
        </w:tc>
        <w:tc>
          <w:tcPr>
            <w:tcW w:w="4505" w:type="dxa"/>
            <w:tcBorders>
              <w:top w:val="nil"/>
              <w:left w:val="nil"/>
              <w:bottom w:val="single" w:sz="4" w:space="0" w:color="auto"/>
              <w:right w:val="single" w:sz="4" w:space="0" w:color="auto"/>
            </w:tcBorders>
            <w:shd w:val="clear" w:color="auto" w:fill="auto"/>
            <w:vAlign w:val="center"/>
            <w:hideMark/>
          </w:tcPr>
          <w:p w14:paraId="19D6C67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Protected Area Representativeness Index</w:t>
            </w:r>
          </w:p>
        </w:tc>
        <w:tc>
          <w:tcPr>
            <w:tcW w:w="0" w:type="auto"/>
            <w:tcBorders>
              <w:top w:val="nil"/>
              <w:left w:val="nil"/>
              <w:bottom w:val="single" w:sz="4" w:space="0" w:color="auto"/>
              <w:right w:val="single" w:sz="4" w:space="0" w:color="auto"/>
            </w:tcBorders>
            <w:shd w:val="clear" w:color="auto" w:fill="auto"/>
            <w:vAlign w:val="center"/>
            <w:hideMark/>
          </w:tcPr>
          <w:p w14:paraId="5F88F43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P,R</w:t>
            </w:r>
          </w:p>
        </w:tc>
        <w:tc>
          <w:tcPr>
            <w:tcW w:w="1388" w:type="dxa"/>
            <w:tcBorders>
              <w:top w:val="nil"/>
              <w:left w:val="nil"/>
              <w:bottom w:val="single" w:sz="4" w:space="0" w:color="auto"/>
              <w:right w:val="single" w:sz="4" w:space="0" w:color="auto"/>
            </w:tcBorders>
            <w:shd w:val="clear" w:color="auto" w:fill="auto"/>
            <w:vAlign w:val="center"/>
            <w:hideMark/>
          </w:tcPr>
          <w:p w14:paraId="240D96C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IGID,DD</w:t>
            </w:r>
          </w:p>
        </w:tc>
        <w:tc>
          <w:tcPr>
            <w:tcW w:w="0" w:type="auto"/>
            <w:tcBorders>
              <w:top w:val="nil"/>
              <w:left w:val="nil"/>
              <w:bottom w:val="single" w:sz="4" w:space="0" w:color="auto"/>
              <w:right w:val="single" w:sz="4" w:space="0" w:color="auto"/>
            </w:tcBorders>
            <w:shd w:val="clear" w:color="auto" w:fill="auto"/>
            <w:vAlign w:val="center"/>
            <w:hideMark/>
          </w:tcPr>
          <w:p w14:paraId="385F38D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2,3,4,6</w:t>
            </w:r>
          </w:p>
        </w:tc>
        <w:tc>
          <w:tcPr>
            <w:tcW w:w="0" w:type="auto"/>
            <w:tcBorders>
              <w:top w:val="nil"/>
              <w:left w:val="nil"/>
              <w:bottom w:val="single" w:sz="4" w:space="0" w:color="auto"/>
              <w:right w:val="single" w:sz="4" w:space="0" w:color="auto"/>
            </w:tcBorders>
            <w:shd w:val="clear" w:color="auto" w:fill="auto"/>
            <w:vAlign w:val="center"/>
            <w:hideMark/>
          </w:tcPr>
          <w:p w14:paraId="3814B8C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0E01328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5EFC8ADC" w14:textId="6F2F577C"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1967F2A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GEO BON-CSIRO</w:t>
            </w:r>
          </w:p>
        </w:tc>
      </w:tr>
      <w:tr w:rsidR="00AE7103" w:rsidRPr="00AE7103" w14:paraId="70FB76E7"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6B39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11</w:t>
            </w:r>
          </w:p>
        </w:tc>
        <w:tc>
          <w:tcPr>
            <w:tcW w:w="4505" w:type="dxa"/>
            <w:tcBorders>
              <w:top w:val="nil"/>
              <w:left w:val="nil"/>
              <w:bottom w:val="single" w:sz="4" w:space="0" w:color="auto"/>
              <w:right w:val="single" w:sz="4" w:space="0" w:color="auto"/>
            </w:tcBorders>
            <w:shd w:val="clear" w:color="auto" w:fill="auto"/>
            <w:vAlign w:val="center"/>
            <w:hideMark/>
          </w:tcPr>
          <w:p w14:paraId="67E5A35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The Wildlife Picture Index (disaggregated by protected area)</w:t>
            </w:r>
          </w:p>
        </w:tc>
        <w:tc>
          <w:tcPr>
            <w:tcW w:w="0" w:type="auto"/>
            <w:tcBorders>
              <w:top w:val="nil"/>
              <w:left w:val="nil"/>
              <w:bottom w:val="single" w:sz="4" w:space="0" w:color="auto"/>
              <w:right w:val="single" w:sz="4" w:space="0" w:color="auto"/>
            </w:tcBorders>
            <w:shd w:val="clear" w:color="auto" w:fill="auto"/>
            <w:vAlign w:val="center"/>
            <w:hideMark/>
          </w:tcPr>
          <w:p w14:paraId="6FB9275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S,I,R</w:t>
            </w:r>
          </w:p>
        </w:tc>
        <w:tc>
          <w:tcPr>
            <w:tcW w:w="1388" w:type="dxa"/>
            <w:tcBorders>
              <w:top w:val="nil"/>
              <w:left w:val="nil"/>
              <w:bottom w:val="single" w:sz="4" w:space="0" w:color="auto"/>
              <w:right w:val="single" w:sz="4" w:space="0" w:color="auto"/>
            </w:tcBorders>
            <w:shd w:val="clear" w:color="auto" w:fill="auto"/>
            <w:vAlign w:val="center"/>
            <w:hideMark/>
          </w:tcPr>
          <w:p w14:paraId="2D27E8F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IGID,DD,BEF</w:t>
            </w:r>
          </w:p>
        </w:tc>
        <w:tc>
          <w:tcPr>
            <w:tcW w:w="0" w:type="auto"/>
            <w:tcBorders>
              <w:top w:val="nil"/>
              <w:left w:val="nil"/>
              <w:bottom w:val="single" w:sz="4" w:space="0" w:color="auto"/>
              <w:right w:val="single" w:sz="4" w:space="0" w:color="auto"/>
            </w:tcBorders>
            <w:shd w:val="clear" w:color="auto" w:fill="auto"/>
            <w:vAlign w:val="center"/>
            <w:hideMark/>
          </w:tcPr>
          <w:p w14:paraId="6F20040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2,3,4,6</w:t>
            </w:r>
          </w:p>
        </w:tc>
        <w:tc>
          <w:tcPr>
            <w:tcW w:w="0" w:type="auto"/>
            <w:tcBorders>
              <w:top w:val="nil"/>
              <w:left w:val="nil"/>
              <w:bottom w:val="single" w:sz="4" w:space="0" w:color="auto"/>
              <w:right w:val="single" w:sz="4" w:space="0" w:color="auto"/>
            </w:tcBorders>
            <w:shd w:val="clear" w:color="auto" w:fill="auto"/>
            <w:vAlign w:val="center"/>
            <w:hideMark/>
          </w:tcPr>
          <w:p w14:paraId="3A48176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3,4,6</w:t>
            </w:r>
          </w:p>
        </w:tc>
        <w:tc>
          <w:tcPr>
            <w:tcW w:w="0" w:type="auto"/>
            <w:tcBorders>
              <w:top w:val="nil"/>
              <w:left w:val="nil"/>
              <w:bottom w:val="single" w:sz="4" w:space="0" w:color="auto"/>
              <w:right w:val="single" w:sz="4" w:space="0" w:color="auto"/>
            </w:tcBorders>
            <w:shd w:val="clear" w:color="auto" w:fill="auto"/>
            <w:vAlign w:val="center"/>
            <w:hideMark/>
          </w:tcPr>
          <w:p w14:paraId="7AB78D2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6EAE37B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2C9BD30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Tropical Ecology Assessment and Monitoring (TEAM) Network</w:t>
            </w:r>
          </w:p>
        </w:tc>
      </w:tr>
      <w:tr w:rsidR="00AE7103" w:rsidRPr="00AE7103" w14:paraId="01E63904"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D611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12</w:t>
            </w:r>
          </w:p>
        </w:tc>
        <w:tc>
          <w:tcPr>
            <w:tcW w:w="4505" w:type="dxa"/>
            <w:tcBorders>
              <w:top w:val="nil"/>
              <w:left w:val="nil"/>
              <w:bottom w:val="single" w:sz="4" w:space="0" w:color="auto"/>
              <w:right w:val="single" w:sz="4" w:space="0" w:color="auto"/>
            </w:tcBorders>
            <w:shd w:val="clear" w:color="auto" w:fill="auto"/>
            <w:vAlign w:val="center"/>
            <w:hideMark/>
          </w:tcPr>
          <w:p w14:paraId="6E51D1C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Mean Species Abundance (GLOBIO3)</w:t>
            </w:r>
          </w:p>
        </w:tc>
        <w:tc>
          <w:tcPr>
            <w:tcW w:w="0" w:type="auto"/>
            <w:tcBorders>
              <w:top w:val="nil"/>
              <w:left w:val="nil"/>
              <w:bottom w:val="single" w:sz="4" w:space="0" w:color="auto"/>
              <w:right w:val="single" w:sz="4" w:space="0" w:color="auto"/>
            </w:tcBorders>
            <w:shd w:val="clear" w:color="auto" w:fill="auto"/>
            <w:vAlign w:val="center"/>
            <w:hideMark/>
          </w:tcPr>
          <w:p w14:paraId="53E9518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38E87AB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BEF</w:t>
            </w:r>
          </w:p>
        </w:tc>
        <w:tc>
          <w:tcPr>
            <w:tcW w:w="0" w:type="auto"/>
            <w:tcBorders>
              <w:top w:val="nil"/>
              <w:left w:val="nil"/>
              <w:bottom w:val="single" w:sz="4" w:space="0" w:color="auto"/>
              <w:right w:val="single" w:sz="4" w:space="0" w:color="auto"/>
            </w:tcBorders>
            <w:shd w:val="clear" w:color="auto" w:fill="auto"/>
            <w:vAlign w:val="center"/>
            <w:hideMark/>
          </w:tcPr>
          <w:p w14:paraId="49B952F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2,3,4,5</w:t>
            </w:r>
          </w:p>
        </w:tc>
        <w:tc>
          <w:tcPr>
            <w:tcW w:w="0" w:type="auto"/>
            <w:tcBorders>
              <w:top w:val="nil"/>
              <w:left w:val="nil"/>
              <w:bottom w:val="single" w:sz="4" w:space="0" w:color="auto"/>
              <w:right w:val="single" w:sz="4" w:space="0" w:color="auto"/>
            </w:tcBorders>
            <w:shd w:val="clear" w:color="auto" w:fill="auto"/>
            <w:vAlign w:val="center"/>
            <w:hideMark/>
          </w:tcPr>
          <w:p w14:paraId="65B0B14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3,5,7</w:t>
            </w:r>
          </w:p>
        </w:tc>
        <w:tc>
          <w:tcPr>
            <w:tcW w:w="0" w:type="auto"/>
            <w:tcBorders>
              <w:top w:val="nil"/>
              <w:left w:val="nil"/>
              <w:bottom w:val="single" w:sz="4" w:space="0" w:color="auto"/>
              <w:right w:val="single" w:sz="4" w:space="0" w:color="auto"/>
            </w:tcBorders>
            <w:shd w:val="clear" w:color="auto" w:fill="auto"/>
            <w:vAlign w:val="center"/>
            <w:hideMark/>
          </w:tcPr>
          <w:p w14:paraId="468F0CE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Future Earth</w:t>
            </w:r>
          </w:p>
        </w:tc>
        <w:tc>
          <w:tcPr>
            <w:tcW w:w="0" w:type="auto"/>
            <w:tcBorders>
              <w:top w:val="nil"/>
              <w:left w:val="nil"/>
              <w:bottom w:val="single" w:sz="4" w:space="0" w:color="auto"/>
              <w:right w:val="single" w:sz="4" w:space="0" w:color="auto"/>
            </w:tcBorders>
            <w:shd w:val="clear" w:color="auto" w:fill="auto"/>
            <w:vAlign w:val="center"/>
            <w:hideMark/>
          </w:tcPr>
          <w:p w14:paraId="78EEAE4A" w14:textId="063C3127"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77A14BC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Alkemade et al., 2009</w:t>
            </w:r>
          </w:p>
        </w:tc>
      </w:tr>
      <w:tr w:rsidR="00AE7103" w:rsidRPr="00AE7103" w14:paraId="21661DF1"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08D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12</w:t>
            </w:r>
          </w:p>
        </w:tc>
        <w:tc>
          <w:tcPr>
            <w:tcW w:w="4505" w:type="dxa"/>
            <w:tcBorders>
              <w:top w:val="nil"/>
              <w:left w:val="nil"/>
              <w:bottom w:val="single" w:sz="4" w:space="0" w:color="auto"/>
              <w:right w:val="single" w:sz="4" w:space="0" w:color="auto"/>
            </w:tcBorders>
            <w:shd w:val="clear" w:color="auto" w:fill="auto"/>
            <w:vAlign w:val="center"/>
            <w:hideMark/>
          </w:tcPr>
          <w:p w14:paraId="662D4D3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 xml:space="preserve">Number of species extinctions </w:t>
            </w:r>
          </w:p>
        </w:tc>
        <w:tc>
          <w:tcPr>
            <w:tcW w:w="0" w:type="auto"/>
            <w:tcBorders>
              <w:top w:val="nil"/>
              <w:left w:val="nil"/>
              <w:bottom w:val="single" w:sz="4" w:space="0" w:color="auto"/>
              <w:right w:val="single" w:sz="4" w:space="0" w:color="auto"/>
            </w:tcBorders>
            <w:shd w:val="clear" w:color="auto" w:fill="auto"/>
            <w:vAlign w:val="center"/>
            <w:hideMark/>
          </w:tcPr>
          <w:p w14:paraId="72F8EBC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5279601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BEF</w:t>
            </w:r>
          </w:p>
        </w:tc>
        <w:tc>
          <w:tcPr>
            <w:tcW w:w="0" w:type="auto"/>
            <w:tcBorders>
              <w:top w:val="nil"/>
              <w:left w:val="nil"/>
              <w:bottom w:val="single" w:sz="4" w:space="0" w:color="auto"/>
              <w:right w:val="single" w:sz="4" w:space="0" w:color="auto"/>
            </w:tcBorders>
            <w:shd w:val="clear" w:color="auto" w:fill="auto"/>
            <w:vAlign w:val="center"/>
            <w:hideMark/>
          </w:tcPr>
          <w:p w14:paraId="1567704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w:t>
            </w:r>
          </w:p>
        </w:tc>
        <w:tc>
          <w:tcPr>
            <w:tcW w:w="0" w:type="auto"/>
            <w:tcBorders>
              <w:top w:val="nil"/>
              <w:left w:val="nil"/>
              <w:bottom w:val="single" w:sz="4" w:space="0" w:color="auto"/>
              <w:right w:val="single" w:sz="4" w:space="0" w:color="auto"/>
            </w:tcBorders>
            <w:shd w:val="clear" w:color="auto" w:fill="auto"/>
            <w:vAlign w:val="center"/>
            <w:hideMark/>
          </w:tcPr>
          <w:p w14:paraId="3C4B103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w:t>
            </w:r>
          </w:p>
        </w:tc>
        <w:tc>
          <w:tcPr>
            <w:tcW w:w="0" w:type="auto"/>
            <w:tcBorders>
              <w:top w:val="nil"/>
              <w:left w:val="nil"/>
              <w:bottom w:val="single" w:sz="4" w:space="0" w:color="auto"/>
              <w:right w:val="single" w:sz="4" w:space="0" w:color="auto"/>
            </w:tcBorders>
            <w:shd w:val="clear" w:color="auto" w:fill="auto"/>
            <w:vAlign w:val="center"/>
            <w:hideMark/>
          </w:tcPr>
          <w:p w14:paraId="26B8C45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19516C0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63AA901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IUCN, BirdLife International and others</w:t>
            </w:r>
          </w:p>
        </w:tc>
      </w:tr>
      <w:tr w:rsidR="00AE7103" w:rsidRPr="00AE7103" w14:paraId="6B150A5A"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775B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12</w:t>
            </w:r>
          </w:p>
        </w:tc>
        <w:tc>
          <w:tcPr>
            <w:tcW w:w="4505" w:type="dxa"/>
            <w:tcBorders>
              <w:top w:val="nil"/>
              <w:left w:val="nil"/>
              <w:bottom w:val="single" w:sz="4" w:space="0" w:color="auto"/>
              <w:right w:val="single" w:sz="4" w:space="0" w:color="auto"/>
            </w:tcBorders>
            <w:shd w:val="clear" w:color="auto" w:fill="auto"/>
            <w:vAlign w:val="center"/>
            <w:hideMark/>
          </w:tcPr>
          <w:p w14:paraId="7E8D205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RAMSAR areas</w:t>
            </w:r>
          </w:p>
        </w:tc>
        <w:tc>
          <w:tcPr>
            <w:tcW w:w="0" w:type="auto"/>
            <w:tcBorders>
              <w:top w:val="nil"/>
              <w:left w:val="nil"/>
              <w:bottom w:val="single" w:sz="4" w:space="0" w:color="auto"/>
              <w:right w:val="single" w:sz="4" w:space="0" w:color="auto"/>
            </w:tcBorders>
            <w:shd w:val="clear" w:color="auto" w:fill="auto"/>
            <w:vAlign w:val="center"/>
            <w:hideMark/>
          </w:tcPr>
          <w:p w14:paraId="071F72E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5C8860D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BEF,IGID</w:t>
            </w:r>
          </w:p>
        </w:tc>
        <w:tc>
          <w:tcPr>
            <w:tcW w:w="0" w:type="auto"/>
            <w:tcBorders>
              <w:top w:val="nil"/>
              <w:left w:val="nil"/>
              <w:bottom w:val="single" w:sz="4" w:space="0" w:color="auto"/>
              <w:right w:val="single" w:sz="4" w:space="0" w:color="auto"/>
            </w:tcBorders>
            <w:shd w:val="clear" w:color="auto" w:fill="auto"/>
            <w:vAlign w:val="center"/>
            <w:hideMark/>
          </w:tcPr>
          <w:p w14:paraId="76F7C5C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1A6C8EC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3,4,6</w:t>
            </w:r>
          </w:p>
        </w:tc>
        <w:tc>
          <w:tcPr>
            <w:tcW w:w="0" w:type="auto"/>
            <w:tcBorders>
              <w:top w:val="nil"/>
              <w:left w:val="nil"/>
              <w:bottom w:val="single" w:sz="4" w:space="0" w:color="auto"/>
              <w:right w:val="single" w:sz="4" w:space="0" w:color="auto"/>
            </w:tcBorders>
            <w:shd w:val="clear" w:color="auto" w:fill="auto"/>
            <w:vAlign w:val="center"/>
            <w:hideMark/>
          </w:tcPr>
          <w:p w14:paraId="51AD8C5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Future Earth</w:t>
            </w:r>
          </w:p>
        </w:tc>
        <w:tc>
          <w:tcPr>
            <w:tcW w:w="0" w:type="auto"/>
            <w:tcBorders>
              <w:top w:val="nil"/>
              <w:left w:val="nil"/>
              <w:bottom w:val="single" w:sz="4" w:space="0" w:color="auto"/>
              <w:right w:val="single" w:sz="4" w:space="0" w:color="auto"/>
            </w:tcBorders>
            <w:shd w:val="clear" w:color="auto" w:fill="auto"/>
            <w:vAlign w:val="center"/>
            <w:hideMark/>
          </w:tcPr>
          <w:p w14:paraId="09EE5DC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189018D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RAMSAR</w:t>
            </w:r>
          </w:p>
        </w:tc>
      </w:tr>
      <w:tr w:rsidR="00AE7103" w:rsidRPr="00AE7103" w14:paraId="76B264EC"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B054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14</w:t>
            </w:r>
          </w:p>
        </w:tc>
        <w:tc>
          <w:tcPr>
            <w:tcW w:w="4505" w:type="dxa"/>
            <w:tcBorders>
              <w:top w:val="nil"/>
              <w:left w:val="nil"/>
              <w:bottom w:val="single" w:sz="4" w:space="0" w:color="auto"/>
              <w:right w:val="single" w:sz="4" w:space="0" w:color="auto"/>
            </w:tcBorders>
            <w:shd w:val="clear" w:color="auto" w:fill="auto"/>
            <w:vAlign w:val="center"/>
            <w:hideMark/>
          </w:tcPr>
          <w:p w14:paraId="70461B8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Better Life Index</w:t>
            </w:r>
          </w:p>
        </w:tc>
        <w:tc>
          <w:tcPr>
            <w:tcW w:w="0" w:type="auto"/>
            <w:tcBorders>
              <w:top w:val="nil"/>
              <w:left w:val="nil"/>
              <w:bottom w:val="single" w:sz="4" w:space="0" w:color="auto"/>
              <w:right w:val="single" w:sz="4" w:space="0" w:color="auto"/>
            </w:tcBorders>
            <w:shd w:val="clear" w:color="auto" w:fill="auto"/>
            <w:vAlign w:val="center"/>
            <w:hideMark/>
          </w:tcPr>
          <w:p w14:paraId="4C9B06B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w:t>
            </w:r>
          </w:p>
        </w:tc>
        <w:tc>
          <w:tcPr>
            <w:tcW w:w="1388" w:type="dxa"/>
            <w:tcBorders>
              <w:top w:val="nil"/>
              <w:left w:val="nil"/>
              <w:bottom w:val="single" w:sz="4" w:space="0" w:color="auto"/>
              <w:right w:val="single" w:sz="4" w:space="0" w:color="auto"/>
            </w:tcBorders>
            <w:shd w:val="clear" w:color="auto" w:fill="auto"/>
            <w:vAlign w:val="center"/>
            <w:hideMark/>
          </w:tcPr>
          <w:p w14:paraId="725DCAA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GQL</w:t>
            </w:r>
          </w:p>
        </w:tc>
        <w:tc>
          <w:tcPr>
            <w:tcW w:w="0" w:type="auto"/>
            <w:tcBorders>
              <w:top w:val="nil"/>
              <w:left w:val="nil"/>
              <w:bottom w:val="single" w:sz="4" w:space="0" w:color="auto"/>
              <w:right w:val="single" w:sz="4" w:space="0" w:color="auto"/>
            </w:tcBorders>
            <w:shd w:val="clear" w:color="auto" w:fill="auto"/>
            <w:vAlign w:val="center"/>
            <w:hideMark/>
          </w:tcPr>
          <w:p w14:paraId="1333AA7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401FED7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w:t>
            </w:r>
          </w:p>
        </w:tc>
        <w:tc>
          <w:tcPr>
            <w:tcW w:w="0" w:type="auto"/>
            <w:tcBorders>
              <w:top w:val="nil"/>
              <w:left w:val="nil"/>
              <w:bottom w:val="single" w:sz="4" w:space="0" w:color="auto"/>
              <w:right w:val="single" w:sz="4" w:space="0" w:color="auto"/>
            </w:tcBorders>
            <w:shd w:val="clear" w:color="auto" w:fill="auto"/>
            <w:vAlign w:val="center"/>
            <w:hideMark/>
          </w:tcPr>
          <w:p w14:paraId="23E53A8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2C03408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13CE918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OECD</w:t>
            </w:r>
          </w:p>
        </w:tc>
      </w:tr>
      <w:tr w:rsidR="00AE7103" w:rsidRPr="00AE7103" w14:paraId="2059F267"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6B35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14</w:t>
            </w:r>
          </w:p>
        </w:tc>
        <w:tc>
          <w:tcPr>
            <w:tcW w:w="4505" w:type="dxa"/>
            <w:tcBorders>
              <w:top w:val="nil"/>
              <w:left w:val="nil"/>
              <w:bottom w:val="single" w:sz="4" w:space="0" w:color="auto"/>
              <w:right w:val="single" w:sz="4" w:space="0" w:color="auto"/>
            </w:tcBorders>
            <w:shd w:val="clear" w:color="auto" w:fill="auto"/>
            <w:vAlign w:val="center"/>
            <w:hideMark/>
          </w:tcPr>
          <w:p w14:paraId="2BABB38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Percentage of population using safely managed drinking water services (indicator for SDG  6.1)</w:t>
            </w:r>
          </w:p>
        </w:tc>
        <w:tc>
          <w:tcPr>
            <w:tcW w:w="0" w:type="auto"/>
            <w:tcBorders>
              <w:top w:val="nil"/>
              <w:left w:val="nil"/>
              <w:bottom w:val="single" w:sz="4" w:space="0" w:color="auto"/>
              <w:right w:val="single" w:sz="4" w:space="0" w:color="auto"/>
            </w:tcBorders>
            <w:shd w:val="clear" w:color="auto" w:fill="auto"/>
            <w:vAlign w:val="center"/>
            <w:hideMark/>
          </w:tcPr>
          <w:p w14:paraId="75140DF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w:t>
            </w:r>
          </w:p>
        </w:tc>
        <w:tc>
          <w:tcPr>
            <w:tcW w:w="1388" w:type="dxa"/>
            <w:tcBorders>
              <w:top w:val="nil"/>
              <w:left w:val="nil"/>
              <w:bottom w:val="single" w:sz="4" w:space="0" w:color="auto"/>
              <w:right w:val="single" w:sz="4" w:space="0" w:color="auto"/>
            </w:tcBorders>
            <w:shd w:val="clear" w:color="auto" w:fill="auto"/>
            <w:vAlign w:val="center"/>
            <w:hideMark/>
          </w:tcPr>
          <w:p w14:paraId="1D68FCE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GQL</w:t>
            </w:r>
          </w:p>
        </w:tc>
        <w:tc>
          <w:tcPr>
            <w:tcW w:w="0" w:type="auto"/>
            <w:tcBorders>
              <w:top w:val="nil"/>
              <w:left w:val="nil"/>
              <w:bottom w:val="single" w:sz="4" w:space="0" w:color="auto"/>
              <w:right w:val="single" w:sz="4" w:space="0" w:color="auto"/>
            </w:tcBorders>
            <w:shd w:val="clear" w:color="auto" w:fill="auto"/>
            <w:vAlign w:val="center"/>
            <w:hideMark/>
          </w:tcPr>
          <w:p w14:paraId="5FBBC02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40C6760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w:t>
            </w:r>
          </w:p>
        </w:tc>
        <w:tc>
          <w:tcPr>
            <w:tcW w:w="0" w:type="auto"/>
            <w:tcBorders>
              <w:top w:val="nil"/>
              <w:left w:val="nil"/>
              <w:bottom w:val="single" w:sz="4" w:space="0" w:color="auto"/>
              <w:right w:val="single" w:sz="4" w:space="0" w:color="auto"/>
            </w:tcBorders>
            <w:shd w:val="clear" w:color="auto" w:fill="auto"/>
            <w:vAlign w:val="center"/>
            <w:hideMark/>
          </w:tcPr>
          <w:p w14:paraId="18AA9B5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64157C24" w14:textId="4E365772"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27486BB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WHO, UNICEF</w:t>
            </w:r>
          </w:p>
        </w:tc>
      </w:tr>
      <w:tr w:rsidR="00AE7103" w:rsidRPr="00AE7103" w14:paraId="65C60C57"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50A7F"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14, 15</w:t>
            </w:r>
          </w:p>
        </w:tc>
        <w:tc>
          <w:tcPr>
            <w:tcW w:w="4505" w:type="dxa"/>
            <w:tcBorders>
              <w:top w:val="nil"/>
              <w:left w:val="nil"/>
              <w:bottom w:val="single" w:sz="4" w:space="0" w:color="auto"/>
              <w:right w:val="single" w:sz="4" w:space="0" w:color="auto"/>
            </w:tcBorders>
            <w:shd w:val="clear" w:color="auto" w:fill="auto"/>
            <w:vAlign w:val="center"/>
            <w:hideMark/>
          </w:tcPr>
          <w:p w14:paraId="7D608300"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Land under cereal production (ha)</w:t>
            </w:r>
          </w:p>
        </w:tc>
        <w:tc>
          <w:tcPr>
            <w:tcW w:w="0" w:type="auto"/>
            <w:tcBorders>
              <w:top w:val="nil"/>
              <w:left w:val="nil"/>
              <w:bottom w:val="single" w:sz="4" w:space="0" w:color="auto"/>
              <w:right w:val="single" w:sz="4" w:space="0" w:color="auto"/>
            </w:tcBorders>
            <w:shd w:val="clear" w:color="auto" w:fill="auto"/>
            <w:vAlign w:val="center"/>
            <w:hideMark/>
          </w:tcPr>
          <w:p w14:paraId="7A8E812C"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w:t>
            </w:r>
          </w:p>
        </w:tc>
        <w:tc>
          <w:tcPr>
            <w:tcW w:w="1388" w:type="dxa"/>
            <w:tcBorders>
              <w:top w:val="nil"/>
              <w:left w:val="nil"/>
              <w:bottom w:val="single" w:sz="4" w:space="0" w:color="auto"/>
              <w:right w:val="single" w:sz="4" w:space="0" w:color="auto"/>
            </w:tcBorders>
            <w:shd w:val="clear" w:color="auto" w:fill="auto"/>
            <w:vAlign w:val="center"/>
            <w:hideMark/>
          </w:tcPr>
          <w:p w14:paraId="47FE5DA9"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NBP,DD</w:t>
            </w:r>
          </w:p>
        </w:tc>
        <w:tc>
          <w:tcPr>
            <w:tcW w:w="0" w:type="auto"/>
            <w:tcBorders>
              <w:top w:val="nil"/>
              <w:left w:val="nil"/>
              <w:bottom w:val="single" w:sz="4" w:space="0" w:color="auto"/>
              <w:right w:val="single" w:sz="4" w:space="0" w:color="auto"/>
            </w:tcBorders>
            <w:shd w:val="clear" w:color="auto" w:fill="auto"/>
            <w:vAlign w:val="center"/>
            <w:hideMark/>
          </w:tcPr>
          <w:p w14:paraId="045BECCC"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5597FDC3"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2,4</w:t>
            </w:r>
          </w:p>
        </w:tc>
        <w:tc>
          <w:tcPr>
            <w:tcW w:w="0" w:type="auto"/>
            <w:tcBorders>
              <w:top w:val="nil"/>
              <w:left w:val="nil"/>
              <w:bottom w:val="single" w:sz="4" w:space="0" w:color="auto"/>
              <w:right w:val="single" w:sz="4" w:space="0" w:color="auto"/>
            </w:tcBorders>
            <w:shd w:val="clear" w:color="auto" w:fill="auto"/>
            <w:vAlign w:val="center"/>
            <w:hideMark/>
          </w:tcPr>
          <w:p w14:paraId="42EF0FC3"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Future Earth</w:t>
            </w:r>
          </w:p>
        </w:tc>
        <w:tc>
          <w:tcPr>
            <w:tcW w:w="0" w:type="auto"/>
            <w:tcBorders>
              <w:top w:val="nil"/>
              <w:left w:val="nil"/>
              <w:bottom w:val="single" w:sz="4" w:space="0" w:color="auto"/>
              <w:right w:val="single" w:sz="4" w:space="0" w:color="auto"/>
            </w:tcBorders>
            <w:shd w:val="clear" w:color="auto" w:fill="auto"/>
            <w:vAlign w:val="center"/>
            <w:hideMark/>
          </w:tcPr>
          <w:p w14:paraId="683C7139" w14:textId="15C585AF" w:rsidR="00D80FCB" w:rsidRPr="002641E9" w:rsidRDefault="00D80FCB" w:rsidP="00A23166">
            <w:pPr>
              <w:pStyle w:val="Normal-pool"/>
              <w:keepNext/>
              <w:keepLines/>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71D07930" w14:textId="77777777" w:rsidR="00D80FCB" w:rsidRPr="00AE7103" w:rsidRDefault="00D80FCB" w:rsidP="00A23166">
            <w:pPr>
              <w:pStyle w:val="Normal-pool"/>
              <w:keepNext/>
              <w:keepLines/>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World Bank (WB)</w:t>
            </w:r>
          </w:p>
        </w:tc>
      </w:tr>
      <w:tr w:rsidR="00AE7103" w:rsidRPr="00AE7103" w14:paraId="35AF20CB"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40A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15</w:t>
            </w:r>
          </w:p>
        </w:tc>
        <w:tc>
          <w:tcPr>
            <w:tcW w:w="4505" w:type="dxa"/>
            <w:tcBorders>
              <w:top w:val="nil"/>
              <w:left w:val="nil"/>
              <w:bottom w:val="single" w:sz="4" w:space="0" w:color="auto"/>
              <w:right w:val="single" w:sz="4" w:space="0" w:color="auto"/>
            </w:tcBorders>
            <w:shd w:val="clear" w:color="auto" w:fill="auto"/>
            <w:vAlign w:val="center"/>
            <w:hideMark/>
          </w:tcPr>
          <w:p w14:paraId="5EC0C80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Global Ecosystem Restoration Index</w:t>
            </w:r>
          </w:p>
        </w:tc>
        <w:tc>
          <w:tcPr>
            <w:tcW w:w="0" w:type="auto"/>
            <w:tcBorders>
              <w:top w:val="nil"/>
              <w:left w:val="nil"/>
              <w:bottom w:val="single" w:sz="4" w:space="0" w:color="auto"/>
              <w:right w:val="single" w:sz="4" w:space="0" w:color="auto"/>
            </w:tcBorders>
            <w:shd w:val="clear" w:color="auto" w:fill="auto"/>
            <w:vAlign w:val="center"/>
            <w:hideMark/>
          </w:tcPr>
          <w:p w14:paraId="24C625C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60A44BD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IGID,BEF</w:t>
            </w:r>
          </w:p>
        </w:tc>
        <w:tc>
          <w:tcPr>
            <w:tcW w:w="0" w:type="auto"/>
            <w:tcBorders>
              <w:top w:val="nil"/>
              <w:left w:val="nil"/>
              <w:bottom w:val="single" w:sz="4" w:space="0" w:color="auto"/>
              <w:right w:val="single" w:sz="4" w:space="0" w:color="auto"/>
            </w:tcBorders>
            <w:shd w:val="clear" w:color="auto" w:fill="auto"/>
            <w:vAlign w:val="center"/>
            <w:hideMark/>
          </w:tcPr>
          <w:p w14:paraId="19FD427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23EB387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2,4,6</w:t>
            </w:r>
          </w:p>
        </w:tc>
        <w:tc>
          <w:tcPr>
            <w:tcW w:w="0" w:type="auto"/>
            <w:tcBorders>
              <w:top w:val="nil"/>
              <w:left w:val="nil"/>
              <w:bottom w:val="single" w:sz="4" w:space="0" w:color="auto"/>
              <w:right w:val="single" w:sz="4" w:space="0" w:color="auto"/>
            </w:tcBorders>
            <w:shd w:val="clear" w:color="auto" w:fill="auto"/>
            <w:vAlign w:val="center"/>
            <w:hideMark/>
          </w:tcPr>
          <w:p w14:paraId="11E18B9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14B4E458" w14:textId="55A6592C"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7AA8B83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GEO BON, iDiv</w:t>
            </w:r>
          </w:p>
        </w:tc>
      </w:tr>
      <w:tr w:rsidR="00AE7103" w:rsidRPr="00AE7103" w14:paraId="4DEF5A13"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9E24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16</w:t>
            </w:r>
          </w:p>
        </w:tc>
        <w:tc>
          <w:tcPr>
            <w:tcW w:w="4505" w:type="dxa"/>
            <w:tcBorders>
              <w:top w:val="nil"/>
              <w:left w:val="nil"/>
              <w:bottom w:val="single" w:sz="4" w:space="0" w:color="auto"/>
              <w:right w:val="single" w:sz="4" w:space="0" w:color="auto"/>
            </w:tcBorders>
            <w:shd w:val="clear" w:color="auto" w:fill="auto"/>
            <w:vAlign w:val="center"/>
            <w:hideMark/>
          </w:tcPr>
          <w:p w14:paraId="36BB02D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Number of countries that have adopted legislative, administrative and policy frameworks to ensure fair and equitable sharing of benefits</w:t>
            </w:r>
          </w:p>
        </w:tc>
        <w:tc>
          <w:tcPr>
            <w:tcW w:w="0" w:type="auto"/>
            <w:tcBorders>
              <w:top w:val="nil"/>
              <w:left w:val="nil"/>
              <w:bottom w:val="single" w:sz="4" w:space="0" w:color="auto"/>
              <w:right w:val="single" w:sz="4" w:space="0" w:color="auto"/>
            </w:tcBorders>
            <w:shd w:val="clear" w:color="auto" w:fill="auto"/>
            <w:vAlign w:val="center"/>
            <w:hideMark/>
          </w:tcPr>
          <w:p w14:paraId="3F695A7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47C01E9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306313E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640028F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75314D1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7F67941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nil"/>
              <w:left w:val="nil"/>
              <w:bottom w:val="single" w:sz="4" w:space="0" w:color="auto"/>
              <w:right w:val="single" w:sz="4" w:space="0" w:color="auto"/>
            </w:tcBorders>
            <w:shd w:val="clear" w:color="auto" w:fill="auto"/>
            <w:vAlign w:val="center"/>
            <w:hideMark/>
          </w:tcPr>
          <w:p w14:paraId="43A938A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Secretariat of the CBD</w:t>
            </w:r>
          </w:p>
        </w:tc>
      </w:tr>
      <w:tr w:rsidR="00AE7103" w:rsidRPr="00AE7103" w14:paraId="48395BFE"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6AF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18</w:t>
            </w:r>
          </w:p>
        </w:tc>
        <w:tc>
          <w:tcPr>
            <w:tcW w:w="4505" w:type="dxa"/>
            <w:tcBorders>
              <w:top w:val="nil"/>
              <w:left w:val="nil"/>
              <w:bottom w:val="single" w:sz="4" w:space="0" w:color="auto"/>
              <w:right w:val="single" w:sz="4" w:space="0" w:color="auto"/>
            </w:tcBorders>
            <w:shd w:val="clear" w:color="auto" w:fill="auto"/>
            <w:vAlign w:val="center"/>
            <w:hideMark/>
          </w:tcPr>
          <w:p w14:paraId="519733F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Global Index of Linguistic Diversity and language threat level.</w:t>
            </w:r>
          </w:p>
        </w:tc>
        <w:tc>
          <w:tcPr>
            <w:tcW w:w="0" w:type="auto"/>
            <w:tcBorders>
              <w:top w:val="nil"/>
              <w:left w:val="nil"/>
              <w:bottom w:val="single" w:sz="4" w:space="0" w:color="auto"/>
              <w:right w:val="single" w:sz="4" w:space="0" w:color="auto"/>
            </w:tcBorders>
            <w:shd w:val="clear" w:color="auto" w:fill="auto"/>
            <w:vAlign w:val="center"/>
            <w:hideMark/>
          </w:tcPr>
          <w:p w14:paraId="30B1410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w:t>
            </w:r>
          </w:p>
        </w:tc>
        <w:tc>
          <w:tcPr>
            <w:tcW w:w="1388" w:type="dxa"/>
            <w:tcBorders>
              <w:top w:val="nil"/>
              <w:left w:val="nil"/>
              <w:bottom w:val="single" w:sz="4" w:space="0" w:color="auto"/>
              <w:right w:val="single" w:sz="4" w:space="0" w:color="auto"/>
            </w:tcBorders>
            <w:shd w:val="clear" w:color="auto" w:fill="auto"/>
            <w:vAlign w:val="center"/>
            <w:hideMark/>
          </w:tcPr>
          <w:p w14:paraId="1B19840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BES,NBP</w:t>
            </w:r>
          </w:p>
        </w:tc>
        <w:tc>
          <w:tcPr>
            <w:tcW w:w="0" w:type="auto"/>
            <w:tcBorders>
              <w:top w:val="nil"/>
              <w:left w:val="nil"/>
              <w:bottom w:val="single" w:sz="4" w:space="0" w:color="auto"/>
              <w:right w:val="single" w:sz="4" w:space="0" w:color="auto"/>
            </w:tcBorders>
            <w:shd w:val="clear" w:color="auto" w:fill="auto"/>
            <w:vAlign w:val="center"/>
            <w:hideMark/>
          </w:tcPr>
          <w:p w14:paraId="3CEA3D5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2,3,4</w:t>
            </w:r>
          </w:p>
        </w:tc>
        <w:tc>
          <w:tcPr>
            <w:tcW w:w="0" w:type="auto"/>
            <w:tcBorders>
              <w:top w:val="nil"/>
              <w:left w:val="nil"/>
              <w:bottom w:val="single" w:sz="4" w:space="0" w:color="auto"/>
              <w:right w:val="single" w:sz="4" w:space="0" w:color="auto"/>
            </w:tcBorders>
            <w:shd w:val="clear" w:color="auto" w:fill="auto"/>
            <w:vAlign w:val="center"/>
            <w:hideMark/>
          </w:tcPr>
          <w:p w14:paraId="013FC258"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w:t>
            </w:r>
          </w:p>
        </w:tc>
        <w:tc>
          <w:tcPr>
            <w:tcW w:w="0" w:type="auto"/>
            <w:tcBorders>
              <w:top w:val="nil"/>
              <w:left w:val="nil"/>
              <w:bottom w:val="single" w:sz="4" w:space="0" w:color="auto"/>
              <w:right w:val="single" w:sz="4" w:space="0" w:color="auto"/>
            </w:tcBorders>
            <w:shd w:val="clear" w:color="auto" w:fill="auto"/>
            <w:vAlign w:val="center"/>
            <w:hideMark/>
          </w:tcPr>
          <w:p w14:paraId="060F62F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1755668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424ABCC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Teralingua</w:t>
            </w:r>
          </w:p>
        </w:tc>
      </w:tr>
      <w:tr w:rsidR="00AE7103" w:rsidRPr="00AE7103" w14:paraId="656B6925"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FDAF"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19</w:t>
            </w:r>
          </w:p>
        </w:tc>
        <w:tc>
          <w:tcPr>
            <w:tcW w:w="4505" w:type="dxa"/>
            <w:tcBorders>
              <w:top w:val="nil"/>
              <w:left w:val="nil"/>
              <w:bottom w:val="single" w:sz="4" w:space="0" w:color="auto"/>
              <w:right w:val="single" w:sz="4" w:space="0" w:color="auto"/>
            </w:tcBorders>
            <w:shd w:val="clear" w:color="auto" w:fill="auto"/>
            <w:vAlign w:val="center"/>
            <w:hideMark/>
          </w:tcPr>
          <w:p w14:paraId="7E32F75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 xml:space="preserve">Growth in species occurrence records accessible through GBIF </w:t>
            </w:r>
          </w:p>
        </w:tc>
        <w:tc>
          <w:tcPr>
            <w:tcW w:w="0" w:type="auto"/>
            <w:tcBorders>
              <w:top w:val="nil"/>
              <w:left w:val="nil"/>
              <w:bottom w:val="single" w:sz="4" w:space="0" w:color="auto"/>
              <w:right w:val="single" w:sz="4" w:space="0" w:color="auto"/>
            </w:tcBorders>
            <w:shd w:val="clear" w:color="auto" w:fill="auto"/>
            <w:vAlign w:val="center"/>
            <w:hideMark/>
          </w:tcPr>
          <w:p w14:paraId="0446C8FA"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nil"/>
              <w:left w:val="nil"/>
              <w:bottom w:val="single" w:sz="4" w:space="0" w:color="auto"/>
              <w:right w:val="single" w:sz="4" w:space="0" w:color="auto"/>
            </w:tcBorders>
            <w:shd w:val="clear" w:color="auto" w:fill="auto"/>
            <w:vAlign w:val="center"/>
            <w:hideMark/>
          </w:tcPr>
          <w:p w14:paraId="2A98DDB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457D6BA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7796A5E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696855E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62B472D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w:t>
            </w:r>
          </w:p>
        </w:tc>
        <w:tc>
          <w:tcPr>
            <w:tcW w:w="0" w:type="auto"/>
            <w:tcBorders>
              <w:top w:val="nil"/>
              <w:left w:val="nil"/>
              <w:bottom w:val="single" w:sz="4" w:space="0" w:color="auto"/>
              <w:right w:val="single" w:sz="4" w:space="0" w:color="auto"/>
            </w:tcBorders>
            <w:shd w:val="clear" w:color="auto" w:fill="auto"/>
            <w:vAlign w:val="center"/>
            <w:hideMark/>
          </w:tcPr>
          <w:p w14:paraId="3FA62F25"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GBIF</w:t>
            </w:r>
          </w:p>
        </w:tc>
      </w:tr>
      <w:tr w:rsidR="00AE7103" w:rsidRPr="00AE7103" w14:paraId="650109A6"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D8DF3"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19</w:t>
            </w:r>
          </w:p>
        </w:tc>
        <w:tc>
          <w:tcPr>
            <w:tcW w:w="4505" w:type="dxa"/>
            <w:tcBorders>
              <w:top w:val="nil"/>
              <w:left w:val="nil"/>
              <w:bottom w:val="single" w:sz="4" w:space="0" w:color="auto"/>
              <w:right w:val="single" w:sz="4" w:space="0" w:color="auto"/>
            </w:tcBorders>
            <w:shd w:val="clear" w:color="auto" w:fill="auto"/>
            <w:vAlign w:val="center"/>
            <w:hideMark/>
          </w:tcPr>
          <w:p w14:paraId="712B977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Species represented in the barcode of life data system</w:t>
            </w:r>
          </w:p>
        </w:tc>
        <w:tc>
          <w:tcPr>
            <w:tcW w:w="0" w:type="auto"/>
            <w:tcBorders>
              <w:top w:val="nil"/>
              <w:left w:val="nil"/>
              <w:bottom w:val="single" w:sz="4" w:space="0" w:color="auto"/>
              <w:right w:val="single" w:sz="4" w:space="0" w:color="auto"/>
            </w:tcBorders>
            <w:shd w:val="clear" w:color="auto" w:fill="auto"/>
            <w:vAlign w:val="center"/>
            <w:hideMark/>
          </w:tcPr>
          <w:p w14:paraId="305F8C0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S,R</w:t>
            </w:r>
          </w:p>
        </w:tc>
        <w:tc>
          <w:tcPr>
            <w:tcW w:w="1388" w:type="dxa"/>
            <w:tcBorders>
              <w:top w:val="nil"/>
              <w:left w:val="nil"/>
              <w:bottom w:val="single" w:sz="4" w:space="0" w:color="auto"/>
              <w:right w:val="single" w:sz="4" w:space="0" w:color="auto"/>
            </w:tcBorders>
            <w:shd w:val="clear" w:color="auto" w:fill="auto"/>
            <w:vAlign w:val="center"/>
            <w:hideMark/>
          </w:tcPr>
          <w:p w14:paraId="5C8C891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nil"/>
              <w:left w:val="nil"/>
              <w:bottom w:val="single" w:sz="4" w:space="0" w:color="auto"/>
              <w:right w:val="single" w:sz="4" w:space="0" w:color="auto"/>
            </w:tcBorders>
            <w:shd w:val="clear" w:color="auto" w:fill="auto"/>
            <w:vAlign w:val="center"/>
            <w:hideMark/>
          </w:tcPr>
          <w:p w14:paraId="1674244E"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nil"/>
              <w:left w:val="nil"/>
              <w:bottom w:val="single" w:sz="4" w:space="0" w:color="auto"/>
              <w:right w:val="single" w:sz="4" w:space="0" w:color="auto"/>
            </w:tcBorders>
            <w:shd w:val="clear" w:color="auto" w:fill="auto"/>
            <w:vAlign w:val="center"/>
            <w:hideMark/>
          </w:tcPr>
          <w:p w14:paraId="00A17BD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nil"/>
              <w:left w:val="nil"/>
              <w:bottom w:val="single" w:sz="4" w:space="0" w:color="auto"/>
              <w:right w:val="single" w:sz="4" w:space="0" w:color="auto"/>
            </w:tcBorders>
            <w:shd w:val="clear" w:color="auto" w:fill="auto"/>
            <w:vAlign w:val="center"/>
            <w:hideMark/>
          </w:tcPr>
          <w:p w14:paraId="4E197140"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nil"/>
              <w:left w:val="nil"/>
              <w:bottom w:val="single" w:sz="4" w:space="0" w:color="auto"/>
              <w:right w:val="single" w:sz="4" w:space="0" w:color="auto"/>
            </w:tcBorders>
            <w:shd w:val="clear" w:color="auto" w:fill="auto"/>
            <w:vAlign w:val="center"/>
            <w:hideMark/>
          </w:tcPr>
          <w:p w14:paraId="411A8549" w14:textId="69B7DB94" w:rsidR="00D80FCB" w:rsidRPr="002641E9" w:rsidRDefault="00D80FCB" w:rsidP="003933AD">
            <w:pPr>
              <w:pStyle w:val="Normal-pool"/>
              <w:spacing w:before="40" w:after="40"/>
              <w:rPr>
                <w:rFonts w:eastAsia="Malgun Gothic"/>
                <w:color w:val="000000" w:themeColor="text1"/>
                <w:sz w:val="18"/>
                <w:szCs w:val="18"/>
                <w:lang w:val="en-US" w:eastAsia="ko-KR"/>
              </w:rPr>
            </w:pPr>
          </w:p>
        </w:tc>
        <w:tc>
          <w:tcPr>
            <w:tcW w:w="0" w:type="auto"/>
            <w:tcBorders>
              <w:top w:val="nil"/>
              <w:left w:val="nil"/>
              <w:bottom w:val="single" w:sz="4" w:space="0" w:color="auto"/>
              <w:right w:val="single" w:sz="4" w:space="0" w:color="auto"/>
            </w:tcBorders>
            <w:shd w:val="clear" w:color="auto" w:fill="auto"/>
            <w:vAlign w:val="center"/>
            <w:hideMark/>
          </w:tcPr>
          <w:p w14:paraId="31780914"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Barcode of Life Data Systems</w:t>
            </w:r>
          </w:p>
        </w:tc>
      </w:tr>
      <w:tr w:rsidR="00AE7103" w:rsidRPr="00AE7103" w14:paraId="38F25A3C" w14:textId="77777777" w:rsidTr="00776736">
        <w:trP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06C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20</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D32EC"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Information provided through the financial reporting framework, adopted by decision XII/3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9762C6"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R</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51401"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IGID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CD4E8B"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2,3,6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4AFEB7"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1A929D"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CBD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776C99"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BP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8E0212" w14:textId="77777777" w:rsidR="00D80FCB" w:rsidRPr="00AE7103" w:rsidRDefault="00D80FCB" w:rsidP="003933AD">
            <w:pPr>
              <w:pStyle w:val="Normal-pool"/>
              <w:spacing w:before="40" w:after="40"/>
              <w:rPr>
                <w:rFonts w:eastAsia="Malgun Gothic"/>
                <w:color w:val="000000" w:themeColor="text1"/>
                <w:sz w:val="18"/>
                <w:szCs w:val="18"/>
                <w:lang w:eastAsia="ko-KR"/>
              </w:rPr>
            </w:pPr>
            <w:r w:rsidRPr="00AE7103">
              <w:rPr>
                <w:rFonts w:eastAsia="Malgun Gothic"/>
                <w:color w:val="000000" w:themeColor="text1"/>
                <w:sz w:val="18"/>
                <w:szCs w:val="18"/>
                <w:lang w:eastAsia="ko-KR"/>
              </w:rPr>
              <w:t>Secretariat of the CBD</w:t>
            </w:r>
          </w:p>
        </w:tc>
      </w:tr>
    </w:tbl>
    <w:p w14:paraId="447C86A4" w14:textId="77777777" w:rsidR="00D80FCB" w:rsidRPr="00AE7103" w:rsidRDefault="00D80FCB" w:rsidP="001B5632">
      <w:pPr>
        <w:pStyle w:val="Normal-pool"/>
        <w:spacing w:before="40" w:after="40"/>
        <w:rPr>
          <w:color w:val="000000" w:themeColor="text1"/>
          <w:sz w:val="16"/>
          <w:szCs w:val="16"/>
        </w:rPr>
      </w:pPr>
      <w:r w:rsidRPr="00AE7103">
        <w:rPr>
          <w:color w:val="000000" w:themeColor="text1"/>
          <w:sz w:val="16"/>
          <w:szCs w:val="16"/>
        </w:rPr>
        <w:t>¹ DPSIR - D: Drivers, P: Pressure, S: Status, I: Impact, R: Response</w:t>
      </w:r>
      <w:r w:rsidRPr="00AE7103">
        <w:rPr>
          <w:color w:val="000000" w:themeColor="text1"/>
          <w:sz w:val="16"/>
          <w:szCs w:val="16"/>
        </w:rPr>
        <w:tab/>
      </w:r>
    </w:p>
    <w:p w14:paraId="7846090E" w14:textId="77777777" w:rsidR="00D80FCB" w:rsidRPr="00AE7103" w:rsidRDefault="00D80FCB" w:rsidP="001B5632">
      <w:pPr>
        <w:pStyle w:val="Normal-pool"/>
        <w:spacing w:before="40" w:after="40"/>
        <w:rPr>
          <w:color w:val="000000" w:themeColor="text1"/>
          <w:sz w:val="16"/>
          <w:szCs w:val="16"/>
        </w:rPr>
      </w:pPr>
      <w:r w:rsidRPr="00AE7103">
        <w:rPr>
          <w:color w:val="000000" w:themeColor="text1"/>
          <w:sz w:val="16"/>
          <w:szCs w:val="16"/>
        </w:rPr>
        <w:t>²</w:t>
      </w:r>
      <w:r w:rsidRPr="00AE7103">
        <w:rPr>
          <w:rFonts w:eastAsiaTheme="minorEastAsia"/>
          <w:color w:val="000000" w:themeColor="text1"/>
          <w:sz w:val="16"/>
          <w:szCs w:val="16"/>
          <w:lang w:eastAsia="ko-KR"/>
        </w:rPr>
        <w:t xml:space="preserve"> </w:t>
      </w:r>
      <w:r w:rsidRPr="00AE7103">
        <w:rPr>
          <w:color w:val="000000" w:themeColor="text1"/>
          <w:sz w:val="16"/>
          <w:szCs w:val="16"/>
        </w:rPr>
        <w:t>CF (Conceptual Framework) - DD: direct driver, NBP: nature's benefit to people/ ecosystem goods and services, BEF: nature/biodiversity and ecosystem functions, IGID: institutions, governance and other indirect drivers, GQL: good quality of life/human well-being</w:t>
      </w:r>
    </w:p>
    <w:p w14:paraId="31D6693B" w14:textId="77777777" w:rsidR="00D80FCB" w:rsidRPr="00AE7103" w:rsidRDefault="00D80FCB" w:rsidP="001B5632">
      <w:pPr>
        <w:pStyle w:val="Normal-pool"/>
        <w:spacing w:before="40" w:after="40"/>
        <w:rPr>
          <w:color w:val="000000" w:themeColor="text1"/>
          <w:sz w:val="16"/>
          <w:szCs w:val="16"/>
        </w:rPr>
      </w:pPr>
      <w:r w:rsidRPr="00AE7103">
        <w:rPr>
          <w:color w:val="000000" w:themeColor="text1"/>
          <w:sz w:val="16"/>
          <w:szCs w:val="16"/>
        </w:rPr>
        <w:t>³ CBD: Convention of Biological Diversity SBSTTA 20 draft indicator list; Future Earth: recommended by Future Earth indicator group; EPI: used in the Yale Environmental Protection Index; IPBES: added by the IPBES Task Force for Data and Knowledge</w:t>
      </w:r>
    </w:p>
    <w:p w14:paraId="098FBBC0" w14:textId="77777777" w:rsidR="003933AD" w:rsidRPr="00AE7103" w:rsidRDefault="00D80FCB" w:rsidP="001B5632">
      <w:pPr>
        <w:pStyle w:val="Normal-pool"/>
        <w:spacing w:before="40" w:after="40"/>
        <w:rPr>
          <w:color w:val="000000" w:themeColor="text1"/>
          <w:sz w:val="16"/>
          <w:szCs w:val="16"/>
        </w:rPr>
      </w:pPr>
      <w:r w:rsidRPr="00AE7103">
        <w:rPr>
          <w:rFonts w:ascii="Cambria Math" w:hAnsi="Cambria Math" w:cs="Cambria Math"/>
          <w:color w:val="000000" w:themeColor="text1"/>
          <w:sz w:val="16"/>
          <w:szCs w:val="16"/>
        </w:rPr>
        <w:t>⁴</w:t>
      </w:r>
      <w:r w:rsidRPr="00AE7103">
        <w:rPr>
          <w:rFonts w:eastAsiaTheme="minorEastAsia"/>
          <w:color w:val="000000" w:themeColor="text1"/>
          <w:sz w:val="16"/>
          <w:szCs w:val="16"/>
          <w:lang w:eastAsia="ko-KR"/>
        </w:rPr>
        <w:t xml:space="preserve"> </w:t>
      </w:r>
      <w:r w:rsidRPr="00AE7103">
        <w:rPr>
          <w:color w:val="000000" w:themeColor="text1"/>
          <w:sz w:val="16"/>
          <w:szCs w:val="16"/>
        </w:rPr>
        <w:t>BIP (Biodiversity Indicator Partnership): B: indicators in BIP global suite, BP: data/indicator holder in BIP partnership</w:t>
      </w:r>
      <w:r w:rsidR="003933AD" w:rsidRPr="00AE7103">
        <w:rPr>
          <w:color w:val="000000" w:themeColor="text1"/>
          <w:sz w:val="16"/>
          <w:szCs w:val="16"/>
        </w:rPr>
        <w:br w:type="page"/>
      </w:r>
    </w:p>
    <w:p w14:paraId="6A227AE1" w14:textId="0774BCC6" w:rsidR="00D80FCB" w:rsidRPr="00110E4C" w:rsidRDefault="00D80FCB" w:rsidP="001B5632">
      <w:pPr>
        <w:pStyle w:val="CH2"/>
        <w:rPr>
          <w:rFonts w:eastAsia="Calibri"/>
        </w:rPr>
      </w:pPr>
      <w:r w:rsidRPr="00110E4C">
        <w:rPr>
          <w:rFonts w:eastAsia="Calibri"/>
        </w:rPr>
        <w:t>Appendix V</w:t>
      </w:r>
    </w:p>
    <w:p w14:paraId="47D10A8A" w14:textId="247AA078" w:rsidR="00D80FCB" w:rsidRPr="00110E4C" w:rsidRDefault="001B5632" w:rsidP="001B5632">
      <w:pPr>
        <w:pStyle w:val="CH2"/>
      </w:pPr>
      <w:r>
        <w:tab/>
      </w:r>
      <w:r w:rsidR="00D80FCB" w:rsidRPr="00110E4C">
        <w:t>List of socio</w:t>
      </w:r>
      <w:r w:rsidR="00D80FCB" w:rsidRPr="00110E4C">
        <w:rPr>
          <w:rFonts w:eastAsiaTheme="minorEastAsia" w:hint="eastAsia"/>
        </w:rPr>
        <w:t>eco</w:t>
      </w:r>
      <w:r w:rsidR="00D80FCB" w:rsidRPr="00110E4C">
        <w:rPr>
          <w:rFonts w:eastAsiaTheme="minorEastAsia"/>
        </w:rPr>
        <w:t>nomic</w:t>
      </w:r>
      <w:r w:rsidR="00D80FCB" w:rsidRPr="00110E4C">
        <w:t xml:space="preserve"> indicators recommended for use in IPBES regional assessments </w:t>
      </w:r>
    </w:p>
    <w:tbl>
      <w:tblPr>
        <w:tblpPr w:leftFromText="187" w:rightFromText="187" w:vertAnchor="text" w:horzAnchor="page" w:tblpX="1512" w:tblpY="1"/>
        <w:tblOverlap w:val="never"/>
        <w:tblW w:w="0" w:type="auto"/>
        <w:tblCellMar>
          <w:left w:w="99" w:type="dxa"/>
          <w:right w:w="99" w:type="dxa"/>
        </w:tblCellMar>
        <w:tblLook w:val="04A0" w:firstRow="1" w:lastRow="0" w:firstColumn="1" w:lastColumn="0" w:noHBand="0" w:noVBand="1"/>
      </w:tblPr>
      <w:tblGrid>
        <w:gridCol w:w="808"/>
        <w:gridCol w:w="5701"/>
        <w:gridCol w:w="793"/>
        <w:gridCol w:w="770"/>
        <w:gridCol w:w="870"/>
        <w:gridCol w:w="843"/>
        <w:gridCol w:w="1450"/>
        <w:gridCol w:w="843"/>
        <w:gridCol w:w="1338"/>
      </w:tblGrid>
      <w:tr w:rsidR="00B23629" w:rsidRPr="00AE7103" w14:paraId="2582E9BC" w14:textId="77777777" w:rsidTr="00776736">
        <w:trPr>
          <w:trHeight w:val="450"/>
        </w:trPr>
        <w:tc>
          <w:tcPr>
            <w:tcW w:w="80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98E3330" w14:textId="77777777" w:rsidR="00D80FCB" w:rsidRPr="00AE7103" w:rsidRDefault="00D80FCB" w:rsidP="00776736">
            <w:pPr>
              <w:spacing w:before="40" w:after="40" w:line="240" w:lineRule="auto"/>
              <w:rPr>
                <w:rFonts w:ascii="Times New Roman" w:eastAsia="Malgun Gothic" w:hAnsi="Times New Roman"/>
                <w:b/>
                <w:bCs/>
                <w:color w:val="000000" w:themeColor="text1"/>
                <w:sz w:val="18"/>
                <w:szCs w:val="18"/>
                <w:lang w:eastAsia="ko-KR"/>
              </w:rPr>
            </w:pPr>
            <w:r w:rsidRPr="00AE7103">
              <w:rPr>
                <w:rFonts w:ascii="Times New Roman" w:eastAsia="Malgun Gothic" w:hAnsi="Times New Roman"/>
                <w:b/>
                <w:bCs/>
                <w:color w:val="000000" w:themeColor="text1"/>
                <w:sz w:val="18"/>
                <w:szCs w:val="18"/>
                <w:lang w:eastAsia="ko-KR"/>
              </w:rPr>
              <w:t>Aichi Target</w:t>
            </w:r>
          </w:p>
        </w:tc>
        <w:tc>
          <w:tcPr>
            <w:tcW w:w="570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F4E9739" w14:textId="77777777" w:rsidR="00D80FCB" w:rsidRPr="00AE7103" w:rsidRDefault="00D80FCB" w:rsidP="00776736">
            <w:pPr>
              <w:spacing w:before="40" w:after="40" w:line="240" w:lineRule="auto"/>
              <w:rPr>
                <w:rFonts w:ascii="Times New Roman" w:eastAsia="Malgun Gothic" w:hAnsi="Times New Roman"/>
                <w:b/>
                <w:bCs/>
                <w:color w:val="000000" w:themeColor="text1"/>
                <w:sz w:val="18"/>
                <w:szCs w:val="18"/>
                <w:lang w:eastAsia="ko-KR"/>
              </w:rPr>
            </w:pPr>
            <w:r w:rsidRPr="00AE7103">
              <w:rPr>
                <w:rFonts w:ascii="Times New Roman" w:eastAsia="Malgun Gothic" w:hAnsi="Times New Roman"/>
                <w:b/>
                <w:bCs/>
                <w:color w:val="000000" w:themeColor="text1"/>
                <w:sz w:val="18"/>
                <w:szCs w:val="18"/>
                <w:lang w:eastAsia="ko-KR"/>
              </w:rPr>
              <w:t>Specific Indicator</w:t>
            </w:r>
          </w:p>
        </w:tc>
        <w:tc>
          <w:tcPr>
            <w:tcW w:w="7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50C36EE" w14:textId="77777777" w:rsidR="00D80FCB" w:rsidRPr="00AE7103" w:rsidRDefault="00D80FCB" w:rsidP="00776736">
            <w:pPr>
              <w:spacing w:before="40" w:after="40" w:line="240" w:lineRule="auto"/>
              <w:rPr>
                <w:rFonts w:ascii="Times New Roman" w:eastAsia="Malgun Gothic" w:hAnsi="Times New Roman"/>
                <w:b/>
                <w:bCs/>
                <w:color w:val="000000" w:themeColor="text1"/>
                <w:sz w:val="18"/>
                <w:szCs w:val="18"/>
                <w:lang w:eastAsia="ko-KR"/>
              </w:rPr>
            </w:pPr>
            <w:r w:rsidRPr="00AE7103">
              <w:rPr>
                <w:rFonts w:ascii="Times New Roman" w:eastAsia="Malgun Gothic" w:hAnsi="Times New Roman"/>
                <w:b/>
                <w:bCs/>
                <w:color w:val="000000" w:themeColor="text1"/>
                <w:sz w:val="18"/>
                <w:szCs w:val="18"/>
                <w:lang w:eastAsia="ko-KR"/>
              </w:rPr>
              <w:t>DPSIR¹</w:t>
            </w:r>
          </w:p>
        </w:tc>
        <w:tc>
          <w:tcPr>
            <w:tcW w:w="7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0A41E67" w14:textId="77777777" w:rsidR="00D80FCB" w:rsidRPr="00AE7103" w:rsidRDefault="00D80FCB" w:rsidP="00776736">
            <w:pPr>
              <w:spacing w:before="40" w:after="40" w:line="240" w:lineRule="auto"/>
              <w:rPr>
                <w:rFonts w:ascii="Times New Roman" w:eastAsia="Malgun Gothic" w:hAnsi="Times New Roman"/>
                <w:b/>
                <w:bCs/>
                <w:color w:val="000000" w:themeColor="text1"/>
                <w:sz w:val="18"/>
                <w:szCs w:val="18"/>
                <w:lang w:eastAsia="ko-KR"/>
              </w:rPr>
            </w:pPr>
            <w:r w:rsidRPr="00AE7103">
              <w:rPr>
                <w:rFonts w:ascii="Times New Roman" w:eastAsia="Malgun Gothic" w:hAnsi="Times New Roman"/>
                <w:b/>
                <w:bCs/>
                <w:color w:val="000000" w:themeColor="text1"/>
                <w:sz w:val="18"/>
                <w:szCs w:val="18"/>
                <w:lang w:eastAsia="ko-KR"/>
              </w:rPr>
              <w:t>CF²</w:t>
            </w:r>
          </w:p>
        </w:tc>
        <w:tc>
          <w:tcPr>
            <w:tcW w:w="8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32F3C5F" w14:textId="77777777" w:rsidR="00D80FCB" w:rsidRPr="00AE7103" w:rsidRDefault="00D80FCB" w:rsidP="00776736">
            <w:pPr>
              <w:spacing w:before="40" w:after="40" w:line="240" w:lineRule="auto"/>
              <w:rPr>
                <w:rFonts w:ascii="Times New Roman" w:eastAsia="Malgun Gothic" w:hAnsi="Times New Roman"/>
                <w:b/>
                <w:bCs/>
                <w:color w:val="000000" w:themeColor="text1"/>
                <w:sz w:val="18"/>
                <w:szCs w:val="18"/>
                <w:lang w:eastAsia="ko-KR"/>
              </w:rPr>
            </w:pPr>
            <w:r w:rsidRPr="00AE7103">
              <w:rPr>
                <w:rFonts w:ascii="Times New Roman" w:eastAsia="Malgun Gothic" w:hAnsi="Times New Roman"/>
                <w:b/>
                <w:bCs/>
                <w:color w:val="000000" w:themeColor="text1"/>
                <w:sz w:val="18"/>
                <w:szCs w:val="18"/>
                <w:lang w:eastAsia="ko-KR"/>
              </w:rPr>
              <w:t>GA Chapter</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62BD205" w14:textId="77777777" w:rsidR="00D80FCB" w:rsidRPr="00AE7103" w:rsidRDefault="00D80FCB" w:rsidP="00776736">
            <w:pPr>
              <w:spacing w:before="40" w:after="40" w:line="240" w:lineRule="auto"/>
              <w:rPr>
                <w:rFonts w:ascii="Times New Roman" w:eastAsia="Malgun Gothic" w:hAnsi="Times New Roman"/>
                <w:b/>
                <w:bCs/>
                <w:color w:val="000000" w:themeColor="text1"/>
                <w:sz w:val="18"/>
                <w:szCs w:val="18"/>
                <w:lang w:eastAsia="ko-KR"/>
              </w:rPr>
            </w:pPr>
            <w:r w:rsidRPr="00AE7103">
              <w:rPr>
                <w:rFonts w:ascii="Times New Roman" w:eastAsia="Malgun Gothic" w:hAnsi="Times New Roman"/>
                <w:b/>
                <w:bCs/>
                <w:color w:val="000000" w:themeColor="text1"/>
                <w:sz w:val="18"/>
                <w:szCs w:val="18"/>
                <w:lang w:eastAsia="ko-KR"/>
              </w:rPr>
              <w:t>RA Chapter</w:t>
            </w:r>
          </w:p>
        </w:tc>
        <w:tc>
          <w:tcPr>
            <w:tcW w:w="14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A24C490" w14:textId="77777777" w:rsidR="00D80FCB" w:rsidRPr="00AE7103" w:rsidRDefault="00D80FCB" w:rsidP="00776736">
            <w:pPr>
              <w:spacing w:before="40" w:after="40" w:line="240" w:lineRule="auto"/>
              <w:rPr>
                <w:rFonts w:ascii="Times New Roman" w:eastAsia="Malgun Gothic" w:hAnsi="Times New Roman"/>
                <w:b/>
                <w:bCs/>
                <w:color w:val="000000" w:themeColor="text1"/>
                <w:sz w:val="18"/>
                <w:szCs w:val="18"/>
                <w:lang w:eastAsia="ko-KR"/>
              </w:rPr>
            </w:pPr>
            <w:r w:rsidRPr="00AE7103">
              <w:rPr>
                <w:rFonts w:ascii="Times New Roman" w:eastAsia="Malgun Gothic" w:hAnsi="Times New Roman"/>
                <w:b/>
                <w:bCs/>
                <w:color w:val="000000" w:themeColor="text1"/>
                <w:sz w:val="18"/>
                <w:szCs w:val="18"/>
                <w:lang w:eastAsia="ko-KR"/>
              </w:rPr>
              <w:t>Origin³</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F958B5F" w14:textId="77777777" w:rsidR="00D80FCB" w:rsidRPr="00AE7103" w:rsidRDefault="00D80FCB" w:rsidP="00776736">
            <w:pPr>
              <w:spacing w:before="40" w:after="40" w:line="240" w:lineRule="auto"/>
              <w:rPr>
                <w:rFonts w:ascii="Times New Roman" w:eastAsia="Malgun Gothic" w:hAnsi="Times New Roman"/>
                <w:b/>
                <w:bCs/>
                <w:color w:val="000000" w:themeColor="text1"/>
                <w:sz w:val="18"/>
                <w:szCs w:val="18"/>
                <w:lang w:eastAsia="ko-KR"/>
              </w:rPr>
            </w:pPr>
            <w:r w:rsidRPr="00AE7103">
              <w:rPr>
                <w:rFonts w:ascii="Times New Roman" w:eastAsia="Malgun Gothic" w:hAnsi="Times New Roman"/>
                <w:b/>
                <w:bCs/>
                <w:color w:val="000000" w:themeColor="text1"/>
                <w:sz w:val="18"/>
                <w:szCs w:val="18"/>
                <w:lang w:eastAsia="ko-KR"/>
              </w:rPr>
              <w:t>BIP</w:t>
            </w:r>
            <w:r w:rsidRPr="00AE7103">
              <w:rPr>
                <w:rFonts w:ascii="Cambria Math" w:eastAsia="Malgun Gothic" w:hAnsi="Cambria Math" w:cs="Cambria Math"/>
                <w:b/>
                <w:bCs/>
                <w:color w:val="000000" w:themeColor="text1"/>
                <w:sz w:val="18"/>
                <w:szCs w:val="18"/>
                <w:lang w:eastAsia="ko-KR"/>
              </w:rPr>
              <w:t>⁴</w:t>
            </w:r>
          </w:p>
        </w:tc>
        <w:tc>
          <w:tcPr>
            <w:tcW w:w="133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710AB29" w14:textId="77777777" w:rsidR="00D80FCB" w:rsidRPr="00AE7103" w:rsidRDefault="00D80FCB" w:rsidP="00776736">
            <w:pPr>
              <w:spacing w:before="40" w:after="40" w:line="240" w:lineRule="auto"/>
              <w:rPr>
                <w:rFonts w:ascii="Times New Roman" w:eastAsia="Malgun Gothic" w:hAnsi="Times New Roman"/>
                <w:b/>
                <w:bCs/>
                <w:color w:val="000000" w:themeColor="text1"/>
                <w:sz w:val="18"/>
                <w:szCs w:val="18"/>
                <w:lang w:eastAsia="ko-KR"/>
              </w:rPr>
            </w:pPr>
            <w:r w:rsidRPr="00AE7103">
              <w:rPr>
                <w:rFonts w:ascii="Times New Roman" w:eastAsia="Malgun Gothic" w:hAnsi="Times New Roman"/>
                <w:b/>
                <w:bCs/>
                <w:color w:val="000000" w:themeColor="text1"/>
                <w:sz w:val="18"/>
                <w:szCs w:val="18"/>
                <w:lang w:eastAsia="ko-KR"/>
              </w:rPr>
              <w:t>Source</w:t>
            </w:r>
          </w:p>
        </w:tc>
      </w:tr>
      <w:tr w:rsidR="00AE7103" w:rsidRPr="00AE7103" w14:paraId="7F1BA15C" w14:textId="77777777" w:rsidTr="00776736">
        <w:trPr>
          <w:trHeight w:val="255"/>
        </w:trPr>
        <w:tc>
          <w:tcPr>
            <w:tcW w:w="13416" w:type="dxa"/>
            <w:gridSpan w:val="9"/>
            <w:tcBorders>
              <w:top w:val="nil"/>
              <w:left w:val="single" w:sz="4" w:space="0" w:color="auto"/>
              <w:bottom w:val="single" w:sz="4" w:space="0" w:color="auto"/>
              <w:right w:val="single" w:sz="4" w:space="0" w:color="auto"/>
            </w:tcBorders>
            <w:shd w:val="clear" w:color="auto" w:fill="auto"/>
            <w:noWrap/>
            <w:vAlign w:val="center"/>
            <w:hideMark/>
          </w:tcPr>
          <w:p w14:paraId="2A4DA0B9"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b/>
                <w:bCs/>
                <w:i/>
                <w:color w:val="000000" w:themeColor="text1"/>
                <w:sz w:val="18"/>
                <w:szCs w:val="18"/>
                <w:lang w:eastAsia="ko-KR"/>
              </w:rPr>
              <w:t>Institutions, Governance and other Indirect Drivers</w:t>
            </w:r>
          </w:p>
        </w:tc>
      </w:tr>
      <w:tr w:rsidR="00AE7103" w:rsidRPr="00AE7103" w14:paraId="3A77DCE8" w14:textId="77777777" w:rsidTr="00776736">
        <w:trPr>
          <w:trHeight w:val="337"/>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620A438D" w14:textId="20D050F2"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p>
        </w:tc>
        <w:tc>
          <w:tcPr>
            <w:tcW w:w="5701" w:type="dxa"/>
            <w:tcBorders>
              <w:top w:val="nil"/>
              <w:left w:val="nil"/>
              <w:bottom w:val="single" w:sz="4" w:space="0" w:color="auto"/>
              <w:right w:val="single" w:sz="4" w:space="0" w:color="auto"/>
            </w:tcBorders>
            <w:shd w:val="clear" w:color="auto" w:fill="auto"/>
            <w:vAlign w:val="center"/>
            <w:hideMark/>
          </w:tcPr>
          <w:p w14:paraId="3ECE5F40"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Total human population </w:t>
            </w:r>
          </w:p>
        </w:tc>
        <w:tc>
          <w:tcPr>
            <w:tcW w:w="793" w:type="dxa"/>
            <w:tcBorders>
              <w:top w:val="nil"/>
              <w:left w:val="nil"/>
              <w:bottom w:val="single" w:sz="4" w:space="0" w:color="auto"/>
              <w:right w:val="single" w:sz="4" w:space="0" w:color="auto"/>
            </w:tcBorders>
            <w:shd w:val="clear" w:color="auto" w:fill="auto"/>
            <w:noWrap/>
            <w:vAlign w:val="center"/>
            <w:hideMark/>
          </w:tcPr>
          <w:p w14:paraId="0E28EAB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P</w:t>
            </w:r>
          </w:p>
        </w:tc>
        <w:tc>
          <w:tcPr>
            <w:tcW w:w="770" w:type="dxa"/>
            <w:tcBorders>
              <w:top w:val="nil"/>
              <w:left w:val="nil"/>
              <w:bottom w:val="single" w:sz="4" w:space="0" w:color="auto"/>
              <w:right w:val="single" w:sz="4" w:space="0" w:color="auto"/>
            </w:tcBorders>
            <w:shd w:val="clear" w:color="auto" w:fill="auto"/>
            <w:noWrap/>
            <w:vAlign w:val="center"/>
            <w:hideMark/>
          </w:tcPr>
          <w:p w14:paraId="52C19831"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IGID</w:t>
            </w:r>
          </w:p>
        </w:tc>
        <w:tc>
          <w:tcPr>
            <w:tcW w:w="870" w:type="dxa"/>
            <w:tcBorders>
              <w:top w:val="nil"/>
              <w:left w:val="nil"/>
              <w:bottom w:val="single" w:sz="4" w:space="0" w:color="auto"/>
              <w:right w:val="single" w:sz="4" w:space="0" w:color="auto"/>
            </w:tcBorders>
            <w:shd w:val="clear" w:color="auto" w:fill="auto"/>
            <w:noWrap/>
            <w:vAlign w:val="center"/>
            <w:hideMark/>
          </w:tcPr>
          <w:p w14:paraId="67F87999"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2,3,6</w:t>
            </w:r>
          </w:p>
        </w:tc>
        <w:tc>
          <w:tcPr>
            <w:tcW w:w="843" w:type="dxa"/>
            <w:tcBorders>
              <w:top w:val="nil"/>
              <w:left w:val="nil"/>
              <w:bottom w:val="single" w:sz="4" w:space="0" w:color="auto"/>
              <w:right w:val="single" w:sz="4" w:space="0" w:color="auto"/>
            </w:tcBorders>
            <w:shd w:val="clear" w:color="auto" w:fill="auto"/>
            <w:noWrap/>
            <w:vAlign w:val="center"/>
            <w:hideMark/>
          </w:tcPr>
          <w:p w14:paraId="425DCEB4"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4,6</w:t>
            </w:r>
          </w:p>
        </w:tc>
        <w:tc>
          <w:tcPr>
            <w:tcW w:w="1450" w:type="dxa"/>
            <w:tcBorders>
              <w:top w:val="nil"/>
              <w:left w:val="nil"/>
              <w:bottom w:val="single" w:sz="4" w:space="0" w:color="auto"/>
              <w:right w:val="single" w:sz="4" w:space="0" w:color="auto"/>
            </w:tcBorders>
            <w:shd w:val="clear" w:color="auto" w:fill="auto"/>
            <w:vAlign w:val="center"/>
            <w:hideMark/>
          </w:tcPr>
          <w:p w14:paraId="23CFAD5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Future Earth (S)</w:t>
            </w:r>
          </w:p>
        </w:tc>
        <w:tc>
          <w:tcPr>
            <w:tcW w:w="843" w:type="dxa"/>
            <w:tcBorders>
              <w:top w:val="nil"/>
              <w:left w:val="nil"/>
              <w:bottom w:val="single" w:sz="4" w:space="0" w:color="auto"/>
              <w:right w:val="single" w:sz="4" w:space="0" w:color="auto"/>
            </w:tcBorders>
            <w:shd w:val="clear" w:color="auto" w:fill="auto"/>
            <w:noWrap/>
            <w:vAlign w:val="center"/>
            <w:hideMark/>
          </w:tcPr>
          <w:p w14:paraId="713A26FD"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p>
        </w:tc>
        <w:tc>
          <w:tcPr>
            <w:tcW w:w="1338" w:type="dxa"/>
            <w:tcBorders>
              <w:top w:val="nil"/>
              <w:left w:val="nil"/>
              <w:bottom w:val="single" w:sz="4" w:space="0" w:color="auto"/>
              <w:right w:val="single" w:sz="4" w:space="0" w:color="auto"/>
            </w:tcBorders>
            <w:shd w:val="clear" w:color="auto" w:fill="auto"/>
            <w:noWrap/>
            <w:vAlign w:val="center"/>
            <w:hideMark/>
          </w:tcPr>
          <w:p w14:paraId="5EF6BB2F"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u w:val="single"/>
                <w:lang w:eastAsia="ko-KR"/>
              </w:rPr>
            </w:pPr>
            <w:r w:rsidRPr="00AE7103">
              <w:rPr>
                <w:rFonts w:ascii="Times New Roman" w:eastAsia="Malgun Gothic" w:hAnsi="Times New Roman"/>
                <w:color w:val="000000" w:themeColor="text1"/>
                <w:sz w:val="18"/>
                <w:szCs w:val="18"/>
                <w:lang w:eastAsia="ko-KR"/>
              </w:rPr>
              <w:t>World Bank</w:t>
            </w:r>
          </w:p>
        </w:tc>
      </w:tr>
      <w:tr w:rsidR="00AE7103" w:rsidRPr="00AE7103" w14:paraId="1102F4C2" w14:textId="77777777" w:rsidTr="00776736">
        <w:trPr>
          <w:trHeight w:val="271"/>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3627A2A" w14:textId="04B14C7F"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p>
        </w:tc>
        <w:tc>
          <w:tcPr>
            <w:tcW w:w="5701" w:type="dxa"/>
            <w:tcBorders>
              <w:top w:val="nil"/>
              <w:left w:val="nil"/>
              <w:bottom w:val="single" w:sz="4" w:space="0" w:color="auto"/>
              <w:right w:val="single" w:sz="4" w:space="0" w:color="auto"/>
            </w:tcBorders>
            <w:shd w:val="clear" w:color="auto" w:fill="auto"/>
            <w:vAlign w:val="center"/>
            <w:hideMark/>
          </w:tcPr>
          <w:p w14:paraId="13F5547C"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GDP</w:t>
            </w:r>
          </w:p>
        </w:tc>
        <w:tc>
          <w:tcPr>
            <w:tcW w:w="793" w:type="dxa"/>
            <w:tcBorders>
              <w:top w:val="nil"/>
              <w:left w:val="nil"/>
              <w:bottom w:val="single" w:sz="4" w:space="0" w:color="auto"/>
              <w:right w:val="single" w:sz="4" w:space="0" w:color="auto"/>
            </w:tcBorders>
            <w:shd w:val="clear" w:color="auto" w:fill="auto"/>
            <w:noWrap/>
            <w:vAlign w:val="center"/>
            <w:hideMark/>
          </w:tcPr>
          <w:p w14:paraId="45B6C781"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S</w:t>
            </w:r>
          </w:p>
        </w:tc>
        <w:tc>
          <w:tcPr>
            <w:tcW w:w="770" w:type="dxa"/>
            <w:tcBorders>
              <w:top w:val="nil"/>
              <w:left w:val="nil"/>
              <w:bottom w:val="single" w:sz="4" w:space="0" w:color="auto"/>
              <w:right w:val="single" w:sz="4" w:space="0" w:color="auto"/>
            </w:tcBorders>
            <w:shd w:val="clear" w:color="auto" w:fill="auto"/>
            <w:noWrap/>
            <w:vAlign w:val="center"/>
            <w:hideMark/>
          </w:tcPr>
          <w:p w14:paraId="10106B05"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IGID</w:t>
            </w:r>
          </w:p>
        </w:tc>
        <w:tc>
          <w:tcPr>
            <w:tcW w:w="870" w:type="dxa"/>
            <w:tcBorders>
              <w:top w:val="nil"/>
              <w:left w:val="nil"/>
              <w:bottom w:val="single" w:sz="4" w:space="0" w:color="auto"/>
              <w:right w:val="single" w:sz="4" w:space="0" w:color="auto"/>
            </w:tcBorders>
            <w:shd w:val="clear" w:color="auto" w:fill="auto"/>
            <w:noWrap/>
            <w:vAlign w:val="center"/>
            <w:hideMark/>
          </w:tcPr>
          <w:p w14:paraId="60E65969"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2,3,4</w:t>
            </w:r>
          </w:p>
        </w:tc>
        <w:tc>
          <w:tcPr>
            <w:tcW w:w="843" w:type="dxa"/>
            <w:tcBorders>
              <w:top w:val="nil"/>
              <w:left w:val="nil"/>
              <w:bottom w:val="single" w:sz="4" w:space="0" w:color="auto"/>
              <w:right w:val="single" w:sz="4" w:space="0" w:color="auto"/>
            </w:tcBorders>
            <w:shd w:val="clear" w:color="auto" w:fill="auto"/>
            <w:noWrap/>
            <w:vAlign w:val="center"/>
            <w:hideMark/>
          </w:tcPr>
          <w:p w14:paraId="0000ECA3"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4,6</w:t>
            </w:r>
          </w:p>
        </w:tc>
        <w:tc>
          <w:tcPr>
            <w:tcW w:w="1450" w:type="dxa"/>
            <w:tcBorders>
              <w:top w:val="nil"/>
              <w:left w:val="nil"/>
              <w:bottom w:val="single" w:sz="4" w:space="0" w:color="auto"/>
              <w:right w:val="single" w:sz="4" w:space="0" w:color="auto"/>
            </w:tcBorders>
            <w:shd w:val="clear" w:color="auto" w:fill="auto"/>
            <w:vAlign w:val="center"/>
            <w:hideMark/>
          </w:tcPr>
          <w:p w14:paraId="3E82D460"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Future Earth (S)</w:t>
            </w:r>
          </w:p>
        </w:tc>
        <w:tc>
          <w:tcPr>
            <w:tcW w:w="843" w:type="dxa"/>
            <w:tcBorders>
              <w:top w:val="nil"/>
              <w:left w:val="nil"/>
              <w:bottom w:val="single" w:sz="4" w:space="0" w:color="auto"/>
              <w:right w:val="single" w:sz="4" w:space="0" w:color="auto"/>
            </w:tcBorders>
            <w:shd w:val="clear" w:color="auto" w:fill="auto"/>
            <w:noWrap/>
            <w:vAlign w:val="center"/>
            <w:hideMark/>
          </w:tcPr>
          <w:p w14:paraId="3C1A3254"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p>
        </w:tc>
        <w:tc>
          <w:tcPr>
            <w:tcW w:w="1338" w:type="dxa"/>
            <w:tcBorders>
              <w:top w:val="nil"/>
              <w:left w:val="nil"/>
              <w:bottom w:val="single" w:sz="4" w:space="0" w:color="auto"/>
              <w:right w:val="single" w:sz="4" w:space="0" w:color="auto"/>
            </w:tcBorders>
            <w:shd w:val="clear" w:color="auto" w:fill="auto"/>
            <w:noWrap/>
            <w:vAlign w:val="center"/>
            <w:hideMark/>
          </w:tcPr>
          <w:p w14:paraId="5409A4C5"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u w:val="single"/>
                <w:lang w:eastAsia="ko-KR"/>
              </w:rPr>
            </w:pPr>
            <w:r w:rsidRPr="00AE7103">
              <w:rPr>
                <w:rFonts w:ascii="Times New Roman" w:eastAsia="Malgun Gothic" w:hAnsi="Times New Roman"/>
                <w:color w:val="000000" w:themeColor="text1"/>
                <w:sz w:val="18"/>
                <w:szCs w:val="18"/>
                <w:lang w:eastAsia="ko-KR"/>
              </w:rPr>
              <w:t>World Bank</w:t>
            </w:r>
          </w:p>
        </w:tc>
      </w:tr>
      <w:tr w:rsidR="00AE7103" w:rsidRPr="00AE7103" w14:paraId="4264E390" w14:textId="77777777" w:rsidTr="00776736">
        <w:trPr>
          <w:trHeight w:val="255"/>
        </w:trPr>
        <w:tc>
          <w:tcPr>
            <w:tcW w:w="13416" w:type="dxa"/>
            <w:gridSpan w:val="9"/>
            <w:tcBorders>
              <w:top w:val="nil"/>
              <w:left w:val="single" w:sz="4" w:space="0" w:color="auto"/>
              <w:bottom w:val="single" w:sz="4" w:space="0" w:color="auto"/>
              <w:right w:val="single" w:sz="4" w:space="0" w:color="auto"/>
            </w:tcBorders>
            <w:shd w:val="clear" w:color="auto" w:fill="auto"/>
            <w:noWrap/>
            <w:vAlign w:val="center"/>
            <w:hideMark/>
          </w:tcPr>
          <w:p w14:paraId="39746C20" w14:textId="77777777" w:rsidR="00D80FCB" w:rsidRPr="00AE7103" w:rsidRDefault="00D80FCB" w:rsidP="00776736">
            <w:pPr>
              <w:spacing w:before="40" w:after="40" w:line="240" w:lineRule="auto"/>
              <w:rPr>
                <w:rFonts w:ascii="Times New Roman" w:eastAsia="Malgun Gothic" w:hAnsi="Times New Roman"/>
                <w:b/>
                <w:bCs/>
                <w:i/>
                <w:color w:val="000000" w:themeColor="text1"/>
                <w:sz w:val="18"/>
                <w:szCs w:val="18"/>
                <w:lang w:eastAsia="ko-KR"/>
              </w:rPr>
            </w:pPr>
            <w:r w:rsidRPr="00AE7103">
              <w:rPr>
                <w:rFonts w:ascii="Times New Roman" w:eastAsia="Malgun Gothic" w:hAnsi="Times New Roman"/>
                <w:b/>
                <w:bCs/>
                <w:i/>
                <w:color w:val="000000" w:themeColor="text1"/>
                <w:sz w:val="18"/>
                <w:szCs w:val="18"/>
                <w:lang w:eastAsia="ko-KR"/>
              </w:rPr>
              <w:t xml:space="preserve">Good Quality of Life </w:t>
            </w:r>
          </w:p>
        </w:tc>
      </w:tr>
      <w:tr w:rsidR="00AE7103" w:rsidRPr="00AE7103" w14:paraId="135055B1" w14:textId="77777777" w:rsidTr="00776736">
        <w:trPr>
          <w:trHeight w:val="45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337AE048"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14</w:t>
            </w:r>
          </w:p>
        </w:tc>
        <w:tc>
          <w:tcPr>
            <w:tcW w:w="5701" w:type="dxa"/>
            <w:tcBorders>
              <w:top w:val="nil"/>
              <w:left w:val="nil"/>
              <w:bottom w:val="single" w:sz="4" w:space="0" w:color="auto"/>
              <w:right w:val="single" w:sz="4" w:space="0" w:color="auto"/>
            </w:tcBorders>
            <w:shd w:val="clear" w:color="auto" w:fill="auto"/>
            <w:vAlign w:val="center"/>
            <w:hideMark/>
          </w:tcPr>
          <w:p w14:paraId="0BFB0340"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Food Security: Countries requiring external assistance for food (famine relief)</w:t>
            </w:r>
          </w:p>
        </w:tc>
        <w:tc>
          <w:tcPr>
            <w:tcW w:w="793" w:type="dxa"/>
            <w:tcBorders>
              <w:top w:val="nil"/>
              <w:left w:val="nil"/>
              <w:bottom w:val="single" w:sz="4" w:space="0" w:color="auto"/>
              <w:right w:val="single" w:sz="4" w:space="0" w:color="auto"/>
            </w:tcBorders>
            <w:shd w:val="clear" w:color="auto" w:fill="auto"/>
            <w:noWrap/>
            <w:vAlign w:val="center"/>
            <w:hideMark/>
          </w:tcPr>
          <w:p w14:paraId="37B8609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S</w:t>
            </w:r>
          </w:p>
        </w:tc>
        <w:tc>
          <w:tcPr>
            <w:tcW w:w="770" w:type="dxa"/>
            <w:tcBorders>
              <w:top w:val="nil"/>
              <w:left w:val="nil"/>
              <w:bottom w:val="single" w:sz="4" w:space="0" w:color="auto"/>
              <w:right w:val="single" w:sz="4" w:space="0" w:color="auto"/>
            </w:tcBorders>
            <w:shd w:val="clear" w:color="auto" w:fill="auto"/>
            <w:noWrap/>
            <w:vAlign w:val="center"/>
            <w:hideMark/>
          </w:tcPr>
          <w:p w14:paraId="375ED02F"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GQL</w:t>
            </w:r>
          </w:p>
        </w:tc>
        <w:tc>
          <w:tcPr>
            <w:tcW w:w="870" w:type="dxa"/>
            <w:tcBorders>
              <w:top w:val="nil"/>
              <w:left w:val="nil"/>
              <w:bottom w:val="single" w:sz="4" w:space="0" w:color="auto"/>
              <w:right w:val="single" w:sz="4" w:space="0" w:color="auto"/>
            </w:tcBorders>
            <w:shd w:val="clear" w:color="auto" w:fill="auto"/>
            <w:noWrap/>
            <w:vAlign w:val="center"/>
            <w:hideMark/>
          </w:tcPr>
          <w:p w14:paraId="4B65658D"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2,3,4</w:t>
            </w:r>
          </w:p>
        </w:tc>
        <w:tc>
          <w:tcPr>
            <w:tcW w:w="843" w:type="dxa"/>
            <w:tcBorders>
              <w:top w:val="nil"/>
              <w:left w:val="nil"/>
              <w:bottom w:val="single" w:sz="4" w:space="0" w:color="auto"/>
              <w:right w:val="single" w:sz="4" w:space="0" w:color="auto"/>
            </w:tcBorders>
            <w:shd w:val="clear" w:color="auto" w:fill="auto"/>
            <w:noWrap/>
            <w:vAlign w:val="center"/>
            <w:hideMark/>
          </w:tcPr>
          <w:p w14:paraId="0BF5C132"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w:t>
            </w:r>
          </w:p>
        </w:tc>
        <w:tc>
          <w:tcPr>
            <w:tcW w:w="1450" w:type="dxa"/>
            <w:tcBorders>
              <w:top w:val="nil"/>
              <w:left w:val="nil"/>
              <w:bottom w:val="single" w:sz="4" w:space="0" w:color="auto"/>
              <w:right w:val="single" w:sz="4" w:space="0" w:color="auto"/>
            </w:tcBorders>
            <w:shd w:val="clear" w:color="auto" w:fill="auto"/>
            <w:vAlign w:val="center"/>
            <w:hideMark/>
          </w:tcPr>
          <w:p w14:paraId="6E014F03"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Future Earth (S)</w:t>
            </w:r>
          </w:p>
        </w:tc>
        <w:tc>
          <w:tcPr>
            <w:tcW w:w="843" w:type="dxa"/>
            <w:tcBorders>
              <w:top w:val="nil"/>
              <w:left w:val="nil"/>
              <w:bottom w:val="single" w:sz="4" w:space="0" w:color="auto"/>
              <w:right w:val="single" w:sz="4" w:space="0" w:color="auto"/>
            </w:tcBorders>
            <w:shd w:val="clear" w:color="auto" w:fill="auto"/>
            <w:noWrap/>
            <w:vAlign w:val="center"/>
            <w:hideMark/>
          </w:tcPr>
          <w:p w14:paraId="43411A9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BP</w:t>
            </w:r>
          </w:p>
        </w:tc>
        <w:tc>
          <w:tcPr>
            <w:tcW w:w="1338" w:type="dxa"/>
            <w:tcBorders>
              <w:top w:val="nil"/>
              <w:left w:val="nil"/>
              <w:bottom w:val="single" w:sz="4" w:space="0" w:color="auto"/>
              <w:right w:val="single" w:sz="4" w:space="0" w:color="auto"/>
            </w:tcBorders>
            <w:shd w:val="clear" w:color="auto" w:fill="auto"/>
            <w:noWrap/>
            <w:vAlign w:val="center"/>
            <w:hideMark/>
          </w:tcPr>
          <w:p w14:paraId="33A6712B"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u w:val="single"/>
                <w:lang w:eastAsia="ko-KR"/>
              </w:rPr>
            </w:pPr>
            <w:r w:rsidRPr="00AE7103">
              <w:rPr>
                <w:rFonts w:ascii="Times New Roman" w:eastAsia="Malgun Gothic" w:hAnsi="Times New Roman"/>
                <w:color w:val="000000" w:themeColor="text1"/>
                <w:sz w:val="18"/>
                <w:szCs w:val="18"/>
                <w:lang w:eastAsia="ko-KR"/>
              </w:rPr>
              <w:t>FAO</w:t>
            </w:r>
          </w:p>
        </w:tc>
      </w:tr>
      <w:tr w:rsidR="00AE7103" w:rsidRPr="00AE7103" w14:paraId="53003DD2" w14:textId="77777777" w:rsidTr="00776736">
        <w:trPr>
          <w:trHeight w:val="255"/>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0BF41D54"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14</w:t>
            </w:r>
          </w:p>
        </w:tc>
        <w:tc>
          <w:tcPr>
            <w:tcW w:w="5701" w:type="dxa"/>
            <w:tcBorders>
              <w:top w:val="nil"/>
              <w:left w:val="nil"/>
              <w:bottom w:val="single" w:sz="4" w:space="0" w:color="auto"/>
              <w:right w:val="single" w:sz="4" w:space="0" w:color="auto"/>
            </w:tcBorders>
            <w:shd w:val="clear" w:color="auto" w:fill="auto"/>
            <w:vAlign w:val="center"/>
            <w:hideMark/>
          </w:tcPr>
          <w:p w14:paraId="2F15D192"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Food Security: Calorie supply per capita (kcal/capita.day)</w:t>
            </w:r>
          </w:p>
        </w:tc>
        <w:tc>
          <w:tcPr>
            <w:tcW w:w="793" w:type="dxa"/>
            <w:tcBorders>
              <w:top w:val="nil"/>
              <w:left w:val="nil"/>
              <w:bottom w:val="single" w:sz="4" w:space="0" w:color="auto"/>
              <w:right w:val="single" w:sz="4" w:space="0" w:color="auto"/>
            </w:tcBorders>
            <w:shd w:val="clear" w:color="auto" w:fill="auto"/>
            <w:noWrap/>
            <w:vAlign w:val="center"/>
            <w:hideMark/>
          </w:tcPr>
          <w:p w14:paraId="73158E66"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S</w:t>
            </w:r>
          </w:p>
        </w:tc>
        <w:tc>
          <w:tcPr>
            <w:tcW w:w="770" w:type="dxa"/>
            <w:tcBorders>
              <w:top w:val="nil"/>
              <w:left w:val="nil"/>
              <w:bottom w:val="single" w:sz="4" w:space="0" w:color="auto"/>
              <w:right w:val="single" w:sz="4" w:space="0" w:color="auto"/>
            </w:tcBorders>
            <w:shd w:val="clear" w:color="auto" w:fill="auto"/>
            <w:noWrap/>
            <w:vAlign w:val="center"/>
            <w:hideMark/>
          </w:tcPr>
          <w:p w14:paraId="1D04E062"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GQL</w:t>
            </w:r>
          </w:p>
        </w:tc>
        <w:tc>
          <w:tcPr>
            <w:tcW w:w="870" w:type="dxa"/>
            <w:tcBorders>
              <w:top w:val="nil"/>
              <w:left w:val="nil"/>
              <w:bottom w:val="single" w:sz="4" w:space="0" w:color="auto"/>
              <w:right w:val="single" w:sz="4" w:space="0" w:color="auto"/>
            </w:tcBorders>
            <w:shd w:val="clear" w:color="auto" w:fill="auto"/>
            <w:noWrap/>
            <w:vAlign w:val="center"/>
            <w:hideMark/>
          </w:tcPr>
          <w:p w14:paraId="5F20D6DB"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2,3,4</w:t>
            </w:r>
          </w:p>
        </w:tc>
        <w:tc>
          <w:tcPr>
            <w:tcW w:w="843" w:type="dxa"/>
            <w:tcBorders>
              <w:top w:val="nil"/>
              <w:left w:val="nil"/>
              <w:bottom w:val="single" w:sz="4" w:space="0" w:color="auto"/>
              <w:right w:val="single" w:sz="4" w:space="0" w:color="auto"/>
            </w:tcBorders>
            <w:shd w:val="clear" w:color="auto" w:fill="auto"/>
            <w:noWrap/>
            <w:vAlign w:val="center"/>
            <w:hideMark/>
          </w:tcPr>
          <w:p w14:paraId="09DF85CD"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w:t>
            </w:r>
          </w:p>
        </w:tc>
        <w:tc>
          <w:tcPr>
            <w:tcW w:w="1450" w:type="dxa"/>
            <w:tcBorders>
              <w:top w:val="nil"/>
              <w:left w:val="nil"/>
              <w:bottom w:val="single" w:sz="4" w:space="0" w:color="auto"/>
              <w:right w:val="single" w:sz="4" w:space="0" w:color="auto"/>
            </w:tcBorders>
            <w:shd w:val="clear" w:color="auto" w:fill="auto"/>
            <w:vAlign w:val="center"/>
            <w:hideMark/>
          </w:tcPr>
          <w:p w14:paraId="5F1CAEB6"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Future Earth (S)</w:t>
            </w:r>
          </w:p>
        </w:tc>
        <w:tc>
          <w:tcPr>
            <w:tcW w:w="843" w:type="dxa"/>
            <w:tcBorders>
              <w:top w:val="nil"/>
              <w:left w:val="nil"/>
              <w:bottom w:val="single" w:sz="4" w:space="0" w:color="auto"/>
              <w:right w:val="single" w:sz="4" w:space="0" w:color="auto"/>
            </w:tcBorders>
            <w:shd w:val="clear" w:color="auto" w:fill="auto"/>
            <w:noWrap/>
            <w:vAlign w:val="center"/>
            <w:hideMark/>
          </w:tcPr>
          <w:p w14:paraId="6A676085"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BP</w:t>
            </w:r>
          </w:p>
        </w:tc>
        <w:tc>
          <w:tcPr>
            <w:tcW w:w="1338" w:type="dxa"/>
            <w:tcBorders>
              <w:top w:val="nil"/>
              <w:left w:val="nil"/>
              <w:bottom w:val="single" w:sz="4" w:space="0" w:color="auto"/>
              <w:right w:val="single" w:sz="4" w:space="0" w:color="auto"/>
            </w:tcBorders>
            <w:shd w:val="clear" w:color="auto" w:fill="auto"/>
            <w:noWrap/>
            <w:vAlign w:val="center"/>
            <w:hideMark/>
          </w:tcPr>
          <w:p w14:paraId="1AEEB772"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u w:val="single"/>
                <w:lang w:eastAsia="ko-KR"/>
              </w:rPr>
            </w:pPr>
            <w:r w:rsidRPr="00AE7103">
              <w:rPr>
                <w:rFonts w:ascii="Times New Roman" w:eastAsia="Malgun Gothic" w:hAnsi="Times New Roman"/>
                <w:color w:val="000000" w:themeColor="text1"/>
                <w:sz w:val="18"/>
                <w:szCs w:val="18"/>
                <w:lang w:eastAsia="ko-KR"/>
              </w:rPr>
              <w:t>FAO</w:t>
            </w:r>
          </w:p>
        </w:tc>
      </w:tr>
      <w:tr w:rsidR="00AE7103" w:rsidRPr="00AE7103" w14:paraId="0FC6BE07" w14:textId="77777777" w:rsidTr="00776736">
        <w:trPr>
          <w:trHeight w:val="45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4B507DF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14</w:t>
            </w:r>
          </w:p>
        </w:tc>
        <w:tc>
          <w:tcPr>
            <w:tcW w:w="5701" w:type="dxa"/>
            <w:tcBorders>
              <w:top w:val="nil"/>
              <w:left w:val="nil"/>
              <w:bottom w:val="single" w:sz="4" w:space="0" w:color="auto"/>
              <w:right w:val="single" w:sz="4" w:space="0" w:color="auto"/>
            </w:tcBorders>
            <w:shd w:val="clear" w:color="auto" w:fill="auto"/>
            <w:vAlign w:val="center"/>
            <w:hideMark/>
          </w:tcPr>
          <w:p w14:paraId="69FDADBE"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Water Security: Proportion of population using safely managed drinking water services (SDG 6.1.1)</w:t>
            </w:r>
          </w:p>
        </w:tc>
        <w:tc>
          <w:tcPr>
            <w:tcW w:w="793" w:type="dxa"/>
            <w:tcBorders>
              <w:top w:val="nil"/>
              <w:left w:val="nil"/>
              <w:bottom w:val="single" w:sz="4" w:space="0" w:color="auto"/>
              <w:right w:val="single" w:sz="4" w:space="0" w:color="auto"/>
            </w:tcBorders>
            <w:shd w:val="clear" w:color="auto" w:fill="auto"/>
            <w:noWrap/>
            <w:vAlign w:val="center"/>
            <w:hideMark/>
          </w:tcPr>
          <w:p w14:paraId="43FF4EA1"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S</w:t>
            </w:r>
          </w:p>
        </w:tc>
        <w:tc>
          <w:tcPr>
            <w:tcW w:w="770" w:type="dxa"/>
            <w:tcBorders>
              <w:top w:val="nil"/>
              <w:left w:val="nil"/>
              <w:bottom w:val="single" w:sz="4" w:space="0" w:color="auto"/>
              <w:right w:val="single" w:sz="4" w:space="0" w:color="auto"/>
            </w:tcBorders>
            <w:shd w:val="clear" w:color="auto" w:fill="auto"/>
            <w:noWrap/>
            <w:vAlign w:val="center"/>
            <w:hideMark/>
          </w:tcPr>
          <w:p w14:paraId="347852F3"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GQL</w:t>
            </w:r>
          </w:p>
        </w:tc>
        <w:tc>
          <w:tcPr>
            <w:tcW w:w="870" w:type="dxa"/>
            <w:tcBorders>
              <w:top w:val="nil"/>
              <w:left w:val="nil"/>
              <w:bottom w:val="single" w:sz="4" w:space="0" w:color="auto"/>
              <w:right w:val="single" w:sz="4" w:space="0" w:color="auto"/>
            </w:tcBorders>
            <w:shd w:val="clear" w:color="auto" w:fill="auto"/>
            <w:noWrap/>
            <w:vAlign w:val="center"/>
            <w:hideMark/>
          </w:tcPr>
          <w:p w14:paraId="071313A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2,3,4</w:t>
            </w:r>
          </w:p>
        </w:tc>
        <w:tc>
          <w:tcPr>
            <w:tcW w:w="843" w:type="dxa"/>
            <w:tcBorders>
              <w:top w:val="nil"/>
              <w:left w:val="nil"/>
              <w:bottom w:val="single" w:sz="4" w:space="0" w:color="auto"/>
              <w:right w:val="single" w:sz="4" w:space="0" w:color="auto"/>
            </w:tcBorders>
            <w:shd w:val="clear" w:color="auto" w:fill="auto"/>
            <w:noWrap/>
            <w:vAlign w:val="center"/>
            <w:hideMark/>
          </w:tcPr>
          <w:p w14:paraId="01E61D01"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w:t>
            </w:r>
          </w:p>
        </w:tc>
        <w:tc>
          <w:tcPr>
            <w:tcW w:w="1450" w:type="dxa"/>
            <w:tcBorders>
              <w:top w:val="nil"/>
              <w:left w:val="nil"/>
              <w:bottom w:val="single" w:sz="4" w:space="0" w:color="auto"/>
              <w:right w:val="single" w:sz="4" w:space="0" w:color="auto"/>
            </w:tcBorders>
            <w:shd w:val="clear" w:color="auto" w:fill="auto"/>
            <w:vAlign w:val="center"/>
            <w:hideMark/>
          </w:tcPr>
          <w:p w14:paraId="73F36456"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CBD</w:t>
            </w:r>
          </w:p>
        </w:tc>
        <w:tc>
          <w:tcPr>
            <w:tcW w:w="843" w:type="dxa"/>
            <w:tcBorders>
              <w:top w:val="nil"/>
              <w:left w:val="nil"/>
              <w:bottom w:val="single" w:sz="4" w:space="0" w:color="auto"/>
              <w:right w:val="single" w:sz="4" w:space="0" w:color="auto"/>
            </w:tcBorders>
            <w:shd w:val="clear" w:color="auto" w:fill="auto"/>
            <w:noWrap/>
            <w:vAlign w:val="center"/>
            <w:hideMark/>
          </w:tcPr>
          <w:p w14:paraId="5B5D2131"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p>
        </w:tc>
        <w:tc>
          <w:tcPr>
            <w:tcW w:w="1338" w:type="dxa"/>
            <w:tcBorders>
              <w:top w:val="nil"/>
              <w:left w:val="nil"/>
              <w:bottom w:val="single" w:sz="4" w:space="0" w:color="auto"/>
              <w:right w:val="single" w:sz="4" w:space="0" w:color="auto"/>
            </w:tcBorders>
            <w:shd w:val="clear" w:color="auto" w:fill="auto"/>
            <w:noWrap/>
            <w:vAlign w:val="center"/>
            <w:hideMark/>
          </w:tcPr>
          <w:p w14:paraId="1ECF3F93"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u w:val="single"/>
                <w:lang w:eastAsia="ko-KR"/>
              </w:rPr>
            </w:pPr>
            <w:r w:rsidRPr="00AE7103">
              <w:rPr>
                <w:rFonts w:ascii="Times New Roman" w:eastAsia="Malgun Gothic" w:hAnsi="Times New Roman"/>
                <w:color w:val="000000" w:themeColor="text1"/>
                <w:sz w:val="18"/>
                <w:szCs w:val="18"/>
                <w:lang w:eastAsia="ko-KR"/>
              </w:rPr>
              <w:t>UNICEF/WHO</w:t>
            </w:r>
          </w:p>
        </w:tc>
      </w:tr>
      <w:tr w:rsidR="00AE7103" w:rsidRPr="00AE7103" w14:paraId="229AC6C2" w14:textId="77777777" w:rsidTr="00776736">
        <w:trPr>
          <w:trHeight w:val="45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5674BAEE"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14</w:t>
            </w:r>
          </w:p>
        </w:tc>
        <w:tc>
          <w:tcPr>
            <w:tcW w:w="5701" w:type="dxa"/>
            <w:tcBorders>
              <w:top w:val="nil"/>
              <w:left w:val="nil"/>
              <w:bottom w:val="single" w:sz="4" w:space="0" w:color="auto"/>
              <w:right w:val="single" w:sz="4" w:space="0" w:color="auto"/>
            </w:tcBorders>
            <w:shd w:val="clear" w:color="auto" w:fill="auto"/>
            <w:vAlign w:val="center"/>
            <w:hideMark/>
          </w:tcPr>
          <w:p w14:paraId="573412A1"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Water Security: Freshwater consumption as % of total renewable water resources/watershed</w:t>
            </w:r>
          </w:p>
        </w:tc>
        <w:tc>
          <w:tcPr>
            <w:tcW w:w="793" w:type="dxa"/>
            <w:tcBorders>
              <w:top w:val="nil"/>
              <w:left w:val="nil"/>
              <w:bottom w:val="single" w:sz="4" w:space="0" w:color="auto"/>
              <w:right w:val="single" w:sz="4" w:space="0" w:color="auto"/>
            </w:tcBorders>
            <w:shd w:val="clear" w:color="auto" w:fill="auto"/>
            <w:noWrap/>
            <w:vAlign w:val="center"/>
            <w:hideMark/>
          </w:tcPr>
          <w:p w14:paraId="03BB7FFC"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S</w:t>
            </w:r>
          </w:p>
        </w:tc>
        <w:tc>
          <w:tcPr>
            <w:tcW w:w="770" w:type="dxa"/>
            <w:tcBorders>
              <w:top w:val="nil"/>
              <w:left w:val="nil"/>
              <w:bottom w:val="single" w:sz="4" w:space="0" w:color="auto"/>
              <w:right w:val="single" w:sz="4" w:space="0" w:color="auto"/>
            </w:tcBorders>
            <w:shd w:val="clear" w:color="auto" w:fill="auto"/>
            <w:noWrap/>
            <w:vAlign w:val="center"/>
            <w:hideMark/>
          </w:tcPr>
          <w:p w14:paraId="4B29A3B0"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GQL</w:t>
            </w:r>
          </w:p>
        </w:tc>
        <w:tc>
          <w:tcPr>
            <w:tcW w:w="870" w:type="dxa"/>
            <w:tcBorders>
              <w:top w:val="nil"/>
              <w:left w:val="nil"/>
              <w:bottom w:val="single" w:sz="4" w:space="0" w:color="auto"/>
              <w:right w:val="single" w:sz="4" w:space="0" w:color="auto"/>
            </w:tcBorders>
            <w:shd w:val="clear" w:color="auto" w:fill="auto"/>
            <w:noWrap/>
            <w:vAlign w:val="center"/>
            <w:hideMark/>
          </w:tcPr>
          <w:p w14:paraId="1779792C"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2,3,4</w:t>
            </w:r>
          </w:p>
        </w:tc>
        <w:tc>
          <w:tcPr>
            <w:tcW w:w="843" w:type="dxa"/>
            <w:tcBorders>
              <w:top w:val="nil"/>
              <w:left w:val="nil"/>
              <w:bottom w:val="single" w:sz="4" w:space="0" w:color="auto"/>
              <w:right w:val="single" w:sz="4" w:space="0" w:color="auto"/>
            </w:tcBorders>
            <w:shd w:val="clear" w:color="auto" w:fill="auto"/>
            <w:noWrap/>
            <w:vAlign w:val="center"/>
            <w:hideMark/>
          </w:tcPr>
          <w:p w14:paraId="2A2A457B"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w:t>
            </w:r>
          </w:p>
        </w:tc>
        <w:tc>
          <w:tcPr>
            <w:tcW w:w="1450" w:type="dxa"/>
            <w:tcBorders>
              <w:top w:val="nil"/>
              <w:left w:val="nil"/>
              <w:bottom w:val="single" w:sz="4" w:space="0" w:color="auto"/>
              <w:right w:val="single" w:sz="4" w:space="0" w:color="auto"/>
            </w:tcBorders>
            <w:shd w:val="clear" w:color="auto" w:fill="auto"/>
            <w:vAlign w:val="center"/>
            <w:hideMark/>
          </w:tcPr>
          <w:p w14:paraId="32B857E0"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Future Earth (S)</w:t>
            </w:r>
          </w:p>
        </w:tc>
        <w:tc>
          <w:tcPr>
            <w:tcW w:w="843" w:type="dxa"/>
            <w:tcBorders>
              <w:top w:val="nil"/>
              <w:left w:val="nil"/>
              <w:bottom w:val="single" w:sz="4" w:space="0" w:color="auto"/>
              <w:right w:val="single" w:sz="4" w:space="0" w:color="auto"/>
            </w:tcBorders>
            <w:shd w:val="clear" w:color="auto" w:fill="auto"/>
            <w:noWrap/>
            <w:vAlign w:val="center"/>
            <w:hideMark/>
          </w:tcPr>
          <w:p w14:paraId="650FFE32"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BP</w:t>
            </w:r>
          </w:p>
        </w:tc>
        <w:tc>
          <w:tcPr>
            <w:tcW w:w="1338" w:type="dxa"/>
            <w:tcBorders>
              <w:top w:val="nil"/>
              <w:left w:val="nil"/>
              <w:bottom w:val="single" w:sz="4" w:space="0" w:color="auto"/>
              <w:right w:val="single" w:sz="4" w:space="0" w:color="auto"/>
            </w:tcBorders>
            <w:shd w:val="clear" w:color="auto" w:fill="auto"/>
            <w:noWrap/>
            <w:vAlign w:val="center"/>
            <w:hideMark/>
          </w:tcPr>
          <w:p w14:paraId="3197AB7E"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u w:val="single"/>
                <w:lang w:eastAsia="ko-KR"/>
              </w:rPr>
            </w:pPr>
            <w:r w:rsidRPr="00AE7103">
              <w:rPr>
                <w:rFonts w:ascii="Times New Roman" w:eastAsia="Malgun Gothic" w:hAnsi="Times New Roman"/>
                <w:color w:val="000000" w:themeColor="text1"/>
                <w:sz w:val="18"/>
                <w:szCs w:val="18"/>
                <w:lang w:eastAsia="ko-KR"/>
              </w:rPr>
              <w:t>FAO</w:t>
            </w:r>
          </w:p>
        </w:tc>
      </w:tr>
      <w:tr w:rsidR="00AE7103" w:rsidRPr="00AE7103" w14:paraId="7FBAD99A" w14:textId="77777777" w:rsidTr="00776736">
        <w:trPr>
          <w:trHeight w:val="255"/>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6C7CCFB" w14:textId="3A69B77F"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p>
        </w:tc>
        <w:tc>
          <w:tcPr>
            <w:tcW w:w="5701" w:type="dxa"/>
            <w:tcBorders>
              <w:top w:val="nil"/>
              <w:left w:val="nil"/>
              <w:bottom w:val="single" w:sz="4" w:space="0" w:color="auto"/>
              <w:right w:val="single" w:sz="4" w:space="0" w:color="auto"/>
            </w:tcBorders>
            <w:shd w:val="clear" w:color="auto" w:fill="auto"/>
            <w:vAlign w:val="center"/>
            <w:hideMark/>
          </w:tcPr>
          <w:p w14:paraId="5A0F7E1E"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Equity: GINI index </w:t>
            </w:r>
          </w:p>
        </w:tc>
        <w:tc>
          <w:tcPr>
            <w:tcW w:w="793" w:type="dxa"/>
            <w:tcBorders>
              <w:top w:val="nil"/>
              <w:left w:val="nil"/>
              <w:bottom w:val="single" w:sz="4" w:space="0" w:color="auto"/>
              <w:right w:val="single" w:sz="4" w:space="0" w:color="auto"/>
            </w:tcBorders>
            <w:shd w:val="clear" w:color="auto" w:fill="auto"/>
            <w:noWrap/>
            <w:vAlign w:val="center"/>
            <w:hideMark/>
          </w:tcPr>
          <w:p w14:paraId="1F6622F0"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S</w:t>
            </w:r>
          </w:p>
        </w:tc>
        <w:tc>
          <w:tcPr>
            <w:tcW w:w="770" w:type="dxa"/>
            <w:tcBorders>
              <w:top w:val="nil"/>
              <w:left w:val="nil"/>
              <w:bottom w:val="single" w:sz="4" w:space="0" w:color="auto"/>
              <w:right w:val="single" w:sz="4" w:space="0" w:color="auto"/>
            </w:tcBorders>
            <w:shd w:val="clear" w:color="auto" w:fill="auto"/>
            <w:noWrap/>
            <w:vAlign w:val="center"/>
            <w:hideMark/>
          </w:tcPr>
          <w:p w14:paraId="2C570317"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GQL</w:t>
            </w:r>
          </w:p>
        </w:tc>
        <w:tc>
          <w:tcPr>
            <w:tcW w:w="870" w:type="dxa"/>
            <w:tcBorders>
              <w:top w:val="nil"/>
              <w:left w:val="nil"/>
              <w:bottom w:val="single" w:sz="4" w:space="0" w:color="auto"/>
              <w:right w:val="single" w:sz="4" w:space="0" w:color="auto"/>
            </w:tcBorders>
            <w:shd w:val="clear" w:color="auto" w:fill="auto"/>
            <w:noWrap/>
            <w:vAlign w:val="center"/>
            <w:hideMark/>
          </w:tcPr>
          <w:p w14:paraId="211E6226"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2,3,4</w:t>
            </w:r>
          </w:p>
        </w:tc>
        <w:tc>
          <w:tcPr>
            <w:tcW w:w="843" w:type="dxa"/>
            <w:tcBorders>
              <w:top w:val="nil"/>
              <w:left w:val="nil"/>
              <w:bottom w:val="single" w:sz="4" w:space="0" w:color="auto"/>
              <w:right w:val="single" w:sz="4" w:space="0" w:color="auto"/>
            </w:tcBorders>
            <w:shd w:val="clear" w:color="auto" w:fill="auto"/>
            <w:noWrap/>
            <w:vAlign w:val="center"/>
            <w:hideMark/>
          </w:tcPr>
          <w:p w14:paraId="25A808A6"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w:t>
            </w:r>
          </w:p>
        </w:tc>
        <w:tc>
          <w:tcPr>
            <w:tcW w:w="1450" w:type="dxa"/>
            <w:tcBorders>
              <w:top w:val="nil"/>
              <w:left w:val="nil"/>
              <w:bottom w:val="single" w:sz="4" w:space="0" w:color="auto"/>
              <w:right w:val="single" w:sz="4" w:space="0" w:color="auto"/>
            </w:tcBorders>
            <w:shd w:val="clear" w:color="auto" w:fill="auto"/>
            <w:vAlign w:val="center"/>
            <w:hideMark/>
          </w:tcPr>
          <w:p w14:paraId="3A608EA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Future Earth (S)</w:t>
            </w:r>
          </w:p>
        </w:tc>
        <w:tc>
          <w:tcPr>
            <w:tcW w:w="843" w:type="dxa"/>
            <w:tcBorders>
              <w:top w:val="nil"/>
              <w:left w:val="nil"/>
              <w:bottom w:val="single" w:sz="4" w:space="0" w:color="auto"/>
              <w:right w:val="single" w:sz="4" w:space="0" w:color="auto"/>
            </w:tcBorders>
            <w:shd w:val="clear" w:color="auto" w:fill="auto"/>
            <w:noWrap/>
            <w:vAlign w:val="center"/>
            <w:hideMark/>
          </w:tcPr>
          <w:p w14:paraId="254DD8BD"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p>
        </w:tc>
        <w:tc>
          <w:tcPr>
            <w:tcW w:w="1338" w:type="dxa"/>
            <w:tcBorders>
              <w:top w:val="nil"/>
              <w:left w:val="nil"/>
              <w:bottom w:val="single" w:sz="4" w:space="0" w:color="auto"/>
              <w:right w:val="single" w:sz="4" w:space="0" w:color="auto"/>
            </w:tcBorders>
            <w:shd w:val="clear" w:color="auto" w:fill="auto"/>
            <w:noWrap/>
            <w:vAlign w:val="center"/>
            <w:hideMark/>
          </w:tcPr>
          <w:p w14:paraId="3680A15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u w:val="single"/>
                <w:lang w:eastAsia="ko-KR"/>
              </w:rPr>
            </w:pPr>
            <w:r w:rsidRPr="00AE7103">
              <w:rPr>
                <w:rFonts w:ascii="Times New Roman" w:eastAsia="Malgun Gothic" w:hAnsi="Times New Roman"/>
                <w:color w:val="000000" w:themeColor="text1"/>
                <w:sz w:val="18"/>
                <w:szCs w:val="18"/>
                <w:lang w:eastAsia="ko-KR"/>
              </w:rPr>
              <w:t>World Bank</w:t>
            </w:r>
          </w:p>
        </w:tc>
      </w:tr>
      <w:tr w:rsidR="00AE7103" w:rsidRPr="00AE7103" w14:paraId="722F49A8" w14:textId="77777777" w:rsidTr="00776736">
        <w:trPr>
          <w:trHeight w:val="255"/>
        </w:trPr>
        <w:tc>
          <w:tcPr>
            <w:tcW w:w="13416" w:type="dxa"/>
            <w:gridSpan w:val="9"/>
            <w:tcBorders>
              <w:top w:val="nil"/>
              <w:left w:val="single" w:sz="4" w:space="0" w:color="auto"/>
              <w:bottom w:val="single" w:sz="4" w:space="0" w:color="auto"/>
              <w:right w:val="single" w:sz="4" w:space="0" w:color="auto"/>
            </w:tcBorders>
            <w:shd w:val="clear" w:color="auto" w:fill="auto"/>
            <w:noWrap/>
            <w:vAlign w:val="center"/>
            <w:hideMark/>
          </w:tcPr>
          <w:p w14:paraId="3E3AD5F7" w14:textId="77777777" w:rsidR="00D80FCB" w:rsidRPr="00AE7103" w:rsidRDefault="00D80FCB" w:rsidP="00776736">
            <w:pPr>
              <w:spacing w:before="40" w:after="40" w:line="240" w:lineRule="auto"/>
              <w:rPr>
                <w:rFonts w:ascii="Times New Roman" w:eastAsia="Malgun Gothic" w:hAnsi="Times New Roman"/>
                <w:b/>
                <w:bCs/>
                <w:i/>
                <w:color w:val="000000" w:themeColor="text1"/>
                <w:sz w:val="18"/>
                <w:szCs w:val="18"/>
                <w:lang w:eastAsia="ko-KR"/>
              </w:rPr>
            </w:pPr>
            <w:r w:rsidRPr="00AE7103">
              <w:rPr>
                <w:rFonts w:ascii="Times New Roman" w:eastAsia="Malgun Gothic" w:hAnsi="Times New Roman"/>
                <w:b/>
                <w:bCs/>
                <w:i/>
                <w:color w:val="000000" w:themeColor="text1"/>
                <w:sz w:val="18"/>
                <w:szCs w:val="18"/>
                <w:lang w:eastAsia="ko-KR"/>
              </w:rPr>
              <w:t xml:space="preserve">Nature's Benefit to People </w:t>
            </w:r>
          </w:p>
        </w:tc>
      </w:tr>
      <w:tr w:rsidR="00AE7103" w:rsidRPr="00AE7103" w14:paraId="6984AB18" w14:textId="77777777" w:rsidTr="00776736">
        <w:trPr>
          <w:trHeight w:val="255"/>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1B29A593"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14</w:t>
            </w:r>
          </w:p>
        </w:tc>
        <w:tc>
          <w:tcPr>
            <w:tcW w:w="5701" w:type="dxa"/>
            <w:tcBorders>
              <w:top w:val="nil"/>
              <w:left w:val="nil"/>
              <w:bottom w:val="single" w:sz="4" w:space="0" w:color="auto"/>
              <w:right w:val="single" w:sz="4" w:space="0" w:color="auto"/>
            </w:tcBorders>
            <w:shd w:val="clear" w:color="auto" w:fill="auto"/>
            <w:vAlign w:val="center"/>
            <w:hideMark/>
          </w:tcPr>
          <w:p w14:paraId="27C1AF7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Food: World grain production by type/capita.year</w:t>
            </w:r>
          </w:p>
        </w:tc>
        <w:tc>
          <w:tcPr>
            <w:tcW w:w="793" w:type="dxa"/>
            <w:tcBorders>
              <w:top w:val="nil"/>
              <w:left w:val="nil"/>
              <w:bottom w:val="single" w:sz="4" w:space="0" w:color="auto"/>
              <w:right w:val="single" w:sz="4" w:space="0" w:color="auto"/>
            </w:tcBorders>
            <w:shd w:val="clear" w:color="auto" w:fill="auto"/>
            <w:noWrap/>
            <w:vAlign w:val="center"/>
            <w:hideMark/>
          </w:tcPr>
          <w:p w14:paraId="4C75A234"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S</w:t>
            </w:r>
          </w:p>
        </w:tc>
        <w:tc>
          <w:tcPr>
            <w:tcW w:w="770" w:type="dxa"/>
            <w:tcBorders>
              <w:top w:val="nil"/>
              <w:left w:val="nil"/>
              <w:bottom w:val="single" w:sz="4" w:space="0" w:color="auto"/>
              <w:right w:val="single" w:sz="4" w:space="0" w:color="auto"/>
            </w:tcBorders>
            <w:shd w:val="clear" w:color="auto" w:fill="auto"/>
            <w:noWrap/>
            <w:vAlign w:val="center"/>
            <w:hideMark/>
          </w:tcPr>
          <w:p w14:paraId="57DC7849"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NBP</w:t>
            </w:r>
          </w:p>
        </w:tc>
        <w:tc>
          <w:tcPr>
            <w:tcW w:w="870" w:type="dxa"/>
            <w:tcBorders>
              <w:top w:val="nil"/>
              <w:left w:val="nil"/>
              <w:bottom w:val="single" w:sz="4" w:space="0" w:color="auto"/>
              <w:right w:val="single" w:sz="4" w:space="0" w:color="auto"/>
            </w:tcBorders>
            <w:shd w:val="clear" w:color="auto" w:fill="auto"/>
            <w:noWrap/>
            <w:vAlign w:val="center"/>
            <w:hideMark/>
          </w:tcPr>
          <w:p w14:paraId="3FFF68B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2,3,4</w:t>
            </w:r>
          </w:p>
        </w:tc>
        <w:tc>
          <w:tcPr>
            <w:tcW w:w="843" w:type="dxa"/>
            <w:tcBorders>
              <w:top w:val="nil"/>
              <w:left w:val="nil"/>
              <w:bottom w:val="single" w:sz="4" w:space="0" w:color="auto"/>
              <w:right w:val="single" w:sz="4" w:space="0" w:color="auto"/>
            </w:tcBorders>
            <w:shd w:val="clear" w:color="auto" w:fill="auto"/>
            <w:noWrap/>
            <w:vAlign w:val="center"/>
            <w:hideMark/>
          </w:tcPr>
          <w:p w14:paraId="44618A1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w:t>
            </w:r>
          </w:p>
        </w:tc>
        <w:tc>
          <w:tcPr>
            <w:tcW w:w="1450" w:type="dxa"/>
            <w:tcBorders>
              <w:top w:val="nil"/>
              <w:left w:val="nil"/>
              <w:bottom w:val="single" w:sz="4" w:space="0" w:color="auto"/>
              <w:right w:val="single" w:sz="4" w:space="0" w:color="auto"/>
            </w:tcBorders>
            <w:shd w:val="clear" w:color="auto" w:fill="auto"/>
            <w:vAlign w:val="center"/>
            <w:hideMark/>
          </w:tcPr>
          <w:p w14:paraId="6CFBDBD0"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Future Earth (S)</w:t>
            </w:r>
          </w:p>
        </w:tc>
        <w:tc>
          <w:tcPr>
            <w:tcW w:w="843" w:type="dxa"/>
            <w:tcBorders>
              <w:top w:val="nil"/>
              <w:left w:val="nil"/>
              <w:bottom w:val="single" w:sz="4" w:space="0" w:color="auto"/>
              <w:right w:val="single" w:sz="4" w:space="0" w:color="auto"/>
            </w:tcBorders>
            <w:shd w:val="clear" w:color="auto" w:fill="auto"/>
            <w:noWrap/>
            <w:vAlign w:val="center"/>
            <w:hideMark/>
          </w:tcPr>
          <w:p w14:paraId="152CA8A3"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BP</w:t>
            </w:r>
          </w:p>
        </w:tc>
        <w:tc>
          <w:tcPr>
            <w:tcW w:w="1338" w:type="dxa"/>
            <w:tcBorders>
              <w:top w:val="nil"/>
              <w:left w:val="nil"/>
              <w:bottom w:val="single" w:sz="4" w:space="0" w:color="auto"/>
              <w:right w:val="single" w:sz="4" w:space="0" w:color="auto"/>
            </w:tcBorders>
            <w:shd w:val="clear" w:color="auto" w:fill="auto"/>
            <w:noWrap/>
            <w:vAlign w:val="center"/>
            <w:hideMark/>
          </w:tcPr>
          <w:p w14:paraId="6D4E223F"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u w:val="single"/>
                <w:lang w:eastAsia="ko-KR"/>
              </w:rPr>
            </w:pPr>
            <w:r w:rsidRPr="00AE7103">
              <w:rPr>
                <w:rFonts w:ascii="Times New Roman" w:eastAsia="Malgun Gothic" w:hAnsi="Times New Roman"/>
                <w:color w:val="000000" w:themeColor="text1"/>
                <w:sz w:val="18"/>
                <w:szCs w:val="18"/>
                <w:lang w:eastAsia="ko-KR"/>
              </w:rPr>
              <w:t>FAO</w:t>
            </w:r>
          </w:p>
        </w:tc>
      </w:tr>
      <w:tr w:rsidR="00AE7103" w:rsidRPr="00AE7103" w14:paraId="54E3F6A6" w14:textId="77777777" w:rsidTr="00776736">
        <w:trPr>
          <w:trHeight w:val="255"/>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1A49A40"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18</w:t>
            </w:r>
          </w:p>
        </w:tc>
        <w:tc>
          <w:tcPr>
            <w:tcW w:w="5701" w:type="dxa"/>
            <w:tcBorders>
              <w:top w:val="nil"/>
              <w:left w:val="nil"/>
              <w:bottom w:val="single" w:sz="4" w:space="0" w:color="auto"/>
              <w:right w:val="single" w:sz="4" w:space="0" w:color="auto"/>
            </w:tcBorders>
            <w:shd w:val="clear" w:color="auto" w:fill="auto"/>
            <w:vAlign w:val="center"/>
            <w:hideMark/>
          </w:tcPr>
          <w:p w14:paraId="42BE5D9F"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Non-material NBPs: Index of Linguistic Diversity (ILD)</w:t>
            </w:r>
          </w:p>
        </w:tc>
        <w:tc>
          <w:tcPr>
            <w:tcW w:w="793" w:type="dxa"/>
            <w:tcBorders>
              <w:top w:val="nil"/>
              <w:left w:val="nil"/>
              <w:bottom w:val="single" w:sz="4" w:space="0" w:color="auto"/>
              <w:right w:val="single" w:sz="4" w:space="0" w:color="auto"/>
            </w:tcBorders>
            <w:shd w:val="clear" w:color="auto" w:fill="auto"/>
            <w:noWrap/>
            <w:vAlign w:val="center"/>
            <w:hideMark/>
          </w:tcPr>
          <w:p w14:paraId="1C1A6478"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S,P</w:t>
            </w:r>
          </w:p>
        </w:tc>
        <w:tc>
          <w:tcPr>
            <w:tcW w:w="770" w:type="dxa"/>
            <w:tcBorders>
              <w:top w:val="nil"/>
              <w:left w:val="nil"/>
              <w:bottom w:val="single" w:sz="4" w:space="0" w:color="auto"/>
              <w:right w:val="single" w:sz="4" w:space="0" w:color="auto"/>
            </w:tcBorders>
            <w:shd w:val="clear" w:color="auto" w:fill="auto"/>
            <w:noWrap/>
            <w:vAlign w:val="center"/>
            <w:hideMark/>
          </w:tcPr>
          <w:p w14:paraId="3B8D22EA"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NBP, IGID</w:t>
            </w:r>
          </w:p>
        </w:tc>
        <w:tc>
          <w:tcPr>
            <w:tcW w:w="870" w:type="dxa"/>
            <w:tcBorders>
              <w:top w:val="nil"/>
              <w:left w:val="nil"/>
              <w:bottom w:val="single" w:sz="4" w:space="0" w:color="auto"/>
              <w:right w:val="single" w:sz="4" w:space="0" w:color="auto"/>
            </w:tcBorders>
            <w:shd w:val="clear" w:color="auto" w:fill="auto"/>
            <w:noWrap/>
            <w:vAlign w:val="center"/>
            <w:hideMark/>
          </w:tcPr>
          <w:p w14:paraId="30814440"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2,3,4,6</w:t>
            </w:r>
          </w:p>
        </w:tc>
        <w:tc>
          <w:tcPr>
            <w:tcW w:w="843" w:type="dxa"/>
            <w:tcBorders>
              <w:top w:val="nil"/>
              <w:left w:val="nil"/>
              <w:bottom w:val="single" w:sz="4" w:space="0" w:color="auto"/>
              <w:right w:val="single" w:sz="4" w:space="0" w:color="auto"/>
            </w:tcBorders>
            <w:shd w:val="clear" w:color="auto" w:fill="auto"/>
            <w:noWrap/>
            <w:vAlign w:val="center"/>
            <w:hideMark/>
          </w:tcPr>
          <w:p w14:paraId="6A240B89"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2,4,6</w:t>
            </w:r>
          </w:p>
        </w:tc>
        <w:tc>
          <w:tcPr>
            <w:tcW w:w="1450" w:type="dxa"/>
            <w:tcBorders>
              <w:top w:val="nil"/>
              <w:left w:val="nil"/>
              <w:bottom w:val="single" w:sz="4" w:space="0" w:color="auto"/>
              <w:right w:val="single" w:sz="4" w:space="0" w:color="auto"/>
            </w:tcBorders>
            <w:shd w:val="clear" w:color="auto" w:fill="auto"/>
            <w:vAlign w:val="center"/>
            <w:hideMark/>
          </w:tcPr>
          <w:p w14:paraId="03DB8122"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CBD</w:t>
            </w:r>
          </w:p>
        </w:tc>
        <w:tc>
          <w:tcPr>
            <w:tcW w:w="843" w:type="dxa"/>
            <w:tcBorders>
              <w:top w:val="nil"/>
              <w:left w:val="nil"/>
              <w:bottom w:val="single" w:sz="4" w:space="0" w:color="auto"/>
              <w:right w:val="single" w:sz="4" w:space="0" w:color="auto"/>
            </w:tcBorders>
            <w:shd w:val="clear" w:color="auto" w:fill="auto"/>
            <w:noWrap/>
            <w:vAlign w:val="center"/>
            <w:hideMark/>
          </w:tcPr>
          <w:p w14:paraId="16F59A38"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lang w:eastAsia="ko-KR"/>
              </w:rPr>
            </w:pPr>
            <w:r w:rsidRPr="00AE7103">
              <w:rPr>
                <w:rFonts w:ascii="Times New Roman" w:eastAsia="Malgun Gothic" w:hAnsi="Times New Roman"/>
                <w:color w:val="000000" w:themeColor="text1"/>
                <w:sz w:val="18"/>
                <w:szCs w:val="18"/>
                <w:lang w:eastAsia="ko-KR"/>
              </w:rPr>
              <w:t>B</w:t>
            </w:r>
          </w:p>
        </w:tc>
        <w:tc>
          <w:tcPr>
            <w:tcW w:w="1338" w:type="dxa"/>
            <w:tcBorders>
              <w:top w:val="nil"/>
              <w:left w:val="nil"/>
              <w:bottom w:val="single" w:sz="4" w:space="0" w:color="auto"/>
              <w:right w:val="single" w:sz="4" w:space="0" w:color="auto"/>
            </w:tcBorders>
            <w:shd w:val="clear" w:color="auto" w:fill="auto"/>
            <w:noWrap/>
            <w:vAlign w:val="center"/>
            <w:hideMark/>
          </w:tcPr>
          <w:p w14:paraId="672A17E7" w14:textId="77777777" w:rsidR="00D80FCB" w:rsidRPr="00AE7103" w:rsidRDefault="00D80FCB" w:rsidP="00776736">
            <w:pPr>
              <w:spacing w:before="40" w:after="40" w:line="240" w:lineRule="auto"/>
              <w:rPr>
                <w:rFonts w:ascii="Times New Roman" w:eastAsia="Malgun Gothic" w:hAnsi="Times New Roman"/>
                <w:color w:val="000000" w:themeColor="text1"/>
                <w:sz w:val="18"/>
                <w:szCs w:val="18"/>
                <w:u w:val="single"/>
                <w:lang w:eastAsia="ko-KR"/>
              </w:rPr>
            </w:pPr>
            <w:r w:rsidRPr="00AE7103">
              <w:rPr>
                <w:rFonts w:ascii="Times New Roman" w:eastAsia="Malgun Gothic" w:hAnsi="Times New Roman"/>
                <w:color w:val="000000" w:themeColor="text1"/>
                <w:sz w:val="18"/>
                <w:szCs w:val="18"/>
                <w:lang w:eastAsia="ko-KR"/>
              </w:rPr>
              <w:t>UNESCO</w:t>
            </w:r>
          </w:p>
        </w:tc>
      </w:tr>
      <w:tr w:rsidR="00AE7103" w:rsidRPr="00AE7103" w14:paraId="0DCC62D3" w14:textId="77777777" w:rsidTr="00776736">
        <w:trPr>
          <w:trHeight w:val="300"/>
        </w:trPr>
        <w:tc>
          <w:tcPr>
            <w:tcW w:w="13416" w:type="dxa"/>
            <w:gridSpan w:val="9"/>
            <w:tcBorders>
              <w:top w:val="nil"/>
              <w:left w:val="nil"/>
              <w:bottom w:val="nil"/>
              <w:right w:val="nil"/>
            </w:tcBorders>
            <w:shd w:val="clear" w:color="auto" w:fill="auto"/>
            <w:noWrap/>
            <w:hideMark/>
          </w:tcPr>
          <w:p w14:paraId="487A1033" w14:textId="77777777" w:rsidR="00D80FCB" w:rsidRPr="00B23629" w:rsidRDefault="00D80FCB" w:rsidP="00776736">
            <w:pPr>
              <w:spacing w:before="40" w:after="40" w:line="240" w:lineRule="auto"/>
              <w:rPr>
                <w:rFonts w:ascii="Times New Roman" w:eastAsia="Malgun Gothic" w:hAnsi="Times New Roman"/>
                <w:color w:val="000000" w:themeColor="text1"/>
                <w:sz w:val="16"/>
                <w:szCs w:val="16"/>
                <w:lang w:eastAsia="ko-KR"/>
              </w:rPr>
            </w:pPr>
            <w:r w:rsidRPr="00B23629">
              <w:rPr>
                <w:rFonts w:ascii="Times New Roman" w:hAnsi="Times New Roman"/>
                <w:color w:val="000000" w:themeColor="text1"/>
                <w:sz w:val="16"/>
                <w:szCs w:val="16"/>
              </w:rPr>
              <w:t>¹ DPSIR - D: Drivers, P: Pressure, S: Status, I: Impact, R: Response</w:t>
            </w:r>
          </w:p>
        </w:tc>
      </w:tr>
      <w:tr w:rsidR="00AE7103" w:rsidRPr="00AE7103" w14:paraId="685266D4" w14:textId="77777777" w:rsidTr="00776736">
        <w:trPr>
          <w:trHeight w:val="263"/>
        </w:trPr>
        <w:tc>
          <w:tcPr>
            <w:tcW w:w="13416" w:type="dxa"/>
            <w:gridSpan w:val="9"/>
            <w:tcBorders>
              <w:top w:val="nil"/>
              <w:left w:val="nil"/>
              <w:bottom w:val="nil"/>
              <w:right w:val="nil"/>
            </w:tcBorders>
            <w:shd w:val="clear" w:color="auto" w:fill="auto"/>
            <w:hideMark/>
          </w:tcPr>
          <w:p w14:paraId="74F7FA83" w14:textId="77777777" w:rsidR="00D80FCB" w:rsidRPr="00B23629" w:rsidRDefault="00D80FCB" w:rsidP="00776736">
            <w:pPr>
              <w:spacing w:before="40" w:after="40" w:line="240" w:lineRule="auto"/>
              <w:rPr>
                <w:rFonts w:ascii="Times New Roman" w:eastAsia="Malgun Gothic" w:hAnsi="Times New Roman"/>
                <w:color w:val="000000" w:themeColor="text1"/>
                <w:sz w:val="16"/>
                <w:szCs w:val="16"/>
                <w:lang w:eastAsia="ko-KR"/>
              </w:rPr>
            </w:pPr>
            <w:r w:rsidRPr="00B23629">
              <w:rPr>
                <w:rFonts w:ascii="Times New Roman" w:hAnsi="Times New Roman"/>
                <w:color w:val="000000" w:themeColor="text1"/>
                <w:sz w:val="16"/>
                <w:szCs w:val="16"/>
              </w:rPr>
              <w:t>²</w:t>
            </w:r>
            <w:r w:rsidRPr="00B23629">
              <w:rPr>
                <w:rFonts w:ascii="Times New Roman" w:eastAsiaTheme="minorEastAsia" w:hAnsi="Times New Roman"/>
                <w:color w:val="000000" w:themeColor="text1"/>
                <w:sz w:val="16"/>
                <w:szCs w:val="16"/>
                <w:lang w:eastAsia="ko-KR"/>
              </w:rPr>
              <w:t xml:space="preserve"> </w:t>
            </w:r>
            <w:r w:rsidRPr="00B23629">
              <w:rPr>
                <w:rFonts w:ascii="Times New Roman" w:hAnsi="Times New Roman"/>
                <w:color w:val="000000" w:themeColor="text1"/>
                <w:sz w:val="16"/>
                <w:szCs w:val="16"/>
              </w:rPr>
              <w:t>CF (Conceptual Framework) - DD: direct driver, NBP: nature's benefit to people/ ecosystem goods and services, BEF: nature/biodiversity and ecosystem functions, IGID: institutions, governance and other indirect drivers, GQL: good quality of life/human well-being</w:t>
            </w:r>
          </w:p>
        </w:tc>
      </w:tr>
      <w:tr w:rsidR="00AE7103" w:rsidRPr="00AE7103" w14:paraId="73F386EA" w14:textId="77777777" w:rsidTr="00776736">
        <w:trPr>
          <w:trHeight w:val="333"/>
        </w:trPr>
        <w:tc>
          <w:tcPr>
            <w:tcW w:w="13416" w:type="dxa"/>
            <w:gridSpan w:val="9"/>
            <w:tcBorders>
              <w:top w:val="nil"/>
              <w:left w:val="nil"/>
              <w:bottom w:val="nil"/>
              <w:right w:val="nil"/>
            </w:tcBorders>
            <w:shd w:val="clear" w:color="auto" w:fill="auto"/>
            <w:hideMark/>
          </w:tcPr>
          <w:p w14:paraId="3C3FBAF1" w14:textId="77777777" w:rsidR="00D80FCB" w:rsidRPr="00B23629" w:rsidRDefault="00D80FCB" w:rsidP="00776736">
            <w:pPr>
              <w:spacing w:before="40" w:after="40" w:line="240" w:lineRule="auto"/>
              <w:rPr>
                <w:rFonts w:ascii="Times New Roman" w:eastAsia="Malgun Gothic" w:hAnsi="Times New Roman"/>
                <w:color w:val="000000" w:themeColor="text1"/>
                <w:sz w:val="16"/>
                <w:szCs w:val="16"/>
                <w:lang w:eastAsia="ko-KR"/>
              </w:rPr>
            </w:pPr>
            <w:r w:rsidRPr="00B23629">
              <w:rPr>
                <w:rFonts w:ascii="Times New Roman" w:hAnsi="Times New Roman"/>
                <w:color w:val="000000" w:themeColor="text1"/>
                <w:sz w:val="16"/>
                <w:szCs w:val="16"/>
              </w:rPr>
              <w:t>³ CBD: Convention of Biological Diversity SBSTTA 20 draft indicator list; Future Earth: recommended by Future Earth indicator group; EPI: used in the Yale Environmental Protection Index; IPBES: added by the IPBES Task Force for Data and Knowledge</w:t>
            </w:r>
          </w:p>
        </w:tc>
      </w:tr>
      <w:tr w:rsidR="00AE7103" w:rsidRPr="00AE7103" w14:paraId="6B029A12" w14:textId="77777777" w:rsidTr="00776736">
        <w:trPr>
          <w:trHeight w:val="255"/>
        </w:trPr>
        <w:tc>
          <w:tcPr>
            <w:tcW w:w="13416" w:type="dxa"/>
            <w:gridSpan w:val="9"/>
            <w:tcBorders>
              <w:top w:val="nil"/>
              <w:left w:val="nil"/>
              <w:bottom w:val="nil"/>
              <w:right w:val="nil"/>
            </w:tcBorders>
            <w:shd w:val="clear" w:color="auto" w:fill="auto"/>
            <w:noWrap/>
            <w:hideMark/>
          </w:tcPr>
          <w:p w14:paraId="608BB744" w14:textId="77777777" w:rsidR="00D80FCB" w:rsidRPr="00B23629" w:rsidRDefault="00D80FCB" w:rsidP="00776736">
            <w:pPr>
              <w:spacing w:before="40" w:after="40" w:line="240" w:lineRule="auto"/>
              <w:rPr>
                <w:rFonts w:ascii="Times New Roman" w:eastAsia="Malgun Gothic" w:hAnsi="Times New Roman"/>
                <w:color w:val="000000" w:themeColor="text1"/>
                <w:sz w:val="16"/>
                <w:szCs w:val="16"/>
                <w:lang w:eastAsia="ko-KR"/>
              </w:rPr>
            </w:pPr>
            <w:r w:rsidRPr="00B23629">
              <w:rPr>
                <w:rFonts w:ascii="Cambria Math" w:hAnsi="Cambria Math" w:cs="Cambria Math"/>
                <w:color w:val="000000" w:themeColor="text1"/>
                <w:sz w:val="16"/>
                <w:szCs w:val="16"/>
              </w:rPr>
              <w:t>⁴</w:t>
            </w:r>
            <w:r w:rsidRPr="00B23629">
              <w:rPr>
                <w:rFonts w:ascii="Times New Roman" w:eastAsiaTheme="minorEastAsia" w:hAnsi="Times New Roman"/>
                <w:color w:val="000000" w:themeColor="text1"/>
                <w:sz w:val="16"/>
                <w:szCs w:val="16"/>
                <w:lang w:eastAsia="ko-KR"/>
              </w:rPr>
              <w:t xml:space="preserve"> </w:t>
            </w:r>
            <w:r w:rsidRPr="00B23629">
              <w:rPr>
                <w:rFonts w:ascii="Times New Roman" w:hAnsi="Times New Roman"/>
                <w:color w:val="000000" w:themeColor="text1"/>
                <w:sz w:val="16"/>
                <w:szCs w:val="16"/>
              </w:rPr>
              <w:t>BIP (Biodiversity Indicator Partnership): B: indicators in BIP global suite, BP: data/indicator holder in BIP partnership</w:t>
            </w:r>
          </w:p>
        </w:tc>
      </w:tr>
    </w:tbl>
    <w:p w14:paraId="5DDD93BB" w14:textId="77777777" w:rsidR="00D80FCB" w:rsidRDefault="00D80FCB" w:rsidP="00941845">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2746"/>
        <w:gridCol w:w="2746"/>
        <w:gridCol w:w="2746"/>
        <w:gridCol w:w="2747"/>
      </w:tblGrid>
      <w:tr w:rsidR="00941845" w14:paraId="11BEB848" w14:textId="77777777" w:rsidTr="00776736">
        <w:tc>
          <w:tcPr>
            <w:tcW w:w="2746" w:type="dxa"/>
          </w:tcPr>
          <w:p w14:paraId="603441E6" w14:textId="77777777" w:rsidR="00941845" w:rsidRDefault="00941845" w:rsidP="00941845">
            <w:pPr>
              <w:pStyle w:val="Normal-pool"/>
              <w:spacing w:before="520"/>
            </w:pPr>
          </w:p>
        </w:tc>
        <w:tc>
          <w:tcPr>
            <w:tcW w:w="2746" w:type="dxa"/>
          </w:tcPr>
          <w:p w14:paraId="4FD10C11" w14:textId="77777777" w:rsidR="00941845" w:rsidRDefault="00941845" w:rsidP="00941845">
            <w:pPr>
              <w:pStyle w:val="Normal-pool"/>
              <w:spacing w:before="520"/>
            </w:pPr>
          </w:p>
        </w:tc>
        <w:tc>
          <w:tcPr>
            <w:tcW w:w="2746" w:type="dxa"/>
            <w:tcBorders>
              <w:bottom w:val="single" w:sz="4" w:space="0" w:color="auto"/>
            </w:tcBorders>
          </w:tcPr>
          <w:p w14:paraId="21C8B727" w14:textId="77777777" w:rsidR="00941845" w:rsidRDefault="00941845" w:rsidP="00941845">
            <w:pPr>
              <w:pStyle w:val="Normal-pool"/>
              <w:spacing w:before="520"/>
            </w:pPr>
          </w:p>
        </w:tc>
        <w:tc>
          <w:tcPr>
            <w:tcW w:w="2746" w:type="dxa"/>
          </w:tcPr>
          <w:p w14:paraId="2C2717E1" w14:textId="77777777" w:rsidR="00941845" w:rsidRDefault="00941845" w:rsidP="00941845">
            <w:pPr>
              <w:pStyle w:val="Normal-pool"/>
              <w:spacing w:before="520"/>
            </w:pPr>
          </w:p>
        </w:tc>
        <w:tc>
          <w:tcPr>
            <w:tcW w:w="2747" w:type="dxa"/>
          </w:tcPr>
          <w:p w14:paraId="72CBDBDE" w14:textId="77777777" w:rsidR="00941845" w:rsidRDefault="00941845" w:rsidP="00941845">
            <w:pPr>
              <w:pStyle w:val="Normal-pool"/>
              <w:spacing w:before="520"/>
            </w:pPr>
          </w:p>
        </w:tc>
      </w:tr>
    </w:tbl>
    <w:p w14:paraId="76DD5B82" w14:textId="77777777" w:rsidR="00941845" w:rsidRPr="00C90FDD" w:rsidRDefault="00941845" w:rsidP="00941845">
      <w:pPr>
        <w:pStyle w:val="Normal-pool"/>
      </w:pPr>
    </w:p>
    <w:sectPr w:rsidR="00941845" w:rsidRPr="00C90FDD" w:rsidSect="00D80FCB">
      <w:headerReference w:type="even" r:id="rId24"/>
      <w:headerReference w:type="default" r:id="rId25"/>
      <w:footerReference w:type="even" r:id="rId26"/>
      <w:footerReference w:type="default" r:id="rId27"/>
      <w:headerReference w:type="first" r:id="rId28"/>
      <w:footerReference w:type="first" r:id="rId29"/>
      <w:footnotePr>
        <w:numFmt w:val="chicago"/>
        <w:numRestart w:val="eachSect"/>
      </w:footnotePr>
      <w:pgSz w:w="15840" w:h="12240" w:orient="landscape" w:code="1"/>
      <w:pgMar w:top="1418" w:right="907" w:bottom="992"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D146B" w14:textId="77777777" w:rsidR="00E64D1C" w:rsidRDefault="00E64D1C">
      <w:r>
        <w:separator/>
      </w:r>
    </w:p>
  </w:endnote>
  <w:endnote w:type="continuationSeparator" w:id="0">
    <w:p w14:paraId="159E420B" w14:textId="77777777" w:rsidR="00E64D1C" w:rsidRDefault="00E6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B701" w14:textId="1E7269E1" w:rsidR="00E64D1C" w:rsidRDefault="00E64D1C" w:rsidP="00BA3197">
    <w:pPr>
      <w:pStyle w:val="Normal-pool"/>
    </w:pPr>
    <w:r>
      <w:rPr>
        <w:rStyle w:val="PageNumber"/>
      </w:rPr>
      <w:fldChar w:fldCharType="begin"/>
    </w:r>
    <w:r>
      <w:rPr>
        <w:rStyle w:val="PageNumber"/>
      </w:rPr>
      <w:instrText xml:space="preserve"> PAGE </w:instrText>
    </w:r>
    <w:r>
      <w:rPr>
        <w:rStyle w:val="PageNumber"/>
      </w:rPr>
      <w:fldChar w:fldCharType="separate"/>
    </w:r>
    <w:r w:rsidR="007E3933">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7B36" w14:textId="42C15616" w:rsidR="00E64D1C" w:rsidRPr="007748F0" w:rsidRDefault="00E64D1C" w:rsidP="007748F0">
    <w:pPr>
      <w:pStyle w:val="Normal-pool"/>
      <w:jc w:val="right"/>
    </w:pPr>
    <w:r>
      <w:rPr>
        <w:rStyle w:val="PageNumber"/>
      </w:rPr>
      <w:fldChar w:fldCharType="begin"/>
    </w:r>
    <w:r>
      <w:rPr>
        <w:rStyle w:val="PageNumber"/>
      </w:rPr>
      <w:instrText xml:space="preserve"> PAGE </w:instrText>
    </w:r>
    <w:r>
      <w:rPr>
        <w:rStyle w:val="PageNumber"/>
      </w:rPr>
      <w:fldChar w:fldCharType="separate"/>
    </w:r>
    <w:r w:rsidR="007E3933">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E4AC" w14:textId="64F9B233" w:rsidR="00E64D1C" w:rsidRDefault="00E64D1C" w:rsidP="00BA3197">
    <w:pPr>
      <w:pStyle w:val="Normal-pool"/>
    </w:pPr>
    <w:r>
      <w:t>K1700406</w:t>
    </w:r>
    <w:r>
      <w:tab/>
      <w:t>300117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045516739"/>
      <w:docPartObj>
        <w:docPartGallery w:val="Page Numbers (Bottom of Page)"/>
        <w:docPartUnique/>
      </w:docPartObj>
    </w:sdtPr>
    <w:sdtEndPr>
      <w:rPr>
        <w:noProof/>
      </w:rPr>
    </w:sdtEndPr>
    <w:sdtContent>
      <w:p w14:paraId="6E169838" w14:textId="32841FA1" w:rsidR="00E64D1C" w:rsidRPr="000E2975" w:rsidRDefault="00E64D1C" w:rsidP="000E2975">
        <w:pPr>
          <w:pStyle w:val="Normal-pool"/>
          <w:rPr>
            <w:b/>
            <w:sz w:val="18"/>
            <w:szCs w:val="18"/>
          </w:rPr>
        </w:pPr>
        <w:r w:rsidRPr="000E2975">
          <w:rPr>
            <w:b/>
            <w:sz w:val="18"/>
            <w:szCs w:val="18"/>
          </w:rPr>
          <w:fldChar w:fldCharType="begin"/>
        </w:r>
        <w:r w:rsidRPr="000E2975">
          <w:rPr>
            <w:b/>
            <w:sz w:val="18"/>
            <w:szCs w:val="18"/>
          </w:rPr>
          <w:instrText xml:space="preserve"> PAGE   \* MERGEFORMAT </w:instrText>
        </w:r>
        <w:r w:rsidRPr="000E2975">
          <w:rPr>
            <w:b/>
            <w:sz w:val="18"/>
            <w:szCs w:val="18"/>
          </w:rPr>
          <w:fldChar w:fldCharType="separate"/>
        </w:r>
        <w:r w:rsidR="007E3933">
          <w:rPr>
            <w:b/>
            <w:noProof/>
            <w:sz w:val="18"/>
            <w:szCs w:val="18"/>
          </w:rPr>
          <w:t>2</w:t>
        </w:r>
        <w:r w:rsidRPr="000E2975">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353767"/>
      <w:docPartObj>
        <w:docPartGallery w:val="Page Numbers (Bottom of Page)"/>
        <w:docPartUnique/>
      </w:docPartObj>
    </w:sdtPr>
    <w:sdtEndPr>
      <w:rPr>
        <w:rStyle w:val="Normal-poolChar"/>
        <w:b/>
      </w:rPr>
    </w:sdtEndPr>
    <w:sdtContent>
      <w:p w14:paraId="2569DF34" w14:textId="6CF3F209" w:rsidR="00E64D1C" w:rsidRPr="007748F0" w:rsidRDefault="00E64D1C" w:rsidP="00BA3197">
        <w:pPr>
          <w:pStyle w:val="Normal-pool"/>
          <w:rPr>
            <w:b/>
          </w:rPr>
        </w:pPr>
        <w:r w:rsidRPr="00B23629">
          <w:rPr>
            <w:rStyle w:val="Normal-poolChar"/>
            <w:b/>
          </w:rPr>
          <w:fldChar w:fldCharType="begin"/>
        </w:r>
        <w:r w:rsidRPr="00B23629">
          <w:rPr>
            <w:rStyle w:val="Normal-poolChar"/>
            <w:b/>
          </w:rPr>
          <w:instrText xml:space="preserve"> PAGE   \* MERGEFORMAT </w:instrText>
        </w:r>
        <w:r w:rsidRPr="00B23629">
          <w:rPr>
            <w:rStyle w:val="Normal-poolChar"/>
            <w:b/>
          </w:rPr>
          <w:fldChar w:fldCharType="separate"/>
        </w:r>
        <w:r w:rsidR="007E3933">
          <w:rPr>
            <w:rStyle w:val="Normal-poolChar"/>
            <w:b/>
            <w:noProof/>
          </w:rPr>
          <w:t>6</w:t>
        </w:r>
        <w:r w:rsidRPr="00B23629">
          <w:rPr>
            <w:rStyle w:val="Normal-poolChar"/>
            <w:b/>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FB5C" w14:textId="14F6A4E5" w:rsidR="00E64D1C" w:rsidRPr="008C00D6" w:rsidRDefault="00E64D1C">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776736">
      <w:rPr>
        <w:rStyle w:val="PageNumber"/>
        <w:noProof/>
      </w:rPr>
      <w:t>14</w:t>
    </w:r>
    <w:r w:rsidRPr="008C00D6">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8A7B" w14:textId="600BF897" w:rsidR="00E64D1C" w:rsidRPr="008C00D6" w:rsidRDefault="00E64D1C"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776736">
      <w:rPr>
        <w:rStyle w:val="PageNumber"/>
        <w:noProof/>
      </w:rPr>
      <w:t>13</w:t>
    </w:r>
    <w:r w:rsidRPr="008C00D6">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414139611"/>
      <w:docPartObj>
        <w:docPartGallery w:val="Page Numbers (Bottom of Page)"/>
        <w:docPartUnique/>
      </w:docPartObj>
    </w:sdtPr>
    <w:sdtEndPr>
      <w:rPr>
        <w:noProof/>
      </w:rPr>
    </w:sdtEndPr>
    <w:sdtContent>
      <w:p w14:paraId="5D371D6A" w14:textId="7A85EF7B" w:rsidR="00E64D1C" w:rsidRPr="0056015E" w:rsidRDefault="00E64D1C" w:rsidP="0056015E">
        <w:pPr>
          <w:pStyle w:val="Normal-pool"/>
          <w:jc w:val="right"/>
          <w:rPr>
            <w:b/>
            <w:sz w:val="18"/>
            <w:szCs w:val="18"/>
          </w:rPr>
        </w:pPr>
        <w:r w:rsidRPr="0056015E">
          <w:rPr>
            <w:b/>
            <w:sz w:val="18"/>
            <w:szCs w:val="18"/>
          </w:rPr>
          <w:fldChar w:fldCharType="begin"/>
        </w:r>
        <w:r w:rsidRPr="0056015E">
          <w:rPr>
            <w:b/>
            <w:sz w:val="18"/>
            <w:szCs w:val="18"/>
          </w:rPr>
          <w:instrText xml:space="preserve"> PAGE   \* MERGEFORMAT </w:instrText>
        </w:r>
        <w:r w:rsidRPr="0056015E">
          <w:rPr>
            <w:b/>
            <w:sz w:val="18"/>
            <w:szCs w:val="18"/>
          </w:rPr>
          <w:fldChar w:fldCharType="separate"/>
        </w:r>
        <w:r w:rsidR="00776736">
          <w:rPr>
            <w:b/>
            <w:noProof/>
            <w:sz w:val="18"/>
            <w:szCs w:val="18"/>
          </w:rPr>
          <w:t>9</w:t>
        </w:r>
        <w:r w:rsidRPr="0056015E">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7327" w14:textId="77777777" w:rsidR="00E64D1C" w:rsidRPr="00BD397B" w:rsidRDefault="00E64D1C" w:rsidP="00BD397B">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BD397B">
        <w:rPr>
          <w:sz w:val="18"/>
          <w:szCs w:val="18"/>
        </w:rPr>
        <w:separator/>
      </w:r>
    </w:p>
  </w:footnote>
  <w:footnote w:type="continuationSeparator" w:id="0">
    <w:p w14:paraId="6667E1AE" w14:textId="77777777" w:rsidR="00E64D1C" w:rsidRDefault="00E64D1C">
      <w:r>
        <w:continuationSeparator/>
      </w:r>
    </w:p>
  </w:footnote>
  <w:footnote w:id="1">
    <w:p w14:paraId="33E46593" w14:textId="77777777" w:rsidR="00E64D1C" w:rsidRPr="00BD397B" w:rsidRDefault="00E64D1C" w:rsidP="00BD397B">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BD397B">
        <w:rPr>
          <w:rStyle w:val="FootnoteReference"/>
          <w:sz w:val="18"/>
          <w:vertAlign w:val="baseline"/>
        </w:rPr>
        <w:footnoteRef/>
      </w:r>
      <w:r w:rsidRPr="00BD397B">
        <w:rPr>
          <w:sz w:val="18"/>
          <w:szCs w:val="18"/>
        </w:rPr>
        <w:t xml:space="preserve">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0F14" w14:textId="77777777" w:rsidR="00E64D1C" w:rsidRDefault="00E64D1C" w:rsidP="00BA3197">
    <w:pPr>
      <w:pStyle w:val="Header-pool"/>
    </w:pPr>
    <w:r w:rsidRPr="00B628DE">
      <w:t>IPBES/</w:t>
    </w:r>
    <w:r w:rsidRPr="00B628DE">
      <w:rPr>
        <w:lang w:eastAsia="ja-JP"/>
      </w:rPr>
      <w:t>5/INF/5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1F4D" w14:textId="77777777" w:rsidR="00E64D1C" w:rsidRPr="00BA3197" w:rsidRDefault="00E64D1C" w:rsidP="00BA3197">
    <w:pPr>
      <w:pStyle w:val="Header-pool"/>
      <w:jc w:val="right"/>
    </w:pPr>
    <w:r w:rsidRPr="00C0058D">
      <w:t>IPBES/</w:t>
    </w:r>
    <w:r>
      <w:rPr>
        <w:lang w:eastAsia="ja-JP"/>
      </w:rPr>
      <w:t>5/INF/5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AF3" w14:textId="77777777" w:rsidR="00E64D1C" w:rsidRDefault="00E64D1C" w:rsidP="008A07B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3A63" w14:textId="7A9D8ACE" w:rsidR="00E64D1C" w:rsidRDefault="00E64D1C" w:rsidP="000E2975">
    <w:pPr>
      <w:pStyle w:val="Header-pool"/>
    </w:pPr>
    <w:r>
      <w:t>IPBES/5/INF/5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DBE2" w14:textId="77777777" w:rsidR="00E64D1C" w:rsidRDefault="00E64D1C" w:rsidP="00BA3197">
    <w:pPr>
      <w:pStyle w:val="Header-pool"/>
    </w:pPr>
    <w:r>
      <w:t>IPBES/5/INF/5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6478" w14:textId="77777777" w:rsidR="00E64D1C" w:rsidRPr="005B7509" w:rsidRDefault="00E64D1C" w:rsidP="005B7509">
    <w:pPr>
      <w:pStyle w:val="Header-pool"/>
    </w:pPr>
    <w:r>
      <w:t>IPBES/5/INF/5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5AF4" w14:textId="77777777" w:rsidR="00E64D1C" w:rsidRPr="005B7509" w:rsidRDefault="00E64D1C" w:rsidP="005B7509">
    <w:pPr>
      <w:pStyle w:val="Header-pool"/>
      <w:jc w:val="right"/>
    </w:pPr>
    <w:r>
      <w:t>IPBES/5/INF/5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55BB" w14:textId="77777777" w:rsidR="00E64D1C" w:rsidRDefault="00E64D1C" w:rsidP="0056015E">
    <w:pPr>
      <w:pStyle w:val="Header-pool"/>
      <w:jc w:val="right"/>
    </w:pPr>
    <w:r>
      <w:t>IPBES/5/INF/5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52A66A9D"/>
    <w:multiLevelType w:val="multilevel"/>
    <w:tmpl w:val="1B3C0F6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635B67B5"/>
    <w:multiLevelType w:val="hybridMultilevel"/>
    <w:tmpl w:val="F8B6020C"/>
    <w:lvl w:ilvl="0" w:tplc="7CE6220C">
      <w:start w:val="1"/>
      <w:numFmt w:val="decimal"/>
      <w:lvlText w:val="%1."/>
      <w:lvlJc w:val="left"/>
      <w:pPr>
        <w:ind w:left="720" w:hanging="360"/>
      </w:pPr>
      <w:rPr>
        <w:lang w:val="en-G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0"/>
  </w:num>
  <w:num w:numId="6">
    <w:abstractNumId w:val="10"/>
  </w:num>
  <w:num w:numId="7">
    <w:abstractNumId w:val="10"/>
  </w:num>
  <w:num w:numId="8">
    <w:abstractNumId w:val="10"/>
  </w:num>
  <w:num w:numId="9">
    <w:abstractNumId w:val="4"/>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4"/>
    <w:lvlOverride w:ilvl="0">
      <w:lvl w:ilvl="0">
        <w:start w:val="1"/>
        <w:numFmt w:val="decimal"/>
        <w:lvlText w:val="%1."/>
        <w:lvlJc w:val="left"/>
        <w:pPr>
          <w:tabs>
            <w:tab w:val="num" w:pos="567"/>
          </w:tabs>
          <w:ind w:left="1247" w:firstLine="0"/>
        </w:pPr>
        <w:rPr>
          <w:rFonts w:hint="default"/>
          <w:b w:val="0"/>
        </w:rPr>
      </w:lvl>
    </w:lvlOverride>
  </w:num>
  <w:num w:numId="11">
    <w:abstractNumId w:val="4"/>
    <w:lvlOverride w:ilvl="0">
      <w:lvl w:ilvl="0">
        <w:start w:val="1"/>
        <w:numFmt w:val="decimal"/>
        <w:lvlText w:val="%1."/>
        <w:lvlJc w:val="left"/>
        <w:pPr>
          <w:tabs>
            <w:tab w:val="num" w:pos="567"/>
          </w:tabs>
          <w:ind w:left="1247" w:firstLine="0"/>
        </w:pPr>
        <w:rPr>
          <w:rFonts w:hint="default"/>
          <w:b w:val="0"/>
        </w:rPr>
      </w:lvl>
    </w:lvlOverride>
  </w:num>
  <w:num w:numId="12">
    <w:abstractNumId w:val="4"/>
    <w:lvlOverride w:ilvl="0">
      <w:lvl w:ilvl="0">
        <w:start w:val="1"/>
        <w:numFmt w:val="decimal"/>
        <w:lvlText w:val="%1."/>
        <w:lvlJc w:val="left"/>
        <w:pPr>
          <w:tabs>
            <w:tab w:val="num" w:pos="567"/>
          </w:tabs>
          <w:ind w:left="1247" w:firstLine="0"/>
        </w:pPr>
        <w:rPr>
          <w:rFonts w:hint="default"/>
          <w:b w:val="0"/>
        </w:rPr>
      </w:lvl>
    </w:lvlOverride>
  </w:num>
  <w:num w:numId="13">
    <w:abstractNumId w:val="4"/>
    <w:lvlOverride w:ilvl="0">
      <w:lvl w:ilvl="0">
        <w:start w:val="1"/>
        <w:numFmt w:val="decimal"/>
        <w:lvlText w:val="%1."/>
        <w:lvlJc w:val="left"/>
        <w:pPr>
          <w:tabs>
            <w:tab w:val="num" w:pos="567"/>
          </w:tabs>
          <w:ind w:left="1247" w:firstLine="0"/>
        </w:pPr>
        <w:rPr>
          <w:rFonts w:hint="default"/>
          <w:b w:val="0"/>
        </w:rPr>
      </w:lvl>
    </w:lvlOverride>
  </w:num>
  <w:num w:numId="14">
    <w:abstractNumId w:val="4"/>
    <w:lvlOverride w:ilvl="0">
      <w:lvl w:ilvl="0">
        <w:start w:val="1"/>
        <w:numFmt w:val="decimal"/>
        <w:lvlText w:val="%1."/>
        <w:lvlJc w:val="left"/>
        <w:pPr>
          <w:tabs>
            <w:tab w:val="num" w:pos="567"/>
          </w:tabs>
          <w:ind w:left="1247" w:firstLine="0"/>
        </w:pPr>
        <w:rPr>
          <w:rFonts w:hint="default"/>
          <w:b w:val="0"/>
        </w:rPr>
      </w:lvl>
    </w:lvlOverride>
  </w:num>
  <w:num w:numId="15">
    <w:abstractNumId w:val="0"/>
  </w:num>
  <w:num w:numId="16">
    <w:abstractNumId w:val="4"/>
    <w:lvlOverride w:ilvl="0">
      <w:lvl w:ilvl="0">
        <w:start w:val="1"/>
        <w:numFmt w:val="decimal"/>
        <w:lvlText w:val="%1."/>
        <w:lvlJc w:val="left"/>
        <w:pPr>
          <w:tabs>
            <w:tab w:val="num" w:pos="567"/>
          </w:tabs>
          <w:ind w:left="1247" w:firstLine="0"/>
        </w:pPr>
        <w:rPr>
          <w:rFonts w:hint="default"/>
          <w:b w:val="0"/>
        </w:rPr>
      </w:lvl>
    </w:lvlOverride>
  </w:num>
  <w:num w:numId="17">
    <w:abstractNumId w:val="4"/>
    <w:lvlOverride w:ilvl="0">
      <w:lvl w:ilvl="0">
        <w:start w:val="1"/>
        <w:numFmt w:val="decimal"/>
        <w:lvlText w:val="%1."/>
        <w:lvlJc w:val="left"/>
        <w:pPr>
          <w:tabs>
            <w:tab w:val="num" w:pos="567"/>
          </w:tabs>
          <w:ind w:left="1247" w:firstLine="0"/>
        </w:pPr>
        <w:rPr>
          <w:rFonts w:hint="default"/>
          <w:b w:val="0"/>
        </w:rPr>
      </w:lvl>
    </w:lvlOverride>
  </w:num>
  <w:num w:numId="18">
    <w:abstractNumId w:val="1"/>
  </w:num>
  <w:num w:numId="19">
    <w:abstractNumId w:val="4"/>
    <w:lvlOverride w:ilvl="0">
      <w:lvl w:ilvl="0">
        <w:start w:val="1"/>
        <w:numFmt w:val="decimal"/>
        <w:lvlText w:val="%1."/>
        <w:lvlJc w:val="left"/>
        <w:pPr>
          <w:tabs>
            <w:tab w:val="num" w:pos="567"/>
          </w:tabs>
          <w:ind w:left="1247" w:firstLine="0"/>
        </w:pPr>
        <w:rPr>
          <w:rFonts w:hint="default"/>
          <w:b w:val="0"/>
        </w:rPr>
      </w:lvl>
    </w:lvlOverride>
  </w:num>
  <w:num w:numId="20">
    <w:abstractNumId w:val="4"/>
    <w:lvlOverride w:ilvl="0">
      <w:lvl w:ilvl="0">
        <w:start w:val="1"/>
        <w:numFmt w:val="decimal"/>
        <w:lvlText w:val="%1."/>
        <w:lvlJc w:val="left"/>
        <w:pPr>
          <w:tabs>
            <w:tab w:val="num" w:pos="567"/>
          </w:tabs>
          <w:ind w:left="1247" w:firstLine="0"/>
        </w:pPr>
        <w:rPr>
          <w:rFonts w:hint="default"/>
          <w:b w:val="0"/>
        </w:rPr>
      </w:lvl>
    </w:lvlOverride>
  </w:num>
  <w:num w:numId="21">
    <w:abstractNumId w:val="4"/>
    <w:lvlOverride w:ilvl="0">
      <w:lvl w:ilvl="0">
        <w:start w:val="1"/>
        <w:numFmt w:val="decimal"/>
        <w:lvlText w:val="%1."/>
        <w:lvlJc w:val="left"/>
        <w:pPr>
          <w:tabs>
            <w:tab w:val="num" w:pos="567"/>
          </w:tabs>
          <w:ind w:left="1247" w:firstLine="0"/>
        </w:pPr>
        <w:rPr>
          <w:rFonts w:hint="default"/>
          <w:b w:val="0"/>
        </w:rPr>
      </w:lvl>
    </w:lvlOverride>
  </w:num>
  <w:num w:numId="22">
    <w:abstractNumId w:val="4"/>
    <w:lvlOverride w:ilvl="0">
      <w:lvl w:ilvl="0">
        <w:start w:val="1"/>
        <w:numFmt w:val="decimal"/>
        <w:lvlText w:val="%1."/>
        <w:lvlJc w:val="left"/>
        <w:pPr>
          <w:tabs>
            <w:tab w:val="num" w:pos="567"/>
          </w:tabs>
          <w:ind w:left="1247" w:firstLine="0"/>
        </w:pPr>
        <w:rPr>
          <w:rFonts w:hint="default"/>
          <w:b w:val="0"/>
        </w:rPr>
      </w:lvl>
    </w:lvlOverride>
  </w:num>
  <w:num w:numId="23">
    <w:abstractNumId w:val="4"/>
    <w:lvlOverride w:ilvl="0">
      <w:lvl w:ilvl="0">
        <w:start w:val="1"/>
        <w:numFmt w:val="decimal"/>
        <w:lvlText w:val="%1."/>
        <w:lvlJc w:val="left"/>
        <w:pPr>
          <w:tabs>
            <w:tab w:val="num" w:pos="567"/>
          </w:tabs>
          <w:ind w:left="1247" w:firstLine="0"/>
        </w:pPr>
        <w:rPr>
          <w:rFonts w:hint="default"/>
          <w:b w:val="0"/>
        </w:rPr>
      </w:lvl>
    </w:lvlOverride>
  </w:num>
  <w:num w:numId="24">
    <w:abstractNumId w:val="4"/>
    <w:lvlOverride w:ilvl="0">
      <w:lvl w:ilvl="0">
        <w:start w:val="1"/>
        <w:numFmt w:val="decimal"/>
        <w:lvlText w:val="%1."/>
        <w:lvlJc w:val="left"/>
        <w:pPr>
          <w:tabs>
            <w:tab w:val="num" w:pos="567"/>
          </w:tabs>
          <w:ind w:left="1247" w:firstLine="0"/>
        </w:pPr>
        <w:rPr>
          <w:rFonts w:hint="default"/>
          <w:b w:val="0"/>
        </w:rPr>
      </w:lvl>
    </w:lvlOverride>
  </w:num>
  <w:num w:numId="25">
    <w:abstractNumId w:val="4"/>
    <w:lvlOverride w:ilvl="0">
      <w:lvl w:ilvl="0">
        <w:start w:val="1"/>
        <w:numFmt w:val="decimal"/>
        <w:lvlText w:val="%1."/>
        <w:lvlJc w:val="left"/>
        <w:pPr>
          <w:tabs>
            <w:tab w:val="num" w:pos="567"/>
          </w:tabs>
          <w:ind w:left="1247" w:firstLine="0"/>
        </w:pPr>
        <w:rPr>
          <w:rFonts w:hint="default"/>
          <w:b w:val="0"/>
        </w:rPr>
      </w:lvl>
    </w:lvlOverride>
  </w:num>
  <w:num w:numId="26">
    <w:abstractNumId w:val="11"/>
  </w:num>
  <w:num w:numId="27">
    <w:abstractNumId w:val="6"/>
  </w:num>
  <w:num w:numId="28">
    <w:abstractNumId w:val="3"/>
  </w:num>
  <w:num w:numId="29">
    <w:abstractNumId w:val="8"/>
  </w:num>
  <w:num w:numId="30">
    <w:abstractNumId w:val="13"/>
  </w:num>
  <w:num w:numId="31">
    <w:abstractNumId w:val="9"/>
  </w:num>
  <w:num w:numId="32">
    <w:abstractNumId w:val="2"/>
  </w:num>
  <w:num w:numId="33">
    <w:abstractNumId w:val="4"/>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4">
    <w:abstractNumId w:val="12"/>
  </w:num>
  <w:num w:numId="35">
    <w:abstractNumId w:val="4"/>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4"/>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7">
    <w:abstractNumId w:val="4"/>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8433"/>
  </w:hdrShapeDefaults>
  <w:footnotePr>
    <w:numFmt w:val="chicago"/>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A9"/>
    <w:rsid w:val="00010869"/>
    <w:rsid w:val="000149E6"/>
    <w:rsid w:val="000247B0"/>
    <w:rsid w:val="00026997"/>
    <w:rsid w:val="00033C5F"/>
    <w:rsid w:val="00033E0B"/>
    <w:rsid w:val="00035EDE"/>
    <w:rsid w:val="0004540A"/>
    <w:rsid w:val="000509B4"/>
    <w:rsid w:val="0006035B"/>
    <w:rsid w:val="00061444"/>
    <w:rsid w:val="0006430A"/>
    <w:rsid w:val="00071886"/>
    <w:rsid w:val="000742BC"/>
    <w:rsid w:val="00082A0C"/>
    <w:rsid w:val="00083504"/>
    <w:rsid w:val="000904EF"/>
    <w:rsid w:val="0009640C"/>
    <w:rsid w:val="000B22A2"/>
    <w:rsid w:val="000C2A52"/>
    <w:rsid w:val="000D33C0"/>
    <w:rsid w:val="000D6941"/>
    <w:rsid w:val="000E2975"/>
    <w:rsid w:val="000E3CA9"/>
    <w:rsid w:val="000F6B5C"/>
    <w:rsid w:val="00110E4C"/>
    <w:rsid w:val="001202E3"/>
    <w:rsid w:val="00123699"/>
    <w:rsid w:val="0013059D"/>
    <w:rsid w:val="00141A55"/>
    <w:rsid w:val="001446A3"/>
    <w:rsid w:val="00155395"/>
    <w:rsid w:val="00160D74"/>
    <w:rsid w:val="00167D02"/>
    <w:rsid w:val="00170D97"/>
    <w:rsid w:val="00181EC8"/>
    <w:rsid w:val="00184349"/>
    <w:rsid w:val="00195F33"/>
    <w:rsid w:val="001B1617"/>
    <w:rsid w:val="001B504B"/>
    <w:rsid w:val="001B5632"/>
    <w:rsid w:val="001D3874"/>
    <w:rsid w:val="001D4A80"/>
    <w:rsid w:val="001D7E75"/>
    <w:rsid w:val="001E56D2"/>
    <w:rsid w:val="001E7D56"/>
    <w:rsid w:val="001F75DE"/>
    <w:rsid w:val="00200D58"/>
    <w:rsid w:val="002013BE"/>
    <w:rsid w:val="002063A4"/>
    <w:rsid w:val="0021145B"/>
    <w:rsid w:val="002274EA"/>
    <w:rsid w:val="00243D36"/>
    <w:rsid w:val="002473EF"/>
    <w:rsid w:val="00247707"/>
    <w:rsid w:val="0026018E"/>
    <w:rsid w:val="002641E9"/>
    <w:rsid w:val="00285344"/>
    <w:rsid w:val="00286740"/>
    <w:rsid w:val="002929D8"/>
    <w:rsid w:val="00294F72"/>
    <w:rsid w:val="002A237D"/>
    <w:rsid w:val="002A4C53"/>
    <w:rsid w:val="002B0672"/>
    <w:rsid w:val="002B247F"/>
    <w:rsid w:val="002B59B1"/>
    <w:rsid w:val="002C0261"/>
    <w:rsid w:val="002C145D"/>
    <w:rsid w:val="002C2C3E"/>
    <w:rsid w:val="002C533E"/>
    <w:rsid w:val="002D027F"/>
    <w:rsid w:val="002D7A85"/>
    <w:rsid w:val="002D7B60"/>
    <w:rsid w:val="002F4761"/>
    <w:rsid w:val="002F5C79"/>
    <w:rsid w:val="002F6C9B"/>
    <w:rsid w:val="003019E2"/>
    <w:rsid w:val="0031413F"/>
    <w:rsid w:val="003148BB"/>
    <w:rsid w:val="00317976"/>
    <w:rsid w:val="00347222"/>
    <w:rsid w:val="00355EA9"/>
    <w:rsid w:val="003578DE"/>
    <w:rsid w:val="003933AD"/>
    <w:rsid w:val="00396257"/>
    <w:rsid w:val="00397CF7"/>
    <w:rsid w:val="00397EB8"/>
    <w:rsid w:val="003A10A9"/>
    <w:rsid w:val="003A4FD0"/>
    <w:rsid w:val="003A69D1"/>
    <w:rsid w:val="003A7705"/>
    <w:rsid w:val="003A77F1"/>
    <w:rsid w:val="003B1545"/>
    <w:rsid w:val="003C409D"/>
    <w:rsid w:val="003C5BA6"/>
    <w:rsid w:val="003D50CB"/>
    <w:rsid w:val="003F0E85"/>
    <w:rsid w:val="003F1D30"/>
    <w:rsid w:val="003F7440"/>
    <w:rsid w:val="0041081A"/>
    <w:rsid w:val="00410C55"/>
    <w:rsid w:val="00416854"/>
    <w:rsid w:val="00417725"/>
    <w:rsid w:val="00437F26"/>
    <w:rsid w:val="00444097"/>
    <w:rsid w:val="00445487"/>
    <w:rsid w:val="00454769"/>
    <w:rsid w:val="00466991"/>
    <w:rsid w:val="0047064C"/>
    <w:rsid w:val="004A42E1"/>
    <w:rsid w:val="004B162C"/>
    <w:rsid w:val="004C3DBE"/>
    <w:rsid w:val="004C5C96"/>
    <w:rsid w:val="004D06A4"/>
    <w:rsid w:val="004F1A81"/>
    <w:rsid w:val="00517861"/>
    <w:rsid w:val="005218D9"/>
    <w:rsid w:val="00536186"/>
    <w:rsid w:val="00544CBB"/>
    <w:rsid w:val="005514EC"/>
    <w:rsid w:val="0056015E"/>
    <w:rsid w:val="0057315F"/>
    <w:rsid w:val="005746C1"/>
    <w:rsid w:val="00576104"/>
    <w:rsid w:val="00581C84"/>
    <w:rsid w:val="005B7509"/>
    <w:rsid w:val="005C67C8"/>
    <w:rsid w:val="005D0249"/>
    <w:rsid w:val="005D6E8C"/>
    <w:rsid w:val="005E4604"/>
    <w:rsid w:val="005E7ED9"/>
    <w:rsid w:val="005F100C"/>
    <w:rsid w:val="005F68DA"/>
    <w:rsid w:val="00606059"/>
    <w:rsid w:val="0060773B"/>
    <w:rsid w:val="006157B5"/>
    <w:rsid w:val="0062021D"/>
    <w:rsid w:val="00626FC6"/>
    <w:rsid w:val="006303B4"/>
    <w:rsid w:val="00633D3D"/>
    <w:rsid w:val="00641703"/>
    <w:rsid w:val="006431A6"/>
    <w:rsid w:val="006459F6"/>
    <w:rsid w:val="006501AD"/>
    <w:rsid w:val="00651BFA"/>
    <w:rsid w:val="00654475"/>
    <w:rsid w:val="006600AD"/>
    <w:rsid w:val="00665A4B"/>
    <w:rsid w:val="00680531"/>
    <w:rsid w:val="00692E2A"/>
    <w:rsid w:val="006A76F2"/>
    <w:rsid w:val="006D7EFB"/>
    <w:rsid w:val="006E6672"/>
    <w:rsid w:val="006E6722"/>
    <w:rsid w:val="007027B9"/>
    <w:rsid w:val="00714E08"/>
    <w:rsid w:val="00715E88"/>
    <w:rsid w:val="00724E2D"/>
    <w:rsid w:val="00734CAA"/>
    <w:rsid w:val="0075533C"/>
    <w:rsid w:val="00757581"/>
    <w:rsid w:val="007611A0"/>
    <w:rsid w:val="007748F0"/>
    <w:rsid w:val="00776736"/>
    <w:rsid w:val="0078230C"/>
    <w:rsid w:val="00796D3F"/>
    <w:rsid w:val="007A1683"/>
    <w:rsid w:val="007A5C12"/>
    <w:rsid w:val="007A7CB0"/>
    <w:rsid w:val="007B5D68"/>
    <w:rsid w:val="007B68A3"/>
    <w:rsid w:val="007C1D3F"/>
    <w:rsid w:val="007C2541"/>
    <w:rsid w:val="007D66A8"/>
    <w:rsid w:val="007E003F"/>
    <w:rsid w:val="007E3933"/>
    <w:rsid w:val="007F3540"/>
    <w:rsid w:val="007F6126"/>
    <w:rsid w:val="00801D13"/>
    <w:rsid w:val="008034CE"/>
    <w:rsid w:val="00814033"/>
    <w:rsid w:val="008164F2"/>
    <w:rsid w:val="00821395"/>
    <w:rsid w:val="00830E26"/>
    <w:rsid w:val="00843576"/>
    <w:rsid w:val="00843B64"/>
    <w:rsid w:val="008478FC"/>
    <w:rsid w:val="0086607D"/>
    <w:rsid w:val="00867BFF"/>
    <w:rsid w:val="008829D3"/>
    <w:rsid w:val="0088480A"/>
    <w:rsid w:val="0088757A"/>
    <w:rsid w:val="008957DD"/>
    <w:rsid w:val="00897D98"/>
    <w:rsid w:val="008A07BD"/>
    <w:rsid w:val="008A6DF2"/>
    <w:rsid w:val="008A7807"/>
    <w:rsid w:val="008B4CC9"/>
    <w:rsid w:val="008B7795"/>
    <w:rsid w:val="008C00D6"/>
    <w:rsid w:val="008D7C99"/>
    <w:rsid w:val="008E0FCB"/>
    <w:rsid w:val="008E3933"/>
    <w:rsid w:val="0092178C"/>
    <w:rsid w:val="00930B88"/>
    <w:rsid w:val="00935052"/>
    <w:rsid w:val="00940DCC"/>
    <w:rsid w:val="0094179A"/>
    <w:rsid w:val="00941845"/>
    <w:rsid w:val="0094459E"/>
    <w:rsid w:val="00944DBC"/>
    <w:rsid w:val="0094617E"/>
    <w:rsid w:val="00950977"/>
    <w:rsid w:val="00951A7B"/>
    <w:rsid w:val="009527C6"/>
    <w:rsid w:val="009564A6"/>
    <w:rsid w:val="00967621"/>
    <w:rsid w:val="00967E6A"/>
    <w:rsid w:val="00984A20"/>
    <w:rsid w:val="00985ADF"/>
    <w:rsid w:val="009B4A0F"/>
    <w:rsid w:val="009C11D2"/>
    <w:rsid w:val="009C6C70"/>
    <w:rsid w:val="009D0B63"/>
    <w:rsid w:val="009E307E"/>
    <w:rsid w:val="009E78C3"/>
    <w:rsid w:val="00A07870"/>
    <w:rsid w:val="00A07F19"/>
    <w:rsid w:val="00A1348D"/>
    <w:rsid w:val="00A23166"/>
    <w:rsid w:val="00A232EE"/>
    <w:rsid w:val="00A4175F"/>
    <w:rsid w:val="00A44411"/>
    <w:rsid w:val="00A469FA"/>
    <w:rsid w:val="00A50323"/>
    <w:rsid w:val="00A55B01"/>
    <w:rsid w:val="00A56B5B"/>
    <w:rsid w:val="00A603FF"/>
    <w:rsid w:val="00A657DD"/>
    <w:rsid w:val="00A666A6"/>
    <w:rsid w:val="00A675FD"/>
    <w:rsid w:val="00A72437"/>
    <w:rsid w:val="00A80611"/>
    <w:rsid w:val="00AA0C30"/>
    <w:rsid w:val="00AA1C5E"/>
    <w:rsid w:val="00AB5340"/>
    <w:rsid w:val="00AC0A89"/>
    <w:rsid w:val="00AC7C96"/>
    <w:rsid w:val="00AE237D"/>
    <w:rsid w:val="00AE502A"/>
    <w:rsid w:val="00AE7103"/>
    <w:rsid w:val="00AF7C07"/>
    <w:rsid w:val="00B06A63"/>
    <w:rsid w:val="00B22C93"/>
    <w:rsid w:val="00B23629"/>
    <w:rsid w:val="00B27589"/>
    <w:rsid w:val="00B405B7"/>
    <w:rsid w:val="00B52222"/>
    <w:rsid w:val="00B54FE7"/>
    <w:rsid w:val="00B663D1"/>
    <w:rsid w:val="00B66901"/>
    <w:rsid w:val="00B66DA2"/>
    <w:rsid w:val="00B71E6D"/>
    <w:rsid w:val="00B72070"/>
    <w:rsid w:val="00B779E1"/>
    <w:rsid w:val="00B91EE1"/>
    <w:rsid w:val="00BA0090"/>
    <w:rsid w:val="00BA1A67"/>
    <w:rsid w:val="00BA3197"/>
    <w:rsid w:val="00BB7BD6"/>
    <w:rsid w:val="00BD397B"/>
    <w:rsid w:val="00BE5B5F"/>
    <w:rsid w:val="00C26F55"/>
    <w:rsid w:val="00C30C63"/>
    <w:rsid w:val="00C36B8B"/>
    <w:rsid w:val="00C415C1"/>
    <w:rsid w:val="00C44A04"/>
    <w:rsid w:val="00C47DBF"/>
    <w:rsid w:val="00C552FF"/>
    <w:rsid w:val="00C558DA"/>
    <w:rsid w:val="00C55AF3"/>
    <w:rsid w:val="00C62D79"/>
    <w:rsid w:val="00C70845"/>
    <w:rsid w:val="00C806D7"/>
    <w:rsid w:val="00C84759"/>
    <w:rsid w:val="00CA6C7F"/>
    <w:rsid w:val="00CC10A6"/>
    <w:rsid w:val="00CD5EB8"/>
    <w:rsid w:val="00CD7044"/>
    <w:rsid w:val="00CE08B9"/>
    <w:rsid w:val="00CE524C"/>
    <w:rsid w:val="00CF141F"/>
    <w:rsid w:val="00CF4777"/>
    <w:rsid w:val="00D04ABA"/>
    <w:rsid w:val="00D067BB"/>
    <w:rsid w:val="00D07366"/>
    <w:rsid w:val="00D1352A"/>
    <w:rsid w:val="00D169AF"/>
    <w:rsid w:val="00D25249"/>
    <w:rsid w:val="00D44172"/>
    <w:rsid w:val="00D54D31"/>
    <w:rsid w:val="00D62DAC"/>
    <w:rsid w:val="00D63B8C"/>
    <w:rsid w:val="00D739CC"/>
    <w:rsid w:val="00D8093D"/>
    <w:rsid w:val="00D80FCB"/>
    <w:rsid w:val="00D8108C"/>
    <w:rsid w:val="00D842AE"/>
    <w:rsid w:val="00D87566"/>
    <w:rsid w:val="00D9211C"/>
    <w:rsid w:val="00D92DE0"/>
    <w:rsid w:val="00D92FEF"/>
    <w:rsid w:val="00D93A0F"/>
    <w:rsid w:val="00DA1BCA"/>
    <w:rsid w:val="00DC1652"/>
    <w:rsid w:val="00DC45C7"/>
    <w:rsid w:val="00DC46FF"/>
    <w:rsid w:val="00DC5254"/>
    <w:rsid w:val="00DD1A4F"/>
    <w:rsid w:val="00DD2838"/>
    <w:rsid w:val="00DD3107"/>
    <w:rsid w:val="00DD7C2C"/>
    <w:rsid w:val="00DF05AB"/>
    <w:rsid w:val="00E06797"/>
    <w:rsid w:val="00E1265B"/>
    <w:rsid w:val="00E13370"/>
    <w:rsid w:val="00E13B48"/>
    <w:rsid w:val="00E1404F"/>
    <w:rsid w:val="00E21C83"/>
    <w:rsid w:val="00E24ADA"/>
    <w:rsid w:val="00E32F59"/>
    <w:rsid w:val="00E35C65"/>
    <w:rsid w:val="00E44A5A"/>
    <w:rsid w:val="00E46D9A"/>
    <w:rsid w:val="00E565FF"/>
    <w:rsid w:val="00E64D1C"/>
    <w:rsid w:val="00E65388"/>
    <w:rsid w:val="00E85B7D"/>
    <w:rsid w:val="00E9121B"/>
    <w:rsid w:val="00EA0AE2"/>
    <w:rsid w:val="00EA39E5"/>
    <w:rsid w:val="00EA5E72"/>
    <w:rsid w:val="00EB74EB"/>
    <w:rsid w:val="00EC025D"/>
    <w:rsid w:val="00EC5A46"/>
    <w:rsid w:val="00EC63E2"/>
    <w:rsid w:val="00EE7A32"/>
    <w:rsid w:val="00EF22B3"/>
    <w:rsid w:val="00F03B69"/>
    <w:rsid w:val="00F07A50"/>
    <w:rsid w:val="00F113DA"/>
    <w:rsid w:val="00F24AB6"/>
    <w:rsid w:val="00F37DC8"/>
    <w:rsid w:val="00F439B3"/>
    <w:rsid w:val="00F650C3"/>
    <w:rsid w:val="00F65D85"/>
    <w:rsid w:val="00F7170C"/>
    <w:rsid w:val="00F8091E"/>
    <w:rsid w:val="00F8615C"/>
    <w:rsid w:val="00F94214"/>
    <w:rsid w:val="00F969E5"/>
    <w:rsid w:val="00FA3208"/>
    <w:rsid w:val="00FA5BA4"/>
    <w:rsid w:val="00FA6BB0"/>
    <w:rsid w:val="00FC56EA"/>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66EC91"/>
  <w15:docId w15:val="{9F3B2E2A-B954-4F9E-A063-4D7C2821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B23629"/>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paragraph" w:styleId="NormalIndent">
    <w:name w:val="Normal Indent"/>
    <w:basedOn w:val="Normal"/>
    <w:semiHidden/>
    <w:rsid w:val="003A10A9"/>
    <w:pPr>
      <w:spacing w:after="0" w:line="240" w:lineRule="auto"/>
      <w:ind w:left="1247"/>
    </w:pPr>
    <w:rPr>
      <w:rFonts w:ascii="Times New Roman" w:hAnsi="Times New Roman"/>
      <w:sz w:val="20"/>
      <w:szCs w:val="20"/>
      <w:lang w:val="en-GB"/>
    </w:rPr>
  </w:style>
  <w:style w:type="character" w:customStyle="1" w:styleId="NormalnumberChar">
    <w:name w:val="Normal_number Char"/>
    <w:link w:val="Normalnumber"/>
    <w:uiPriority w:val="99"/>
    <w:rsid w:val="00B23629"/>
    <w:rPr>
      <w:lang w:val="en-GB"/>
    </w:rPr>
  </w:style>
  <w:style w:type="paragraph" w:customStyle="1" w:styleId="a">
    <w:name w:val="바탕글"/>
    <w:basedOn w:val="Normal"/>
    <w:rsid w:val="003A10A9"/>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59"/>
    <w:rsid w:val="003A10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A10A9"/>
    <w:rPr>
      <w:rFonts w:ascii="Calibri" w:eastAsia="MS Mincho" w:hAnsi="Calibri"/>
      <w:b/>
      <w:sz w:val="24"/>
      <w:szCs w:val="24"/>
    </w:rPr>
  </w:style>
  <w:style w:type="paragraph" w:customStyle="1" w:styleId="ColorfulList-Accent11">
    <w:name w:val="Colorful List - Accent 11"/>
    <w:basedOn w:val="Normal"/>
    <w:uiPriority w:val="34"/>
    <w:rsid w:val="003A10A9"/>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3A10A9"/>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3A10A9"/>
    <w:rPr>
      <w:lang w:val="en-GB"/>
    </w:rPr>
  </w:style>
  <w:style w:type="character" w:customStyle="1" w:styleId="docs-bold">
    <w:name w:val="docs-bold"/>
    <w:rsid w:val="003A10A9"/>
    <w:rPr>
      <w:rFonts w:cs="Times New Roman"/>
    </w:rPr>
  </w:style>
  <w:style w:type="character" w:customStyle="1" w:styleId="Normal-poolChar">
    <w:name w:val="Normal-pool Char"/>
    <w:link w:val="Normal-pool"/>
    <w:rsid w:val="003A10A9"/>
    <w:rPr>
      <w:lang w:val="en-GB"/>
    </w:rPr>
  </w:style>
  <w:style w:type="character" w:customStyle="1" w:styleId="CH2Char">
    <w:name w:val="CH2 Char"/>
    <w:link w:val="CH2"/>
    <w:rsid w:val="003A10A9"/>
    <w:rPr>
      <w:b/>
      <w:sz w:val="24"/>
      <w:szCs w:val="24"/>
      <w:lang w:val="en-GB"/>
    </w:rPr>
  </w:style>
  <w:style w:type="character" w:styleId="FollowedHyperlink">
    <w:name w:val="FollowedHyperlink"/>
    <w:rsid w:val="003A10A9"/>
    <w:rPr>
      <w:color w:val="800080"/>
      <w:u w:val="single"/>
    </w:rPr>
  </w:style>
  <w:style w:type="character" w:styleId="CommentReference">
    <w:name w:val="annotation reference"/>
    <w:rsid w:val="003A10A9"/>
    <w:rPr>
      <w:sz w:val="16"/>
      <w:szCs w:val="16"/>
    </w:rPr>
  </w:style>
  <w:style w:type="paragraph" w:styleId="CommentText">
    <w:name w:val="annotation text"/>
    <w:basedOn w:val="Normal"/>
    <w:link w:val="CommentTextChar"/>
    <w:rsid w:val="003A10A9"/>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3A10A9"/>
    <w:rPr>
      <w:rFonts w:eastAsia="MS Mincho"/>
      <w:lang w:val="en-GB"/>
    </w:rPr>
  </w:style>
  <w:style w:type="paragraph" w:styleId="CommentSubject">
    <w:name w:val="annotation subject"/>
    <w:basedOn w:val="CommentText"/>
    <w:next w:val="CommentText"/>
    <w:link w:val="CommentSubjectChar"/>
    <w:rsid w:val="003A10A9"/>
    <w:rPr>
      <w:b/>
      <w:bCs/>
    </w:rPr>
  </w:style>
  <w:style w:type="character" w:customStyle="1" w:styleId="CommentSubjectChar">
    <w:name w:val="Comment Subject Char"/>
    <w:basedOn w:val="CommentTextChar"/>
    <w:link w:val="CommentSubject"/>
    <w:rsid w:val="003A10A9"/>
    <w:rPr>
      <w:rFonts w:eastAsia="MS Mincho"/>
      <w:b/>
      <w:bCs/>
      <w:lang w:val="en-GB"/>
    </w:rPr>
  </w:style>
  <w:style w:type="paragraph" w:customStyle="1" w:styleId="SingleTxt">
    <w:name w:val="__Single Txt"/>
    <w:basedOn w:val="Normal"/>
    <w:rsid w:val="003A10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3A10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3A10A9"/>
    <w:pPr>
      <w:spacing w:line="300" w:lineRule="exact"/>
      <w:ind w:left="0" w:right="0" w:firstLine="0"/>
    </w:pPr>
    <w:rPr>
      <w:spacing w:val="-2"/>
      <w:sz w:val="28"/>
    </w:rPr>
  </w:style>
  <w:style w:type="paragraph" w:customStyle="1" w:styleId="HM">
    <w:name w:val="_ H __M"/>
    <w:basedOn w:val="HCh"/>
    <w:next w:val="Normal"/>
    <w:rsid w:val="003A10A9"/>
    <w:pPr>
      <w:spacing w:line="360" w:lineRule="exact"/>
    </w:pPr>
    <w:rPr>
      <w:spacing w:val="-3"/>
      <w:w w:val="99"/>
      <w:sz w:val="34"/>
    </w:rPr>
  </w:style>
  <w:style w:type="paragraph" w:customStyle="1" w:styleId="H23">
    <w:name w:val="_ H_2/3"/>
    <w:basedOn w:val="H1"/>
    <w:next w:val="Normal"/>
    <w:rsid w:val="003A10A9"/>
    <w:pPr>
      <w:spacing w:line="240" w:lineRule="exact"/>
      <w:outlineLvl w:val="1"/>
    </w:pPr>
    <w:rPr>
      <w:spacing w:val="2"/>
      <w:sz w:val="20"/>
    </w:rPr>
  </w:style>
  <w:style w:type="paragraph" w:customStyle="1" w:styleId="H4">
    <w:name w:val="_ H_4"/>
    <w:basedOn w:val="Normal"/>
    <w:next w:val="Normal"/>
    <w:rsid w:val="003A10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3A10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3A10A9"/>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3A10A9"/>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3A10A9"/>
    <w:pPr>
      <w:spacing w:line="540" w:lineRule="exact"/>
    </w:pPr>
    <w:rPr>
      <w:spacing w:val="-8"/>
      <w:w w:val="96"/>
      <w:sz w:val="57"/>
    </w:rPr>
  </w:style>
  <w:style w:type="paragraph" w:customStyle="1" w:styleId="SS">
    <w:name w:val="__S_S"/>
    <w:basedOn w:val="HCh"/>
    <w:next w:val="Normal"/>
    <w:rsid w:val="003A10A9"/>
    <w:pPr>
      <w:ind w:left="1267" w:right="1267"/>
    </w:pPr>
  </w:style>
  <w:style w:type="character" w:styleId="EndnoteReference">
    <w:name w:val="endnote reference"/>
    <w:rsid w:val="003A10A9"/>
    <w:rPr>
      <w:spacing w:val="-5"/>
      <w:w w:val="130"/>
      <w:position w:val="-4"/>
      <w:vertAlign w:val="superscript"/>
    </w:rPr>
  </w:style>
  <w:style w:type="character" w:styleId="LineNumber">
    <w:name w:val="line number"/>
    <w:rsid w:val="003A10A9"/>
    <w:rPr>
      <w:sz w:val="14"/>
    </w:rPr>
  </w:style>
  <w:style w:type="paragraph" w:customStyle="1" w:styleId="Small">
    <w:name w:val="Small"/>
    <w:basedOn w:val="Normal"/>
    <w:next w:val="Normal"/>
    <w:rsid w:val="003A10A9"/>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3A10A9"/>
    <w:pPr>
      <w:spacing w:line="180" w:lineRule="exact"/>
      <w:jc w:val="right"/>
    </w:pPr>
    <w:rPr>
      <w:spacing w:val="6"/>
      <w:w w:val="106"/>
      <w:sz w:val="14"/>
    </w:rPr>
  </w:style>
  <w:style w:type="paragraph" w:customStyle="1" w:styleId="XLarge">
    <w:name w:val="XLarge"/>
    <w:basedOn w:val="HM"/>
    <w:rsid w:val="003A10A9"/>
    <w:pPr>
      <w:spacing w:line="390" w:lineRule="exact"/>
    </w:pPr>
    <w:rPr>
      <w:spacing w:val="-4"/>
      <w:w w:val="98"/>
      <w:sz w:val="40"/>
    </w:rPr>
  </w:style>
  <w:style w:type="character" w:customStyle="1" w:styleId="HeaderChar">
    <w:name w:val="Header Char"/>
    <w:aliases w:val="EthylHeader Char"/>
    <w:link w:val="Header"/>
    <w:uiPriority w:val="99"/>
    <w:rsid w:val="003A10A9"/>
    <w:rPr>
      <w:rFonts w:ascii="Calibri" w:eastAsia="MS Mincho" w:hAnsi="Calibri"/>
      <w:b/>
      <w:sz w:val="18"/>
      <w:szCs w:val="22"/>
    </w:rPr>
  </w:style>
  <w:style w:type="paragraph" w:customStyle="1" w:styleId="ColorfulShading-Accent11">
    <w:name w:val="Colorful Shading - Accent 11"/>
    <w:hidden/>
    <w:rsid w:val="003A10A9"/>
    <w:rPr>
      <w:rFonts w:eastAsiaTheme="minorEastAsia"/>
      <w:sz w:val="24"/>
      <w:szCs w:val="24"/>
    </w:rPr>
  </w:style>
  <w:style w:type="paragraph" w:customStyle="1" w:styleId="Default">
    <w:name w:val="Default"/>
    <w:rsid w:val="003A10A9"/>
    <w:pPr>
      <w:autoSpaceDE w:val="0"/>
      <w:autoSpaceDN w:val="0"/>
      <w:adjustRightInd w:val="0"/>
    </w:pPr>
    <w:rPr>
      <w:rFonts w:ascii="Calibri" w:eastAsiaTheme="minorEastAsia" w:hAnsi="Calibri" w:cs="Calibri"/>
      <w:color w:val="000000"/>
      <w:sz w:val="24"/>
      <w:szCs w:val="24"/>
    </w:rPr>
  </w:style>
  <w:style w:type="paragraph" w:customStyle="1" w:styleId="ColorfulShading-Accent31">
    <w:name w:val="Colorful Shading - Accent 31"/>
    <w:basedOn w:val="Normal"/>
    <w:uiPriority w:val="34"/>
    <w:rsid w:val="003A10A9"/>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3A10A9"/>
    <w:rPr>
      <w:rFonts w:eastAsiaTheme="minorEastAsia"/>
      <w:spacing w:val="4"/>
      <w:w w:val="103"/>
      <w:kern w:val="14"/>
      <w:lang w:val="en-GB"/>
    </w:rPr>
  </w:style>
  <w:style w:type="character" w:customStyle="1" w:styleId="Heading3Char">
    <w:name w:val="Heading 3 Char"/>
    <w:link w:val="Heading3"/>
    <w:rsid w:val="003A10A9"/>
    <w:rPr>
      <w:rFonts w:ascii="Calibri" w:eastAsia="MS Mincho" w:hAnsi="Calibri"/>
      <w:b/>
      <w:sz w:val="22"/>
      <w:szCs w:val="22"/>
    </w:rPr>
  </w:style>
  <w:style w:type="character" w:customStyle="1" w:styleId="FooterChar">
    <w:name w:val="Footer Char"/>
    <w:link w:val="Footer"/>
    <w:uiPriority w:val="99"/>
    <w:rsid w:val="003A10A9"/>
    <w:rPr>
      <w:rFonts w:ascii="Calibri" w:eastAsia="MS Mincho" w:hAnsi="Calibri"/>
      <w:sz w:val="18"/>
      <w:szCs w:val="22"/>
    </w:rPr>
  </w:style>
  <w:style w:type="paragraph" w:customStyle="1" w:styleId="Level1">
    <w:name w:val="Level1"/>
    <w:basedOn w:val="Normal"/>
    <w:rsid w:val="003A10A9"/>
    <w:pPr>
      <w:tabs>
        <w:tab w:val="left" w:pos="578"/>
        <w:tab w:val="left" w:pos="1157"/>
      </w:tabs>
      <w:suppressAutoHyphens/>
      <w:spacing w:after="240" w:line="240" w:lineRule="auto"/>
    </w:pPr>
    <w:rPr>
      <w:rFonts w:ascii="Times New Roman" w:hAnsi="Times New Roman"/>
      <w:sz w:val="20"/>
      <w:szCs w:val="20"/>
      <w:lang w:val="en-GB"/>
    </w:rPr>
  </w:style>
  <w:style w:type="paragraph" w:styleId="Title">
    <w:name w:val="Title"/>
    <w:basedOn w:val="BBTitle"/>
    <w:next w:val="Normal"/>
    <w:link w:val="TitleChar"/>
    <w:qFormat/>
    <w:rsid w:val="003A10A9"/>
    <w:pPr>
      <w:tabs>
        <w:tab w:val="clear" w:pos="4082"/>
      </w:tabs>
    </w:pPr>
    <w:rPr>
      <w:rFonts w:eastAsiaTheme="minorEastAsia"/>
      <w:lang w:val="en-US"/>
    </w:rPr>
  </w:style>
  <w:style w:type="character" w:customStyle="1" w:styleId="TitleChar">
    <w:name w:val="Title Char"/>
    <w:basedOn w:val="DefaultParagraphFont"/>
    <w:link w:val="Title"/>
    <w:rsid w:val="003A10A9"/>
    <w:rPr>
      <w:rFonts w:eastAsiaTheme="minorEastAsia"/>
      <w:b/>
      <w:sz w:val="28"/>
      <w:szCs w:val="28"/>
    </w:rPr>
  </w:style>
  <w:style w:type="paragraph" w:customStyle="1" w:styleId="AgendaItemTitle">
    <w:name w:val="AgendaItem_Title"/>
    <w:basedOn w:val="Normal-pool"/>
    <w:qFormat/>
    <w:rsid w:val="003A10A9"/>
    <w:pPr>
      <w:keepNext/>
      <w:keepLines/>
      <w:tabs>
        <w:tab w:val="clear" w:pos="4082"/>
      </w:tabs>
      <w:suppressAutoHyphens/>
      <w:ind w:right="3402"/>
    </w:pPr>
    <w:rPr>
      <w:rFonts w:eastAsiaTheme="minorEastAsia"/>
      <w:b/>
    </w:rPr>
  </w:style>
  <w:style w:type="paragraph" w:customStyle="1" w:styleId="AnnexTitle">
    <w:name w:val="Annex Title"/>
    <w:basedOn w:val="Normal-pool"/>
    <w:qFormat/>
    <w:rsid w:val="003A10A9"/>
    <w:pPr>
      <w:pageBreakBefore/>
      <w:tabs>
        <w:tab w:val="clear" w:pos="4082"/>
      </w:tabs>
    </w:pPr>
    <w:rPr>
      <w:rFonts w:eastAsiaTheme="minorEastAsia"/>
      <w:b/>
      <w:bCs/>
      <w:sz w:val="28"/>
      <w:szCs w:val="22"/>
    </w:rPr>
  </w:style>
  <w:style w:type="paragraph" w:customStyle="1" w:styleId="AnnexNumbered">
    <w:name w:val="Annex Numbered"/>
    <w:basedOn w:val="AnnexTitle"/>
    <w:qFormat/>
    <w:rsid w:val="003A10A9"/>
    <w:pPr>
      <w:numPr>
        <w:numId w:val="30"/>
      </w:numPr>
    </w:pPr>
    <w:rPr>
      <w:rFonts w:eastAsia="Calibri"/>
      <w:w w:val="103"/>
    </w:rPr>
  </w:style>
  <w:style w:type="paragraph" w:customStyle="1" w:styleId="NormalPlain">
    <w:name w:val="Normal_Plain"/>
    <w:basedOn w:val="Normal"/>
    <w:qFormat/>
    <w:rsid w:val="003A10A9"/>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3A10A9"/>
    <w:pPr>
      <w:ind w:left="720"/>
      <w:contextualSpacing/>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rsid w:val="003A10A9"/>
    <w:rPr>
      <w:rFonts w:asciiTheme="minorHAnsi" w:eastAsiaTheme="minorEastAsia" w:hAnsiTheme="minorHAnsi" w:cstheme="minorBidi"/>
      <w:sz w:val="22"/>
      <w:szCs w:val="22"/>
    </w:rPr>
  </w:style>
  <w:style w:type="paragraph" w:styleId="Revision">
    <w:name w:val="Revision"/>
    <w:hidden/>
    <w:uiPriority w:val="99"/>
    <w:semiHidden/>
    <w:rsid w:val="003A10A9"/>
    <w:rPr>
      <w:rFonts w:eastAsia="MS Mincho"/>
      <w:lang w:val="en-GB"/>
    </w:rPr>
  </w:style>
  <w:style w:type="paragraph" w:styleId="NormalWeb">
    <w:name w:val="Normal (Web)"/>
    <w:basedOn w:val="Normal"/>
    <w:uiPriority w:val="99"/>
    <w:semiHidden/>
    <w:unhideWhenUsed/>
    <w:rsid w:val="003A10A9"/>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RAFTS%202017\UNEP\IPBES\IPBES%205\DO%20NOT%20USE\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E08B-1E15-4871-9118-1733BA3C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Template>
  <TotalTime>1</TotalTime>
  <Pages>8</Pages>
  <Words>4554</Words>
  <Characters>25962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2017-01-30T09:52:00Z</cp:lastPrinted>
  <dcterms:created xsi:type="dcterms:W3CDTF">2017-01-31T08:55:00Z</dcterms:created>
  <dcterms:modified xsi:type="dcterms:W3CDTF">2017-01-31T08:55:00Z</dcterms:modified>
</cp:coreProperties>
</file>