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8C5A6C">
        <w:tblPrEx>
          <w:tblCellMar>
            <w:top w:w="0" w:type="dxa"/>
            <w:bottom w:w="0" w:type="dxa"/>
          </w:tblCellMar>
        </w:tblPrEx>
        <w:trPr>
          <w:cantSplit/>
          <w:trHeight w:val="708"/>
        </w:trPr>
        <w:tc>
          <w:tcPr>
            <w:tcW w:w="2707" w:type="dxa"/>
            <w:tcBorders>
              <w:bottom w:val="nil"/>
            </w:tcBorders>
          </w:tcPr>
          <w:p w:rsidR="008C5A6C" w:rsidRPr="001844E3" w:rsidRDefault="008C5A6C">
            <w:pPr>
              <w:bidi w:val="0"/>
              <w:rPr>
                <w:rFonts w:ascii="Arial" w:hAnsi="Arial" w:cs="Arial"/>
                <w:b/>
                <w:bCs/>
                <w:sz w:val="64"/>
                <w:szCs w:val="64"/>
                <w:rtl/>
              </w:rPr>
            </w:pPr>
            <w:bookmarkStart w:id="0" w:name="_GoBack"/>
            <w:bookmarkEnd w:id="0"/>
            <w:r w:rsidRPr="001844E3">
              <w:rPr>
                <w:rFonts w:ascii="Arial" w:hAnsi="Arial" w:cs="Arial"/>
                <w:b/>
                <w:sz w:val="64"/>
                <w:szCs w:val="64"/>
              </w:rPr>
              <w:t>EP</w:t>
            </w:r>
          </w:p>
        </w:tc>
        <w:tc>
          <w:tcPr>
            <w:tcW w:w="6933" w:type="dxa"/>
            <w:gridSpan w:val="2"/>
            <w:tcBorders>
              <w:bottom w:val="nil"/>
            </w:tcBorders>
          </w:tcPr>
          <w:p w:rsidR="008C5A6C" w:rsidRPr="00B86C1A" w:rsidRDefault="008C5A6C" w:rsidP="005B5EED">
            <w:pPr>
              <w:spacing w:line="480" w:lineRule="exact"/>
              <w:jc w:val="both"/>
              <w:rPr>
                <w:rFonts w:cs="Traditional Arabic" w:hint="cs"/>
                <w:b/>
                <w:bCs/>
                <w:sz w:val="48"/>
                <w:szCs w:val="48"/>
                <w:rtl/>
              </w:rPr>
            </w:pPr>
            <w:r w:rsidRPr="00B86C1A">
              <w:rPr>
                <w:rFonts w:cs="Traditional Arabic" w:hint="cs"/>
                <w:b/>
                <w:bCs/>
                <w:sz w:val="48"/>
                <w:szCs w:val="48"/>
                <w:rtl/>
              </w:rPr>
              <w:t>الأمم</w:t>
            </w:r>
          </w:p>
          <w:p w:rsidR="008C5A6C" w:rsidRPr="000844F9" w:rsidRDefault="008C5A6C" w:rsidP="005B5EED">
            <w:pPr>
              <w:spacing w:line="480" w:lineRule="exact"/>
              <w:jc w:val="both"/>
              <w:rPr>
                <w:rFonts w:cs="Traditional Arabic" w:hint="cs"/>
                <w:b/>
                <w:bCs/>
                <w:sz w:val="44"/>
                <w:szCs w:val="44"/>
              </w:rPr>
            </w:pPr>
            <w:r w:rsidRPr="00B86C1A">
              <w:rPr>
                <w:rFonts w:cs="Traditional Arabic" w:hint="cs"/>
                <w:b/>
                <w:bCs/>
                <w:sz w:val="48"/>
                <w:szCs w:val="48"/>
                <w:rtl/>
              </w:rPr>
              <w:t>المتحدة</w:t>
            </w:r>
          </w:p>
        </w:tc>
      </w:tr>
      <w:tr w:rsidR="008C5A6C">
        <w:tblPrEx>
          <w:tblCellMar>
            <w:top w:w="0" w:type="dxa"/>
            <w:bottom w:w="0" w:type="dxa"/>
          </w:tblCellMar>
        </w:tblPrEx>
        <w:trPr>
          <w:cantSplit/>
          <w:trHeight w:val="415"/>
        </w:trPr>
        <w:tc>
          <w:tcPr>
            <w:tcW w:w="2707" w:type="dxa"/>
            <w:tcBorders>
              <w:top w:val="nil"/>
              <w:bottom w:val="single" w:sz="4" w:space="0" w:color="auto"/>
            </w:tcBorders>
          </w:tcPr>
          <w:p w:rsidR="008C5A6C" w:rsidRPr="004B0A17" w:rsidRDefault="008C5A6C" w:rsidP="008C5A6C">
            <w:pPr>
              <w:bidi w:val="0"/>
              <w:spacing w:before="120"/>
              <w:rPr>
                <w:rFonts w:cs="Times New Roman"/>
                <w:b/>
                <w:bCs/>
                <w:sz w:val="20"/>
                <w:szCs w:val="20"/>
              </w:rPr>
            </w:pPr>
            <w:r w:rsidRPr="00B86C1A">
              <w:rPr>
                <w:rFonts w:cs="Times New Roman"/>
                <w:b/>
                <w:bCs/>
                <w:sz w:val="28"/>
              </w:rPr>
              <w:t>IPBES</w:t>
            </w:r>
            <w:r>
              <w:rPr>
                <w:rFonts w:cs="Times New Roman"/>
                <w:sz w:val="20"/>
                <w:szCs w:val="20"/>
              </w:rPr>
              <w:t>/2/16/Add.7</w:t>
            </w:r>
          </w:p>
        </w:tc>
        <w:tc>
          <w:tcPr>
            <w:tcW w:w="6933" w:type="dxa"/>
            <w:gridSpan w:val="2"/>
            <w:tcBorders>
              <w:top w:val="nil"/>
              <w:bottom w:val="single" w:sz="4" w:space="0" w:color="auto"/>
            </w:tcBorders>
          </w:tcPr>
          <w:p w:rsidR="008C5A6C" w:rsidRPr="004B0A17" w:rsidRDefault="008C5A6C" w:rsidP="004B0A17">
            <w:pPr>
              <w:bidi w:val="0"/>
              <w:jc w:val="both"/>
              <w:rPr>
                <w:rFonts w:cs="Times New Roman"/>
                <w:b/>
                <w:bCs/>
                <w:sz w:val="20"/>
                <w:szCs w:val="20"/>
                <w:rtl/>
              </w:rPr>
            </w:pPr>
          </w:p>
        </w:tc>
      </w:tr>
      <w:tr w:rsidR="008C5A6C" w:rsidTr="005B5EED">
        <w:tblPrEx>
          <w:tblCellMar>
            <w:top w:w="0" w:type="dxa"/>
            <w:bottom w:w="0" w:type="dxa"/>
          </w:tblCellMar>
        </w:tblPrEx>
        <w:trPr>
          <w:cantSplit/>
          <w:trHeight w:val="2564"/>
        </w:trPr>
        <w:tc>
          <w:tcPr>
            <w:tcW w:w="2707" w:type="dxa"/>
            <w:tcBorders>
              <w:top w:val="single" w:sz="4" w:space="0" w:color="auto"/>
            </w:tcBorders>
          </w:tcPr>
          <w:p w:rsidR="008C5A6C" w:rsidRPr="00A969A0" w:rsidRDefault="008C5A6C" w:rsidP="005B5EED">
            <w:pPr>
              <w:bidi w:val="0"/>
              <w:spacing w:before="120"/>
              <w:jc w:val="both"/>
              <w:rPr>
                <w:rFonts w:cs="Times New Roman"/>
                <w:sz w:val="20"/>
                <w:szCs w:val="20"/>
                <w:lang w:val="en-GB"/>
              </w:rPr>
            </w:pPr>
            <w:r w:rsidRPr="00A969A0">
              <w:rPr>
                <w:rFonts w:cs="Times New Roman"/>
                <w:sz w:val="20"/>
                <w:szCs w:val="20"/>
              </w:rPr>
              <w:t>Distr.</w:t>
            </w:r>
            <w:r w:rsidRPr="00A969A0">
              <w:rPr>
                <w:rFonts w:cs="Times New Roman"/>
                <w:sz w:val="20"/>
                <w:szCs w:val="20"/>
                <w:lang w:val="en-GB"/>
              </w:rPr>
              <w:t>: General</w:t>
            </w:r>
          </w:p>
          <w:p w:rsidR="008C5A6C" w:rsidRPr="00A969A0" w:rsidRDefault="008C5A6C" w:rsidP="008C5A6C">
            <w:pPr>
              <w:bidi w:val="0"/>
              <w:jc w:val="both"/>
              <w:rPr>
                <w:rFonts w:cs="Times New Roman"/>
                <w:sz w:val="20"/>
                <w:szCs w:val="20"/>
              </w:rPr>
            </w:pPr>
            <w:r>
              <w:rPr>
                <w:rFonts w:cs="Times New Roman"/>
                <w:sz w:val="20"/>
                <w:szCs w:val="20"/>
              </w:rPr>
              <w:t>2 October 2013</w:t>
            </w:r>
          </w:p>
          <w:p w:rsidR="008C5A6C" w:rsidRPr="00A969A0" w:rsidRDefault="008C5A6C"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8C5A6C" w:rsidRDefault="008C5A6C"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8C5A6C" w:rsidRDefault="008C5A6C" w:rsidP="005B5EED">
            <w:pPr>
              <w:spacing w:line="700" w:lineRule="exact"/>
              <w:ind w:left="164" w:firstLine="17"/>
              <w:rPr>
                <w:rFonts w:cs="Traditional Arabic" w:hint="cs"/>
                <w:b/>
                <w:bCs/>
                <w:sz w:val="52"/>
                <w:szCs w:val="52"/>
                <w:rtl/>
              </w:rPr>
            </w:pPr>
            <w:r w:rsidRPr="00E760C7">
              <w:rPr>
                <w:rFonts w:cs="Traditional Arabic" w:hint="cs"/>
                <w:b/>
                <w:bCs/>
                <w:sz w:val="52"/>
                <w:szCs w:val="52"/>
                <w:rtl/>
              </w:rPr>
              <w:t>برنامج الأمم</w:t>
            </w:r>
          </w:p>
          <w:p w:rsidR="008C5A6C" w:rsidRDefault="008C5A6C" w:rsidP="005B5EED">
            <w:pPr>
              <w:spacing w:line="700" w:lineRule="exact"/>
              <w:ind w:left="164" w:firstLine="17"/>
              <w:rPr>
                <w:rFonts w:hint="cs"/>
                <w:rtl/>
              </w:rPr>
            </w:pPr>
            <w:r w:rsidRPr="00E760C7">
              <w:rPr>
                <w:rFonts w:cs="Traditional Arabic" w:hint="cs"/>
                <w:b/>
                <w:bCs/>
                <w:sz w:val="52"/>
                <w:szCs w:val="52"/>
                <w:rtl/>
              </w:rPr>
              <w:t>المتحدة للبيئة</w:t>
            </w:r>
          </w:p>
        </w:tc>
        <w:tc>
          <w:tcPr>
            <w:tcW w:w="1701" w:type="dxa"/>
            <w:tcBorders>
              <w:top w:val="single" w:sz="4" w:space="0" w:color="auto"/>
            </w:tcBorders>
          </w:tcPr>
          <w:p w:rsidR="008C5A6C" w:rsidRDefault="00ED273F" w:rsidP="007B173A">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4" name="Picture 4"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A6C" w:rsidRDefault="00ED273F"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C5A6C" w:rsidRPr="00B86C1A" w:rsidRDefault="008C5A6C" w:rsidP="005B5EED">
      <w:pPr>
        <w:spacing w:before="40" w:line="340" w:lineRule="exact"/>
        <w:ind w:left="176"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8C5A6C" w:rsidRPr="00B86C1A" w:rsidRDefault="008C5A6C" w:rsidP="005B5EED">
      <w:pPr>
        <w:spacing w:line="340" w:lineRule="exact"/>
        <w:ind w:left="176"/>
        <w:jc w:val="both"/>
        <w:rPr>
          <w:rFonts w:ascii="Times New Roman Bold" w:hAnsi="Times New Roman Bold" w:cs="Traditional Arabic" w:hint="cs"/>
          <w:w w:val="97"/>
          <w:sz w:val="28"/>
          <w:rtl/>
        </w:rPr>
      </w:pPr>
      <w:r w:rsidRPr="00B86C1A">
        <w:rPr>
          <w:rFonts w:ascii="Times New Roman Bold" w:hAnsi="Times New Roman Bold" w:cs="Traditional Arabic" w:hint="cs"/>
          <w:b/>
          <w:bCs/>
          <w:w w:val="97"/>
          <w:sz w:val="28"/>
          <w:rtl/>
        </w:rPr>
        <w:t>الدورة الثانية</w:t>
      </w:r>
    </w:p>
    <w:p w:rsidR="008C5A6C" w:rsidRPr="00B86C1A" w:rsidRDefault="008C5A6C" w:rsidP="005B5EED">
      <w:pPr>
        <w:spacing w:after="40" w:line="340" w:lineRule="exact"/>
        <w:ind w:left="176"/>
        <w:jc w:val="both"/>
        <w:rPr>
          <w:rFonts w:cs="Traditional Arabic" w:hint="cs"/>
          <w:sz w:val="28"/>
          <w:rtl/>
        </w:rPr>
      </w:pPr>
      <w:r w:rsidRPr="00B86C1A">
        <w:rPr>
          <w:rFonts w:cs="Traditional Arabic" w:hint="cs"/>
          <w:sz w:val="28"/>
          <w:rtl/>
        </w:rPr>
        <w:t>أنطاليا، تركيا، 9-14 كانون الأول/ديسمبر 2013</w:t>
      </w:r>
    </w:p>
    <w:p w:rsidR="008C5A6C" w:rsidRPr="007A6D2A" w:rsidRDefault="008C5A6C" w:rsidP="008C5A6C">
      <w:pPr>
        <w:spacing w:after="40" w:line="340" w:lineRule="exact"/>
        <w:ind w:left="176" w:right="5812"/>
        <w:rPr>
          <w:rFonts w:ascii="Traditional Arabic" w:hAnsi="Traditional Arabic" w:cs="Traditional Arabic" w:hint="cs"/>
          <w:b/>
          <w:bCs/>
          <w:vanish/>
          <w:sz w:val="28"/>
          <w:rtl/>
        </w:rPr>
      </w:pPr>
      <w:r w:rsidRPr="00B86C1A">
        <w:rPr>
          <w:rFonts w:cs="Traditional Arabic" w:hint="cs"/>
          <w:sz w:val="28"/>
          <w:rtl/>
        </w:rPr>
        <w:t xml:space="preserve">البند </w:t>
      </w:r>
      <w:r>
        <w:rPr>
          <w:rFonts w:cs="Traditional Arabic" w:hint="cs"/>
          <w:sz w:val="28"/>
          <w:rtl/>
        </w:rPr>
        <w:t>4 (أ)</w:t>
      </w:r>
      <w:r w:rsidRPr="002323CD">
        <w:rPr>
          <w:rFonts w:cs="Traditional Arabic" w:hint="cs"/>
          <w:sz w:val="28"/>
          <w:rtl/>
        </w:rPr>
        <w:t xml:space="preserve"> </w:t>
      </w:r>
      <w:r w:rsidRPr="00B86C1A">
        <w:rPr>
          <w:rFonts w:cs="Traditional Arabic" w:hint="cs"/>
          <w:sz w:val="28"/>
          <w:rtl/>
        </w:rPr>
        <w:t>من جدول الأعمال المؤقت</w:t>
      </w:r>
      <w:r w:rsidRPr="007A6D2A">
        <w:rPr>
          <w:rStyle w:val="FootnoteReference"/>
          <w:rFonts w:cs="Times New Roman"/>
          <w:sz w:val="20"/>
          <w:szCs w:val="20"/>
          <w:rtl/>
        </w:rPr>
        <w:footnoteReference w:customMarkFollows="1" w:id="1"/>
        <w:t>*</w:t>
      </w:r>
      <w:r>
        <w:rPr>
          <w:rStyle w:val="FootnoteReference"/>
          <w:rFonts w:cs="Times New Roman"/>
          <w:sz w:val="20"/>
          <w:szCs w:val="20"/>
          <w:rtl/>
        </w:rPr>
        <w:br w:type="textWrapping" w:clear="all"/>
      </w:r>
      <w:r w:rsidRPr="00EA4C7A">
        <w:rPr>
          <w:rFonts w:cs="Traditional Arabic" w:hint="cs"/>
          <w:b/>
          <w:bCs/>
          <w:sz w:val="28"/>
          <w:rtl/>
        </w:rPr>
        <w:t>برنامج العمل الأولي للمنبر: برنامج العمل للفترة 2014</w:t>
      </w:r>
      <w:r>
        <w:rPr>
          <w:rFonts w:cs="Traditional Arabic" w:hint="eastAsia"/>
          <w:b/>
          <w:bCs/>
          <w:sz w:val="28"/>
          <w:rtl/>
        </w:rPr>
        <w:t> </w:t>
      </w:r>
      <w:r w:rsidRPr="00EA4C7A">
        <w:rPr>
          <w:rFonts w:cs="Traditional Arabic" w:hint="cs"/>
          <w:b/>
          <w:bCs/>
          <w:sz w:val="28"/>
          <w:rtl/>
        </w:rPr>
        <w:t>-</w:t>
      </w:r>
      <w:r>
        <w:rPr>
          <w:rFonts w:cs="Traditional Arabic" w:hint="eastAsia"/>
          <w:b/>
          <w:bCs/>
          <w:sz w:val="28"/>
          <w:rtl/>
        </w:rPr>
        <w:t> </w:t>
      </w:r>
      <w:r w:rsidRPr="00EA4C7A">
        <w:rPr>
          <w:rFonts w:cs="Traditional Arabic" w:hint="cs"/>
          <w:b/>
          <w:bCs/>
          <w:sz w:val="28"/>
          <w:rtl/>
        </w:rPr>
        <w:t>2018</w:t>
      </w:r>
    </w:p>
    <w:p w:rsidR="002323CD" w:rsidRDefault="00EA4C7A" w:rsidP="008C5A6C">
      <w:pPr>
        <w:spacing w:before="360" w:after="240" w:line="400" w:lineRule="exact"/>
        <w:ind w:left="1134"/>
        <w:jc w:val="both"/>
        <w:rPr>
          <w:rFonts w:cs="Traditional Arabic" w:hint="cs"/>
          <w:b/>
          <w:bCs/>
          <w:sz w:val="34"/>
          <w:szCs w:val="34"/>
          <w:rtl/>
        </w:rPr>
      </w:pPr>
      <w:r>
        <w:rPr>
          <w:rFonts w:cs="Traditional Arabic" w:hint="cs"/>
          <w:b/>
          <w:bCs/>
          <w:sz w:val="34"/>
          <w:szCs w:val="34"/>
          <w:rtl/>
        </w:rPr>
        <w:t>تحديد</w:t>
      </w:r>
      <w:r w:rsidR="000D6817">
        <w:rPr>
          <w:rFonts w:cs="Traditional Arabic" w:hint="cs"/>
          <w:b/>
          <w:bCs/>
          <w:sz w:val="34"/>
          <w:szCs w:val="34"/>
          <w:rtl/>
        </w:rPr>
        <w:t xml:space="preserve"> </w:t>
      </w:r>
      <w:r w:rsidR="00060681">
        <w:rPr>
          <w:rFonts w:cs="Traditional Arabic" w:hint="cs"/>
          <w:b/>
          <w:bCs/>
          <w:sz w:val="34"/>
          <w:szCs w:val="34"/>
          <w:rtl/>
        </w:rPr>
        <w:t>ا</w:t>
      </w:r>
      <w:r w:rsidR="000D6817">
        <w:rPr>
          <w:rFonts w:cs="Traditional Arabic" w:hint="cs"/>
          <w:b/>
          <w:bCs/>
          <w:sz w:val="34"/>
          <w:szCs w:val="34"/>
          <w:rtl/>
        </w:rPr>
        <w:t>ل</w:t>
      </w:r>
      <w:r>
        <w:rPr>
          <w:rFonts w:cs="Traditional Arabic" w:hint="cs"/>
          <w:b/>
          <w:bCs/>
          <w:sz w:val="34"/>
          <w:szCs w:val="34"/>
          <w:rtl/>
        </w:rPr>
        <w:t xml:space="preserve">نطاق </w:t>
      </w:r>
      <w:r w:rsidR="00060681" w:rsidRPr="00060681">
        <w:rPr>
          <w:rFonts w:cs="Traditional Arabic" w:hint="cs"/>
          <w:b/>
          <w:bCs/>
          <w:sz w:val="34"/>
          <w:szCs w:val="34"/>
          <w:rtl/>
        </w:rPr>
        <w:t xml:space="preserve">الأولى </w:t>
      </w:r>
      <w:r w:rsidR="00A13928">
        <w:rPr>
          <w:rFonts w:cs="Traditional Arabic" w:hint="cs"/>
          <w:b/>
          <w:bCs/>
          <w:sz w:val="34"/>
          <w:szCs w:val="34"/>
          <w:rtl/>
        </w:rPr>
        <w:t>ل</w:t>
      </w:r>
      <w:r w:rsidR="000D6817">
        <w:rPr>
          <w:rFonts w:cs="Traditional Arabic" w:hint="cs"/>
          <w:b/>
          <w:bCs/>
          <w:sz w:val="34"/>
          <w:szCs w:val="34"/>
          <w:rtl/>
        </w:rPr>
        <w:t>لتق</w:t>
      </w:r>
      <w:r>
        <w:rPr>
          <w:rFonts w:cs="Traditional Arabic" w:hint="cs"/>
          <w:b/>
          <w:bCs/>
          <w:sz w:val="34"/>
          <w:szCs w:val="34"/>
          <w:rtl/>
        </w:rPr>
        <w:t>ي</w:t>
      </w:r>
      <w:r w:rsidR="000D6817">
        <w:rPr>
          <w:rFonts w:cs="Traditional Arabic" w:hint="cs"/>
          <w:b/>
          <w:bCs/>
          <w:sz w:val="34"/>
          <w:szCs w:val="34"/>
          <w:rtl/>
        </w:rPr>
        <w:t>يم المواض</w:t>
      </w:r>
      <w:r w:rsidR="00164C70">
        <w:rPr>
          <w:rFonts w:cs="Traditional Arabic" w:hint="cs"/>
          <w:b/>
          <w:bCs/>
          <w:sz w:val="34"/>
          <w:szCs w:val="34"/>
          <w:rtl/>
        </w:rPr>
        <w:t>ي</w:t>
      </w:r>
      <w:r w:rsidR="000D6817">
        <w:rPr>
          <w:rFonts w:cs="Traditional Arabic" w:hint="cs"/>
          <w:b/>
          <w:bCs/>
          <w:sz w:val="34"/>
          <w:szCs w:val="34"/>
          <w:rtl/>
        </w:rPr>
        <w:t>عي للزراعة والأمن الغذائي والتنوع البيولوجي وخدمات النظم الإيكولوجية</w:t>
      </w:r>
    </w:p>
    <w:p w:rsidR="00053F05" w:rsidRPr="008C5A6C" w:rsidRDefault="00053F05" w:rsidP="008C5A6C">
      <w:pPr>
        <w:spacing w:after="360" w:line="400" w:lineRule="exact"/>
        <w:ind w:left="1134"/>
        <w:jc w:val="both"/>
        <w:rPr>
          <w:rFonts w:cs="Traditional Arabic" w:hint="cs"/>
          <w:b/>
          <w:bCs/>
          <w:sz w:val="32"/>
          <w:szCs w:val="32"/>
          <w:rtl/>
        </w:rPr>
      </w:pPr>
      <w:r w:rsidRPr="008C5A6C">
        <w:rPr>
          <w:rFonts w:cs="Traditional Arabic" w:hint="cs"/>
          <w:b/>
          <w:bCs/>
          <w:sz w:val="32"/>
          <w:szCs w:val="32"/>
          <w:rtl/>
        </w:rPr>
        <w:t>مذكرة من الأمانة</w:t>
      </w:r>
    </w:p>
    <w:p w:rsidR="00053F05" w:rsidRPr="00022656" w:rsidRDefault="00053F05" w:rsidP="00022656">
      <w:pPr>
        <w:spacing w:after="120" w:line="400" w:lineRule="exact"/>
        <w:ind w:left="1135" w:hanging="851"/>
        <w:jc w:val="both"/>
        <w:rPr>
          <w:rFonts w:cs="Traditional Arabic" w:hint="cs"/>
          <w:b/>
          <w:bCs/>
          <w:sz w:val="32"/>
          <w:szCs w:val="32"/>
          <w:rtl/>
        </w:rPr>
      </w:pPr>
      <w:r w:rsidRPr="00022656">
        <w:rPr>
          <w:rFonts w:cs="Traditional Arabic" w:hint="cs"/>
          <w:b/>
          <w:bCs/>
          <w:sz w:val="32"/>
          <w:szCs w:val="32"/>
          <w:rtl/>
        </w:rPr>
        <w:t>أولاً</w:t>
      </w:r>
      <w:r w:rsidR="00FC5BBC" w:rsidRPr="00022656">
        <w:rPr>
          <w:rFonts w:cs="Traditional Arabic" w:hint="cs"/>
          <w:b/>
          <w:bCs/>
          <w:sz w:val="32"/>
          <w:szCs w:val="32"/>
          <w:rtl/>
        </w:rPr>
        <w:t xml:space="preserve"> </w:t>
      </w:r>
      <w:r w:rsidRPr="00022656">
        <w:rPr>
          <w:rFonts w:cs="Traditional Arabic" w:hint="cs"/>
          <w:b/>
          <w:bCs/>
          <w:sz w:val="32"/>
          <w:szCs w:val="32"/>
          <w:rtl/>
        </w:rPr>
        <w:t>-</w:t>
      </w:r>
      <w:r w:rsidRPr="00022656">
        <w:rPr>
          <w:rFonts w:cs="Traditional Arabic" w:hint="cs"/>
          <w:b/>
          <w:bCs/>
          <w:sz w:val="32"/>
          <w:szCs w:val="32"/>
          <w:rtl/>
        </w:rPr>
        <w:tab/>
        <w:t>مقدمة</w:t>
      </w:r>
    </w:p>
    <w:p w:rsidR="002323CD" w:rsidRDefault="000D6817" w:rsidP="00022656">
      <w:pPr>
        <w:spacing w:after="120" w:line="400" w:lineRule="exact"/>
        <w:ind w:left="1134"/>
        <w:jc w:val="both"/>
        <w:rPr>
          <w:rFonts w:cs="Traditional Arabic" w:hint="cs"/>
          <w:szCs w:val="30"/>
          <w:rtl/>
        </w:rPr>
      </w:pPr>
      <w:r>
        <w:rPr>
          <w:rFonts w:cs="Traditional Arabic" w:hint="cs"/>
          <w:szCs w:val="30"/>
          <w:rtl/>
        </w:rPr>
        <w:t>1 -</w:t>
      </w:r>
      <w:r>
        <w:rPr>
          <w:rFonts w:cs="Traditional Arabic" w:hint="cs"/>
          <w:szCs w:val="30"/>
          <w:rtl/>
        </w:rPr>
        <w:tab/>
        <w:t xml:space="preserve">إدراكاً </w:t>
      </w:r>
      <w:r w:rsidR="00053F05">
        <w:rPr>
          <w:rFonts w:cs="Traditional Arabic" w:hint="cs"/>
          <w:szCs w:val="30"/>
          <w:rtl/>
        </w:rPr>
        <w:t>لأنه سيكون من الضروري</w:t>
      </w:r>
      <w:r>
        <w:rPr>
          <w:rFonts w:cs="Traditional Arabic" w:hint="cs"/>
          <w:szCs w:val="30"/>
          <w:rtl/>
        </w:rPr>
        <w:t xml:space="preserve"> </w:t>
      </w:r>
      <w:r w:rsidR="00060681">
        <w:rPr>
          <w:rFonts w:cs="Traditional Arabic" w:hint="cs"/>
          <w:szCs w:val="30"/>
          <w:rtl/>
        </w:rPr>
        <w:t xml:space="preserve">المضي في </w:t>
      </w:r>
      <w:r>
        <w:rPr>
          <w:rFonts w:cs="Traditional Arabic" w:hint="cs"/>
          <w:szCs w:val="30"/>
          <w:rtl/>
        </w:rPr>
        <w:t xml:space="preserve">تحقيق تقدم في برنامج العمل للفترة 2014-2018 </w:t>
      </w:r>
      <w:r w:rsidR="00053F05">
        <w:rPr>
          <w:rFonts w:cs="Traditional Arabic" w:hint="cs"/>
          <w:szCs w:val="30"/>
          <w:rtl/>
        </w:rPr>
        <w:t>بعد</w:t>
      </w:r>
      <w:r>
        <w:rPr>
          <w:rFonts w:cs="Traditional Arabic" w:hint="cs"/>
          <w:szCs w:val="30"/>
          <w:rtl/>
        </w:rPr>
        <w:t xml:space="preserve"> </w:t>
      </w:r>
      <w:r w:rsidR="00060681">
        <w:rPr>
          <w:rFonts w:cs="Traditional Arabic" w:hint="cs"/>
          <w:szCs w:val="30"/>
          <w:rtl/>
        </w:rPr>
        <w:t xml:space="preserve">أن يوافق </w:t>
      </w:r>
      <w:r>
        <w:rPr>
          <w:rFonts w:cs="Traditional Arabic" w:hint="cs"/>
          <w:szCs w:val="30"/>
          <w:rtl/>
        </w:rPr>
        <w:t xml:space="preserve">الاجتماع العام للمنبر الحكومي الدولي </w:t>
      </w:r>
      <w:r w:rsidR="00DE0AF0">
        <w:rPr>
          <w:rFonts w:cs="Traditional Arabic" w:hint="cs"/>
          <w:szCs w:val="30"/>
          <w:rtl/>
        </w:rPr>
        <w:t>للعلوم وا</w:t>
      </w:r>
      <w:r>
        <w:rPr>
          <w:rFonts w:cs="Traditional Arabic" w:hint="cs"/>
          <w:szCs w:val="30"/>
          <w:rtl/>
        </w:rPr>
        <w:t xml:space="preserve">لسياسات في مجال التنوع البيولوجي وخدمات النظم الإيكولوجية </w:t>
      </w:r>
      <w:r w:rsidR="00053F05">
        <w:rPr>
          <w:rFonts w:cs="Traditional Arabic" w:hint="cs"/>
          <w:szCs w:val="30"/>
          <w:rtl/>
        </w:rPr>
        <w:t xml:space="preserve">عليه </w:t>
      </w:r>
      <w:r>
        <w:rPr>
          <w:rFonts w:cs="Traditional Arabic" w:hint="cs"/>
          <w:szCs w:val="30"/>
          <w:rtl/>
        </w:rPr>
        <w:t xml:space="preserve">في دورته الثانية، اتفق المكتب وفريق الخبراء المتعدد التخصصات على </w:t>
      </w:r>
      <w:r w:rsidR="00EA4C7A">
        <w:rPr>
          <w:rFonts w:cs="Traditional Arabic" w:hint="cs"/>
          <w:szCs w:val="30"/>
          <w:rtl/>
        </w:rPr>
        <w:t xml:space="preserve">إعداد عدد </w:t>
      </w:r>
      <w:r>
        <w:rPr>
          <w:rFonts w:cs="Traditional Arabic" w:hint="cs"/>
          <w:szCs w:val="30"/>
          <w:rtl/>
        </w:rPr>
        <w:t xml:space="preserve">من وثائق </w:t>
      </w:r>
      <w:r w:rsidR="00EA4C7A">
        <w:rPr>
          <w:rFonts w:cs="Traditional Arabic" w:hint="cs"/>
          <w:szCs w:val="30"/>
          <w:rtl/>
        </w:rPr>
        <w:t xml:space="preserve">تحديد </w:t>
      </w:r>
      <w:r w:rsidR="00060681">
        <w:rPr>
          <w:rFonts w:cs="Traditional Arabic" w:hint="cs"/>
          <w:szCs w:val="30"/>
          <w:rtl/>
        </w:rPr>
        <w:t>ا</w:t>
      </w:r>
      <w:r w:rsidR="00EA4C7A">
        <w:rPr>
          <w:rFonts w:cs="Traditional Arabic" w:hint="cs"/>
          <w:szCs w:val="30"/>
          <w:rtl/>
        </w:rPr>
        <w:t>لنطاق</w:t>
      </w:r>
      <w:r>
        <w:rPr>
          <w:rFonts w:cs="Traditional Arabic" w:hint="cs"/>
          <w:szCs w:val="30"/>
          <w:rtl/>
        </w:rPr>
        <w:t xml:space="preserve"> </w:t>
      </w:r>
      <w:r w:rsidR="00060681" w:rsidRPr="00060681">
        <w:rPr>
          <w:rFonts w:cs="Traditional Arabic" w:hint="cs"/>
          <w:szCs w:val="30"/>
          <w:rtl/>
        </w:rPr>
        <w:t xml:space="preserve">الأولي </w:t>
      </w:r>
      <w:r>
        <w:rPr>
          <w:rFonts w:cs="Traditional Arabic" w:hint="cs"/>
          <w:szCs w:val="30"/>
          <w:rtl/>
        </w:rPr>
        <w:t xml:space="preserve">استناداً إلى ترتيب أولويات الطلبات والمقترحات والمساهمات التي تقدم للمنبر، والنواتج </w:t>
      </w:r>
      <w:r w:rsidR="00053F05">
        <w:rPr>
          <w:rFonts w:cs="Traditional Arabic" w:hint="cs"/>
          <w:szCs w:val="30"/>
          <w:rtl/>
        </w:rPr>
        <w:t>الواردة</w:t>
      </w:r>
      <w:r>
        <w:rPr>
          <w:rFonts w:cs="Traditional Arabic" w:hint="cs"/>
          <w:szCs w:val="30"/>
          <w:rtl/>
        </w:rPr>
        <w:t xml:space="preserve"> في مشروع برنامج العمل </w:t>
      </w:r>
      <w:r w:rsidRPr="00762016">
        <w:rPr>
          <w:sz w:val="20"/>
          <w:szCs w:val="20"/>
          <w:lang w:val="en-GB"/>
        </w:rPr>
        <w:t>(IPBES/2/2)</w:t>
      </w:r>
      <w:r w:rsidR="00EA4C7A">
        <w:rPr>
          <w:rFonts w:cs="Traditional Arabic" w:hint="cs"/>
          <w:szCs w:val="30"/>
          <w:rtl/>
        </w:rPr>
        <w:t xml:space="preserve"> وذلك لكي ينظر فيها الاجتماع العام</w:t>
      </w:r>
      <w:r w:rsidR="001F3B0C">
        <w:rPr>
          <w:rFonts w:cs="Traditional Arabic" w:hint="cs"/>
          <w:szCs w:val="30"/>
          <w:rtl/>
        </w:rPr>
        <w:t xml:space="preserve"> في تلك الدورة</w:t>
      </w:r>
      <w:r>
        <w:rPr>
          <w:rFonts w:cs="Traditional Arabic" w:hint="cs"/>
          <w:szCs w:val="30"/>
          <w:rtl/>
        </w:rPr>
        <w:t xml:space="preserve">. </w:t>
      </w:r>
      <w:r w:rsidR="00053F05">
        <w:rPr>
          <w:rFonts w:cs="Traditional Arabic" w:hint="cs"/>
          <w:szCs w:val="30"/>
          <w:rtl/>
        </w:rPr>
        <w:t>وتورد هذه</w:t>
      </w:r>
      <w:r>
        <w:rPr>
          <w:rFonts w:cs="Traditional Arabic" w:hint="cs"/>
          <w:szCs w:val="30"/>
          <w:rtl/>
        </w:rPr>
        <w:t xml:space="preserve"> ا</w:t>
      </w:r>
      <w:r w:rsidR="00022656">
        <w:rPr>
          <w:rFonts w:cs="Traditional Arabic" w:hint="cs"/>
          <w:szCs w:val="30"/>
          <w:rtl/>
        </w:rPr>
        <w:t xml:space="preserve">لمذكرة </w:t>
      </w:r>
      <w:r>
        <w:rPr>
          <w:rFonts w:cs="Traditional Arabic" w:hint="cs"/>
          <w:szCs w:val="30"/>
          <w:rtl/>
        </w:rPr>
        <w:t>ت</w:t>
      </w:r>
      <w:r w:rsidR="00EA4C7A">
        <w:rPr>
          <w:rFonts w:cs="Traditional Arabic" w:hint="cs"/>
          <w:szCs w:val="30"/>
          <w:rtl/>
        </w:rPr>
        <w:t>حديد</w:t>
      </w:r>
      <w:r>
        <w:rPr>
          <w:rFonts w:cs="Traditional Arabic" w:hint="cs"/>
          <w:szCs w:val="30"/>
          <w:rtl/>
        </w:rPr>
        <w:t xml:space="preserve"> </w:t>
      </w:r>
      <w:r w:rsidR="00486715">
        <w:rPr>
          <w:rFonts w:cs="Traditional Arabic" w:hint="cs"/>
          <w:szCs w:val="30"/>
          <w:rtl/>
        </w:rPr>
        <w:t>ال</w:t>
      </w:r>
      <w:r w:rsidR="00EA4C7A">
        <w:rPr>
          <w:rFonts w:cs="Traditional Arabic" w:hint="cs"/>
          <w:szCs w:val="30"/>
          <w:rtl/>
        </w:rPr>
        <w:t>نطاق</w:t>
      </w:r>
      <w:r>
        <w:rPr>
          <w:rFonts w:cs="Traditional Arabic" w:hint="cs"/>
          <w:szCs w:val="30"/>
          <w:rtl/>
        </w:rPr>
        <w:t xml:space="preserve"> </w:t>
      </w:r>
      <w:r w:rsidR="00060681" w:rsidRPr="00060681">
        <w:rPr>
          <w:rFonts w:cs="Traditional Arabic" w:hint="cs"/>
          <w:szCs w:val="30"/>
          <w:rtl/>
        </w:rPr>
        <w:t xml:space="preserve">الأولي </w:t>
      </w:r>
      <w:r w:rsidR="00060681">
        <w:rPr>
          <w:rFonts w:cs="Traditional Arabic" w:hint="cs"/>
          <w:szCs w:val="30"/>
          <w:rtl/>
        </w:rPr>
        <w:t>ل</w:t>
      </w:r>
      <w:r>
        <w:rPr>
          <w:rFonts w:cs="Traditional Arabic" w:hint="cs"/>
          <w:szCs w:val="30"/>
          <w:rtl/>
        </w:rPr>
        <w:t xml:space="preserve">تقييم مواضيعي مقترح للزراعة والأمن الغذائي والتنوع البيولوجي وخدمات النظم الإيكولوجية. وقد وضعت وفقاً </w:t>
      </w:r>
      <w:r w:rsidR="00053F05">
        <w:rPr>
          <w:rFonts w:cs="Traditional Arabic" w:hint="cs"/>
          <w:szCs w:val="30"/>
          <w:rtl/>
        </w:rPr>
        <w:t>ل</w:t>
      </w:r>
      <w:r>
        <w:rPr>
          <w:rFonts w:cs="Traditional Arabic" w:hint="cs"/>
          <w:szCs w:val="30"/>
          <w:rtl/>
        </w:rPr>
        <w:t xml:space="preserve">مشروع </w:t>
      </w:r>
      <w:r w:rsidR="00053F05">
        <w:rPr>
          <w:rFonts w:cs="Traditional Arabic" w:hint="cs"/>
          <w:szCs w:val="30"/>
          <w:rtl/>
        </w:rPr>
        <w:t>ال</w:t>
      </w:r>
      <w:r>
        <w:rPr>
          <w:rFonts w:cs="Traditional Arabic" w:hint="cs"/>
          <w:szCs w:val="30"/>
          <w:rtl/>
        </w:rPr>
        <w:t xml:space="preserve">إجراءات </w:t>
      </w:r>
      <w:r w:rsidR="00053F05">
        <w:rPr>
          <w:rFonts w:cs="Traditional Arabic" w:hint="cs"/>
          <w:szCs w:val="30"/>
          <w:rtl/>
        </w:rPr>
        <w:t>الخاصة ب</w:t>
      </w:r>
      <w:r>
        <w:rPr>
          <w:rFonts w:cs="Traditional Arabic" w:hint="cs"/>
          <w:szCs w:val="30"/>
          <w:rtl/>
        </w:rPr>
        <w:t xml:space="preserve">إعداد نواتج المنبر </w:t>
      </w:r>
      <w:r w:rsidRPr="00762016">
        <w:rPr>
          <w:sz w:val="20"/>
          <w:szCs w:val="20"/>
          <w:lang w:val="en-GB"/>
        </w:rPr>
        <w:t>(IPBES/2/</w:t>
      </w:r>
      <w:r>
        <w:rPr>
          <w:sz w:val="20"/>
          <w:szCs w:val="20"/>
          <w:lang w:val="en-GB"/>
        </w:rPr>
        <w:t>9</w:t>
      </w:r>
      <w:r w:rsidRPr="00762016">
        <w:rPr>
          <w:sz w:val="20"/>
          <w:szCs w:val="20"/>
          <w:lang w:val="en-GB"/>
        </w:rPr>
        <w:t>)</w:t>
      </w:r>
      <w:r>
        <w:rPr>
          <w:rFonts w:cs="Traditional Arabic" w:hint="cs"/>
          <w:szCs w:val="30"/>
          <w:rtl/>
        </w:rPr>
        <w:t>.</w:t>
      </w:r>
    </w:p>
    <w:p w:rsidR="000D6817" w:rsidRPr="000D6817" w:rsidRDefault="00EA4C7A" w:rsidP="00022656">
      <w:pPr>
        <w:spacing w:before="120" w:after="120" w:line="400" w:lineRule="exact"/>
        <w:ind w:left="1135" w:hanging="851"/>
        <w:jc w:val="both"/>
        <w:rPr>
          <w:rFonts w:cs="Traditional Arabic" w:hint="cs"/>
          <w:b/>
          <w:bCs/>
          <w:sz w:val="32"/>
          <w:szCs w:val="32"/>
          <w:rtl/>
        </w:rPr>
      </w:pPr>
      <w:r>
        <w:rPr>
          <w:rFonts w:cs="Traditional Arabic"/>
          <w:b/>
          <w:bCs/>
          <w:sz w:val="32"/>
          <w:szCs w:val="32"/>
          <w:rtl/>
        </w:rPr>
        <w:br w:type="page"/>
      </w:r>
      <w:r w:rsidR="00B85EB7">
        <w:rPr>
          <w:rFonts w:cs="Traditional Arabic" w:hint="cs"/>
          <w:b/>
          <w:bCs/>
          <w:sz w:val="32"/>
          <w:szCs w:val="32"/>
          <w:rtl/>
        </w:rPr>
        <w:lastRenderedPageBreak/>
        <w:t>ثانياً</w:t>
      </w:r>
      <w:r w:rsidR="000D6817" w:rsidRPr="000D6817">
        <w:rPr>
          <w:rFonts w:cs="Traditional Arabic" w:hint="cs"/>
          <w:b/>
          <w:bCs/>
          <w:sz w:val="32"/>
          <w:szCs w:val="32"/>
          <w:rtl/>
        </w:rPr>
        <w:t xml:space="preserve"> -</w:t>
      </w:r>
      <w:r w:rsidR="000D6817" w:rsidRPr="000D6817">
        <w:rPr>
          <w:rFonts w:cs="Traditional Arabic" w:hint="cs"/>
          <w:b/>
          <w:bCs/>
          <w:sz w:val="32"/>
          <w:szCs w:val="32"/>
          <w:rtl/>
        </w:rPr>
        <w:tab/>
        <w:t xml:space="preserve">النطاق </w:t>
      </w:r>
      <w:r w:rsidR="00060681">
        <w:rPr>
          <w:rFonts w:cs="Traditional Arabic" w:hint="cs"/>
          <w:b/>
          <w:bCs/>
          <w:sz w:val="32"/>
          <w:szCs w:val="32"/>
          <w:rtl/>
        </w:rPr>
        <w:t>والسند</w:t>
      </w:r>
      <w:r w:rsidR="00B85EB7">
        <w:rPr>
          <w:rFonts w:cs="Traditional Arabic" w:hint="cs"/>
          <w:b/>
          <w:bCs/>
          <w:sz w:val="32"/>
          <w:szCs w:val="32"/>
          <w:rtl/>
        </w:rPr>
        <w:t xml:space="preserve"> المنطقي </w:t>
      </w:r>
      <w:r w:rsidR="00060681">
        <w:rPr>
          <w:rFonts w:cs="Traditional Arabic" w:hint="cs"/>
          <w:b/>
          <w:bCs/>
          <w:sz w:val="32"/>
          <w:szCs w:val="32"/>
          <w:rtl/>
        </w:rPr>
        <w:t>والفوائد</w:t>
      </w:r>
    </w:p>
    <w:p w:rsidR="000D6817" w:rsidRPr="000D6817" w:rsidRDefault="000D6817" w:rsidP="00022656">
      <w:pPr>
        <w:spacing w:after="120" w:line="400" w:lineRule="exact"/>
        <w:ind w:left="1135" w:hanging="851"/>
        <w:jc w:val="both"/>
        <w:rPr>
          <w:rFonts w:cs="Traditional Arabic" w:hint="cs"/>
          <w:b/>
          <w:bCs/>
          <w:szCs w:val="30"/>
          <w:rtl/>
        </w:rPr>
      </w:pPr>
      <w:r w:rsidRPr="000D6817">
        <w:rPr>
          <w:rFonts w:cs="Traditional Arabic" w:hint="cs"/>
          <w:b/>
          <w:bCs/>
          <w:szCs w:val="30"/>
          <w:rtl/>
        </w:rPr>
        <w:t>ألف -</w:t>
      </w:r>
      <w:r w:rsidRPr="000D6817">
        <w:rPr>
          <w:rFonts w:cs="Traditional Arabic" w:hint="cs"/>
          <w:b/>
          <w:bCs/>
          <w:szCs w:val="30"/>
          <w:rtl/>
        </w:rPr>
        <w:tab/>
        <w:t>النطاق</w:t>
      </w:r>
    </w:p>
    <w:p w:rsidR="000D6817" w:rsidRDefault="000D6817" w:rsidP="00022656">
      <w:pPr>
        <w:spacing w:after="120" w:line="400" w:lineRule="exact"/>
        <w:ind w:left="1134"/>
        <w:jc w:val="both"/>
        <w:rPr>
          <w:rFonts w:cs="Traditional Arabic" w:hint="cs"/>
          <w:szCs w:val="30"/>
          <w:rtl/>
        </w:rPr>
      </w:pPr>
      <w:r>
        <w:rPr>
          <w:rFonts w:cs="Traditional Arabic" w:hint="cs"/>
          <w:szCs w:val="30"/>
          <w:rtl/>
        </w:rPr>
        <w:t>2 -</w:t>
      </w:r>
      <w:r>
        <w:rPr>
          <w:rFonts w:cs="Traditional Arabic" w:hint="cs"/>
          <w:szCs w:val="30"/>
          <w:rtl/>
        </w:rPr>
        <w:tab/>
      </w:r>
      <w:r w:rsidR="00FF4B19">
        <w:rPr>
          <w:rFonts w:cs="Traditional Arabic" w:hint="cs"/>
          <w:szCs w:val="30"/>
          <w:rtl/>
        </w:rPr>
        <w:t xml:space="preserve">هل يمثل نهج </w:t>
      </w:r>
      <w:r w:rsidR="001F3B0C">
        <w:rPr>
          <w:rFonts w:cs="Traditional Arabic" w:hint="cs"/>
          <w:szCs w:val="30"/>
          <w:rtl/>
        </w:rPr>
        <w:t>’’</w:t>
      </w:r>
      <w:r w:rsidR="00FF4B19">
        <w:rPr>
          <w:rFonts w:cs="Traditional Arabic" w:hint="cs"/>
          <w:szCs w:val="30"/>
          <w:rtl/>
        </w:rPr>
        <w:t>التك</w:t>
      </w:r>
      <w:r w:rsidR="00904961">
        <w:rPr>
          <w:rFonts w:cs="Traditional Arabic" w:hint="cs"/>
          <w:szCs w:val="30"/>
          <w:rtl/>
        </w:rPr>
        <w:t>ث</w:t>
      </w:r>
      <w:r w:rsidR="00FF4B19">
        <w:rPr>
          <w:rFonts w:cs="Traditional Arabic" w:hint="cs"/>
          <w:szCs w:val="30"/>
          <w:rtl/>
        </w:rPr>
        <w:t>يف المستدام</w:t>
      </w:r>
      <w:r w:rsidR="001F3B0C">
        <w:rPr>
          <w:rFonts w:cs="Traditional Arabic" w:hint="cs"/>
          <w:szCs w:val="30"/>
          <w:rtl/>
        </w:rPr>
        <w:t>‘‘</w:t>
      </w:r>
      <w:r w:rsidR="00FF4B19">
        <w:rPr>
          <w:rFonts w:cs="Traditional Arabic" w:hint="cs"/>
          <w:szCs w:val="30"/>
          <w:rtl/>
        </w:rPr>
        <w:t xml:space="preserve"> خيار</w:t>
      </w:r>
      <w:r w:rsidR="00904961">
        <w:rPr>
          <w:rFonts w:cs="Traditional Arabic" w:hint="cs"/>
          <w:szCs w:val="30"/>
          <w:rtl/>
        </w:rPr>
        <w:t>ا</w:t>
      </w:r>
      <w:r w:rsidR="001F3B0C">
        <w:rPr>
          <w:rFonts w:cs="Traditional Arabic" w:hint="cs"/>
          <w:szCs w:val="30"/>
          <w:rtl/>
        </w:rPr>
        <w:t>ً</w:t>
      </w:r>
      <w:r w:rsidR="00FF4B19">
        <w:rPr>
          <w:rFonts w:cs="Traditional Arabic" w:hint="cs"/>
          <w:szCs w:val="30"/>
          <w:rtl/>
        </w:rPr>
        <w:t xml:space="preserve"> سياساتي</w:t>
      </w:r>
      <w:r w:rsidR="00904961">
        <w:rPr>
          <w:rFonts w:cs="Traditional Arabic" w:hint="cs"/>
          <w:szCs w:val="30"/>
          <w:rtl/>
        </w:rPr>
        <w:t>ا</w:t>
      </w:r>
      <w:r w:rsidR="001F3B0C">
        <w:rPr>
          <w:rFonts w:cs="Traditional Arabic" w:hint="cs"/>
          <w:szCs w:val="30"/>
          <w:rtl/>
        </w:rPr>
        <w:t>ً</w:t>
      </w:r>
      <w:r w:rsidR="00FF4B19">
        <w:rPr>
          <w:rFonts w:cs="Traditional Arabic" w:hint="cs"/>
          <w:szCs w:val="30"/>
          <w:rtl/>
        </w:rPr>
        <w:t xml:space="preserve"> فعال</w:t>
      </w:r>
      <w:r w:rsidR="00904961">
        <w:rPr>
          <w:rFonts w:cs="Traditional Arabic" w:hint="cs"/>
          <w:szCs w:val="30"/>
          <w:rtl/>
        </w:rPr>
        <w:t>ا</w:t>
      </w:r>
      <w:r w:rsidR="001F3B0C">
        <w:rPr>
          <w:rFonts w:cs="Traditional Arabic" w:hint="cs"/>
          <w:szCs w:val="30"/>
          <w:rtl/>
        </w:rPr>
        <w:t>ً</w:t>
      </w:r>
      <w:r w:rsidR="00FF4B19">
        <w:rPr>
          <w:rFonts w:cs="Traditional Arabic" w:hint="cs"/>
          <w:szCs w:val="30"/>
          <w:rtl/>
        </w:rPr>
        <w:t xml:space="preserve"> لمعالجة احتياجات الأمن الغذائي العالمي دون الإضرار بخدمات النظم الإيكولوجية وخاصة التنوع البيولوجي؟</w:t>
      </w:r>
    </w:p>
    <w:p w:rsidR="00FF4B19" w:rsidRDefault="00FF4B19" w:rsidP="00022656">
      <w:pPr>
        <w:spacing w:after="120" w:line="400" w:lineRule="exact"/>
        <w:ind w:left="1134"/>
        <w:jc w:val="both"/>
        <w:rPr>
          <w:rFonts w:cs="Traditional Arabic" w:hint="cs"/>
          <w:szCs w:val="30"/>
          <w:rtl/>
        </w:rPr>
      </w:pPr>
      <w:r>
        <w:rPr>
          <w:rFonts w:cs="Traditional Arabic" w:hint="cs"/>
          <w:szCs w:val="30"/>
          <w:rtl/>
        </w:rPr>
        <w:t>3 -</w:t>
      </w:r>
      <w:r>
        <w:rPr>
          <w:rFonts w:cs="Traditional Arabic" w:hint="cs"/>
          <w:szCs w:val="30"/>
          <w:rtl/>
        </w:rPr>
        <w:tab/>
      </w:r>
      <w:r w:rsidR="002C23FE">
        <w:rPr>
          <w:rFonts w:cs="Traditional Arabic" w:hint="cs"/>
          <w:szCs w:val="30"/>
          <w:rtl/>
        </w:rPr>
        <w:t xml:space="preserve">إن الضغوط المحتملة </w:t>
      </w:r>
      <w:r w:rsidR="00904961">
        <w:rPr>
          <w:rFonts w:cs="Traditional Arabic" w:hint="cs"/>
          <w:szCs w:val="30"/>
          <w:rtl/>
        </w:rPr>
        <w:t>على</w:t>
      </w:r>
      <w:r w:rsidR="002C23FE">
        <w:rPr>
          <w:rFonts w:cs="Traditional Arabic" w:hint="cs"/>
          <w:szCs w:val="30"/>
          <w:rtl/>
        </w:rPr>
        <w:t xml:space="preserve"> موارد الأراضي والمياه </w:t>
      </w:r>
      <w:r w:rsidR="00060681">
        <w:rPr>
          <w:rFonts w:cs="Traditional Arabic" w:hint="cs"/>
          <w:szCs w:val="30"/>
          <w:rtl/>
        </w:rPr>
        <w:t>مع</w:t>
      </w:r>
      <w:r w:rsidR="00904961">
        <w:rPr>
          <w:rFonts w:cs="Traditional Arabic" w:hint="cs"/>
          <w:szCs w:val="30"/>
          <w:rtl/>
        </w:rPr>
        <w:t xml:space="preserve"> تزايد</w:t>
      </w:r>
      <w:r w:rsidR="002C23FE">
        <w:rPr>
          <w:rFonts w:cs="Traditional Arabic" w:hint="cs"/>
          <w:szCs w:val="30"/>
          <w:rtl/>
        </w:rPr>
        <w:t xml:space="preserve"> </w:t>
      </w:r>
      <w:r w:rsidR="00904961">
        <w:rPr>
          <w:rFonts w:cs="Traditional Arabic" w:hint="cs"/>
          <w:szCs w:val="30"/>
          <w:rtl/>
        </w:rPr>
        <w:t>الطلب على</w:t>
      </w:r>
      <w:r w:rsidR="002C23FE">
        <w:rPr>
          <w:rFonts w:cs="Traditional Arabic" w:hint="cs"/>
          <w:szCs w:val="30"/>
          <w:rtl/>
        </w:rPr>
        <w:t xml:space="preserve"> الإنتاجية الزراعية لتوفير الغذاء لسكان العالم البالغ عددهم 9 مليارات نسمة يعني ضرورة أن توازن السياسات بين القدرات الإنتاجية للأراضي والمياه وقيمتها المتأصلة باعتبارها عناصر توفر خدمات النظم الإيكولوجية. وسوف يرتكز التقييم المقترح على الوثائق السابقة التي أوجزت حالة المعارف فيما يتعلق بهذه المسألة وسوف تعالج على وجه الخصوص سياق السياسات.</w:t>
      </w:r>
    </w:p>
    <w:p w:rsidR="002C23FE" w:rsidRDefault="002C23FE" w:rsidP="00022656">
      <w:pPr>
        <w:spacing w:after="120" w:line="400" w:lineRule="exact"/>
        <w:ind w:left="1134"/>
        <w:jc w:val="both"/>
        <w:rPr>
          <w:rFonts w:cs="Traditional Arabic" w:hint="cs"/>
          <w:szCs w:val="30"/>
          <w:rtl/>
        </w:rPr>
      </w:pPr>
      <w:r>
        <w:rPr>
          <w:rFonts w:cs="Traditional Arabic" w:hint="cs"/>
          <w:szCs w:val="30"/>
          <w:rtl/>
        </w:rPr>
        <w:t>4 -</w:t>
      </w:r>
      <w:r>
        <w:rPr>
          <w:rFonts w:cs="Traditional Arabic" w:hint="cs"/>
          <w:szCs w:val="30"/>
          <w:rtl/>
        </w:rPr>
        <w:tab/>
        <w:t xml:space="preserve">تشكل خيارات السياسات المتعلقة بالإنتاج الزراعي المستدام والتنوع البيولوجي فرصة لاستحداث تكنولوجيا جديدة (بما في ذلك بلازما جينية جديدة) يمكن أن تزيد من </w:t>
      </w:r>
      <w:r w:rsidR="00904961">
        <w:rPr>
          <w:rFonts w:cs="Traditional Arabic" w:hint="cs"/>
          <w:szCs w:val="30"/>
          <w:rtl/>
        </w:rPr>
        <w:t>م</w:t>
      </w:r>
      <w:r>
        <w:rPr>
          <w:rFonts w:cs="Traditional Arabic" w:hint="cs"/>
          <w:szCs w:val="30"/>
          <w:rtl/>
        </w:rPr>
        <w:t xml:space="preserve">قاومة النظم الزراعية وخاصة للاستجابة لتقلبية المناخ وتغيره. وفي نفس الوقت، قد يكون للممارسات الزراعية تأثير على التنوع البيولوجي وخدمات النظم الإيكولوجية التي يوفرها، وسوف يعالج التقييم المقترح هذه </w:t>
      </w:r>
      <w:r w:rsidR="000A1105">
        <w:rPr>
          <w:rFonts w:cs="Traditional Arabic" w:hint="cs"/>
          <w:szCs w:val="30"/>
          <w:rtl/>
        </w:rPr>
        <w:t>الثنائية</w:t>
      </w:r>
      <w:r>
        <w:rPr>
          <w:rFonts w:cs="Traditional Arabic" w:hint="cs"/>
          <w:szCs w:val="30"/>
          <w:rtl/>
        </w:rPr>
        <w:t xml:space="preserve"> بصورة مباشرة.</w:t>
      </w:r>
    </w:p>
    <w:p w:rsidR="002C23FE" w:rsidRPr="002C23FE" w:rsidRDefault="002C23FE" w:rsidP="00022656">
      <w:pPr>
        <w:spacing w:after="120" w:line="400" w:lineRule="exact"/>
        <w:ind w:left="1135" w:hanging="851"/>
        <w:jc w:val="both"/>
        <w:rPr>
          <w:rFonts w:cs="Traditional Arabic" w:hint="cs"/>
          <w:b/>
          <w:bCs/>
          <w:szCs w:val="30"/>
          <w:rtl/>
        </w:rPr>
      </w:pPr>
      <w:r w:rsidRPr="002C23FE">
        <w:rPr>
          <w:rFonts w:cs="Traditional Arabic" w:hint="cs"/>
          <w:b/>
          <w:bCs/>
          <w:szCs w:val="30"/>
          <w:rtl/>
        </w:rPr>
        <w:t>باء -</w:t>
      </w:r>
      <w:r w:rsidRPr="002C23FE">
        <w:rPr>
          <w:rFonts w:cs="Traditional Arabic" w:hint="cs"/>
          <w:b/>
          <w:bCs/>
          <w:szCs w:val="30"/>
          <w:rtl/>
        </w:rPr>
        <w:tab/>
      </w:r>
      <w:r w:rsidR="00060681">
        <w:rPr>
          <w:rFonts w:cs="Traditional Arabic" w:hint="cs"/>
          <w:b/>
          <w:bCs/>
          <w:szCs w:val="30"/>
          <w:rtl/>
        </w:rPr>
        <w:t>السند</w:t>
      </w:r>
      <w:r w:rsidR="00B85EB7">
        <w:rPr>
          <w:rFonts w:cs="Traditional Arabic" w:hint="cs"/>
          <w:b/>
          <w:bCs/>
          <w:szCs w:val="30"/>
          <w:rtl/>
        </w:rPr>
        <w:t xml:space="preserve"> المنطقي</w:t>
      </w:r>
    </w:p>
    <w:p w:rsidR="002C23FE" w:rsidRDefault="002C23FE" w:rsidP="00022656">
      <w:pPr>
        <w:spacing w:after="120" w:line="400" w:lineRule="exact"/>
        <w:ind w:left="1134"/>
        <w:jc w:val="both"/>
        <w:rPr>
          <w:rFonts w:cs="Traditional Arabic" w:hint="cs"/>
          <w:szCs w:val="30"/>
          <w:rtl/>
        </w:rPr>
      </w:pPr>
      <w:r>
        <w:rPr>
          <w:rFonts w:cs="Traditional Arabic" w:hint="cs"/>
          <w:szCs w:val="30"/>
          <w:rtl/>
        </w:rPr>
        <w:t>5 -</w:t>
      </w:r>
      <w:r>
        <w:rPr>
          <w:rFonts w:cs="Traditional Arabic" w:hint="cs"/>
          <w:szCs w:val="30"/>
          <w:rtl/>
        </w:rPr>
        <w:tab/>
        <w:t xml:space="preserve">لا بد من </w:t>
      </w:r>
      <w:r w:rsidR="000A1105">
        <w:rPr>
          <w:rFonts w:cs="Traditional Arabic" w:hint="cs"/>
          <w:szCs w:val="30"/>
          <w:rtl/>
        </w:rPr>
        <w:t>تخفيف</w:t>
      </w:r>
      <w:r>
        <w:rPr>
          <w:rFonts w:cs="Traditional Arabic" w:hint="cs"/>
          <w:szCs w:val="30"/>
          <w:rtl/>
        </w:rPr>
        <w:t xml:space="preserve"> الضغوط على النظم الإيكولوجية الأرضية والمائية لإنتاج الأغذية </w:t>
      </w:r>
      <w:r w:rsidR="00060681">
        <w:rPr>
          <w:rFonts w:cs="Traditional Arabic" w:hint="cs"/>
          <w:szCs w:val="30"/>
          <w:rtl/>
        </w:rPr>
        <w:t>بإتباع</w:t>
      </w:r>
      <w:r>
        <w:rPr>
          <w:rFonts w:cs="Traditional Arabic" w:hint="cs"/>
          <w:szCs w:val="30"/>
          <w:rtl/>
        </w:rPr>
        <w:t xml:space="preserve"> الممارسات التي تحافظ وتقيم خدمات النظم الإيكولوجية التي تأتي من</w:t>
      </w:r>
      <w:r w:rsidR="000A1105">
        <w:rPr>
          <w:rFonts w:cs="Traditional Arabic" w:hint="cs"/>
          <w:szCs w:val="30"/>
          <w:rtl/>
        </w:rPr>
        <w:t xml:space="preserve"> هذه ال</w:t>
      </w:r>
      <w:r>
        <w:rPr>
          <w:rFonts w:cs="Traditional Arabic" w:hint="cs"/>
          <w:szCs w:val="30"/>
          <w:rtl/>
        </w:rPr>
        <w:t xml:space="preserve">نظم </w:t>
      </w:r>
      <w:r w:rsidR="000A1105">
        <w:rPr>
          <w:rFonts w:cs="Traditional Arabic" w:hint="cs"/>
          <w:szCs w:val="30"/>
          <w:rtl/>
        </w:rPr>
        <w:t>الداعمة</w:t>
      </w:r>
      <w:r>
        <w:rPr>
          <w:rFonts w:cs="Traditional Arabic" w:hint="cs"/>
          <w:szCs w:val="30"/>
          <w:rtl/>
        </w:rPr>
        <w:t xml:space="preserve"> </w:t>
      </w:r>
      <w:r w:rsidR="000A1105">
        <w:rPr>
          <w:rFonts w:cs="Traditional Arabic" w:hint="cs"/>
          <w:szCs w:val="30"/>
          <w:rtl/>
        </w:rPr>
        <w:t>ل</w:t>
      </w:r>
      <w:r>
        <w:rPr>
          <w:rFonts w:cs="Traditional Arabic" w:hint="cs"/>
          <w:szCs w:val="30"/>
          <w:rtl/>
        </w:rPr>
        <w:t xml:space="preserve">لحياة. وفي حين </w:t>
      </w:r>
      <w:r w:rsidR="000A1105">
        <w:rPr>
          <w:rFonts w:cs="Traditional Arabic" w:hint="cs"/>
          <w:szCs w:val="30"/>
          <w:rtl/>
        </w:rPr>
        <w:t>لخصت</w:t>
      </w:r>
      <w:r>
        <w:rPr>
          <w:rFonts w:cs="Traditional Arabic" w:hint="cs"/>
          <w:szCs w:val="30"/>
          <w:rtl/>
        </w:rPr>
        <w:t xml:space="preserve"> عمليات التقييم والتقارير حالة المعارف في هذا المجال، فإن هذه المعارف لم تستخدم بصورة كافية </w:t>
      </w:r>
      <w:r w:rsidR="000A1105">
        <w:rPr>
          <w:rFonts w:cs="Traditional Arabic" w:hint="cs"/>
          <w:szCs w:val="30"/>
          <w:rtl/>
        </w:rPr>
        <w:t>مثل</w:t>
      </w:r>
      <w:r w:rsidR="00EA4C7A">
        <w:rPr>
          <w:rFonts w:cs="Traditional Arabic" w:hint="cs"/>
          <w:szCs w:val="30"/>
          <w:rtl/>
        </w:rPr>
        <w:t>اً</w:t>
      </w:r>
      <w:r w:rsidR="000A1105">
        <w:rPr>
          <w:rFonts w:cs="Traditional Arabic" w:hint="cs"/>
          <w:szCs w:val="30"/>
          <w:rtl/>
        </w:rPr>
        <w:t xml:space="preserve"> </w:t>
      </w:r>
      <w:r>
        <w:rPr>
          <w:rFonts w:cs="Traditional Arabic" w:hint="cs"/>
          <w:szCs w:val="30"/>
          <w:rtl/>
        </w:rPr>
        <w:t>لوضع سياسات فعالة. وسوف تضيف عملية التقييم المقترحة قيمة إلى الدراسات الحالية من خلال معالجة مجموعة</w:t>
      </w:r>
      <w:r w:rsidR="000A1105">
        <w:rPr>
          <w:rFonts w:cs="Traditional Arabic" w:hint="cs"/>
          <w:szCs w:val="30"/>
          <w:rtl/>
        </w:rPr>
        <w:t xml:space="preserve"> صغيرة</w:t>
      </w:r>
      <w:r>
        <w:rPr>
          <w:rFonts w:cs="Traditional Arabic" w:hint="cs"/>
          <w:szCs w:val="30"/>
          <w:rtl/>
        </w:rPr>
        <w:t xml:space="preserve"> من السياسات، والأهم من ذلك، </w:t>
      </w:r>
      <w:r w:rsidR="000A1105">
        <w:rPr>
          <w:rFonts w:cs="Traditional Arabic" w:hint="cs"/>
          <w:szCs w:val="30"/>
          <w:rtl/>
        </w:rPr>
        <w:t>توسيع الإعتبارات الخاصة</w:t>
      </w:r>
      <w:r>
        <w:rPr>
          <w:rFonts w:cs="Traditional Arabic" w:hint="cs"/>
          <w:szCs w:val="30"/>
          <w:rtl/>
        </w:rPr>
        <w:t xml:space="preserve"> </w:t>
      </w:r>
      <w:r w:rsidR="000A1105">
        <w:rPr>
          <w:rFonts w:cs="Traditional Arabic" w:hint="cs"/>
          <w:szCs w:val="30"/>
          <w:rtl/>
        </w:rPr>
        <w:t>ب</w:t>
      </w:r>
      <w:r>
        <w:rPr>
          <w:rFonts w:cs="Traditional Arabic" w:hint="cs"/>
          <w:szCs w:val="30"/>
          <w:rtl/>
        </w:rPr>
        <w:t>خدمات النظم الإيكولوجية بالإضافة إلى التنوع البيولوجي.</w:t>
      </w:r>
    </w:p>
    <w:p w:rsidR="002323CD" w:rsidRPr="002C23FE" w:rsidRDefault="002C23FE" w:rsidP="00022656">
      <w:pPr>
        <w:spacing w:after="120" w:line="400" w:lineRule="exact"/>
        <w:ind w:left="1135" w:hanging="851"/>
        <w:jc w:val="both"/>
        <w:rPr>
          <w:rFonts w:cs="Traditional Arabic" w:hint="cs"/>
          <w:b/>
          <w:bCs/>
          <w:szCs w:val="30"/>
          <w:rtl/>
        </w:rPr>
      </w:pPr>
      <w:r w:rsidRPr="002C23FE">
        <w:rPr>
          <w:rFonts w:cs="Traditional Arabic" w:hint="cs"/>
          <w:b/>
          <w:bCs/>
          <w:szCs w:val="30"/>
          <w:rtl/>
        </w:rPr>
        <w:t>جيم -</w:t>
      </w:r>
      <w:r w:rsidRPr="002C23FE">
        <w:rPr>
          <w:rFonts w:cs="Traditional Arabic" w:hint="cs"/>
          <w:b/>
          <w:bCs/>
          <w:szCs w:val="30"/>
          <w:rtl/>
        </w:rPr>
        <w:tab/>
      </w:r>
      <w:r w:rsidR="00060681">
        <w:rPr>
          <w:rFonts w:cs="Traditional Arabic" w:hint="cs"/>
          <w:b/>
          <w:bCs/>
          <w:szCs w:val="30"/>
          <w:rtl/>
        </w:rPr>
        <w:t>الفوائد</w:t>
      </w:r>
    </w:p>
    <w:p w:rsidR="002C23FE" w:rsidRDefault="002C23FE" w:rsidP="00022656">
      <w:pPr>
        <w:spacing w:after="120" w:line="400" w:lineRule="exact"/>
        <w:ind w:left="1134"/>
        <w:jc w:val="both"/>
        <w:rPr>
          <w:rFonts w:cs="Traditional Arabic" w:hint="cs"/>
          <w:szCs w:val="30"/>
          <w:rtl/>
        </w:rPr>
      </w:pPr>
      <w:r>
        <w:rPr>
          <w:rFonts w:cs="Traditional Arabic" w:hint="cs"/>
          <w:szCs w:val="30"/>
          <w:rtl/>
        </w:rPr>
        <w:t>6 -</w:t>
      </w:r>
      <w:r>
        <w:rPr>
          <w:rFonts w:cs="Traditional Arabic" w:hint="cs"/>
          <w:szCs w:val="30"/>
          <w:rtl/>
        </w:rPr>
        <w:tab/>
        <w:t xml:space="preserve">يستعرض تقرير </w:t>
      </w:r>
      <w:r w:rsidR="008705A1">
        <w:rPr>
          <w:rFonts w:cs="Traditional Arabic" w:hint="cs"/>
          <w:szCs w:val="30"/>
          <w:rtl/>
        </w:rPr>
        <w:t>صدر عام</w:t>
      </w:r>
      <w:r>
        <w:rPr>
          <w:rFonts w:cs="Traditional Arabic" w:hint="cs"/>
          <w:szCs w:val="30"/>
          <w:rtl/>
        </w:rPr>
        <w:t xml:space="preserve"> 2011 عن منظمة الأمم المتحدة للأغذية والزراعة </w:t>
      </w:r>
      <w:r w:rsidR="008705A1">
        <w:rPr>
          <w:rFonts w:cs="Traditional Arabic" w:hint="cs"/>
          <w:szCs w:val="30"/>
          <w:rtl/>
        </w:rPr>
        <w:t>بعنوان</w:t>
      </w:r>
      <w:r>
        <w:rPr>
          <w:rFonts w:cs="Traditional Arabic" w:hint="cs"/>
          <w:szCs w:val="30"/>
          <w:rtl/>
        </w:rPr>
        <w:t xml:space="preserve"> </w:t>
      </w:r>
      <w:r w:rsidR="001F3B0C">
        <w:rPr>
          <w:rFonts w:cs="Traditional Arabic" w:hint="cs"/>
          <w:szCs w:val="30"/>
          <w:rtl/>
        </w:rPr>
        <w:t>’’</w:t>
      </w:r>
      <w:r>
        <w:rPr>
          <w:rFonts w:cs="Traditional Arabic" w:hint="cs"/>
          <w:szCs w:val="30"/>
          <w:rtl/>
        </w:rPr>
        <w:t>التنوع البيولوجي لخدمة الأغذية والزراعة</w:t>
      </w:r>
      <w:r w:rsidR="001F3B0C">
        <w:rPr>
          <w:rFonts w:cs="Traditional Arabic" w:hint="cs"/>
          <w:szCs w:val="30"/>
          <w:rtl/>
        </w:rPr>
        <w:t>‘‘</w:t>
      </w:r>
      <w:r>
        <w:rPr>
          <w:rFonts w:cs="Traditional Arabic" w:hint="cs"/>
          <w:szCs w:val="30"/>
          <w:rtl/>
        </w:rPr>
        <w:t xml:space="preserve"> الدراسات التي أجريت بشأن هذا الموضوع والتعقيدات التي ينطوي عليها من منظور بحثي، ويحدد العديد من الاحتياجات السياساتية. وسوف يركز التقييم المقترح على هذه القضايا السياساتية مع</w:t>
      </w:r>
      <w:r w:rsidR="008705A1">
        <w:rPr>
          <w:rFonts w:cs="Traditional Arabic" w:hint="cs"/>
          <w:szCs w:val="30"/>
          <w:rtl/>
        </w:rPr>
        <w:t xml:space="preserve"> إضافة</w:t>
      </w:r>
      <w:r w:rsidR="00EA4C7A">
        <w:rPr>
          <w:rFonts w:cs="Traditional Arabic" w:hint="cs"/>
          <w:szCs w:val="30"/>
          <w:rtl/>
        </w:rPr>
        <w:t xml:space="preserve"> ا</w:t>
      </w:r>
      <w:r w:rsidR="008705A1">
        <w:rPr>
          <w:rFonts w:cs="Traditional Arabic" w:hint="cs"/>
          <w:szCs w:val="30"/>
          <w:rtl/>
        </w:rPr>
        <w:t>ستعراض للقرائن المستخلصة من نظم ال</w:t>
      </w:r>
      <w:r w:rsidR="00EA4C7A">
        <w:rPr>
          <w:rFonts w:cs="Traditional Arabic" w:hint="cs"/>
          <w:szCs w:val="30"/>
          <w:rtl/>
        </w:rPr>
        <w:t>م</w:t>
      </w:r>
      <w:r w:rsidR="008705A1">
        <w:rPr>
          <w:rFonts w:cs="Traditional Arabic" w:hint="cs"/>
          <w:szCs w:val="30"/>
          <w:rtl/>
        </w:rPr>
        <w:t>عارف الأصلية والمحلية و</w:t>
      </w:r>
      <w:r w:rsidR="00EA4C7A">
        <w:rPr>
          <w:rFonts w:cs="Traditional Arabic" w:hint="cs"/>
          <w:szCs w:val="30"/>
          <w:rtl/>
        </w:rPr>
        <w:t xml:space="preserve">مع </w:t>
      </w:r>
      <w:r w:rsidR="008705A1">
        <w:rPr>
          <w:rFonts w:cs="Traditional Arabic" w:hint="cs"/>
          <w:szCs w:val="30"/>
          <w:rtl/>
        </w:rPr>
        <w:t xml:space="preserve">نظرة </w:t>
      </w:r>
      <w:r w:rsidR="001F3B0C">
        <w:rPr>
          <w:rFonts w:cs="Traditional Arabic" w:hint="cs"/>
          <w:szCs w:val="30"/>
          <w:rtl/>
        </w:rPr>
        <w:t>أ</w:t>
      </w:r>
      <w:r w:rsidR="008705A1">
        <w:rPr>
          <w:rFonts w:cs="Traditional Arabic" w:hint="cs"/>
          <w:szCs w:val="30"/>
          <w:rtl/>
        </w:rPr>
        <w:t>كثر وضوحا</w:t>
      </w:r>
      <w:r w:rsidR="00A87FB4">
        <w:rPr>
          <w:rFonts w:cs="Traditional Arabic" w:hint="cs"/>
          <w:szCs w:val="30"/>
          <w:rtl/>
        </w:rPr>
        <w:t>ً</w:t>
      </w:r>
      <w:r w:rsidR="008705A1">
        <w:rPr>
          <w:rFonts w:cs="Traditional Arabic" w:hint="cs"/>
          <w:szCs w:val="30"/>
          <w:rtl/>
        </w:rPr>
        <w:t xml:space="preserve"> </w:t>
      </w:r>
      <w:r>
        <w:rPr>
          <w:rFonts w:cs="Traditional Arabic" w:hint="cs"/>
          <w:szCs w:val="30"/>
          <w:rtl/>
        </w:rPr>
        <w:t>لخدم</w:t>
      </w:r>
      <w:r w:rsidR="008705A1">
        <w:rPr>
          <w:rFonts w:cs="Traditional Arabic" w:hint="cs"/>
          <w:szCs w:val="30"/>
          <w:rtl/>
        </w:rPr>
        <w:t xml:space="preserve">ات </w:t>
      </w:r>
      <w:r>
        <w:rPr>
          <w:rFonts w:cs="Traditional Arabic" w:hint="cs"/>
          <w:szCs w:val="30"/>
          <w:rtl/>
        </w:rPr>
        <w:t xml:space="preserve">النظم الإيكولوجية باستخدام نهج إقليمي، ومن خلال </w:t>
      </w:r>
      <w:r w:rsidR="008705A1">
        <w:rPr>
          <w:rFonts w:cs="Traditional Arabic" w:hint="cs"/>
          <w:szCs w:val="30"/>
          <w:rtl/>
        </w:rPr>
        <w:t>عنصر ال</w:t>
      </w:r>
      <w:r w:rsidR="00940C60">
        <w:rPr>
          <w:rFonts w:cs="Traditional Arabic" w:hint="cs"/>
          <w:szCs w:val="30"/>
          <w:rtl/>
        </w:rPr>
        <w:t>تنقية ل</w:t>
      </w:r>
      <w:r w:rsidR="00F6671A">
        <w:rPr>
          <w:rFonts w:cs="Traditional Arabic" w:hint="cs"/>
          <w:szCs w:val="30"/>
          <w:rtl/>
        </w:rPr>
        <w:t xml:space="preserve">لوظائف الأربع للمنبر الحكومي الدولي: تحديد الثغرات في المعارف، </w:t>
      </w:r>
      <w:r w:rsidR="005E7B2B">
        <w:rPr>
          <w:rFonts w:cs="Traditional Arabic" w:hint="cs"/>
          <w:szCs w:val="30"/>
          <w:rtl/>
        </w:rPr>
        <w:t>ولاحتياجات</w:t>
      </w:r>
      <w:r w:rsidR="00F6671A">
        <w:rPr>
          <w:rFonts w:cs="Traditional Arabic" w:hint="cs"/>
          <w:szCs w:val="30"/>
          <w:rtl/>
        </w:rPr>
        <w:t xml:space="preserve"> </w:t>
      </w:r>
      <w:r w:rsidR="005E7B2B">
        <w:rPr>
          <w:rFonts w:cs="Traditional Arabic" w:hint="cs"/>
          <w:szCs w:val="30"/>
          <w:rtl/>
        </w:rPr>
        <w:t>بناء</w:t>
      </w:r>
      <w:r w:rsidR="00F6671A">
        <w:rPr>
          <w:rFonts w:cs="Traditional Arabic" w:hint="cs"/>
          <w:szCs w:val="30"/>
          <w:rtl/>
        </w:rPr>
        <w:t xml:space="preserve"> القدرات، والروابط مع صانعي القرارات، وتوفير الأدوات والتوجيهات </w:t>
      </w:r>
      <w:r w:rsidR="00060681">
        <w:rPr>
          <w:rFonts w:cs="Traditional Arabic" w:hint="cs"/>
          <w:szCs w:val="30"/>
          <w:rtl/>
        </w:rPr>
        <w:t>لتقرير</w:t>
      </w:r>
      <w:r w:rsidR="00F6671A">
        <w:rPr>
          <w:rFonts w:cs="Traditional Arabic" w:hint="cs"/>
          <w:szCs w:val="30"/>
          <w:rtl/>
        </w:rPr>
        <w:t xml:space="preserve"> السياسات.</w:t>
      </w:r>
    </w:p>
    <w:p w:rsidR="00F6671A" w:rsidRPr="00F6671A" w:rsidRDefault="00B85EB7" w:rsidP="00022656">
      <w:pPr>
        <w:spacing w:before="120" w:after="120" w:line="400" w:lineRule="exact"/>
        <w:ind w:left="1135" w:hanging="851"/>
        <w:jc w:val="both"/>
        <w:rPr>
          <w:rFonts w:cs="Traditional Arabic" w:hint="cs"/>
          <w:b/>
          <w:bCs/>
          <w:sz w:val="32"/>
          <w:szCs w:val="32"/>
          <w:rtl/>
        </w:rPr>
      </w:pPr>
      <w:r>
        <w:rPr>
          <w:rFonts w:cs="Traditional Arabic" w:hint="cs"/>
          <w:b/>
          <w:bCs/>
          <w:sz w:val="32"/>
          <w:szCs w:val="32"/>
          <w:rtl/>
        </w:rPr>
        <w:t>ثالثاً</w:t>
      </w:r>
      <w:r w:rsidR="00F6671A" w:rsidRPr="00F6671A">
        <w:rPr>
          <w:rFonts w:cs="Traditional Arabic" w:hint="cs"/>
          <w:b/>
          <w:bCs/>
          <w:sz w:val="32"/>
          <w:szCs w:val="32"/>
          <w:rtl/>
        </w:rPr>
        <w:t xml:space="preserve"> -</w:t>
      </w:r>
      <w:r w:rsidR="00F6671A" w:rsidRPr="00F6671A">
        <w:rPr>
          <w:rFonts w:cs="Traditional Arabic" w:hint="cs"/>
          <w:b/>
          <w:bCs/>
          <w:sz w:val="32"/>
          <w:szCs w:val="32"/>
          <w:rtl/>
        </w:rPr>
        <w:tab/>
        <w:t>مخطط الفصول</w:t>
      </w:r>
    </w:p>
    <w:p w:rsidR="00F6671A" w:rsidRDefault="00F6671A" w:rsidP="00022656">
      <w:pPr>
        <w:spacing w:after="120" w:line="400" w:lineRule="exact"/>
        <w:ind w:left="1134"/>
        <w:jc w:val="both"/>
        <w:rPr>
          <w:rFonts w:cs="Traditional Arabic" w:hint="cs"/>
          <w:szCs w:val="30"/>
          <w:rtl/>
        </w:rPr>
      </w:pPr>
      <w:r>
        <w:rPr>
          <w:rFonts w:cs="Traditional Arabic" w:hint="cs"/>
          <w:szCs w:val="30"/>
          <w:rtl/>
        </w:rPr>
        <w:t>7 -</w:t>
      </w:r>
      <w:r>
        <w:rPr>
          <w:rFonts w:cs="Traditional Arabic" w:hint="cs"/>
          <w:szCs w:val="30"/>
          <w:rtl/>
        </w:rPr>
        <w:tab/>
        <w:t>من المتوخى تقديم التقييم المواضيعي المقترح في تقرير يضم تسعة فصول</w:t>
      </w:r>
      <w:r w:rsidR="00B85EB7">
        <w:rPr>
          <w:rFonts w:cs="Traditional Arabic" w:hint="cs"/>
          <w:szCs w:val="30"/>
          <w:rtl/>
        </w:rPr>
        <w:t xml:space="preserve"> على النحو المبين أدناه:</w:t>
      </w:r>
    </w:p>
    <w:p w:rsidR="00F6671A" w:rsidRDefault="00F6671A" w:rsidP="00022656">
      <w:pPr>
        <w:spacing w:after="120" w:line="400" w:lineRule="exact"/>
        <w:ind w:left="1134"/>
        <w:jc w:val="both"/>
        <w:rPr>
          <w:rFonts w:cs="Traditional Arabic" w:hint="cs"/>
          <w:szCs w:val="30"/>
          <w:rtl/>
        </w:rPr>
      </w:pPr>
      <w:r>
        <w:rPr>
          <w:rFonts w:cs="Traditional Arabic" w:hint="cs"/>
          <w:szCs w:val="30"/>
          <w:rtl/>
        </w:rPr>
        <w:lastRenderedPageBreak/>
        <w:t>8 -</w:t>
      </w:r>
      <w:r>
        <w:rPr>
          <w:rFonts w:cs="Traditional Arabic" w:hint="cs"/>
          <w:szCs w:val="30"/>
          <w:rtl/>
        </w:rPr>
        <w:tab/>
      </w:r>
      <w:r w:rsidR="00E41CC2">
        <w:rPr>
          <w:rFonts w:cs="Traditional Arabic" w:hint="cs"/>
          <w:szCs w:val="30"/>
          <w:rtl/>
        </w:rPr>
        <w:t xml:space="preserve">يقدم الفصل </w:t>
      </w:r>
      <w:r w:rsidR="00060681">
        <w:rPr>
          <w:rFonts w:cs="Traditional Arabic" w:hint="cs"/>
          <w:szCs w:val="30"/>
          <w:rtl/>
        </w:rPr>
        <w:t>1</w:t>
      </w:r>
      <w:r w:rsidR="00E41CC2">
        <w:rPr>
          <w:rFonts w:cs="Traditional Arabic" w:hint="cs"/>
          <w:szCs w:val="30"/>
          <w:rtl/>
        </w:rPr>
        <w:t xml:space="preserve"> المفاهيم ذات الصلة </w:t>
      </w:r>
      <w:r w:rsidR="00940C60">
        <w:rPr>
          <w:rFonts w:cs="Traditional Arabic" w:hint="cs"/>
          <w:szCs w:val="30"/>
          <w:rtl/>
        </w:rPr>
        <w:t>فضلا</w:t>
      </w:r>
      <w:r w:rsidR="00C47FEC">
        <w:rPr>
          <w:rFonts w:cs="Traditional Arabic" w:hint="cs"/>
          <w:szCs w:val="30"/>
          <w:rtl/>
        </w:rPr>
        <w:t>ً</w:t>
      </w:r>
      <w:r w:rsidR="00940C60">
        <w:rPr>
          <w:rFonts w:cs="Traditional Arabic" w:hint="cs"/>
          <w:szCs w:val="30"/>
          <w:rtl/>
        </w:rPr>
        <w:t xml:space="preserve"> عن </w:t>
      </w:r>
      <w:r w:rsidR="00E41CC2">
        <w:rPr>
          <w:rFonts w:cs="Traditional Arabic" w:hint="cs"/>
          <w:szCs w:val="30"/>
          <w:rtl/>
        </w:rPr>
        <w:t xml:space="preserve">عرض عام موجز لحالة التقدم في مختلف نظم المعرفة ومختلف نظم الإنتاج المستخدمة في أرجاء العالم. </w:t>
      </w:r>
      <w:r w:rsidR="00940C60">
        <w:rPr>
          <w:rFonts w:cs="Traditional Arabic" w:hint="cs"/>
          <w:szCs w:val="30"/>
          <w:rtl/>
        </w:rPr>
        <w:t>وسيتناول</w:t>
      </w:r>
      <w:r w:rsidR="00E41CC2">
        <w:rPr>
          <w:rFonts w:cs="Traditional Arabic" w:hint="cs"/>
          <w:szCs w:val="30"/>
          <w:rtl/>
        </w:rPr>
        <w:t xml:space="preserve"> نظم زراعة النباتات وتربية الحيوانات</w:t>
      </w:r>
      <w:r w:rsidR="00EA4C7A">
        <w:rPr>
          <w:rFonts w:cs="Traditional Arabic" w:hint="cs"/>
          <w:szCs w:val="30"/>
          <w:rtl/>
        </w:rPr>
        <w:t>،</w:t>
      </w:r>
      <w:r w:rsidR="00E41CC2">
        <w:rPr>
          <w:rFonts w:cs="Traditional Arabic" w:hint="cs"/>
          <w:szCs w:val="30"/>
          <w:rtl/>
        </w:rPr>
        <w:t xml:space="preserve"> بما في ذلك تربية الأحياء المائية.</w:t>
      </w:r>
    </w:p>
    <w:p w:rsidR="00E41CC2" w:rsidRDefault="00E41CC2" w:rsidP="00022656">
      <w:pPr>
        <w:spacing w:after="120" w:line="400" w:lineRule="exact"/>
        <w:ind w:left="1134"/>
        <w:jc w:val="both"/>
        <w:rPr>
          <w:rFonts w:cs="Traditional Arabic" w:hint="cs"/>
          <w:szCs w:val="30"/>
          <w:rtl/>
        </w:rPr>
      </w:pPr>
      <w:r>
        <w:rPr>
          <w:rFonts w:cs="Traditional Arabic" w:hint="cs"/>
          <w:szCs w:val="30"/>
          <w:rtl/>
        </w:rPr>
        <w:t>9 -</w:t>
      </w:r>
      <w:r>
        <w:rPr>
          <w:rFonts w:cs="Traditional Arabic" w:hint="cs"/>
          <w:szCs w:val="30"/>
          <w:rtl/>
        </w:rPr>
        <w:tab/>
        <w:t xml:space="preserve">ويتناول الفصل </w:t>
      </w:r>
      <w:r w:rsidR="00060681">
        <w:rPr>
          <w:rFonts w:cs="Traditional Arabic" w:hint="cs"/>
          <w:szCs w:val="30"/>
          <w:rtl/>
        </w:rPr>
        <w:t>2</w:t>
      </w:r>
      <w:r>
        <w:rPr>
          <w:rFonts w:cs="Traditional Arabic" w:hint="cs"/>
          <w:szCs w:val="30"/>
          <w:rtl/>
        </w:rPr>
        <w:t xml:space="preserve"> العلاقة بين إنتاج الأغذية وخدمات النظم الإيكولوجية من حيث حالات التآزر والتنافس. وسيحدث بعض التداخل في هذا الفصل مع التقييم المواضيعي المقترح بشأن تدهور الأراضي واستصلاحها </w:t>
      </w:r>
      <w:r w:rsidR="005E7B2B" w:rsidRPr="00B22664">
        <w:rPr>
          <w:rFonts w:cs="Times New Roman"/>
          <w:sz w:val="20"/>
          <w:szCs w:val="20"/>
          <w:rtl/>
        </w:rPr>
        <w:t>(</w:t>
      </w:r>
      <w:r w:rsidR="00B85EB7">
        <w:rPr>
          <w:rFonts w:cs="Traditional Arabic" w:hint="cs"/>
          <w:szCs w:val="30"/>
          <w:rtl/>
        </w:rPr>
        <w:t xml:space="preserve">أنظر </w:t>
      </w:r>
      <w:r w:rsidRPr="00762016">
        <w:rPr>
          <w:sz w:val="20"/>
          <w:szCs w:val="20"/>
          <w:lang w:val="en-GB"/>
        </w:rPr>
        <w:t>(IPBES/2/16/Add.</w:t>
      </w:r>
      <w:r>
        <w:rPr>
          <w:sz w:val="20"/>
          <w:szCs w:val="20"/>
          <w:lang w:val="en-GB"/>
        </w:rPr>
        <w:t>2</w:t>
      </w:r>
      <w:r w:rsidR="00940C60">
        <w:rPr>
          <w:rFonts w:cs="Traditional Arabic" w:hint="cs"/>
          <w:szCs w:val="30"/>
          <w:rtl/>
        </w:rPr>
        <w:t>،</w:t>
      </w:r>
      <w:r w:rsidR="00C47FEC">
        <w:rPr>
          <w:rFonts w:cs="Traditional Arabic" w:hint="cs"/>
          <w:szCs w:val="30"/>
          <w:rtl/>
        </w:rPr>
        <w:t xml:space="preserve"> </w:t>
      </w:r>
      <w:r>
        <w:rPr>
          <w:rFonts w:cs="Traditional Arabic" w:hint="cs"/>
          <w:szCs w:val="30"/>
          <w:rtl/>
        </w:rPr>
        <w:t>والتقييم المقترح ب</w:t>
      </w:r>
      <w:r w:rsidR="00EA4C7A">
        <w:rPr>
          <w:rFonts w:cs="Traditional Arabic" w:hint="cs"/>
          <w:szCs w:val="30"/>
          <w:rtl/>
        </w:rPr>
        <w:t>أ</w:t>
      </w:r>
      <w:r>
        <w:rPr>
          <w:rFonts w:cs="Traditional Arabic" w:hint="cs"/>
          <w:szCs w:val="30"/>
          <w:rtl/>
        </w:rPr>
        <w:t xml:space="preserve">سلوب المسار السريع </w:t>
      </w:r>
      <w:r w:rsidR="00EA4C7A">
        <w:rPr>
          <w:rFonts w:cs="Traditional Arabic" w:hint="cs"/>
          <w:szCs w:val="30"/>
          <w:rtl/>
        </w:rPr>
        <w:t>للتلقيح</w:t>
      </w:r>
      <w:r>
        <w:rPr>
          <w:rFonts w:cs="Traditional Arabic" w:hint="cs"/>
          <w:szCs w:val="30"/>
          <w:rtl/>
        </w:rPr>
        <w:t xml:space="preserve"> وإنتاج الأغذية </w:t>
      </w:r>
      <w:r w:rsidR="005E7B2B" w:rsidRPr="00B22664">
        <w:rPr>
          <w:rFonts w:cs="Times New Roman"/>
          <w:sz w:val="20"/>
          <w:szCs w:val="20"/>
          <w:rtl/>
        </w:rPr>
        <w:t>(</w:t>
      </w:r>
      <w:r w:rsidR="003422C0">
        <w:rPr>
          <w:rFonts w:cs="Traditional Arabic" w:hint="cs"/>
          <w:szCs w:val="30"/>
          <w:rtl/>
        </w:rPr>
        <w:t>ا</w:t>
      </w:r>
      <w:r w:rsidR="00B85EB7">
        <w:rPr>
          <w:rFonts w:cs="Traditional Arabic" w:hint="cs"/>
          <w:szCs w:val="30"/>
          <w:rtl/>
        </w:rPr>
        <w:t xml:space="preserve">نظر </w:t>
      </w:r>
      <w:r w:rsidRPr="00762016">
        <w:rPr>
          <w:sz w:val="20"/>
          <w:szCs w:val="20"/>
          <w:lang w:val="en-GB"/>
        </w:rPr>
        <w:t>(IPBES/2/16/Add.</w:t>
      </w:r>
      <w:r>
        <w:rPr>
          <w:sz w:val="20"/>
          <w:szCs w:val="20"/>
          <w:lang w:val="en-GB"/>
        </w:rPr>
        <w:t>1</w:t>
      </w:r>
      <w:r>
        <w:rPr>
          <w:rFonts w:cs="Traditional Arabic" w:hint="cs"/>
          <w:szCs w:val="30"/>
          <w:rtl/>
        </w:rPr>
        <w:t>.</w:t>
      </w:r>
    </w:p>
    <w:p w:rsidR="002323CD" w:rsidRDefault="00E41CC2" w:rsidP="003609A9">
      <w:pPr>
        <w:spacing w:after="120" w:line="400" w:lineRule="exact"/>
        <w:ind w:left="1134"/>
        <w:jc w:val="both"/>
        <w:rPr>
          <w:rFonts w:cs="Traditional Arabic" w:hint="cs"/>
          <w:szCs w:val="30"/>
          <w:rtl/>
        </w:rPr>
      </w:pPr>
      <w:r>
        <w:rPr>
          <w:rFonts w:cs="Traditional Arabic" w:hint="cs"/>
          <w:szCs w:val="30"/>
          <w:rtl/>
        </w:rPr>
        <w:t>10 -</w:t>
      </w:r>
      <w:r>
        <w:rPr>
          <w:rFonts w:cs="Traditional Arabic" w:hint="cs"/>
          <w:szCs w:val="30"/>
          <w:rtl/>
        </w:rPr>
        <w:tab/>
      </w:r>
      <w:r w:rsidR="00940C60">
        <w:rPr>
          <w:rFonts w:cs="Traditional Arabic" w:hint="cs"/>
          <w:szCs w:val="30"/>
          <w:rtl/>
        </w:rPr>
        <w:t>ويعالج</w:t>
      </w:r>
      <w:r>
        <w:rPr>
          <w:rFonts w:cs="Traditional Arabic" w:hint="cs"/>
          <w:szCs w:val="30"/>
          <w:rtl/>
        </w:rPr>
        <w:t xml:space="preserve"> الفصل </w:t>
      </w:r>
      <w:r w:rsidR="00060681">
        <w:rPr>
          <w:rFonts w:cs="Traditional Arabic" w:hint="cs"/>
          <w:szCs w:val="30"/>
          <w:rtl/>
        </w:rPr>
        <w:t>3</w:t>
      </w:r>
      <w:r>
        <w:rPr>
          <w:rFonts w:cs="Traditional Arabic" w:hint="cs"/>
          <w:szCs w:val="30"/>
          <w:rtl/>
        </w:rPr>
        <w:t xml:space="preserve"> دور تنظيم خدمات النظم الإيكولوجية في الأمن الغذائي</w:t>
      </w:r>
      <w:r w:rsidR="00EA4C7A">
        <w:rPr>
          <w:rFonts w:cs="Traditional Arabic" w:hint="cs"/>
          <w:szCs w:val="30"/>
          <w:rtl/>
        </w:rPr>
        <w:t>،</w:t>
      </w:r>
      <w:r>
        <w:rPr>
          <w:rFonts w:cs="Traditional Arabic" w:hint="cs"/>
          <w:szCs w:val="30"/>
          <w:rtl/>
        </w:rPr>
        <w:t xml:space="preserve"> بما في ذلك الصلات مع التنوع البيولوجي، وسياق المناظر الطبيعية، ونوعية المياه وكميتها، والصحة، والاقتصاد والأبعاد الاجتماعية. وسوف تشمل المواضيع التي ستناقش التلقيح (وهي المناقشات التي سو</w:t>
      </w:r>
      <w:r w:rsidR="00EA4C7A">
        <w:rPr>
          <w:rFonts w:cs="Traditional Arabic" w:hint="cs"/>
          <w:szCs w:val="30"/>
          <w:rtl/>
        </w:rPr>
        <w:t>ف</w:t>
      </w:r>
      <w:r>
        <w:rPr>
          <w:rFonts w:cs="Traditional Arabic" w:hint="cs"/>
          <w:szCs w:val="30"/>
          <w:rtl/>
        </w:rPr>
        <w:t xml:space="preserve"> تتداخل مع التقييم بأسلوب المسار السريع للتلقيح وإنتاج الأغذية </w:t>
      </w:r>
      <w:r w:rsidR="005E7B2B" w:rsidRPr="005E7B2B">
        <w:rPr>
          <w:rFonts w:cs="Traditional Arabic"/>
          <w:sz w:val="20"/>
          <w:szCs w:val="20"/>
          <w:lang w:val="en-GB"/>
        </w:rPr>
        <w:t>)</w:t>
      </w:r>
      <w:r w:rsidR="003422C0">
        <w:rPr>
          <w:rFonts w:cs="Traditional Arabic" w:hint="cs"/>
          <w:szCs w:val="30"/>
          <w:rtl/>
        </w:rPr>
        <w:t>ا</w:t>
      </w:r>
      <w:r w:rsidR="00B85EB7">
        <w:rPr>
          <w:rFonts w:cs="Traditional Arabic" w:hint="cs"/>
          <w:szCs w:val="30"/>
          <w:rtl/>
        </w:rPr>
        <w:t xml:space="preserve">نظر </w:t>
      </w:r>
      <w:r w:rsidRPr="00762016">
        <w:rPr>
          <w:sz w:val="20"/>
          <w:szCs w:val="20"/>
          <w:lang w:val="en-GB"/>
        </w:rPr>
        <w:t>(IPBES/2/16/Add.1</w:t>
      </w:r>
      <w:r>
        <w:rPr>
          <w:rFonts w:cs="Traditional Arabic" w:hint="cs"/>
          <w:szCs w:val="30"/>
          <w:rtl/>
        </w:rPr>
        <w:t xml:space="preserve">، وأهمية خدمات النظم الإيكولوجية، ومحركات التنوع البيولوجي </w:t>
      </w:r>
      <w:r w:rsidRPr="00C47FEC">
        <w:rPr>
          <w:rFonts w:cs="Traditional Arabic" w:hint="cs"/>
          <w:szCs w:val="30"/>
          <w:rtl/>
        </w:rPr>
        <w:t>(الحاجة إلى النحل البري أكثر</w:t>
      </w:r>
      <w:r>
        <w:rPr>
          <w:rFonts w:cs="Traditional Arabic" w:hint="cs"/>
          <w:szCs w:val="30"/>
          <w:rtl/>
        </w:rPr>
        <w:t xml:space="preserve"> من الحاجة إلى نحل العسل)، والقضايا الاقتصادية، ودور الملقحات في المجتمع الريفي. </w:t>
      </w:r>
      <w:r w:rsidR="00940C60">
        <w:rPr>
          <w:rFonts w:cs="Traditional Arabic" w:hint="cs"/>
          <w:szCs w:val="30"/>
          <w:rtl/>
        </w:rPr>
        <w:t>وتعتبر</w:t>
      </w:r>
      <w:r>
        <w:rPr>
          <w:rFonts w:cs="Traditional Arabic" w:hint="cs"/>
          <w:szCs w:val="30"/>
          <w:rtl/>
        </w:rPr>
        <w:t xml:space="preserve"> المكافحة البيولوجية وتحلل التربة خدمات هامة أخرى ستجرى مناقشتها</w:t>
      </w:r>
      <w:r w:rsidR="006A6A02">
        <w:rPr>
          <w:rFonts w:cs="Traditional Arabic" w:hint="cs"/>
          <w:szCs w:val="30"/>
          <w:rtl/>
        </w:rPr>
        <w:t>.</w:t>
      </w:r>
    </w:p>
    <w:p w:rsidR="006A6A02" w:rsidRDefault="006A6A02" w:rsidP="00022656">
      <w:pPr>
        <w:spacing w:after="120" w:line="400" w:lineRule="exact"/>
        <w:ind w:left="1134"/>
        <w:jc w:val="both"/>
        <w:rPr>
          <w:rFonts w:cs="Traditional Arabic" w:hint="cs"/>
          <w:szCs w:val="30"/>
          <w:rtl/>
        </w:rPr>
      </w:pPr>
      <w:r>
        <w:rPr>
          <w:rFonts w:cs="Traditional Arabic" w:hint="cs"/>
          <w:szCs w:val="30"/>
          <w:rtl/>
        </w:rPr>
        <w:t>11 -</w:t>
      </w:r>
      <w:r>
        <w:rPr>
          <w:rFonts w:cs="Traditional Arabic" w:hint="cs"/>
          <w:szCs w:val="30"/>
          <w:rtl/>
        </w:rPr>
        <w:tab/>
        <w:t xml:space="preserve">ويفحص الفصل </w:t>
      </w:r>
      <w:r w:rsidR="00060681">
        <w:rPr>
          <w:rFonts w:cs="Traditional Arabic" w:hint="cs"/>
          <w:szCs w:val="30"/>
          <w:rtl/>
        </w:rPr>
        <w:t>4</w:t>
      </w:r>
      <w:r>
        <w:rPr>
          <w:rFonts w:cs="Traditional Arabic" w:hint="cs"/>
          <w:szCs w:val="30"/>
          <w:rtl/>
        </w:rPr>
        <w:t xml:space="preserve"> دوافع التك</w:t>
      </w:r>
      <w:r w:rsidR="00940C60">
        <w:rPr>
          <w:rFonts w:cs="Traditional Arabic" w:hint="cs"/>
          <w:szCs w:val="30"/>
          <w:rtl/>
        </w:rPr>
        <w:t>ث</w:t>
      </w:r>
      <w:r>
        <w:rPr>
          <w:rFonts w:cs="Traditional Arabic" w:hint="cs"/>
          <w:szCs w:val="30"/>
          <w:rtl/>
        </w:rPr>
        <w:t>يف الزراعي، واستخدام ال</w:t>
      </w:r>
      <w:r w:rsidR="00C47FEC">
        <w:rPr>
          <w:rFonts w:cs="Traditional Arabic" w:hint="cs"/>
          <w:szCs w:val="30"/>
          <w:rtl/>
        </w:rPr>
        <w:t>أ</w:t>
      </w:r>
      <w:r>
        <w:rPr>
          <w:rFonts w:cs="Traditional Arabic" w:hint="cs"/>
          <w:szCs w:val="30"/>
          <w:rtl/>
        </w:rPr>
        <w:t>راضي</w:t>
      </w:r>
      <w:r w:rsidR="00EA4C7A">
        <w:rPr>
          <w:rFonts w:cs="Traditional Arabic" w:hint="cs"/>
          <w:szCs w:val="30"/>
          <w:rtl/>
        </w:rPr>
        <w:t>،</w:t>
      </w:r>
      <w:r>
        <w:rPr>
          <w:rFonts w:cs="Traditional Arabic" w:hint="cs"/>
          <w:szCs w:val="30"/>
          <w:rtl/>
        </w:rPr>
        <w:t xml:space="preserve"> بما في ذلك </w:t>
      </w:r>
      <w:r w:rsidR="00940C60">
        <w:rPr>
          <w:rFonts w:cs="Traditional Arabic" w:hint="cs"/>
          <w:szCs w:val="30"/>
          <w:rtl/>
        </w:rPr>
        <w:t>الصلات</w:t>
      </w:r>
      <w:r>
        <w:rPr>
          <w:rFonts w:cs="Traditional Arabic" w:hint="cs"/>
          <w:szCs w:val="30"/>
          <w:rtl/>
        </w:rPr>
        <w:t xml:space="preserve"> بين الريف والحضر، وحيازة الأراضي، والطلبات المتغيرة، والتجارة الدولية وتأثيراتها المحتملة على خدمات النظم الإيكولوجية. وسيدرج دور وأهمية تربية الأحياء المائية مع دراسة نظم المياه العذبة والبحرية. </w:t>
      </w:r>
      <w:r w:rsidR="00940C60">
        <w:rPr>
          <w:rFonts w:cs="Traditional Arabic" w:hint="cs"/>
          <w:szCs w:val="30"/>
          <w:rtl/>
        </w:rPr>
        <w:t>وسيجرى فحص</w:t>
      </w:r>
      <w:r>
        <w:rPr>
          <w:rFonts w:cs="Traditional Arabic" w:hint="cs"/>
          <w:szCs w:val="30"/>
          <w:rtl/>
        </w:rPr>
        <w:t xml:space="preserve"> ذلك على المستوى الإقليمي.</w:t>
      </w:r>
    </w:p>
    <w:p w:rsidR="006A6A02" w:rsidRDefault="006A6A02" w:rsidP="00022656">
      <w:pPr>
        <w:spacing w:after="120" w:line="400" w:lineRule="exact"/>
        <w:ind w:left="1134"/>
        <w:jc w:val="both"/>
        <w:rPr>
          <w:rFonts w:cs="Traditional Arabic" w:hint="cs"/>
          <w:szCs w:val="30"/>
          <w:rtl/>
        </w:rPr>
      </w:pPr>
      <w:r>
        <w:rPr>
          <w:rFonts w:cs="Traditional Arabic" w:hint="cs"/>
          <w:szCs w:val="30"/>
          <w:rtl/>
        </w:rPr>
        <w:t>12 -</w:t>
      </w:r>
      <w:r>
        <w:rPr>
          <w:rFonts w:cs="Traditional Arabic" w:hint="cs"/>
          <w:szCs w:val="30"/>
          <w:rtl/>
        </w:rPr>
        <w:tab/>
      </w:r>
      <w:r w:rsidR="00940C60">
        <w:rPr>
          <w:rFonts w:cs="Traditional Arabic" w:hint="cs"/>
          <w:szCs w:val="30"/>
          <w:rtl/>
        </w:rPr>
        <w:t>وينظر</w:t>
      </w:r>
      <w:r>
        <w:rPr>
          <w:rFonts w:cs="Traditional Arabic" w:hint="cs"/>
          <w:szCs w:val="30"/>
          <w:rtl/>
        </w:rPr>
        <w:t xml:space="preserve"> الفصل </w:t>
      </w:r>
      <w:r w:rsidR="00060681">
        <w:rPr>
          <w:rFonts w:cs="Traditional Arabic" w:hint="cs"/>
          <w:szCs w:val="30"/>
          <w:rtl/>
        </w:rPr>
        <w:t>5</w:t>
      </w:r>
      <w:r>
        <w:rPr>
          <w:rFonts w:cs="Traditional Arabic" w:hint="cs"/>
          <w:szCs w:val="30"/>
          <w:rtl/>
        </w:rPr>
        <w:t xml:space="preserve"> في الجوانب الاجتماعية الاقتصادية لخدمات النظم الإيكولوجية قيد المناقشة، بما في ذلك كيفية المحافظة على المجتمعات الريفية والأصلية ومعارفها لفائدة الأجيال القادمة وكيفية إسهام خدمات النظم الإيكولوجية الثقافية (مثل </w:t>
      </w:r>
      <w:r w:rsidR="000F70E3">
        <w:rPr>
          <w:rFonts w:cs="Traditional Arabic" w:hint="cs"/>
          <w:szCs w:val="30"/>
          <w:rtl/>
        </w:rPr>
        <w:t>تعلق</w:t>
      </w:r>
      <w:r>
        <w:rPr>
          <w:rFonts w:cs="Traditional Arabic" w:hint="cs"/>
          <w:szCs w:val="30"/>
          <w:rtl/>
        </w:rPr>
        <w:t xml:space="preserve"> الناس بالأراضي وأنواعها) في المجتمعات الريفية المستدامة.</w:t>
      </w:r>
    </w:p>
    <w:p w:rsidR="006A6A02" w:rsidRDefault="006A6A02" w:rsidP="00022656">
      <w:pPr>
        <w:spacing w:after="120" w:line="400" w:lineRule="exact"/>
        <w:ind w:left="1134"/>
        <w:jc w:val="both"/>
        <w:rPr>
          <w:rFonts w:cs="Traditional Arabic" w:hint="cs"/>
          <w:szCs w:val="30"/>
          <w:rtl/>
        </w:rPr>
      </w:pPr>
      <w:r>
        <w:rPr>
          <w:rFonts w:cs="Traditional Arabic" w:hint="cs"/>
          <w:szCs w:val="30"/>
          <w:rtl/>
        </w:rPr>
        <w:t>13 -</w:t>
      </w:r>
      <w:r>
        <w:rPr>
          <w:rFonts w:cs="Traditional Arabic" w:hint="cs"/>
          <w:szCs w:val="30"/>
          <w:rtl/>
        </w:rPr>
        <w:tab/>
        <w:t xml:space="preserve">ويناقش الفصل </w:t>
      </w:r>
      <w:r w:rsidR="00060681">
        <w:rPr>
          <w:rFonts w:cs="Traditional Arabic" w:hint="cs"/>
          <w:szCs w:val="30"/>
          <w:rtl/>
        </w:rPr>
        <w:t>6</w:t>
      </w:r>
      <w:r>
        <w:rPr>
          <w:rFonts w:cs="Traditional Arabic" w:hint="cs"/>
          <w:szCs w:val="30"/>
          <w:rtl/>
        </w:rPr>
        <w:t xml:space="preserve"> التعايش مع عدم اليقين الذي يفرضه تغير المناخ العالمي، والتكيف والتخفيف </w:t>
      </w:r>
      <w:r w:rsidR="000F70E3">
        <w:rPr>
          <w:rFonts w:cs="Traditional Arabic" w:hint="cs"/>
          <w:szCs w:val="30"/>
          <w:rtl/>
        </w:rPr>
        <w:t>فيما يتعلق</w:t>
      </w:r>
      <w:r>
        <w:rPr>
          <w:rFonts w:cs="Traditional Arabic" w:hint="cs"/>
          <w:szCs w:val="30"/>
          <w:rtl/>
        </w:rPr>
        <w:t xml:space="preserve"> </w:t>
      </w:r>
      <w:r w:rsidR="000F70E3">
        <w:rPr>
          <w:rFonts w:cs="Traditional Arabic" w:hint="cs"/>
          <w:szCs w:val="30"/>
          <w:rtl/>
        </w:rPr>
        <w:t>ب</w:t>
      </w:r>
      <w:r>
        <w:rPr>
          <w:rFonts w:cs="Traditional Arabic" w:hint="cs"/>
          <w:szCs w:val="30"/>
          <w:rtl/>
        </w:rPr>
        <w:t>المخاطر في النظم الزراعية.</w:t>
      </w:r>
    </w:p>
    <w:p w:rsidR="006A6A02" w:rsidRDefault="006A6A02" w:rsidP="00022656">
      <w:pPr>
        <w:spacing w:after="120" w:line="400" w:lineRule="exact"/>
        <w:ind w:left="1134"/>
        <w:jc w:val="both"/>
        <w:rPr>
          <w:rFonts w:cs="Traditional Arabic" w:hint="cs"/>
          <w:szCs w:val="30"/>
          <w:rtl/>
        </w:rPr>
      </w:pPr>
      <w:r>
        <w:rPr>
          <w:rFonts w:cs="Traditional Arabic" w:hint="cs"/>
          <w:szCs w:val="30"/>
          <w:rtl/>
        </w:rPr>
        <w:t>14 -</w:t>
      </w:r>
      <w:r>
        <w:rPr>
          <w:rFonts w:cs="Traditional Arabic" w:hint="cs"/>
          <w:szCs w:val="30"/>
          <w:rtl/>
        </w:rPr>
        <w:tab/>
        <w:t xml:space="preserve">ويفحص الفصل </w:t>
      </w:r>
      <w:r w:rsidR="00060681">
        <w:rPr>
          <w:rFonts w:cs="Traditional Arabic" w:hint="cs"/>
          <w:szCs w:val="30"/>
          <w:rtl/>
        </w:rPr>
        <w:t>7</w:t>
      </w:r>
      <w:r>
        <w:rPr>
          <w:rFonts w:cs="Traditional Arabic" w:hint="cs"/>
          <w:szCs w:val="30"/>
          <w:rtl/>
        </w:rPr>
        <w:t xml:space="preserve"> </w:t>
      </w:r>
      <w:r w:rsidR="000F70E3">
        <w:rPr>
          <w:rFonts w:cs="Traditional Arabic" w:hint="cs"/>
          <w:szCs w:val="30"/>
          <w:rtl/>
        </w:rPr>
        <w:t>ال</w:t>
      </w:r>
      <w:r>
        <w:rPr>
          <w:rFonts w:cs="Traditional Arabic" w:hint="cs"/>
          <w:szCs w:val="30"/>
          <w:rtl/>
        </w:rPr>
        <w:t>آفاق</w:t>
      </w:r>
      <w:r w:rsidR="000F70E3">
        <w:rPr>
          <w:rFonts w:cs="Traditional Arabic" w:hint="cs"/>
          <w:szCs w:val="30"/>
          <w:rtl/>
        </w:rPr>
        <w:t xml:space="preserve"> الواعدة فى</w:t>
      </w:r>
      <w:r>
        <w:rPr>
          <w:rFonts w:cs="Traditional Arabic" w:hint="cs"/>
          <w:szCs w:val="30"/>
          <w:rtl/>
        </w:rPr>
        <w:t xml:space="preserve"> النهج الجديدة، بما في ذلك دون أن يقتصر عليها، ترتيب فترات السنتين وتثبيت النيتروجين. وسوف يشمل ذلك وضع مفهوم لسوق خدمات النظم الإيكولوجية الذي يمكن لمالك الأراضي/المزارع أن يصل إليها لزيادة قيمة أنشطته أو أنشطتها. ويتعين وضع </w:t>
      </w:r>
      <w:r w:rsidR="000F70E3">
        <w:rPr>
          <w:rFonts w:cs="Traditional Arabic" w:hint="cs"/>
          <w:szCs w:val="30"/>
          <w:rtl/>
        </w:rPr>
        <w:t>وسائل</w:t>
      </w:r>
      <w:r>
        <w:rPr>
          <w:rFonts w:cs="Traditional Arabic" w:hint="cs"/>
          <w:szCs w:val="30"/>
          <w:rtl/>
        </w:rPr>
        <w:t xml:space="preserve"> </w:t>
      </w:r>
      <w:r w:rsidR="00B16B54">
        <w:rPr>
          <w:rFonts w:cs="Traditional Arabic" w:hint="cs"/>
          <w:szCs w:val="30"/>
          <w:rtl/>
        </w:rPr>
        <w:t xml:space="preserve">أخرى مثل النهوض بنظم الرقابة والتنظيم والحوافز، وإلغاء الحوافز </w:t>
      </w:r>
      <w:r w:rsidR="000F70E3">
        <w:rPr>
          <w:rFonts w:cs="Traditional Arabic" w:hint="cs"/>
          <w:szCs w:val="30"/>
          <w:rtl/>
        </w:rPr>
        <w:t>فضلا</w:t>
      </w:r>
      <w:r w:rsidR="00C47FEC">
        <w:rPr>
          <w:rFonts w:cs="Traditional Arabic" w:hint="cs"/>
          <w:szCs w:val="30"/>
          <w:rtl/>
        </w:rPr>
        <w:t>ً</w:t>
      </w:r>
      <w:r w:rsidR="000F70E3">
        <w:rPr>
          <w:rFonts w:cs="Traditional Arabic" w:hint="cs"/>
          <w:szCs w:val="30"/>
          <w:rtl/>
        </w:rPr>
        <w:t xml:space="preserve"> عن</w:t>
      </w:r>
      <w:r w:rsidR="00B16B54">
        <w:rPr>
          <w:rFonts w:cs="Traditional Arabic" w:hint="cs"/>
          <w:szCs w:val="30"/>
          <w:rtl/>
        </w:rPr>
        <w:t xml:space="preserve"> </w:t>
      </w:r>
      <w:r w:rsidR="00EA4C7A">
        <w:rPr>
          <w:rFonts w:cs="Traditional Arabic" w:hint="cs"/>
          <w:szCs w:val="30"/>
          <w:rtl/>
        </w:rPr>
        <w:t>ا</w:t>
      </w:r>
      <w:r w:rsidR="00B16B54">
        <w:rPr>
          <w:rFonts w:cs="Traditional Arabic" w:hint="cs"/>
          <w:szCs w:val="30"/>
          <w:rtl/>
        </w:rPr>
        <w:t>لنهوض بالحوكمة. وسيجرى توضيح هذا الفصل بدراسات حالة قطرية بشأن بعض المسائل مثل إدارة المياه في كوستاريكا والغابات المجتمعية في المكسيك و</w:t>
      </w:r>
      <w:r w:rsidR="00C47FEC">
        <w:rPr>
          <w:rFonts w:cs="Traditional Arabic" w:hint="cs"/>
          <w:szCs w:val="30"/>
          <w:rtl/>
        </w:rPr>
        <w:t>أ</w:t>
      </w:r>
      <w:r w:rsidR="00B16B54">
        <w:rPr>
          <w:rFonts w:cs="Traditional Arabic" w:hint="cs"/>
          <w:szCs w:val="30"/>
          <w:rtl/>
        </w:rPr>
        <w:t>سواق المياه في الولايات المتحدة</w:t>
      </w:r>
      <w:r w:rsidR="003422C0">
        <w:rPr>
          <w:rFonts w:cs="Traditional Arabic" w:hint="cs"/>
          <w:szCs w:val="30"/>
          <w:rtl/>
        </w:rPr>
        <w:t xml:space="preserve"> الأ</w:t>
      </w:r>
      <w:r w:rsidR="00B85EB7">
        <w:rPr>
          <w:rFonts w:cs="Traditional Arabic" w:hint="cs"/>
          <w:szCs w:val="30"/>
          <w:rtl/>
        </w:rPr>
        <w:t>مريكية</w:t>
      </w:r>
      <w:r w:rsidR="00B16B54">
        <w:rPr>
          <w:rFonts w:cs="Traditional Arabic" w:hint="cs"/>
          <w:szCs w:val="30"/>
          <w:rtl/>
        </w:rPr>
        <w:t>.</w:t>
      </w:r>
    </w:p>
    <w:p w:rsidR="00B16B54" w:rsidRDefault="00B16B54" w:rsidP="00022656">
      <w:pPr>
        <w:spacing w:after="120" w:line="400" w:lineRule="exact"/>
        <w:ind w:left="1134"/>
        <w:jc w:val="both"/>
        <w:rPr>
          <w:rFonts w:cs="Traditional Arabic" w:hint="cs"/>
          <w:szCs w:val="30"/>
          <w:rtl/>
        </w:rPr>
      </w:pPr>
      <w:r>
        <w:rPr>
          <w:rFonts w:cs="Traditional Arabic" w:hint="cs"/>
          <w:szCs w:val="30"/>
          <w:rtl/>
        </w:rPr>
        <w:t>15 -</w:t>
      </w:r>
      <w:r>
        <w:rPr>
          <w:rFonts w:cs="Traditional Arabic" w:hint="cs"/>
          <w:szCs w:val="30"/>
          <w:rtl/>
        </w:rPr>
        <w:tab/>
        <w:t xml:space="preserve">ويحدد الفصل </w:t>
      </w:r>
      <w:r w:rsidR="00060681">
        <w:rPr>
          <w:rFonts w:cs="Traditional Arabic" w:hint="cs"/>
          <w:szCs w:val="30"/>
          <w:rtl/>
        </w:rPr>
        <w:t>8</w:t>
      </w:r>
      <w:r>
        <w:rPr>
          <w:rFonts w:cs="Traditional Arabic" w:hint="cs"/>
          <w:szCs w:val="30"/>
          <w:rtl/>
        </w:rPr>
        <w:t xml:space="preserve"> الاحتياجات من العلوم والتكنولوجيا في ضوء الثغرات المحددة في الفصول السابقة.</w:t>
      </w:r>
    </w:p>
    <w:p w:rsidR="00B16B54" w:rsidRDefault="00B16B54" w:rsidP="00022656">
      <w:pPr>
        <w:spacing w:after="120" w:line="400" w:lineRule="exact"/>
        <w:ind w:left="1134"/>
        <w:jc w:val="both"/>
        <w:rPr>
          <w:rFonts w:cs="Traditional Arabic" w:hint="cs"/>
          <w:szCs w:val="30"/>
          <w:rtl/>
        </w:rPr>
      </w:pPr>
      <w:r>
        <w:rPr>
          <w:rFonts w:cs="Traditional Arabic" w:hint="cs"/>
          <w:szCs w:val="30"/>
          <w:rtl/>
        </w:rPr>
        <w:t>16 -</w:t>
      </w:r>
      <w:r>
        <w:rPr>
          <w:rFonts w:cs="Traditional Arabic" w:hint="cs"/>
          <w:szCs w:val="30"/>
          <w:rtl/>
        </w:rPr>
        <w:tab/>
        <w:t xml:space="preserve">ويناقش الفصل </w:t>
      </w:r>
      <w:r w:rsidR="00060681">
        <w:rPr>
          <w:rFonts w:cs="Traditional Arabic" w:hint="cs"/>
          <w:szCs w:val="30"/>
          <w:rtl/>
        </w:rPr>
        <w:t>9</w:t>
      </w:r>
      <w:r>
        <w:rPr>
          <w:rFonts w:cs="Traditional Arabic" w:hint="cs"/>
          <w:szCs w:val="30"/>
          <w:rtl/>
        </w:rPr>
        <w:t xml:space="preserve"> وضع إطار للتكثيف الزراعي المستدام الذي يأخذ في الاعتبار بنشاط خدمات النظم الإيكولوجية، بما في ذلك التنوع البيولوجي والمياه. وسيشمل ذلك نظر </w:t>
      </w:r>
      <w:r w:rsidR="000F70E3">
        <w:rPr>
          <w:rFonts w:cs="Traditional Arabic" w:hint="cs"/>
          <w:szCs w:val="30"/>
          <w:rtl/>
        </w:rPr>
        <w:t>ال</w:t>
      </w:r>
      <w:r>
        <w:rPr>
          <w:rFonts w:cs="Traditional Arabic" w:hint="cs"/>
          <w:szCs w:val="30"/>
          <w:rtl/>
        </w:rPr>
        <w:t>خيارات السياسا</w:t>
      </w:r>
      <w:r w:rsidR="000F70E3">
        <w:rPr>
          <w:rFonts w:cs="Traditional Arabic" w:hint="cs"/>
          <w:szCs w:val="30"/>
          <w:rtl/>
        </w:rPr>
        <w:t>تية</w:t>
      </w:r>
      <w:r>
        <w:rPr>
          <w:rFonts w:cs="Traditional Arabic" w:hint="cs"/>
          <w:szCs w:val="30"/>
          <w:rtl/>
        </w:rPr>
        <w:t xml:space="preserve"> وأدوات دعم القرار.</w:t>
      </w:r>
    </w:p>
    <w:p w:rsidR="00B16B54" w:rsidRPr="00B16B54" w:rsidRDefault="008C5A6C" w:rsidP="00022656">
      <w:pPr>
        <w:spacing w:before="120" w:after="120" w:line="400" w:lineRule="exact"/>
        <w:ind w:left="1135" w:hanging="851"/>
        <w:jc w:val="both"/>
        <w:rPr>
          <w:rFonts w:cs="Traditional Arabic" w:hint="cs"/>
          <w:b/>
          <w:bCs/>
          <w:sz w:val="32"/>
          <w:szCs w:val="32"/>
          <w:rtl/>
        </w:rPr>
      </w:pPr>
      <w:r>
        <w:rPr>
          <w:rFonts w:cs="Traditional Arabic"/>
          <w:b/>
          <w:bCs/>
          <w:sz w:val="32"/>
          <w:szCs w:val="32"/>
          <w:rtl/>
        </w:rPr>
        <w:br w:type="page"/>
      </w:r>
      <w:r w:rsidR="00B85EB7">
        <w:rPr>
          <w:rFonts w:cs="Traditional Arabic" w:hint="cs"/>
          <w:b/>
          <w:bCs/>
          <w:sz w:val="32"/>
          <w:szCs w:val="32"/>
          <w:rtl/>
        </w:rPr>
        <w:lastRenderedPageBreak/>
        <w:t>رابعاً</w:t>
      </w:r>
      <w:r w:rsidR="00B16B54" w:rsidRPr="00B16B54">
        <w:rPr>
          <w:rFonts w:cs="Traditional Arabic" w:hint="cs"/>
          <w:b/>
          <w:bCs/>
          <w:sz w:val="32"/>
          <w:szCs w:val="32"/>
          <w:rtl/>
        </w:rPr>
        <w:t xml:space="preserve"> -</w:t>
      </w:r>
      <w:r w:rsidR="00B16B54" w:rsidRPr="00B16B54">
        <w:rPr>
          <w:rFonts w:cs="Traditional Arabic" w:hint="cs"/>
          <w:b/>
          <w:bCs/>
          <w:sz w:val="32"/>
          <w:szCs w:val="32"/>
          <w:rtl/>
        </w:rPr>
        <w:tab/>
        <w:t>العملية والجدول الزمني</w:t>
      </w:r>
    </w:p>
    <w:p w:rsidR="002323CD" w:rsidRPr="00B16B54" w:rsidRDefault="00B16B54" w:rsidP="00022656">
      <w:pPr>
        <w:spacing w:after="120" w:line="400" w:lineRule="exact"/>
        <w:ind w:left="1134"/>
        <w:jc w:val="both"/>
        <w:rPr>
          <w:rFonts w:cs="Traditional Arabic" w:hint="cs"/>
          <w:szCs w:val="30"/>
          <w:rtl/>
        </w:rPr>
      </w:pPr>
      <w:r w:rsidRPr="00B16B54">
        <w:rPr>
          <w:rFonts w:cs="Traditional Arabic" w:hint="cs"/>
          <w:szCs w:val="30"/>
          <w:rtl/>
        </w:rPr>
        <w:t>17 -</w:t>
      </w:r>
      <w:r w:rsidRPr="00B16B54">
        <w:rPr>
          <w:rFonts w:cs="Traditional Arabic" w:hint="cs"/>
          <w:szCs w:val="30"/>
          <w:rtl/>
        </w:rPr>
        <w:tab/>
      </w:r>
      <w:r>
        <w:rPr>
          <w:rFonts w:cs="Traditional Arabic" w:hint="cs"/>
          <w:szCs w:val="30"/>
          <w:rtl/>
        </w:rPr>
        <w:t xml:space="preserve">يحدد الجدول التالي عملية </w:t>
      </w:r>
      <w:r w:rsidR="00B85EB7">
        <w:rPr>
          <w:rFonts w:cs="Traditional Arabic" w:hint="cs"/>
          <w:szCs w:val="30"/>
          <w:rtl/>
        </w:rPr>
        <w:t>الاضطلاع</w:t>
      </w:r>
      <w:r>
        <w:rPr>
          <w:rFonts w:cs="Traditional Arabic" w:hint="cs"/>
          <w:szCs w:val="30"/>
          <w:rtl/>
        </w:rPr>
        <w:t xml:space="preserve"> بالتقييم المواضيعي المقترح والجدول الزمني لإجرائها:</w:t>
      </w:r>
    </w:p>
    <w:tbl>
      <w:tblPr>
        <w:bidiVisual/>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275"/>
        <w:gridCol w:w="5778"/>
      </w:tblGrid>
      <w:tr w:rsidR="00EC3179" w:rsidRPr="004974A2" w:rsidTr="00022656">
        <w:trPr>
          <w:tblHeader/>
        </w:trPr>
        <w:tc>
          <w:tcPr>
            <w:tcW w:w="2494" w:type="dxa"/>
            <w:gridSpan w:val="2"/>
            <w:shd w:val="clear" w:color="auto" w:fill="auto"/>
            <w:vAlign w:val="center"/>
          </w:tcPr>
          <w:p w:rsidR="00EC3179" w:rsidRPr="00EC3179" w:rsidRDefault="00EC3179" w:rsidP="004974A2">
            <w:pPr>
              <w:spacing w:before="60" w:after="60" w:line="360" w:lineRule="exact"/>
              <w:jc w:val="both"/>
              <w:rPr>
                <w:rFonts w:cs="Traditional Arabic" w:hint="cs"/>
                <w:i/>
                <w:iCs/>
                <w:sz w:val="18"/>
                <w:rtl/>
              </w:rPr>
            </w:pPr>
            <w:r w:rsidRPr="00EC3179">
              <w:rPr>
                <w:rFonts w:cs="Traditional Arabic" w:hint="cs"/>
                <w:i/>
                <w:iCs/>
                <w:sz w:val="18"/>
                <w:rtl/>
              </w:rPr>
              <w:t>الإطار الزمني</w:t>
            </w:r>
          </w:p>
        </w:tc>
        <w:tc>
          <w:tcPr>
            <w:tcW w:w="5778" w:type="dxa"/>
            <w:shd w:val="clear" w:color="auto" w:fill="auto"/>
          </w:tcPr>
          <w:p w:rsidR="00EC3179" w:rsidRPr="00EC3179" w:rsidRDefault="00EC3179" w:rsidP="00A67158">
            <w:pPr>
              <w:spacing w:before="60" w:after="60" w:line="360" w:lineRule="exact"/>
              <w:jc w:val="both"/>
              <w:rPr>
                <w:rFonts w:cs="Traditional Arabic" w:hint="cs"/>
                <w:i/>
                <w:iCs/>
                <w:sz w:val="18"/>
                <w:rtl/>
              </w:rPr>
            </w:pPr>
            <w:r w:rsidRPr="00EC3179">
              <w:rPr>
                <w:rFonts w:cs="Traditional Arabic" w:hint="cs"/>
                <w:i/>
                <w:iCs/>
                <w:sz w:val="18"/>
                <w:rtl/>
              </w:rPr>
              <w:t>الإجراءات</w:t>
            </w:r>
          </w:p>
        </w:tc>
      </w:tr>
      <w:tr w:rsidR="006859A4" w:rsidRPr="004974A2" w:rsidTr="004974A2">
        <w:tc>
          <w:tcPr>
            <w:tcW w:w="1219" w:type="dxa"/>
            <w:vMerge w:val="restart"/>
            <w:shd w:val="clear" w:color="auto" w:fill="auto"/>
            <w:vAlign w:val="center"/>
          </w:tcPr>
          <w:p w:rsidR="006859A4" w:rsidRPr="004974A2" w:rsidRDefault="006859A4" w:rsidP="00C47FEC">
            <w:pPr>
              <w:spacing w:before="60" w:after="60" w:line="360" w:lineRule="exact"/>
              <w:jc w:val="center"/>
              <w:rPr>
                <w:rFonts w:cs="Traditional Arabic" w:hint="cs"/>
                <w:sz w:val="18"/>
                <w:rtl/>
              </w:rPr>
            </w:pPr>
            <w:r w:rsidRPr="004974A2">
              <w:rPr>
                <w:rFonts w:cs="Traditional Arabic" w:hint="cs"/>
                <w:sz w:val="18"/>
                <w:rtl/>
              </w:rPr>
              <w:t>2013</w:t>
            </w:r>
          </w:p>
        </w:tc>
        <w:tc>
          <w:tcPr>
            <w:tcW w:w="1275" w:type="dxa"/>
            <w:shd w:val="clear" w:color="auto" w:fill="auto"/>
          </w:tcPr>
          <w:p w:rsidR="006859A4" w:rsidRPr="004974A2" w:rsidRDefault="00267023" w:rsidP="004974A2">
            <w:pPr>
              <w:spacing w:before="60" w:after="60" w:line="360" w:lineRule="exact"/>
              <w:jc w:val="both"/>
              <w:rPr>
                <w:rFonts w:cs="Traditional Arabic" w:hint="cs"/>
                <w:sz w:val="18"/>
                <w:rtl/>
              </w:rPr>
            </w:pPr>
            <w:r>
              <w:rPr>
                <w:rFonts w:cs="Traditional Arabic" w:hint="cs"/>
                <w:sz w:val="18"/>
                <w:rtl/>
              </w:rPr>
              <w:t>الربع الرابع</w:t>
            </w:r>
          </w:p>
        </w:tc>
        <w:tc>
          <w:tcPr>
            <w:tcW w:w="5778" w:type="dxa"/>
            <w:shd w:val="clear" w:color="auto" w:fill="auto"/>
          </w:tcPr>
          <w:p w:rsidR="006859A4" w:rsidRPr="004974A2" w:rsidRDefault="006859A4" w:rsidP="00060681">
            <w:pPr>
              <w:spacing w:before="60" w:after="60" w:line="360" w:lineRule="exact"/>
              <w:jc w:val="both"/>
              <w:rPr>
                <w:rFonts w:cs="Traditional Arabic" w:hint="cs"/>
                <w:sz w:val="18"/>
                <w:rtl/>
              </w:rPr>
            </w:pPr>
            <w:r w:rsidRPr="004974A2">
              <w:rPr>
                <w:rFonts w:cs="Traditional Arabic" w:hint="cs"/>
                <w:sz w:val="18"/>
                <w:rtl/>
              </w:rPr>
              <w:t>ي</w:t>
            </w:r>
            <w:r w:rsidR="00164C70">
              <w:rPr>
                <w:rFonts w:cs="Traditional Arabic" w:hint="cs"/>
                <w:sz w:val="18"/>
                <w:rtl/>
              </w:rPr>
              <w:t>س</w:t>
            </w:r>
            <w:r w:rsidRPr="004974A2">
              <w:rPr>
                <w:rFonts w:cs="Traditional Arabic" w:hint="cs"/>
                <w:sz w:val="18"/>
                <w:rtl/>
              </w:rPr>
              <w:t xml:space="preserve">تعرض الاجتماع العام ويوافق على </w:t>
            </w:r>
            <w:r w:rsidR="00267023">
              <w:rPr>
                <w:rFonts w:cs="Traditional Arabic" w:hint="cs"/>
                <w:sz w:val="18"/>
                <w:rtl/>
              </w:rPr>
              <w:t>عملية</w:t>
            </w:r>
            <w:r w:rsidR="00A67158">
              <w:rPr>
                <w:rFonts w:cs="Traditional Arabic" w:hint="cs"/>
                <w:sz w:val="18"/>
                <w:rtl/>
              </w:rPr>
              <w:t xml:space="preserve"> التحديد </w:t>
            </w:r>
            <w:r w:rsidR="00060681">
              <w:rPr>
                <w:rFonts w:cs="Traditional Arabic" w:hint="cs"/>
                <w:sz w:val="18"/>
                <w:rtl/>
              </w:rPr>
              <w:t>ا</w:t>
            </w:r>
            <w:r w:rsidR="00A67158">
              <w:rPr>
                <w:rFonts w:cs="Traditional Arabic" w:hint="cs"/>
                <w:sz w:val="18"/>
                <w:rtl/>
              </w:rPr>
              <w:t xml:space="preserve">لنطاق </w:t>
            </w:r>
            <w:r w:rsidR="00060681" w:rsidRPr="00060681">
              <w:rPr>
                <w:rFonts w:cs="Traditional Arabic" w:hint="cs"/>
                <w:sz w:val="18"/>
                <w:rtl/>
              </w:rPr>
              <w:t xml:space="preserve">الأولي </w:t>
            </w:r>
            <w:r w:rsidRPr="004974A2">
              <w:rPr>
                <w:rFonts w:cs="Traditional Arabic" w:hint="cs"/>
                <w:sz w:val="18"/>
                <w:rtl/>
              </w:rPr>
              <w:t xml:space="preserve">التي أعدها فريق الخبراء المتعدد التخصصات، ويطلب من الفريق والمكتب في حدود حافظة تكاليف متفق عليها، المضي في إجراء التقييم الكامل بعد الدراسة </w:t>
            </w:r>
            <w:r w:rsidR="00A67158" w:rsidRPr="004974A2">
              <w:rPr>
                <w:rFonts w:cs="Traditional Arabic" w:hint="cs"/>
                <w:sz w:val="18"/>
                <w:rtl/>
              </w:rPr>
              <w:t xml:space="preserve">المفصلة </w:t>
            </w:r>
            <w:r w:rsidR="00A67158">
              <w:rPr>
                <w:rFonts w:cs="Traditional Arabic" w:hint="cs"/>
                <w:sz w:val="18"/>
                <w:rtl/>
              </w:rPr>
              <w:t>لتحديد النطاق</w:t>
            </w:r>
            <w:r w:rsidRPr="004974A2">
              <w:rPr>
                <w:rFonts w:cs="Traditional Arabic" w:hint="cs"/>
                <w:sz w:val="18"/>
                <w:rtl/>
              </w:rPr>
              <w:t xml:space="preserve"> (14 كانون الأول/ديسمبر 2013).</w:t>
            </w:r>
          </w:p>
        </w:tc>
      </w:tr>
      <w:tr w:rsidR="006859A4" w:rsidRPr="004974A2" w:rsidTr="004974A2">
        <w:tc>
          <w:tcPr>
            <w:tcW w:w="1219" w:type="dxa"/>
            <w:vMerge/>
            <w:shd w:val="clear" w:color="auto" w:fill="auto"/>
            <w:vAlign w:val="center"/>
          </w:tcPr>
          <w:p w:rsidR="006859A4" w:rsidRPr="004974A2" w:rsidRDefault="006859A4" w:rsidP="00C47FEC">
            <w:pPr>
              <w:spacing w:before="60" w:after="60" w:line="360" w:lineRule="exact"/>
              <w:jc w:val="center"/>
              <w:rPr>
                <w:rFonts w:cs="Traditional Arabic" w:hint="cs"/>
                <w:sz w:val="18"/>
                <w:rtl/>
              </w:rPr>
            </w:pPr>
          </w:p>
        </w:tc>
        <w:tc>
          <w:tcPr>
            <w:tcW w:w="1275" w:type="dxa"/>
            <w:shd w:val="clear" w:color="auto" w:fill="auto"/>
          </w:tcPr>
          <w:p w:rsidR="006859A4" w:rsidRPr="004974A2" w:rsidRDefault="00267023" w:rsidP="004974A2">
            <w:pPr>
              <w:spacing w:before="60" w:after="60" w:line="360" w:lineRule="exact"/>
              <w:jc w:val="both"/>
              <w:rPr>
                <w:rFonts w:cs="Traditional Arabic" w:hint="cs"/>
                <w:sz w:val="18"/>
                <w:rtl/>
              </w:rPr>
            </w:pPr>
            <w:r>
              <w:rPr>
                <w:rFonts w:cs="Traditional Arabic" w:hint="cs"/>
                <w:sz w:val="18"/>
                <w:rtl/>
              </w:rPr>
              <w:t>الربع الرابع</w:t>
            </w:r>
          </w:p>
        </w:tc>
        <w:tc>
          <w:tcPr>
            <w:tcW w:w="5778" w:type="dxa"/>
            <w:shd w:val="clear" w:color="auto" w:fill="auto"/>
          </w:tcPr>
          <w:p w:rsidR="006859A4" w:rsidRPr="004974A2" w:rsidRDefault="006859A4" w:rsidP="00267023">
            <w:pPr>
              <w:spacing w:before="60" w:after="60" w:line="360" w:lineRule="exact"/>
              <w:jc w:val="both"/>
              <w:rPr>
                <w:rFonts w:cs="Traditional Arabic" w:hint="cs"/>
                <w:sz w:val="18"/>
                <w:rtl/>
              </w:rPr>
            </w:pPr>
            <w:r w:rsidRPr="004974A2">
              <w:rPr>
                <w:rFonts w:cs="Traditional Arabic" w:hint="cs"/>
                <w:sz w:val="18"/>
                <w:rtl/>
              </w:rPr>
              <w:t xml:space="preserve">يطلب الفريق، من خلال الأمانة، ترشيحات من الحكومات وأصحاب المصلحة الآخرين لخبراء للمساعدة في </w:t>
            </w:r>
            <w:r w:rsidR="00267023" w:rsidRPr="00267023">
              <w:rPr>
                <w:rFonts w:cs="Traditional Arabic" w:hint="cs"/>
                <w:sz w:val="18"/>
                <w:rtl/>
              </w:rPr>
              <w:t xml:space="preserve">عملية </w:t>
            </w:r>
            <w:r w:rsidR="00A67158">
              <w:rPr>
                <w:rFonts w:cs="Traditional Arabic" w:hint="cs"/>
                <w:sz w:val="18"/>
                <w:rtl/>
              </w:rPr>
              <w:t>تحديد النطاق</w:t>
            </w:r>
            <w:r w:rsidRPr="004974A2">
              <w:rPr>
                <w:rFonts w:cs="Traditional Arabic" w:hint="cs"/>
                <w:sz w:val="18"/>
                <w:rtl/>
              </w:rPr>
              <w:t xml:space="preserve"> (16 كانون الأول/ديسمبر 2013</w:t>
            </w:r>
            <w:r w:rsidR="00A67158">
              <w:rPr>
                <w:rFonts w:cs="Traditional Arabic" w:hint="eastAsia"/>
                <w:sz w:val="18"/>
                <w:rtl/>
              </w:rPr>
              <w:t> </w:t>
            </w:r>
            <w:r w:rsidRPr="004974A2">
              <w:rPr>
                <w:rFonts w:cs="Traditional Arabic" w:hint="cs"/>
                <w:sz w:val="18"/>
                <w:rtl/>
              </w:rPr>
              <w:t>- 31 كانون الثاني/يناير 2014).</w:t>
            </w:r>
          </w:p>
        </w:tc>
      </w:tr>
      <w:tr w:rsidR="00B44C21" w:rsidRPr="004974A2" w:rsidTr="004974A2">
        <w:tc>
          <w:tcPr>
            <w:tcW w:w="1219" w:type="dxa"/>
            <w:vMerge w:val="restart"/>
            <w:shd w:val="clear" w:color="auto" w:fill="auto"/>
            <w:vAlign w:val="center"/>
          </w:tcPr>
          <w:p w:rsidR="00B44C21" w:rsidRPr="004974A2" w:rsidRDefault="00B44C21" w:rsidP="00C47FEC">
            <w:pPr>
              <w:spacing w:before="60" w:after="60" w:line="360" w:lineRule="exact"/>
              <w:jc w:val="center"/>
              <w:rPr>
                <w:rFonts w:cs="Traditional Arabic" w:hint="cs"/>
                <w:sz w:val="18"/>
                <w:rtl/>
              </w:rPr>
            </w:pPr>
            <w:r w:rsidRPr="004974A2">
              <w:rPr>
                <w:rFonts w:cs="Traditional Arabic" w:hint="cs"/>
                <w:sz w:val="18"/>
                <w:rtl/>
              </w:rPr>
              <w:t>2014</w:t>
            </w:r>
          </w:p>
        </w:tc>
        <w:tc>
          <w:tcPr>
            <w:tcW w:w="1275" w:type="dxa"/>
            <w:shd w:val="clear" w:color="auto" w:fill="auto"/>
          </w:tcPr>
          <w:p w:rsidR="00B44C21" w:rsidRPr="004974A2" w:rsidRDefault="00B44C21" w:rsidP="004974A2">
            <w:pPr>
              <w:spacing w:before="60" w:after="60" w:line="360" w:lineRule="exact"/>
              <w:jc w:val="both"/>
              <w:rPr>
                <w:rFonts w:cs="Traditional Arabic" w:hint="cs"/>
                <w:sz w:val="18"/>
                <w:rtl/>
              </w:rPr>
            </w:pPr>
            <w:r>
              <w:rPr>
                <w:rFonts w:cs="Traditional Arabic" w:hint="cs"/>
                <w:sz w:val="18"/>
                <w:rtl/>
              </w:rPr>
              <w:t>الربع الأول</w:t>
            </w:r>
          </w:p>
        </w:tc>
        <w:tc>
          <w:tcPr>
            <w:tcW w:w="5778" w:type="dxa"/>
            <w:shd w:val="clear" w:color="auto" w:fill="auto"/>
          </w:tcPr>
          <w:p w:rsidR="00B44C21" w:rsidRPr="004974A2" w:rsidRDefault="00B44C21" w:rsidP="00214000">
            <w:pPr>
              <w:spacing w:before="60" w:after="60" w:line="360" w:lineRule="exact"/>
              <w:jc w:val="both"/>
              <w:rPr>
                <w:rFonts w:cs="Traditional Arabic" w:hint="cs"/>
                <w:sz w:val="18"/>
                <w:rtl/>
              </w:rPr>
            </w:pPr>
            <w:r w:rsidRPr="004974A2">
              <w:rPr>
                <w:rFonts w:cs="Traditional Arabic" w:hint="cs"/>
                <w:sz w:val="18"/>
                <w:rtl/>
              </w:rPr>
              <w:t xml:space="preserve">يختار الفريق عن طريق البريد الإلكتروني والمؤتمرات </w:t>
            </w:r>
            <w:r>
              <w:rPr>
                <w:rFonts w:cs="Traditional Arabic" w:hint="cs"/>
                <w:sz w:val="18"/>
                <w:rtl/>
              </w:rPr>
              <w:t>من بعد</w:t>
            </w:r>
            <w:r w:rsidRPr="004974A2">
              <w:rPr>
                <w:rFonts w:cs="Traditional Arabic" w:hint="cs"/>
                <w:sz w:val="18"/>
                <w:rtl/>
              </w:rPr>
              <w:t xml:space="preserve">، الخبراء لإجراء دراسة </w:t>
            </w:r>
            <w:r>
              <w:rPr>
                <w:rFonts w:cs="Traditional Arabic" w:hint="cs"/>
                <w:sz w:val="18"/>
                <w:rtl/>
              </w:rPr>
              <w:t>تحديد النطاق</w:t>
            </w:r>
            <w:r w:rsidRPr="004974A2">
              <w:rPr>
                <w:rFonts w:cs="Traditional Arabic" w:hint="cs"/>
                <w:sz w:val="18"/>
                <w:rtl/>
              </w:rPr>
              <w:t xml:space="preserve"> باستخدام معايير الاختيار المتفق عليها </w:t>
            </w:r>
            <w:r w:rsidRPr="00214000">
              <w:rPr>
                <w:rFonts w:cs="Traditional Arabic" w:hint="cs"/>
                <w:sz w:val="20"/>
                <w:szCs w:val="20"/>
                <w:rtl/>
              </w:rPr>
              <w:t>(</w:t>
            </w:r>
            <w:r>
              <w:rPr>
                <w:rFonts w:cs="Traditional Arabic" w:hint="cs"/>
                <w:sz w:val="18"/>
                <w:rtl/>
              </w:rPr>
              <w:t xml:space="preserve">أنظر </w:t>
            </w:r>
            <w:r>
              <w:rPr>
                <w:rFonts w:cs="Traditional Arabic"/>
                <w:sz w:val="18"/>
              </w:rPr>
              <w:t>IPBS/2/9</w:t>
            </w:r>
            <w:r w:rsidRPr="00214000">
              <w:rPr>
                <w:rFonts w:cs="Traditional Arabic" w:hint="cs"/>
                <w:sz w:val="20"/>
                <w:szCs w:val="20"/>
                <w:rtl/>
              </w:rPr>
              <w:t>)</w:t>
            </w:r>
            <w:r>
              <w:rPr>
                <w:rFonts w:cs="Traditional Arabic" w:hint="cs"/>
                <w:sz w:val="18"/>
                <w:rtl/>
              </w:rPr>
              <w:t xml:space="preserve"> </w:t>
            </w:r>
            <w:r w:rsidRPr="004974A2">
              <w:rPr>
                <w:rFonts w:cs="Traditional Arabic" w:hint="cs"/>
                <w:sz w:val="18"/>
                <w:rtl/>
              </w:rPr>
              <w:t xml:space="preserve">(1-14 </w:t>
            </w:r>
            <w:r>
              <w:rPr>
                <w:rFonts w:cs="Traditional Arabic" w:hint="cs"/>
                <w:sz w:val="18"/>
                <w:rtl/>
              </w:rPr>
              <w:t>شباط</w:t>
            </w:r>
            <w:r w:rsidRPr="004974A2">
              <w:rPr>
                <w:rFonts w:cs="Traditional Arabic" w:hint="cs"/>
                <w:sz w:val="18"/>
                <w:rtl/>
              </w:rPr>
              <w:t>/</w:t>
            </w:r>
            <w:r>
              <w:rPr>
                <w:rFonts w:cs="Traditional Arabic" w:hint="cs"/>
                <w:sz w:val="18"/>
                <w:rtl/>
              </w:rPr>
              <w:t>فبراير</w:t>
            </w:r>
            <w:r w:rsidRPr="004974A2">
              <w:rPr>
                <w:rFonts w:cs="Traditional Arabic" w:hint="cs"/>
                <w:sz w:val="18"/>
                <w:rtl/>
              </w:rPr>
              <w:t xml:space="preserve"> 2014).</w:t>
            </w:r>
          </w:p>
        </w:tc>
      </w:tr>
      <w:tr w:rsidR="00B44C21" w:rsidRPr="004974A2" w:rsidTr="004974A2">
        <w:tc>
          <w:tcPr>
            <w:tcW w:w="1219" w:type="dxa"/>
            <w:vMerge/>
            <w:shd w:val="clear" w:color="auto" w:fill="auto"/>
            <w:vAlign w:val="center"/>
          </w:tcPr>
          <w:p w:rsidR="00B44C21" w:rsidRPr="004974A2" w:rsidRDefault="00B44C21" w:rsidP="00C47FEC">
            <w:pPr>
              <w:spacing w:before="60" w:after="60" w:line="360" w:lineRule="exact"/>
              <w:jc w:val="center"/>
              <w:rPr>
                <w:rFonts w:cs="Traditional Arabic" w:hint="cs"/>
                <w:sz w:val="18"/>
                <w:rtl/>
              </w:rPr>
            </w:pPr>
          </w:p>
        </w:tc>
        <w:tc>
          <w:tcPr>
            <w:tcW w:w="1275" w:type="dxa"/>
            <w:shd w:val="clear" w:color="auto" w:fill="auto"/>
          </w:tcPr>
          <w:p w:rsidR="00B44C21" w:rsidRPr="004974A2" w:rsidRDefault="00B44C21" w:rsidP="004974A2">
            <w:pPr>
              <w:spacing w:before="60" w:after="60" w:line="360" w:lineRule="exact"/>
              <w:jc w:val="both"/>
              <w:rPr>
                <w:rFonts w:cs="Traditional Arabic" w:hint="cs"/>
                <w:sz w:val="18"/>
                <w:rtl/>
              </w:rPr>
            </w:pPr>
            <w:r>
              <w:rPr>
                <w:rFonts w:cs="Traditional Arabic" w:hint="cs"/>
                <w:sz w:val="18"/>
                <w:rtl/>
              </w:rPr>
              <w:t>الربع الثاني</w:t>
            </w:r>
          </w:p>
        </w:tc>
        <w:tc>
          <w:tcPr>
            <w:tcW w:w="5778" w:type="dxa"/>
            <w:shd w:val="clear" w:color="auto" w:fill="auto"/>
          </w:tcPr>
          <w:p w:rsidR="00B44C21" w:rsidRPr="004974A2" w:rsidRDefault="00B44C21" w:rsidP="007E0D47">
            <w:pPr>
              <w:spacing w:before="60" w:after="60" w:line="360" w:lineRule="exact"/>
              <w:jc w:val="both"/>
              <w:rPr>
                <w:rFonts w:cs="Traditional Arabic" w:hint="cs"/>
                <w:sz w:val="18"/>
                <w:rtl/>
              </w:rPr>
            </w:pPr>
            <w:r w:rsidRPr="004974A2">
              <w:rPr>
                <w:rFonts w:cs="Traditional Arabic" w:hint="cs"/>
                <w:sz w:val="18"/>
                <w:rtl/>
              </w:rPr>
              <w:t xml:space="preserve">يشرف الفريق والمكتب على </w:t>
            </w:r>
            <w:r>
              <w:rPr>
                <w:rFonts w:cs="Traditional Arabic" w:hint="cs"/>
                <w:sz w:val="18"/>
                <w:rtl/>
              </w:rPr>
              <w:t>ال</w:t>
            </w:r>
            <w:r w:rsidRPr="00267023">
              <w:rPr>
                <w:rFonts w:cs="Traditional Arabic" w:hint="cs"/>
                <w:sz w:val="18"/>
                <w:rtl/>
              </w:rPr>
              <w:t xml:space="preserve">عملية </w:t>
            </w:r>
            <w:r w:rsidRPr="004974A2">
              <w:rPr>
                <w:rFonts w:cs="Traditional Arabic" w:hint="cs"/>
                <w:sz w:val="18"/>
                <w:rtl/>
              </w:rPr>
              <w:t>المفصل</w:t>
            </w:r>
            <w:r>
              <w:rPr>
                <w:rFonts w:cs="Traditional Arabic" w:hint="cs"/>
                <w:sz w:val="18"/>
                <w:rtl/>
              </w:rPr>
              <w:t>ة</w:t>
            </w:r>
            <w:r w:rsidRPr="004974A2">
              <w:rPr>
                <w:rFonts w:cs="Traditional Arabic" w:hint="cs"/>
                <w:sz w:val="18"/>
                <w:rtl/>
              </w:rPr>
              <w:t xml:space="preserve"> </w:t>
            </w:r>
            <w:r>
              <w:rPr>
                <w:rFonts w:cs="Traditional Arabic" w:hint="cs"/>
                <w:sz w:val="18"/>
                <w:rtl/>
              </w:rPr>
              <w:t xml:space="preserve">لتحديد النطاق </w:t>
            </w:r>
            <w:r w:rsidRPr="004974A2">
              <w:rPr>
                <w:rFonts w:cs="Traditional Arabic" w:hint="cs"/>
                <w:sz w:val="18"/>
                <w:rtl/>
              </w:rPr>
              <w:t>بما في ذلك المخطط والتكاليف والجدوى (</w:t>
            </w:r>
            <w:r>
              <w:rPr>
                <w:rFonts w:cs="Traditional Arabic" w:hint="cs"/>
                <w:sz w:val="18"/>
                <w:rtl/>
              </w:rPr>
              <w:t>3</w:t>
            </w:r>
            <w:r w:rsidRPr="004974A2">
              <w:rPr>
                <w:rFonts w:cs="Traditional Arabic" w:hint="cs"/>
                <w:sz w:val="18"/>
                <w:rtl/>
              </w:rPr>
              <w:t xml:space="preserve"> أشهر). ويعقد اجتماع </w:t>
            </w:r>
            <w:r>
              <w:rPr>
                <w:rFonts w:cs="Traditional Arabic" w:hint="cs"/>
                <w:sz w:val="18"/>
                <w:rtl/>
              </w:rPr>
              <w:t>بشأن تحديد النطاق</w:t>
            </w:r>
            <w:r w:rsidRPr="004974A2">
              <w:rPr>
                <w:rFonts w:cs="Traditional Arabic" w:hint="cs"/>
                <w:sz w:val="18"/>
                <w:rtl/>
              </w:rPr>
              <w:t xml:space="preserve"> في بداية نيسان/أبريل 2014.</w:t>
            </w:r>
          </w:p>
        </w:tc>
      </w:tr>
      <w:tr w:rsidR="00B44C21" w:rsidRPr="004974A2" w:rsidTr="004974A2">
        <w:tc>
          <w:tcPr>
            <w:tcW w:w="1219" w:type="dxa"/>
            <w:vMerge/>
            <w:shd w:val="clear" w:color="auto" w:fill="auto"/>
            <w:vAlign w:val="center"/>
          </w:tcPr>
          <w:p w:rsidR="00B44C21" w:rsidRPr="004974A2" w:rsidRDefault="00B44C21" w:rsidP="00C47FEC">
            <w:pPr>
              <w:spacing w:before="60" w:after="60" w:line="360" w:lineRule="exact"/>
              <w:jc w:val="center"/>
              <w:rPr>
                <w:rFonts w:cs="Traditional Arabic" w:hint="cs"/>
                <w:sz w:val="18"/>
                <w:rtl/>
              </w:rPr>
            </w:pPr>
          </w:p>
        </w:tc>
        <w:tc>
          <w:tcPr>
            <w:tcW w:w="1275" w:type="dxa"/>
            <w:shd w:val="clear" w:color="auto" w:fill="auto"/>
          </w:tcPr>
          <w:p w:rsidR="00B44C21" w:rsidRPr="004974A2" w:rsidRDefault="00B44C21" w:rsidP="004974A2">
            <w:pPr>
              <w:spacing w:before="60" w:after="60" w:line="360" w:lineRule="exact"/>
              <w:jc w:val="both"/>
              <w:rPr>
                <w:rFonts w:cs="Traditional Arabic" w:hint="cs"/>
                <w:sz w:val="18"/>
                <w:rtl/>
              </w:rPr>
            </w:pPr>
            <w:r>
              <w:rPr>
                <w:rFonts w:cs="Traditional Arabic" w:hint="cs"/>
                <w:sz w:val="18"/>
                <w:rtl/>
              </w:rPr>
              <w:t>الربع الثاني</w:t>
            </w:r>
          </w:p>
        </w:tc>
        <w:tc>
          <w:tcPr>
            <w:tcW w:w="5778" w:type="dxa"/>
            <w:shd w:val="clear" w:color="auto" w:fill="auto"/>
          </w:tcPr>
          <w:p w:rsidR="00B44C21" w:rsidRPr="004974A2" w:rsidRDefault="00B44C21" w:rsidP="009137A3">
            <w:pPr>
              <w:spacing w:before="60" w:after="60" w:line="360" w:lineRule="exact"/>
              <w:jc w:val="both"/>
              <w:rPr>
                <w:rFonts w:cs="Traditional Arabic" w:hint="cs"/>
                <w:sz w:val="18"/>
                <w:rtl/>
              </w:rPr>
            </w:pPr>
            <w:r w:rsidRPr="004974A2">
              <w:rPr>
                <w:rFonts w:cs="Traditional Arabic" w:hint="cs"/>
                <w:sz w:val="18"/>
                <w:rtl/>
              </w:rPr>
              <w:t xml:space="preserve">يرسل تقرير </w:t>
            </w:r>
            <w:r>
              <w:rPr>
                <w:rFonts w:cs="Traditional Arabic" w:hint="cs"/>
                <w:sz w:val="18"/>
                <w:rtl/>
              </w:rPr>
              <w:t>تحديد النطاق المفصل إ</w:t>
            </w:r>
            <w:r w:rsidRPr="004974A2">
              <w:rPr>
                <w:rFonts w:cs="Traditional Arabic" w:hint="cs"/>
                <w:sz w:val="18"/>
                <w:rtl/>
              </w:rPr>
              <w:t xml:space="preserve">لى أعضاء </w:t>
            </w:r>
            <w:r>
              <w:rPr>
                <w:rFonts w:cs="Traditional Arabic" w:hint="cs"/>
                <w:sz w:val="18"/>
                <w:rtl/>
              </w:rPr>
              <w:t>ا</w:t>
            </w:r>
            <w:r w:rsidRPr="004974A2">
              <w:rPr>
                <w:rFonts w:cs="Traditional Arabic" w:hint="cs"/>
                <w:sz w:val="18"/>
                <w:rtl/>
              </w:rPr>
              <w:t>لمنبر وغيرهم من أصحاب المصلحة لاستعراضه والتعليق عليه في غضون اسبوعين في النصف الثاني من نيسان/أبريل 2014.</w:t>
            </w:r>
          </w:p>
        </w:tc>
      </w:tr>
      <w:tr w:rsidR="00B44C21" w:rsidRPr="004974A2" w:rsidTr="004974A2">
        <w:tc>
          <w:tcPr>
            <w:tcW w:w="1219" w:type="dxa"/>
            <w:vMerge/>
            <w:shd w:val="clear" w:color="auto" w:fill="auto"/>
            <w:vAlign w:val="center"/>
          </w:tcPr>
          <w:p w:rsidR="00B44C21" w:rsidRPr="004974A2" w:rsidRDefault="00B44C21" w:rsidP="00C47FEC">
            <w:pPr>
              <w:spacing w:before="60" w:after="60" w:line="360" w:lineRule="exact"/>
              <w:jc w:val="center"/>
              <w:rPr>
                <w:rFonts w:cs="Traditional Arabic" w:hint="cs"/>
                <w:sz w:val="18"/>
                <w:rtl/>
              </w:rPr>
            </w:pPr>
          </w:p>
        </w:tc>
        <w:tc>
          <w:tcPr>
            <w:tcW w:w="1275" w:type="dxa"/>
            <w:shd w:val="clear" w:color="auto" w:fill="auto"/>
          </w:tcPr>
          <w:p w:rsidR="00B44C21" w:rsidRPr="004974A2" w:rsidRDefault="00B44C21" w:rsidP="004974A2">
            <w:pPr>
              <w:spacing w:before="60" w:after="60" w:line="360" w:lineRule="exact"/>
              <w:jc w:val="both"/>
              <w:rPr>
                <w:rFonts w:cs="Traditional Arabic" w:hint="cs"/>
                <w:sz w:val="18"/>
                <w:rtl/>
              </w:rPr>
            </w:pPr>
            <w:r>
              <w:rPr>
                <w:rFonts w:cs="Traditional Arabic" w:hint="cs"/>
                <w:sz w:val="18"/>
                <w:rtl/>
              </w:rPr>
              <w:t>الربع الثاني</w:t>
            </w:r>
          </w:p>
        </w:tc>
        <w:tc>
          <w:tcPr>
            <w:tcW w:w="5778" w:type="dxa"/>
            <w:shd w:val="clear" w:color="auto" w:fill="auto"/>
          </w:tcPr>
          <w:p w:rsidR="00B44C21" w:rsidRPr="004974A2" w:rsidRDefault="00B44C21" w:rsidP="00875D9C">
            <w:pPr>
              <w:spacing w:before="60" w:after="60" w:line="360" w:lineRule="exact"/>
              <w:jc w:val="both"/>
              <w:rPr>
                <w:rFonts w:cs="Traditional Arabic" w:hint="cs"/>
                <w:sz w:val="18"/>
                <w:rtl/>
              </w:rPr>
            </w:pPr>
            <w:r w:rsidRPr="004974A2">
              <w:rPr>
                <w:rFonts w:cs="Traditional Arabic" w:hint="cs"/>
                <w:sz w:val="18"/>
                <w:rtl/>
              </w:rPr>
              <w:t xml:space="preserve">يقرر الفريق والمكتب، </w:t>
            </w:r>
            <w:r>
              <w:rPr>
                <w:rFonts w:cs="Traditional Arabic" w:hint="cs"/>
                <w:sz w:val="18"/>
                <w:rtl/>
              </w:rPr>
              <w:t>بناء على</w:t>
            </w:r>
            <w:r w:rsidRPr="004974A2">
              <w:rPr>
                <w:rFonts w:cs="Traditional Arabic" w:hint="cs"/>
                <w:sz w:val="18"/>
                <w:rtl/>
              </w:rPr>
              <w:t xml:space="preserve"> نتائج عملية </w:t>
            </w:r>
            <w:r>
              <w:rPr>
                <w:rFonts w:cs="Traditional Arabic" w:hint="cs"/>
                <w:sz w:val="18"/>
                <w:rtl/>
              </w:rPr>
              <w:t xml:space="preserve">تحديد النطاق المفصلة </w:t>
            </w:r>
            <w:r w:rsidRPr="004974A2">
              <w:rPr>
                <w:rFonts w:cs="Traditional Arabic" w:hint="cs"/>
                <w:sz w:val="18"/>
                <w:rtl/>
              </w:rPr>
              <w:t>والتعليقات المتلقاة من أعضاء المنبر وغيرهم من أصحاب المصلحة، ما إذا كانا يمضيان في التقييم بافتراض إنه يمكن إجراؤه في حدود حافظة الميزانية التي يوافق عيها الاجتماع العام في النصف الأول من شهر أيار/مايو 2014.</w:t>
            </w:r>
          </w:p>
        </w:tc>
      </w:tr>
      <w:tr w:rsidR="00B44C21" w:rsidRPr="004974A2" w:rsidTr="004974A2">
        <w:tc>
          <w:tcPr>
            <w:tcW w:w="1219" w:type="dxa"/>
            <w:vMerge/>
            <w:shd w:val="clear" w:color="auto" w:fill="auto"/>
            <w:vAlign w:val="center"/>
          </w:tcPr>
          <w:p w:rsidR="00B44C21" w:rsidRPr="004974A2" w:rsidRDefault="00B44C21" w:rsidP="00C47FEC">
            <w:pPr>
              <w:spacing w:before="60" w:after="60" w:line="360" w:lineRule="exact"/>
              <w:jc w:val="center"/>
              <w:rPr>
                <w:rFonts w:cs="Traditional Arabic" w:hint="cs"/>
                <w:sz w:val="18"/>
                <w:rtl/>
              </w:rPr>
            </w:pPr>
          </w:p>
        </w:tc>
        <w:tc>
          <w:tcPr>
            <w:tcW w:w="1275" w:type="dxa"/>
            <w:shd w:val="clear" w:color="auto" w:fill="auto"/>
          </w:tcPr>
          <w:p w:rsidR="00B44C21" w:rsidRPr="004974A2" w:rsidRDefault="00B44C21" w:rsidP="004974A2">
            <w:pPr>
              <w:spacing w:before="60" w:after="60" w:line="360" w:lineRule="exact"/>
              <w:jc w:val="both"/>
              <w:rPr>
                <w:rFonts w:cs="Traditional Arabic" w:hint="cs"/>
                <w:sz w:val="18"/>
                <w:rtl/>
              </w:rPr>
            </w:pPr>
            <w:r>
              <w:rPr>
                <w:rFonts w:cs="Traditional Arabic" w:hint="cs"/>
                <w:sz w:val="18"/>
                <w:rtl/>
              </w:rPr>
              <w:t>الربع الثاني</w:t>
            </w:r>
          </w:p>
        </w:tc>
        <w:tc>
          <w:tcPr>
            <w:tcW w:w="5778" w:type="dxa"/>
            <w:shd w:val="clear" w:color="auto" w:fill="auto"/>
          </w:tcPr>
          <w:p w:rsidR="00B44C21" w:rsidRPr="004974A2" w:rsidRDefault="00B44C21" w:rsidP="00C47FEC">
            <w:pPr>
              <w:spacing w:before="60" w:after="60" w:line="360" w:lineRule="exact"/>
              <w:jc w:val="both"/>
              <w:rPr>
                <w:rFonts w:cs="Traditional Arabic" w:hint="cs"/>
                <w:sz w:val="18"/>
                <w:rtl/>
              </w:rPr>
            </w:pPr>
            <w:r w:rsidRPr="004974A2">
              <w:rPr>
                <w:rFonts w:cs="Traditional Arabic" w:hint="cs"/>
                <w:sz w:val="18"/>
                <w:rtl/>
              </w:rPr>
              <w:t>يطلب الفريق، من خلال الأمانة، ترشيحات من الحكومات وغيرهم من أصحاب المصلحة لخبراء لإعداد التقرير. وتقدم الترشيحات قبل نهاي</w:t>
            </w:r>
            <w:r>
              <w:rPr>
                <w:rFonts w:cs="Traditional Arabic" w:hint="cs"/>
                <w:sz w:val="18"/>
                <w:rtl/>
              </w:rPr>
              <w:t>ة</w:t>
            </w:r>
            <w:r w:rsidRPr="004974A2">
              <w:rPr>
                <w:rFonts w:cs="Traditional Arabic" w:hint="cs"/>
                <w:sz w:val="18"/>
                <w:rtl/>
              </w:rPr>
              <w:t xml:space="preserve"> حزيران/يونيه 2014 (1</w:t>
            </w:r>
            <w:r>
              <w:rPr>
                <w:rFonts w:cs="Traditional Arabic" w:hint="cs"/>
                <w:sz w:val="18"/>
                <w:rtl/>
              </w:rPr>
              <w:t>,</w:t>
            </w:r>
            <w:r w:rsidRPr="004974A2">
              <w:rPr>
                <w:rFonts w:cs="Traditional Arabic" w:hint="cs"/>
                <w:sz w:val="18"/>
                <w:rtl/>
              </w:rPr>
              <w:t>5 شهر).</w:t>
            </w:r>
          </w:p>
        </w:tc>
      </w:tr>
      <w:tr w:rsidR="00B44C21" w:rsidRPr="004974A2" w:rsidTr="004974A2">
        <w:tc>
          <w:tcPr>
            <w:tcW w:w="1219" w:type="dxa"/>
            <w:vMerge/>
            <w:shd w:val="clear" w:color="auto" w:fill="auto"/>
            <w:vAlign w:val="center"/>
          </w:tcPr>
          <w:p w:rsidR="00B44C21" w:rsidRPr="004974A2" w:rsidRDefault="00B44C21" w:rsidP="00C47FEC">
            <w:pPr>
              <w:spacing w:before="60" w:after="60" w:line="360" w:lineRule="exact"/>
              <w:jc w:val="center"/>
              <w:rPr>
                <w:rFonts w:cs="Traditional Arabic" w:hint="cs"/>
                <w:sz w:val="18"/>
                <w:rtl/>
              </w:rPr>
            </w:pPr>
          </w:p>
        </w:tc>
        <w:tc>
          <w:tcPr>
            <w:tcW w:w="1275" w:type="dxa"/>
            <w:shd w:val="clear" w:color="auto" w:fill="auto"/>
          </w:tcPr>
          <w:p w:rsidR="00B44C21" w:rsidRPr="004974A2" w:rsidRDefault="00B44C21" w:rsidP="004974A2">
            <w:pPr>
              <w:spacing w:before="60" w:after="60" w:line="360" w:lineRule="exact"/>
              <w:jc w:val="both"/>
              <w:rPr>
                <w:rFonts w:cs="Traditional Arabic" w:hint="cs"/>
                <w:sz w:val="18"/>
                <w:rtl/>
              </w:rPr>
            </w:pPr>
            <w:r>
              <w:rPr>
                <w:rFonts w:cs="Traditional Arabic" w:hint="cs"/>
                <w:sz w:val="18"/>
                <w:rtl/>
              </w:rPr>
              <w:t>الربع الثالث</w:t>
            </w:r>
          </w:p>
        </w:tc>
        <w:tc>
          <w:tcPr>
            <w:tcW w:w="5778" w:type="dxa"/>
            <w:shd w:val="clear" w:color="auto" w:fill="auto"/>
          </w:tcPr>
          <w:p w:rsidR="00B44C21" w:rsidRPr="004974A2" w:rsidRDefault="00B44C21" w:rsidP="00022656">
            <w:pPr>
              <w:spacing w:before="60" w:after="60" w:line="360" w:lineRule="exact"/>
              <w:jc w:val="both"/>
              <w:rPr>
                <w:rFonts w:cs="Traditional Arabic" w:hint="cs"/>
                <w:sz w:val="18"/>
                <w:rtl/>
              </w:rPr>
            </w:pPr>
            <w:r w:rsidRPr="004974A2">
              <w:rPr>
                <w:rFonts w:cs="Traditional Arabic" w:hint="cs"/>
                <w:sz w:val="18"/>
                <w:rtl/>
              </w:rPr>
              <w:t>يختار الفريق الر</w:t>
            </w:r>
            <w:r>
              <w:rPr>
                <w:rFonts w:cs="Traditional Arabic" w:hint="cs"/>
                <w:sz w:val="18"/>
                <w:rtl/>
              </w:rPr>
              <w:t>ؤساء</w:t>
            </w:r>
            <w:r w:rsidRPr="004974A2">
              <w:rPr>
                <w:rFonts w:cs="Traditional Arabic" w:hint="cs"/>
                <w:sz w:val="18"/>
                <w:rtl/>
              </w:rPr>
              <w:t xml:space="preserve"> المشاركين للتقرير </w:t>
            </w:r>
            <w:r>
              <w:rPr>
                <w:rFonts w:cs="Traditional Arabic" w:hint="cs"/>
                <w:sz w:val="18"/>
                <w:rtl/>
              </w:rPr>
              <w:t>و</w:t>
            </w:r>
            <w:r w:rsidRPr="004974A2">
              <w:rPr>
                <w:rFonts w:cs="Traditional Arabic" w:hint="cs"/>
                <w:sz w:val="18"/>
                <w:rtl/>
              </w:rPr>
              <w:t xml:space="preserve">المؤلفين الرئيسيين </w:t>
            </w:r>
            <w:r>
              <w:rPr>
                <w:rFonts w:cs="Traditional Arabic" w:hint="cs"/>
                <w:sz w:val="18"/>
                <w:rtl/>
              </w:rPr>
              <w:t>المنسقين</w:t>
            </w:r>
            <w:r w:rsidRPr="004974A2">
              <w:rPr>
                <w:rFonts w:cs="Traditional Arabic" w:hint="cs"/>
                <w:sz w:val="18"/>
                <w:rtl/>
              </w:rPr>
              <w:t>، والمؤلفين</w:t>
            </w:r>
            <w:r>
              <w:rPr>
                <w:rFonts w:cs="Traditional Arabic" w:hint="cs"/>
                <w:sz w:val="18"/>
                <w:rtl/>
              </w:rPr>
              <w:t xml:space="preserve"> الرئيسيين</w:t>
            </w:r>
            <w:r w:rsidRPr="004974A2">
              <w:rPr>
                <w:rFonts w:cs="Traditional Arabic" w:hint="cs"/>
                <w:sz w:val="18"/>
                <w:rtl/>
              </w:rPr>
              <w:t xml:space="preserve"> والمحررين </w:t>
            </w:r>
            <w:r>
              <w:rPr>
                <w:rFonts w:cs="Traditional Arabic" w:hint="cs"/>
                <w:sz w:val="18"/>
                <w:rtl/>
              </w:rPr>
              <w:t xml:space="preserve">المرجعين </w:t>
            </w:r>
            <w:r w:rsidRPr="004974A2">
              <w:rPr>
                <w:rFonts w:cs="Traditional Arabic" w:hint="cs"/>
                <w:sz w:val="18"/>
                <w:rtl/>
              </w:rPr>
              <w:t xml:space="preserve">باستخدام معايير الاختيار الموافق عليها </w:t>
            </w:r>
            <w:r>
              <w:rPr>
                <w:rFonts w:cs="Traditional Arabic" w:hint="cs"/>
                <w:sz w:val="18"/>
                <w:rtl/>
              </w:rPr>
              <w:t>(ا</w:t>
            </w:r>
            <w:r w:rsidRPr="006915C9">
              <w:rPr>
                <w:rFonts w:cs="Traditional Arabic" w:hint="cs"/>
                <w:sz w:val="18"/>
                <w:rtl/>
              </w:rPr>
              <w:t xml:space="preserve">نظر </w:t>
            </w:r>
            <w:r w:rsidRPr="006915C9">
              <w:rPr>
                <w:rFonts w:cs="Traditional Arabic"/>
                <w:sz w:val="18"/>
              </w:rPr>
              <w:t>IPBS/2/9</w:t>
            </w:r>
            <w:r>
              <w:rPr>
                <w:rFonts w:cs="Traditional Arabic" w:hint="cs"/>
                <w:sz w:val="18"/>
                <w:rtl/>
              </w:rPr>
              <w:t>)</w:t>
            </w:r>
            <w:r w:rsidRPr="006915C9">
              <w:rPr>
                <w:rFonts w:cs="Traditional Arabic" w:hint="cs"/>
                <w:sz w:val="18"/>
                <w:rtl/>
              </w:rPr>
              <w:t xml:space="preserve"> (1 تموز/يوليه - 15 آب/أغسطس 2014 (1,5 شهر)).</w:t>
            </w:r>
          </w:p>
        </w:tc>
      </w:tr>
      <w:tr w:rsidR="00B44C21" w:rsidRPr="004974A2" w:rsidTr="004974A2">
        <w:tc>
          <w:tcPr>
            <w:tcW w:w="1219" w:type="dxa"/>
            <w:vMerge/>
            <w:shd w:val="clear" w:color="auto" w:fill="auto"/>
            <w:vAlign w:val="center"/>
          </w:tcPr>
          <w:p w:rsidR="00B44C21" w:rsidRPr="004974A2" w:rsidRDefault="00B44C21" w:rsidP="00C47FEC">
            <w:pPr>
              <w:spacing w:before="60" w:after="60" w:line="360" w:lineRule="exact"/>
              <w:jc w:val="center"/>
              <w:rPr>
                <w:rFonts w:cs="Traditional Arabic" w:hint="cs"/>
                <w:sz w:val="18"/>
                <w:rtl/>
              </w:rPr>
            </w:pPr>
          </w:p>
        </w:tc>
        <w:tc>
          <w:tcPr>
            <w:tcW w:w="1275" w:type="dxa"/>
            <w:shd w:val="clear" w:color="auto" w:fill="auto"/>
          </w:tcPr>
          <w:p w:rsidR="00B44C21" w:rsidRPr="004974A2" w:rsidRDefault="00B44C21" w:rsidP="00267023">
            <w:pPr>
              <w:spacing w:before="60" w:after="60" w:line="360" w:lineRule="exact"/>
              <w:jc w:val="both"/>
              <w:rPr>
                <w:rFonts w:cs="Traditional Arabic" w:hint="cs"/>
                <w:sz w:val="18"/>
                <w:rtl/>
              </w:rPr>
            </w:pPr>
            <w:r>
              <w:rPr>
                <w:rFonts w:cs="Traditional Arabic" w:hint="cs"/>
                <w:sz w:val="18"/>
                <w:rtl/>
              </w:rPr>
              <w:t>الربع الثالث</w:t>
            </w:r>
            <w:r w:rsidRPr="004974A2">
              <w:rPr>
                <w:rFonts w:cs="Traditional Arabic" w:hint="cs"/>
                <w:sz w:val="18"/>
                <w:rtl/>
              </w:rPr>
              <w:t xml:space="preserve">/ </w:t>
            </w:r>
            <w:r>
              <w:rPr>
                <w:rFonts w:cs="Traditional Arabic" w:hint="cs"/>
                <w:sz w:val="18"/>
                <w:rtl/>
              </w:rPr>
              <w:t>الربع الرابع</w:t>
            </w:r>
          </w:p>
        </w:tc>
        <w:tc>
          <w:tcPr>
            <w:tcW w:w="5778" w:type="dxa"/>
            <w:shd w:val="clear" w:color="auto" w:fill="auto"/>
          </w:tcPr>
          <w:p w:rsidR="00B44C21" w:rsidRPr="004974A2" w:rsidRDefault="00B44C21" w:rsidP="000D0FB1">
            <w:pPr>
              <w:spacing w:before="60" w:after="60" w:line="360" w:lineRule="exact"/>
              <w:jc w:val="both"/>
              <w:rPr>
                <w:rFonts w:cs="Traditional Arabic" w:hint="cs"/>
                <w:sz w:val="18"/>
                <w:rtl/>
              </w:rPr>
            </w:pPr>
            <w:r w:rsidRPr="004974A2">
              <w:rPr>
                <w:rFonts w:cs="Traditional Arabic" w:hint="cs"/>
                <w:sz w:val="18"/>
                <w:rtl/>
              </w:rPr>
              <w:t xml:space="preserve">يعد </w:t>
            </w:r>
            <w:r>
              <w:rPr>
                <w:rFonts w:cs="Traditional Arabic" w:hint="cs"/>
                <w:sz w:val="18"/>
                <w:rtl/>
              </w:rPr>
              <w:t>الرؤساء</w:t>
            </w:r>
            <w:r w:rsidRPr="004974A2">
              <w:rPr>
                <w:rFonts w:cs="Traditional Arabic" w:hint="cs"/>
                <w:sz w:val="18"/>
                <w:rtl/>
              </w:rPr>
              <w:t xml:space="preserve"> المشارك</w:t>
            </w:r>
            <w:r>
              <w:rPr>
                <w:rFonts w:cs="Traditional Arabic" w:hint="cs"/>
                <w:sz w:val="18"/>
                <w:rtl/>
              </w:rPr>
              <w:t>و</w:t>
            </w:r>
            <w:r w:rsidRPr="004974A2">
              <w:rPr>
                <w:rFonts w:cs="Traditional Arabic" w:hint="cs"/>
                <w:sz w:val="18"/>
                <w:rtl/>
              </w:rPr>
              <w:t xml:space="preserve">ن للتقرير والمؤلفون الرئيسيون </w:t>
            </w:r>
            <w:r>
              <w:rPr>
                <w:rFonts w:cs="Traditional Arabic" w:hint="cs"/>
                <w:sz w:val="18"/>
                <w:rtl/>
              </w:rPr>
              <w:t xml:space="preserve">المنسقون </w:t>
            </w:r>
            <w:r w:rsidRPr="004974A2">
              <w:rPr>
                <w:rFonts w:cs="Traditional Arabic" w:hint="cs"/>
                <w:sz w:val="18"/>
                <w:rtl/>
              </w:rPr>
              <w:t xml:space="preserve">والمؤلفون </w:t>
            </w:r>
            <w:r>
              <w:rPr>
                <w:rFonts w:cs="Traditional Arabic" w:hint="cs"/>
                <w:sz w:val="18"/>
                <w:rtl/>
              </w:rPr>
              <w:t>الرئيسيون</w:t>
            </w:r>
            <w:r w:rsidRPr="004974A2">
              <w:rPr>
                <w:rFonts w:cs="Traditional Arabic" w:hint="cs"/>
                <w:sz w:val="18"/>
                <w:rtl/>
              </w:rPr>
              <w:t xml:space="preserve"> </w:t>
            </w:r>
            <w:r>
              <w:rPr>
                <w:rFonts w:cs="Traditional Arabic" w:hint="cs"/>
                <w:sz w:val="18"/>
                <w:rtl/>
              </w:rPr>
              <w:t>المشروع</w:t>
            </w:r>
            <w:r w:rsidRPr="004974A2">
              <w:rPr>
                <w:rFonts w:cs="Traditional Arabic" w:hint="cs"/>
                <w:sz w:val="18"/>
                <w:rtl/>
              </w:rPr>
              <w:t xml:space="preserve"> الأول للتقرير بحلول منتصف شباط/فبراير 2015 (</w:t>
            </w:r>
            <w:r>
              <w:rPr>
                <w:rFonts w:cs="Traditional Arabic" w:hint="cs"/>
                <w:sz w:val="18"/>
                <w:rtl/>
              </w:rPr>
              <w:t>6</w:t>
            </w:r>
            <w:r w:rsidRPr="004974A2">
              <w:rPr>
                <w:rFonts w:cs="Traditional Arabic" w:hint="cs"/>
                <w:sz w:val="18"/>
                <w:rtl/>
              </w:rPr>
              <w:t xml:space="preserve"> أشهر). ويعقد أول اجتماع للمؤلفين في أيلول/سبتمبر 2014.</w:t>
            </w:r>
          </w:p>
        </w:tc>
      </w:tr>
      <w:tr w:rsidR="006859A4" w:rsidRPr="004974A2" w:rsidTr="004974A2">
        <w:tc>
          <w:tcPr>
            <w:tcW w:w="1219" w:type="dxa"/>
            <w:vMerge w:val="restart"/>
            <w:shd w:val="clear" w:color="auto" w:fill="auto"/>
            <w:vAlign w:val="center"/>
          </w:tcPr>
          <w:p w:rsidR="006859A4" w:rsidRPr="004974A2" w:rsidRDefault="006859A4" w:rsidP="00C47FEC">
            <w:pPr>
              <w:spacing w:before="60" w:after="60" w:line="360" w:lineRule="exact"/>
              <w:jc w:val="center"/>
              <w:rPr>
                <w:rFonts w:cs="Traditional Arabic" w:hint="cs"/>
                <w:sz w:val="18"/>
                <w:rtl/>
              </w:rPr>
            </w:pPr>
            <w:r w:rsidRPr="004974A2">
              <w:rPr>
                <w:rFonts w:cs="Traditional Arabic" w:hint="cs"/>
                <w:sz w:val="18"/>
                <w:rtl/>
              </w:rPr>
              <w:t>2015</w:t>
            </w:r>
          </w:p>
        </w:tc>
        <w:tc>
          <w:tcPr>
            <w:tcW w:w="1275" w:type="dxa"/>
            <w:shd w:val="clear" w:color="auto" w:fill="auto"/>
          </w:tcPr>
          <w:p w:rsidR="006859A4" w:rsidRPr="004974A2" w:rsidRDefault="00267023" w:rsidP="004974A2">
            <w:pPr>
              <w:spacing w:before="60" w:after="60" w:line="360" w:lineRule="exact"/>
              <w:jc w:val="both"/>
              <w:rPr>
                <w:rFonts w:cs="Traditional Arabic" w:hint="cs"/>
                <w:sz w:val="18"/>
                <w:rtl/>
              </w:rPr>
            </w:pPr>
            <w:r>
              <w:rPr>
                <w:rFonts w:cs="Traditional Arabic" w:hint="cs"/>
                <w:sz w:val="18"/>
                <w:rtl/>
              </w:rPr>
              <w:t>الربع الأول</w:t>
            </w:r>
          </w:p>
        </w:tc>
        <w:tc>
          <w:tcPr>
            <w:tcW w:w="5778" w:type="dxa"/>
            <w:shd w:val="clear" w:color="auto" w:fill="auto"/>
          </w:tcPr>
          <w:p w:rsidR="003609A9" w:rsidRPr="004974A2" w:rsidRDefault="00C914C4" w:rsidP="00B44C21">
            <w:pPr>
              <w:spacing w:before="60" w:after="60" w:line="360" w:lineRule="exact"/>
              <w:jc w:val="both"/>
              <w:rPr>
                <w:rFonts w:cs="Traditional Arabic" w:hint="cs"/>
                <w:sz w:val="18"/>
                <w:rtl/>
              </w:rPr>
            </w:pPr>
            <w:r w:rsidRPr="004974A2">
              <w:rPr>
                <w:rFonts w:cs="Traditional Arabic" w:hint="cs"/>
                <w:sz w:val="18"/>
                <w:rtl/>
              </w:rPr>
              <w:t>يستعرض الخبراء، المسودة الأولى للتقرير حتى نهاية آذار/مارس 2015 (1</w:t>
            </w:r>
            <w:r w:rsidR="00A67158">
              <w:rPr>
                <w:rFonts w:cs="Traditional Arabic" w:hint="cs"/>
                <w:sz w:val="18"/>
                <w:rtl/>
              </w:rPr>
              <w:t>,</w:t>
            </w:r>
            <w:r w:rsidRPr="004974A2">
              <w:rPr>
                <w:rFonts w:cs="Traditional Arabic" w:hint="cs"/>
                <w:sz w:val="18"/>
                <w:rtl/>
              </w:rPr>
              <w:t>5</w:t>
            </w:r>
            <w:r w:rsidR="00A67158">
              <w:rPr>
                <w:rFonts w:cs="Traditional Arabic" w:hint="eastAsia"/>
                <w:sz w:val="18"/>
                <w:rtl/>
              </w:rPr>
              <w:t> -</w:t>
            </w:r>
            <w:r w:rsidRPr="004974A2">
              <w:rPr>
                <w:rFonts w:cs="Traditional Arabic" w:hint="cs"/>
                <w:sz w:val="18"/>
                <w:rtl/>
              </w:rPr>
              <w:t xml:space="preserve"> 2 شهر).</w:t>
            </w:r>
          </w:p>
        </w:tc>
      </w:tr>
      <w:tr w:rsidR="006859A4" w:rsidRPr="004974A2" w:rsidTr="004974A2">
        <w:tc>
          <w:tcPr>
            <w:tcW w:w="1219" w:type="dxa"/>
            <w:vMerge/>
            <w:shd w:val="clear" w:color="auto" w:fill="auto"/>
            <w:vAlign w:val="center"/>
          </w:tcPr>
          <w:p w:rsidR="006859A4" w:rsidRPr="004974A2" w:rsidRDefault="006859A4" w:rsidP="00C47FEC">
            <w:pPr>
              <w:spacing w:before="60" w:after="60" w:line="360" w:lineRule="exact"/>
              <w:jc w:val="center"/>
              <w:rPr>
                <w:rFonts w:cs="Traditional Arabic" w:hint="cs"/>
                <w:sz w:val="18"/>
                <w:rtl/>
              </w:rPr>
            </w:pPr>
          </w:p>
        </w:tc>
        <w:tc>
          <w:tcPr>
            <w:tcW w:w="1275" w:type="dxa"/>
            <w:shd w:val="clear" w:color="auto" w:fill="auto"/>
          </w:tcPr>
          <w:p w:rsidR="006859A4" w:rsidRPr="004974A2" w:rsidRDefault="00267023" w:rsidP="004974A2">
            <w:pPr>
              <w:spacing w:before="60" w:after="60" w:line="360" w:lineRule="exact"/>
              <w:jc w:val="both"/>
              <w:rPr>
                <w:rFonts w:cs="Traditional Arabic" w:hint="cs"/>
                <w:sz w:val="18"/>
                <w:rtl/>
              </w:rPr>
            </w:pPr>
            <w:r>
              <w:rPr>
                <w:rFonts w:cs="Traditional Arabic" w:hint="cs"/>
                <w:sz w:val="18"/>
                <w:rtl/>
              </w:rPr>
              <w:t>الربع الثاني</w:t>
            </w:r>
          </w:p>
        </w:tc>
        <w:tc>
          <w:tcPr>
            <w:tcW w:w="5778" w:type="dxa"/>
            <w:shd w:val="clear" w:color="auto" w:fill="auto"/>
          </w:tcPr>
          <w:p w:rsidR="006859A4" w:rsidRPr="004974A2" w:rsidRDefault="00C914C4" w:rsidP="000D0FB1">
            <w:pPr>
              <w:spacing w:before="60" w:after="60" w:line="360" w:lineRule="exact"/>
              <w:jc w:val="both"/>
              <w:rPr>
                <w:rFonts w:cs="Traditional Arabic" w:hint="cs"/>
                <w:sz w:val="18"/>
                <w:rtl/>
              </w:rPr>
            </w:pPr>
            <w:r w:rsidRPr="004974A2">
              <w:rPr>
                <w:rFonts w:cs="Traditional Arabic" w:hint="cs"/>
                <w:sz w:val="18"/>
                <w:rtl/>
              </w:rPr>
              <w:t xml:space="preserve">يعد </w:t>
            </w:r>
            <w:r w:rsidR="00A67158">
              <w:rPr>
                <w:rFonts w:cs="Traditional Arabic" w:hint="cs"/>
                <w:sz w:val="18"/>
                <w:rtl/>
              </w:rPr>
              <w:t>الرؤساء</w:t>
            </w:r>
            <w:r w:rsidRPr="004974A2">
              <w:rPr>
                <w:rFonts w:cs="Traditional Arabic" w:hint="cs"/>
                <w:sz w:val="18"/>
                <w:rtl/>
              </w:rPr>
              <w:t xml:space="preserve"> المشارك</w:t>
            </w:r>
            <w:r w:rsidR="00A67158">
              <w:rPr>
                <w:rFonts w:cs="Traditional Arabic" w:hint="cs"/>
                <w:sz w:val="18"/>
                <w:rtl/>
              </w:rPr>
              <w:t>و</w:t>
            </w:r>
            <w:r w:rsidRPr="004974A2">
              <w:rPr>
                <w:rFonts w:cs="Traditional Arabic" w:hint="cs"/>
                <w:sz w:val="18"/>
                <w:rtl/>
              </w:rPr>
              <w:t xml:space="preserve">ن للتقرير والمؤلفون الرئيسيون </w:t>
            </w:r>
            <w:r w:rsidR="00A67158">
              <w:rPr>
                <w:rFonts w:cs="Traditional Arabic" w:hint="cs"/>
                <w:sz w:val="18"/>
                <w:rtl/>
              </w:rPr>
              <w:t xml:space="preserve">المنسقون </w:t>
            </w:r>
            <w:r w:rsidRPr="004974A2">
              <w:rPr>
                <w:rFonts w:cs="Traditional Arabic" w:hint="cs"/>
                <w:sz w:val="18"/>
                <w:rtl/>
              </w:rPr>
              <w:t xml:space="preserve">والمؤلفون </w:t>
            </w:r>
            <w:r w:rsidR="00A67158">
              <w:rPr>
                <w:rFonts w:cs="Traditional Arabic" w:hint="cs"/>
                <w:sz w:val="18"/>
                <w:rtl/>
              </w:rPr>
              <w:t xml:space="preserve">الرئيسيون </w:t>
            </w:r>
            <w:r w:rsidR="000D0FB1">
              <w:rPr>
                <w:rFonts w:cs="Traditional Arabic" w:hint="cs"/>
                <w:sz w:val="18"/>
                <w:rtl/>
              </w:rPr>
              <w:t>المشروع</w:t>
            </w:r>
            <w:r w:rsidRPr="004974A2">
              <w:rPr>
                <w:rFonts w:cs="Traditional Arabic" w:hint="cs"/>
                <w:sz w:val="18"/>
                <w:rtl/>
              </w:rPr>
              <w:t xml:space="preserve"> الثاني للتقرير وأول </w:t>
            </w:r>
            <w:r w:rsidR="000D0FB1">
              <w:rPr>
                <w:rFonts w:cs="Traditional Arabic" w:hint="cs"/>
                <w:sz w:val="18"/>
                <w:rtl/>
              </w:rPr>
              <w:t>مشروع</w:t>
            </w:r>
            <w:r w:rsidRPr="004974A2">
              <w:rPr>
                <w:rFonts w:cs="Traditional Arabic" w:hint="cs"/>
                <w:sz w:val="18"/>
                <w:rtl/>
              </w:rPr>
              <w:t xml:space="preserve"> موجز </w:t>
            </w:r>
            <w:r w:rsidR="000D0FB1">
              <w:rPr>
                <w:rFonts w:cs="Traditional Arabic" w:hint="cs"/>
                <w:sz w:val="18"/>
                <w:rtl/>
              </w:rPr>
              <w:t>ي</w:t>
            </w:r>
            <w:r w:rsidRPr="004974A2">
              <w:rPr>
                <w:rFonts w:cs="Traditional Arabic" w:hint="cs"/>
                <w:sz w:val="18"/>
                <w:rtl/>
              </w:rPr>
              <w:t xml:space="preserve">قدم </w:t>
            </w:r>
            <w:r w:rsidR="000D0FB1">
              <w:rPr>
                <w:rFonts w:cs="Traditional Arabic" w:hint="cs"/>
                <w:sz w:val="18"/>
                <w:rtl/>
              </w:rPr>
              <w:t>لمقرري</w:t>
            </w:r>
            <w:r w:rsidRPr="004974A2">
              <w:rPr>
                <w:rFonts w:cs="Traditional Arabic" w:hint="cs"/>
                <w:sz w:val="18"/>
                <w:rtl/>
              </w:rPr>
              <w:t xml:space="preserve"> السياسات تحت إشراف المحررين</w:t>
            </w:r>
            <w:r w:rsidR="007E0D47">
              <w:rPr>
                <w:rFonts w:cs="Traditional Arabic" w:hint="cs"/>
                <w:sz w:val="18"/>
                <w:rtl/>
              </w:rPr>
              <w:t xml:space="preserve"> المراجعين</w:t>
            </w:r>
            <w:r w:rsidRPr="004974A2">
              <w:rPr>
                <w:rFonts w:cs="Traditional Arabic" w:hint="cs"/>
                <w:sz w:val="18"/>
                <w:rtl/>
              </w:rPr>
              <w:t xml:space="preserve"> والفريق (نيسان/أبريل </w:t>
            </w:r>
            <w:r w:rsidR="00A67158">
              <w:rPr>
                <w:rFonts w:cs="Traditional Arabic" w:hint="cs"/>
                <w:sz w:val="18"/>
                <w:rtl/>
              </w:rPr>
              <w:t>-</w:t>
            </w:r>
            <w:r w:rsidRPr="004974A2">
              <w:rPr>
                <w:rFonts w:cs="Traditional Arabic" w:hint="cs"/>
                <w:sz w:val="18"/>
                <w:rtl/>
              </w:rPr>
              <w:t xml:space="preserve"> حزيران/يونيه 2015</w:t>
            </w:r>
            <w:r w:rsidR="009137A3">
              <w:rPr>
                <w:rFonts w:cs="Traditional Arabic" w:hint="cs"/>
                <w:sz w:val="18"/>
                <w:rtl/>
              </w:rPr>
              <w:t>)</w:t>
            </w:r>
            <w:r w:rsidRPr="004974A2">
              <w:rPr>
                <w:rFonts w:cs="Traditional Arabic" w:hint="cs"/>
                <w:sz w:val="18"/>
                <w:rtl/>
              </w:rPr>
              <w:t xml:space="preserve"> (</w:t>
            </w:r>
            <w:r w:rsidR="007E0D47">
              <w:rPr>
                <w:rFonts w:cs="Traditional Arabic" w:hint="cs"/>
                <w:sz w:val="18"/>
                <w:rtl/>
              </w:rPr>
              <w:t>3</w:t>
            </w:r>
            <w:r w:rsidRPr="004974A2">
              <w:rPr>
                <w:rFonts w:cs="Traditional Arabic" w:hint="cs"/>
                <w:sz w:val="18"/>
                <w:rtl/>
              </w:rPr>
              <w:t xml:space="preserve"> أشهر)). ويعقد اجتماع ثان للمؤلفين في حزيران/يونيه 2015.</w:t>
            </w:r>
          </w:p>
        </w:tc>
      </w:tr>
      <w:tr w:rsidR="006859A4" w:rsidRPr="004974A2" w:rsidTr="004974A2">
        <w:tc>
          <w:tcPr>
            <w:tcW w:w="1219" w:type="dxa"/>
            <w:vMerge/>
            <w:shd w:val="clear" w:color="auto" w:fill="auto"/>
            <w:vAlign w:val="center"/>
          </w:tcPr>
          <w:p w:rsidR="006859A4" w:rsidRPr="004974A2" w:rsidRDefault="006859A4" w:rsidP="00C47FEC">
            <w:pPr>
              <w:spacing w:before="60" w:after="60" w:line="360" w:lineRule="exact"/>
              <w:jc w:val="center"/>
              <w:rPr>
                <w:rFonts w:cs="Traditional Arabic" w:hint="cs"/>
                <w:sz w:val="18"/>
                <w:rtl/>
              </w:rPr>
            </w:pPr>
          </w:p>
        </w:tc>
        <w:tc>
          <w:tcPr>
            <w:tcW w:w="1275" w:type="dxa"/>
            <w:shd w:val="clear" w:color="auto" w:fill="auto"/>
          </w:tcPr>
          <w:p w:rsidR="006859A4" w:rsidRPr="004974A2" w:rsidRDefault="00267023" w:rsidP="004974A2">
            <w:pPr>
              <w:spacing w:before="60" w:after="60" w:line="360" w:lineRule="exact"/>
              <w:jc w:val="both"/>
              <w:rPr>
                <w:rFonts w:cs="Traditional Arabic" w:hint="cs"/>
                <w:sz w:val="18"/>
                <w:rtl/>
              </w:rPr>
            </w:pPr>
            <w:r>
              <w:rPr>
                <w:rFonts w:cs="Traditional Arabic" w:hint="cs"/>
                <w:sz w:val="18"/>
                <w:rtl/>
              </w:rPr>
              <w:t>الربع ثالث</w:t>
            </w:r>
          </w:p>
        </w:tc>
        <w:tc>
          <w:tcPr>
            <w:tcW w:w="5778" w:type="dxa"/>
            <w:shd w:val="clear" w:color="auto" w:fill="auto"/>
          </w:tcPr>
          <w:p w:rsidR="006859A4" w:rsidRPr="004974A2" w:rsidRDefault="000D0FB1" w:rsidP="000D0FB1">
            <w:pPr>
              <w:spacing w:before="60" w:after="60" w:line="360" w:lineRule="exact"/>
              <w:jc w:val="both"/>
              <w:rPr>
                <w:rFonts w:cs="Traditional Arabic" w:hint="cs"/>
                <w:sz w:val="18"/>
                <w:rtl/>
              </w:rPr>
            </w:pPr>
            <w:r>
              <w:rPr>
                <w:rFonts w:cs="Traditional Arabic" w:hint="cs"/>
                <w:sz w:val="18"/>
                <w:rtl/>
              </w:rPr>
              <w:t>ي</w:t>
            </w:r>
            <w:r w:rsidR="00C914C4" w:rsidRPr="004974A2">
              <w:rPr>
                <w:rFonts w:cs="Traditional Arabic" w:hint="cs"/>
                <w:sz w:val="18"/>
                <w:rtl/>
              </w:rPr>
              <w:t xml:space="preserve">عرض </w:t>
            </w:r>
            <w:r>
              <w:rPr>
                <w:rFonts w:cs="Traditional Arabic" w:hint="cs"/>
                <w:sz w:val="18"/>
                <w:rtl/>
              </w:rPr>
              <w:t>المشروع</w:t>
            </w:r>
            <w:r w:rsidR="00C914C4" w:rsidRPr="004974A2">
              <w:rPr>
                <w:rFonts w:cs="Traditional Arabic" w:hint="cs"/>
                <w:sz w:val="18"/>
                <w:rtl/>
              </w:rPr>
              <w:t xml:space="preserve"> الثاني للتقرير والملخص الأول </w:t>
            </w:r>
            <w:r>
              <w:rPr>
                <w:rFonts w:cs="Traditional Arabic" w:hint="cs"/>
                <w:sz w:val="18"/>
                <w:rtl/>
              </w:rPr>
              <w:t>لمقرري</w:t>
            </w:r>
            <w:r w:rsidR="00C914C4" w:rsidRPr="004974A2">
              <w:rPr>
                <w:rFonts w:cs="Traditional Arabic" w:hint="cs"/>
                <w:sz w:val="18"/>
                <w:rtl/>
              </w:rPr>
              <w:t xml:space="preserve"> السياسات للاستعراض من جانب الخبراء والحكومات وأصحاب المصلحة الآخرين خلال تموز/يوليه وآب/أغسطس 2015 (شهران).</w:t>
            </w:r>
          </w:p>
        </w:tc>
      </w:tr>
      <w:tr w:rsidR="006859A4" w:rsidRPr="004974A2" w:rsidTr="004974A2">
        <w:tc>
          <w:tcPr>
            <w:tcW w:w="1219" w:type="dxa"/>
            <w:vMerge/>
            <w:shd w:val="clear" w:color="auto" w:fill="auto"/>
            <w:vAlign w:val="center"/>
          </w:tcPr>
          <w:p w:rsidR="006859A4" w:rsidRPr="004974A2" w:rsidRDefault="006859A4" w:rsidP="00C47FEC">
            <w:pPr>
              <w:spacing w:before="60" w:after="60" w:line="360" w:lineRule="exact"/>
              <w:jc w:val="center"/>
              <w:rPr>
                <w:rFonts w:cs="Traditional Arabic" w:hint="cs"/>
                <w:sz w:val="18"/>
                <w:rtl/>
              </w:rPr>
            </w:pPr>
          </w:p>
        </w:tc>
        <w:tc>
          <w:tcPr>
            <w:tcW w:w="1275" w:type="dxa"/>
            <w:shd w:val="clear" w:color="auto" w:fill="auto"/>
          </w:tcPr>
          <w:p w:rsidR="006859A4" w:rsidRPr="004974A2" w:rsidRDefault="00267023" w:rsidP="00267023">
            <w:pPr>
              <w:spacing w:before="60" w:after="60" w:line="360" w:lineRule="exact"/>
              <w:jc w:val="both"/>
              <w:rPr>
                <w:rFonts w:cs="Traditional Arabic" w:hint="cs"/>
                <w:sz w:val="18"/>
                <w:rtl/>
              </w:rPr>
            </w:pPr>
            <w:r>
              <w:rPr>
                <w:rFonts w:cs="Traditional Arabic" w:hint="cs"/>
                <w:sz w:val="18"/>
                <w:rtl/>
              </w:rPr>
              <w:t>الربع الثالث</w:t>
            </w:r>
            <w:r w:rsidR="006859A4" w:rsidRPr="004974A2">
              <w:rPr>
                <w:rFonts w:cs="Traditional Arabic" w:hint="cs"/>
                <w:sz w:val="18"/>
                <w:rtl/>
              </w:rPr>
              <w:t>/</w:t>
            </w:r>
            <w:r w:rsidR="00C914C4" w:rsidRPr="004974A2">
              <w:rPr>
                <w:rFonts w:cs="Traditional Arabic" w:hint="cs"/>
                <w:sz w:val="18"/>
                <w:rtl/>
              </w:rPr>
              <w:t xml:space="preserve"> </w:t>
            </w:r>
            <w:r>
              <w:rPr>
                <w:rFonts w:cs="Traditional Arabic" w:hint="cs"/>
                <w:sz w:val="18"/>
                <w:rtl/>
              </w:rPr>
              <w:t>الربع الرابع</w:t>
            </w:r>
          </w:p>
        </w:tc>
        <w:tc>
          <w:tcPr>
            <w:tcW w:w="5778" w:type="dxa"/>
            <w:shd w:val="clear" w:color="auto" w:fill="auto"/>
          </w:tcPr>
          <w:p w:rsidR="006859A4" w:rsidRPr="004974A2" w:rsidRDefault="00C914C4" w:rsidP="000D0FB1">
            <w:pPr>
              <w:spacing w:before="60" w:after="60" w:line="360" w:lineRule="exact"/>
              <w:jc w:val="both"/>
              <w:rPr>
                <w:rFonts w:cs="Traditional Arabic" w:hint="cs"/>
                <w:sz w:val="18"/>
                <w:rtl/>
              </w:rPr>
            </w:pPr>
            <w:r w:rsidRPr="004974A2">
              <w:rPr>
                <w:rFonts w:cs="Traditional Arabic" w:hint="cs"/>
                <w:sz w:val="18"/>
                <w:rtl/>
              </w:rPr>
              <w:t xml:space="preserve">يعد </w:t>
            </w:r>
            <w:r w:rsidR="00A67158">
              <w:rPr>
                <w:rFonts w:cs="Traditional Arabic" w:hint="cs"/>
                <w:sz w:val="18"/>
                <w:rtl/>
              </w:rPr>
              <w:t>الرؤساء</w:t>
            </w:r>
            <w:r w:rsidRPr="004974A2">
              <w:rPr>
                <w:rFonts w:cs="Traditional Arabic" w:hint="cs"/>
                <w:sz w:val="18"/>
                <w:rtl/>
              </w:rPr>
              <w:t xml:space="preserve"> المشارك</w:t>
            </w:r>
            <w:r w:rsidR="00A67158">
              <w:rPr>
                <w:rFonts w:cs="Traditional Arabic" w:hint="cs"/>
                <w:sz w:val="18"/>
                <w:rtl/>
              </w:rPr>
              <w:t>و</w:t>
            </w:r>
            <w:r w:rsidRPr="004974A2">
              <w:rPr>
                <w:rFonts w:cs="Traditional Arabic" w:hint="cs"/>
                <w:sz w:val="18"/>
                <w:rtl/>
              </w:rPr>
              <w:t xml:space="preserve">ن والمؤلفون الرئيسيون </w:t>
            </w:r>
            <w:r w:rsidR="00A67158">
              <w:rPr>
                <w:rFonts w:cs="Traditional Arabic" w:hint="cs"/>
                <w:sz w:val="18"/>
                <w:rtl/>
              </w:rPr>
              <w:t xml:space="preserve">المنسقون </w:t>
            </w:r>
            <w:r w:rsidRPr="004974A2">
              <w:rPr>
                <w:rFonts w:cs="Traditional Arabic" w:hint="cs"/>
                <w:sz w:val="18"/>
                <w:rtl/>
              </w:rPr>
              <w:t xml:space="preserve">والمؤلفون </w:t>
            </w:r>
            <w:r w:rsidR="00A67158">
              <w:rPr>
                <w:rFonts w:cs="Traditional Arabic" w:hint="cs"/>
                <w:sz w:val="18"/>
                <w:rtl/>
              </w:rPr>
              <w:t xml:space="preserve">الرئيسيون </w:t>
            </w:r>
            <w:r w:rsidR="000D0FB1">
              <w:rPr>
                <w:rFonts w:cs="Traditional Arabic" w:hint="cs"/>
                <w:sz w:val="18"/>
                <w:rtl/>
              </w:rPr>
              <w:t>المشروع</w:t>
            </w:r>
            <w:r w:rsidRPr="004974A2">
              <w:rPr>
                <w:rFonts w:cs="Traditional Arabic" w:hint="cs"/>
                <w:sz w:val="18"/>
                <w:rtl/>
              </w:rPr>
              <w:t xml:space="preserve"> النهائي للتقرير </w:t>
            </w:r>
            <w:r w:rsidR="000D0FB1">
              <w:rPr>
                <w:rFonts w:cs="Traditional Arabic" w:hint="cs"/>
                <w:sz w:val="18"/>
                <w:rtl/>
              </w:rPr>
              <w:t>والمشروع</w:t>
            </w:r>
            <w:r w:rsidRPr="004974A2">
              <w:rPr>
                <w:rFonts w:cs="Traditional Arabic" w:hint="cs"/>
                <w:sz w:val="18"/>
                <w:rtl/>
              </w:rPr>
              <w:t xml:space="preserve"> النهائي لملخص </w:t>
            </w:r>
            <w:r w:rsidR="000D0FB1">
              <w:rPr>
                <w:rFonts w:cs="Traditional Arabic" w:hint="cs"/>
                <w:sz w:val="18"/>
                <w:rtl/>
              </w:rPr>
              <w:t>مقرري</w:t>
            </w:r>
            <w:r w:rsidRPr="004974A2">
              <w:rPr>
                <w:rFonts w:cs="Traditional Arabic" w:hint="cs"/>
                <w:sz w:val="18"/>
                <w:rtl/>
              </w:rPr>
              <w:t xml:space="preserve"> السياسات تحت إشراف المحررين </w:t>
            </w:r>
            <w:r w:rsidR="007E0D47">
              <w:rPr>
                <w:rFonts w:cs="Traditional Arabic" w:hint="cs"/>
                <w:sz w:val="18"/>
                <w:rtl/>
              </w:rPr>
              <w:t xml:space="preserve">المراجعين </w:t>
            </w:r>
            <w:r w:rsidRPr="004974A2">
              <w:rPr>
                <w:rFonts w:cs="Traditional Arabic" w:hint="cs"/>
                <w:sz w:val="18"/>
                <w:rtl/>
              </w:rPr>
              <w:t>والفريق خلال أيلو</w:t>
            </w:r>
            <w:r w:rsidR="00C47FEC">
              <w:rPr>
                <w:rFonts w:cs="Traditional Arabic" w:hint="cs"/>
                <w:sz w:val="18"/>
                <w:rtl/>
              </w:rPr>
              <w:t>ل</w:t>
            </w:r>
            <w:r w:rsidRPr="004974A2">
              <w:rPr>
                <w:rFonts w:cs="Traditional Arabic" w:hint="cs"/>
                <w:sz w:val="18"/>
                <w:rtl/>
              </w:rPr>
              <w:t xml:space="preserve">/سبتمبر </w:t>
            </w:r>
            <w:r w:rsidR="00A67158">
              <w:rPr>
                <w:rFonts w:cs="Traditional Arabic" w:hint="cs"/>
                <w:sz w:val="18"/>
                <w:rtl/>
              </w:rPr>
              <w:t>-</w:t>
            </w:r>
            <w:r w:rsidRPr="004974A2">
              <w:rPr>
                <w:rFonts w:cs="Traditional Arabic" w:hint="cs"/>
                <w:sz w:val="18"/>
                <w:rtl/>
              </w:rPr>
              <w:t xml:space="preserve"> تشرين الأول/أكتوبر 2015 (شهران). ويعقد اجتماع ثالث للمؤلفين في تشرين الأول/أكتوبر 2015.</w:t>
            </w:r>
          </w:p>
        </w:tc>
      </w:tr>
      <w:tr w:rsidR="006859A4" w:rsidRPr="004974A2" w:rsidTr="004974A2">
        <w:tc>
          <w:tcPr>
            <w:tcW w:w="1219" w:type="dxa"/>
            <w:vMerge/>
            <w:shd w:val="clear" w:color="auto" w:fill="auto"/>
            <w:vAlign w:val="center"/>
          </w:tcPr>
          <w:p w:rsidR="006859A4" w:rsidRPr="004974A2" w:rsidRDefault="006859A4" w:rsidP="00C47FEC">
            <w:pPr>
              <w:spacing w:before="60" w:after="60" w:line="360" w:lineRule="exact"/>
              <w:jc w:val="center"/>
              <w:rPr>
                <w:rFonts w:cs="Traditional Arabic" w:hint="cs"/>
                <w:sz w:val="18"/>
                <w:rtl/>
              </w:rPr>
            </w:pPr>
          </w:p>
        </w:tc>
        <w:tc>
          <w:tcPr>
            <w:tcW w:w="1275" w:type="dxa"/>
            <w:shd w:val="clear" w:color="auto" w:fill="auto"/>
          </w:tcPr>
          <w:p w:rsidR="006859A4" w:rsidRPr="004974A2" w:rsidRDefault="00267023" w:rsidP="004974A2">
            <w:pPr>
              <w:spacing w:before="60" w:after="60" w:line="360" w:lineRule="exact"/>
              <w:jc w:val="both"/>
              <w:rPr>
                <w:rFonts w:cs="Traditional Arabic" w:hint="cs"/>
                <w:sz w:val="18"/>
                <w:rtl/>
              </w:rPr>
            </w:pPr>
            <w:r>
              <w:rPr>
                <w:rFonts w:cs="Traditional Arabic" w:hint="cs"/>
                <w:sz w:val="18"/>
                <w:rtl/>
              </w:rPr>
              <w:t>الربع الرابع</w:t>
            </w:r>
          </w:p>
        </w:tc>
        <w:tc>
          <w:tcPr>
            <w:tcW w:w="5778" w:type="dxa"/>
            <w:shd w:val="clear" w:color="auto" w:fill="auto"/>
          </w:tcPr>
          <w:p w:rsidR="006859A4" w:rsidRPr="004974A2" w:rsidRDefault="00C914C4" w:rsidP="000D0FB1">
            <w:pPr>
              <w:spacing w:before="60" w:after="60" w:line="360" w:lineRule="exact"/>
              <w:jc w:val="both"/>
              <w:rPr>
                <w:rFonts w:cs="Traditional Arabic" w:hint="cs"/>
                <w:sz w:val="18"/>
                <w:rtl/>
              </w:rPr>
            </w:pPr>
            <w:r w:rsidRPr="004974A2">
              <w:rPr>
                <w:rFonts w:cs="Traditional Arabic" w:hint="cs"/>
                <w:sz w:val="18"/>
                <w:rtl/>
              </w:rPr>
              <w:t xml:space="preserve">يترجم الملخص الخاص </w:t>
            </w:r>
            <w:r w:rsidR="000D0FB1">
              <w:rPr>
                <w:rFonts w:cs="Traditional Arabic" w:hint="cs"/>
                <w:sz w:val="18"/>
                <w:rtl/>
              </w:rPr>
              <w:t>بمقرري</w:t>
            </w:r>
            <w:r w:rsidRPr="004974A2">
              <w:rPr>
                <w:rFonts w:cs="Traditional Arabic" w:hint="cs"/>
                <w:sz w:val="18"/>
                <w:rtl/>
              </w:rPr>
              <w:t xml:space="preserve"> السياسات إلى </w:t>
            </w:r>
            <w:r w:rsidR="007E0D47">
              <w:rPr>
                <w:rFonts w:cs="Traditional Arabic" w:hint="cs"/>
                <w:sz w:val="18"/>
                <w:rtl/>
              </w:rPr>
              <w:t xml:space="preserve">جميع </w:t>
            </w:r>
            <w:r w:rsidRPr="004974A2">
              <w:rPr>
                <w:rFonts w:cs="Traditional Arabic" w:hint="cs"/>
                <w:sz w:val="18"/>
                <w:rtl/>
              </w:rPr>
              <w:t>ل</w:t>
            </w:r>
            <w:r w:rsidR="00F22C22" w:rsidRPr="004974A2">
              <w:rPr>
                <w:rFonts w:cs="Traditional Arabic" w:hint="cs"/>
                <w:sz w:val="18"/>
                <w:rtl/>
              </w:rPr>
              <w:t xml:space="preserve">غات الأمم المتحدة الرسمية </w:t>
            </w:r>
            <w:r w:rsidRPr="004974A2">
              <w:rPr>
                <w:rFonts w:cs="Traditional Arabic" w:hint="cs"/>
                <w:sz w:val="18"/>
                <w:rtl/>
              </w:rPr>
              <w:t>بحلول منتصف كانون الأول/ديسمبر 2015 كأقصى تقدير (1</w:t>
            </w:r>
            <w:r w:rsidR="00C47FEC">
              <w:rPr>
                <w:rFonts w:cs="Traditional Arabic" w:hint="cs"/>
                <w:sz w:val="18"/>
                <w:rtl/>
              </w:rPr>
              <w:t>,</w:t>
            </w:r>
            <w:r w:rsidRPr="004974A2">
              <w:rPr>
                <w:rFonts w:cs="Traditional Arabic" w:hint="cs"/>
                <w:sz w:val="18"/>
                <w:rtl/>
              </w:rPr>
              <w:t>5 شهر).</w:t>
            </w:r>
          </w:p>
        </w:tc>
      </w:tr>
      <w:tr w:rsidR="006859A4" w:rsidRPr="004974A2" w:rsidTr="004974A2">
        <w:tc>
          <w:tcPr>
            <w:tcW w:w="1219" w:type="dxa"/>
            <w:vMerge w:val="restart"/>
            <w:shd w:val="clear" w:color="auto" w:fill="auto"/>
            <w:vAlign w:val="center"/>
          </w:tcPr>
          <w:p w:rsidR="006859A4" w:rsidRPr="004974A2" w:rsidRDefault="006859A4" w:rsidP="00C47FEC">
            <w:pPr>
              <w:spacing w:before="60" w:after="60" w:line="360" w:lineRule="exact"/>
              <w:jc w:val="center"/>
              <w:rPr>
                <w:rFonts w:cs="Traditional Arabic" w:hint="cs"/>
                <w:sz w:val="18"/>
                <w:rtl/>
              </w:rPr>
            </w:pPr>
            <w:r w:rsidRPr="004974A2">
              <w:rPr>
                <w:rFonts w:cs="Traditional Arabic" w:hint="cs"/>
                <w:sz w:val="18"/>
                <w:rtl/>
              </w:rPr>
              <w:t>2016</w:t>
            </w:r>
          </w:p>
        </w:tc>
        <w:tc>
          <w:tcPr>
            <w:tcW w:w="1275" w:type="dxa"/>
            <w:shd w:val="clear" w:color="auto" w:fill="auto"/>
          </w:tcPr>
          <w:p w:rsidR="006859A4" w:rsidRPr="004974A2" w:rsidRDefault="00267023" w:rsidP="004974A2">
            <w:pPr>
              <w:spacing w:before="60" w:after="60" w:line="360" w:lineRule="exact"/>
              <w:jc w:val="both"/>
              <w:rPr>
                <w:rFonts w:cs="Traditional Arabic" w:hint="cs"/>
                <w:sz w:val="18"/>
                <w:rtl/>
              </w:rPr>
            </w:pPr>
            <w:r>
              <w:rPr>
                <w:rFonts w:cs="Traditional Arabic" w:hint="cs"/>
                <w:sz w:val="18"/>
                <w:rtl/>
              </w:rPr>
              <w:t>الربع الأول</w:t>
            </w:r>
          </w:p>
        </w:tc>
        <w:tc>
          <w:tcPr>
            <w:tcW w:w="5778" w:type="dxa"/>
            <w:shd w:val="clear" w:color="auto" w:fill="auto"/>
          </w:tcPr>
          <w:p w:rsidR="006859A4" w:rsidRPr="004974A2" w:rsidRDefault="000D0FB1" w:rsidP="000D0FB1">
            <w:pPr>
              <w:spacing w:before="60" w:after="60" w:line="360" w:lineRule="exact"/>
              <w:jc w:val="both"/>
              <w:rPr>
                <w:rFonts w:cs="Traditional Arabic" w:hint="cs"/>
                <w:sz w:val="18"/>
                <w:rtl/>
              </w:rPr>
            </w:pPr>
            <w:r>
              <w:rPr>
                <w:rFonts w:cs="Traditional Arabic" w:hint="cs"/>
                <w:sz w:val="18"/>
                <w:rtl/>
              </w:rPr>
              <w:t>ي</w:t>
            </w:r>
            <w:r w:rsidR="00C914C4" w:rsidRPr="004974A2">
              <w:rPr>
                <w:rFonts w:cs="Traditional Arabic" w:hint="cs"/>
                <w:sz w:val="18"/>
                <w:rtl/>
              </w:rPr>
              <w:t xml:space="preserve">رسل </w:t>
            </w:r>
            <w:r>
              <w:rPr>
                <w:rFonts w:cs="Traditional Arabic" w:hint="cs"/>
                <w:sz w:val="18"/>
                <w:rtl/>
              </w:rPr>
              <w:t>المشروع</w:t>
            </w:r>
            <w:r w:rsidR="00C914C4" w:rsidRPr="004974A2">
              <w:rPr>
                <w:rFonts w:cs="Traditional Arabic" w:hint="cs"/>
                <w:sz w:val="18"/>
                <w:rtl/>
              </w:rPr>
              <w:t xml:space="preserve"> النهائي للتقرير وملخص </w:t>
            </w:r>
            <w:r>
              <w:rPr>
                <w:rFonts w:cs="Traditional Arabic" w:hint="cs"/>
                <w:sz w:val="18"/>
                <w:rtl/>
              </w:rPr>
              <w:t>مقرري</w:t>
            </w:r>
            <w:r w:rsidR="00C914C4" w:rsidRPr="004974A2">
              <w:rPr>
                <w:rFonts w:cs="Traditional Arabic" w:hint="cs"/>
                <w:sz w:val="18"/>
                <w:rtl/>
              </w:rPr>
              <w:t xml:space="preserve"> السياسات إلى الحكومات وغيرها من أصحاب المصلحة لإجراء الاستعراض النهائي خلال كانون الثاني/يناير وشباط/فبراير </w:t>
            </w:r>
            <w:r w:rsidR="00DC5852" w:rsidRPr="004974A2">
              <w:rPr>
                <w:rFonts w:cs="Traditional Arabic" w:hint="cs"/>
                <w:sz w:val="18"/>
                <w:rtl/>
              </w:rPr>
              <w:t>2016 (1</w:t>
            </w:r>
            <w:r w:rsidR="00C47FEC">
              <w:rPr>
                <w:rFonts w:cs="Traditional Arabic" w:hint="cs"/>
                <w:sz w:val="18"/>
                <w:rtl/>
              </w:rPr>
              <w:t>,</w:t>
            </w:r>
            <w:r w:rsidR="00DC5852" w:rsidRPr="004974A2">
              <w:rPr>
                <w:rFonts w:cs="Traditional Arabic" w:hint="cs"/>
                <w:sz w:val="18"/>
                <w:rtl/>
              </w:rPr>
              <w:t xml:space="preserve">5-2 شهر). ويجري تشجيع الحكومات بشدة على تقديم تعليقات مكتوبة عن مشروع ملخص </w:t>
            </w:r>
            <w:r>
              <w:rPr>
                <w:rFonts w:cs="Traditional Arabic" w:hint="cs"/>
                <w:sz w:val="18"/>
                <w:rtl/>
              </w:rPr>
              <w:t>مقرري</w:t>
            </w:r>
            <w:r w:rsidR="00DC5852" w:rsidRPr="004974A2">
              <w:rPr>
                <w:rFonts w:cs="Traditional Arabic" w:hint="cs"/>
                <w:sz w:val="18"/>
                <w:rtl/>
              </w:rPr>
              <w:t xml:space="preserve"> السياسات. وينبغي تقديم هذه التعليقات للأمانة قبل أسبوع و</w:t>
            </w:r>
            <w:r w:rsidR="00B53884">
              <w:rPr>
                <w:rFonts w:cs="Traditional Arabic" w:hint="cs"/>
                <w:sz w:val="18"/>
                <w:rtl/>
              </w:rPr>
              <w:t>ا</w:t>
            </w:r>
            <w:r w:rsidR="00DC5852" w:rsidRPr="004974A2">
              <w:rPr>
                <w:rFonts w:cs="Traditional Arabic" w:hint="cs"/>
                <w:sz w:val="18"/>
                <w:rtl/>
              </w:rPr>
              <w:t>حد من الدورة الرابعة للاجتماع العام.</w:t>
            </w:r>
          </w:p>
        </w:tc>
      </w:tr>
      <w:tr w:rsidR="006859A4" w:rsidRPr="004974A2" w:rsidTr="004974A2">
        <w:tc>
          <w:tcPr>
            <w:tcW w:w="1219" w:type="dxa"/>
            <w:vMerge/>
            <w:shd w:val="clear" w:color="auto" w:fill="auto"/>
            <w:vAlign w:val="center"/>
          </w:tcPr>
          <w:p w:rsidR="006859A4" w:rsidRPr="004974A2" w:rsidRDefault="006859A4" w:rsidP="004974A2">
            <w:pPr>
              <w:spacing w:before="60" w:after="60" w:line="360" w:lineRule="exact"/>
              <w:rPr>
                <w:rFonts w:cs="Traditional Arabic" w:hint="cs"/>
                <w:sz w:val="18"/>
                <w:rtl/>
              </w:rPr>
            </w:pPr>
          </w:p>
        </w:tc>
        <w:tc>
          <w:tcPr>
            <w:tcW w:w="1275" w:type="dxa"/>
            <w:shd w:val="clear" w:color="auto" w:fill="auto"/>
          </w:tcPr>
          <w:p w:rsidR="006859A4" w:rsidRPr="004974A2" w:rsidRDefault="00267023" w:rsidP="004974A2">
            <w:pPr>
              <w:spacing w:before="60" w:after="60" w:line="360" w:lineRule="exact"/>
              <w:jc w:val="both"/>
              <w:rPr>
                <w:rFonts w:cs="Traditional Arabic" w:hint="cs"/>
                <w:sz w:val="18"/>
                <w:rtl/>
              </w:rPr>
            </w:pPr>
            <w:r>
              <w:rPr>
                <w:rFonts w:cs="Traditional Arabic" w:hint="cs"/>
                <w:sz w:val="18"/>
                <w:rtl/>
              </w:rPr>
              <w:t>الربع الأول</w:t>
            </w:r>
          </w:p>
        </w:tc>
        <w:tc>
          <w:tcPr>
            <w:tcW w:w="5778" w:type="dxa"/>
            <w:shd w:val="clear" w:color="auto" w:fill="auto"/>
          </w:tcPr>
          <w:p w:rsidR="006859A4" w:rsidRPr="004974A2" w:rsidRDefault="00DC5852" w:rsidP="000D0FB1">
            <w:pPr>
              <w:spacing w:before="60" w:after="60" w:line="360" w:lineRule="exact"/>
              <w:jc w:val="both"/>
              <w:rPr>
                <w:rFonts w:cs="Traditional Arabic" w:hint="cs"/>
                <w:sz w:val="18"/>
                <w:rtl/>
              </w:rPr>
            </w:pPr>
            <w:r w:rsidRPr="004974A2">
              <w:rPr>
                <w:rFonts w:cs="Traditional Arabic" w:hint="cs"/>
                <w:sz w:val="18"/>
                <w:rtl/>
              </w:rPr>
              <w:t xml:space="preserve">يستعرض الاجتماع العام ويوافق على التقرير، ويستعرض ويوافق على الملخص </w:t>
            </w:r>
            <w:r w:rsidR="000D0FB1">
              <w:rPr>
                <w:rFonts w:cs="Traditional Arabic" w:hint="cs"/>
                <w:sz w:val="18"/>
                <w:rtl/>
              </w:rPr>
              <w:t>لمقرري</w:t>
            </w:r>
            <w:r w:rsidRPr="004974A2">
              <w:rPr>
                <w:rFonts w:cs="Traditional Arabic" w:hint="cs"/>
                <w:sz w:val="18"/>
                <w:rtl/>
              </w:rPr>
              <w:t xml:space="preserve"> السياسات خلال دورته الرابعة في آذار/مارس 2016.</w:t>
            </w:r>
          </w:p>
        </w:tc>
      </w:tr>
    </w:tbl>
    <w:p w:rsidR="002323CD" w:rsidRPr="00022656" w:rsidRDefault="00022656" w:rsidP="003609A9">
      <w:pPr>
        <w:spacing w:before="120" w:after="120" w:line="400" w:lineRule="exact"/>
        <w:ind w:left="1135" w:hanging="995"/>
        <w:jc w:val="both"/>
        <w:rPr>
          <w:rFonts w:cs="Traditional Arabic" w:hint="cs"/>
          <w:b/>
          <w:bCs/>
          <w:sz w:val="32"/>
          <w:szCs w:val="32"/>
          <w:rtl/>
        </w:rPr>
      </w:pPr>
      <w:r>
        <w:rPr>
          <w:rFonts w:cs="Traditional Arabic" w:hint="cs"/>
          <w:b/>
          <w:bCs/>
          <w:sz w:val="32"/>
          <w:szCs w:val="32"/>
          <w:rtl/>
        </w:rPr>
        <w:t>خامساً</w:t>
      </w:r>
      <w:r w:rsidRPr="00022656">
        <w:rPr>
          <w:rFonts w:cs="Traditional Arabic" w:hint="cs"/>
          <w:b/>
          <w:bCs/>
          <w:sz w:val="32"/>
          <w:szCs w:val="32"/>
          <w:rtl/>
        </w:rPr>
        <w:t xml:space="preserve"> -</w:t>
      </w:r>
      <w:r w:rsidRPr="00022656">
        <w:rPr>
          <w:rFonts w:cs="Traditional Arabic" w:hint="cs"/>
          <w:b/>
          <w:bCs/>
          <w:sz w:val="32"/>
          <w:szCs w:val="32"/>
          <w:rtl/>
        </w:rPr>
        <w:tab/>
        <w:t>تقدير</w:t>
      </w:r>
      <w:r w:rsidR="006859A4" w:rsidRPr="00022656">
        <w:rPr>
          <w:rFonts w:cs="Traditional Arabic" w:hint="cs"/>
          <w:b/>
          <w:bCs/>
          <w:sz w:val="32"/>
          <w:szCs w:val="32"/>
          <w:rtl/>
        </w:rPr>
        <w:t xml:space="preserve"> التكاليف</w:t>
      </w:r>
    </w:p>
    <w:p w:rsidR="00164C70" w:rsidRDefault="00164C70" w:rsidP="00022656">
      <w:pPr>
        <w:spacing w:after="120" w:line="400" w:lineRule="exact"/>
        <w:ind w:left="1134"/>
        <w:jc w:val="both"/>
        <w:rPr>
          <w:rFonts w:cs="Traditional Arabic" w:hint="cs"/>
          <w:szCs w:val="30"/>
          <w:rtl/>
        </w:rPr>
      </w:pPr>
      <w:r>
        <w:rPr>
          <w:rFonts w:cs="Traditional Arabic" w:hint="cs"/>
          <w:szCs w:val="30"/>
          <w:rtl/>
        </w:rPr>
        <w:t>18</w:t>
      </w:r>
      <w:r w:rsidR="00562C38">
        <w:rPr>
          <w:rFonts w:cs="Traditional Arabic" w:hint="cs"/>
          <w:szCs w:val="30"/>
          <w:rtl/>
        </w:rPr>
        <w:t xml:space="preserve"> -</w:t>
      </w:r>
      <w:r w:rsidR="00562C38">
        <w:rPr>
          <w:rFonts w:cs="Traditional Arabic" w:hint="cs"/>
          <w:szCs w:val="30"/>
          <w:rtl/>
        </w:rPr>
        <w:tab/>
      </w:r>
      <w:r>
        <w:rPr>
          <w:rFonts w:cs="Traditional Arabic" w:hint="cs"/>
          <w:szCs w:val="30"/>
          <w:rtl/>
        </w:rPr>
        <w:t>يبين الجدول التال</w:t>
      </w:r>
      <w:r w:rsidR="00562C38">
        <w:rPr>
          <w:rFonts w:cs="Traditional Arabic" w:hint="cs"/>
          <w:szCs w:val="30"/>
          <w:rtl/>
        </w:rPr>
        <w:t>ي</w:t>
      </w:r>
      <w:r>
        <w:rPr>
          <w:rFonts w:cs="Traditional Arabic" w:hint="cs"/>
          <w:szCs w:val="30"/>
          <w:rtl/>
        </w:rPr>
        <w:t xml:space="preserve"> التكاليف التقديرية،</w:t>
      </w:r>
      <w:r w:rsidR="00B53884">
        <w:rPr>
          <w:rFonts w:cs="Traditional Arabic" w:hint="cs"/>
          <w:szCs w:val="30"/>
          <w:rtl/>
        </w:rPr>
        <w:t xml:space="preserve"> </w:t>
      </w:r>
      <w:r>
        <w:rPr>
          <w:rFonts w:cs="Traditional Arabic" w:hint="cs"/>
          <w:szCs w:val="30"/>
          <w:rtl/>
        </w:rPr>
        <w:t>لإجراء التقييم وإعداد</w:t>
      </w:r>
      <w:r w:rsidR="007D394B">
        <w:rPr>
          <w:rFonts w:cs="Traditional Arabic" w:hint="cs"/>
          <w:szCs w:val="30"/>
          <w:rtl/>
        </w:rPr>
        <w:t xml:space="preserve"> تقرير التقييم المواضيع</w:t>
      </w:r>
      <w:r w:rsidR="00B53884">
        <w:rPr>
          <w:rFonts w:cs="Traditional Arabic" w:hint="cs"/>
          <w:szCs w:val="30"/>
          <w:rtl/>
        </w:rPr>
        <w:t>ي</w:t>
      </w:r>
      <w:r w:rsidR="00A87FB4">
        <w:rPr>
          <w:rFonts w:cs="Traditional Arabic" w:hint="cs"/>
          <w:szCs w:val="30"/>
          <w:rtl/>
        </w:rPr>
        <w:t>.</w:t>
      </w:r>
    </w:p>
    <w:p w:rsidR="00267023" w:rsidRDefault="00267023" w:rsidP="00B44C21">
      <w:pPr>
        <w:spacing w:after="120" w:line="400" w:lineRule="exact"/>
        <w:ind w:left="1440"/>
        <w:jc w:val="both"/>
        <w:rPr>
          <w:rFonts w:cs="Traditional Arabic" w:hint="cs"/>
          <w:szCs w:val="30"/>
          <w:rtl/>
        </w:rPr>
      </w:pPr>
      <w:r>
        <w:rPr>
          <w:rFonts w:cs="Traditional Arabic" w:hint="cs"/>
          <w:szCs w:val="30"/>
          <w:rtl/>
        </w:rPr>
        <w:t>(</w:t>
      </w:r>
      <w:r w:rsidRPr="00267023">
        <w:rPr>
          <w:rFonts w:cs="Traditional Arabic" w:hint="cs"/>
          <w:szCs w:val="30"/>
          <w:rtl/>
        </w:rPr>
        <w:t>بدولارات الولايات المتحدة</w:t>
      </w:r>
      <w:r>
        <w:rPr>
          <w:rFonts w:cs="Traditional Arabic" w:hint="cs"/>
          <w:szCs w:val="30"/>
          <w:rtl/>
        </w:rPr>
        <w:t>)</w:t>
      </w:r>
    </w:p>
    <w:tbl>
      <w:tblPr>
        <w:bidiVisual/>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496"/>
        <w:gridCol w:w="3403"/>
        <w:gridCol w:w="1383"/>
      </w:tblGrid>
      <w:tr w:rsidR="00DC5852" w:rsidRPr="00B44C21" w:rsidTr="003609A9">
        <w:trPr>
          <w:tblHeader/>
        </w:trPr>
        <w:tc>
          <w:tcPr>
            <w:tcW w:w="990" w:type="dxa"/>
            <w:tcBorders>
              <w:bottom w:val="single" w:sz="4" w:space="0" w:color="auto"/>
            </w:tcBorders>
            <w:shd w:val="clear" w:color="auto" w:fill="auto"/>
          </w:tcPr>
          <w:p w:rsidR="00DC5852" w:rsidRPr="00B44C21" w:rsidRDefault="00DC5852" w:rsidP="004974A2">
            <w:pPr>
              <w:spacing w:before="60" w:after="60" w:line="340" w:lineRule="exact"/>
              <w:jc w:val="both"/>
              <w:rPr>
                <w:rFonts w:cs="Traditional Arabic" w:hint="cs"/>
                <w:i/>
                <w:iCs/>
                <w:sz w:val="18"/>
                <w:rtl/>
              </w:rPr>
            </w:pPr>
            <w:r w:rsidRPr="00B44C21">
              <w:rPr>
                <w:rFonts w:cs="Traditional Arabic" w:hint="cs"/>
                <w:i/>
                <w:iCs/>
                <w:sz w:val="18"/>
                <w:rtl/>
              </w:rPr>
              <w:t>السنة</w:t>
            </w:r>
          </w:p>
        </w:tc>
        <w:tc>
          <w:tcPr>
            <w:tcW w:w="2496" w:type="dxa"/>
            <w:tcBorders>
              <w:bottom w:val="single" w:sz="4" w:space="0" w:color="auto"/>
            </w:tcBorders>
            <w:shd w:val="clear" w:color="auto" w:fill="auto"/>
          </w:tcPr>
          <w:p w:rsidR="00DC5852" w:rsidRPr="00B44C21" w:rsidRDefault="00DC5852" w:rsidP="004974A2">
            <w:pPr>
              <w:spacing w:before="60" w:after="60" w:line="340" w:lineRule="exact"/>
              <w:jc w:val="both"/>
              <w:rPr>
                <w:rFonts w:cs="Traditional Arabic" w:hint="cs"/>
                <w:i/>
                <w:iCs/>
                <w:sz w:val="18"/>
                <w:rtl/>
              </w:rPr>
            </w:pPr>
            <w:r w:rsidRPr="00B44C21">
              <w:rPr>
                <w:rFonts w:cs="Traditional Arabic" w:hint="cs"/>
                <w:i/>
                <w:iCs/>
                <w:sz w:val="18"/>
                <w:rtl/>
              </w:rPr>
              <w:t>بند التكاليف</w:t>
            </w:r>
          </w:p>
        </w:tc>
        <w:tc>
          <w:tcPr>
            <w:tcW w:w="3403" w:type="dxa"/>
            <w:shd w:val="clear" w:color="auto" w:fill="auto"/>
          </w:tcPr>
          <w:p w:rsidR="00DC5852" w:rsidRPr="00B44C21" w:rsidRDefault="00DC5852" w:rsidP="004974A2">
            <w:pPr>
              <w:spacing w:before="60" w:after="60" w:line="340" w:lineRule="exact"/>
              <w:jc w:val="both"/>
              <w:rPr>
                <w:rFonts w:cs="Traditional Arabic" w:hint="cs"/>
                <w:i/>
                <w:iCs/>
                <w:sz w:val="18"/>
                <w:rtl/>
              </w:rPr>
            </w:pPr>
            <w:r w:rsidRPr="00B44C21">
              <w:rPr>
                <w:rFonts w:cs="Traditional Arabic" w:hint="cs"/>
                <w:i/>
                <w:iCs/>
                <w:sz w:val="18"/>
                <w:rtl/>
              </w:rPr>
              <w:t>الافتراضات</w:t>
            </w:r>
          </w:p>
        </w:tc>
        <w:tc>
          <w:tcPr>
            <w:tcW w:w="1383" w:type="dxa"/>
            <w:shd w:val="clear" w:color="auto" w:fill="auto"/>
          </w:tcPr>
          <w:p w:rsidR="00DC5852" w:rsidRPr="00B44C21" w:rsidRDefault="00DC5852" w:rsidP="004974A2">
            <w:pPr>
              <w:spacing w:before="60" w:after="60" w:line="340" w:lineRule="exact"/>
              <w:jc w:val="both"/>
              <w:rPr>
                <w:rFonts w:cs="Traditional Arabic" w:hint="cs"/>
                <w:i/>
                <w:iCs/>
                <w:sz w:val="18"/>
                <w:rtl/>
              </w:rPr>
            </w:pPr>
            <w:r w:rsidRPr="00B44C21">
              <w:rPr>
                <w:rFonts w:cs="Traditional Arabic" w:hint="cs"/>
                <w:i/>
                <w:iCs/>
                <w:sz w:val="18"/>
                <w:rtl/>
              </w:rPr>
              <w:t>التكلفة</w:t>
            </w:r>
          </w:p>
        </w:tc>
      </w:tr>
      <w:tr w:rsidR="00DC5852" w:rsidRPr="004974A2" w:rsidTr="003609A9">
        <w:tc>
          <w:tcPr>
            <w:tcW w:w="990" w:type="dxa"/>
            <w:vMerge w:val="restart"/>
            <w:tcBorders>
              <w:bottom w:val="nil"/>
            </w:tcBorders>
            <w:shd w:val="clear" w:color="auto" w:fill="auto"/>
            <w:vAlign w:val="center"/>
          </w:tcPr>
          <w:p w:rsidR="00DC5852" w:rsidRPr="004974A2" w:rsidRDefault="00DC5852" w:rsidP="00C47FEC">
            <w:pPr>
              <w:spacing w:before="60" w:after="60" w:line="340" w:lineRule="exact"/>
              <w:jc w:val="center"/>
              <w:rPr>
                <w:rFonts w:cs="Traditional Arabic" w:hint="cs"/>
                <w:sz w:val="18"/>
                <w:rtl/>
              </w:rPr>
            </w:pPr>
            <w:r w:rsidRPr="004974A2">
              <w:rPr>
                <w:rFonts w:cs="Traditional Arabic" w:hint="cs"/>
                <w:sz w:val="18"/>
                <w:rtl/>
              </w:rPr>
              <w:t>2014</w:t>
            </w:r>
          </w:p>
        </w:tc>
        <w:tc>
          <w:tcPr>
            <w:tcW w:w="2496" w:type="dxa"/>
            <w:vMerge w:val="restart"/>
            <w:shd w:val="clear" w:color="auto" w:fill="auto"/>
          </w:tcPr>
          <w:p w:rsidR="00DC5852" w:rsidRPr="004974A2" w:rsidRDefault="00DC5852" w:rsidP="00B44C21">
            <w:pPr>
              <w:spacing w:before="60" w:after="60" w:line="320" w:lineRule="exact"/>
              <w:jc w:val="both"/>
              <w:rPr>
                <w:rFonts w:cs="Traditional Arabic" w:hint="cs"/>
                <w:sz w:val="18"/>
                <w:rtl/>
              </w:rPr>
            </w:pPr>
            <w:r w:rsidRPr="004974A2">
              <w:rPr>
                <w:rFonts w:cs="Traditional Arabic" w:hint="cs"/>
                <w:sz w:val="18"/>
                <w:rtl/>
              </w:rPr>
              <w:t xml:space="preserve">اجتماع </w:t>
            </w:r>
            <w:r w:rsidR="007E0D47">
              <w:rPr>
                <w:rFonts w:cs="Traditional Arabic" w:hint="cs"/>
                <w:sz w:val="18"/>
                <w:rtl/>
              </w:rPr>
              <w:t>تحديد النطاق</w:t>
            </w:r>
            <w:r w:rsidRPr="004974A2">
              <w:rPr>
                <w:rFonts w:cs="Traditional Arabic" w:hint="cs"/>
                <w:sz w:val="18"/>
                <w:rtl/>
              </w:rPr>
              <w:t xml:space="preserve"> (40 مشاركاً: أعضاء </w:t>
            </w:r>
            <w:r w:rsidR="007E0D47">
              <w:rPr>
                <w:rFonts w:cs="Traditional Arabic" w:hint="cs"/>
                <w:sz w:val="18"/>
                <w:rtl/>
              </w:rPr>
              <w:t>فريق الخبراء المتعدد التخصصات</w:t>
            </w:r>
            <w:r w:rsidR="003609A9">
              <w:rPr>
                <w:rFonts w:cs="Traditional Arabic" w:hint="cs"/>
                <w:sz w:val="18"/>
                <w:rtl/>
              </w:rPr>
              <w:t>/</w:t>
            </w:r>
            <w:r w:rsidRPr="004974A2">
              <w:rPr>
                <w:rFonts w:cs="Traditional Arabic" w:hint="cs"/>
                <w:sz w:val="18"/>
                <w:rtl/>
              </w:rPr>
              <w:t xml:space="preserve">المكتب </w:t>
            </w:r>
            <w:r w:rsidR="000D0FB1">
              <w:rPr>
                <w:rFonts w:cs="Traditional Arabic" w:hint="cs"/>
                <w:sz w:val="18"/>
                <w:rtl/>
              </w:rPr>
              <w:t>زائداً</w:t>
            </w:r>
            <w:r w:rsidRPr="004974A2">
              <w:rPr>
                <w:rFonts w:cs="Traditional Arabic" w:hint="cs"/>
                <w:sz w:val="18"/>
                <w:rtl/>
              </w:rPr>
              <w:t xml:space="preserve"> خبراء)</w:t>
            </w:r>
          </w:p>
        </w:tc>
        <w:tc>
          <w:tcPr>
            <w:tcW w:w="3403" w:type="dxa"/>
            <w:shd w:val="clear" w:color="auto" w:fill="auto"/>
          </w:tcPr>
          <w:p w:rsidR="00DC5852" w:rsidRPr="004974A2" w:rsidRDefault="00044BA2" w:rsidP="004974A2">
            <w:pPr>
              <w:spacing w:before="60" w:after="60" w:line="340" w:lineRule="exact"/>
              <w:jc w:val="both"/>
              <w:rPr>
                <w:rFonts w:cs="Traditional Arabic" w:hint="cs"/>
                <w:sz w:val="18"/>
                <w:rtl/>
              </w:rPr>
            </w:pPr>
            <w:r w:rsidRPr="004974A2">
              <w:rPr>
                <w:rFonts w:cs="Traditional Arabic" w:hint="cs"/>
                <w:sz w:val="18"/>
                <w:rtl/>
              </w:rPr>
              <w:t xml:space="preserve">تكاليف الاجتماع (أسبوع واحد، 40 مشاركاً) </w:t>
            </w:r>
            <w:r w:rsidR="00B53884">
              <w:rPr>
                <w:rFonts w:cs="Traditional Arabic" w:hint="cs"/>
                <w:sz w:val="18"/>
                <w:rtl/>
              </w:rPr>
              <w:t>(</w:t>
            </w:r>
            <w:r w:rsidRPr="004974A2">
              <w:rPr>
                <w:rFonts w:cs="Traditional Arabic" w:hint="cs"/>
                <w:sz w:val="18"/>
                <w:rtl/>
              </w:rPr>
              <w:t>25 في المائة عينية</w:t>
            </w:r>
            <w:r w:rsidR="00B53884">
              <w:rPr>
                <w:rFonts w:cs="Traditional Arabic" w:hint="cs"/>
                <w:sz w:val="18"/>
                <w:rtl/>
              </w:rPr>
              <w:t>)</w:t>
            </w:r>
          </w:p>
        </w:tc>
        <w:tc>
          <w:tcPr>
            <w:tcW w:w="1383" w:type="dxa"/>
            <w:shd w:val="clear" w:color="auto" w:fill="auto"/>
          </w:tcPr>
          <w:p w:rsidR="00DC5852" w:rsidRPr="004974A2" w:rsidRDefault="00DC5852" w:rsidP="00562C38">
            <w:pPr>
              <w:spacing w:before="60" w:after="60" w:line="340" w:lineRule="exact"/>
              <w:jc w:val="both"/>
              <w:rPr>
                <w:rFonts w:cs="Traditional Arabic" w:hint="cs"/>
                <w:sz w:val="18"/>
                <w:rtl/>
              </w:rPr>
            </w:pPr>
            <w:r w:rsidRPr="004974A2">
              <w:rPr>
                <w:rFonts w:cs="Traditional Arabic" w:hint="cs"/>
                <w:sz w:val="18"/>
                <w:rtl/>
              </w:rPr>
              <w:t>250</w:t>
            </w:r>
            <w:r w:rsidR="00562C38">
              <w:rPr>
                <w:rFonts w:cs="Traditional Arabic" w:hint="eastAsia"/>
                <w:sz w:val="18"/>
                <w:rtl/>
              </w:rPr>
              <w:t> </w:t>
            </w:r>
            <w:r w:rsidRPr="004974A2">
              <w:rPr>
                <w:rFonts w:cs="Traditional Arabic" w:hint="cs"/>
                <w:sz w:val="18"/>
                <w:rtl/>
              </w:rPr>
              <w:t>11</w:t>
            </w:r>
          </w:p>
        </w:tc>
      </w:tr>
      <w:tr w:rsidR="00DC5852" w:rsidRPr="004974A2" w:rsidTr="003609A9">
        <w:tc>
          <w:tcPr>
            <w:tcW w:w="990" w:type="dxa"/>
            <w:vMerge/>
            <w:tcBorders>
              <w:top w:val="nil"/>
              <w:bottom w:val="nil"/>
            </w:tcBorders>
            <w:shd w:val="clear" w:color="auto" w:fill="auto"/>
          </w:tcPr>
          <w:p w:rsidR="00DC5852" w:rsidRPr="004974A2" w:rsidRDefault="00DC5852" w:rsidP="004974A2">
            <w:pPr>
              <w:spacing w:before="60" w:after="60" w:line="340" w:lineRule="exact"/>
              <w:jc w:val="both"/>
              <w:rPr>
                <w:rFonts w:cs="Traditional Arabic" w:hint="cs"/>
                <w:sz w:val="18"/>
                <w:rtl/>
              </w:rPr>
            </w:pPr>
          </w:p>
        </w:tc>
        <w:tc>
          <w:tcPr>
            <w:tcW w:w="2496" w:type="dxa"/>
            <w:vMerge/>
            <w:tcBorders>
              <w:top w:val="single" w:sz="4" w:space="0" w:color="auto"/>
            </w:tcBorders>
            <w:shd w:val="clear" w:color="auto" w:fill="auto"/>
          </w:tcPr>
          <w:p w:rsidR="00DC5852" w:rsidRPr="004974A2" w:rsidRDefault="00DC5852" w:rsidP="004974A2">
            <w:pPr>
              <w:spacing w:before="60" w:after="60" w:line="340" w:lineRule="exact"/>
              <w:jc w:val="both"/>
              <w:rPr>
                <w:rFonts w:cs="Traditional Arabic" w:hint="cs"/>
                <w:sz w:val="18"/>
                <w:rtl/>
              </w:rPr>
            </w:pPr>
          </w:p>
        </w:tc>
        <w:tc>
          <w:tcPr>
            <w:tcW w:w="3403" w:type="dxa"/>
            <w:shd w:val="clear" w:color="auto" w:fill="auto"/>
          </w:tcPr>
          <w:p w:rsidR="00DC5852" w:rsidRPr="004974A2" w:rsidRDefault="00044BA2" w:rsidP="004974A2">
            <w:pPr>
              <w:spacing w:before="60" w:after="60" w:line="340" w:lineRule="exact"/>
              <w:jc w:val="both"/>
              <w:rPr>
                <w:rFonts w:cs="Traditional Arabic" w:hint="cs"/>
                <w:sz w:val="18"/>
                <w:rtl/>
              </w:rPr>
            </w:pPr>
            <w:r w:rsidRPr="004974A2">
              <w:rPr>
                <w:rFonts w:cs="Traditional Arabic" w:hint="cs"/>
                <w:sz w:val="18"/>
                <w:rtl/>
              </w:rPr>
              <w:t>السفريات وبدل الإعاشة اليومي (30×3000 دولار)</w:t>
            </w:r>
          </w:p>
        </w:tc>
        <w:tc>
          <w:tcPr>
            <w:tcW w:w="1383" w:type="dxa"/>
            <w:shd w:val="clear" w:color="auto" w:fill="auto"/>
          </w:tcPr>
          <w:p w:rsidR="00DC5852" w:rsidRPr="004974A2" w:rsidRDefault="00DC5852" w:rsidP="00562C38">
            <w:pPr>
              <w:spacing w:before="60" w:after="60" w:line="340" w:lineRule="exact"/>
              <w:jc w:val="both"/>
              <w:rPr>
                <w:rFonts w:cs="Traditional Arabic" w:hint="cs"/>
                <w:sz w:val="18"/>
                <w:rtl/>
              </w:rPr>
            </w:pPr>
            <w:r w:rsidRPr="004974A2">
              <w:rPr>
                <w:rFonts w:cs="Traditional Arabic" w:hint="cs"/>
                <w:sz w:val="18"/>
                <w:rtl/>
              </w:rPr>
              <w:t>000</w:t>
            </w:r>
            <w:r w:rsidR="00562C38">
              <w:rPr>
                <w:rFonts w:cs="Traditional Arabic" w:hint="eastAsia"/>
                <w:sz w:val="18"/>
                <w:rtl/>
              </w:rPr>
              <w:t> </w:t>
            </w:r>
            <w:r w:rsidRPr="004974A2">
              <w:rPr>
                <w:rFonts w:cs="Traditional Arabic" w:hint="cs"/>
                <w:sz w:val="18"/>
                <w:rtl/>
              </w:rPr>
              <w:t>90</w:t>
            </w:r>
          </w:p>
        </w:tc>
      </w:tr>
      <w:tr w:rsidR="00DC5852" w:rsidRPr="004974A2" w:rsidTr="003609A9">
        <w:tc>
          <w:tcPr>
            <w:tcW w:w="990" w:type="dxa"/>
            <w:vMerge/>
            <w:tcBorders>
              <w:top w:val="nil"/>
              <w:bottom w:val="nil"/>
            </w:tcBorders>
            <w:shd w:val="clear" w:color="auto" w:fill="auto"/>
          </w:tcPr>
          <w:p w:rsidR="00DC5852" w:rsidRPr="004974A2" w:rsidRDefault="00DC5852" w:rsidP="004974A2">
            <w:pPr>
              <w:spacing w:before="60" w:after="60" w:line="340" w:lineRule="exact"/>
              <w:jc w:val="both"/>
              <w:rPr>
                <w:rFonts w:cs="Traditional Arabic" w:hint="cs"/>
                <w:sz w:val="18"/>
                <w:rtl/>
              </w:rPr>
            </w:pPr>
          </w:p>
        </w:tc>
        <w:tc>
          <w:tcPr>
            <w:tcW w:w="2496" w:type="dxa"/>
            <w:vMerge w:val="restart"/>
            <w:tcBorders>
              <w:top w:val="single" w:sz="4" w:space="0" w:color="auto"/>
            </w:tcBorders>
            <w:shd w:val="clear" w:color="auto" w:fill="auto"/>
          </w:tcPr>
          <w:p w:rsidR="00B44C21" w:rsidRPr="00B44C21" w:rsidRDefault="00044BA2" w:rsidP="00B44C21">
            <w:pPr>
              <w:spacing w:before="60" w:after="60" w:line="320" w:lineRule="exact"/>
              <w:jc w:val="both"/>
              <w:rPr>
                <w:rFonts w:cs="Traditional Arabic" w:hint="cs"/>
                <w:sz w:val="26"/>
                <w:szCs w:val="26"/>
                <w:rtl/>
              </w:rPr>
            </w:pPr>
            <w:r w:rsidRPr="00B44C21">
              <w:rPr>
                <w:rFonts w:cs="Traditional Arabic" w:hint="cs"/>
                <w:sz w:val="26"/>
                <w:szCs w:val="26"/>
                <w:rtl/>
              </w:rPr>
              <w:t xml:space="preserve">اجتماع المؤلفين الأول (90 </w:t>
            </w:r>
            <w:r w:rsidR="00B53884" w:rsidRPr="00B44C21">
              <w:rPr>
                <w:rFonts w:cs="Traditional Arabic" w:hint="cs"/>
                <w:sz w:val="26"/>
                <w:szCs w:val="26"/>
                <w:rtl/>
              </w:rPr>
              <w:t>من الرؤساء</w:t>
            </w:r>
            <w:r w:rsidRPr="00B44C21">
              <w:rPr>
                <w:rFonts w:cs="Traditional Arabic" w:hint="cs"/>
                <w:sz w:val="26"/>
                <w:szCs w:val="26"/>
                <w:rtl/>
              </w:rPr>
              <w:t xml:space="preserve"> </w:t>
            </w:r>
            <w:r w:rsidR="00B53884" w:rsidRPr="00B44C21">
              <w:rPr>
                <w:rFonts w:cs="Traditional Arabic" w:hint="cs"/>
                <w:sz w:val="26"/>
                <w:szCs w:val="26"/>
                <w:rtl/>
              </w:rPr>
              <w:t>ال</w:t>
            </w:r>
            <w:r w:rsidRPr="00B44C21">
              <w:rPr>
                <w:rFonts w:cs="Traditional Arabic" w:hint="cs"/>
                <w:sz w:val="26"/>
                <w:szCs w:val="26"/>
                <w:rtl/>
              </w:rPr>
              <w:t>مشارك</w:t>
            </w:r>
            <w:r w:rsidR="00B53884" w:rsidRPr="00B44C21">
              <w:rPr>
                <w:rFonts w:cs="Traditional Arabic" w:hint="cs"/>
                <w:sz w:val="26"/>
                <w:szCs w:val="26"/>
                <w:rtl/>
              </w:rPr>
              <w:t>ي</w:t>
            </w:r>
            <w:r w:rsidRPr="00B44C21">
              <w:rPr>
                <w:rFonts w:cs="Traditional Arabic" w:hint="cs"/>
                <w:sz w:val="26"/>
                <w:szCs w:val="26"/>
                <w:rtl/>
              </w:rPr>
              <w:t>ن و</w:t>
            </w:r>
            <w:r w:rsidR="00B53884" w:rsidRPr="00B44C21">
              <w:rPr>
                <w:rFonts w:cs="Traditional Arabic" w:hint="cs"/>
                <w:sz w:val="26"/>
                <w:szCs w:val="26"/>
                <w:rtl/>
              </w:rPr>
              <w:t>ال</w:t>
            </w:r>
            <w:r w:rsidRPr="00B44C21">
              <w:rPr>
                <w:rFonts w:cs="Traditional Arabic" w:hint="cs"/>
                <w:sz w:val="26"/>
                <w:szCs w:val="26"/>
                <w:rtl/>
              </w:rPr>
              <w:t xml:space="preserve">مؤلفين </w:t>
            </w:r>
            <w:r w:rsidR="00C700C9" w:rsidRPr="00B44C21">
              <w:rPr>
                <w:rFonts w:cs="Traditional Arabic" w:hint="cs"/>
                <w:sz w:val="26"/>
                <w:szCs w:val="26"/>
                <w:rtl/>
              </w:rPr>
              <w:t>الرئيسيين المنسقين و</w:t>
            </w:r>
            <w:r w:rsidR="00B53884" w:rsidRPr="00B44C21">
              <w:rPr>
                <w:rFonts w:cs="Traditional Arabic" w:hint="cs"/>
                <w:sz w:val="26"/>
                <w:szCs w:val="26"/>
                <w:rtl/>
              </w:rPr>
              <w:t>ال</w:t>
            </w:r>
            <w:r w:rsidR="00C700C9" w:rsidRPr="00B44C21">
              <w:rPr>
                <w:rFonts w:cs="Traditional Arabic" w:hint="cs"/>
                <w:sz w:val="26"/>
                <w:szCs w:val="26"/>
                <w:rtl/>
              </w:rPr>
              <w:t>مؤلفين</w:t>
            </w:r>
            <w:r w:rsidRPr="00B44C21">
              <w:rPr>
                <w:rFonts w:cs="Traditional Arabic" w:hint="cs"/>
                <w:sz w:val="26"/>
                <w:szCs w:val="26"/>
                <w:rtl/>
              </w:rPr>
              <w:t xml:space="preserve"> </w:t>
            </w:r>
            <w:r w:rsidR="00C700C9" w:rsidRPr="00B44C21">
              <w:rPr>
                <w:rFonts w:cs="Traditional Arabic" w:hint="cs"/>
                <w:sz w:val="26"/>
                <w:szCs w:val="26"/>
                <w:rtl/>
              </w:rPr>
              <w:t>الرئيس</w:t>
            </w:r>
            <w:r w:rsidR="0049442D" w:rsidRPr="00B44C21">
              <w:rPr>
                <w:rFonts w:cs="Traditional Arabic" w:hint="cs"/>
                <w:sz w:val="26"/>
                <w:szCs w:val="26"/>
                <w:rtl/>
              </w:rPr>
              <w:t>يي</w:t>
            </w:r>
            <w:r w:rsidR="00C700C9" w:rsidRPr="00B44C21">
              <w:rPr>
                <w:rFonts w:cs="Traditional Arabic" w:hint="cs"/>
                <w:sz w:val="26"/>
                <w:szCs w:val="26"/>
                <w:rtl/>
              </w:rPr>
              <w:t>ن</w:t>
            </w:r>
            <w:r w:rsidR="007E0D47" w:rsidRPr="00B44C21">
              <w:rPr>
                <w:rFonts w:cs="Traditional Arabic" w:hint="cs"/>
                <w:sz w:val="26"/>
                <w:szCs w:val="26"/>
                <w:rtl/>
              </w:rPr>
              <w:t xml:space="preserve"> زائداً </w:t>
            </w:r>
            <w:r w:rsidRPr="00B44C21">
              <w:rPr>
                <w:rFonts w:cs="Traditional Arabic" w:hint="cs"/>
                <w:sz w:val="26"/>
                <w:szCs w:val="26"/>
                <w:rtl/>
              </w:rPr>
              <w:t>4 أعضاء من الفريق والمكتب</w:t>
            </w:r>
            <w:r w:rsidR="007E0D47" w:rsidRPr="00B44C21">
              <w:rPr>
                <w:rFonts w:cs="Traditional Arabic" w:hint="cs"/>
                <w:sz w:val="26"/>
                <w:szCs w:val="26"/>
                <w:rtl/>
              </w:rPr>
              <w:t xml:space="preserve"> زائداً</w:t>
            </w:r>
            <w:r w:rsidRPr="00B44C21">
              <w:rPr>
                <w:rFonts w:cs="Traditional Arabic" w:hint="cs"/>
                <w:sz w:val="26"/>
                <w:szCs w:val="26"/>
                <w:rtl/>
              </w:rPr>
              <w:t xml:space="preserve"> موظف دعم تقني)</w:t>
            </w:r>
            <w:r w:rsidR="00B44C21" w:rsidRPr="00B44C21">
              <w:rPr>
                <w:rFonts w:cs="Traditional Arabic" w:hint="cs"/>
                <w:sz w:val="26"/>
                <w:szCs w:val="26"/>
                <w:rtl/>
              </w:rPr>
              <w:t xml:space="preserve"> </w:t>
            </w:r>
          </w:p>
        </w:tc>
        <w:tc>
          <w:tcPr>
            <w:tcW w:w="3403" w:type="dxa"/>
            <w:shd w:val="clear" w:color="auto" w:fill="auto"/>
          </w:tcPr>
          <w:p w:rsidR="00DC5852" w:rsidRPr="004974A2" w:rsidRDefault="00044BA2" w:rsidP="004974A2">
            <w:pPr>
              <w:spacing w:before="60" w:after="60" w:line="340" w:lineRule="exact"/>
              <w:jc w:val="both"/>
              <w:rPr>
                <w:rFonts w:cs="Traditional Arabic" w:hint="cs"/>
                <w:sz w:val="18"/>
                <w:rtl/>
              </w:rPr>
            </w:pPr>
            <w:r w:rsidRPr="004974A2">
              <w:rPr>
                <w:rFonts w:cs="Traditional Arabic" w:hint="cs"/>
                <w:sz w:val="18"/>
                <w:rtl/>
              </w:rPr>
              <w:t>تكلفة الاجتماع (أسبوع واحد، 95 مشاركاً (25 في المائة عينية)</w:t>
            </w:r>
          </w:p>
        </w:tc>
        <w:tc>
          <w:tcPr>
            <w:tcW w:w="1383" w:type="dxa"/>
            <w:shd w:val="clear" w:color="auto" w:fill="auto"/>
          </w:tcPr>
          <w:p w:rsidR="00DC5852" w:rsidRPr="004974A2" w:rsidRDefault="00DC5852" w:rsidP="00562C38">
            <w:pPr>
              <w:spacing w:before="60" w:after="60" w:line="340" w:lineRule="exact"/>
              <w:jc w:val="both"/>
              <w:rPr>
                <w:rFonts w:cs="Traditional Arabic" w:hint="cs"/>
                <w:sz w:val="18"/>
                <w:rtl/>
              </w:rPr>
            </w:pPr>
            <w:r w:rsidRPr="004974A2">
              <w:rPr>
                <w:rFonts w:cs="Traditional Arabic" w:hint="cs"/>
                <w:sz w:val="18"/>
                <w:rtl/>
              </w:rPr>
              <w:t>750</w:t>
            </w:r>
            <w:r w:rsidR="00562C38">
              <w:rPr>
                <w:rFonts w:cs="Traditional Arabic" w:hint="eastAsia"/>
                <w:sz w:val="18"/>
                <w:rtl/>
              </w:rPr>
              <w:t> </w:t>
            </w:r>
            <w:r w:rsidRPr="004974A2">
              <w:rPr>
                <w:rFonts w:cs="Traditional Arabic" w:hint="cs"/>
                <w:sz w:val="18"/>
                <w:rtl/>
              </w:rPr>
              <w:t>18</w:t>
            </w:r>
          </w:p>
        </w:tc>
      </w:tr>
      <w:tr w:rsidR="00DC5852" w:rsidRPr="004974A2" w:rsidTr="003609A9">
        <w:tc>
          <w:tcPr>
            <w:tcW w:w="990" w:type="dxa"/>
            <w:vMerge/>
            <w:tcBorders>
              <w:top w:val="nil"/>
              <w:bottom w:val="nil"/>
            </w:tcBorders>
            <w:shd w:val="clear" w:color="auto" w:fill="auto"/>
          </w:tcPr>
          <w:p w:rsidR="00DC5852" w:rsidRPr="004974A2" w:rsidRDefault="00DC5852" w:rsidP="004974A2">
            <w:pPr>
              <w:spacing w:before="60" w:after="60" w:line="340" w:lineRule="exact"/>
              <w:jc w:val="both"/>
              <w:rPr>
                <w:rFonts w:cs="Traditional Arabic" w:hint="cs"/>
                <w:sz w:val="18"/>
                <w:rtl/>
              </w:rPr>
            </w:pPr>
          </w:p>
        </w:tc>
        <w:tc>
          <w:tcPr>
            <w:tcW w:w="2496" w:type="dxa"/>
            <w:vMerge/>
            <w:tcBorders>
              <w:top w:val="single" w:sz="4" w:space="0" w:color="auto"/>
            </w:tcBorders>
            <w:shd w:val="clear" w:color="auto" w:fill="auto"/>
          </w:tcPr>
          <w:p w:rsidR="00DC5852" w:rsidRPr="004974A2" w:rsidRDefault="00DC5852" w:rsidP="004974A2">
            <w:pPr>
              <w:spacing w:before="60" w:after="60" w:line="340" w:lineRule="exact"/>
              <w:jc w:val="both"/>
              <w:rPr>
                <w:rFonts w:cs="Traditional Arabic" w:hint="cs"/>
                <w:sz w:val="18"/>
                <w:rtl/>
              </w:rPr>
            </w:pPr>
          </w:p>
        </w:tc>
        <w:tc>
          <w:tcPr>
            <w:tcW w:w="3403" w:type="dxa"/>
            <w:shd w:val="clear" w:color="auto" w:fill="auto"/>
          </w:tcPr>
          <w:p w:rsidR="00DC5852" w:rsidRDefault="00044BA2" w:rsidP="004974A2">
            <w:pPr>
              <w:spacing w:before="60" w:after="60" w:line="340" w:lineRule="exact"/>
              <w:jc w:val="both"/>
              <w:rPr>
                <w:rFonts w:cs="Traditional Arabic" w:hint="cs"/>
                <w:sz w:val="18"/>
                <w:rtl/>
              </w:rPr>
            </w:pPr>
            <w:r w:rsidRPr="004974A2">
              <w:rPr>
                <w:rFonts w:cs="Traditional Arabic" w:hint="cs"/>
                <w:sz w:val="18"/>
                <w:rtl/>
              </w:rPr>
              <w:t>السفريات وبدل الإعاشة اليومي (71×3000 دولار)</w:t>
            </w:r>
          </w:p>
          <w:p w:rsidR="008C5A6C" w:rsidRPr="004974A2" w:rsidRDefault="008C5A6C" w:rsidP="004974A2">
            <w:pPr>
              <w:spacing w:before="60" w:after="60" w:line="340" w:lineRule="exact"/>
              <w:jc w:val="both"/>
              <w:rPr>
                <w:rFonts w:cs="Traditional Arabic" w:hint="cs"/>
                <w:sz w:val="18"/>
                <w:rtl/>
              </w:rPr>
            </w:pPr>
          </w:p>
        </w:tc>
        <w:tc>
          <w:tcPr>
            <w:tcW w:w="1383" w:type="dxa"/>
            <w:shd w:val="clear" w:color="auto" w:fill="auto"/>
          </w:tcPr>
          <w:p w:rsidR="00DC5852" w:rsidRPr="004974A2" w:rsidRDefault="00DC5852" w:rsidP="00C700C9">
            <w:pPr>
              <w:spacing w:before="60" w:after="60" w:line="340" w:lineRule="exact"/>
              <w:jc w:val="both"/>
              <w:rPr>
                <w:rFonts w:cs="Traditional Arabic" w:hint="cs"/>
                <w:sz w:val="18"/>
                <w:rtl/>
              </w:rPr>
            </w:pPr>
            <w:r w:rsidRPr="004974A2">
              <w:rPr>
                <w:rFonts w:cs="Traditional Arabic" w:hint="cs"/>
                <w:sz w:val="18"/>
                <w:rtl/>
              </w:rPr>
              <w:t>000</w:t>
            </w:r>
            <w:r w:rsidR="00C700C9">
              <w:rPr>
                <w:rFonts w:cs="Traditional Arabic" w:hint="eastAsia"/>
                <w:sz w:val="18"/>
                <w:rtl/>
              </w:rPr>
              <w:t> </w:t>
            </w:r>
            <w:r w:rsidRPr="004974A2">
              <w:rPr>
                <w:rFonts w:cs="Traditional Arabic" w:hint="cs"/>
                <w:sz w:val="18"/>
                <w:rtl/>
              </w:rPr>
              <w:t>180</w:t>
            </w:r>
          </w:p>
        </w:tc>
      </w:tr>
      <w:tr w:rsidR="00B53884" w:rsidRPr="004974A2" w:rsidTr="003609A9">
        <w:tc>
          <w:tcPr>
            <w:tcW w:w="990" w:type="dxa"/>
            <w:tcBorders>
              <w:top w:val="nil"/>
              <w:bottom w:val="single" w:sz="4" w:space="0" w:color="auto"/>
            </w:tcBorders>
            <w:shd w:val="clear" w:color="auto" w:fill="auto"/>
          </w:tcPr>
          <w:p w:rsidR="00B53884" w:rsidRPr="004974A2" w:rsidRDefault="00B53884" w:rsidP="004974A2">
            <w:pPr>
              <w:spacing w:before="60" w:after="60" w:line="340" w:lineRule="exact"/>
              <w:jc w:val="both"/>
              <w:rPr>
                <w:rFonts w:cs="Traditional Arabic" w:hint="cs"/>
                <w:sz w:val="18"/>
                <w:rtl/>
              </w:rPr>
            </w:pPr>
          </w:p>
        </w:tc>
        <w:tc>
          <w:tcPr>
            <w:tcW w:w="2496" w:type="dxa"/>
            <w:shd w:val="clear" w:color="auto" w:fill="auto"/>
          </w:tcPr>
          <w:p w:rsidR="00B53884" w:rsidRPr="004974A2" w:rsidRDefault="00B53884" w:rsidP="004974A2">
            <w:pPr>
              <w:spacing w:before="60" w:after="60" w:line="340" w:lineRule="exact"/>
              <w:jc w:val="both"/>
              <w:rPr>
                <w:rFonts w:cs="Traditional Arabic" w:hint="cs"/>
                <w:sz w:val="18"/>
                <w:rtl/>
              </w:rPr>
            </w:pPr>
            <w:r w:rsidRPr="004974A2">
              <w:rPr>
                <w:rFonts w:cs="Traditional Arabic" w:hint="cs"/>
                <w:sz w:val="18"/>
                <w:rtl/>
              </w:rPr>
              <w:t>الدعم التقني</w:t>
            </w:r>
          </w:p>
        </w:tc>
        <w:tc>
          <w:tcPr>
            <w:tcW w:w="3403" w:type="dxa"/>
            <w:shd w:val="clear" w:color="auto" w:fill="auto"/>
          </w:tcPr>
          <w:p w:rsidR="00B53884" w:rsidRPr="004974A2" w:rsidRDefault="000D0FB1" w:rsidP="000D0FB1">
            <w:pPr>
              <w:spacing w:before="60" w:after="60" w:line="340" w:lineRule="exact"/>
              <w:jc w:val="both"/>
              <w:rPr>
                <w:rFonts w:cs="Traditional Arabic" w:hint="cs"/>
                <w:sz w:val="18"/>
                <w:rtl/>
              </w:rPr>
            </w:pPr>
            <w:r>
              <w:rPr>
                <w:rFonts w:cs="Traditional Arabic" w:hint="cs"/>
                <w:sz w:val="18"/>
                <w:rtl/>
              </w:rPr>
              <w:t>ما يعادل</w:t>
            </w:r>
            <w:r w:rsidR="00022656" w:rsidRPr="004974A2">
              <w:rPr>
                <w:rFonts w:cs="Traditional Arabic" w:hint="cs"/>
                <w:sz w:val="18"/>
                <w:rtl/>
              </w:rPr>
              <w:t xml:space="preserve"> وظيفة</w:t>
            </w:r>
            <w:r>
              <w:rPr>
                <w:rFonts w:cs="Traditional Arabic" w:hint="cs"/>
                <w:sz w:val="18"/>
                <w:rtl/>
              </w:rPr>
              <w:t xml:space="preserve"> متفرغ من الفئة الفنية</w:t>
            </w:r>
            <w:r w:rsidR="00B53884" w:rsidRPr="004974A2">
              <w:rPr>
                <w:rFonts w:cs="Traditional Arabic" w:hint="cs"/>
                <w:sz w:val="18"/>
                <w:rtl/>
              </w:rPr>
              <w:t xml:space="preserve"> (50 في المائة عينية)</w:t>
            </w:r>
          </w:p>
        </w:tc>
        <w:tc>
          <w:tcPr>
            <w:tcW w:w="1383" w:type="dxa"/>
            <w:shd w:val="clear" w:color="auto" w:fill="auto"/>
          </w:tcPr>
          <w:p w:rsidR="00B53884" w:rsidRPr="004974A2" w:rsidRDefault="00B53884" w:rsidP="00B53884">
            <w:pPr>
              <w:spacing w:before="60" w:after="60" w:line="340" w:lineRule="exact"/>
              <w:jc w:val="both"/>
              <w:rPr>
                <w:rFonts w:cs="Traditional Arabic" w:hint="cs"/>
                <w:sz w:val="18"/>
                <w:rtl/>
              </w:rPr>
            </w:pPr>
            <w:r w:rsidRPr="004974A2">
              <w:rPr>
                <w:rFonts w:cs="Traditional Arabic" w:hint="cs"/>
                <w:sz w:val="18"/>
                <w:rtl/>
              </w:rPr>
              <w:t>000</w:t>
            </w:r>
            <w:r>
              <w:rPr>
                <w:rFonts w:cs="Traditional Arabic" w:hint="eastAsia"/>
                <w:sz w:val="18"/>
                <w:rtl/>
              </w:rPr>
              <w:t> </w:t>
            </w:r>
            <w:r w:rsidRPr="004974A2">
              <w:rPr>
                <w:rFonts w:cs="Traditional Arabic" w:hint="cs"/>
                <w:sz w:val="18"/>
                <w:rtl/>
              </w:rPr>
              <w:t>75</w:t>
            </w:r>
          </w:p>
        </w:tc>
      </w:tr>
      <w:tr w:rsidR="00B53884" w:rsidRPr="004974A2" w:rsidTr="003609A9">
        <w:tc>
          <w:tcPr>
            <w:tcW w:w="990" w:type="dxa"/>
            <w:vMerge w:val="restart"/>
            <w:shd w:val="clear" w:color="auto" w:fill="auto"/>
            <w:vAlign w:val="center"/>
          </w:tcPr>
          <w:p w:rsidR="00B53884" w:rsidRPr="004974A2" w:rsidRDefault="00B53884" w:rsidP="00B53884">
            <w:pPr>
              <w:spacing w:before="60" w:after="60" w:line="340" w:lineRule="exact"/>
              <w:jc w:val="center"/>
              <w:rPr>
                <w:rFonts w:cs="Traditional Arabic" w:hint="cs"/>
                <w:sz w:val="18"/>
                <w:rtl/>
              </w:rPr>
            </w:pPr>
            <w:r>
              <w:rPr>
                <w:rFonts w:cs="Traditional Arabic" w:hint="cs"/>
                <w:sz w:val="18"/>
                <w:rtl/>
              </w:rPr>
              <w:t>2015</w:t>
            </w:r>
          </w:p>
        </w:tc>
        <w:tc>
          <w:tcPr>
            <w:tcW w:w="2496" w:type="dxa"/>
            <w:vMerge w:val="restart"/>
            <w:shd w:val="clear" w:color="auto" w:fill="auto"/>
          </w:tcPr>
          <w:p w:rsidR="00B53884" w:rsidRPr="004974A2" w:rsidRDefault="00B53884" w:rsidP="007E0D47">
            <w:pPr>
              <w:spacing w:before="60" w:after="60" w:line="340" w:lineRule="exact"/>
              <w:jc w:val="both"/>
              <w:rPr>
                <w:rFonts w:cs="Traditional Arabic" w:hint="cs"/>
                <w:sz w:val="18"/>
                <w:rtl/>
              </w:rPr>
            </w:pPr>
            <w:r w:rsidRPr="004974A2">
              <w:rPr>
                <w:rFonts w:cs="Traditional Arabic" w:hint="cs"/>
                <w:sz w:val="18"/>
                <w:rtl/>
              </w:rPr>
              <w:t xml:space="preserve">اجتماع المؤلفين الثاني (90 </w:t>
            </w:r>
            <w:r>
              <w:rPr>
                <w:rFonts w:cs="Traditional Arabic" w:hint="cs"/>
                <w:sz w:val="18"/>
                <w:rtl/>
              </w:rPr>
              <w:t>من ال</w:t>
            </w:r>
            <w:r w:rsidRPr="004974A2">
              <w:rPr>
                <w:rFonts w:cs="Traditional Arabic" w:hint="cs"/>
                <w:sz w:val="18"/>
                <w:rtl/>
              </w:rPr>
              <w:t>ر</w:t>
            </w:r>
            <w:r>
              <w:rPr>
                <w:rFonts w:cs="Traditional Arabic" w:hint="cs"/>
                <w:sz w:val="18"/>
                <w:rtl/>
              </w:rPr>
              <w:t>ؤساء</w:t>
            </w:r>
            <w:r w:rsidRPr="004974A2">
              <w:rPr>
                <w:rFonts w:cs="Traditional Arabic" w:hint="cs"/>
                <w:sz w:val="18"/>
                <w:rtl/>
              </w:rPr>
              <w:t xml:space="preserve"> </w:t>
            </w:r>
            <w:r>
              <w:rPr>
                <w:rFonts w:cs="Traditional Arabic" w:hint="cs"/>
                <w:sz w:val="18"/>
                <w:rtl/>
              </w:rPr>
              <w:t>ال</w:t>
            </w:r>
            <w:r w:rsidRPr="004974A2">
              <w:rPr>
                <w:rFonts w:cs="Traditional Arabic" w:hint="cs"/>
                <w:sz w:val="18"/>
                <w:rtl/>
              </w:rPr>
              <w:t>مشاركين و</w:t>
            </w:r>
            <w:r>
              <w:rPr>
                <w:rFonts w:cs="Traditional Arabic" w:hint="cs"/>
                <w:sz w:val="18"/>
                <w:rtl/>
              </w:rPr>
              <w:t>ال</w:t>
            </w:r>
            <w:r w:rsidRPr="004974A2">
              <w:rPr>
                <w:rFonts w:cs="Traditional Arabic" w:hint="cs"/>
                <w:sz w:val="18"/>
                <w:rtl/>
              </w:rPr>
              <w:t xml:space="preserve">مؤلفين </w:t>
            </w:r>
            <w:r>
              <w:rPr>
                <w:rFonts w:cs="Traditional Arabic" w:hint="cs"/>
                <w:sz w:val="18"/>
                <w:rtl/>
              </w:rPr>
              <w:t>ال</w:t>
            </w:r>
            <w:r w:rsidRPr="004974A2">
              <w:rPr>
                <w:rFonts w:cs="Traditional Arabic" w:hint="cs"/>
                <w:sz w:val="18"/>
                <w:rtl/>
              </w:rPr>
              <w:t xml:space="preserve">رئيسيين </w:t>
            </w:r>
            <w:r>
              <w:rPr>
                <w:rFonts w:cs="Traditional Arabic" w:hint="cs"/>
                <w:sz w:val="18"/>
                <w:rtl/>
              </w:rPr>
              <w:t xml:space="preserve">المنسقين </w:t>
            </w:r>
            <w:r w:rsidRPr="004974A2">
              <w:rPr>
                <w:rFonts w:cs="Traditional Arabic" w:hint="cs"/>
                <w:sz w:val="18"/>
                <w:rtl/>
              </w:rPr>
              <w:t>و</w:t>
            </w:r>
            <w:r>
              <w:rPr>
                <w:rFonts w:cs="Traditional Arabic" w:hint="cs"/>
                <w:sz w:val="18"/>
                <w:rtl/>
              </w:rPr>
              <w:t>ال</w:t>
            </w:r>
            <w:r w:rsidRPr="004974A2">
              <w:rPr>
                <w:rFonts w:cs="Traditional Arabic" w:hint="cs"/>
                <w:sz w:val="18"/>
                <w:rtl/>
              </w:rPr>
              <w:t>مؤلفين</w:t>
            </w:r>
            <w:r>
              <w:rPr>
                <w:rFonts w:cs="Traditional Arabic" w:hint="cs"/>
                <w:sz w:val="18"/>
                <w:rtl/>
              </w:rPr>
              <w:t xml:space="preserve"> الرئيسيين</w:t>
            </w:r>
            <w:r w:rsidR="007E0D47">
              <w:rPr>
                <w:rFonts w:cs="Traditional Arabic" w:hint="cs"/>
                <w:sz w:val="18"/>
                <w:rtl/>
              </w:rPr>
              <w:t xml:space="preserve"> </w:t>
            </w:r>
            <w:r w:rsidR="007E0D47" w:rsidRPr="007E0D47">
              <w:rPr>
                <w:rFonts w:cs="Traditional Arabic" w:hint="cs"/>
                <w:sz w:val="18"/>
                <w:rtl/>
              </w:rPr>
              <w:t xml:space="preserve">زائداً </w:t>
            </w:r>
            <w:r w:rsidRPr="004974A2">
              <w:rPr>
                <w:rFonts w:cs="Traditional Arabic" w:hint="cs"/>
                <w:sz w:val="18"/>
                <w:rtl/>
              </w:rPr>
              <w:t>14 محرراً</w:t>
            </w:r>
            <w:r>
              <w:rPr>
                <w:rFonts w:cs="Traditional Arabic" w:hint="cs"/>
                <w:sz w:val="18"/>
                <w:rtl/>
              </w:rPr>
              <w:t xml:space="preserve"> مراجعاً</w:t>
            </w:r>
            <w:r w:rsidR="007E0D47">
              <w:rPr>
                <w:rFonts w:cs="Traditional Arabic" w:hint="cs"/>
                <w:sz w:val="18"/>
                <w:rtl/>
              </w:rPr>
              <w:t xml:space="preserve"> </w:t>
            </w:r>
            <w:r w:rsidR="007E0D47" w:rsidRPr="007E0D47">
              <w:rPr>
                <w:rFonts w:cs="Traditional Arabic" w:hint="cs"/>
                <w:sz w:val="18"/>
                <w:rtl/>
              </w:rPr>
              <w:t xml:space="preserve">زائداً </w:t>
            </w:r>
            <w:r w:rsidRPr="004974A2">
              <w:rPr>
                <w:rFonts w:cs="Traditional Arabic" w:hint="cs"/>
                <w:sz w:val="18"/>
                <w:rtl/>
              </w:rPr>
              <w:t>4 أعضاء في المنبر/المكتب</w:t>
            </w:r>
            <w:r w:rsidR="007E0D47" w:rsidRPr="007E0D47">
              <w:rPr>
                <w:rFonts w:cs="Traditional Arabic" w:hint="cs"/>
                <w:sz w:val="28"/>
                <w:rtl/>
              </w:rPr>
              <w:t xml:space="preserve"> </w:t>
            </w:r>
            <w:r w:rsidR="007E0D47" w:rsidRPr="007E0D47">
              <w:rPr>
                <w:rFonts w:cs="Traditional Arabic" w:hint="cs"/>
                <w:sz w:val="18"/>
                <w:rtl/>
              </w:rPr>
              <w:t xml:space="preserve">زائداً </w:t>
            </w:r>
            <w:r w:rsidRPr="004974A2">
              <w:rPr>
                <w:rFonts w:cs="Traditional Arabic" w:hint="cs"/>
                <w:sz w:val="18"/>
                <w:rtl/>
              </w:rPr>
              <w:t>موظف دعم تقني</w:t>
            </w:r>
          </w:p>
        </w:tc>
        <w:tc>
          <w:tcPr>
            <w:tcW w:w="3403" w:type="dxa"/>
            <w:shd w:val="clear" w:color="auto" w:fill="auto"/>
          </w:tcPr>
          <w:p w:rsidR="00B53884" w:rsidRPr="004974A2" w:rsidRDefault="00B53884" w:rsidP="004974A2">
            <w:pPr>
              <w:spacing w:before="60" w:after="60" w:line="340" w:lineRule="exact"/>
              <w:jc w:val="both"/>
              <w:rPr>
                <w:rFonts w:cs="Traditional Arabic" w:hint="cs"/>
                <w:sz w:val="18"/>
                <w:rtl/>
              </w:rPr>
            </w:pPr>
            <w:r w:rsidRPr="004974A2">
              <w:rPr>
                <w:rFonts w:cs="Traditional Arabic" w:hint="cs"/>
                <w:sz w:val="18"/>
                <w:rtl/>
              </w:rPr>
              <w:t>تكاليف الاجتماع (اسبوع واحد 109 مشاركين) (25 في المائة عينية)</w:t>
            </w:r>
          </w:p>
        </w:tc>
        <w:tc>
          <w:tcPr>
            <w:tcW w:w="1383" w:type="dxa"/>
            <w:shd w:val="clear" w:color="auto" w:fill="auto"/>
          </w:tcPr>
          <w:p w:rsidR="00B53884" w:rsidRPr="004974A2" w:rsidRDefault="00B53884" w:rsidP="00C700C9">
            <w:pPr>
              <w:spacing w:before="60" w:after="60" w:line="340" w:lineRule="exact"/>
              <w:jc w:val="both"/>
              <w:rPr>
                <w:rFonts w:cs="Traditional Arabic" w:hint="cs"/>
                <w:sz w:val="18"/>
                <w:rtl/>
              </w:rPr>
            </w:pPr>
            <w:r w:rsidRPr="004974A2">
              <w:rPr>
                <w:rFonts w:cs="Traditional Arabic" w:hint="cs"/>
                <w:sz w:val="18"/>
                <w:rtl/>
              </w:rPr>
              <w:t>750</w:t>
            </w:r>
            <w:r>
              <w:rPr>
                <w:rFonts w:cs="Traditional Arabic" w:hint="eastAsia"/>
                <w:sz w:val="18"/>
                <w:rtl/>
              </w:rPr>
              <w:t> </w:t>
            </w:r>
            <w:r w:rsidRPr="004974A2">
              <w:rPr>
                <w:rFonts w:cs="Traditional Arabic" w:hint="cs"/>
                <w:sz w:val="18"/>
                <w:rtl/>
              </w:rPr>
              <w:t>18</w:t>
            </w:r>
          </w:p>
        </w:tc>
      </w:tr>
      <w:tr w:rsidR="00B53884" w:rsidRPr="004974A2" w:rsidTr="003609A9">
        <w:tc>
          <w:tcPr>
            <w:tcW w:w="990" w:type="dxa"/>
            <w:vMerge/>
            <w:shd w:val="clear" w:color="auto" w:fill="auto"/>
          </w:tcPr>
          <w:p w:rsidR="00B53884" w:rsidRPr="004974A2" w:rsidRDefault="00B53884" w:rsidP="00C47FEC">
            <w:pPr>
              <w:spacing w:before="60" w:after="60" w:line="340" w:lineRule="exact"/>
              <w:jc w:val="center"/>
              <w:rPr>
                <w:rFonts w:cs="Traditional Arabic" w:hint="cs"/>
                <w:sz w:val="18"/>
                <w:rtl/>
              </w:rPr>
            </w:pPr>
          </w:p>
        </w:tc>
        <w:tc>
          <w:tcPr>
            <w:tcW w:w="2496" w:type="dxa"/>
            <w:vMerge/>
            <w:shd w:val="clear" w:color="auto" w:fill="auto"/>
          </w:tcPr>
          <w:p w:rsidR="00B53884" w:rsidRPr="004974A2" w:rsidRDefault="00B53884" w:rsidP="00A054D4">
            <w:pPr>
              <w:spacing w:before="60" w:after="60" w:line="340" w:lineRule="exact"/>
              <w:jc w:val="both"/>
              <w:rPr>
                <w:rFonts w:cs="Traditional Arabic" w:hint="cs"/>
                <w:sz w:val="18"/>
                <w:rtl/>
              </w:rPr>
            </w:pPr>
          </w:p>
        </w:tc>
        <w:tc>
          <w:tcPr>
            <w:tcW w:w="3403" w:type="dxa"/>
            <w:shd w:val="clear" w:color="auto" w:fill="auto"/>
          </w:tcPr>
          <w:p w:rsidR="00B53884" w:rsidRPr="004974A2" w:rsidRDefault="00B53884" w:rsidP="004974A2">
            <w:pPr>
              <w:spacing w:before="60" w:after="60" w:line="340" w:lineRule="exact"/>
              <w:jc w:val="both"/>
              <w:rPr>
                <w:rFonts w:cs="Traditional Arabic" w:hint="cs"/>
                <w:sz w:val="18"/>
                <w:rtl/>
              </w:rPr>
            </w:pPr>
            <w:r w:rsidRPr="004974A2">
              <w:rPr>
                <w:rFonts w:cs="Traditional Arabic" w:hint="cs"/>
                <w:sz w:val="18"/>
                <w:rtl/>
              </w:rPr>
              <w:t>السفريات وبدل الإعاشة اليومي (82×3000 دولار)</w:t>
            </w:r>
          </w:p>
        </w:tc>
        <w:tc>
          <w:tcPr>
            <w:tcW w:w="1383" w:type="dxa"/>
            <w:shd w:val="clear" w:color="auto" w:fill="auto"/>
          </w:tcPr>
          <w:p w:rsidR="00B53884" w:rsidRPr="004974A2" w:rsidRDefault="00B53884" w:rsidP="00C700C9">
            <w:pPr>
              <w:spacing w:before="60" w:after="60" w:line="340" w:lineRule="exact"/>
              <w:jc w:val="both"/>
              <w:rPr>
                <w:rFonts w:cs="Traditional Arabic" w:hint="cs"/>
                <w:sz w:val="18"/>
                <w:rtl/>
              </w:rPr>
            </w:pPr>
            <w:r w:rsidRPr="004974A2">
              <w:rPr>
                <w:rFonts w:cs="Traditional Arabic" w:hint="cs"/>
                <w:sz w:val="18"/>
                <w:rtl/>
              </w:rPr>
              <w:t>000</w:t>
            </w:r>
            <w:r>
              <w:rPr>
                <w:rFonts w:cs="Traditional Arabic" w:hint="eastAsia"/>
                <w:sz w:val="18"/>
                <w:rtl/>
              </w:rPr>
              <w:t> </w:t>
            </w:r>
            <w:r w:rsidRPr="004974A2">
              <w:rPr>
                <w:rFonts w:cs="Traditional Arabic" w:hint="cs"/>
                <w:sz w:val="18"/>
                <w:rtl/>
              </w:rPr>
              <w:t>264</w:t>
            </w:r>
          </w:p>
        </w:tc>
      </w:tr>
      <w:tr w:rsidR="00B53884" w:rsidRPr="004974A2" w:rsidTr="003609A9">
        <w:tc>
          <w:tcPr>
            <w:tcW w:w="990" w:type="dxa"/>
            <w:vMerge/>
            <w:shd w:val="clear" w:color="auto" w:fill="auto"/>
          </w:tcPr>
          <w:p w:rsidR="00B53884" w:rsidRPr="004974A2" w:rsidRDefault="00B53884" w:rsidP="00C47FEC">
            <w:pPr>
              <w:spacing w:before="60" w:after="60" w:line="340" w:lineRule="exact"/>
              <w:jc w:val="center"/>
              <w:rPr>
                <w:rFonts w:cs="Traditional Arabic" w:hint="cs"/>
                <w:sz w:val="18"/>
                <w:rtl/>
              </w:rPr>
            </w:pPr>
          </w:p>
        </w:tc>
        <w:tc>
          <w:tcPr>
            <w:tcW w:w="2496" w:type="dxa"/>
            <w:vMerge/>
            <w:shd w:val="clear" w:color="auto" w:fill="auto"/>
          </w:tcPr>
          <w:p w:rsidR="00B53884" w:rsidRPr="004974A2" w:rsidRDefault="00B53884" w:rsidP="004974A2">
            <w:pPr>
              <w:spacing w:before="60" w:after="60" w:line="340" w:lineRule="exact"/>
              <w:jc w:val="both"/>
              <w:rPr>
                <w:rFonts w:cs="Traditional Arabic" w:hint="cs"/>
                <w:sz w:val="18"/>
                <w:rtl/>
              </w:rPr>
            </w:pPr>
          </w:p>
        </w:tc>
        <w:tc>
          <w:tcPr>
            <w:tcW w:w="3403" w:type="dxa"/>
            <w:shd w:val="clear" w:color="auto" w:fill="auto"/>
          </w:tcPr>
          <w:p w:rsidR="00B53884" w:rsidRPr="004974A2" w:rsidRDefault="00B53884" w:rsidP="004974A2">
            <w:pPr>
              <w:spacing w:before="60" w:after="60" w:line="340" w:lineRule="exact"/>
              <w:jc w:val="both"/>
              <w:rPr>
                <w:rFonts w:cs="Traditional Arabic" w:hint="cs"/>
                <w:sz w:val="18"/>
                <w:rtl/>
              </w:rPr>
            </w:pPr>
            <w:r w:rsidRPr="004974A2">
              <w:rPr>
                <w:rFonts w:cs="Traditional Arabic" w:hint="cs"/>
                <w:sz w:val="18"/>
                <w:rtl/>
              </w:rPr>
              <w:t>تكاليف الاجتماع (اسبوع واحد 109 مشاركين) (25 في المائة عينية)</w:t>
            </w:r>
          </w:p>
        </w:tc>
        <w:tc>
          <w:tcPr>
            <w:tcW w:w="1383" w:type="dxa"/>
            <w:shd w:val="clear" w:color="auto" w:fill="auto"/>
          </w:tcPr>
          <w:p w:rsidR="00B53884" w:rsidRPr="004974A2" w:rsidRDefault="00B53884" w:rsidP="00C700C9">
            <w:pPr>
              <w:spacing w:before="60" w:after="60" w:line="340" w:lineRule="exact"/>
              <w:jc w:val="both"/>
              <w:rPr>
                <w:rFonts w:cs="Traditional Arabic" w:hint="cs"/>
                <w:sz w:val="18"/>
                <w:rtl/>
              </w:rPr>
            </w:pPr>
            <w:r w:rsidRPr="004974A2">
              <w:rPr>
                <w:rFonts w:cs="Traditional Arabic" w:hint="cs"/>
                <w:sz w:val="18"/>
                <w:rtl/>
              </w:rPr>
              <w:t>750</w:t>
            </w:r>
            <w:r>
              <w:rPr>
                <w:rFonts w:cs="Traditional Arabic" w:hint="eastAsia"/>
                <w:sz w:val="18"/>
                <w:rtl/>
              </w:rPr>
              <w:t> </w:t>
            </w:r>
            <w:r w:rsidRPr="004974A2">
              <w:rPr>
                <w:rFonts w:cs="Traditional Arabic" w:hint="cs"/>
                <w:sz w:val="18"/>
                <w:rtl/>
              </w:rPr>
              <w:t>18</w:t>
            </w:r>
          </w:p>
        </w:tc>
      </w:tr>
      <w:tr w:rsidR="00B53884" w:rsidRPr="004974A2" w:rsidTr="003609A9">
        <w:tc>
          <w:tcPr>
            <w:tcW w:w="990" w:type="dxa"/>
            <w:vMerge/>
            <w:shd w:val="clear" w:color="auto" w:fill="auto"/>
          </w:tcPr>
          <w:p w:rsidR="00B53884" w:rsidRPr="004974A2" w:rsidRDefault="00B53884" w:rsidP="00C47FEC">
            <w:pPr>
              <w:spacing w:before="60" w:after="60" w:line="340" w:lineRule="exact"/>
              <w:jc w:val="center"/>
              <w:rPr>
                <w:rFonts w:cs="Traditional Arabic" w:hint="cs"/>
                <w:sz w:val="18"/>
                <w:rtl/>
              </w:rPr>
            </w:pPr>
          </w:p>
        </w:tc>
        <w:tc>
          <w:tcPr>
            <w:tcW w:w="2496" w:type="dxa"/>
            <w:shd w:val="clear" w:color="auto" w:fill="auto"/>
          </w:tcPr>
          <w:p w:rsidR="00B53884" w:rsidRPr="004974A2" w:rsidRDefault="00B53884" w:rsidP="007E0D47">
            <w:pPr>
              <w:spacing w:before="60" w:after="60" w:line="340" w:lineRule="exact"/>
              <w:jc w:val="both"/>
              <w:rPr>
                <w:rFonts w:cs="Traditional Arabic" w:hint="cs"/>
                <w:sz w:val="18"/>
                <w:rtl/>
              </w:rPr>
            </w:pPr>
            <w:r w:rsidRPr="004974A2">
              <w:rPr>
                <w:rFonts w:cs="Traditional Arabic" w:hint="cs"/>
                <w:sz w:val="18"/>
                <w:rtl/>
              </w:rPr>
              <w:t xml:space="preserve">اجتماع المؤلفين الثالث (90 </w:t>
            </w:r>
            <w:r>
              <w:rPr>
                <w:rFonts w:cs="Traditional Arabic" w:hint="cs"/>
                <w:sz w:val="18"/>
                <w:rtl/>
              </w:rPr>
              <w:t>من ال</w:t>
            </w:r>
            <w:r w:rsidRPr="004974A2">
              <w:rPr>
                <w:rFonts w:cs="Traditional Arabic" w:hint="cs"/>
                <w:sz w:val="18"/>
                <w:rtl/>
              </w:rPr>
              <w:t>ر</w:t>
            </w:r>
            <w:r>
              <w:rPr>
                <w:rFonts w:cs="Traditional Arabic" w:hint="cs"/>
                <w:sz w:val="18"/>
                <w:rtl/>
              </w:rPr>
              <w:t>ؤساء</w:t>
            </w:r>
            <w:r w:rsidRPr="004974A2">
              <w:rPr>
                <w:rFonts w:cs="Traditional Arabic" w:hint="cs"/>
                <w:sz w:val="18"/>
                <w:rtl/>
              </w:rPr>
              <w:t xml:space="preserve"> </w:t>
            </w:r>
            <w:r>
              <w:rPr>
                <w:rFonts w:cs="Traditional Arabic" w:hint="cs"/>
                <w:sz w:val="18"/>
                <w:rtl/>
              </w:rPr>
              <w:t>ال</w:t>
            </w:r>
            <w:r w:rsidRPr="004974A2">
              <w:rPr>
                <w:rFonts w:cs="Traditional Arabic" w:hint="cs"/>
                <w:sz w:val="18"/>
                <w:rtl/>
              </w:rPr>
              <w:t>مشاركين و</w:t>
            </w:r>
            <w:r>
              <w:rPr>
                <w:rFonts w:cs="Traditional Arabic" w:hint="cs"/>
                <w:sz w:val="18"/>
                <w:rtl/>
              </w:rPr>
              <w:t>ال</w:t>
            </w:r>
            <w:r w:rsidRPr="004974A2">
              <w:rPr>
                <w:rFonts w:cs="Traditional Arabic" w:hint="cs"/>
                <w:sz w:val="18"/>
                <w:rtl/>
              </w:rPr>
              <w:t xml:space="preserve">مؤلفين </w:t>
            </w:r>
            <w:r>
              <w:rPr>
                <w:rFonts w:cs="Traditional Arabic" w:hint="cs"/>
                <w:sz w:val="18"/>
                <w:rtl/>
              </w:rPr>
              <w:t>ال</w:t>
            </w:r>
            <w:r w:rsidRPr="004974A2">
              <w:rPr>
                <w:rFonts w:cs="Traditional Arabic" w:hint="cs"/>
                <w:sz w:val="18"/>
                <w:rtl/>
              </w:rPr>
              <w:t xml:space="preserve">رئيسيين </w:t>
            </w:r>
            <w:r>
              <w:rPr>
                <w:rFonts w:cs="Traditional Arabic" w:hint="cs"/>
                <w:sz w:val="18"/>
                <w:rtl/>
              </w:rPr>
              <w:t xml:space="preserve">المنسقين </w:t>
            </w:r>
            <w:r w:rsidRPr="004974A2">
              <w:rPr>
                <w:rFonts w:cs="Traditional Arabic" w:hint="cs"/>
                <w:sz w:val="18"/>
                <w:rtl/>
              </w:rPr>
              <w:t>و</w:t>
            </w:r>
            <w:r>
              <w:rPr>
                <w:rFonts w:cs="Traditional Arabic" w:hint="cs"/>
                <w:sz w:val="18"/>
                <w:rtl/>
              </w:rPr>
              <w:t>ال</w:t>
            </w:r>
            <w:r w:rsidRPr="004974A2">
              <w:rPr>
                <w:rFonts w:cs="Traditional Arabic" w:hint="cs"/>
                <w:sz w:val="18"/>
                <w:rtl/>
              </w:rPr>
              <w:t>مؤلفين</w:t>
            </w:r>
            <w:r w:rsidRPr="00A054D4">
              <w:rPr>
                <w:rFonts w:cs="Traditional Arabic" w:hint="cs"/>
                <w:sz w:val="28"/>
                <w:rtl/>
              </w:rPr>
              <w:t xml:space="preserve"> </w:t>
            </w:r>
            <w:r w:rsidR="007E0D47">
              <w:rPr>
                <w:rFonts w:cs="Traditional Arabic" w:hint="cs"/>
                <w:sz w:val="28"/>
                <w:rtl/>
              </w:rPr>
              <w:t>الرئيسيين</w:t>
            </w:r>
            <w:r w:rsidR="007E0D47" w:rsidRPr="007E0D47">
              <w:rPr>
                <w:rFonts w:cs="Traditional Arabic" w:hint="cs"/>
                <w:sz w:val="28"/>
                <w:rtl/>
              </w:rPr>
              <w:t xml:space="preserve"> </w:t>
            </w:r>
            <w:r w:rsidR="007E0D47" w:rsidRPr="007E0D47">
              <w:rPr>
                <w:rFonts w:cs="Traditional Arabic" w:hint="cs"/>
                <w:sz w:val="18"/>
                <w:rtl/>
              </w:rPr>
              <w:t xml:space="preserve">زائداً </w:t>
            </w:r>
            <w:r w:rsidRPr="004974A2">
              <w:rPr>
                <w:rFonts w:cs="Traditional Arabic" w:hint="cs"/>
                <w:sz w:val="18"/>
                <w:rtl/>
              </w:rPr>
              <w:t>14 محررا</w:t>
            </w:r>
            <w:r w:rsidR="00F34833">
              <w:rPr>
                <w:rFonts w:cs="Traditional Arabic" w:hint="cs"/>
                <w:sz w:val="18"/>
                <w:rtl/>
              </w:rPr>
              <w:t>ً</w:t>
            </w:r>
            <w:r>
              <w:rPr>
                <w:rFonts w:cs="Traditional Arabic" w:hint="cs"/>
                <w:sz w:val="18"/>
                <w:rtl/>
              </w:rPr>
              <w:t xml:space="preserve"> مراجعا</w:t>
            </w:r>
            <w:r w:rsidRPr="004974A2">
              <w:rPr>
                <w:rFonts w:cs="Traditional Arabic" w:hint="cs"/>
                <w:sz w:val="18"/>
                <w:rtl/>
              </w:rPr>
              <w:t>ً</w:t>
            </w:r>
            <w:r w:rsidR="007E0D47">
              <w:rPr>
                <w:rFonts w:cs="Traditional Arabic" w:hint="cs"/>
                <w:sz w:val="28"/>
                <w:rtl/>
              </w:rPr>
              <w:t xml:space="preserve"> </w:t>
            </w:r>
            <w:r w:rsidR="007E0D47" w:rsidRPr="007E0D47">
              <w:rPr>
                <w:rFonts w:cs="Traditional Arabic" w:hint="cs"/>
                <w:sz w:val="18"/>
                <w:rtl/>
              </w:rPr>
              <w:t xml:space="preserve">زائداً </w:t>
            </w:r>
            <w:r w:rsidRPr="004974A2">
              <w:rPr>
                <w:rFonts w:cs="Traditional Arabic" w:hint="cs"/>
                <w:sz w:val="18"/>
                <w:rtl/>
              </w:rPr>
              <w:t xml:space="preserve">4 أعضاء في المنبر/المكتب </w:t>
            </w:r>
            <w:r w:rsidR="007E0D47" w:rsidRPr="007E0D47">
              <w:rPr>
                <w:rFonts w:cs="Traditional Arabic" w:hint="cs"/>
                <w:sz w:val="18"/>
                <w:rtl/>
              </w:rPr>
              <w:t>زائداً</w:t>
            </w:r>
            <w:r w:rsidRPr="004974A2">
              <w:rPr>
                <w:rFonts w:cs="Traditional Arabic" w:hint="cs"/>
                <w:sz w:val="18"/>
                <w:rtl/>
              </w:rPr>
              <w:t xml:space="preserve"> موظف دعم تقني</w:t>
            </w:r>
          </w:p>
        </w:tc>
        <w:tc>
          <w:tcPr>
            <w:tcW w:w="3403" w:type="dxa"/>
            <w:shd w:val="clear" w:color="auto" w:fill="auto"/>
          </w:tcPr>
          <w:p w:rsidR="00B53884" w:rsidRPr="004974A2" w:rsidRDefault="00B53884" w:rsidP="004974A2">
            <w:pPr>
              <w:spacing w:before="60" w:after="60" w:line="340" w:lineRule="exact"/>
              <w:jc w:val="both"/>
              <w:rPr>
                <w:rFonts w:cs="Traditional Arabic" w:hint="cs"/>
                <w:sz w:val="18"/>
                <w:rtl/>
              </w:rPr>
            </w:pPr>
            <w:r w:rsidRPr="004974A2">
              <w:rPr>
                <w:rFonts w:cs="Traditional Arabic" w:hint="cs"/>
                <w:sz w:val="18"/>
                <w:rtl/>
              </w:rPr>
              <w:t>السفريات وبدل الإعاشة اليومي (82×3000 دولار)</w:t>
            </w:r>
          </w:p>
        </w:tc>
        <w:tc>
          <w:tcPr>
            <w:tcW w:w="1383" w:type="dxa"/>
            <w:shd w:val="clear" w:color="auto" w:fill="auto"/>
          </w:tcPr>
          <w:p w:rsidR="00B53884" w:rsidRPr="004974A2" w:rsidRDefault="00B53884" w:rsidP="00C700C9">
            <w:pPr>
              <w:spacing w:before="60" w:after="60" w:line="340" w:lineRule="exact"/>
              <w:jc w:val="both"/>
              <w:rPr>
                <w:rFonts w:cs="Traditional Arabic" w:hint="cs"/>
                <w:sz w:val="18"/>
                <w:rtl/>
              </w:rPr>
            </w:pPr>
            <w:r w:rsidRPr="004974A2">
              <w:rPr>
                <w:rFonts w:cs="Traditional Arabic" w:hint="cs"/>
                <w:sz w:val="18"/>
                <w:rtl/>
              </w:rPr>
              <w:t>000</w:t>
            </w:r>
            <w:r>
              <w:rPr>
                <w:rFonts w:cs="Traditional Arabic" w:hint="eastAsia"/>
                <w:sz w:val="18"/>
                <w:rtl/>
              </w:rPr>
              <w:t> </w:t>
            </w:r>
            <w:r w:rsidRPr="004974A2">
              <w:rPr>
                <w:rFonts w:cs="Traditional Arabic" w:hint="cs"/>
                <w:sz w:val="18"/>
                <w:rtl/>
              </w:rPr>
              <w:t>264</w:t>
            </w:r>
          </w:p>
        </w:tc>
      </w:tr>
      <w:tr w:rsidR="00B53884" w:rsidRPr="004974A2" w:rsidTr="003609A9">
        <w:tc>
          <w:tcPr>
            <w:tcW w:w="990" w:type="dxa"/>
            <w:vMerge/>
            <w:shd w:val="clear" w:color="auto" w:fill="auto"/>
          </w:tcPr>
          <w:p w:rsidR="00B53884" w:rsidRPr="004974A2" w:rsidRDefault="00B53884" w:rsidP="00C47FEC">
            <w:pPr>
              <w:spacing w:before="60" w:after="60" w:line="340" w:lineRule="exact"/>
              <w:jc w:val="center"/>
              <w:rPr>
                <w:rFonts w:cs="Traditional Arabic" w:hint="cs"/>
                <w:sz w:val="18"/>
                <w:rtl/>
              </w:rPr>
            </w:pPr>
          </w:p>
        </w:tc>
        <w:tc>
          <w:tcPr>
            <w:tcW w:w="2496" w:type="dxa"/>
            <w:shd w:val="clear" w:color="auto" w:fill="auto"/>
          </w:tcPr>
          <w:p w:rsidR="00B53884" w:rsidRPr="004974A2" w:rsidRDefault="00B53884" w:rsidP="004974A2">
            <w:pPr>
              <w:spacing w:before="60" w:after="60" w:line="340" w:lineRule="exact"/>
              <w:jc w:val="both"/>
              <w:rPr>
                <w:rFonts w:cs="Traditional Arabic" w:hint="cs"/>
                <w:sz w:val="18"/>
                <w:rtl/>
              </w:rPr>
            </w:pPr>
            <w:r w:rsidRPr="004974A2">
              <w:rPr>
                <w:rFonts w:cs="Traditional Arabic" w:hint="cs"/>
                <w:sz w:val="18"/>
                <w:rtl/>
              </w:rPr>
              <w:t>الدعم التقني</w:t>
            </w:r>
          </w:p>
        </w:tc>
        <w:tc>
          <w:tcPr>
            <w:tcW w:w="3403" w:type="dxa"/>
            <w:shd w:val="clear" w:color="auto" w:fill="auto"/>
          </w:tcPr>
          <w:p w:rsidR="00B53884" w:rsidRPr="004974A2" w:rsidRDefault="00B53884" w:rsidP="004974A2">
            <w:pPr>
              <w:spacing w:before="60" w:after="60" w:line="340" w:lineRule="exact"/>
              <w:jc w:val="both"/>
              <w:rPr>
                <w:rFonts w:cs="Traditional Arabic" w:hint="cs"/>
                <w:sz w:val="18"/>
                <w:rtl/>
              </w:rPr>
            </w:pPr>
            <w:r w:rsidRPr="004974A2">
              <w:rPr>
                <w:rFonts w:cs="Traditional Arabic" w:hint="cs"/>
                <w:sz w:val="18"/>
                <w:rtl/>
              </w:rPr>
              <w:t>وظيفة واحدة فنية تعادل التفرغ طوال الوقت (50 في المائة عينية)</w:t>
            </w:r>
          </w:p>
        </w:tc>
        <w:tc>
          <w:tcPr>
            <w:tcW w:w="1383" w:type="dxa"/>
            <w:shd w:val="clear" w:color="auto" w:fill="auto"/>
          </w:tcPr>
          <w:p w:rsidR="00B53884" w:rsidRPr="004974A2" w:rsidRDefault="00B53884" w:rsidP="00C700C9">
            <w:pPr>
              <w:spacing w:before="60" w:after="60" w:line="340" w:lineRule="exact"/>
              <w:jc w:val="both"/>
              <w:rPr>
                <w:rFonts w:cs="Traditional Arabic" w:hint="cs"/>
                <w:sz w:val="18"/>
                <w:rtl/>
              </w:rPr>
            </w:pPr>
            <w:r w:rsidRPr="004974A2">
              <w:rPr>
                <w:rFonts w:cs="Traditional Arabic" w:hint="cs"/>
                <w:sz w:val="18"/>
                <w:rtl/>
              </w:rPr>
              <w:t>000</w:t>
            </w:r>
            <w:r>
              <w:rPr>
                <w:rFonts w:cs="Traditional Arabic" w:hint="eastAsia"/>
                <w:sz w:val="18"/>
                <w:rtl/>
              </w:rPr>
              <w:t> </w:t>
            </w:r>
            <w:r w:rsidRPr="004974A2">
              <w:rPr>
                <w:rFonts w:cs="Traditional Arabic" w:hint="cs"/>
                <w:sz w:val="18"/>
                <w:rtl/>
              </w:rPr>
              <w:t>75</w:t>
            </w:r>
          </w:p>
        </w:tc>
      </w:tr>
      <w:tr w:rsidR="00B53884" w:rsidRPr="004974A2" w:rsidTr="003609A9">
        <w:tc>
          <w:tcPr>
            <w:tcW w:w="990" w:type="dxa"/>
            <w:vMerge w:val="restart"/>
            <w:shd w:val="clear" w:color="auto" w:fill="auto"/>
            <w:vAlign w:val="center"/>
          </w:tcPr>
          <w:p w:rsidR="00B53884" w:rsidRPr="004974A2" w:rsidRDefault="00B53884" w:rsidP="00C47FEC">
            <w:pPr>
              <w:spacing w:before="60" w:after="60" w:line="340" w:lineRule="exact"/>
              <w:jc w:val="center"/>
              <w:rPr>
                <w:rFonts w:cs="Traditional Arabic" w:hint="cs"/>
                <w:sz w:val="18"/>
                <w:rtl/>
              </w:rPr>
            </w:pPr>
            <w:r w:rsidRPr="004974A2">
              <w:rPr>
                <w:rFonts w:cs="Traditional Arabic" w:hint="cs"/>
                <w:sz w:val="18"/>
                <w:rtl/>
              </w:rPr>
              <w:t>2016</w:t>
            </w:r>
          </w:p>
        </w:tc>
        <w:tc>
          <w:tcPr>
            <w:tcW w:w="2496" w:type="dxa"/>
            <w:shd w:val="clear" w:color="auto" w:fill="auto"/>
          </w:tcPr>
          <w:p w:rsidR="00B53884" w:rsidRPr="004974A2" w:rsidRDefault="00B53884" w:rsidP="004974A2">
            <w:pPr>
              <w:spacing w:before="60" w:after="60" w:line="340" w:lineRule="exact"/>
              <w:jc w:val="both"/>
              <w:rPr>
                <w:rFonts w:cs="Traditional Arabic" w:hint="cs"/>
                <w:sz w:val="18"/>
                <w:rtl/>
              </w:rPr>
            </w:pPr>
            <w:r w:rsidRPr="004974A2">
              <w:rPr>
                <w:rFonts w:cs="Traditional Arabic" w:hint="cs"/>
                <w:sz w:val="18"/>
                <w:rtl/>
              </w:rPr>
              <w:t>المشاركة في الدورة الرابعة للاجتماع العام برئيسيي</w:t>
            </w:r>
            <w:r w:rsidRPr="004974A2">
              <w:rPr>
                <w:rFonts w:cs="Traditional Arabic" w:hint="eastAsia"/>
                <w:sz w:val="18"/>
                <w:rtl/>
              </w:rPr>
              <w:t>ن</w:t>
            </w:r>
            <w:r w:rsidRPr="004974A2">
              <w:rPr>
                <w:rFonts w:cs="Traditional Arabic" w:hint="cs"/>
                <w:sz w:val="18"/>
                <w:rtl/>
              </w:rPr>
              <w:t xml:space="preserve"> مشاركين</w:t>
            </w:r>
            <w:r>
              <w:rPr>
                <w:rFonts w:cs="Traditional Arabic" w:hint="cs"/>
                <w:sz w:val="18"/>
                <w:rtl/>
              </w:rPr>
              <w:t xml:space="preserve"> واثنين من المؤلفين الرئيسيين المنسقين</w:t>
            </w:r>
          </w:p>
        </w:tc>
        <w:tc>
          <w:tcPr>
            <w:tcW w:w="3403" w:type="dxa"/>
            <w:shd w:val="clear" w:color="auto" w:fill="auto"/>
          </w:tcPr>
          <w:p w:rsidR="00B53884" w:rsidRPr="004974A2" w:rsidRDefault="00B53884" w:rsidP="004974A2">
            <w:pPr>
              <w:spacing w:before="60" w:after="60" w:line="340" w:lineRule="exact"/>
              <w:jc w:val="both"/>
              <w:rPr>
                <w:rFonts w:cs="Traditional Arabic" w:hint="cs"/>
                <w:sz w:val="18"/>
                <w:rtl/>
              </w:rPr>
            </w:pPr>
            <w:r w:rsidRPr="004974A2">
              <w:rPr>
                <w:rFonts w:cs="Traditional Arabic" w:hint="cs"/>
                <w:sz w:val="18"/>
                <w:rtl/>
              </w:rPr>
              <w:t>السفريات وبدل الإعاشة اليومي (3×3000 دولار)</w:t>
            </w:r>
          </w:p>
        </w:tc>
        <w:tc>
          <w:tcPr>
            <w:tcW w:w="1383" w:type="dxa"/>
            <w:shd w:val="clear" w:color="auto" w:fill="auto"/>
          </w:tcPr>
          <w:p w:rsidR="00B53884" w:rsidRPr="004974A2" w:rsidRDefault="00B53884" w:rsidP="00C700C9">
            <w:pPr>
              <w:spacing w:before="60" w:after="60" w:line="340" w:lineRule="exact"/>
              <w:jc w:val="both"/>
              <w:rPr>
                <w:rFonts w:cs="Traditional Arabic" w:hint="cs"/>
                <w:sz w:val="18"/>
                <w:rtl/>
              </w:rPr>
            </w:pPr>
            <w:r w:rsidRPr="004974A2">
              <w:rPr>
                <w:rFonts w:cs="Traditional Arabic" w:hint="cs"/>
                <w:sz w:val="18"/>
                <w:rtl/>
              </w:rPr>
              <w:t>000</w:t>
            </w:r>
            <w:r>
              <w:rPr>
                <w:rFonts w:cs="Traditional Arabic" w:hint="eastAsia"/>
                <w:sz w:val="18"/>
                <w:rtl/>
              </w:rPr>
              <w:t> </w:t>
            </w:r>
            <w:r w:rsidRPr="004974A2">
              <w:rPr>
                <w:rFonts w:cs="Traditional Arabic" w:hint="cs"/>
                <w:sz w:val="18"/>
                <w:rtl/>
              </w:rPr>
              <w:t>9</w:t>
            </w:r>
          </w:p>
        </w:tc>
      </w:tr>
      <w:tr w:rsidR="00B53884" w:rsidRPr="004974A2" w:rsidTr="003609A9">
        <w:tc>
          <w:tcPr>
            <w:tcW w:w="990" w:type="dxa"/>
            <w:vMerge/>
            <w:shd w:val="clear" w:color="auto" w:fill="auto"/>
          </w:tcPr>
          <w:p w:rsidR="00B53884" w:rsidRPr="004974A2" w:rsidRDefault="00B53884" w:rsidP="004974A2">
            <w:pPr>
              <w:spacing w:before="60" w:after="60" w:line="340" w:lineRule="exact"/>
              <w:jc w:val="both"/>
              <w:rPr>
                <w:rFonts w:cs="Traditional Arabic" w:hint="cs"/>
                <w:sz w:val="18"/>
                <w:rtl/>
              </w:rPr>
            </w:pPr>
          </w:p>
        </w:tc>
        <w:tc>
          <w:tcPr>
            <w:tcW w:w="2496" w:type="dxa"/>
            <w:shd w:val="clear" w:color="auto" w:fill="auto"/>
          </w:tcPr>
          <w:p w:rsidR="00B53884" w:rsidRPr="004974A2" w:rsidRDefault="00B53884" w:rsidP="000D0FB1">
            <w:pPr>
              <w:spacing w:before="60" w:after="60" w:line="340" w:lineRule="exact"/>
              <w:jc w:val="both"/>
              <w:rPr>
                <w:rFonts w:cs="Traditional Arabic" w:hint="cs"/>
                <w:sz w:val="18"/>
                <w:rtl/>
              </w:rPr>
            </w:pPr>
            <w:r w:rsidRPr="004974A2">
              <w:rPr>
                <w:rFonts w:cs="Traditional Arabic" w:hint="cs"/>
                <w:sz w:val="18"/>
                <w:rtl/>
              </w:rPr>
              <w:t xml:space="preserve">التوزيع </w:t>
            </w:r>
            <w:r w:rsidR="00527708">
              <w:rPr>
                <w:rFonts w:cs="Traditional Arabic" w:hint="cs"/>
                <w:sz w:val="18"/>
                <w:rtl/>
              </w:rPr>
              <w:t xml:space="preserve">والتوعية </w:t>
            </w:r>
            <w:r w:rsidRPr="004974A2">
              <w:rPr>
                <w:rFonts w:cs="Traditional Arabic" w:hint="cs"/>
                <w:sz w:val="18"/>
                <w:rtl/>
              </w:rPr>
              <w:t>(</w:t>
            </w:r>
            <w:r>
              <w:rPr>
                <w:rFonts w:cs="Traditional Arabic" w:hint="cs"/>
                <w:sz w:val="18"/>
                <w:rtl/>
              </w:rPr>
              <w:t>ملخص</w:t>
            </w:r>
            <w:r w:rsidRPr="004974A2">
              <w:rPr>
                <w:rFonts w:cs="Traditional Arabic" w:hint="cs"/>
                <w:sz w:val="18"/>
                <w:rtl/>
              </w:rPr>
              <w:t xml:space="preserve"> </w:t>
            </w:r>
            <w:r w:rsidR="000D0FB1">
              <w:rPr>
                <w:rFonts w:cs="Traditional Arabic" w:hint="cs"/>
                <w:sz w:val="18"/>
                <w:rtl/>
              </w:rPr>
              <w:t>لمقرري</w:t>
            </w:r>
            <w:r w:rsidRPr="004974A2">
              <w:rPr>
                <w:rFonts w:cs="Traditional Arabic" w:hint="cs"/>
                <w:sz w:val="18"/>
                <w:rtl/>
              </w:rPr>
              <w:t xml:space="preserve"> </w:t>
            </w:r>
            <w:r w:rsidR="00831A0A" w:rsidRPr="00831A0A">
              <w:rPr>
                <w:rFonts w:cs="Traditional Arabic" w:hint="cs"/>
                <w:sz w:val="18"/>
                <w:rtl/>
              </w:rPr>
              <w:t>السياسات</w:t>
            </w:r>
            <w:r w:rsidR="00831A0A">
              <w:rPr>
                <w:rFonts w:cs="Traditional Arabic" w:hint="cs"/>
                <w:sz w:val="18"/>
                <w:rtl/>
              </w:rPr>
              <w:t>)</w:t>
            </w:r>
            <w:r w:rsidR="00831A0A" w:rsidRPr="00831A0A">
              <w:rPr>
                <w:rFonts w:cs="Traditional Arabic" w:hint="cs"/>
                <w:sz w:val="18"/>
                <w:rtl/>
              </w:rPr>
              <w:t xml:space="preserve"> </w:t>
            </w:r>
            <w:r w:rsidR="00831A0A">
              <w:rPr>
                <w:rFonts w:cs="Traditional Arabic" w:hint="cs"/>
                <w:sz w:val="18"/>
                <w:rtl/>
              </w:rPr>
              <w:t>(10 صفحات)</w:t>
            </w:r>
            <w:r w:rsidR="00831A0A">
              <w:rPr>
                <w:rFonts w:cs="Traditional Arabic" w:hint="cs"/>
                <w:sz w:val="28"/>
                <w:rtl/>
              </w:rPr>
              <w:t xml:space="preserve"> </w:t>
            </w:r>
            <w:r w:rsidR="000D0FB1">
              <w:rPr>
                <w:rFonts w:cs="Traditional Arabic" w:hint="cs"/>
                <w:sz w:val="18"/>
                <w:rtl/>
              </w:rPr>
              <w:t>والتقرير (</w:t>
            </w:r>
            <w:r w:rsidRPr="004974A2">
              <w:rPr>
                <w:rFonts w:cs="Traditional Arabic" w:hint="cs"/>
                <w:sz w:val="18"/>
                <w:rtl/>
              </w:rPr>
              <w:t>200 صفحة</w:t>
            </w:r>
            <w:r w:rsidR="00831A0A">
              <w:rPr>
                <w:rFonts w:cs="Traditional Arabic" w:hint="cs"/>
                <w:sz w:val="18"/>
                <w:rtl/>
              </w:rPr>
              <w:t>)</w:t>
            </w:r>
          </w:p>
        </w:tc>
        <w:tc>
          <w:tcPr>
            <w:tcW w:w="3403" w:type="dxa"/>
            <w:shd w:val="clear" w:color="auto" w:fill="auto"/>
          </w:tcPr>
          <w:p w:rsidR="00B53884" w:rsidRPr="004974A2" w:rsidRDefault="00831A0A" w:rsidP="000D0FB1">
            <w:pPr>
              <w:spacing w:before="60" w:after="60" w:line="340" w:lineRule="exact"/>
              <w:jc w:val="both"/>
              <w:rPr>
                <w:rFonts w:cs="Traditional Arabic" w:hint="cs"/>
                <w:sz w:val="18"/>
                <w:rtl/>
              </w:rPr>
            </w:pPr>
            <w:r>
              <w:rPr>
                <w:rFonts w:cs="Traditional Arabic" w:hint="cs"/>
                <w:sz w:val="18"/>
                <w:rtl/>
              </w:rPr>
              <w:t>ترجمة</w:t>
            </w:r>
            <w:r w:rsidR="00B53884" w:rsidRPr="004974A2">
              <w:rPr>
                <w:rFonts w:cs="Traditional Arabic" w:hint="cs"/>
                <w:sz w:val="18"/>
                <w:rtl/>
              </w:rPr>
              <w:t xml:space="preserve"> ملخص </w:t>
            </w:r>
            <w:r w:rsidR="000D0FB1">
              <w:rPr>
                <w:rFonts w:cs="Traditional Arabic" w:hint="cs"/>
                <w:sz w:val="18"/>
                <w:rtl/>
              </w:rPr>
              <w:t>مقرري</w:t>
            </w:r>
            <w:r w:rsidR="00B53884" w:rsidRPr="004974A2">
              <w:rPr>
                <w:rFonts w:cs="Traditional Arabic" w:hint="cs"/>
                <w:sz w:val="18"/>
                <w:rtl/>
              </w:rPr>
              <w:t xml:space="preserve"> السياسات ب</w:t>
            </w:r>
            <w:r>
              <w:rPr>
                <w:rFonts w:cs="Traditional Arabic" w:hint="cs"/>
                <w:sz w:val="18"/>
                <w:rtl/>
              </w:rPr>
              <w:t xml:space="preserve">جميع </w:t>
            </w:r>
            <w:r w:rsidR="00B53884" w:rsidRPr="004974A2">
              <w:rPr>
                <w:rFonts w:cs="Traditional Arabic" w:hint="cs"/>
                <w:sz w:val="18"/>
                <w:rtl/>
              </w:rPr>
              <w:t xml:space="preserve">لغات الأمم المتحدة الرسمية </w:t>
            </w:r>
            <w:r>
              <w:rPr>
                <w:rFonts w:cs="Traditional Arabic" w:hint="cs"/>
                <w:sz w:val="18"/>
                <w:rtl/>
              </w:rPr>
              <w:t>والنشر والتوعية</w:t>
            </w:r>
          </w:p>
        </w:tc>
        <w:tc>
          <w:tcPr>
            <w:tcW w:w="1383" w:type="dxa"/>
            <w:shd w:val="clear" w:color="auto" w:fill="auto"/>
          </w:tcPr>
          <w:p w:rsidR="00B53884" w:rsidRPr="004974A2" w:rsidRDefault="00B53884" w:rsidP="00C700C9">
            <w:pPr>
              <w:spacing w:before="60" w:after="60" w:line="340" w:lineRule="exact"/>
              <w:jc w:val="both"/>
              <w:rPr>
                <w:rFonts w:cs="Traditional Arabic" w:hint="cs"/>
                <w:sz w:val="18"/>
                <w:rtl/>
              </w:rPr>
            </w:pPr>
            <w:r w:rsidRPr="004974A2">
              <w:rPr>
                <w:rFonts w:cs="Traditional Arabic" w:hint="cs"/>
                <w:sz w:val="18"/>
                <w:rtl/>
              </w:rPr>
              <w:t>000</w:t>
            </w:r>
            <w:r>
              <w:rPr>
                <w:rFonts w:cs="Traditional Arabic" w:hint="eastAsia"/>
                <w:sz w:val="18"/>
                <w:rtl/>
              </w:rPr>
              <w:t> </w:t>
            </w:r>
            <w:r w:rsidRPr="004974A2">
              <w:rPr>
                <w:rFonts w:cs="Traditional Arabic" w:hint="cs"/>
                <w:sz w:val="18"/>
                <w:rtl/>
              </w:rPr>
              <w:t>117</w:t>
            </w:r>
          </w:p>
        </w:tc>
      </w:tr>
      <w:tr w:rsidR="00B53884" w:rsidRPr="004974A2" w:rsidTr="003609A9">
        <w:tc>
          <w:tcPr>
            <w:tcW w:w="3486" w:type="dxa"/>
            <w:gridSpan w:val="2"/>
            <w:shd w:val="clear" w:color="auto" w:fill="auto"/>
          </w:tcPr>
          <w:p w:rsidR="00B53884" w:rsidRPr="004974A2" w:rsidRDefault="00B53884" w:rsidP="00A054D4">
            <w:pPr>
              <w:spacing w:before="60" w:after="60" w:line="340" w:lineRule="exact"/>
              <w:jc w:val="both"/>
              <w:rPr>
                <w:rFonts w:cs="Traditional Arabic" w:hint="cs"/>
                <w:b/>
                <w:bCs/>
                <w:sz w:val="18"/>
                <w:rtl/>
              </w:rPr>
            </w:pPr>
            <w:r w:rsidRPr="004974A2">
              <w:rPr>
                <w:rFonts w:cs="Traditional Arabic" w:hint="cs"/>
                <w:b/>
                <w:bCs/>
                <w:sz w:val="18"/>
                <w:rtl/>
              </w:rPr>
              <w:t>المجموع</w:t>
            </w:r>
          </w:p>
        </w:tc>
        <w:tc>
          <w:tcPr>
            <w:tcW w:w="3403" w:type="dxa"/>
            <w:shd w:val="clear" w:color="auto" w:fill="auto"/>
          </w:tcPr>
          <w:p w:rsidR="00B53884" w:rsidRPr="004974A2" w:rsidRDefault="00B53884" w:rsidP="004974A2">
            <w:pPr>
              <w:spacing w:before="60" w:after="60" w:line="340" w:lineRule="exact"/>
              <w:jc w:val="both"/>
              <w:rPr>
                <w:rFonts w:cs="Traditional Arabic" w:hint="cs"/>
                <w:sz w:val="18"/>
                <w:rtl/>
              </w:rPr>
            </w:pPr>
          </w:p>
        </w:tc>
        <w:tc>
          <w:tcPr>
            <w:tcW w:w="1383" w:type="dxa"/>
            <w:shd w:val="clear" w:color="auto" w:fill="auto"/>
          </w:tcPr>
          <w:p w:rsidR="00B53884" w:rsidRPr="004974A2" w:rsidRDefault="00B53884" w:rsidP="00C700C9">
            <w:pPr>
              <w:spacing w:before="60" w:after="60" w:line="340" w:lineRule="exact"/>
              <w:jc w:val="both"/>
              <w:rPr>
                <w:rFonts w:cs="Traditional Arabic" w:hint="cs"/>
                <w:b/>
                <w:bCs/>
                <w:sz w:val="18"/>
                <w:rtl/>
              </w:rPr>
            </w:pPr>
            <w:r w:rsidRPr="004974A2">
              <w:rPr>
                <w:rFonts w:cs="Traditional Arabic" w:hint="cs"/>
                <w:b/>
                <w:bCs/>
                <w:sz w:val="18"/>
                <w:rtl/>
              </w:rPr>
              <w:t>500</w:t>
            </w:r>
            <w:r>
              <w:rPr>
                <w:rFonts w:cs="Traditional Arabic" w:hint="eastAsia"/>
                <w:b/>
                <w:bCs/>
                <w:sz w:val="18"/>
                <w:rtl/>
              </w:rPr>
              <w:t> </w:t>
            </w:r>
            <w:r w:rsidRPr="004974A2">
              <w:rPr>
                <w:rFonts w:cs="Traditional Arabic" w:hint="cs"/>
                <w:b/>
                <w:bCs/>
                <w:sz w:val="18"/>
                <w:rtl/>
              </w:rPr>
              <w:t>141</w:t>
            </w:r>
            <w:r>
              <w:rPr>
                <w:rFonts w:cs="Traditional Arabic" w:hint="eastAsia"/>
                <w:b/>
                <w:bCs/>
                <w:sz w:val="18"/>
                <w:rtl/>
              </w:rPr>
              <w:t> </w:t>
            </w:r>
            <w:r w:rsidRPr="004974A2">
              <w:rPr>
                <w:rFonts w:cs="Traditional Arabic" w:hint="cs"/>
                <w:b/>
                <w:bCs/>
                <w:sz w:val="18"/>
                <w:rtl/>
              </w:rPr>
              <w:t>1</w:t>
            </w:r>
          </w:p>
        </w:tc>
      </w:tr>
    </w:tbl>
    <w:p w:rsidR="00A054D4" w:rsidRDefault="00A054D4" w:rsidP="001844E3">
      <w:pPr>
        <w:spacing w:after="120" w:line="400" w:lineRule="exact"/>
        <w:ind w:left="1440"/>
        <w:jc w:val="both"/>
        <w:rPr>
          <w:rFonts w:cs="Traditional Arabic"/>
          <w:b/>
          <w:bCs/>
          <w:szCs w:val="30"/>
          <w:rtl/>
        </w:rPr>
      </w:pPr>
    </w:p>
    <w:p w:rsidR="002323CD" w:rsidRPr="001E7497" w:rsidRDefault="00A054D4" w:rsidP="00022656">
      <w:pPr>
        <w:spacing w:after="120" w:line="400" w:lineRule="exact"/>
        <w:jc w:val="both"/>
        <w:rPr>
          <w:rFonts w:cs="Traditional Arabic" w:hint="cs"/>
          <w:b/>
          <w:bCs/>
          <w:szCs w:val="30"/>
          <w:rtl/>
        </w:rPr>
      </w:pPr>
      <w:r>
        <w:rPr>
          <w:rFonts w:cs="Traditional Arabic"/>
          <w:b/>
          <w:bCs/>
          <w:szCs w:val="30"/>
          <w:rtl/>
        </w:rPr>
        <w:br w:type="page"/>
      </w:r>
      <w:r w:rsidR="001E7497">
        <w:rPr>
          <w:rFonts w:cs="Traditional Arabic" w:hint="cs"/>
          <w:b/>
          <w:bCs/>
          <w:szCs w:val="30"/>
          <w:rtl/>
        </w:rPr>
        <w:lastRenderedPageBreak/>
        <w:t>المراجع</w:t>
      </w:r>
    </w:p>
    <w:p w:rsidR="001E7497" w:rsidRDefault="001E7497" w:rsidP="00022656">
      <w:pPr>
        <w:spacing w:after="120" w:line="400" w:lineRule="exact"/>
        <w:ind w:left="1134"/>
        <w:jc w:val="both"/>
        <w:rPr>
          <w:rFonts w:cs="Traditional Arabic" w:hint="cs"/>
          <w:szCs w:val="30"/>
          <w:rtl/>
        </w:rPr>
      </w:pPr>
      <w:r>
        <w:rPr>
          <w:rFonts w:cs="Traditional Arabic" w:hint="cs"/>
          <w:szCs w:val="30"/>
          <w:rtl/>
        </w:rPr>
        <w:t xml:space="preserve">منظمة الأمم المتحدة للأغذية والزراعة، </w:t>
      </w:r>
      <w:r w:rsidRPr="001E7497">
        <w:rPr>
          <w:rFonts w:cs="Traditional Arabic" w:hint="cs"/>
          <w:i/>
          <w:iCs/>
          <w:szCs w:val="30"/>
          <w:rtl/>
        </w:rPr>
        <w:t>التنوع البيولوجي لخدمة الأغذية والزراعة: الإسهام في الأمن الغذائي والاستدامة في عالم متغير</w:t>
      </w:r>
      <w:r>
        <w:rPr>
          <w:rFonts w:cs="Traditional Arabic" w:hint="cs"/>
          <w:szCs w:val="30"/>
          <w:rtl/>
        </w:rPr>
        <w:t xml:space="preserve"> (2011).</w:t>
      </w:r>
    </w:p>
    <w:p w:rsidR="001E7497" w:rsidRDefault="001E7497" w:rsidP="00022656">
      <w:pPr>
        <w:spacing w:after="120" w:line="400" w:lineRule="exact"/>
        <w:ind w:left="1134"/>
        <w:jc w:val="both"/>
        <w:rPr>
          <w:rFonts w:cs="Traditional Arabic" w:hint="cs"/>
          <w:szCs w:val="30"/>
          <w:rtl/>
        </w:rPr>
      </w:pPr>
      <w:r>
        <w:rPr>
          <w:sz w:val="20"/>
          <w:szCs w:val="20"/>
          <w:lang w:val="en-GB"/>
        </w:rPr>
        <w:t xml:space="preserve">T. </w:t>
      </w:r>
      <w:r w:rsidRPr="00762016">
        <w:rPr>
          <w:sz w:val="20"/>
          <w:szCs w:val="20"/>
          <w:lang w:val="en-GB"/>
        </w:rPr>
        <w:t>Garnett</w:t>
      </w:r>
      <w:r>
        <w:rPr>
          <w:rFonts w:cs="Traditional Arabic" w:hint="cs"/>
          <w:szCs w:val="30"/>
          <w:rtl/>
        </w:rPr>
        <w:t xml:space="preserve"> وآخرون </w:t>
      </w:r>
      <w:r w:rsidR="005673A8">
        <w:rPr>
          <w:rFonts w:cs="Traditional Arabic" w:hint="cs"/>
          <w:szCs w:val="30"/>
          <w:rtl/>
        </w:rPr>
        <w:t>’’</w:t>
      </w:r>
      <w:r>
        <w:rPr>
          <w:rFonts w:cs="Traditional Arabic" w:hint="cs"/>
          <w:szCs w:val="30"/>
          <w:rtl/>
        </w:rPr>
        <w:t>التكثيف المستدام في الزراعة، الآفاق والسياسات والعلوم</w:t>
      </w:r>
      <w:r w:rsidR="005673A8">
        <w:rPr>
          <w:rFonts w:cs="Traditional Arabic" w:hint="cs"/>
          <w:szCs w:val="30"/>
          <w:rtl/>
        </w:rPr>
        <w:t>‘‘</w:t>
      </w:r>
      <w:r>
        <w:rPr>
          <w:rFonts w:cs="Traditional Arabic" w:hint="cs"/>
          <w:szCs w:val="30"/>
          <w:rtl/>
        </w:rPr>
        <w:t>، المجلد 341 صفحة 33-34 (2013).</w:t>
      </w:r>
    </w:p>
    <w:p w:rsidR="00451ABD" w:rsidRDefault="0038322E" w:rsidP="0038322E">
      <w:pPr>
        <w:spacing w:after="120" w:line="400" w:lineRule="exact"/>
        <w:ind w:left="1440"/>
        <w:jc w:val="center"/>
        <w:rPr>
          <w:rFonts w:cs="Traditional Arabic"/>
          <w:sz w:val="30"/>
          <w:szCs w:val="30"/>
        </w:rPr>
      </w:pPr>
      <w:r>
        <w:rPr>
          <w:rFonts w:cs="Traditional Arabic"/>
          <w:sz w:val="30"/>
          <w:szCs w:val="30"/>
        </w:rPr>
        <w:t>____</w:t>
      </w:r>
      <w:r w:rsidR="00EC3A5F">
        <w:rPr>
          <w:rFonts w:cs="Traditional Arabic"/>
          <w:sz w:val="30"/>
          <w:szCs w:val="30"/>
        </w:rPr>
        <w:t>________</w:t>
      </w:r>
    </w:p>
    <w:sectPr w:rsidR="00451ABD" w:rsidSect="00955980">
      <w:headerReference w:type="even" r:id="rId11"/>
      <w:headerReference w:type="default" r:id="rId12"/>
      <w:footerReference w:type="even" r:id="rId13"/>
      <w:footerReference w:type="default" r:id="rId14"/>
      <w:headerReference w:type="first" r:id="rId15"/>
      <w:footerReference w:type="first" r:id="rId16"/>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10" w:rsidRDefault="00932C10">
      <w:r>
        <w:separator/>
      </w:r>
    </w:p>
  </w:endnote>
  <w:endnote w:type="continuationSeparator" w:id="0">
    <w:p w:rsidR="00932C10" w:rsidRDefault="0093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20002A87" w:usb1="00000000" w:usb2="00000000"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56" w:rsidRPr="007B173A" w:rsidRDefault="00022656" w:rsidP="007B173A">
    <w:pPr>
      <w:pStyle w:val="Footer"/>
      <w:tabs>
        <w:tab w:val="clear" w:pos="4153"/>
        <w:tab w:val="clear" w:pos="8306"/>
      </w:tabs>
      <w:bidi w:val="0"/>
      <w:spacing w:line="240" w:lineRule="exact"/>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ED273F">
      <w:rPr>
        <w:rStyle w:val="PageNumber"/>
        <w:rFonts w:ascii="Times New Roman" w:hAnsi="Times New Roman" w:cs="Times New Roman"/>
      </w:rPr>
      <w:t>6</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56" w:rsidRPr="007B173A" w:rsidRDefault="00022656" w:rsidP="007B173A">
    <w:pPr>
      <w:pStyle w:val="Footer"/>
      <w:tabs>
        <w:tab w:val="clear" w:pos="4153"/>
        <w:tab w:val="clear" w:pos="8306"/>
      </w:tabs>
      <w:bidi w:val="0"/>
      <w:spacing w:line="240" w:lineRule="exact"/>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ED273F">
      <w:rPr>
        <w:rStyle w:val="PageNumber"/>
        <w:rFonts w:ascii="Times New Roman" w:hAnsi="Times New Roman" w:cs="Times New Roman"/>
      </w:rPr>
      <w:t>7</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56" w:rsidRDefault="00022656" w:rsidP="003422C0">
    <w:pPr>
      <w:pStyle w:val="Footer"/>
      <w:tabs>
        <w:tab w:val="clear" w:pos="4153"/>
        <w:tab w:val="clear" w:pos="8306"/>
      </w:tabs>
      <w:jc w:val="left"/>
    </w:pPr>
    <w:r>
      <w:rPr>
        <w:rStyle w:val="PageNumber"/>
      </w:rPr>
      <w:t>K1353344</w:t>
    </w:r>
    <w:r>
      <w:rPr>
        <w:rStyle w:val="PageNumber"/>
      </w:rPr>
      <w:tab/>
      <w:t>041113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10" w:rsidRDefault="00932C10" w:rsidP="00684243">
      <w:pPr>
        <w:ind w:left="720"/>
      </w:pPr>
      <w:r>
        <w:separator/>
      </w:r>
    </w:p>
  </w:footnote>
  <w:footnote w:type="continuationSeparator" w:id="0">
    <w:p w:rsidR="00932C10" w:rsidRDefault="00932C10">
      <w:r>
        <w:continuationSeparator/>
      </w:r>
    </w:p>
  </w:footnote>
  <w:footnote w:id="1">
    <w:p w:rsidR="008C5A6C" w:rsidRPr="009E46DF" w:rsidRDefault="008C5A6C" w:rsidP="005B5EED">
      <w:pPr>
        <w:pStyle w:val="FootnoteText"/>
        <w:ind w:left="1440"/>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56" w:rsidRPr="008C5A6C" w:rsidRDefault="00022656" w:rsidP="008C5A6C">
    <w:pPr>
      <w:pBdr>
        <w:bottom w:val="single" w:sz="4" w:space="0" w:color="auto"/>
      </w:pBdr>
      <w:spacing w:after="40" w:line="180" w:lineRule="exact"/>
      <w:rPr>
        <w:rFonts w:hint="cs"/>
        <w:b/>
        <w:bCs/>
        <w:sz w:val="18"/>
        <w:szCs w:val="18"/>
        <w:rtl/>
        <w:lang w:val="fr-FR"/>
      </w:rPr>
    </w:pPr>
    <w:r w:rsidRPr="008C5A6C">
      <w:rPr>
        <w:rStyle w:val="PageNumber"/>
        <w:rFonts w:cs="Times New Roman"/>
        <w:b/>
        <w:bCs/>
        <w:sz w:val="18"/>
        <w:szCs w:val="18"/>
        <w:lang w:val="fr-FR"/>
      </w:rPr>
      <w:t>IPBES/2/16/Add.7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56" w:rsidRPr="008C5A6C" w:rsidRDefault="00022656" w:rsidP="008C5A6C">
    <w:pPr>
      <w:pBdr>
        <w:bottom w:val="single" w:sz="4" w:space="1" w:color="auto"/>
      </w:pBdr>
      <w:bidi w:val="0"/>
      <w:spacing w:before="20" w:after="40" w:line="180" w:lineRule="exact"/>
      <w:rPr>
        <w:b/>
        <w:bCs/>
        <w:sz w:val="18"/>
        <w:szCs w:val="18"/>
        <w:rtl/>
        <w:lang w:val="fr-FR"/>
      </w:rPr>
    </w:pPr>
    <w:r w:rsidRPr="008C5A6C">
      <w:rPr>
        <w:rStyle w:val="PageNumber"/>
        <w:rFonts w:cs="Times New Roman"/>
        <w:b/>
        <w:bCs/>
        <w:sz w:val="18"/>
        <w:szCs w:val="18"/>
        <w:lang w:val="fr-FR"/>
      </w:rPr>
      <w:t>IPBES/2/16/Add.7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56" w:rsidRDefault="00022656" w:rsidP="00955980">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2656"/>
    <w:rsid w:val="000242CB"/>
    <w:rsid w:val="0003131F"/>
    <w:rsid w:val="00033595"/>
    <w:rsid w:val="00033A5C"/>
    <w:rsid w:val="00044BA2"/>
    <w:rsid w:val="000533CF"/>
    <w:rsid w:val="00053F05"/>
    <w:rsid w:val="00054B4C"/>
    <w:rsid w:val="0006021A"/>
    <w:rsid w:val="00060681"/>
    <w:rsid w:val="0008088A"/>
    <w:rsid w:val="000844F9"/>
    <w:rsid w:val="000A1105"/>
    <w:rsid w:val="000B6E53"/>
    <w:rsid w:val="000C6AF1"/>
    <w:rsid w:val="000C72D5"/>
    <w:rsid w:val="000D0FB1"/>
    <w:rsid w:val="000D6817"/>
    <w:rsid w:val="000F083C"/>
    <w:rsid w:val="000F39C0"/>
    <w:rsid w:val="000F70E3"/>
    <w:rsid w:val="000F712A"/>
    <w:rsid w:val="00102592"/>
    <w:rsid w:val="00102A11"/>
    <w:rsid w:val="001101ED"/>
    <w:rsid w:val="00111DDA"/>
    <w:rsid w:val="0012040B"/>
    <w:rsid w:val="001223A2"/>
    <w:rsid w:val="00124CC4"/>
    <w:rsid w:val="00131CE1"/>
    <w:rsid w:val="001367EA"/>
    <w:rsid w:val="001368B8"/>
    <w:rsid w:val="0014278C"/>
    <w:rsid w:val="00153644"/>
    <w:rsid w:val="00154CC2"/>
    <w:rsid w:val="00161BB0"/>
    <w:rsid w:val="00164C70"/>
    <w:rsid w:val="00165BE3"/>
    <w:rsid w:val="0017427B"/>
    <w:rsid w:val="00177C0C"/>
    <w:rsid w:val="001841AD"/>
    <w:rsid w:val="001844E3"/>
    <w:rsid w:val="00186DE2"/>
    <w:rsid w:val="001A0F83"/>
    <w:rsid w:val="001B03D9"/>
    <w:rsid w:val="001B0BBF"/>
    <w:rsid w:val="001D3A25"/>
    <w:rsid w:val="001E4795"/>
    <w:rsid w:val="001E6E8E"/>
    <w:rsid w:val="001E7497"/>
    <w:rsid w:val="001F0C9C"/>
    <w:rsid w:val="001F171C"/>
    <w:rsid w:val="001F390D"/>
    <w:rsid w:val="001F3B0C"/>
    <w:rsid w:val="002079F8"/>
    <w:rsid w:val="00214000"/>
    <w:rsid w:val="0023160B"/>
    <w:rsid w:val="002323CD"/>
    <w:rsid w:val="00260C3B"/>
    <w:rsid w:val="00261451"/>
    <w:rsid w:val="00267023"/>
    <w:rsid w:val="00267DA8"/>
    <w:rsid w:val="0027137B"/>
    <w:rsid w:val="002B14DB"/>
    <w:rsid w:val="002C23FE"/>
    <w:rsid w:val="002C60AD"/>
    <w:rsid w:val="002E7390"/>
    <w:rsid w:val="002F11C2"/>
    <w:rsid w:val="002F74A0"/>
    <w:rsid w:val="00317E61"/>
    <w:rsid w:val="00324E5B"/>
    <w:rsid w:val="003422C0"/>
    <w:rsid w:val="003501E1"/>
    <w:rsid w:val="003553DB"/>
    <w:rsid w:val="003609A9"/>
    <w:rsid w:val="0038322E"/>
    <w:rsid w:val="00386BD3"/>
    <w:rsid w:val="00390CD8"/>
    <w:rsid w:val="003923ED"/>
    <w:rsid w:val="00397363"/>
    <w:rsid w:val="003B507C"/>
    <w:rsid w:val="003D355A"/>
    <w:rsid w:val="003E4E41"/>
    <w:rsid w:val="003F77FF"/>
    <w:rsid w:val="0040218B"/>
    <w:rsid w:val="00405211"/>
    <w:rsid w:val="00451081"/>
    <w:rsid w:val="00451ABD"/>
    <w:rsid w:val="004606CA"/>
    <w:rsid w:val="00472C66"/>
    <w:rsid w:val="00485260"/>
    <w:rsid w:val="00486715"/>
    <w:rsid w:val="004916B5"/>
    <w:rsid w:val="0049442D"/>
    <w:rsid w:val="00495361"/>
    <w:rsid w:val="004974A2"/>
    <w:rsid w:val="004B0A17"/>
    <w:rsid w:val="004D2B12"/>
    <w:rsid w:val="004E001B"/>
    <w:rsid w:val="004E1EDE"/>
    <w:rsid w:val="004E5370"/>
    <w:rsid w:val="004E7B30"/>
    <w:rsid w:val="004F035B"/>
    <w:rsid w:val="00522932"/>
    <w:rsid w:val="005234DB"/>
    <w:rsid w:val="00527708"/>
    <w:rsid w:val="00530F46"/>
    <w:rsid w:val="00540949"/>
    <w:rsid w:val="00544637"/>
    <w:rsid w:val="00562C38"/>
    <w:rsid w:val="005668AB"/>
    <w:rsid w:val="005673A8"/>
    <w:rsid w:val="00591B8E"/>
    <w:rsid w:val="005945AA"/>
    <w:rsid w:val="005A6A53"/>
    <w:rsid w:val="005B198D"/>
    <w:rsid w:val="005B25B0"/>
    <w:rsid w:val="005B5EED"/>
    <w:rsid w:val="005C55FF"/>
    <w:rsid w:val="005D15F5"/>
    <w:rsid w:val="005E06C5"/>
    <w:rsid w:val="005E2737"/>
    <w:rsid w:val="005E7B2B"/>
    <w:rsid w:val="005F3809"/>
    <w:rsid w:val="005F5925"/>
    <w:rsid w:val="0060772E"/>
    <w:rsid w:val="00615461"/>
    <w:rsid w:val="006160A4"/>
    <w:rsid w:val="006227F4"/>
    <w:rsid w:val="006257B8"/>
    <w:rsid w:val="0063685D"/>
    <w:rsid w:val="00671875"/>
    <w:rsid w:val="00684243"/>
    <w:rsid w:val="006859A4"/>
    <w:rsid w:val="006915C9"/>
    <w:rsid w:val="00696059"/>
    <w:rsid w:val="006A6A02"/>
    <w:rsid w:val="006A7E4F"/>
    <w:rsid w:val="006B54B1"/>
    <w:rsid w:val="006C560D"/>
    <w:rsid w:val="006E4BE0"/>
    <w:rsid w:val="006F036C"/>
    <w:rsid w:val="00706852"/>
    <w:rsid w:val="00712158"/>
    <w:rsid w:val="007205B9"/>
    <w:rsid w:val="0075378C"/>
    <w:rsid w:val="00783165"/>
    <w:rsid w:val="007A671B"/>
    <w:rsid w:val="007B173A"/>
    <w:rsid w:val="007B5F59"/>
    <w:rsid w:val="007B7061"/>
    <w:rsid w:val="007C62EE"/>
    <w:rsid w:val="007D394B"/>
    <w:rsid w:val="007E0C9A"/>
    <w:rsid w:val="007E0D47"/>
    <w:rsid w:val="007F304D"/>
    <w:rsid w:val="00802B63"/>
    <w:rsid w:val="00805014"/>
    <w:rsid w:val="0080614B"/>
    <w:rsid w:val="00822614"/>
    <w:rsid w:val="00827157"/>
    <w:rsid w:val="00831A0A"/>
    <w:rsid w:val="00833195"/>
    <w:rsid w:val="008500FB"/>
    <w:rsid w:val="00852F12"/>
    <w:rsid w:val="008705A1"/>
    <w:rsid w:val="00873A40"/>
    <w:rsid w:val="00875D9C"/>
    <w:rsid w:val="00887CE8"/>
    <w:rsid w:val="0089216B"/>
    <w:rsid w:val="0089620E"/>
    <w:rsid w:val="008A5EBB"/>
    <w:rsid w:val="008C5A6C"/>
    <w:rsid w:val="0090002B"/>
    <w:rsid w:val="00902C71"/>
    <w:rsid w:val="00904961"/>
    <w:rsid w:val="0091298F"/>
    <w:rsid w:val="009137A3"/>
    <w:rsid w:val="0092522D"/>
    <w:rsid w:val="00926C1F"/>
    <w:rsid w:val="00931CC7"/>
    <w:rsid w:val="00932C10"/>
    <w:rsid w:val="00934EBC"/>
    <w:rsid w:val="00940C60"/>
    <w:rsid w:val="00955980"/>
    <w:rsid w:val="00972455"/>
    <w:rsid w:val="00980B82"/>
    <w:rsid w:val="009819E2"/>
    <w:rsid w:val="00992595"/>
    <w:rsid w:val="009A052E"/>
    <w:rsid w:val="009A1FDF"/>
    <w:rsid w:val="009B2A75"/>
    <w:rsid w:val="009C5B87"/>
    <w:rsid w:val="009D58E8"/>
    <w:rsid w:val="009E2CE5"/>
    <w:rsid w:val="009E46DF"/>
    <w:rsid w:val="009E6EAB"/>
    <w:rsid w:val="00A04FDE"/>
    <w:rsid w:val="00A054D4"/>
    <w:rsid w:val="00A108BD"/>
    <w:rsid w:val="00A13928"/>
    <w:rsid w:val="00A26E11"/>
    <w:rsid w:val="00A34C1A"/>
    <w:rsid w:val="00A579D1"/>
    <w:rsid w:val="00A67158"/>
    <w:rsid w:val="00A76B59"/>
    <w:rsid w:val="00A87FB4"/>
    <w:rsid w:val="00A969A0"/>
    <w:rsid w:val="00AB1E5D"/>
    <w:rsid w:val="00AE0374"/>
    <w:rsid w:val="00AE4729"/>
    <w:rsid w:val="00AF0DF6"/>
    <w:rsid w:val="00B16B54"/>
    <w:rsid w:val="00B179A4"/>
    <w:rsid w:val="00B22664"/>
    <w:rsid w:val="00B4250D"/>
    <w:rsid w:val="00B44C21"/>
    <w:rsid w:val="00B53884"/>
    <w:rsid w:val="00B602AD"/>
    <w:rsid w:val="00B77EDA"/>
    <w:rsid w:val="00B819EC"/>
    <w:rsid w:val="00B83776"/>
    <w:rsid w:val="00B85EB7"/>
    <w:rsid w:val="00B87B65"/>
    <w:rsid w:val="00B97A52"/>
    <w:rsid w:val="00BA25F3"/>
    <w:rsid w:val="00BA66F1"/>
    <w:rsid w:val="00BA6ED1"/>
    <w:rsid w:val="00BB0629"/>
    <w:rsid w:val="00BD1906"/>
    <w:rsid w:val="00BD4A65"/>
    <w:rsid w:val="00BF64C6"/>
    <w:rsid w:val="00BF7F42"/>
    <w:rsid w:val="00C0594F"/>
    <w:rsid w:val="00C1200F"/>
    <w:rsid w:val="00C34FDE"/>
    <w:rsid w:val="00C47FEC"/>
    <w:rsid w:val="00C56205"/>
    <w:rsid w:val="00C700C9"/>
    <w:rsid w:val="00C70F35"/>
    <w:rsid w:val="00C712BF"/>
    <w:rsid w:val="00C85728"/>
    <w:rsid w:val="00C86BDC"/>
    <w:rsid w:val="00C914C4"/>
    <w:rsid w:val="00CA4F8C"/>
    <w:rsid w:val="00CB79F1"/>
    <w:rsid w:val="00CD25C4"/>
    <w:rsid w:val="00CD399B"/>
    <w:rsid w:val="00CF6CCF"/>
    <w:rsid w:val="00D12FDA"/>
    <w:rsid w:val="00D444E7"/>
    <w:rsid w:val="00D44CE3"/>
    <w:rsid w:val="00D578BF"/>
    <w:rsid w:val="00D66C66"/>
    <w:rsid w:val="00D70490"/>
    <w:rsid w:val="00D71822"/>
    <w:rsid w:val="00D9173E"/>
    <w:rsid w:val="00D91942"/>
    <w:rsid w:val="00D958DE"/>
    <w:rsid w:val="00DA1588"/>
    <w:rsid w:val="00DA494E"/>
    <w:rsid w:val="00DB6958"/>
    <w:rsid w:val="00DC5852"/>
    <w:rsid w:val="00DC590D"/>
    <w:rsid w:val="00DE0AF0"/>
    <w:rsid w:val="00DE796A"/>
    <w:rsid w:val="00E015AC"/>
    <w:rsid w:val="00E369DB"/>
    <w:rsid w:val="00E36EB2"/>
    <w:rsid w:val="00E41CC2"/>
    <w:rsid w:val="00E63CFD"/>
    <w:rsid w:val="00E760C7"/>
    <w:rsid w:val="00E90558"/>
    <w:rsid w:val="00E960B6"/>
    <w:rsid w:val="00E96DEF"/>
    <w:rsid w:val="00EA0788"/>
    <w:rsid w:val="00EA4C7A"/>
    <w:rsid w:val="00EC3179"/>
    <w:rsid w:val="00EC3A5F"/>
    <w:rsid w:val="00ED273F"/>
    <w:rsid w:val="00ED77A3"/>
    <w:rsid w:val="00EE026C"/>
    <w:rsid w:val="00EE2F3A"/>
    <w:rsid w:val="00F12786"/>
    <w:rsid w:val="00F12DD6"/>
    <w:rsid w:val="00F22C22"/>
    <w:rsid w:val="00F240DC"/>
    <w:rsid w:val="00F34833"/>
    <w:rsid w:val="00F47390"/>
    <w:rsid w:val="00F50135"/>
    <w:rsid w:val="00F61AB5"/>
    <w:rsid w:val="00F64BB3"/>
    <w:rsid w:val="00F6671A"/>
    <w:rsid w:val="00F7639B"/>
    <w:rsid w:val="00FC5BBC"/>
    <w:rsid w:val="00FE16BD"/>
    <w:rsid w:val="00FE21C0"/>
    <w:rsid w:val="00FF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table" w:styleId="TableGrid">
    <w:name w:val="Table Grid"/>
    <w:basedOn w:val="TableNormal"/>
    <w:rsid w:val="00B16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table" w:styleId="TableGrid">
    <w:name w:val="Table Grid"/>
    <w:basedOn w:val="TableNormal"/>
    <w:rsid w:val="00B16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BCC6-A70C-4CC8-A05C-03640C43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9941</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UNEP/GC/25/00</vt:lpstr>
      <vt:lpstr>UNEP/GC/25/00</vt:lpstr>
    </vt:vector>
  </TitlesOfParts>
  <Company>UNON</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 Shanbhag</cp:lastModifiedBy>
  <cp:revision>2</cp:revision>
  <cp:lastPrinted>2013-11-04T10:30:00Z</cp:lastPrinted>
  <dcterms:created xsi:type="dcterms:W3CDTF">2013-11-05T07:33:00Z</dcterms:created>
  <dcterms:modified xsi:type="dcterms:W3CDTF">2013-11-05T07:33:00Z</dcterms:modified>
</cp:coreProperties>
</file>