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249"/>
        <w:gridCol w:w="5138"/>
        <w:gridCol w:w="2833"/>
      </w:tblGrid>
      <w:tr w:rsidR="00FE0DD8" w:rsidRPr="00E909DB" w:rsidTr="0071407C">
        <w:trPr>
          <w:cantSplit/>
          <w:trHeight w:val="850"/>
        </w:trPr>
        <w:tc>
          <w:tcPr>
            <w:tcW w:w="1809" w:type="dxa"/>
            <w:gridSpan w:val="2"/>
          </w:tcPr>
          <w:p w:rsidR="00FE0DD8" w:rsidRPr="00E909DB" w:rsidRDefault="0071407C" w:rsidP="0071407C">
            <w:pPr>
              <w:spacing w:after="0" w:line="240" w:lineRule="auto"/>
              <w:rPr>
                <w:rFonts w:ascii="Univers" w:eastAsia="MS Mincho" w:hAnsi="Univers"/>
                <w:b/>
                <w:noProof/>
                <w:sz w:val="27"/>
                <w:szCs w:val="27"/>
                <w:lang w:val="es-ES"/>
              </w:rPr>
            </w:pPr>
            <w:r>
              <w:rPr>
                <w:rFonts w:ascii="Univers" w:eastAsia="MS Mincho" w:hAnsi="Univers"/>
                <w:b/>
                <w:noProof/>
                <w:sz w:val="27"/>
                <w:szCs w:val="27"/>
                <w:lang w:val="es-ES"/>
              </w:rPr>
              <w:t>NACIONES</w:t>
            </w:r>
            <w:r w:rsidR="008F1214">
              <w:rPr>
                <w:rFonts w:ascii="Univers" w:eastAsia="MS Mincho" w:hAnsi="Univers"/>
                <w:b/>
                <w:noProof/>
                <w:sz w:val="27"/>
                <w:szCs w:val="27"/>
                <w:lang w:val="es-ES"/>
              </w:rPr>
              <w:br/>
            </w:r>
            <w:r>
              <w:rPr>
                <w:rFonts w:ascii="Univers" w:eastAsia="MS Mincho" w:hAnsi="Univers"/>
                <w:b/>
                <w:noProof/>
                <w:sz w:val="27"/>
                <w:szCs w:val="27"/>
                <w:lang w:val="es-ES"/>
              </w:rPr>
              <w:t>UNIDAS</w:t>
            </w:r>
          </w:p>
        </w:tc>
        <w:tc>
          <w:tcPr>
            <w:tcW w:w="5138" w:type="dxa"/>
          </w:tcPr>
          <w:p w:rsidR="00FE0DD8" w:rsidRPr="00E909DB" w:rsidRDefault="00FE0DD8" w:rsidP="008D76C0">
            <w:pPr>
              <w:spacing w:after="0" w:line="240" w:lineRule="auto"/>
              <w:rPr>
                <w:rFonts w:ascii="Univers" w:eastAsia="MS Mincho" w:hAnsi="Univers"/>
                <w:b/>
                <w:sz w:val="27"/>
                <w:szCs w:val="27"/>
                <w:lang w:val="es-ES"/>
              </w:rPr>
            </w:pPr>
          </w:p>
        </w:tc>
        <w:tc>
          <w:tcPr>
            <w:tcW w:w="2833" w:type="dxa"/>
          </w:tcPr>
          <w:p w:rsidR="00FE0DD8" w:rsidRPr="00E909DB" w:rsidRDefault="00FE0DD8" w:rsidP="008D76C0">
            <w:pPr>
              <w:spacing w:after="0" w:line="240" w:lineRule="auto"/>
              <w:jc w:val="right"/>
              <w:rPr>
                <w:rFonts w:ascii="Univers" w:eastAsia="MS Mincho" w:hAnsi="Univers"/>
                <w:b/>
                <w:sz w:val="72"/>
                <w:szCs w:val="72"/>
                <w:lang w:val="es-ES"/>
              </w:rPr>
            </w:pPr>
            <w:r w:rsidRPr="00E909DB">
              <w:rPr>
                <w:rFonts w:ascii="Univers" w:eastAsia="MS Mincho" w:hAnsi="Univers"/>
                <w:b/>
                <w:sz w:val="72"/>
                <w:szCs w:val="72"/>
                <w:lang w:val="es-ES"/>
              </w:rPr>
              <w:t>EP</w:t>
            </w:r>
          </w:p>
        </w:tc>
      </w:tr>
      <w:tr w:rsidR="00FE0DD8" w:rsidRPr="00E909DB" w:rsidTr="0071407C">
        <w:trPr>
          <w:cantSplit/>
          <w:trHeight w:val="281"/>
        </w:trPr>
        <w:tc>
          <w:tcPr>
            <w:tcW w:w="1809" w:type="dxa"/>
            <w:gridSpan w:val="2"/>
            <w:tcBorders>
              <w:bottom w:val="single" w:sz="4" w:space="0" w:color="auto"/>
            </w:tcBorders>
          </w:tcPr>
          <w:p w:rsidR="00FE0DD8" w:rsidRPr="00E909DB" w:rsidRDefault="00FE0DD8" w:rsidP="008D76C0">
            <w:pPr>
              <w:spacing w:after="0" w:line="240" w:lineRule="auto"/>
              <w:rPr>
                <w:rFonts w:ascii="Times New Roman" w:eastAsia="MS Mincho" w:hAnsi="Times New Roman"/>
                <w:noProof/>
                <w:sz w:val="18"/>
                <w:szCs w:val="18"/>
                <w:lang w:val="es-ES"/>
              </w:rPr>
            </w:pPr>
          </w:p>
        </w:tc>
        <w:tc>
          <w:tcPr>
            <w:tcW w:w="5138" w:type="dxa"/>
            <w:tcBorders>
              <w:bottom w:val="single" w:sz="4" w:space="0" w:color="auto"/>
            </w:tcBorders>
          </w:tcPr>
          <w:p w:rsidR="00FE0DD8" w:rsidRPr="00E909DB" w:rsidRDefault="00FE0DD8" w:rsidP="008D76C0">
            <w:pPr>
              <w:spacing w:after="0" w:line="240" w:lineRule="auto"/>
              <w:rPr>
                <w:rFonts w:ascii="Univers" w:eastAsia="MS Mincho" w:hAnsi="Univers"/>
                <w:b/>
                <w:sz w:val="18"/>
                <w:szCs w:val="18"/>
                <w:lang w:val="es-ES"/>
              </w:rPr>
            </w:pPr>
          </w:p>
        </w:tc>
        <w:tc>
          <w:tcPr>
            <w:tcW w:w="2833" w:type="dxa"/>
            <w:tcBorders>
              <w:bottom w:val="single" w:sz="4" w:space="0" w:color="auto"/>
            </w:tcBorders>
          </w:tcPr>
          <w:p w:rsidR="00FE0DD8" w:rsidRPr="00E909DB" w:rsidRDefault="00FE0DD8" w:rsidP="008D76C0">
            <w:pPr>
              <w:spacing w:after="0" w:line="240" w:lineRule="auto"/>
              <w:rPr>
                <w:rFonts w:ascii="Times New Roman" w:eastAsia="MS Mincho" w:hAnsi="Times New Roman"/>
                <w:noProof/>
                <w:sz w:val="18"/>
                <w:szCs w:val="18"/>
                <w:lang w:val="es-ES" w:eastAsia="ja-JP"/>
              </w:rPr>
            </w:pPr>
            <w:r w:rsidRPr="00E909DB">
              <w:rPr>
                <w:rFonts w:ascii="Times New Roman" w:eastAsia="MS Mincho" w:hAnsi="Times New Roman"/>
                <w:b/>
                <w:sz w:val="24"/>
                <w:szCs w:val="24"/>
                <w:lang w:val="es-ES"/>
              </w:rPr>
              <w:t>IPBES</w:t>
            </w:r>
            <w:r w:rsidRPr="00E909DB">
              <w:rPr>
                <w:rFonts w:ascii="Times New Roman" w:eastAsia="MS Mincho" w:hAnsi="Times New Roman"/>
                <w:sz w:val="20"/>
                <w:szCs w:val="20"/>
                <w:lang w:val="es-ES" w:eastAsia="ja-JP"/>
              </w:rPr>
              <w:t>/2/16/Add.3</w:t>
            </w:r>
          </w:p>
        </w:tc>
      </w:tr>
      <w:tr w:rsidR="00FE0DD8" w:rsidRPr="00E909DB" w:rsidTr="005D7CC3">
        <w:trPr>
          <w:cantSplit/>
          <w:trHeight w:val="2549"/>
        </w:trPr>
        <w:tc>
          <w:tcPr>
            <w:tcW w:w="1560" w:type="dxa"/>
            <w:tcBorders>
              <w:top w:val="single" w:sz="4" w:space="0" w:color="auto"/>
              <w:bottom w:val="single" w:sz="24" w:space="0" w:color="auto"/>
            </w:tcBorders>
          </w:tcPr>
          <w:p w:rsidR="00FE0DD8" w:rsidRPr="00E909DB" w:rsidRDefault="00680AAF" w:rsidP="008D76C0">
            <w:pPr>
              <w:spacing w:after="0" w:line="240" w:lineRule="auto"/>
              <w:rPr>
                <w:rFonts w:ascii="Times New Roman" w:eastAsia="MS Mincho" w:hAnsi="Times New Roman"/>
                <w:noProof/>
                <w:sz w:val="20"/>
                <w:szCs w:val="20"/>
                <w:lang w:val="es-ES"/>
              </w:rPr>
            </w:pPr>
            <w:r>
              <w:rPr>
                <w:rFonts w:ascii="Times New Roman" w:eastAsia="MS Mincho" w:hAnsi="Times New Roman"/>
                <w:noProof/>
                <w:sz w:val="20"/>
                <w:szCs w:val="20"/>
              </w:rPr>
              <w:drawing>
                <wp:inline distT="0" distB="0" distL="0" distR="0">
                  <wp:extent cx="828675" cy="78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781050"/>
                          </a:xfrm>
                          <a:prstGeom prst="rect">
                            <a:avLst/>
                          </a:prstGeom>
                          <a:noFill/>
                          <a:ln w="9525">
                            <a:noFill/>
                            <a:miter lim="800000"/>
                            <a:headEnd/>
                            <a:tailEnd/>
                          </a:ln>
                        </pic:spPr>
                      </pic:pic>
                    </a:graphicData>
                  </a:graphic>
                </wp:inline>
              </w:drawing>
            </w:r>
            <w:r>
              <w:rPr>
                <w:rFonts w:ascii="Times New Roman" w:eastAsia="MS Mincho" w:hAnsi="Times New Roman"/>
                <w:noProof/>
                <w:sz w:val="20"/>
                <w:szCs w:val="20"/>
              </w:rPr>
              <w:drawing>
                <wp:inline distT="0" distB="0" distL="0" distR="0">
                  <wp:extent cx="723900" cy="762000"/>
                  <wp:effectExtent l="19050" t="0" r="0" b="0"/>
                  <wp:docPr id="2"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gridSpan w:val="2"/>
            <w:tcBorders>
              <w:top w:val="single" w:sz="4" w:space="0" w:color="auto"/>
              <w:bottom w:val="single" w:sz="24" w:space="0" w:color="auto"/>
            </w:tcBorders>
          </w:tcPr>
          <w:p w:rsidR="00FE0DD8" w:rsidRPr="00E909DB" w:rsidRDefault="0071407C" w:rsidP="008F1214">
            <w:pPr>
              <w:spacing w:before="1200" w:after="0" w:line="240" w:lineRule="auto"/>
              <w:rPr>
                <w:rFonts w:ascii="Univers" w:eastAsia="MS Mincho" w:hAnsi="Univers"/>
                <w:b/>
                <w:sz w:val="28"/>
                <w:szCs w:val="20"/>
                <w:lang w:val="es-ES"/>
              </w:rPr>
            </w:pPr>
            <w:r w:rsidRPr="00F7158D">
              <w:rPr>
                <w:rFonts w:ascii="Arial" w:hAnsi="Arial" w:cs="Arial"/>
                <w:b/>
                <w:sz w:val="32"/>
                <w:szCs w:val="32"/>
                <w:lang w:val="es-ES_tradnl"/>
              </w:rPr>
              <w:t>Programa de las</w:t>
            </w:r>
            <w:r w:rsidRPr="00F7158D">
              <w:rPr>
                <w:rFonts w:ascii="Arial" w:hAnsi="Arial" w:cs="Arial"/>
                <w:b/>
                <w:sz w:val="32"/>
                <w:szCs w:val="32"/>
                <w:lang w:val="es-ES_tradnl"/>
              </w:rPr>
              <w:br/>
              <w:t>Naciones Unidas</w:t>
            </w:r>
            <w:r w:rsidRPr="00F7158D">
              <w:rPr>
                <w:rFonts w:ascii="Arial" w:hAnsi="Arial" w:cs="Arial"/>
                <w:b/>
                <w:sz w:val="32"/>
                <w:szCs w:val="32"/>
                <w:lang w:val="es-ES_tradnl"/>
              </w:rPr>
              <w:br/>
              <w:t>para el Medio Ambiente</w:t>
            </w:r>
            <w:r w:rsidR="00FE0DD8" w:rsidRPr="00E909DB">
              <w:rPr>
                <w:rFonts w:ascii="Univers" w:eastAsia="MS Mincho" w:hAnsi="Univers"/>
                <w:b/>
                <w:sz w:val="32"/>
                <w:szCs w:val="32"/>
                <w:lang w:val="es-ES"/>
              </w:rPr>
              <w:t xml:space="preserve"> </w:t>
            </w:r>
          </w:p>
        </w:tc>
        <w:tc>
          <w:tcPr>
            <w:tcW w:w="2833" w:type="dxa"/>
            <w:tcBorders>
              <w:top w:val="single" w:sz="4" w:space="0" w:color="auto"/>
              <w:bottom w:val="single" w:sz="24" w:space="0" w:color="auto"/>
            </w:tcBorders>
          </w:tcPr>
          <w:p w:rsidR="00FE0DD8" w:rsidRDefault="00FE0DD8" w:rsidP="008D76C0">
            <w:pPr>
              <w:spacing w:before="120" w:after="0" w:line="240" w:lineRule="auto"/>
              <w:rPr>
                <w:rFonts w:ascii="Times New Roman" w:eastAsia="MS Mincho" w:hAnsi="Times New Roman"/>
                <w:sz w:val="20"/>
                <w:szCs w:val="20"/>
                <w:lang w:val="es-ES"/>
              </w:rPr>
            </w:pPr>
            <w:r w:rsidRPr="00E909DB">
              <w:rPr>
                <w:rFonts w:ascii="Times New Roman" w:eastAsia="MS Mincho" w:hAnsi="Times New Roman"/>
                <w:sz w:val="20"/>
                <w:szCs w:val="20"/>
                <w:lang w:val="es-ES"/>
              </w:rPr>
              <w:t>Distr</w:t>
            </w:r>
            <w:r w:rsidR="008F1214">
              <w:rPr>
                <w:rFonts w:ascii="Times New Roman" w:eastAsia="MS Mincho" w:hAnsi="Times New Roman"/>
                <w:sz w:val="20"/>
                <w:szCs w:val="20"/>
                <w:lang w:val="es-ES"/>
              </w:rPr>
              <w:t>.</w:t>
            </w:r>
            <w:r w:rsidRPr="00E909DB">
              <w:rPr>
                <w:rFonts w:ascii="Times New Roman" w:eastAsia="MS Mincho" w:hAnsi="Times New Roman"/>
                <w:sz w:val="20"/>
                <w:szCs w:val="20"/>
                <w:lang w:val="es-ES"/>
              </w:rPr>
              <w:t xml:space="preserve"> </w:t>
            </w:r>
            <w:r w:rsidR="00E909DB">
              <w:rPr>
                <w:rFonts w:ascii="Times New Roman" w:eastAsia="MS Mincho" w:hAnsi="Times New Roman"/>
                <w:sz w:val="20"/>
                <w:szCs w:val="20"/>
                <w:lang w:val="es-ES"/>
              </w:rPr>
              <w:t>g</w:t>
            </w:r>
            <w:r w:rsidRPr="00E909DB">
              <w:rPr>
                <w:rFonts w:ascii="Times New Roman" w:eastAsia="MS Mincho" w:hAnsi="Times New Roman"/>
                <w:sz w:val="20"/>
                <w:szCs w:val="20"/>
                <w:lang w:val="es-ES"/>
              </w:rPr>
              <w:t>eneral</w:t>
            </w:r>
            <w:r w:rsidR="00E9220E" w:rsidRPr="00E909DB">
              <w:rPr>
                <w:rFonts w:ascii="Times New Roman" w:eastAsia="MS Mincho" w:hAnsi="Times New Roman"/>
                <w:sz w:val="20"/>
                <w:szCs w:val="20"/>
                <w:lang w:val="es-ES"/>
              </w:rPr>
              <w:br/>
            </w:r>
            <w:r w:rsidRPr="00E909DB">
              <w:rPr>
                <w:rFonts w:ascii="Times New Roman" w:eastAsia="MS Mincho" w:hAnsi="Times New Roman"/>
                <w:sz w:val="20"/>
                <w:szCs w:val="20"/>
                <w:lang w:val="es-ES"/>
              </w:rPr>
              <w:t xml:space="preserve">2 </w:t>
            </w:r>
            <w:r w:rsidR="00E909DB">
              <w:rPr>
                <w:rFonts w:ascii="Times New Roman" w:eastAsia="MS Mincho" w:hAnsi="Times New Roman"/>
                <w:sz w:val="20"/>
                <w:szCs w:val="20"/>
                <w:lang w:val="es-ES"/>
              </w:rPr>
              <w:t>de octubre de</w:t>
            </w:r>
            <w:r w:rsidRPr="00E909DB">
              <w:rPr>
                <w:rFonts w:ascii="Times New Roman" w:eastAsia="MS Mincho" w:hAnsi="Times New Roman"/>
                <w:sz w:val="20"/>
                <w:szCs w:val="20"/>
                <w:lang w:val="es-ES"/>
              </w:rPr>
              <w:t xml:space="preserve"> 2013</w:t>
            </w:r>
          </w:p>
          <w:p w:rsidR="008F1214" w:rsidRDefault="00E909DB" w:rsidP="008F1214">
            <w:pPr>
              <w:spacing w:before="120" w:after="0" w:line="240" w:lineRule="auto"/>
              <w:rPr>
                <w:rFonts w:ascii="Times New Roman" w:eastAsia="MS Mincho" w:hAnsi="Times New Roman"/>
                <w:sz w:val="20"/>
                <w:szCs w:val="20"/>
                <w:lang w:val="es-ES"/>
              </w:rPr>
            </w:pPr>
            <w:r>
              <w:rPr>
                <w:rFonts w:ascii="Times New Roman" w:eastAsia="MS Mincho" w:hAnsi="Times New Roman"/>
                <w:sz w:val="20"/>
                <w:szCs w:val="20"/>
                <w:lang w:val="es-ES"/>
              </w:rPr>
              <w:t>Español</w:t>
            </w:r>
          </w:p>
          <w:p w:rsidR="00FE0DD8" w:rsidRPr="00E909DB" w:rsidRDefault="00FE0DD8" w:rsidP="008F1214">
            <w:pPr>
              <w:spacing w:after="0" w:line="240" w:lineRule="auto"/>
              <w:rPr>
                <w:rFonts w:ascii="Times New Roman" w:eastAsia="MS Mincho" w:hAnsi="Times New Roman"/>
                <w:sz w:val="20"/>
                <w:szCs w:val="20"/>
                <w:lang w:val="es-ES"/>
              </w:rPr>
            </w:pPr>
            <w:r w:rsidRPr="00E909DB">
              <w:rPr>
                <w:rFonts w:ascii="Times New Roman" w:eastAsia="MS Mincho" w:hAnsi="Times New Roman"/>
                <w:sz w:val="20"/>
                <w:szCs w:val="20"/>
                <w:lang w:val="es-ES"/>
              </w:rPr>
              <w:t xml:space="preserve">Original: </w:t>
            </w:r>
            <w:r w:rsidR="00E909DB">
              <w:rPr>
                <w:rFonts w:ascii="Times New Roman" w:eastAsia="MS Mincho" w:hAnsi="Times New Roman"/>
                <w:sz w:val="20"/>
                <w:szCs w:val="20"/>
                <w:lang w:val="es-ES"/>
              </w:rPr>
              <w:t>inglés</w:t>
            </w:r>
          </w:p>
        </w:tc>
      </w:tr>
    </w:tbl>
    <w:p w:rsidR="005E6C53" w:rsidRPr="00E909DB" w:rsidRDefault="005E6C53" w:rsidP="008F1214">
      <w:pPr>
        <w:tabs>
          <w:tab w:val="left" w:pos="624"/>
          <w:tab w:val="left" w:pos="1247"/>
          <w:tab w:val="left" w:pos="1871"/>
          <w:tab w:val="left" w:pos="2495"/>
          <w:tab w:val="left" w:pos="3119"/>
          <w:tab w:val="left" w:pos="4082"/>
        </w:tabs>
        <w:suppressAutoHyphens/>
        <w:spacing w:after="0" w:line="240" w:lineRule="auto"/>
        <w:ind w:right="3969"/>
        <w:rPr>
          <w:rFonts w:ascii="Times New Roman" w:hAnsi="Times New Roman"/>
          <w:b/>
          <w:sz w:val="20"/>
          <w:szCs w:val="20"/>
          <w:lang w:val="es-ES"/>
        </w:rPr>
      </w:pPr>
      <w:r w:rsidRPr="00E909DB">
        <w:rPr>
          <w:rFonts w:ascii="Times New Roman" w:hAnsi="Times New Roman"/>
          <w:b/>
          <w:sz w:val="20"/>
          <w:szCs w:val="20"/>
          <w:lang w:val="es-ES"/>
        </w:rPr>
        <w:t>Plenario de la Plataforma Intergubernamental Científico-normativa sobre Diversidad Biológica y Servicios de los Ecosistemas</w:t>
      </w:r>
    </w:p>
    <w:p w:rsidR="005E6C53" w:rsidRPr="00E909DB" w:rsidRDefault="005E6C53" w:rsidP="008D76C0">
      <w:pPr>
        <w:tabs>
          <w:tab w:val="left" w:pos="624"/>
          <w:tab w:val="left" w:pos="1247"/>
          <w:tab w:val="left" w:pos="1871"/>
          <w:tab w:val="left" w:pos="2495"/>
          <w:tab w:val="left" w:pos="3119"/>
          <w:tab w:val="left" w:pos="4082"/>
        </w:tabs>
        <w:suppressAutoHyphens/>
        <w:spacing w:after="0" w:line="240" w:lineRule="auto"/>
        <w:ind w:right="5103"/>
        <w:rPr>
          <w:rFonts w:ascii="Times New Roman" w:hAnsi="Times New Roman"/>
          <w:b/>
          <w:sz w:val="20"/>
          <w:szCs w:val="20"/>
          <w:lang w:val="es-ES"/>
        </w:rPr>
      </w:pPr>
      <w:r w:rsidRPr="00E909DB">
        <w:rPr>
          <w:rFonts w:ascii="Times New Roman" w:hAnsi="Times New Roman"/>
          <w:b/>
          <w:sz w:val="20"/>
          <w:szCs w:val="20"/>
          <w:lang w:val="es-ES"/>
        </w:rPr>
        <w:t>Segundo período de sesiones</w:t>
      </w:r>
    </w:p>
    <w:p w:rsidR="005E6C53" w:rsidRPr="00E909DB" w:rsidRDefault="005E6C53" w:rsidP="008D76C0">
      <w:pPr>
        <w:tabs>
          <w:tab w:val="left" w:pos="624"/>
          <w:tab w:val="left" w:pos="1247"/>
          <w:tab w:val="left" w:pos="1871"/>
          <w:tab w:val="left" w:pos="2495"/>
          <w:tab w:val="left" w:pos="3119"/>
          <w:tab w:val="left" w:pos="4082"/>
        </w:tabs>
        <w:suppressAutoHyphens/>
        <w:spacing w:after="0" w:line="240" w:lineRule="auto"/>
        <w:ind w:right="5103"/>
        <w:rPr>
          <w:rFonts w:ascii="Times New Roman" w:hAnsi="Times New Roman"/>
          <w:sz w:val="20"/>
          <w:szCs w:val="20"/>
          <w:lang w:val="es-ES" w:eastAsia="ja-JP"/>
        </w:rPr>
      </w:pPr>
      <w:r w:rsidRPr="00E909DB">
        <w:rPr>
          <w:rFonts w:ascii="Times New Roman" w:hAnsi="Times New Roman"/>
          <w:sz w:val="20"/>
          <w:szCs w:val="20"/>
          <w:lang w:val="es-ES" w:eastAsia="ja-JP"/>
        </w:rPr>
        <w:t>Antalya (Turquía), 9 a 14 de diciembre de 2013</w:t>
      </w:r>
    </w:p>
    <w:p w:rsidR="005E6C53" w:rsidRPr="00E909DB" w:rsidRDefault="005E6C53" w:rsidP="008D76C0">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hAnsi="Times New Roman"/>
          <w:sz w:val="20"/>
          <w:szCs w:val="20"/>
          <w:lang w:val="es-ES" w:eastAsia="ja-JP"/>
        </w:rPr>
      </w:pPr>
      <w:r w:rsidRPr="00E909DB">
        <w:rPr>
          <w:rFonts w:ascii="Times New Roman" w:hAnsi="Times New Roman"/>
          <w:sz w:val="20"/>
          <w:szCs w:val="20"/>
          <w:lang w:val="es-ES" w:eastAsia="ja-JP"/>
        </w:rPr>
        <w:t>Tema 4 a) del programa provisional</w:t>
      </w:r>
      <w:r w:rsidRPr="00E909DB">
        <w:rPr>
          <w:rFonts w:ascii="Times New Roman" w:hAnsi="Times New Roman"/>
          <w:sz w:val="20"/>
          <w:szCs w:val="18"/>
          <w:vertAlign w:val="superscript"/>
          <w:lang w:val="es-ES" w:eastAsia="ja-JP"/>
        </w:rPr>
        <w:t xml:space="preserve"> </w:t>
      </w:r>
      <w:r w:rsidRPr="00E909DB">
        <w:rPr>
          <w:rFonts w:ascii="Times New Roman" w:hAnsi="Times New Roman"/>
          <w:sz w:val="20"/>
          <w:szCs w:val="18"/>
          <w:vertAlign w:val="superscript"/>
          <w:lang w:val="es-ES" w:eastAsia="ja-JP"/>
        </w:rPr>
        <w:footnoteReference w:customMarkFollows="1" w:id="1"/>
        <w:sym w:font="Symbol" w:char="F02A"/>
      </w:r>
    </w:p>
    <w:p w:rsidR="005E6C53" w:rsidRPr="00E909DB" w:rsidRDefault="005E6C53" w:rsidP="008D76C0">
      <w:pPr>
        <w:keepNext/>
        <w:keepLines/>
        <w:tabs>
          <w:tab w:val="left" w:pos="1247"/>
          <w:tab w:val="left" w:pos="1814"/>
          <w:tab w:val="left" w:pos="2381"/>
          <w:tab w:val="left" w:pos="2948"/>
          <w:tab w:val="left" w:pos="3515"/>
        </w:tabs>
        <w:suppressAutoHyphens/>
        <w:spacing w:before="60" w:after="120" w:line="240" w:lineRule="auto"/>
        <w:ind w:right="4536"/>
        <w:rPr>
          <w:rFonts w:ascii="Times New Roman" w:hAnsi="Times New Roman"/>
          <w:b/>
          <w:sz w:val="20"/>
          <w:szCs w:val="20"/>
          <w:lang w:val="es-ES"/>
        </w:rPr>
      </w:pPr>
      <w:r w:rsidRPr="00E909DB">
        <w:rPr>
          <w:rFonts w:ascii="Times New Roman" w:hAnsi="Times New Roman"/>
          <w:b/>
          <w:sz w:val="20"/>
          <w:szCs w:val="20"/>
          <w:lang w:val="es-ES"/>
        </w:rPr>
        <w:t>Programa de trabajo inicial de la Plataforma</w:t>
      </w:r>
      <w:r w:rsidRPr="00E909DB">
        <w:rPr>
          <w:rFonts w:ascii="Times New Roman" w:hAnsi="Times New Roman"/>
          <w:b/>
          <w:sz w:val="20"/>
          <w:szCs w:val="20"/>
          <w:lang w:val="es-ES" w:eastAsia="ja-JP"/>
        </w:rPr>
        <w:t>:</w:t>
      </w:r>
      <w:r w:rsidRPr="00E909DB">
        <w:rPr>
          <w:rFonts w:ascii="Times New Roman" w:hAnsi="Times New Roman"/>
          <w:b/>
          <w:sz w:val="20"/>
          <w:szCs w:val="20"/>
          <w:lang w:val="es-ES" w:eastAsia="ja-JP"/>
        </w:rPr>
        <w:br/>
      </w:r>
      <w:r w:rsidR="008F1214">
        <w:rPr>
          <w:rFonts w:ascii="Times New Roman" w:hAnsi="Times New Roman"/>
          <w:b/>
          <w:sz w:val="20"/>
          <w:szCs w:val="20"/>
          <w:lang w:val="es-ES"/>
        </w:rPr>
        <w:t>p</w:t>
      </w:r>
      <w:r w:rsidRPr="00E909DB">
        <w:rPr>
          <w:rFonts w:ascii="Times New Roman" w:hAnsi="Times New Roman"/>
          <w:b/>
          <w:sz w:val="20"/>
          <w:szCs w:val="20"/>
          <w:lang w:val="es-ES"/>
        </w:rPr>
        <w:t>rograma de trabajo para el período 2014–2018</w:t>
      </w:r>
    </w:p>
    <w:p w:rsidR="007142D5" w:rsidRPr="00E909DB" w:rsidRDefault="005E6C53" w:rsidP="008D76C0">
      <w:pPr>
        <w:pStyle w:val="BBTitle"/>
        <w:tabs>
          <w:tab w:val="left" w:pos="4082"/>
        </w:tabs>
        <w:rPr>
          <w:lang w:val="es-ES"/>
        </w:rPr>
      </w:pPr>
      <w:r w:rsidRPr="00E909DB">
        <w:rPr>
          <w:lang w:val="es-ES"/>
        </w:rPr>
        <w:t>Análisis inicial de la evaluación temática de las especies exóticas invasoras y su control</w:t>
      </w:r>
    </w:p>
    <w:p w:rsidR="002F4179" w:rsidRPr="00E909DB" w:rsidRDefault="00EB5D22" w:rsidP="008D76C0">
      <w:pPr>
        <w:pStyle w:val="CH2"/>
        <w:rPr>
          <w:lang w:val="es-ES"/>
        </w:rPr>
      </w:pPr>
      <w:r w:rsidRPr="00E909DB">
        <w:rPr>
          <w:lang w:val="es-ES"/>
        </w:rPr>
        <w:tab/>
      </w:r>
      <w:r w:rsidRPr="00E909DB">
        <w:rPr>
          <w:lang w:val="es-ES"/>
        </w:rPr>
        <w:tab/>
      </w:r>
      <w:r w:rsidR="00456C17" w:rsidRPr="00E909DB">
        <w:rPr>
          <w:lang w:val="es-ES"/>
        </w:rPr>
        <w:t>Not</w:t>
      </w:r>
      <w:r w:rsidR="005E6C53" w:rsidRPr="00E909DB">
        <w:rPr>
          <w:lang w:val="es-ES"/>
        </w:rPr>
        <w:t xml:space="preserve">a de la </w:t>
      </w:r>
      <w:r w:rsidR="00456C17" w:rsidRPr="00E909DB">
        <w:rPr>
          <w:lang w:val="es-ES"/>
        </w:rPr>
        <w:t>s</w:t>
      </w:r>
      <w:r w:rsidR="002F4179" w:rsidRPr="00E909DB">
        <w:rPr>
          <w:lang w:val="es-ES"/>
        </w:rPr>
        <w:t>ecretar</w:t>
      </w:r>
      <w:r w:rsidR="005E6C53" w:rsidRPr="00E909DB">
        <w:rPr>
          <w:lang w:val="es-ES"/>
        </w:rPr>
        <w:t>ía</w:t>
      </w:r>
    </w:p>
    <w:p w:rsidR="00077E48" w:rsidRPr="00E909DB" w:rsidRDefault="00EB5D22" w:rsidP="008D76C0">
      <w:pPr>
        <w:pStyle w:val="CH1"/>
        <w:rPr>
          <w:lang w:val="es-ES"/>
        </w:rPr>
      </w:pPr>
      <w:r w:rsidRPr="00E909DB">
        <w:rPr>
          <w:lang w:val="es-ES"/>
        </w:rPr>
        <w:tab/>
        <w:t>I.</w:t>
      </w:r>
      <w:r w:rsidRPr="00E909DB">
        <w:rPr>
          <w:lang w:val="es-ES"/>
        </w:rPr>
        <w:tab/>
      </w:r>
      <w:r w:rsidR="00077E48" w:rsidRPr="00E909DB">
        <w:rPr>
          <w:lang w:val="es-ES"/>
        </w:rPr>
        <w:t>Introduc</w:t>
      </w:r>
      <w:r w:rsidR="005E6C53" w:rsidRPr="00E909DB">
        <w:rPr>
          <w:lang w:val="es-ES"/>
        </w:rPr>
        <w:t>ción</w:t>
      </w:r>
      <w:r w:rsidR="00077E48" w:rsidRPr="00E909DB">
        <w:rPr>
          <w:lang w:val="es-ES"/>
        </w:rPr>
        <w:t xml:space="preserve"> </w:t>
      </w:r>
    </w:p>
    <w:p w:rsidR="003D24F7" w:rsidRPr="00E909DB" w:rsidRDefault="007F48B9"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Reconociendo la necesidad de avanzar con el programa de trabajo para el período 2014–2018, tras su aprobación por el Plenario de la Plataforma Intergubernamental Científico-normativa sobre Diversidad Biológica y Servicios de los Ecosistemas en su segundo período de sesiones, la Mesa y el Grupo multidisciplinario de expertos acordaron preparar, para su examen por el Plenario en ese período de sesiones, una serie de documentos de análisis inicial basándose en las prioridades asignadas a las solicitudes, sugerencias y aportaciones presentadas a la Plataforma y en los productos previstos que se incluían en el proyecto de programa de trabajo (IPBES/2/2).</w:t>
      </w:r>
      <w:r w:rsidR="00B33FA6" w:rsidRPr="00E909DB">
        <w:rPr>
          <w:lang w:val="es-ES"/>
        </w:rPr>
        <w:t xml:space="preserve"> </w:t>
      </w:r>
      <w:r w:rsidRPr="00E909DB">
        <w:rPr>
          <w:lang w:val="es-ES"/>
        </w:rPr>
        <w:t xml:space="preserve">En la presente nota figura el análisis inicial de una propuesta de evaluación temática de las especies </w:t>
      </w:r>
      <w:r w:rsidR="0065145B">
        <w:rPr>
          <w:lang w:val="es-ES"/>
        </w:rPr>
        <w:t xml:space="preserve">exóticas </w:t>
      </w:r>
      <w:r w:rsidRPr="00E909DB">
        <w:rPr>
          <w:lang w:val="es-ES"/>
        </w:rPr>
        <w:t>invasoras y su control</w:t>
      </w:r>
      <w:r w:rsidR="00B33FA6" w:rsidRPr="00E909DB">
        <w:rPr>
          <w:lang w:val="es-ES"/>
        </w:rPr>
        <w:t xml:space="preserve">. </w:t>
      </w:r>
      <w:r w:rsidRPr="00E909DB">
        <w:rPr>
          <w:lang w:val="es-ES"/>
        </w:rPr>
        <w:t xml:space="preserve">El análisis se </w:t>
      </w:r>
      <w:r w:rsidR="0071407C">
        <w:rPr>
          <w:lang w:val="es-ES"/>
        </w:rPr>
        <w:t xml:space="preserve">ha </w:t>
      </w:r>
      <w:r w:rsidRPr="00E909DB">
        <w:rPr>
          <w:lang w:val="es-ES"/>
        </w:rPr>
        <w:t>elabor</w:t>
      </w:r>
      <w:r w:rsidR="0071407C">
        <w:rPr>
          <w:lang w:val="es-ES"/>
        </w:rPr>
        <w:t>ado</w:t>
      </w:r>
      <w:r w:rsidRPr="00E909DB">
        <w:rPr>
          <w:lang w:val="es-ES"/>
        </w:rPr>
        <w:t xml:space="preserve"> de conformidad con el proyecto de procedimientos para preparar los resultados previstos de la Plataforma (IPBES/2/9).</w:t>
      </w:r>
    </w:p>
    <w:p w:rsidR="000F47EE" w:rsidRPr="00E909DB" w:rsidRDefault="005D7CC3" w:rsidP="008D76C0">
      <w:pPr>
        <w:pStyle w:val="CH1"/>
        <w:rPr>
          <w:lang w:val="es-ES"/>
        </w:rPr>
      </w:pPr>
      <w:r w:rsidRPr="00E909DB">
        <w:rPr>
          <w:lang w:val="es-ES"/>
        </w:rPr>
        <w:tab/>
      </w:r>
      <w:r w:rsidR="00077E48" w:rsidRPr="00E909DB">
        <w:rPr>
          <w:lang w:val="es-ES"/>
        </w:rPr>
        <w:t>I</w:t>
      </w:r>
      <w:r w:rsidR="00E73882" w:rsidRPr="00E909DB">
        <w:rPr>
          <w:lang w:val="es-ES"/>
        </w:rPr>
        <w:t>I</w:t>
      </w:r>
      <w:r w:rsidR="00316B33" w:rsidRPr="00E909DB">
        <w:rPr>
          <w:lang w:val="es-ES"/>
        </w:rPr>
        <w:t>.</w:t>
      </w:r>
      <w:r w:rsidR="000F47EE" w:rsidRPr="00E909DB">
        <w:rPr>
          <w:lang w:val="es-ES"/>
        </w:rPr>
        <w:tab/>
      </w:r>
      <w:r w:rsidR="005E6C53" w:rsidRPr="00E909DB">
        <w:rPr>
          <w:lang w:val="es-ES"/>
        </w:rPr>
        <w:t>Ámbito, fundamento, utilidad y supuestos</w:t>
      </w:r>
    </w:p>
    <w:p w:rsidR="00E73882" w:rsidRPr="00E909DB" w:rsidRDefault="005E6C53" w:rsidP="008D76C0">
      <w:pPr>
        <w:pStyle w:val="CH2"/>
        <w:numPr>
          <w:ilvl w:val="0"/>
          <w:numId w:val="17"/>
        </w:numPr>
        <w:rPr>
          <w:lang w:val="es-ES"/>
        </w:rPr>
      </w:pPr>
      <w:r w:rsidRPr="00E909DB">
        <w:rPr>
          <w:lang w:val="es-ES"/>
        </w:rPr>
        <w:t>Ámbito</w:t>
      </w:r>
    </w:p>
    <w:p w:rsidR="000F47EE" w:rsidRPr="00E909DB" w:rsidRDefault="007F48B9"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 xml:space="preserve">El objetivo de la evaluación temática de las especies exóticas invasoras y su control es evaluar la diversidad de especies exóticas invasoras a nivel mundial que afectan la diversidad biológica y los servicios de los ecosistemas; el alcance de la amenaza que plantean estas especies a las diversas categorías de la diversidad biológica y los servicios de los ecosistemas, entre otros, las consecuencias para la </w:t>
      </w:r>
      <w:r w:rsidR="000F47EE" w:rsidRPr="00E909DB">
        <w:rPr>
          <w:lang w:val="es-ES"/>
        </w:rPr>
        <w:t>agrobiodiversi</w:t>
      </w:r>
      <w:r w:rsidRPr="00E909DB">
        <w:rPr>
          <w:lang w:val="es-ES"/>
        </w:rPr>
        <w:t>dad</w:t>
      </w:r>
      <w:r w:rsidR="00ED548F">
        <w:rPr>
          <w:lang w:val="es-ES"/>
        </w:rPr>
        <w:t xml:space="preserve"> </w:t>
      </w:r>
      <w:r w:rsidRPr="00E909DB">
        <w:rPr>
          <w:lang w:val="es-ES"/>
        </w:rPr>
        <w:t xml:space="preserve">y los alimentos, la salud y la seguridad de los medios de </w:t>
      </w:r>
      <w:r w:rsidR="0065145B">
        <w:rPr>
          <w:lang w:val="es-ES"/>
        </w:rPr>
        <w:t>subsistencia</w:t>
      </w:r>
      <w:r w:rsidRPr="00E909DB">
        <w:rPr>
          <w:lang w:val="es-ES"/>
        </w:rPr>
        <w:t>;</w:t>
      </w:r>
      <w:r w:rsidR="00ED548F">
        <w:rPr>
          <w:lang w:val="es-ES"/>
        </w:rPr>
        <w:t xml:space="preserve"> </w:t>
      </w:r>
      <w:r w:rsidRPr="00E909DB">
        <w:rPr>
          <w:lang w:val="es-ES"/>
        </w:rPr>
        <w:t>las principales vías y los elementos impulsores de la introducción y propagación de especies exóticas invasoras en los países y entre ellos</w:t>
      </w:r>
      <w:r w:rsidR="000F47EE" w:rsidRPr="00E909DB">
        <w:rPr>
          <w:lang w:val="es-ES"/>
        </w:rPr>
        <w:t xml:space="preserve">; </w:t>
      </w:r>
      <w:r w:rsidRPr="00E909DB">
        <w:rPr>
          <w:lang w:val="es-ES"/>
        </w:rPr>
        <w:t>el estado y las tendencias a nivel mundial del impacto de las especies exóticas invasoras</w:t>
      </w:r>
      <w:r w:rsidR="00ED548F">
        <w:rPr>
          <w:lang w:val="es-ES"/>
        </w:rPr>
        <w:t xml:space="preserve"> </w:t>
      </w:r>
      <w:r w:rsidR="005E0E97" w:rsidRPr="00E909DB">
        <w:rPr>
          <w:lang w:val="es-ES"/>
        </w:rPr>
        <w:t>y la</w:t>
      </w:r>
      <w:r w:rsidR="00503F51">
        <w:rPr>
          <w:lang w:val="es-ES"/>
        </w:rPr>
        <w:t>s</w:t>
      </w:r>
      <w:r w:rsidR="005E0E97" w:rsidRPr="00E909DB">
        <w:rPr>
          <w:lang w:val="es-ES"/>
        </w:rPr>
        <w:t xml:space="preserve"> intervenciones asociadas en materia de gestión por región y su</w:t>
      </w:r>
      <w:r w:rsidR="000F47EE" w:rsidRPr="00E909DB">
        <w:rPr>
          <w:lang w:val="es-ES"/>
        </w:rPr>
        <w:t>bregi</w:t>
      </w:r>
      <w:r w:rsidR="005E0E97" w:rsidRPr="00E909DB">
        <w:rPr>
          <w:lang w:val="es-ES"/>
        </w:rPr>
        <w:t>ó</w:t>
      </w:r>
      <w:r w:rsidR="000F47EE" w:rsidRPr="00E909DB">
        <w:rPr>
          <w:lang w:val="es-ES"/>
        </w:rPr>
        <w:t>n, t</w:t>
      </w:r>
      <w:r w:rsidR="005E0E97" w:rsidRPr="00E909DB">
        <w:rPr>
          <w:lang w:val="es-ES"/>
        </w:rPr>
        <w:t xml:space="preserve">omando en cuenta </w:t>
      </w:r>
      <w:r w:rsidR="005E0E97" w:rsidRPr="00E909DB">
        <w:rPr>
          <w:lang w:val="es-ES"/>
        </w:rPr>
        <w:lastRenderedPageBreak/>
        <w:t>diversos sistemas de conocimientos y valores</w:t>
      </w:r>
      <w:r w:rsidR="000F47EE" w:rsidRPr="00E909DB">
        <w:rPr>
          <w:lang w:val="es-ES"/>
        </w:rPr>
        <w:t xml:space="preserve">; </w:t>
      </w:r>
      <w:r w:rsidR="005E0E97" w:rsidRPr="00E909DB">
        <w:rPr>
          <w:lang w:val="es-ES"/>
        </w:rPr>
        <w:t xml:space="preserve">y </w:t>
      </w:r>
      <w:r w:rsidR="0065145B">
        <w:rPr>
          <w:lang w:val="es-ES"/>
        </w:rPr>
        <w:t xml:space="preserve">la idoneidad de la </w:t>
      </w:r>
      <w:r w:rsidR="00461672">
        <w:rPr>
          <w:lang w:val="es-ES"/>
        </w:rPr>
        <w:t xml:space="preserve">concienciación </w:t>
      </w:r>
      <w:r w:rsidR="005E0E97" w:rsidRPr="00E909DB">
        <w:rPr>
          <w:lang w:val="es-ES"/>
        </w:rPr>
        <w:t>acerca del alcance de las especies exóticas invasoras y sus consecuencias y la eficacia de las actuales medidas de biocustodia</w:t>
      </w:r>
      <w:r w:rsidR="00ED548F">
        <w:rPr>
          <w:lang w:val="es-ES"/>
        </w:rPr>
        <w:t xml:space="preserve"> </w:t>
      </w:r>
      <w:r w:rsidR="005E0E97" w:rsidRPr="00E909DB">
        <w:rPr>
          <w:lang w:val="es-ES"/>
        </w:rPr>
        <w:t>y de control a escala</w:t>
      </w:r>
      <w:r w:rsidR="000F47EE" w:rsidRPr="00E909DB">
        <w:rPr>
          <w:lang w:val="es-ES"/>
        </w:rPr>
        <w:t xml:space="preserve"> </w:t>
      </w:r>
      <w:r w:rsidR="005E0E97" w:rsidRPr="00E909DB">
        <w:rPr>
          <w:lang w:val="es-ES"/>
        </w:rPr>
        <w:t>internacional</w:t>
      </w:r>
      <w:r w:rsidR="000F47EE" w:rsidRPr="00E909DB">
        <w:rPr>
          <w:lang w:val="es-ES"/>
        </w:rPr>
        <w:t xml:space="preserve">, </w:t>
      </w:r>
      <w:r w:rsidR="005E0E97" w:rsidRPr="00E909DB">
        <w:rPr>
          <w:lang w:val="es-ES"/>
        </w:rPr>
        <w:t>nacional y subnac</w:t>
      </w:r>
      <w:r w:rsidR="000F47EE" w:rsidRPr="00E909DB">
        <w:rPr>
          <w:lang w:val="es-ES"/>
        </w:rPr>
        <w:t xml:space="preserve">ional </w:t>
      </w:r>
      <w:r w:rsidR="005E0E97" w:rsidRPr="00E909DB">
        <w:rPr>
          <w:lang w:val="es-ES"/>
        </w:rPr>
        <w:t>y las opciones normativas asociadas que podrían ponerse en práctica para prevenir, erradicar y controlar las especies exóticas invasoras</w:t>
      </w:r>
      <w:r w:rsidR="000F47EE" w:rsidRPr="00E909DB">
        <w:rPr>
          <w:lang w:val="es-ES"/>
        </w:rPr>
        <w:t>.</w:t>
      </w:r>
    </w:p>
    <w:p w:rsidR="006C7370" w:rsidRPr="00E909DB" w:rsidRDefault="00BE0521" w:rsidP="008D76C0">
      <w:pPr>
        <w:pStyle w:val="CH2"/>
        <w:rPr>
          <w:lang w:val="es-ES"/>
        </w:rPr>
      </w:pPr>
      <w:r w:rsidRPr="00E909DB">
        <w:rPr>
          <w:lang w:val="es-ES"/>
        </w:rPr>
        <w:tab/>
      </w:r>
      <w:r w:rsidR="006C7370" w:rsidRPr="00E909DB">
        <w:rPr>
          <w:lang w:val="es-ES"/>
        </w:rPr>
        <w:t>B.</w:t>
      </w:r>
      <w:r w:rsidR="006C7370" w:rsidRPr="00E909DB">
        <w:rPr>
          <w:lang w:val="es-ES"/>
        </w:rPr>
        <w:tab/>
      </w:r>
      <w:r w:rsidR="005E6C53" w:rsidRPr="00E909DB">
        <w:rPr>
          <w:lang w:val="es-ES"/>
        </w:rPr>
        <w:t>Fundamento</w:t>
      </w:r>
    </w:p>
    <w:p w:rsidR="000F47EE" w:rsidRPr="00E909DB" w:rsidRDefault="004D2779"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La evaluación propuesta responde directamente a la Meta 9 de Aichi para la diversidad biológica</w:t>
      </w:r>
      <w:r w:rsidR="000F47EE" w:rsidRPr="00E909DB">
        <w:rPr>
          <w:lang w:val="es-ES"/>
        </w:rPr>
        <w:t xml:space="preserve">: </w:t>
      </w:r>
      <w:r w:rsidR="00C6102C" w:rsidRPr="00E909DB">
        <w:rPr>
          <w:lang w:val="es-ES"/>
        </w:rPr>
        <w:t>“</w:t>
      </w:r>
      <w:r w:rsidRPr="00E909DB">
        <w:rPr>
          <w:lang w:val="es-ES"/>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r w:rsidR="00C6102C" w:rsidRPr="00E909DB">
        <w:rPr>
          <w:lang w:val="es-ES"/>
        </w:rPr>
        <w:t>”</w:t>
      </w:r>
      <w:r w:rsidRPr="00E909DB">
        <w:rPr>
          <w:lang w:val="es-ES"/>
        </w:rPr>
        <w:t xml:space="preserve"> </w:t>
      </w:r>
      <w:r w:rsidR="0065145B">
        <w:rPr>
          <w:lang w:val="es-ES"/>
        </w:rPr>
        <w:t>y</w:t>
      </w:r>
      <w:r w:rsidR="000F47EE" w:rsidRPr="00E909DB">
        <w:rPr>
          <w:lang w:val="es-ES"/>
        </w:rPr>
        <w:t xml:space="preserve"> </w:t>
      </w:r>
      <w:r w:rsidR="0065145B">
        <w:rPr>
          <w:lang w:val="es-ES"/>
        </w:rPr>
        <w:t>c</w:t>
      </w:r>
      <w:r w:rsidRPr="00E909DB">
        <w:rPr>
          <w:lang w:val="es-ES"/>
        </w:rPr>
        <w:t>ontribuirá también al logro de las metas 5, 11, 12 y</w:t>
      </w:r>
      <w:r w:rsidR="00ED548F">
        <w:rPr>
          <w:lang w:val="es-ES"/>
        </w:rPr>
        <w:t xml:space="preserve"> </w:t>
      </w:r>
      <w:r w:rsidR="000F47EE" w:rsidRPr="00E909DB">
        <w:rPr>
          <w:lang w:val="es-ES"/>
        </w:rPr>
        <w:t>17</w:t>
      </w:r>
      <w:r w:rsidRPr="00E909DB">
        <w:rPr>
          <w:lang w:val="es-ES"/>
        </w:rPr>
        <w:t xml:space="preserve"> de Aichi</w:t>
      </w:r>
      <w:r w:rsidR="000F47EE" w:rsidRPr="00E909DB">
        <w:rPr>
          <w:rStyle w:val="FootnoteReference"/>
          <w:lang w:val="es-ES"/>
        </w:rPr>
        <w:footnoteReference w:id="2"/>
      </w:r>
      <w:r w:rsidRPr="00E909DB">
        <w:rPr>
          <w:lang w:val="es-ES"/>
        </w:rPr>
        <w:t>.</w:t>
      </w:r>
      <w:r w:rsidR="00ED548F">
        <w:rPr>
          <w:lang w:val="es-ES"/>
        </w:rPr>
        <w:t xml:space="preserve"> </w:t>
      </w:r>
      <w:r w:rsidRPr="00E909DB">
        <w:rPr>
          <w:lang w:val="es-ES"/>
        </w:rPr>
        <w:t xml:space="preserve">Las especies exóticas </w:t>
      </w:r>
      <w:r w:rsidR="002F1C7C" w:rsidRPr="00E909DB">
        <w:rPr>
          <w:lang w:val="es-ES"/>
        </w:rPr>
        <w:t>invasoras</w:t>
      </w:r>
      <w:r w:rsidRPr="00E909DB">
        <w:rPr>
          <w:lang w:val="es-ES"/>
        </w:rPr>
        <w:t xml:space="preserve"> se reconocen como </w:t>
      </w:r>
      <w:r w:rsidR="0065145B">
        <w:rPr>
          <w:lang w:val="es-ES"/>
        </w:rPr>
        <w:t xml:space="preserve">las </w:t>
      </w:r>
      <w:r w:rsidR="00BF42FD" w:rsidRPr="00E909DB">
        <w:rPr>
          <w:lang w:val="es-ES"/>
        </w:rPr>
        <w:t>principales impulsoras de la extinción de especies en todo</w:t>
      </w:r>
      <w:r w:rsidR="00ED548F">
        <w:rPr>
          <w:lang w:val="es-ES"/>
        </w:rPr>
        <w:t xml:space="preserve"> </w:t>
      </w:r>
      <w:r w:rsidR="00BF42FD" w:rsidRPr="00E909DB">
        <w:rPr>
          <w:lang w:val="es-ES"/>
        </w:rPr>
        <w:t>el mundo;</w:t>
      </w:r>
      <w:r w:rsidR="009B25A2" w:rsidRPr="00E909DB">
        <w:rPr>
          <w:lang w:val="es-ES"/>
        </w:rPr>
        <w:t xml:space="preserve"> </w:t>
      </w:r>
      <w:r w:rsidR="00BF42FD" w:rsidRPr="00E909DB">
        <w:rPr>
          <w:lang w:val="es-ES"/>
        </w:rPr>
        <w:t>degradan los hábitats y afectan gravemente las zonas protegidas a nivel mundial</w:t>
      </w:r>
      <w:r w:rsidR="000F47EE" w:rsidRPr="00E909DB">
        <w:rPr>
          <w:lang w:val="es-ES"/>
        </w:rPr>
        <w:t xml:space="preserve">. </w:t>
      </w:r>
    </w:p>
    <w:p w:rsidR="000F47EE" w:rsidRPr="00E909DB" w:rsidRDefault="00BF42FD"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 xml:space="preserve">La especies exóticas invasoras, que abarcan una amplia </w:t>
      </w:r>
      <w:r w:rsidR="0065145B">
        <w:rPr>
          <w:lang w:val="es-ES"/>
        </w:rPr>
        <w:t xml:space="preserve">y creciente variedad </w:t>
      </w:r>
      <w:r w:rsidRPr="00E909DB">
        <w:rPr>
          <w:lang w:val="es-ES"/>
        </w:rPr>
        <w:t xml:space="preserve">de vertebrados, invertebrados, plantas y agentes patógenos terrestres, </w:t>
      </w:r>
      <w:r w:rsidR="0065145B">
        <w:rPr>
          <w:lang w:val="es-ES"/>
        </w:rPr>
        <w:t xml:space="preserve">y acuáticos, </w:t>
      </w:r>
      <w:r w:rsidRPr="00E909DB">
        <w:rPr>
          <w:lang w:val="es-ES"/>
        </w:rPr>
        <w:t>de agua dulce y marinos</w:t>
      </w:r>
      <w:r w:rsidR="00461672">
        <w:rPr>
          <w:lang w:val="es-ES"/>
        </w:rPr>
        <w:t>,</w:t>
      </w:r>
      <w:r w:rsidRPr="00E909DB">
        <w:rPr>
          <w:lang w:val="es-ES"/>
        </w:rPr>
        <w:t xml:space="preserve"> </w:t>
      </w:r>
      <w:r w:rsidR="002F1C7C" w:rsidRPr="00E909DB">
        <w:rPr>
          <w:lang w:val="es-ES"/>
        </w:rPr>
        <w:t>fundamentalmente</w:t>
      </w:r>
      <w:r w:rsidRPr="00E909DB">
        <w:rPr>
          <w:lang w:val="es-ES"/>
        </w:rPr>
        <w:t xml:space="preserve"> no nativos</w:t>
      </w:r>
      <w:r w:rsidR="000F47EE" w:rsidRPr="00E909DB">
        <w:rPr>
          <w:lang w:val="es-ES"/>
        </w:rPr>
        <w:t>, constitu</w:t>
      </w:r>
      <w:r w:rsidRPr="00E909DB">
        <w:rPr>
          <w:lang w:val="es-ES"/>
        </w:rPr>
        <w:t xml:space="preserve">yen una de las amenazas más graves, crecientes y </w:t>
      </w:r>
      <w:r w:rsidR="002F1C7C" w:rsidRPr="00E909DB">
        <w:rPr>
          <w:lang w:val="es-ES"/>
        </w:rPr>
        <w:t>difíciles</w:t>
      </w:r>
      <w:r w:rsidRPr="00E909DB">
        <w:rPr>
          <w:lang w:val="es-ES"/>
        </w:rPr>
        <w:t xml:space="preserve"> de abordar</w:t>
      </w:r>
      <w:r w:rsidR="002F1C7C" w:rsidRPr="00E909DB">
        <w:rPr>
          <w:lang w:val="es-ES"/>
        </w:rPr>
        <w:t xml:space="preserve"> para la diversidad biológica, los servicios de los ecosistemas, los alimentos, la salud y la seguridad de los medios de subsistencia.</w:t>
      </w:r>
      <w:r w:rsidR="000F47EE" w:rsidRPr="00E909DB">
        <w:rPr>
          <w:lang w:val="es-ES"/>
        </w:rPr>
        <w:t xml:space="preserve"> </w:t>
      </w:r>
      <w:r w:rsidR="002F1C7C" w:rsidRPr="00E909DB">
        <w:rPr>
          <w:lang w:val="es-ES"/>
        </w:rPr>
        <w:t>Muchos países ven en las especies exóticas invasoras una amenaza más grave que las que plantea el cambio climático</w:t>
      </w:r>
      <w:r w:rsidR="000F47EE" w:rsidRPr="00E909DB">
        <w:rPr>
          <w:lang w:val="es-ES"/>
        </w:rPr>
        <w:t xml:space="preserve">. </w:t>
      </w:r>
      <w:r w:rsidR="002F1C7C" w:rsidRPr="00E909DB">
        <w:rPr>
          <w:lang w:val="es-ES"/>
        </w:rPr>
        <w:t xml:space="preserve">Las especies exóticas invasoras han sido responsables de la </w:t>
      </w:r>
      <w:r w:rsidR="0060658E" w:rsidRPr="00E909DB">
        <w:rPr>
          <w:lang w:val="es-ES"/>
        </w:rPr>
        <w:t>extinción</w:t>
      </w:r>
      <w:r w:rsidR="002F1C7C" w:rsidRPr="00E909DB">
        <w:rPr>
          <w:lang w:val="es-ES"/>
        </w:rPr>
        <w:t xml:space="preserve"> de plantas y </w:t>
      </w:r>
      <w:r w:rsidR="0060658E" w:rsidRPr="00E909DB">
        <w:rPr>
          <w:lang w:val="es-ES"/>
        </w:rPr>
        <w:t>animales</w:t>
      </w:r>
      <w:r w:rsidR="002F1C7C" w:rsidRPr="00E909DB">
        <w:rPr>
          <w:lang w:val="es-ES"/>
        </w:rPr>
        <w:t xml:space="preserve"> autóctonos</w:t>
      </w:r>
      <w:r w:rsidR="000F47EE" w:rsidRPr="00E909DB">
        <w:rPr>
          <w:lang w:val="es-ES"/>
        </w:rPr>
        <w:t xml:space="preserve">, </w:t>
      </w:r>
      <w:r w:rsidR="002F1C7C" w:rsidRPr="00E909DB">
        <w:rPr>
          <w:lang w:val="es-ES"/>
        </w:rPr>
        <w:t xml:space="preserve">la degradación de ecosistemas y comunidades ecológicas poco </w:t>
      </w:r>
      <w:r w:rsidR="0060658E" w:rsidRPr="00E909DB">
        <w:rPr>
          <w:lang w:val="es-ES"/>
        </w:rPr>
        <w:t>comunes</w:t>
      </w:r>
      <w:r w:rsidR="002F1C7C" w:rsidRPr="00E909DB">
        <w:rPr>
          <w:lang w:val="es-ES"/>
        </w:rPr>
        <w:t xml:space="preserve"> y amenazados</w:t>
      </w:r>
      <w:r w:rsidR="000F47EE" w:rsidRPr="00E909DB">
        <w:rPr>
          <w:lang w:val="es-ES"/>
        </w:rPr>
        <w:t xml:space="preserve">, </w:t>
      </w:r>
      <w:r w:rsidR="002F1C7C" w:rsidRPr="00E909DB">
        <w:rPr>
          <w:lang w:val="es-ES"/>
        </w:rPr>
        <w:t>la p</w:t>
      </w:r>
      <w:r w:rsidR="0060658E" w:rsidRPr="00E909DB">
        <w:rPr>
          <w:lang w:val="es-ES"/>
        </w:rPr>
        <w:t>érdida</w:t>
      </w:r>
      <w:r w:rsidR="002F1C7C" w:rsidRPr="00E909DB">
        <w:rPr>
          <w:lang w:val="es-ES"/>
        </w:rPr>
        <w:t xml:space="preserve"> de cosechas y la disminución de la productividad agrícola</w:t>
      </w:r>
      <w:r w:rsidR="000F47EE" w:rsidRPr="00E909DB">
        <w:rPr>
          <w:lang w:val="es-ES"/>
        </w:rPr>
        <w:t>, l</w:t>
      </w:r>
      <w:r w:rsidR="0060658E" w:rsidRPr="00E909DB">
        <w:rPr>
          <w:lang w:val="es-ES"/>
        </w:rPr>
        <w:t>a pérdida de cultivos y de la diversidad de razas de animales</w:t>
      </w:r>
      <w:r w:rsidR="0065145B">
        <w:rPr>
          <w:lang w:val="es-ES"/>
        </w:rPr>
        <w:t>,</w:t>
      </w:r>
      <w:r w:rsidR="0060658E" w:rsidRPr="00E909DB">
        <w:rPr>
          <w:lang w:val="es-ES"/>
        </w:rPr>
        <w:t xml:space="preserve"> y daños a la propiedad, la infraestructura, los recursos pesqueros autóctonos, el turismo y la recreación al aire libre</w:t>
      </w:r>
      <w:r w:rsidR="000F47EE" w:rsidRPr="00E909DB">
        <w:rPr>
          <w:lang w:val="es-ES"/>
        </w:rPr>
        <w:t>.</w:t>
      </w:r>
      <w:r w:rsidR="00ED548F">
        <w:rPr>
          <w:lang w:val="es-ES"/>
        </w:rPr>
        <w:t xml:space="preserve"> </w:t>
      </w:r>
      <w:r w:rsidR="0060658E" w:rsidRPr="00E909DB">
        <w:rPr>
          <w:lang w:val="es-ES"/>
        </w:rPr>
        <w:t xml:space="preserve">Las amenazas que </w:t>
      </w:r>
      <w:r w:rsidR="00691684" w:rsidRPr="00E909DB">
        <w:rPr>
          <w:lang w:val="es-ES"/>
        </w:rPr>
        <w:t>las</w:t>
      </w:r>
      <w:r w:rsidR="0060658E" w:rsidRPr="00E909DB">
        <w:rPr>
          <w:lang w:val="es-ES"/>
        </w:rPr>
        <w:t xml:space="preserve"> especies exóticas invasoras marinas plantean para la diversidad biológica autóctona, ya sea como resultado de su introducción deliberada o accidental</w:t>
      </w:r>
      <w:r w:rsidR="000F47EE" w:rsidRPr="00E909DB">
        <w:rPr>
          <w:lang w:val="es-ES"/>
        </w:rPr>
        <w:t xml:space="preserve"> (</w:t>
      </w:r>
      <w:r w:rsidR="0060658E" w:rsidRPr="00E909DB">
        <w:rPr>
          <w:lang w:val="es-ES"/>
        </w:rPr>
        <w:t xml:space="preserve">por ejemplo, </w:t>
      </w:r>
      <w:r w:rsidR="00440321" w:rsidRPr="00E909DB">
        <w:rPr>
          <w:lang w:val="es-ES"/>
        </w:rPr>
        <w:t xml:space="preserve">en agua de lastre contaminada o </w:t>
      </w:r>
      <w:r w:rsidR="000F47EE" w:rsidRPr="00E909DB">
        <w:rPr>
          <w:lang w:val="es-ES"/>
        </w:rPr>
        <w:t>e</w:t>
      </w:r>
      <w:r w:rsidR="00440321" w:rsidRPr="00E909DB">
        <w:rPr>
          <w:lang w:val="es-ES"/>
        </w:rPr>
        <w:t>n organismos incrustados en los cascos de buques), son cada vez mayores y todavía se conoce muy poco de ellas</w:t>
      </w:r>
      <w:r w:rsidR="000F47EE" w:rsidRPr="00E909DB">
        <w:rPr>
          <w:lang w:val="es-ES"/>
        </w:rPr>
        <w:t xml:space="preserve">. </w:t>
      </w:r>
    </w:p>
    <w:p w:rsidR="000F47EE" w:rsidRPr="00E909DB" w:rsidRDefault="005B1AE1"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Un alto porcentaje de especies y ecosistemas amenazados a escala mundial y local se encuentran en riesgo debido a la competencia y a la depredación o las infecciones ocasionadas por las especies exóticas invasoras</w:t>
      </w:r>
      <w:r w:rsidR="000F47EE" w:rsidRPr="00E909DB">
        <w:rPr>
          <w:lang w:val="es-ES"/>
        </w:rPr>
        <w:t xml:space="preserve">. </w:t>
      </w:r>
      <w:r w:rsidR="0040288C" w:rsidRPr="00E909DB">
        <w:rPr>
          <w:lang w:val="es-ES"/>
        </w:rPr>
        <w:t>Mientras que la contaminación y la degradación de la tierra se pueden reducir directamente, la mayoría de las especies exóticas invasoras constituyen una “contaminación viviente” que empeorará progresivamente si no se adoptan medidas. Resulta difícil cuantificar el costo en pérdidas de la diversidad biológica y el bienestar humano como consecuencia del impacto de las</w:t>
      </w:r>
      <w:r w:rsidR="00443489" w:rsidRPr="00E909DB">
        <w:rPr>
          <w:lang w:val="es-ES"/>
        </w:rPr>
        <w:t xml:space="preserve"> </w:t>
      </w:r>
      <w:r w:rsidR="0040288C" w:rsidRPr="00E909DB">
        <w:rPr>
          <w:lang w:val="es-ES"/>
        </w:rPr>
        <w:t>especies exóticas invasoras, entre otr</w:t>
      </w:r>
      <w:r w:rsidR="0065145B">
        <w:rPr>
          <w:lang w:val="es-ES"/>
        </w:rPr>
        <w:t>a</w:t>
      </w:r>
      <w:r w:rsidR="0040288C" w:rsidRPr="00E909DB">
        <w:rPr>
          <w:lang w:val="es-ES"/>
        </w:rPr>
        <w:t>s</w:t>
      </w:r>
      <w:r w:rsidR="00503F51">
        <w:rPr>
          <w:lang w:val="es-ES"/>
        </w:rPr>
        <w:t>,</w:t>
      </w:r>
      <w:r w:rsidR="0040288C" w:rsidRPr="00E909DB">
        <w:rPr>
          <w:lang w:val="es-ES"/>
        </w:rPr>
        <w:t xml:space="preserve"> mamíferos, aves, reptiles, anfibios, peces, crustáceos, moluscos, insectos, equinodermos, malezas terrestres y acuáticas, algas marinas y una gran variedad de enfermedades infecciosas y zoonóticas de plantas y animales.</w:t>
      </w:r>
      <w:r w:rsidR="000F47EE" w:rsidRPr="00E909DB">
        <w:rPr>
          <w:lang w:val="es-ES"/>
        </w:rPr>
        <w:t xml:space="preserve"> </w:t>
      </w:r>
      <w:r w:rsidR="0040288C" w:rsidRPr="00E909DB">
        <w:rPr>
          <w:lang w:val="es-ES"/>
        </w:rPr>
        <w:t>Según cálculos realizados, e</w:t>
      </w:r>
      <w:r w:rsidR="00503F51">
        <w:rPr>
          <w:lang w:val="es-ES"/>
        </w:rPr>
        <w:t>n todo el mundo el costo de los </w:t>
      </w:r>
      <w:r w:rsidR="0040288C" w:rsidRPr="00E909DB">
        <w:rPr>
          <w:lang w:val="es-ES"/>
        </w:rPr>
        <w:t>daños que ocasionan</w:t>
      </w:r>
      <w:r w:rsidR="00EB39CA" w:rsidRPr="00E909DB">
        <w:rPr>
          <w:lang w:val="es-ES"/>
        </w:rPr>
        <w:t xml:space="preserve"> </w:t>
      </w:r>
      <w:r w:rsidR="0040288C" w:rsidRPr="00E909DB">
        <w:rPr>
          <w:lang w:val="es-ES"/>
        </w:rPr>
        <w:t>las especies exóticas invasoras supera los</w:t>
      </w:r>
      <w:r w:rsidR="00EB39CA" w:rsidRPr="00E909DB">
        <w:rPr>
          <w:lang w:val="es-ES"/>
        </w:rPr>
        <w:t xml:space="preserve"> </w:t>
      </w:r>
      <w:r w:rsidR="000F47EE" w:rsidRPr="00E909DB">
        <w:rPr>
          <w:lang w:val="es-ES"/>
        </w:rPr>
        <w:t>1</w:t>
      </w:r>
      <w:r w:rsidR="00EB39CA" w:rsidRPr="00E909DB">
        <w:rPr>
          <w:lang w:val="es-ES"/>
        </w:rPr>
        <w:t>,</w:t>
      </w:r>
      <w:r w:rsidR="000F47EE" w:rsidRPr="00E909DB">
        <w:rPr>
          <w:lang w:val="es-ES"/>
        </w:rPr>
        <w:t xml:space="preserve">4 </w:t>
      </w:r>
      <w:r w:rsidR="00EB39CA" w:rsidRPr="00E909DB">
        <w:rPr>
          <w:lang w:val="es-ES"/>
        </w:rPr>
        <w:t>billones d</w:t>
      </w:r>
      <w:r w:rsidR="00503F51">
        <w:rPr>
          <w:lang w:val="es-ES"/>
        </w:rPr>
        <w:t>e dólares de los Estados Unidos, lo que representa el </w:t>
      </w:r>
      <w:r w:rsidR="00EB39CA" w:rsidRPr="00E909DB">
        <w:rPr>
          <w:lang w:val="es-ES"/>
        </w:rPr>
        <w:t>5% de la economía mundial</w:t>
      </w:r>
      <w:r w:rsidR="00645511" w:rsidRPr="00E909DB">
        <w:rPr>
          <w:lang w:val="es-ES"/>
        </w:rPr>
        <w:t>;</w:t>
      </w:r>
      <w:r w:rsidR="000F47EE" w:rsidRPr="00E909DB">
        <w:rPr>
          <w:lang w:val="es-ES"/>
        </w:rPr>
        <w:t xml:space="preserve"> </w:t>
      </w:r>
      <w:r w:rsidR="00EB39CA" w:rsidRPr="00E909DB">
        <w:rPr>
          <w:lang w:val="es-ES"/>
        </w:rPr>
        <w:t>en los Estados Unidos de América</w:t>
      </w:r>
      <w:r w:rsidR="004D116C" w:rsidRPr="00E909DB">
        <w:rPr>
          <w:lang w:val="es-ES"/>
        </w:rPr>
        <w:t>,</w:t>
      </w:r>
      <w:r w:rsidR="000F47EE" w:rsidRPr="00E909DB">
        <w:rPr>
          <w:lang w:val="es-ES"/>
        </w:rPr>
        <w:t xml:space="preserve"> </w:t>
      </w:r>
      <w:r w:rsidR="00EB39CA" w:rsidRPr="00E909DB">
        <w:rPr>
          <w:lang w:val="es-ES"/>
        </w:rPr>
        <w:t>dond</w:t>
      </w:r>
      <w:r w:rsidR="00503F51">
        <w:rPr>
          <w:lang w:val="es-ES"/>
        </w:rPr>
        <w:t>e se han visto afectados más de </w:t>
      </w:r>
      <w:r w:rsidR="00EB39CA" w:rsidRPr="00E909DB">
        <w:rPr>
          <w:lang w:val="es-ES"/>
        </w:rPr>
        <w:t xml:space="preserve">100 millones de acres, el tamaño de California, </w:t>
      </w:r>
      <w:r w:rsidR="0065145B">
        <w:rPr>
          <w:lang w:val="es-ES"/>
        </w:rPr>
        <w:t xml:space="preserve">las pérdidas se han estimado en 120.000 millones de dólares </w:t>
      </w:r>
      <w:r w:rsidR="00EB39CA" w:rsidRPr="00E909DB">
        <w:rPr>
          <w:lang w:val="es-ES"/>
        </w:rPr>
        <w:t xml:space="preserve">mientras que en Europa las pérdidas económicas se han calculado en más de </w:t>
      </w:r>
      <w:r w:rsidR="000F47EE" w:rsidRPr="00E909DB">
        <w:rPr>
          <w:lang w:val="es-ES"/>
        </w:rPr>
        <w:t>12</w:t>
      </w:r>
      <w:r w:rsidR="00EB39CA" w:rsidRPr="00E909DB">
        <w:rPr>
          <w:lang w:val="es-ES"/>
        </w:rPr>
        <w:t>.</w:t>
      </w:r>
      <w:r w:rsidR="000F47EE" w:rsidRPr="00E909DB">
        <w:rPr>
          <w:lang w:val="es-ES"/>
        </w:rPr>
        <w:t>5</w:t>
      </w:r>
      <w:r w:rsidR="00EB39CA" w:rsidRPr="00E909DB">
        <w:rPr>
          <w:lang w:val="es-ES"/>
        </w:rPr>
        <w:t>00 millones por año</w:t>
      </w:r>
      <w:r w:rsidR="000F47EE" w:rsidRPr="00E909DB">
        <w:rPr>
          <w:lang w:val="es-ES"/>
        </w:rPr>
        <w:t xml:space="preserve">. </w:t>
      </w:r>
      <w:r w:rsidR="00443489" w:rsidRPr="00E909DB">
        <w:rPr>
          <w:lang w:val="es-ES"/>
        </w:rPr>
        <w:t>En las islas oceánicas</w:t>
      </w:r>
      <w:r w:rsidR="0065145B">
        <w:rPr>
          <w:lang w:val="es-ES"/>
        </w:rPr>
        <w:t>,</w:t>
      </w:r>
      <w:r w:rsidR="00443489" w:rsidRPr="00E909DB">
        <w:rPr>
          <w:lang w:val="es-ES"/>
        </w:rPr>
        <w:t xml:space="preserve"> donde una gran parte de las extinciones de mamíferos, aves, anfibios, reptiles, crustáceos terrestres, caracoles terrestres e insectos son resultado directo o indirecto de las especies exóticas migratorias, el impacto es todavía más grave.</w:t>
      </w:r>
      <w:r w:rsidR="000F47EE" w:rsidRPr="00E909DB">
        <w:rPr>
          <w:lang w:val="es-ES"/>
        </w:rPr>
        <w:t xml:space="preserve"> </w:t>
      </w:r>
      <w:r w:rsidR="00A7519F" w:rsidRPr="00E909DB">
        <w:rPr>
          <w:lang w:val="es-ES"/>
        </w:rPr>
        <w:t xml:space="preserve">Los costos económicos, ambientales y sociales </w:t>
      </w:r>
      <w:r w:rsidR="0065145B">
        <w:rPr>
          <w:lang w:val="es-ES"/>
        </w:rPr>
        <w:t>asociados a</w:t>
      </w:r>
      <w:r w:rsidR="00A7519F" w:rsidRPr="00E909DB">
        <w:rPr>
          <w:lang w:val="es-ES"/>
        </w:rPr>
        <w:t xml:space="preserve">l uso de plaguicidas para controlar las especies exóticas </w:t>
      </w:r>
      <w:r w:rsidR="00B049E9">
        <w:rPr>
          <w:lang w:val="es-ES"/>
        </w:rPr>
        <w:t>invasoras</w:t>
      </w:r>
      <w:r w:rsidR="00A7519F" w:rsidRPr="00E909DB">
        <w:rPr>
          <w:lang w:val="es-ES"/>
        </w:rPr>
        <w:t xml:space="preserve"> constituyen también una de las causas fundamentales de la pérdida de diversidad biológica </w:t>
      </w:r>
      <w:r w:rsidR="0065145B">
        <w:rPr>
          <w:lang w:val="es-ES"/>
        </w:rPr>
        <w:t xml:space="preserve">y la contaminación ambiental </w:t>
      </w:r>
      <w:r w:rsidR="00A7519F" w:rsidRPr="00E909DB">
        <w:rPr>
          <w:lang w:val="es-ES"/>
        </w:rPr>
        <w:t xml:space="preserve">y una amenaza para la salud humana. </w:t>
      </w:r>
    </w:p>
    <w:p w:rsidR="00CE5D36" w:rsidRPr="00E909DB" w:rsidRDefault="006C7370" w:rsidP="008D76C0">
      <w:pPr>
        <w:pStyle w:val="CH2"/>
        <w:rPr>
          <w:lang w:val="es-ES"/>
        </w:rPr>
      </w:pPr>
      <w:r w:rsidRPr="00E909DB">
        <w:rPr>
          <w:lang w:val="es-ES"/>
        </w:rPr>
        <w:tab/>
        <w:t>C</w:t>
      </w:r>
      <w:r w:rsidR="00BD295C" w:rsidRPr="00E909DB">
        <w:rPr>
          <w:lang w:val="es-ES"/>
        </w:rPr>
        <w:t>.</w:t>
      </w:r>
      <w:r w:rsidR="00BD295C" w:rsidRPr="00E909DB">
        <w:rPr>
          <w:lang w:val="es-ES"/>
        </w:rPr>
        <w:tab/>
      </w:r>
      <w:r w:rsidR="000F47EE" w:rsidRPr="00E909DB">
        <w:rPr>
          <w:lang w:val="es-ES"/>
        </w:rPr>
        <w:t>Utili</w:t>
      </w:r>
      <w:r w:rsidR="005E6C53" w:rsidRPr="00E909DB">
        <w:rPr>
          <w:lang w:val="es-ES"/>
        </w:rPr>
        <w:t>dad</w:t>
      </w:r>
    </w:p>
    <w:p w:rsidR="000F47EE" w:rsidRPr="00E909DB" w:rsidRDefault="00443489"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 xml:space="preserve">Por lo general, los encargados de formular políticas no cuantifican ni comprenden de manera adecuada la creciente amenaza </w:t>
      </w:r>
      <w:r w:rsidR="00D70099" w:rsidRPr="00E909DB">
        <w:rPr>
          <w:lang w:val="es-ES"/>
        </w:rPr>
        <w:t xml:space="preserve">de </w:t>
      </w:r>
      <w:r w:rsidRPr="00E909DB">
        <w:rPr>
          <w:lang w:val="es-ES"/>
        </w:rPr>
        <w:t>las especies exóticas invasoras p</w:t>
      </w:r>
      <w:r w:rsidR="00D70099" w:rsidRPr="00E909DB">
        <w:rPr>
          <w:lang w:val="es-ES"/>
        </w:rPr>
        <w:t>ara la diversidad biológica, el desarrollo sostenible y el bienestar humano</w:t>
      </w:r>
      <w:r w:rsidR="000F47EE" w:rsidRPr="00E909DB">
        <w:rPr>
          <w:lang w:val="es-ES"/>
        </w:rPr>
        <w:t xml:space="preserve">. </w:t>
      </w:r>
      <w:r w:rsidR="00D70099" w:rsidRPr="00E909DB">
        <w:rPr>
          <w:lang w:val="es-ES"/>
        </w:rPr>
        <w:t xml:space="preserve">La evaluación propuesta, en caso de realizarse, contribuirá a que se tome mayor conciencia del </w:t>
      </w:r>
      <w:r w:rsidR="005B02BE" w:rsidRPr="00E909DB">
        <w:rPr>
          <w:lang w:val="es-ES"/>
        </w:rPr>
        <w:t>carácter y la gravedad de la amenaza que plantean la</w:t>
      </w:r>
      <w:r w:rsidR="00ED548F">
        <w:rPr>
          <w:lang w:val="es-ES"/>
        </w:rPr>
        <w:t>s</w:t>
      </w:r>
      <w:r w:rsidR="005B02BE" w:rsidRPr="00E909DB">
        <w:rPr>
          <w:lang w:val="es-ES"/>
        </w:rPr>
        <w:t xml:space="preserve"> especies exóticas invasoras; a</w:t>
      </w:r>
      <w:r w:rsidR="00ED548F">
        <w:rPr>
          <w:lang w:val="es-ES"/>
        </w:rPr>
        <w:t xml:space="preserve"> </w:t>
      </w:r>
      <w:r w:rsidR="000F47EE" w:rsidRPr="00E909DB">
        <w:rPr>
          <w:lang w:val="es-ES"/>
        </w:rPr>
        <w:t>identif</w:t>
      </w:r>
      <w:r w:rsidR="005B02BE" w:rsidRPr="00E909DB">
        <w:rPr>
          <w:lang w:val="es-ES"/>
        </w:rPr>
        <w:t>icar las políticas necesarias a nivel internacional y por parte de los gobiernos, el sector privado y la sociedad civil para ayudar a detener la propagación</w:t>
      </w:r>
      <w:r w:rsidR="005862A0" w:rsidRPr="00E909DB">
        <w:rPr>
          <w:lang w:val="es-ES"/>
        </w:rPr>
        <w:t xml:space="preserve"> de las especies exóticas invasoras</w:t>
      </w:r>
      <w:r w:rsidR="005B02BE" w:rsidRPr="00E909DB">
        <w:rPr>
          <w:lang w:val="es-ES"/>
        </w:rPr>
        <w:t>, erradicar</w:t>
      </w:r>
      <w:r w:rsidR="005862A0" w:rsidRPr="00E909DB">
        <w:rPr>
          <w:lang w:val="es-ES"/>
        </w:rPr>
        <w:t>las</w:t>
      </w:r>
      <w:r w:rsidR="005B02BE" w:rsidRPr="00E909DB">
        <w:rPr>
          <w:lang w:val="es-ES"/>
        </w:rPr>
        <w:t xml:space="preserve"> o controlar </w:t>
      </w:r>
      <w:r w:rsidR="005862A0" w:rsidRPr="00E909DB">
        <w:rPr>
          <w:lang w:val="es-ES"/>
        </w:rPr>
        <w:t>su impacto;</w:t>
      </w:r>
      <w:r w:rsidR="00ED548F">
        <w:rPr>
          <w:lang w:val="es-ES"/>
        </w:rPr>
        <w:t xml:space="preserve"> </w:t>
      </w:r>
      <w:r w:rsidR="005862A0" w:rsidRPr="00E909DB">
        <w:rPr>
          <w:lang w:val="es-ES"/>
        </w:rPr>
        <w:t>y constituirá uno de los primeros productos previstos de la Plataforma</w:t>
      </w:r>
      <w:r w:rsidR="00EB5A5D">
        <w:rPr>
          <w:lang w:val="es-ES"/>
        </w:rPr>
        <w:t>,</w:t>
      </w:r>
      <w:r w:rsidR="005862A0" w:rsidRPr="00E909DB">
        <w:rPr>
          <w:lang w:val="es-ES"/>
        </w:rPr>
        <w:t xml:space="preserve"> con lo que </w:t>
      </w:r>
      <w:r w:rsidR="005862A0" w:rsidRPr="00E909DB">
        <w:rPr>
          <w:lang w:val="es-ES"/>
        </w:rPr>
        <w:lastRenderedPageBreak/>
        <w:t>quedará demostrada la manera en que esta puede añadir valor a la formulación de políticas para hacer frente a la crisis en materia de diversidad biológica</w:t>
      </w:r>
      <w:r w:rsidR="000F47EE" w:rsidRPr="00E909DB">
        <w:rPr>
          <w:lang w:val="es-ES"/>
        </w:rPr>
        <w:t xml:space="preserve">. </w:t>
      </w:r>
    </w:p>
    <w:p w:rsidR="00141ADD" w:rsidRPr="00E909DB" w:rsidRDefault="00BE0521" w:rsidP="008D76C0">
      <w:pPr>
        <w:pStyle w:val="CH2"/>
        <w:rPr>
          <w:lang w:val="es-ES"/>
        </w:rPr>
      </w:pPr>
      <w:r w:rsidRPr="00E909DB">
        <w:rPr>
          <w:lang w:val="es-ES"/>
        </w:rPr>
        <w:tab/>
        <w:t>D.</w:t>
      </w:r>
      <w:r w:rsidRPr="00E909DB">
        <w:rPr>
          <w:lang w:val="es-ES"/>
        </w:rPr>
        <w:tab/>
      </w:r>
      <w:r w:rsidR="005E6C53" w:rsidRPr="00E909DB">
        <w:rPr>
          <w:lang w:val="es-ES"/>
        </w:rPr>
        <w:t>Supuestos</w:t>
      </w:r>
    </w:p>
    <w:p w:rsidR="000F47EE" w:rsidRPr="00E909DB" w:rsidRDefault="007D5F2B" w:rsidP="008F1214">
      <w:pPr>
        <w:pStyle w:val="Normalnumber"/>
        <w:numPr>
          <w:ilvl w:val="0"/>
          <w:numId w:val="7"/>
        </w:numPr>
        <w:tabs>
          <w:tab w:val="clear" w:pos="1814"/>
          <w:tab w:val="clear" w:pos="2381"/>
          <w:tab w:val="clear" w:pos="2948"/>
          <w:tab w:val="clear" w:pos="3515"/>
          <w:tab w:val="clear" w:pos="4082"/>
          <w:tab w:val="left" w:pos="624"/>
          <w:tab w:val="left" w:pos="1871"/>
        </w:tabs>
        <w:ind w:left="1248" w:firstLine="0"/>
        <w:rPr>
          <w:lang w:val="es-ES"/>
        </w:rPr>
      </w:pPr>
      <w:r w:rsidRPr="00E909DB">
        <w:rPr>
          <w:lang w:val="es-ES"/>
        </w:rPr>
        <w:t>La evaluación propuesta se basará en la literatura científica existente y en evaluaciones nacionales y aprovechará la labor ya realizada por insti</w:t>
      </w:r>
      <w:r w:rsidR="005F1948" w:rsidRPr="00E909DB">
        <w:rPr>
          <w:lang w:val="es-ES"/>
        </w:rPr>
        <w:t xml:space="preserve">tuciones y redes vigentes como el Grupo de Especialistas en especies exóticas </w:t>
      </w:r>
      <w:r w:rsidR="00A7519F" w:rsidRPr="00E909DB">
        <w:rPr>
          <w:lang w:val="es-ES"/>
        </w:rPr>
        <w:t>invasoras</w:t>
      </w:r>
      <w:r w:rsidR="005F1948" w:rsidRPr="00E909DB">
        <w:rPr>
          <w:lang w:val="es-ES"/>
        </w:rPr>
        <w:t xml:space="preserve"> de l</w:t>
      </w:r>
      <w:r w:rsidRPr="00E909DB">
        <w:rPr>
          <w:lang w:val="es-ES"/>
        </w:rPr>
        <w:t>a</w:t>
      </w:r>
      <w:r w:rsidR="00ED548F">
        <w:rPr>
          <w:lang w:val="es-ES"/>
        </w:rPr>
        <w:t xml:space="preserve"> </w:t>
      </w:r>
      <w:r w:rsidRPr="00E909DB">
        <w:rPr>
          <w:lang w:val="es-ES"/>
        </w:rPr>
        <w:t xml:space="preserve">Unión Internacional para la Conservación de la Naturaleza </w:t>
      </w:r>
      <w:r w:rsidR="005A33CE" w:rsidRPr="00E909DB">
        <w:rPr>
          <w:lang w:val="es-ES"/>
        </w:rPr>
        <w:t>/</w:t>
      </w:r>
      <w:r w:rsidR="005F1948" w:rsidRPr="00E909DB">
        <w:rPr>
          <w:lang w:val="es-ES"/>
        </w:rPr>
        <w:t>Comisión de Supervivencia de Especies</w:t>
      </w:r>
      <w:r w:rsidR="003C2FC7" w:rsidRPr="00E909DB">
        <w:rPr>
          <w:lang w:val="es-ES"/>
        </w:rPr>
        <w:t xml:space="preserve"> (</w:t>
      </w:r>
      <w:r w:rsidR="000F47EE" w:rsidRPr="00E909DB">
        <w:rPr>
          <w:lang w:val="es-ES"/>
        </w:rPr>
        <w:t>U</w:t>
      </w:r>
      <w:r w:rsidR="005F1948" w:rsidRPr="00E909DB">
        <w:rPr>
          <w:lang w:val="es-ES"/>
        </w:rPr>
        <w:t>I</w:t>
      </w:r>
      <w:r w:rsidR="000F47EE" w:rsidRPr="00E909DB">
        <w:rPr>
          <w:lang w:val="es-ES"/>
        </w:rPr>
        <w:t>CN</w:t>
      </w:r>
      <w:r w:rsidR="003C2FC7" w:rsidRPr="00E909DB">
        <w:rPr>
          <w:lang w:val="es-ES"/>
        </w:rPr>
        <w:t>/</w:t>
      </w:r>
      <w:r w:rsidR="005F1948" w:rsidRPr="00E909DB">
        <w:rPr>
          <w:lang w:val="es-ES"/>
        </w:rPr>
        <w:t>CSE</w:t>
      </w:r>
      <w:r w:rsidR="005A33CE" w:rsidRPr="00E909DB">
        <w:rPr>
          <w:lang w:val="es-ES"/>
        </w:rPr>
        <w:t>)</w:t>
      </w:r>
      <w:r w:rsidR="001F41D5" w:rsidRPr="00E909DB">
        <w:rPr>
          <w:lang w:val="es-ES"/>
        </w:rPr>
        <w:t>,</w:t>
      </w:r>
      <w:r w:rsidR="000F47EE" w:rsidRPr="00E909DB">
        <w:rPr>
          <w:lang w:val="es-ES"/>
        </w:rPr>
        <w:t xml:space="preserve"> </w:t>
      </w:r>
      <w:r w:rsidR="005F1948" w:rsidRPr="00E909DB">
        <w:rPr>
          <w:lang w:val="es-ES"/>
        </w:rPr>
        <w:t xml:space="preserve">la Iniciativa de la </w:t>
      </w:r>
      <w:r w:rsidR="000F47EE" w:rsidRPr="00E909DB">
        <w:rPr>
          <w:lang w:val="es-ES"/>
        </w:rPr>
        <w:t>U</w:t>
      </w:r>
      <w:r w:rsidR="005F1948" w:rsidRPr="00E909DB">
        <w:rPr>
          <w:lang w:val="es-ES"/>
        </w:rPr>
        <w:t>I</w:t>
      </w:r>
      <w:r w:rsidR="000F47EE" w:rsidRPr="00E909DB">
        <w:rPr>
          <w:lang w:val="es-ES"/>
        </w:rPr>
        <w:t xml:space="preserve">CN </w:t>
      </w:r>
      <w:r w:rsidR="005F1948" w:rsidRPr="00E909DB">
        <w:rPr>
          <w:lang w:val="es-ES"/>
        </w:rPr>
        <w:t>en materia de especies exóticas invasoras</w:t>
      </w:r>
      <w:r w:rsidR="000F47EE" w:rsidRPr="00E909DB">
        <w:rPr>
          <w:lang w:val="es-ES"/>
        </w:rPr>
        <w:t xml:space="preserve">, </w:t>
      </w:r>
      <w:r w:rsidR="005F1948" w:rsidRPr="00E909DB">
        <w:rPr>
          <w:lang w:val="es-ES"/>
        </w:rPr>
        <w:t xml:space="preserve">el programa de especies exóticas invasoras de </w:t>
      </w:r>
      <w:r w:rsidR="00C13F19" w:rsidRPr="00E909DB">
        <w:rPr>
          <w:lang w:val="es-ES"/>
        </w:rPr>
        <w:t xml:space="preserve">BirdLife </w:t>
      </w:r>
      <w:r w:rsidR="000F47EE" w:rsidRPr="00E909DB">
        <w:rPr>
          <w:lang w:val="es-ES"/>
        </w:rPr>
        <w:t>International, CAB</w:t>
      </w:r>
      <w:r w:rsidR="00E5727B" w:rsidRPr="00E909DB">
        <w:rPr>
          <w:lang w:val="es-ES"/>
        </w:rPr>
        <w:t xml:space="preserve"> </w:t>
      </w:r>
      <w:r w:rsidR="000F47EE" w:rsidRPr="00E909DB">
        <w:rPr>
          <w:lang w:val="es-ES"/>
        </w:rPr>
        <w:t>I</w:t>
      </w:r>
      <w:r w:rsidR="00E5727B" w:rsidRPr="00E909DB">
        <w:rPr>
          <w:lang w:val="es-ES"/>
        </w:rPr>
        <w:t>nternational</w:t>
      </w:r>
      <w:r w:rsidR="000F47EE" w:rsidRPr="00E909DB">
        <w:rPr>
          <w:lang w:val="es-ES"/>
        </w:rPr>
        <w:t xml:space="preserve">, </w:t>
      </w:r>
      <w:r w:rsidR="005F1948" w:rsidRPr="00E909DB">
        <w:rPr>
          <w:lang w:val="es-ES"/>
        </w:rPr>
        <w:t>la Asociación Mundial de Información sobre Especies Exóticas Invasoras</w:t>
      </w:r>
      <w:r w:rsidR="000F47EE" w:rsidRPr="00E909DB">
        <w:rPr>
          <w:lang w:val="es-ES"/>
        </w:rPr>
        <w:t xml:space="preserve"> (</w:t>
      </w:r>
      <w:r w:rsidR="005F1948" w:rsidRPr="00E909DB">
        <w:rPr>
          <w:lang w:val="es-ES"/>
        </w:rPr>
        <w:t>una iniciativa respaldada por la secretaría del Convenio sobre la Diversidad Biológica</w:t>
      </w:r>
      <w:r w:rsidR="000F47EE" w:rsidRPr="00E909DB">
        <w:rPr>
          <w:lang w:val="es-ES"/>
        </w:rPr>
        <w:t xml:space="preserve">), </w:t>
      </w:r>
      <w:r w:rsidR="005F1948" w:rsidRPr="00E909DB">
        <w:rPr>
          <w:lang w:val="es-ES"/>
        </w:rPr>
        <w:t>la Organización de las Naciones Unidas para la Alimentación y la Agricultura</w:t>
      </w:r>
      <w:r w:rsidR="00215EEE" w:rsidRPr="00E909DB">
        <w:rPr>
          <w:lang w:val="es-ES"/>
        </w:rPr>
        <w:t>,</w:t>
      </w:r>
      <w:r w:rsidR="000F47EE" w:rsidRPr="00E909DB">
        <w:rPr>
          <w:lang w:val="es-ES"/>
        </w:rPr>
        <w:t xml:space="preserve"> especial</w:t>
      </w:r>
      <w:r w:rsidR="005F1948" w:rsidRPr="00E909DB">
        <w:rPr>
          <w:lang w:val="es-ES"/>
        </w:rPr>
        <w:t xml:space="preserve">mente sus divisiones encargadas de la </w:t>
      </w:r>
      <w:r w:rsidR="000F47EE" w:rsidRPr="00E909DB">
        <w:rPr>
          <w:lang w:val="es-ES"/>
        </w:rPr>
        <w:t>agricultur</w:t>
      </w:r>
      <w:r w:rsidR="005F1948" w:rsidRPr="00E909DB">
        <w:rPr>
          <w:lang w:val="es-ES"/>
        </w:rPr>
        <w:t>a</w:t>
      </w:r>
      <w:r w:rsidR="000F47EE" w:rsidRPr="00E909DB">
        <w:rPr>
          <w:lang w:val="es-ES"/>
        </w:rPr>
        <w:t xml:space="preserve">, </w:t>
      </w:r>
      <w:r w:rsidR="005F1948" w:rsidRPr="00E909DB">
        <w:rPr>
          <w:lang w:val="es-ES"/>
        </w:rPr>
        <w:t>la acuicultura</w:t>
      </w:r>
      <w:r w:rsidR="000F47EE" w:rsidRPr="00E909DB">
        <w:rPr>
          <w:lang w:val="es-ES"/>
        </w:rPr>
        <w:t xml:space="preserve"> </w:t>
      </w:r>
      <w:r w:rsidR="005F1948" w:rsidRPr="00E909DB">
        <w:rPr>
          <w:lang w:val="es-ES"/>
        </w:rPr>
        <w:t>y la silvicultura, y otros organismos de expertos internacionales y regionales pertinentes</w:t>
      </w:r>
      <w:r w:rsidR="000F47EE" w:rsidRPr="00E909DB">
        <w:rPr>
          <w:lang w:val="es-ES"/>
        </w:rPr>
        <w:t xml:space="preserve">. </w:t>
      </w:r>
      <w:r w:rsidR="00513F91" w:rsidRPr="00E909DB">
        <w:rPr>
          <w:lang w:val="es-ES"/>
        </w:rPr>
        <w:t>Procurará evaluar también la situación de la especies exóticas invasoras a nivel regional y para ello creará sinergias con sistemas de conocimientos locales y autóctonos, ya que son las comunidades locales de agricultores, cazadores, pescadores y otros expertos locales quienes mejores y más amplios conocimientos pueden tener acerca de la historia, las</w:t>
      </w:r>
      <w:r w:rsidR="00ED548F">
        <w:rPr>
          <w:lang w:val="es-ES"/>
        </w:rPr>
        <w:t xml:space="preserve"> </w:t>
      </w:r>
      <w:r w:rsidR="00513F91" w:rsidRPr="00E909DB">
        <w:rPr>
          <w:lang w:val="es-ES"/>
        </w:rPr>
        <w:t>vías</w:t>
      </w:r>
      <w:r w:rsidR="00EB5A5D">
        <w:rPr>
          <w:lang w:val="es-ES"/>
        </w:rPr>
        <w:t xml:space="preserve"> de introducción</w:t>
      </w:r>
      <w:r w:rsidR="00513F91" w:rsidRPr="00E909DB">
        <w:rPr>
          <w:lang w:val="es-ES"/>
        </w:rPr>
        <w:t>, las consecuencias variables y la eficacia de los esfuerzos por gestionar las especies exóticas invasoras</w:t>
      </w:r>
      <w:r w:rsidR="000F47EE" w:rsidRPr="00E909DB">
        <w:rPr>
          <w:lang w:val="es-ES"/>
        </w:rPr>
        <w:t xml:space="preserve">. </w:t>
      </w:r>
    </w:p>
    <w:p w:rsidR="000F47EE" w:rsidRPr="00E909DB" w:rsidRDefault="00F812BE" w:rsidP="008D76C0">
      <w:pPr>
        <w:pStyle w:val="CH1"/>
        <w:rPr>
          <w:lang w:val="es-ES"/>
        </w:rPr>
      </w:pPr>
      <w:r w:rsidRPr="00E909DB">
        <w:rPr>
          <w:lang w:val="es-ES"/>
        </w:rPr>
        <w:tab/>
      </w:r>
      <w:r w:rsidR="00DB76E8" w:rsidRPr="00E909DB">
        <w:rPr>
          <w:lang w:val="es-ES"/>
        </w:rPr>
        <w:t>III</w:t>
      </w:r>
      <w:r w:rsidR="00316B33" w:rsidRPr="00E909DB">
        <w:rPr>
          <w:lang w:val="es-ES"/>
        </w:rPr>
        <w:t>.</w:t>
      </w:r>
      <w:r w:rsidRPr="00E909DB">
        <w:rPr>
          <w:lang w:val="es-ES"/>
        </w:rPr>
        <w:tab/>
      </w:r>
      <w:r w:rsidR="005E6C53" w:rsidRPr="00E909DB">
        <w:rPr>
          <w:lang w:val="es-ES"/>
        </w:rPr>
        <w:t>Estructura por capítulos</w:t>
      </w:r>
    </w:p>
    <w:p w:rsidR="00DB76E8" w:rsidRPr="00E909DB" w:rsidRDefault="005E6C53"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Se prevé que los resultados de la evaluación temática se presenten en un informe que contendrá seis capítulos, estructurados de la manera siguiente:</w:t>
      </w:r>
    </w:p>
    <w:p w:rsidR="000F47EE" w:rsidRPr="00E909DB" w:rsidRDefault="005E6C53"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Capítulo</w:t>
      </w:r>
      <w:r w:rsidR="000F47EE" w:rsidRPr="00E909DB">
        <w:rPr>
          <w:lang w:val="es-ES"/>
        </w:rPr>
        <w:t xml:space="preserve"> 1</w:t>
      </w:r>
      <w:r w:rsidR="000A34C4" w:rsidRPr="00E909DB">
        <w:rPr>
          <w:lang w:val="es-ES"/>
        </w:rPr>
        <w:t>.</w:t>
      </w:r>
      <w:r w:rsidR="000F47EE" w:rsidRPr="00E909DB">
        <w:rPr>
          <w:lang w:val="es-ES"/>
        </w:rPr>
        <w:t xml:space="preserve"> Introdu</w:t>
      </w:r>
      <w:r w:rsidR="00691684" w:rsidRPr="00E909DB">
        <w:rPr>
          <w:lang w:val="es-ES"/>
        </w:rPr>
        <w:t>cción a los conceptos de especies exóticas invasoras, entre otros:</w:t>
      </w:r>
    </w:p>
    <w:p w:rsidR="00C716D2" w:rsidRPr="00E909DB" w:rsidRDefault="00691684"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a)</w:t>
      </w:r>
      <w:r w:rsidRPr="00E909DB">
        <w:rPr>
          <w:rFonts w:ascii="Times New Roman" w:hAnsi="Times New Roman"/>
          <w:sz w:val="20"/>
          <w:szCs w:val="20"/>
          <w:lang w:val="es-ES"/>
        </w:rPr>
        <w:tab/>
        <w:t>Los riesgos actuales y futuros que plantean</w:t>
      </w:r>
      <w:r w:rsidR="00664434" w:rsidRPr="00E909DB">
        <w:rPr>
          <w:rFonts w:ascii="Times New Roman" w:hAnsi="Times New Roman"/>
          <w:sz w:val="20"/>
          <w:szCs w:val="20"/>
          <w:lang w:val="es-ES"/>
        </w:rPr>
        <w:t>;</w:t>
      </w:r>
    </w:p>
    <w:p w:rsidR="00C716D2" w:rsidRPr="00E909DB" w:rsidRDefault="00F74389"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b</w:t>
      </w:r>
      <w:r w:rsidR="00C716D2" w:rsidRPr="00E909DB">
        <w:rPr>
          <w:rFonts w:ascii="Times New Roman" w:hAnsi="Times New Roman"/>
          <w:sz w:val="20"/>
          <w:szCs w:val="20"/>
          <w:lang w:val="es-ES"/>
        </w:rPr>
        <w:t>)</w:t>
      </w:r>
      <w:r w:rsidR="00C716D2" w:rsidRPr="00E909DB">
        <w:rPr>
          <w:rFonts w:ascii="Times New Roman" w:hAnsi="Times New Roman"/>
          <w:sz w:val="20"/>
          <w:szCs w:val="20"/>
          <w:lang w:val="es-ES"/>
        </w:rPr>
        <w:tab/>
      </w:r>
      <w:r w:rsidR="00691684" w:rsidRPr="00E909DB">
        <w:rPr>
          <w:rFonts w:ascii="Times New Roman" w:hAnsi="Times New Roman"/>
          <w:sz w:val="20"/>
          <w:szCs w:val="20"/>
          <w:lang w:val="es-ES"/>
        </w:rPr>
        <w:t>Su diversidad, orí</w:t>
      </w:r>
      <w:r w:rsidR="000F47EE" w:rsidRPr="00E909DB">
        <w:rPr>
          <w:rFonts w:ascii="Times New Roman" w:hAnsi="Times New Roman"/>
          <w:sz w:val="20"/>
          <w:szCs w:val="20"/>
          <w:lang w:val="es-ES"/>
        </w:rPr>
        <w:t>g</w:t>
      </w:r>
      <w:r w:rsidR="00691684" w:rsidRPr="00E909DB">
        <w:rPr>
          <w:rFonts w:ascii="Times New Roman" w:hAnsi="Times New Roman"/>
          <w:sz w:val="20"/>
          <w:szCs w:val="20"/>
          <w:lang w:val="es-ES"/>
        </w:rPr>
        <w:t>e</w:t>
      </w:r>
      <w:r w:rsidR="000F47EE" w:rsidRPr="00E909DB">
        <w:rPr>
          <w:rFonts w:ascii="Times New Roman" w:hAnsi="Times New Roman"/>
          <w:sz w:val="20"/>
          <w:szCs w:val="20"/>
          <w:lang w:val="es-ES"/>
        </w:rPr>
        <w:t>n</w:t>
      </w:r>
      <w:r w:rsidR="00691684" w:rsidRPr="00E909DB">
        <w:rPr>
          <w:rFonts w:ascii="Times New Roman" w:hAnsi="Times New Roman"/>
          <w:sz w:val="20"/>
          <w:szCs w:val="20"/>
          <w:lang w:val="es-ES"/>
        </w:rPr>
        <w:t>e</w:t>
      </w:r>
      <w:r w:rsidR="000F47EE" w:rsidRPr="00E909DB">
        <w:rPr>
          <w:rFonts w:ascii="Times New Roman" w:hAnsi="Times New Roman"/>
          <w:sz w:val="20"/>
          <w:szCs w:val="20"/>
          <w:lang w:val="es-ES"/>
        </w:rPr>
        <w:t>s, me</w:t>
      </w:r>
      <w:r w:rsidR="00691684" w:rsidRPr="00E909DB">
        <w:rPr>
          <w:rFonts w:ascii="Times New Roman" w:hAnsi="Times New Roman"/>
          <w:sz w:val="20"/>
          <w:szCs w:val="20"/>
          <w:lang w:val="es-ES"/>
        </w:rPr>
        <w:t>dios y vías de introducción y propagación, ecología, gravedad de sus consecuencias</w:t>
      </w:r>
      <w:r w:rsidR="00664434" w:rsidRPr="00E909DB">
        <w:rPr>
          <w:rFonts w:ascii="Times New Roman" w:hAnsi="Times New Roman"/>
          <w:sz w:val="20"/>
          <w:szCs w:val="20"/>
          <w:lang w:val="es-ES"/>
        </w:rPr>
        <w:t>;</w:t>
      </w:r>
    </w:p>
    <w:p w:rsidR="00C716D2" w:rsidRPr="00E909DB" w:rsidRDefault="00F74389"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c</w:t>
      </w:r>
      <w:r w:rsidR="00C716D2" w:rsidRPr="00E909DB">
        <w:rPr>
          <w:rFonts w:ascii="Times New Roman" w:hAnsi="Times New Roman"/>
          <w:sz w:val="20"/>
          <w:szCs w:val="20"/>
          <w:lang w:val="es-ES"/>
        </w:rPr>
        <w:t>)</w:t>
      </w:r>
      <w:r w:rsidR="00C716D2" w:rsidRPr="00E909DB">
        <w:rPr>
          <w:rFonts w:ascii="Times New Roman" w:hAnsi="Times New Roman"/>
          <w:sz w:val="20"/>
          <w:szCs w:val="20"/>
          <w:lang w:val="es-ES"/>
        </w:rPr>
        <w:tab/>
      </w:r>
      <w:r w:rsidR="00691684" w:rsidRPr="00E909DB">
        <w:rPr>
          <w:rFonts w:ascii="Times New Roman" w:hAnsi="Times New Roman"/>
          <w:sz w:val="20"/>
          <w:szCs w:val="20"/>
          <w:lang w:val="es-ES"/>
        </w:rPr>
        <w:t xml:space="preserve">La necesidad de concienciación y la adopción de políticas de biocustodia antes y después de las fronteras para hacer frente a </w:t>
      </w:r>
      <w:r w:rsidR="00EB5A5D">
        <w:rPr>
          <w:rFonts w:ascii="Times New Roman" w:hAnsi="Times New Roman"/>
          <w:sz w:val="20"/>
          <w:szCs w:val="20"/>
          <w:lang w:val="es-ES"/>
        </w:rPr>
        <w:t xml:space="preserve">la </w:t>
      </w:r>
      <w:r w:rsidR="00EB5A5D" w:rsidRPr="00E909DB">
        <w:rPr>
          <w:rFonts w:ascii="Times New Roman" w:hAnsi="Times New Roman"/>
          <w:sz w:val="20"/>
          <w:szCs w:val="20"/>
          <w:lang w:val="es-ES"/>
        </w:rPr>
        <w:t xml:space="preserve">propagación </w:t>
      </w:r>
      <w:r w:rsidR="00EB5A5D">
        <w:rPr>
          <w:rFonts w:ascii="Times New Roman" w:hAnsi="Times New Roman"/>
          <w:sz w:val="20"/>
          <w:szCs w:val="20"/>
          <w:lang w:val="es-ES"/>
        </w:rPr>
        <w:t xml:space="preserve">de especies exóticas invasoras y </w:t>
      </w:r>
      <w:r w:rsidR="00691684" w:rsidRPr="00E909DB">
        <w:rPr>
          <w:rFonts w:ascii="Times New Roman" w:hAnsi="Times New Roman"/>
          <w:sz w:val="20"/>
          <w:szCs w:val="20"/>
          <w:lang w:val="es-ES"/>
        </w:rPr>
        <w:t>sus consecuencias</w:t>
      </w:r>
      <w:r w:rsidR="00664434" w:rsidRPr="00E909DB">
        <w:rPr>
          <w:rFonts w:ascii="Times New Roman" w:hAnsi="Times New Roman"/>
          <w:sz w:val="20"/>
          <w:szCs w:val="20"/>
          <w:lang w:val="es-ES"/>
        </w:rPr>
        <w:t>;</w:t>
      </w:r>
    </w:p>
    <w:p w:rsidR="000F47EE" w:rsidRPr="00E909DB" w:rsidRDefault="00F74389"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d</w:t>
      </w:r>
      <w:r w:rsidR="00C716D2" w:rsidRPr="00E909DB">
        <w:rPr>
          <w:rFonts w:ascii="Times New Roman" w:hAnsi="Times New Roman"/>
          <w:sz w:val="20"/>
          <w:szCs w:val="20"/>
          <w:lang w:val="es-ES"/>
        </w:rPr>
        <w:t>)</w:t>
      </w:r>
      <w:r w:rsidR="00C716D2" w:rsidRPr="00E909DB">
        <w:rPr>
          <w:rFonts w:ascii="Times New Roman" w:hAnsi="Times New Roman"/>
          <w:sz w:val="20"/>
          <w:szCs w:val="20"/>
          <w:lang w:val="es-ES"/>
        </w:rPr>
        <w:tab/>
      </w:r>
      <w:r w:rsidR="00664434" w:rsidRPr="00E909DB">
        <w:rPr>
          <w:rFonts w:ascii="Times New Roman" w:hAnsi="Times New Roman"/>
          <w:sz w:val="20"/>
          <w:szCs w:val="20"/>
          <w:lang w:val="es-ES"/>
        </w:rPr>
        <w:t>M</w:t>
      </w:r>
      <w:r w:rsidR="000F47EE" w:rsidRPr="00E909DB">
        <w:rPr>
          <w:rFonts w:ascii="Times New Roman" w:hAnsi="Times New Roman"/>
          <w:sz w:val="20"/>
          <w:szCs w:val="20"/>
          <w:lang w:val="es-ES"/>
        </w:rPr>
        <w:t>etodolog</w:t>
      </w:r>
      <w:r w:rsidR="00691684" w:rsidRPr="00E909DB">
        <w:rPr>
          <w:rFonts w:ascii="Times New Roman" w:hAnsi="Times New Roman"/>
          <w:sz w:val="20"/>
          <w:szCs w:val="20"/>
          <w:lang w:val="es-ES"/>
        </w:rPr>
        <w:t xml:space="preserve">ías y sistemas de información para controlar </w:t>
      </w:r>
      <w:r w:rsidR="00EB5A5D">
        <w:rPr>
          <w:rFonts w:ascii="Times New Roman" w:hAnsi="Times New Roman"/>
          <w:sz w:val="20"/>
          <w:szCs w:val="20"/>
          <w:lang w:val="es-ES"/>
        </w:rPr>
        <w:t xml:space="preserve">el </w:t>
      </w:r>
      <w:r w:rsidR="00691684" w:rsidRPr="00E909DB">
        <w:rPr>
          <w:rFonts w:ascii="Times New Roman" w:hAnsi="Times New Roman"/>
          <w:sz w:val="20"/>
          <w:szCs w:val="20"/>
          <w:lang w:val="es-ES"/>
        </w:rPr>
        <w:t xml:space="preserve">alcance, </w:t>
      </w:r>
      <w:r w:rsidR="00EB5A5D">
        <w:rPr>
          <w:rFonts w:ascii="Times New Roman" w:hAnsi="Times New Roman"/>
          <w:sz w:val="20"/>
          <w:szCs w:val="20"/>
          <w:lang w:val="es-ES"/>
        </w:rPr>
        <w:t xml:space="preserve">la </w:t>
      </w:r>
      <w:r w:rsidR="00691684" w:rsidRPr="00E909DB">
        <w:rPr>
          <w:rFonts w:ascii="Times New Roman" w:hAnsi="Times New Roman"/>
          <w:sz w:val="20"/>
          <w:szCs w:val="20"/>
          <w:lang w:val="es-ES"/>
        </w:rPr>
        <w:t>propagación e</w:t>
      </w:r>
      <w:r w:rsidR="00EB5A5D">
        <w:rPr>
          <w:rFonts w:ascii="Times New Roman" w:hAnsi="Times New Roman"/>
          <w:sz w:val="20"/>
          <w:szCs w:val="20"/>
          <w:lang w:val="es-ES"/>
        </w:rPr>
        <w:t>l</w:t>
      </w:r>
      <w:r w:rsidR="00691684" w:rsidRPr="00E909DB">
        <w:rPr>
          <w:rFonts w:ascii="Times New Roman" w:hAnsi="Times New Roman"/>
          <w:sz w:val="20"/>
          <w:szCs w:val="20"/>
          <w:lang w:val="es-ES"/>
        </w:rPr>
        <w:t xml:space="preserve"> impacto</w:t>
      </w:r>
      <w:r w:rsidR="00EB5A5D">
        <w:rPr>
          <w:rFonts w:ascii="Times New Roman" w:hAnsi="Times New Roman"/>
          <w:sz w:val="20"/>
          <w:szCs w:val="20"/>
          <w:lang w:val="es-ES"/>
        </w:rPr>
        <w:t xml:space="preserve"> de las especies exóticas invasoras</w:t>
      </w:r>
      <w:r w:rsidR="000F47EE" w:rsidRPr="00E909DB">
        <w:rPr>
          <w:rFonts w:ascii="Times New Roman" w:hAnsi="Times New Roman"/>
          <w:sz w:val="20"/>
          <w:szCs w:val="20"/>
          <w:lang w:val="es-ES"/>
        </w:rPr>
        <w:t>.</w:t>
      </w:r>
    </w:p>
    <w:p w:rsidR="000F47EE" w:rsidRPr="00E909DB" w:rsidRDefault="005E6C53"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Capítulo</w:t>
      </w:r>
      <w:r w:rsidR="000F47EE" w:rsidRPr="00E909DB">
        <w:rPr>
          <w:lang w:val="es-ES"/>
        </w:rPr>
        <w:t xml:space="preserve"> 2</w:t>
      </w:r>
      <w:r w:rsidR="009029AF" w:rsidRPr="00E909DB">
        <w:rPr>
          <w:lang w:val="es-ES"/>
        </w:rPr>
        <w:t>.</w:t>
      </w:r>
      <w:r w:rsidR="000F47EE" w:rsidRPr="00E909DB">
        <w:rPr>
          <w:lang w:val="es-ES"/>
        </w:rPr>
        <w:t xml:space="preserve"> </w:t>
      </w:r>
      <w:r w:rsidR="00691684" w:rsidRPr="00E909DB">
        <w:rPr>
          <w:lang w:val="es-ES"/>
        </w:rPr>
        <w:t>Reseña de los tipos de especies exóticas invasoras, sus medios y antecedentes de propagación y los tipos de impactos,  que tienen sobre la diversidad biológica, los servicios de los ecosistemas y el bienestar humano</w:t>
      </w:r>
      <w:r w:rsidR="00B049E9">
        <w:rPr>
          <w:lang w:val="es-ES"/>
        </w:rPr>
        <w:t xml:space="preserve">, </w:t>
      </w:r>
      <w:r w:rsidR="00B049E9" w:rsidRPr="00E909DB">
        <w:rPr>
          <w:lang w:val="es-ES"/>
        </w:rPr>
        <w:t>desglosados por región</w:t>
      </w:r>
      <w:r w:rsidR="000F47EE" w:rsidRPr="00E909DB">
        <w:rPr>
          <w:lang w:val="es-ES"/>
        </w:rPr>
        <w:t xml:space="preserve">. </w:t>
      </w:r>
      <w:r w:rsidR="00691684" w:rsidRPr="00E909DB">
        <w:rPr>
          <w:lang w:val="es-ES"/>
        </w:rPr>
        <w:t>Entre los principales grupos taxonómico</w:t>
      </w:r>
      <w:r w:rsidR="00EB5A5D">
        <w:rPr>
          <w:lang w:val="es-ES"/>
        </w:rPr>
        <w:t>s</w:t>
      </w:r>
      <w:r w:rsidR="00691684" w:rsidRPr="00E909DB">
        <w:rPr>
          <w:lang w:val="es-ES"/>
        </w:rPr>
        <w:t xml:space="preserve"> que abarcará la evaluación cabe mencionar los siguientes</w:t>
      </w:r>
      <w:r w:rsidR="000F47EE" w:rsidRPr="00E909DB">
        <w:rPr>
          <w:lang w:val="es-ES"/>
        </w:rPr>
        <w:t>:</w:t>
      </w:r>
    </w:p>
    <w:p w:rsidR="000F47EE" w:rsidRPr="00E909DB"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a)</w:t>
      </w:r>
      <w:r w:rsidRPr="00E909DB">
        <w:rPr>
          <w:rFonts w:ascii="Times New Roman" w:hAnsi="Times New Roman"/>
          <w:sz w:val="20"/>
          <w:szCs w:val="20"/>
          <w:lang w:val="es-ES"/>
        </w:rPr>
        <w:tab/>
        <w:t>Vertebra</w:t>
      </w:r>
      <w:r w:rsidR="00691684" w:rsidRPr="00E909DB">
        <w:rPr>
          <w:rFonts w:ascii="Times New Roman" w:hAnsi="Times New Roman"/>
          <w:sz w:val="20"/>
          <w:szCs w:val="20"/>
          <w:lang w:val="es-ES"/>
        </w:rPr>
        <w:t>dos</w:t>
      </w:r>
      <w:r w:rsidRPr="00E909DB">
        <w:rPr>
          <w:rFonts w:ascii="Times New Roman" w:hAnsi="Times New Roman"/>
          <w:sz w:val="20"/>
          <w:szCs w:val="20"/>
          <w:lang w:val="es-ES"/>
        </w:rPr>
        <w:t xml:space="preserve"> </w:t>
      </w:r>
      <w:r w:rsidR="000F47EE" w:rsidRPr="00E909DB">
        <w:rPr>
          <w:rFonts w:ascii="Times New Roman" w:hAnsi="Times New Roman"/>
          <w:sz w:val="20"/>
          <w:szCs w:val="20"/>
          <w:lang w:val="es-ES"/>
        </w:rPr>
        <w:t>(</w:t>
      </w:r>
      <w:r w:rsidR="00691684" w:rsidRPr="00E909DB">
        <w:rPr>
          <w:rFonts w:ascii="Times New Roman" w:hAnsi="Times New Roman"/>
          <w:sz w:val="20"/>
          <w:szCs w:val="20"/>
          <w:lang w:val="es-ES"/>
        </w:rPr>
        <w:t xml:space="preserve">por ejemplo, ratas, ratones, mangostas, gatos, cabras, </w:t>
      </w:r>
      <w:r w:rsidR="009B2847" w:rsidRPr="00E909DB">
        <w:rPr>
          <w:rFonts w:ascii="Times New Roman" w:hAnsi="Times New Roman"/>
          <w:sz w:val="20"/>
          <w:szCs w:val="20"/>
          <w:lang w:val="es-ES"/>
        </w:rPr>
        <w:t xml:space="preserve">ciervos, cerdos, caballos, ganado, camellos, zorros, conejos, monos, serpientes, </w:t>
      </w:r>
      <w:r w:rsidR="00EB5971" w:rsidRPr="00E909DB">
        <w:rPr>
          <w:rFonts w:ascii="Times New Roman" w:hAnsi="Times New Roman"/>
          <w:sz w:val="20"/>
          <w:szCs w:val="20"/>
          <w:lang w:val="es-ES"/>
        </w:rPr>
        <w:t>l</w:t>
      </w:r>
      <w:r w:rsidR="009B2847" w:rsidRPr="00E909DB">
        <w:rPr>
          <w:rFonts w:ascii="Times New Roman" w:hAnsi="Times New Roman"/>
          <w:sz w:val="20"/>
          <w:szCs w:val="20"/>
          <w:lang w:val="es-ES"/>
        </w:rPr>
        <w:t xml:space="preserve">agartos, </w:t>
      </w:r>
      <w:r w:rsidR="00C646A4">
        <w:rPr>
          <w:rFonts w:ascii="Times New Roman" w:hAnsi="Times New Roman"/>
          <w:sz w:val="20"/>
          <w:szCs w:val="20"/>
          <w:lang w:val="es-ES"/>
        </w:rPr>
        <w:t>tortugas, sapos y ranas, aves y </w:t>
      </w:r>
      <w:r w:rsidR="009B2847" w:rsidRPr="00E909DB">
        <w:rPr>
          <w:rFonts w:ascii="Times New Roman" w:hAnsi="Times New Roman"/>
          <w:sz w:val="20"/>
          <w:szCs w:val="20"/>
          <w:lang w:val="es-ES"/>
        </w:rPr>
        <w:t>peces</w:t>
      </w:r>
      <w:r w:rsidR="000F47EE" w:rsidRPr="00E909DB">
        <w:rPr>
          <w:rFonts w:ascii="Times New Roman" w:hAnsi="Times New Roman"/>
          <w:sz w:val="20"/>
          <w:szCs w:val="20"/>
          <w:lang w:val="es-ES"/>
        </w:rPr>
        <w:t>);</w:t>
      </w:r>
    </w:p>
    <w:p w:rsidR="000F47EE" w:rsidRPr="00E909DB"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b)</w:t>
      </w:r>
      <w:r w:rsidRPr="00E909DB">
        <w:rPr>
          <w:rFonts w:ascii="Times New Roman" w:hAnsi="Times New Roman"/>
          <w:sz w:val="20"/>
          <w:szCs w:val="20"/>
          <w:lang w:val="es-ES"/>
        </w:rPr>
        <w:tab/>
        <w:t>Invertebra</w:t>
      </w:r>
      <w:r w:rsidR="009B2847" w:rsidRPr="00E909DB">
        <w:rPr>
          <w:rFonts w:ascii="Times New Roman" w:hAnsi="Times New Roman"/>
          <w:sz w:val="20"/>
          <w:szCs w:val="20"/>
          <w:lang w:val="es-ES"/>
        </w:rPr>
        <w:t>dos</w:t>
      </w:r>
      <w:r w:rsidR="00664434" w:rsidRPr="00E909DB">
        <w:rPr>
          <w:rFonts w:ascii="Times New Roman" w:hAnsi="Times New Roman"/>
          <w:sz w:val="20"/>
          <w:szCs w:val="20"/>
          <w:lang w:val="es-ES"/>
        </w:rPr>
        <w:t xml:space="preserve"> </w:t>
      </w:r>
      <w:r w:rsidR="000F47EE" w:rsidRPr="00E909DB">
        <w:rPr>
          <w:rFonts w:ascii="Times New Roman" w:hAnsi="Times New Roman"/>
          <w:sz w:val="20"/>
          <w:szCs w:val="20"/>
          <w:lang w:val="es-ES"/>
        </w:rPr>
        <w:t>(</w:t>
      </w:r>
      <w:r w:rsidR="009B2847" w:rsidRPr="00E909DB">
        <w:rPr>
          <w:rFonts w:ascii="Times New Roman" w:hAnsi="Times New Roman"/>
          <w:sz w:val="20"/>
          <w:szCs w:val="20"/>
          <w:lang w:val="es-ES"/>
        </w:rPr>
        <w:t xml:space="preserve">por </w:t>
      </w:r>
      <w:r w:rsidR="00A7519F" w:rsidRPr="00E909DB">
        <w:rPr>
          <w:rFonts w:ascii="Times New Roman" w:hAnsi="Times New Roman"/>
          <w:sz w:val="20"/>
          <w:szCs w:val="20"/>
          <w:lang w:val="es-ES"/>
        </w:rPr>
        <w:t>ejemplo</w:t>
      </w:r>
      <w:r w:rsidR="009B2847" w:rsidRPr="00E909DB">
        <w:rPr>
          <w:rFonts w:ascii="Times New Roman" w:hAnsi="Times New Roman"/>
          <w:sz w:val="20"/>
          <w:szCs w:val="20"/>
          <w:lang w:val="es-ES"/>
        </w:rPr>
        <w:t xml:space="preserve">, </w:t>
      </w:r>
      <w:r w:rsidR="00A7519F" w:rsidRPr="00E909DB">
        <w:rPr>
          <w:rFonts w:ascii="Times New Roman" w:hAnsi="Times New Roman"/>
          <w:sz w:val="20"/>
          <w:szCs w:val="20"/>
          <w:lang w:val="es-ES"/>
        </w:rPr>
        <w:t>hormigas</w:t>
      </w:r>
      <w:r w:rsidR="009B2847" w:rsidRPr="00E909DB">
        <w:rPr>
          <w:rFonts w:ascii="Times New Roman" w:hAnsi="Times New Roman"/>
          <w:sz w:val="20"/>
          <w:szCs w:val="20"/>
          <w:lang w:val="es-ES"/>
        </w:rPr>
        <w:t xml:space="preserve">, </w:t>
      </w:r>
      <w:r w:rsidR="003565A3" w:rsidRPr="00E909DB">
        <w:rPr>
          <w:rFonts w:ascii="Times New Roman" w:hAnsi="Times New Roman"/>
          <w:sz w:val="20"/>
          <w:szCs w:val="20"/>
          <w:lang w:val="es-ES"/>
        </w:rPr>
        <w:t xml:space="preserve">mosquitos, </w:t>
      </w:r>
      <w:r w:rsidR="009B2847" w:rsidRPr="00E909DB">
        <w:rPr>
          <w:rFonts w:ascii="Times New Roman" w:hAnsi="Times New Roman"/>
          <w:sz w:val="20"/>
          <w:szCs w:val="20"/>
          <w:lang w:val="es-ES"/>
        </w:rPr>
        <w:t xml:space="preserve">moscas, avispas, áfidos, escarabajos, termitas, </w:t>
      </w:r>
      <w:r w:rsidR="000F47EE" w:rsidRPr="00E909DB">
        <w:rPr>
          <w:rFonts w:ascii="Times New Roman" w:hAnsi="Times New Roman"/>
          <w:sz w:val="20"/>
          <w:szCs w:val="20"/>
          <w:lang w:val="es-ES"/>
        </w:rPr>
        <w:t>c</w:t>
      </w:r>
      <w:r w:rsidR="009B2847" w:rsidRPr="00E909DB">
        <w:rPr>
          <w:rFonts w:ascii="Times New Roman" w:hAnsi="Times New Roman"/>
          <w:sz w:val="20"/>
          <w:szCs w:val="20"/>
          <w:lang w:val="es-ES"/>
        </w:rPr>
        <w:t>ucarachas</w:t>
      </w:r>
      <w:r w:rsidR="000F47EE" w:rsidRPr="00E909DB">
        <w:rPr>
          <w:rFonts w:ascii="Times New Roman" w:hAnsi="Times New Roman"/>
          <w:sz w:val="20"/>
          <w:szCs w:val="20"/>
          <w:lang w:val="es-ES"/>
        </w:rPr>
        <w:t xml:space="preserve">, </w:t>
      </w:r>
      <w:r w:rsidR="009B2847" w:rsidRPr="00E909DB">
        <w:rPr>
          <w:rFonts w:ascii="Times New Roman" w:hAnsi="Times New Roman"/>
          <w:sz w:val="20"/>
          <w:szCs w:val="20"/>
          <w:lang w:val="es-ES"/>
        </w:rPr>
        <w:t>langostas</w:t>
      </w:r>
      <w:r w:rsidR="000F47EE" w:rsidRPr="00E909DB">
        <w:rPr>
          <w:rFonts w:ascii="Times New Roman" w:hAnsi="Times New Roman"/>
          <w:sz w:val="20"/>
          <w:szCs w:val="20"/>
          <w:lang w:val="es-ES"/>
        </w:rPr>
        <w:t xml:space="preserve">, </w:t>
      </w:r>
      <w:r w:rsidR="009B2847" w:rsidRPr="00E909DB">
        <w:rPr>
          <w:rFonts w:ascii="Times New Roman" w:hAnsi="Times New Roman"/>
          <w:sz w:val="20"/>
          <w:szCs w:val="20"/>
          <w:lang w:val="es-ES"/>
        </w:rPr>
        <w:t xml:space="preserve">polillas, </w:t>
      </w:r>
      <w:r w:rsidR="00A7519F" w:rsidRPr="00E909DB">
        <w:rPr>
          <w:rFonts w:ascii="Times New Roman" w:hAnsi="Times New Roman"/>
          <w:sz w:val="20"/>
          <w:szCs w:val="20"/>
          <w:lang w:val="es-ES"/>
        </w:rPr>
        <w:t xml:space="preserve">crustáceos, </w:t>
      </w:r>
      <w:r w:rsidR="009B2847" w:rsidRPr="00E909DB">
        <w:rPr>
          <w:rFonts w:ascii="Times New Roman" w:hAnsi="Times New Roman"/>
          <w:sz w:val="20"/>
          <w:szCs w:val="20"/>
          <w:lang w:val="es-ES"/>
        </w:rPr>
        <w:t>caracoles,</w:t>
      </w:r>
      <w:r w:rsidR="000F47EE" w:rsidRPr="00E909DB">
        <w:rPr>
          <w:rFonts w:ascii="Times New Roman" w:hAnsi="Times New Roman"/>
          <w:sz w:val="20"/>
          <w:szCs w:val="20"/>
          <w:lang w:val="es-ES"/>
        </w:rPr>
        <w:t xml:space="preserve"> </w:t>
      </w:r>
      <w:r w:rsidR="009B2847" w:rsidRPr="00E909DB">
        <w:rPr>
          <w:rFonts w:ascii="Times New Roman" w:hAnsi="Times New Roman"/>
          <w:sz w:val="20"/>
          <w:szCs w:val="20"/>
          <w:lang w:val="es-ES"/>
        </w:rPr>
        <w:t>babosas y otros moluscos, platelmintos</w:t>
      </w:r>
      <w:r w:rsidR="000F47EE" w:rsidRPr="00E909DB">
        <w:rPr>
          <w:rFonts w:ascii="Times New Roman" w:hAnsi="Times New Roman"/>
          <w:sz w:val="20"/>
          <w:szCs w:val="20"/>
          <w:lang w:val="es-ES"/>
        </w:rPr>
        <w:t>)</w:t>
      </w:r>
      <w:r w:rsidR="00E401AC" w:rsidRPr="00E909DB">
        <w:rPr>
          <w:rFonts w:ascii="Times New Roman" w:hAnsi="Times New Roman"/>
          <w:sz w:val="20"/>
          <w:szCs w:val="20"/>
          <w:lang w:val="es-ES"/>
        </w:rPr>
        <w:t>, especial</w:t>
      </w:r>
      <w:r w:rsidR="009B2847" w:rsidRPr="00E909DB">
        <w:rPr>
          <w:rFonts w:ascii="Times New Roman" w:hAnsi="Times New Roman"/>
          <w:sz w:val="20"/>
          <w:szCs w:val="20"/>
          <w:lang w:val="es-ES"/>
        </w:rPr>
        <w:t>mente organismos que viven en colonias, como hormigas y avispas y mosquitos que transmiten enfermedades cuyo alcance parece estar extendiéndose</w:t>
      </w:r>
      <w:r w:rsidR="000F47EE" w:rsidRPr="00E909DB">
        <w:rPr>
          <w:rFonts w:ascii="Times New Roman" w:hAnsi="Times New Roman"/>
          <w:sz w:val="20"/>
          <w:szCs w:val="20"/>
          <w:lang w:val="es-ES"/>
        </w:rPr>
        <w:t>;</w:t>
      </w:r>
    </w:p>
    <w:p w:rsidR="000F47EE" w:rsidRPr="00E909DB"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c)</w:t>
      </w:r>
      <w:r w:rsidRPr="00E909DB">
        <w:rPr>
          <w:rFonts w:ascii="Times New Roman" w:hAnsi="Times New Roman"/>
          <w:sz w:val="20"/>
          <w:szCs w:val="20"/>
          <w:lang w:val="es-ES"/>
        </w:rPr>
        <w:tab/>
        <w:t>Plant</w:t>
      </w:r>
      <w:r w:rsidR="009B2847" w:rsidRPr="00E909DB">
        <w:rPr>
          <w:rFonts w:ascii="Times New Roman" w:hAnsi="Times New Roman"/>
          <w:sz w:val="20"/>
          <w:szCs w:val="20"/>
          <w:lang w:val="es-ES"/>
        </w:rPr>
        <w:t>a</w:t>
      </w:r>
      <w:r w:rsidRPr="00E909DB">
        <w:rPr>
          <w:rFonts w:ascii="Times New Roman" w:hAnsi="Times New Roman"/>
          <w:sz w:val="20"/>
          <w:szCs w:val="20"/>
          <w:lang w:val="es-ES"/>
        </w:rPr>
        <w:t xml:space="preserve">s </w:t>
      </w:r>
      <w:r w:rsidR="000F47EE" w:rsidRPr="00E909DB">
        <w:rPr>
          <w:rFonts w:ascii="Times New Roman" w:hAnsi="Times New Roman"/>
          <w:sz w:val="20"/>
          <w:szCs w:val="20"/>
          <w:lang w:val="es-ES"/>
        </w:rPr>
        <w:t>(</w:t>
      </w:r>
      <w:r w:rsidR="009B2847" w:rsidRPr="00E909DB">
        <w:rPr>
          <w:rFonts w:ascii="Times New Roman" w:hAnsi="Times New Roman"/>
          <w:sz w:val="20"/>
          <w:szCs w:val="20"/>
          <w:lang w:val="es-ES"/>
        </w:rPr>
        <w:t xml:space="preserve">por ejemplo, árboles, arbustos, </w:t>
      </w:r>
      <w:r w:rsidR="000F47EE" w:rsidRPr="00E909DB">
        <w:rPr>
          <w:rFonts w:ascii="Times New Roman" w:hAnsi="Times New Roman"/>
          <w:sz w:val="20"/>
          <w:szCs w:val="20"/>
          <w:lang w:val="es-ES"/>
        </w:rPr>
        <w:t>e</w:t>
      </w:r>
      <w:r w:rsidR="009B2847" w:rsidRPr="00E909DB">
        <w:rPr>
          <w:rFonts w:ascii="Times New Roman" w:hAnsi="Times New Roman"/>
          <w:sz w:val="20"/>
          <w:szCs w:val="20"/>
          <w:lang w:val="es-ES"/>
        </w:rPr>
        <w:t xml:space="preserve">nredaderas, césped, hierbas, algas marinas y </w:t>
      </w:r>
      <w:r w:rsidR="00EB5A5D">
        <w:rPr>
          <w:rFonts w:ascii="Times New Roman" w:hAnsi="Times New Roman"/>
          <w:sz w:val="20"/>
          <w:szCs w:val="20"/>
          <w:lang w:val="es-ES"/>
        </w:rPr>
        <w:t>de agua dulce</w:t>
      </w:r>
      <w:r w:rsidR="000F47EE" w:rsidRPr="00E909DB">
        <w:rPr>
          <w:rFonts w:ascii="Times New Roman" w:hAnsi="Times New Roman"/>
          <w:sz w:val="20"/>
          <w:szCs w:val="20"/>
          <w:lang w:val="es-ES"/>
        </w:rPr>
        <w:t>);</w:t>
      </w:r>
    </w:p>
    <w:p w:rsidR="00F74389" w:rsidRPr="00E909DB"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d)</w:t>
      </w:r>
      <w:r w:rsidRPr="00E909DB">
        <w:rPr>
          <w:rFonts w:ascii="Times New Roman" w:hAnsi="Times New Roman"/>
          <w:sz w:val="20"/>
          <w:szCs w:val="20"/>
          <w:lang w:val="es-ES"/>
        </w:rPr>
        <w:tab/>
      </w:r>
      <w:r w:rsidR="00076E85" w:rsidRPr="00E909DB">
        <w:rPr>
          <w:rFonts w:ascii="Times New Roman" w:hAnsi="Times New Roman"/>
          <w:sz w:val="20"/>
          <w:szCs w:val="20"/>
          <w:lang w:val="es-ES"/>
        </w:rPr>
        <w:t>Enfermedades y microorganismos</w:t>
      </w:r>
      <w:r w:rsidR="000F47EE" w:rsidRPr="00E909DB">
        <w:rPr>
          <w:rFonts w:ascii="Times New Roman" w:hAnsi="Times New Roman"/>
          <w:sz w:val="20"/>
          <w:szCs w:val="20"/>
          <w:lang w:val="es-ES"/>
        </w:rPr>
        <w:t xml:space="preserve"> (</w:t>
      </w:r>
      <w:r w:rsidR="00076E85" w:rsidRPr="00E909DB">
        <w:rPr>
          <w:rFonts w:ascii="Times New Roman" w:hAnsi="Times New Roman"/>
          <w:sz w:val="20"/>
          <w:szCs w:val="20"/>
          <w:lang w:val="es-ES"/>
        </w:rPr>
        <w:t>por ejemplo, hongos, virus</w:t>
      </w:r>
      <w:r w:rsidR="00EB5A5D">
        <w:rPr>
          <w:rFonts w:ascii="Times New Roman" w:hAnsi="Times New Roman"/>
          <w:sz w:val="20"/>
          <w:szCs w:val="20"/>
          <w:lang w:val="es-ES"/>
        </w:rPr>
        <w:t>es</w:t>
      </w:r>
      <w:r w:rsidR="00076E85" w:rsidRPr="00E909DB">
        <w:rPr>
          <w:rFonts w:ascii="Times New Roman" w:hAnsi="Times New Roman"/>
          <w:sz w:val="20"/>
          <w:szCs w:val="20"/>
          <w:lang w:val="es-ES"/>
        </w:rPr>
        <w:t>, bacterias,</w:t>
      </w:r>
      <w:r w:rsidR="00ED548F">
        <w:rPr>
          <w:rFonts w:ascii="Times New Roman" w:hAnsi="Times New Roman"/>
          <w:sz w:val="20"/>
          <w:szCs w:val="20"/>
          <w:lang w:val="es-ES"/>
        </w:rPr>
        <w:t xml:space="preserve"> </w:t>
      </w:r>
      <w:r w:rsidR="000F47EE" w:rsidRPr="00E909DB">
        <w:rPr>
          <w:rFonts w:ascii="Times New Roman" w:hAnsi="Times New Roman"/>
          <w:sz w:val="20"/>
          <w:szCs w:val="20"/>
          <w:lang w:val="es-ES"/>
        </w:rPr>
        <w:t>c</w:t>
      </w:r>
      <w:r w:rsidR="00076E85" w:rsidRPr="00E909DB">
        <w:rPr>
          <w:rFonts w:ascii="Times New Roman" w:hAnsi="Times New Roman"/>
          <w:sz w:val="20"/>
          <w:szCs w:val="20"/>
          <w:lang w:val="es-ES"/>
        </w:rPr>
        <w:t>i</w:t>
      </w:r>
      <w:r w:rsidR="000F47EE" w:rsidRPr="00E909DB">
        <w:rPr>
          <w:rFonts w:ascii="Times New Roman" w:hAnsi="Times New Roman"/>
          <w:sz w:val="20"/>
          <w:szCs w:val="20"/>
          <w:lang w:val="es-ES"/>
        </w:rPr>
        <w:t>anobacteria</w:t>
      </w:r>
      <w:r w:rsidR="00076E85" w:rsidRPr="00E909DB">
        <w:rPr>
          <w:rFonts w:ascii="Times New Roman" w:hAnsi="Times New Roman"/>
          <w:sz w:val="20"/>
          <w:szCs w:val="20"/>
          <w:lang w:val="es-ES"/>
        </w:rPr>
        <w:t>s</w:t>
      </w:r>
      <w:r w:rsidR="000F47EE" w:rsidRPr="00E909DB">
        <w:rPr>
          <w:rFonts w:ascii="Times New Roman" w:hAnsi="Times New Roman"/>
          <w:sz w:val="20"/>
          <w:szCs w:val="20"/>
          <w:lang w:val="es-ES"/>
        </w:rPr>
        <w:t>, protozo</w:t>
      </w:r>
      <w:r w:rsidR="00076E85" w:rsidRPr="00E909DB">
        <w:rPr>
          <w:rFonts w:ascii="Times New Roman" w:hAnsi="Times New Roman"/>
          <w:sz w:val="20"/>
          <w:szCs w:val="20"/>
          <w:lang w:val="es-ES"/>
        </w:rPr>
        <w:t>os</w:t>
      </w:r>
      <w:r w:rsidR="000F47EE" w:rsidRPr="00E909DB">
        <w:rPr>
          <w:rFonts w:ascii="Times New Roman" w:hAnsi="Times New Roman"/>
          <w:sz w:val="20"/>
          <w:szCs w:val="20"/>
          <w:lang w:val="es-ES"/>
        </w:rPr>
        <w:t xml:space="preserve">, </w:t>
      </w:r>
      <w:r w:rsidR="00076E85" w:rsidRPr="00E909DB">
        <w:rPr>
          <w:rFonts w:ascii="Times New Roman" w:hAnsi="Times New Roman"/>
          <w:sz w:val="20"/>
          <w:szCs w:val="20"/>
          <w:lang w:val="es-ES"/>
        </w:rPr>
        <w:t>enfermedades de los corales, pla</w:t>
      </w:r>
      <w:r w:rsidR="00A7519F" w:rsidRPr="00E909DB">
        <w:rPr>
          <w:rFonts w:ascii="Times New Roman" w:hAnsi="Times New Roman"/>
          <w:sz w:val="20"/>
          <w:szCs w:val="20"/>
          <w:lang w:val="es-ES"/>
        </w:rPr>
        <w:t>ncto</w:t>
      </w:r>
      <w:r w:rsidR="00076E85" w:rsidRPr="00E909DB">
        <w:rPr>
          <w:rFonts w:ascii="Times New Roman" w:hAnsi="Times New Roman"/>
          <w:sz w:val="20"/>
          <w:szCs w:val="20"/>
          <w:lang w:val="es-ES"/>
        </w:rPr>
        <w:t>n</w:t>
      </w:r>
      <w:r w:rsidR="00A7519F" w:rsidRPr="00E909DB">
        <w:rPr>
          <w:rStyle w:val="CommentReference"/>
        </w:rPr>
        <w:t xml:space="preserve"> </w:t>
      </w:r>
      <w:r w:rsidR="00076E85" w:rsidRPr="00E909DB">
        <w:rPr>
          <w:rFonts w:ascii="Times New Roman" w:hAnsi="Times New Roman"/>
          <w:sz w:val="20"/>
          <w:szCs w:val="20"/>
          <w:lang w:val="es-ES"/>
        </w:rPr>
        <w:t>y parásitos</w:t>
      </w:r>
      <w:r w:rsidR="000F47EE" w:rsidRPr="00E909DB">
        <w:rPr>
          <w:rFonts w:ascii="Times New Roman" w:hAnsi="Times New Roman"/>
          <w:sz w:val="20"/>
          <w:szCs w:val="20"/>
          <w:lang w:val="es-ES"/>
        </w:rPr>
        <w:t>).</w:t>
      </w:r>
    </w:p>
    <w:p w:rsidR="000F47EE" w:rsidRPr="00E909DB" w:rsidRDefault="00076E85"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El capítulo 2 abarca también otras cuestiones, como:</w:t>
      </w:r>
    </w:p>
    <w:p w:rsidR="009044DF" w:rsidRPr="00E909DB" w:rsidRDefault="00F74389" w:rsidP="008D76C0">
      <w:pPr>
        <w:spacing w:after="120" w:line="240" w:lineRule="auto"/>
        <w:ind w:left="1247" w:firstLine="624"/>
        <w:rPr>
          <w:rFonts w:ascii="Times New Roman" w:hAnsi="Times New Roman"/>
          <w:sz w:val="20"/>
          <w:szCs w:val="20"/>
          <w:lang w:val="es-ES"/>
        </w:rPr>
      </w:pPr>
      <w:r w:rsidRPr="00E909DB">
        <w:rPr>
          <w:rFonts w:ascii="Times New Roman" w:hAnsi="Times New Roman"/>
          <w:lang w:val="es-ES"/>
        </w:rPr>
        <w:t>a</w:t>
      </w:r>
      <w:r w:rsidR="00B1436B" w:rsidRPr="00E909DB">
        <w:rPr>
          <w:rFonts w:ascii="Times New Roman" w:hAnsi="Times New Roman"/>
          <w:lang w:val="es-ES"/>
        </w:rPr>
        <w:t>)</w:t>
      </w:r>
      <w:r w:rsidR="00B1436B" w:rsidRPr="00E909DB">
        <w:rPr>
          <w:lang w:val="es-ES"/>
        </w:rPr>
        <w:tab/>
      </w:r>
      <w:r w:rsidR="00AD1746" w:rsidRPr="00E909DB">
        <w:rPr>
          <w:rFonts w:ascii="Times New Roman" w:hAnsi="Times New Roman"/>
          <w:sz w:val="20"/>
          <w:szCs w:val="20"/>
          <w:lang w:val="es-ES"/>
        </w:rPr>
        <w:t>La superficie que abarca la diversidad biológica y los servicios de los ecosistemas y las tendencias en la pérdida de ambos</w:t>
      </w:r>
      <w:r w:rsidR="000F47EE" w:rsidRPr="00E909DB">
        <w:rPr>
          <w:rFonts w:ascii="Times New Roman" w:hAnsi="Times New Roman"/>
          <w:sz w:val="20"/>
          <w:szCs w:val="20"/>
          <w:lang w:val="es-ES"/>
        </w:rPr>
        <w:t>, la</w:t>
      </w:r>
      <w:r w:rsidR="00AD1746" w:rsidRPr="00E909DB">
        <w:rPr>
          <w:rFonts w:ascii="Times New Roman" w:hAnsi="Times New Roman"/>
          <w:sz w:val="20"/>
          <w:szCs w:val="20"/>
          <w:lang w:val="es-ES"/>
        </w:rPr>
        <w:t xml:space="preserve"> </w:t>
      </w:r>
      <w:r w:rsidR="000F47EE" w:rsidRPr="00E909DB">
        <w:rPr>
          <w:rFonts w:ascii="Times New Roman" w:hAnsi="Times New Roman"/>
          <w:sz w:val="20"/>
          <w:szCs w:val="20"/>
          <w:lang w:val="es-ES"/>
        </w:rPr>
        <w:t>degrada</w:t>
      </w:r>
      <w:r w:rsidR="00AD1746" w:rsidRPr="00E909DB">
        <w:rPr>
          <w:rFonts w:ascii="Times New Roman" w:hAnsi="Times New Roman"/>
          <w:sz w:val="20"/>
          <w:szCs w:val="20"/>
          <w:lang w:val="es-ES"/>
        </w:rPr>
        <w:t xml:space="preserve">ción de la tierra y la pérdida de alimentos y la seguridad de los medios de subsistencia como consecuencia </w:t>
      </w:r>
      <w:r w:rsidR="00EB5A5D">
        <w:rPr>
          <w:rFonts w:ascii="Times New Roman" w:hAnsi="Times New Roman"/>
          <w:sz w:val="20"/>
          <w:szCs w:val="20"/>
          <w:lang w:val="es-ES"/>
        </w:rPr>
        <w:t xml:space="preserve">del impacto </w:t>
      </w:r>
      <w:r w:rsidR="00AD1746" w:rsidRPr="00E909DB">
        <w:rPr>
          <w:rFonts w:ascii="Times New Roman" w:hAnsi="Times New Roman"/>
          <w:sz w:val="20"/>
          <w:szCs w:val="20"/>
          <w:lang w:val="es-ES"/>
        </w:rPr>
        <w:t>de la</w:t>
      </w:r>
      <w:r w:rsidR="00EB5A5D">
        <w:rPr>
          <w:rFonts w:ascii="Times New Roman" w:hAnsi="Times New Roman"/>
          <w:sz w:val="20"/>
          <w:szCs w:val="20"/>
          <w:lang w:val="es-ES"/>
        </w:rPr>
        <w:t>s</w:t>
      </w:r>
      <w:r w:rsidR="00AD1746" w:rsidRPr="00E909DB">
        <w:rPr>
          <w:rFonts w:ascii="Times New Roman" w:hAnsi="Times New Roman"/>
          <w:sz w:val="20"/>
          <w:szCs w:val="20"/>
          <w:lang w:val="es-ES"/>
        </w:rPr>
        <w:t xml:space="preserve"> especies exóticas invasoras en todas las </w:t>
      </w:r>
      <w:r w:rsidR="00A7519F" w:rsidRPr="00E909DB">
        <w:rPr>
          <w:rFonts w:ascii="Times New Roman" w:hAnsi="Times New Roman"/>
          <w:sz w:val="20"/>
          <w:szCs w:val="20"/>
          <w:lang w:val="es-ES"/>
        </w:rPr>
        <w:t>regiones</w:t>
      </w:r>
      <w:r w:rsidR="00AD1746" w:rsidRPr="00E909DB">
        <w:rPr>
          <w:rFonts w:ascii="Times New Roman" w:hAnsi="Times New Roman"/>
          <w:sz w:val="20"/>
          <w:szCs w:val="20"/>
          <w:lang w:val="es-ES"/>
        </w:rPr>
        <w:t xml:space="preserve"> y </w:t>
      </w:r>
      <w:r w:rsidR="000F47EE" w:rsidRPr="00E909DB">
        <w:rPr>
          <w:rFonts w:ascii="Times New Roman" w:hAnsi="Times New Roman"/>
          <w:sz w:val="20"/>
          <w:szCs w:val="20"/>
          <w:lang w:val="es-ES"/>
        </w:rPr>
        <w:t>subregion</w:t>
      </w:r>
      <w:r w:rsidR="00AD1746" w:rsidRPr="00E909DB">
        <w:rPr>
          <w:rFonts w:ascii="Times New Roman" w:hAnsi="Times New Roman"/>
          <w:sz w:val="20"/>
          <w:szCs w:val="20"/>
          <w:lang w:val="es-ES"/>
        </w:rPr>
        <w:t>e</w:t>
      </w:r>
      <w:r w:rsidR="000F47EE" w:rsidRPr="00E909DB">
        <w:rPr>
          <w:rFonts w:ascii="Times New Roman" w:hAnsi="Times New Roman"/>
          <w:sz w:val="20"/>
          <w:szCs w:val="20"/>
          <w:lang w:val="es-ES"/>
        </w:rPr>
        <w:t>s</w:t>
      </w:r>
      <w:r w:rsidR="005A41BC" w:rsidRPr="00E909DB">
        <w:rPr>
          <w:rFonts w:ascii="Times New Roman" w:hAnsi="Times New Roman"/>
          <w:sz w:val="20"/>
          <w:szCs w:val="20"/>
          <w:lang w:val="es-ES"/>
        </w:rPr>
        <w:t xml:space="preserve">; </w:t>
      </w:r>
    </w:p>
    <w:p w:rsidR="000F47EE" w:rsidRPr="00E909DB" w:rsidRDefault="00F74389"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lastRenderedPageBreak/>
        <w:t>b</w:t>
      </w:r>
      <w:r w:rsidR="00316B33" w:rsidRPr="00E909DB">
        <w:rPr>
          <w:rFonts w:ascii="Times New Roman" w:hAnsi="Times New Roman"/>
          <w:sz w:val="20"/>
          <w:szCs w:val="20"/>
          <w:lang w:val="es-ES"/>
        </w:rPr>
        <w:t>)</w:t>
      </w:r>
      <w:r w:rsidR="00B1436B" w:rsidRPr="00E909DB">
        <w:rPr>
          <w:lang w:val="es-ES"/>
        </w:rPr>
        <w:tab/>
      </w:r>
      <w:r w:rsidR="00B34768" w:rsidRPr="00E909DB">
        <w:rPr>
          <w:rFonts w:ascii="Times New Roman" w:hAnsi="Times New Roman"/>
          <w:sz w:val="20"/>
          <w:szCs w:val="20"/>
          <w:lang w:val="es-ES"/>
        </w:rPr>
        <w:t>Evaluación de los umbrales y</w:t>
      </w:r>
      <w:r w:rsidR="003B404D" w:rsidRPr="00E909DB">
        <w:rPr>
          <w:rFonts w:ascii="Times New Roman" w:hAnsi="Times New Roman"/>
          <w:sz w:val="20"/>
          <w:szCs w:val="20"/>
          <w:lang w:val="es-ES"/>
        </w:rPr>
        <w:t xml:space="preserve"> </w:t>
      </w:r>
      <w:r w:rsidR="00D32C27" w:rsidRPr="00E909DB">
        <w:rPr>
          <w:rFonts w:ascii="Times New Roman" w:hAnsi="Times New Roman"/>
          <w:sz w:val="20"/>
          <w:szCs w:val="20"/>
          <w:lang w:val="es-ES"/>
        </w:rPr>
        <w:t xml:space="preserve">la escala de cambios </w:t>
      </w:r>
      <w:r w:rsidR="000F47EE" w:rsidRPr="00E909DB">
        <w:rPr>
          <w:rFonts w:ascii="Times New Roman" w:hAnsi="Times New Roman"/>
          <w:sz w:val="20"/>
          <w:szCs w:val="20"/>
          <w:lang w:val="es-ES"/>
        </w:rPr>
        <w:t>(</w:t>
      </w:r>
      <w:r w:rsidR="00D32C27" w:rsidRPr="00E909DB">
        <w:rPr>
          <w:rFonts w:ascii="Times New Roman" w:hAnsi="Times New Roman"/>
          <w:sz w:val="20"/>
          <w:szCs w:val="20"/>
          <w:lang w:val="es-ES"/>
        </w:rPr>
        <w:t xml:space="preserve">tanto positivos </w:t>
      </w:r>
      <w:r w:rsidR="00A7519F" w:rsidRPr="00E909DB">
        <w:rPr>
          <w:rFonts w:ascii="Times New Roman" w:hAnsi="Times New Roman"/>
          <w:sz w:val="20"/>
          <w:szCs w:val="20"/>
          <w:lang w:val="es-ES"/>
        </w:rPr>
        <w:t>como negativos</w:t>
      </w:r>
      <w:r w:rsidR="000F47EE" w:rsidRPr="00E909DB">
        <w:rPr>
          <w:rFonts w:ascii="Times New Roman" w:hAnsi="Times New Roman"/>
          <w:sz w:val="20"/>
          <w:szCs w:val="20"/>
          <w:lang w:val="es-ES"/>
        </w:rPr>
        <w:t>), inclu</w:t>
      </w:r>
      <w:r w:rsidR="00D32C27" w:rsidRPr="00E909DB">
        <w:rPr>
          <w:rFonts w:ascii="Times New Roman" w:hAnsi="Times New Roman"/>
          <w:sz w:val="20"/>
          <w:szCs w:val="20"/>
          <w:lang w:val="es-ES"/>
        </w:rPr>
        <w:t>ida la llegada reciente de nuevas especies exóticas invasoras</w:t>
      </w:r>
      <w:r w:rsidR="005A41BC" w:rsidRPr="00E909DB">
        <w:rPr>
          <w:rFonts w:ascii="Times New Roman" w:hAnsi="Times New Roman"/>
          <w:sz w:val="20"/>
          <w:szCs w:val="20"/>
          <w:lang w:val="es-ES"/>
        </w:rPr>
        <w:t>;</w:t>
      </w:r>
    </w:p>
    <w:p w:rsidR="000F47EE" w:rsidRPr="00E909DB" w:rsidRDefault="00F74389"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c</w:t>
      </w:r>
      <w:r w:rsidR="00316B33" w:rsidRPr="00E909DB">
        <w:rPr>
          <w:rFonts w:ascii="Times New Roman" w:hAnsi="Times New Roman"/>
          <w:sz w:val="20"/>
          <w:szCs w:val="20"/>
          <w:lang w:val="es-ES"/>
        </w:rPr>
        <w:t>)</w:t>
      </w:r>
      <w:r w:rsidR="00316B33" w:rsidRPr="00E909DB">
        <w:rPr>
          <w:rFonts w:ascii="Times New Roman" w:hAnsi="Times New Roman"/>
          <w:sz w:val="20"/>
          <w:szCs w:val="20"/>
          <w:lang w:val="es-ES"/>
        </w:rPr>
        <w:tab/>
      </w:r>
      <w:r w:rsidR="003B404D" w:rsidRPr="00E909DB">
        <w:rPr>
          <w:rFonts w:ascii="Times New Roman" w:hAnsi="Times New Roman"/>
          <w:sz w:val="20"/>
          <w:szCs w:val="20"/>
          <w:lang w:val="es-ES"/>
        </w:rPr>
        <w:t>Armonización de la información existente con los conocimientos indígenas y locales</w:t>
      </w:r>
      <w:r w:rsidRPr="00E909DB">
        <w:rPr>
          <w:rFonts w:ascii="Times New Roman" w:hAnsi="Times New Roman"/>
          <w:sz w:val="20"/>
          <w:szCs w:val="20"/>
          <w:lang w:val="es-ES"/>
        </w:rPr>
        <w:t>.</w:t>
      </w:r>
    </w:p>
    <w:p w:rsidR="000F47EE" w:rsidRPr="00E909DB" w:rsidRDefault="005E6C53"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Capítulo</w:t>
      </w:r>
      <w:r w:rsidR="000F47EE" w:rsidRPr="00E909DB">
        <w:rPr>
          <w:lang w:val="es-ES"/>
        </w:rPr>
        <w:t xml:space="preserve"> 3</w:t>
      </w:r>
      <w:r w:rsidR="009029AF" w:rsidRPr="00E909DB">
        <w:rPr>
          <w:lang w:val="es-ES"/>
        </w:rPr>
        <w:t>.</w:t>
      </w:r>
      <w:r w:rsidR="000F47EE" w:rsidRPr="00E909DB">
        <w:rPr>
          <w:lang w:val="es-ES"/>
        </w:rPr>
        <w:t xml:space="preserve"> </w:t>
      </w:r>
      <w:r w:rsidR="003B404D" w:rsidRPr="00E909DB">
        <w:rPr>
          <w:lang w:val="es-ES"/>
        </w:rPr>
        <w:t xml:space="preserve">Evaluación </w:t>
      </w:r>
      <w:r w:rsidR="00EB5A5D">
        <w:rPr>
          <w:lang w:val="es-ES"/>
        </w:rPr>
        <w:t xml:space="preserve">mundial </w:t>
      </w:r>
      <w:r w:rsidR="003B404D" w:rsidRPr="00E909DB">
        <w:rPr>
          <w:lang w:val="es-ES"/>
        </w:rPr>
        <w:t xml:space="preserve">de los elementos impulsores directos e indirectos </w:t>
      </w:r>
      <w:r w:rsidR="00A7519F" w:rsidRPr="00E909DB">
        <w:rPr>
          <w:lang w:val="es-ES"/>
        </w:rPr>
        <w:t>responsable</w:t>
      </w:r>
      <w:r w:rsidR="00EB5A5D">
        <w:rPr>
          <w:lang w:val="es-ES"/>
        </w:rPr>
        <w:t>s</w:t>
      </w:r>
      <w:r w:rsidR="00C646A4">
        <w:rPr>
          <w:lang w:val="es-ES"/>
        </w:rPr>
        <w:t xml:space="preserve"> del </w:t>
      </w:r>
      <w:r w:rsidR="00705EC4" w:rsidRPr="00E909DB">
        <w:rPr>
          <w:lang w:val="es-ES"/>
        </w:rPr>
        <w:t>creciente número e impacto de las especies exóticas invasoras.</w:t>
      </w:r>
      <w:r w:rsidR="00ED548F">
        <w:rPr>
          <w:lang w:val="es-ES"/>
        </w:rPr>
        <w:t xml:space="preserve"> </w:t>
      </w:r>
      <w:r w:rsidR="00705EC4" w:rsidRPr="00E909DB">
        <w:rPr>
          <w:lang w:val="es-ES"/>
        </w:rPr>
        <w:t>Se tratará de un análisis crític</w:t>
      </w:r>
      <w:r w:rsidR="00C646A4">
        <w:rPr>
          <w:lang w:val="es-ES"/>
        </w:rPr>
        <w:t>o que </w:t>
      </w:r>
      <w:r w:rsidR="00280314" w:rsidRPr="00E909DB">
        <w:rPr>
          <w:lang w:val="es-ES"/>
        </w:rPr>
        <w:t>abarcará</w:t>
      </w:r>
      <w:r w:rsidR="000F47EE" w:rsidRPr="00E909DB">
        <w:rPr>
          <w:lang w:val="es-ES"/>
        </w:rPr>
        <w:t xml:space="preserve">: </w:t>
      </w:r>
    </w:p>
    <w:p w:rsidR="000F47EE" w:rsidRPr="00E909DB"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a)</w:t>
      </w:r>
      <w:r w:rsidRPr="00E909DB">
        <w:rPr>
          <w:rFonts w:ascii="Times New Roman" w:hAnsi="Times New Roman"/>
          <w:sz w:val="20"/>
          <w:szCs w:val="20"/>
          <w:lang w:val="es-ES"/>
        </w:rPr>
        <w:tab/>
      </w:r>
      <w:r w:rsidR="00705EC4" w:rsidRPr="00E909DB">
        <w:rPr>
          <w:rFonts w:ascii="Times New Roman" w:hAnsi="Times New Roman"/>
          <w:sz w:val="20"/>
          <w:szCs w:val="20"/>
          <w:lang w:val="es-ES"/>
        </w:rPr>
        <w:t>Una evaluació</w:t>
      </w:r>
      <w:r w:rsidR="00280314" w:rsidRPr="00E909DB">
        <w:rPr>
          <w:rFonts w:ascii="Times New Roman" w:hAnsi="Times New Roman"/>
          <w:sz w:val="20"/>
          <w:szCs w:val="20"/>
          <w:lang w:val="es-ES"/>
        </w:rPr>
        <w:t>n</w:t>
      </w:r>
      <w:r w:rsidR="00705EC4" w:rsidRPr="00E909DB">
        <w:rPr>
          <w:rFonts w:ascii="Times New Roman" w:hAnsi="Times New Roman"/>
          <w:sz w:val="20"/>
          <w:szCs w:val="20"/>
          <w:lang w:val="es-ES"/>
        </w:rPr>
        <w:t xml:space="preserve"> de los impulsores indirectos del </w:t>
      </w:r>
      <w:r w:rsidR="00A7519F" w:rsidRPr="00E909DB">
        <w:rPr>
          <w:rFonts w:ascii="Times New Roman" w:hAnsi="Times New Roman"/>
          <w:sz w:val="20"/>
          <w:szCs w:val="20"/>
          <w:lang w:val="es-ES"/>
        </w:rPr>
        <w:t>cambio</w:t>
      </w:r>
      <w:r w:rsidR="00705EC4" w:rsidRPr="00E909DB">
        <w:rPr>
          <w:rFonts w:ascii="Times New Roman" w:hAnsi="Times New Roman"/>
          <w:sz w:val="20"/>
          <w:szCs w:val="20"/>
          <w:lang w:val="es-ES"/>
        </w:rPr>
        <w:t>, tales como un mayor movimiento de mercancías y otros materiales por aire, mar y tierra,</w:t>
      </w:r>
      <w:r w:rsidR="00ED548F">
        <w:rPr>
          <w:rFonts w:ascii="Times New Roman" w:hAnsi="Times New Roman"/>
          <w:sz w:val="20"/>
          <w:szCs w:val="20"/>
          <w:lang w:val="es-ES"/>
        </w:rPr>
        <w:t xml:space="preserve"> </w:t>
      </w:r>
      <w:r w:rsidR="00705EC4" w:rsidRPr="00E909DB">
        <w:rPr>
          <w:rFonts w:ascii="Times New Roman" w:hAnsi="Times New Roman"/>
          <w:sz w:val="20"/>
          <w:szCs w:val="20"/>
          <w:lang w:val="es-ES"/>
        </w:rPr>
        <w:t xml:space="preserve">las políticas comerciales y </w:t>
      </w:r>
      <w:r w:rsidR="00A7519F" w:rsidRPr="00E909DB">
        <w:rPr>
          <w:rFonts w:ascii="Times New Roman" w:hAnsi="Times New Roman"/>
          <w:sz w:val="20"/>
          <w:szCs w:val="20"/>
          <w:lang w:val="es-ES"/>
        </w:rPr>
        <w:t>agrícolas, entre</w:t>
      </w:r>
      <w:r w:rsidR="00705EC4" w:rsidRPr="00E909DB">
        <w:rPr>
          <w:rFonts w:ascii="Times New Roman" w:hAnsi="Times New Roman"/>
          <w:sz w:val="20"/>
          <w:szCs w:val="20"/>
          <w:lang w:val="es-ES"/>
        </w:rPr>
        <w:t xml:space="preserve"> otras aumentar el monocultivo y la plantación de bosques de especies potencialmente invasoras y la propagación de especies consideradas útiles por las comunidades locales </w:t>
      </w:r>
      <w:r w:rsidR="00280314" w:rsidRPr="00E909DB">
        <w:rPr>
          <w:rFonts w:ascii="Times New Roman" w:hAnsi="Times New Roman"/>
          <w:sz w:val="20"/>
          <w:szCs w:val="20"/>
          <w:lang w:val="es-ES"/>
        </w:rPr>
        <w:t>para su uso como leña y otros usos</w:t>
      </w:r>
      <w:r w:rsidR="00837DA8" w:rsidRPr="00E909DB">
        <w:rPr>
          <w:rFonts w:ascii="Times New Roman" w:hAnsi="Times New Roman"/>
          <w:sz w:val="20"/>
          <w:szCs w:val="20"/>
          <w:lang w:val="es-ES"/>
        </w:rPr>
        <w:t>;</w:t>
      </w:r>
    </w:p>
    <w:p w:rsidR="000F47EE" w:rsidRPr="00E909DB"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b)</w:t>
      </w:r>
      <w:r w:rsidRPr="00E909DB">
        <w:rPr>
          <w:rFonts w:ascii="Times New Roman" w:hAnsi="Times New Roman"/>
          <w:sz w:val="20"/>
          <w:szCs w:val="20"/>
          <w:lang w:val="es-ES"/>
        </w:rPr>
        <w:tab/>
      </w:r>
      <w:r w:rsidR="00280314" w:rsidRPr="00E909DB">
        <w:rPr>
          <w:rFonts w:ascii="Times New Roman" w:hAnsi="Times New Roman"/>
          <w:sz w:val="20"/>
          <w:szCs w:val="20"/>
          <w:lang w:val="es-ES"/>
        </w:rPr>
        <w:t>El cambio climático,</w:t>
      </w:r>
      <w:r w:rsidR="00ED548F">
        <w:rPr>
          <w:rFonts w:ascii="Times New Roman" w:hAnsi="Times New Roman"/>
          <w:sz w:val="20"/>
          <w:szCs w:val="20"/>
          <w:lang w:val="es-ES"/>
        </w:rPr>
        <w:t xml:space="preserve"> </w:t>
      </w:r>
      <w:r w:rsidR="00280314" w:rsidRPr="00E909DB">
        <w:rPr>
          <w:rFonts w:ascii="Times New Roman" w:hAnsi="Times New Roman"/>
          <w:sz w:val="20"/>
          <w:szCs w:val="20"/>
          <w:lang w:val="es-ES"/>
        </w:rPr>
        <w:t xml:space="preserve">que se prevé aumentará el ritmo e impacto de las invasiones </w:t>
      </w:r>
      <w:r w:rsidR="00EB5A5D">
        <w:rPr>
          <w:rFonts w:ascii="Times New Roman" w:hAnsi="Times New Roman"/>
          <w:sz w:val="20"/>
          <w:szCs w:val="20"/>
          <w:lang w:val="es-ES"/>
        </w:rPr>
        <w:t xml:space="preserve">de especies exóticas invasoras </w:t>
      </w:r>
      <w:r w:rsidR="00280314" w:rsidRPr="00E909DB">
        <w:rPr>
          <w:rFonts w:ascii="Times New Roman" w:hAnsi="Times New Roman"/>
          <w:sz w:val="20"/>
          <w:szCs w:val="20"/>
          <w:lang w:val="es-ES"/>
        </w:rPr>
        <w:t>en varias regiones del mundo</w:t>
      </w:r>
      <w:r w:rsidR="00837DA8" w:rsidRPr="00E909DB">
        <w:rPr>
          <w:rFonts w:ascii="Times New Roman" w:hAnsi="Times New Roman"/>
          <w:sz w:val="20"/>
          <w:szCs w:val="20"/>
          <w:lang w:val="es-ES"/>
        </w:rPr>
        <w:t>;</w:t>
      </w:r>
      <w:r w:rsidR="000F47EE" w:rsidRPr="00E909DB">
        <w:rPr>
          <w:rFonts w:ascii="Times New Roman" w:hAnsi="Times New Roman"/>
          <w:sz w:val="20"/>
          <w:szCs w:val="20"/>
          <w:lang w:val="es-ES"/>
        </w:rPr>
        <w:t xml:space="preserve"> </w:t>
      </w:r>
    </w:p>
    <w:p w:rsidR="000F47EE" w:rsidRPr="00E909DB"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c)</w:t>
      </w:r>
      <w:r w:rsidRPr="00E909DB">
        <w:rPr>
          <w:rFonts w:ascii="Times New Roman" w:hAnsi="Times New Roman"/>
          <w:sz w:val="20"/>
          <w:szCs w:val="20"/>
          <w:lang w:val="es-ES"/>
        </w:rPr>
        <w:tab/>
      </w:r>
      <w:r w:rsidR="00280314" w:rsidRPr="00E909DB">
        <w:rPr>
          <w:rFonts w:ascii="Times New Roman" w:hAnsi="Times New Roman"/>
          <w:sz w:val="20"/>
          <w:szCs w:val="20"/>
          <w:lang w:val="es-ES"/>
        </w:rPr>
        <w:t xml:space="preserve">Los procedimientos inadecuados de concienciación y biocustodia internacional y nacional, incluida </w:t>
      </w:r>
      <w:r w:rsidR="00A7519F" w:rsidRPr="00E909DB">
        <w:rPr>
          <w:rFonts w:ascii="Times New Roman" w:hAnsi="Times New Roman"/>
          <w:sz w:val="20"/>
          <w:szCs w:val="20"/>
          <w:lang w:val="es-ES"/>
        </w:rPr>
        <w:t>una</w:t>
      </w:r>
      <w:r w:rsidR="00280314" w:rsidRPr="00E909DB">
        <w:rPr>
          <w:rFonts w:ascii="Times New Roman" w:hAnsi="Times New Roman"/>
          <w:sz w:val="20"/>
          <w:szCs w:val="20"/>
          <w:lang w:val="es-ES"/>
        </w:rPr>
        <w:t xml:space="preserve"> </w:t>
      </w:r>
      <w:r w:rsidR="00A7519F" w:rsidRPr="00E909DB">
        <w:rPr>
          <w:rFonts w:ascii="Times New Roman" w:hAnsi="Times New Roman"/>
          <w:sz w:val="20"/>
          <w:szCs w:val="20"/>
          <w:lang w:val="es-ES"/>
        </w:rPr>
        <w:t>evaluación</w:t>
      </w:r>
      <w:r w:rsidR="00280314" w:rsidRPr="00E909DB">
        <w:rPr>
          <w:rFonts w:ascii="Times New Roman" w:hAnsi="Times New Roman"/>
          <w:sz w:val="20"/>
          <w:szCs w:val="20"/>
          <w:lang w:val="es-ES"/>
        </w:rPr>
        <w:t xml:space="preserve"> de los elementos impulsores directos que traen como resultado un aumento del predominio de las especies exóticas invasoras, tales</w:t>
      </w:r>
      <w:r w:rsidR="00ED548F">
        <w:rPr>
          <w:rFonts w:ascii="Times New Roman" w:hAnsi="Times New Roman"/>
          <w:sz w:val="20"/>
          <w:szCs w:val="20"/>
          <w:lang w:val="es-ES"/>
        </w:rPr>
        <w:t xml:space="preserve"> </w:t>
      </w:r>
      <w:r w:rsidR="00B049E9">
        <w:rPr>
          <w:rFonts w:ascii="Times New Roman" w:hAnsi="Times New Roman"/>
          <w:sz w:val="20"/>
          <w:szCs w:val="20"/>
          <w:lang w:val="es-ES"/>
        </w:rPr>
        <w:t xml:space="preserve">como </w:t>
      </w:r>
      <w:r w:rsidR="00280314" w:rsidRPr="00E909DB">
        <w:rPr>
          <w:rFonts w:ascii="Times New Roman" w:hAnsi="Times New Roman"/>
          <w:sz w:val="20"/>
          <w:szCs w:val="20"/>
          <w:lang w:val="es-ES"/>
        </w:rPr>
        <w:t xml:space="preserve">los cambios en el uso de la tierra y la degradación, que favorecen la invasión </w:t>
      </w:r>
      <w:r w:rsidR="00EB5A5D">
        <w:rPr>
          <w:rFonts w:ascii="Times New Roman" w:hAnsi="Times New Roman"/>
          <w:sz w:val="20"/>
          <w:szCs w:val="20"/>
          <w:lang w:val="es-ES"/>
        </w:rPr>
        <w:t xml:space="preserve">de esas especies </w:t>
      </w:r>
      <w:r w:rsidR="00280314" w:rsidRPr="00E909DB">
        <w:rPr>
          <w:rFonts w:ascii="Times New Roman" w:hAnsi="Times New Roman"/>
          <w:sz w:val="20"/>
          <w:szCs w:val="20"/>
          <w:lang w:val="es-ES"/>
        </w:rPr>
        <w:t>y el uso de plaguicidas</w:t>
      </w:r>
      <w:r w:rsidR="00DB76E8" w:rsidRPr="00E909DB">
        <w:rPr>
          <w:rFonts w:ascii="Times New Roman" w:hAnsi="Times New Roman"/>
          <w:sz w:val="20"/>
          <w:szCs w:val="20"/>
          <w:lang w:val="es-ES"/>
        </w:rPr>
        <w:t>.</w:t>
      </w:r>
    </w:p>
    <w:p w:rsidR="000F47EE" w:rsidRPr="00E909DB" w:rsidRDefault="005E6C53"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Capítulo</w:t>
      </w:r>
      <w:r w:rsidR="000F47EE" w:rsidRPr="00E909DB">
        <w:rPr>
          <w:lang w:val="es-ES"/>
        </w:rPr>
        <w:t xml:space="preserve"> 4</w:t>
      </w:r>
      <w:r w:rsidR="009029AF" w:rsidRPr="00E909DB">
        <w:rPr>
          <w:lang w:val="es-ES"/>
        </w:rPr>
        <w:t>.</w:t>
      </w:r>
      <w:r w:rsidR="000F47EE" w:rsidRPr="00E909DB">
        <w:rPr>
          <w:lang w:val="es-ES"/>
        </w:rPr>
        <w:t xml:space="preserve"> </w:t>
      </w:r>
      <w:r w:rsidR="00394AAA" w:rsidRPr="00E909DB">
        <w:rPr>
          <w:lang w:val="es-ES"/>
        </w:rPr>
        <w:t>Una evaluación mundial de los costos que acarrean las especies exóticas invasoras desde el punto de vista ambiental, econó</w:t>
      </w:r>
      <w:r w:rsidR="000F47EE" w:rsidRPr="00E909DB">
        <w:rPr>
          <w:lang w:val="es-ES"/>
        </w:rPr>
        <w:t>mic</w:t>
      </w:r>
      <w:r w:rsidR="00394AAA" w:rsidRPr="00E909DB">
        <w:rPr>
          <w:lang w:val="es-ES"/>
        </w:rPr>
        <w:t xml:space="preserve">o y social, con especial hincapié en su impacto </w:t>
      </w:r>
      <w:r w:rsidR="00A7519F" w:rsidRPr="00E909DB">
        <w:rPr>
          <w:lang w:val="es-ES"/>
        </w:rPr>
        <w:t>sobre</w:t>
      </w:r>
      <w:r w:rsidR="00394AAA" w:rsidRPr="00E909DB">
        <w:rPr>
          <w:lang w:val="es-ES"/>
        </w:rPr>
        <w:t xml:space="preserve"> la diversidad biológica y los servicios de los ecosistemas, incluidos valores no económicos, por ejemplo, valores culturales, sociales y compartidos, recreativos, científicos, espirituales y estéticos.</w:t>
      </w:r>
      <w:r w:rsidR="000F47EE" w:rsidRPr="00E909DB">
        <w:rPr>
          <w:lang w:val="es-ES"/>
        </w:rPr>
        <w:t xml:space="preserve"> </w:t>
      </w:r>
      <w:r w:rsidR="00394AAA" w:rsidRPr="00E909DB">
        <w:rPr>
          <w:lang w:val="es-ES"/>
        </w:rPr>
        <w:t>Ello incluirá estudios de casos acerca del impacto de las especies exóticas invasoras en la diversidad biológica, los servicios de los ecosistemas, los alimentos, la salud</w:t>
      </w:r>
      <w:r w:rsidR="00ED548F">
        <w:rPr>
          <w:lang w:val="es-ES"/>
        </w:rPr>
        <w:t>,</w:t>
      </w:r>
      <w:r w:rsidR="00394AAA" w:rsidRPr="00E909DB">
        <w:rPr>
          <w:lang w:val="es-ES"/>
        </w:rPr>
        <w:t xml:space="preserve"> la seguridad de los medios de subsistencia y las opciones normativas a escala mundial y regional</w:t>
      </w:r>
      <w:r w:rsidR="00DB76E8" w:rsidRPr="00E909DB">
        <w:rPr>
          <w:lang w:val="es-ES"/>
        </w:rPr>
        <w:t>.</w:t>
      </w:r>
    </w:p>
    <w:p w:rsidR="000F47EE" w:rsidRPr="00E909DB" w:rsidRDefault="005E6C53"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909DB">
        <w:rPr>
          <w:lang w:val="es-ES"/>
        </w:rPr>
        <w:t>Capítulo</w:t>
      </w:r>
      <w:r w:rsidR="000F47EE" w:rsidRPr="00E909DB">
        <w:rPr>
          <w:lang w:val="es-ES"/>
        </w:rPr>
        <w:t xml:space="preserve"> 5</w:t>
      </w:r>
      <w:r w:rsidR="009029AF" w:rsidRPr="00E909DB">
        <w:rPr>
          <w:lang w:val="es-ES"/>
        </w:rPr>
        <w:t>.</w:t>
      </w:r>
      <w:r w:rsidR="000F47EE" w:rsidRPr="00E909DB">
        <w:rPr>
          <w:lang w:val="es-ES"/>
        </w:rPr>
        <w:t xml:space="preserve"> </w:t>
      </w:r>
      <w:r w:rsidR="00394AAA" w:rsidRPr="00E909DB">
        <w:rPr>
          <w:lang w:val="es-ES"/>
        </w:rPr>
        <w:t>Examen de los arreglos institucionales, las opciones y los programas vigentes, incluida su eficacia,</w:t>
      </w:r>
      <w:r w:rsidR="00ED548F">
        <w:rPr>
          <w:lang w:val="es-ES"/>
        </w:rPr>
        <w:t xml:space="preserve"> </w:t>
      </w:r>
      <w:r w:rsidR="00394AAA" w:rsidRPr="00E909DB">
        <w:rPr>
          <w:lang w:val="es-ES"/>
        </w:rPr>
        <w:t>relaci</w:t>
      </w:r>
      <w:r w:rsidR="00ED548F">
        <w:rPr>
          <w:lang w:val="es-ES"/>
        </w:rPr>
        <w:t>onado</w:t>
      </w:r>
      <w:r w:rsidR="00EB5A5D">
        <w:rPr>
          <w:lang w:val="es-ES"/>
        </w:rPr>
        <w:t xml:space="preserve">s </w:t>
      </w:r>
      <w:r w:rsidR="00394AAA" w:rsidRPr="00E909DB">
        <w:rPr>
          <w:lang w:val="es-ES"/>
        </w:rPr>
        <w:t xml:space="preserve">con el manejo de las especies exóticas invasoras a niveles mundial, nacional y local, con inclusión de los métodos puestos en práctica antes y después de las fronteras para fortalecer la biocustodia y fomentar la concienciación acerca de las cuestiones relacionadas con las especies exóticas invasoras. Este examen se basará en una evaluación </w:t>
      </w:r>
      <w:r w:rsidR="00F72B47" w:rsidRPr="00E909DB">
        <w:rPr>
          <w:lang w:val="es-ES"/>
        </w:rPr>
        <w:t>de las mejores prácticas y la eficacia de los programas en curso para abordar los riesgos, incluidas medidas nacionales de cuarentena</w:t>
      </w:r>
      <w:r w:rsidR="000F47EE" w:rsidRPr="00E909DB">
        <w:rPr>
          <w:lang w:val="es-ES"/>
        </w:rPr>
        <w:t xml:space="preserve">. </w:t>
      </w:r>
      <w:r w:rsidR="00F72B47" w:rsidRPr="00E909DB">
        <w:rPr>
          <w:lang w:val="es-ES"/>
        </w:rPr>
        <w:t>En este c</w:t>
      </w:r>
      <w:r w:rsidRPr="00E909DB">
        <w:rPr>
          <w:lang w:val="es-ES"/>
        </w:rPr>
        <w:t>apítulo</w:t>
      </w:r>
      <w:r w:rsidR="000F47EE" w:rsidRPr="00E909DB">
        <w:rPr>
          <w:lang w:val="es-ES"/>
        </w:rPr>
        <w:t xml:space="preserve"> </w:t>
      </w:r>
      <w:r w:rsidR="00F72B47" w:rsidRPr="00E909DB">
        <w:rPr>
          <w:lang w:val="es-ES"/>
        </w:rPr>
        <w:t>se considerarán y analizarán las opciones para</w:t>
      </w:r>
      <w:r w:rsidR="000F47EE" w:rsidRPr="00E909DB">
        <w:rPr>
          <w:lang w:val="es-ES"/>
        </w:rPr>
        <w:t xml:space="preserve">: </w:t>
      </w:r>
    </w:p>
    <w:p w:rsidR="000F47EE" w:rsidRPr="00E909DB"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a)</w:t>
      </w:r>
      <w:r w:rsidRPr="00E909DB">
        <w:rPr>
          <w:rFonts w:ascii="Times New Roman" w:hAnsi="Times New Roman"/>
          <w:sz w:val="20"/>
          <w:szCs w:val="20"/>
          <w:lang w:val="es-ES"/>
        </w:rPr>
        <w:tab/>
        <w:t>Preven</w:t>
      </w:r>
      <w:r w:rsidR="00F72B47" w:rsidRPr="00E909DB">
        <w:rPr>
          <w:rFonts w:ascii="Times New Roman" w:hAnsi="Times New Roman"/>
          <w:sz w:val="20"/>
          <w:szCs w:val="20"/>
          <w:lang w:val="es-ES"/>
        </w:rPr>
        <w:t>ir la propagación internacional e intranacional de especies exóticas invasoras, incluida la posible función del Convenio sobre la Diversidad Biológica</w:t>
      </w:r>
      <w:r w:rsidR="000F47EE" w:rsidRPr="00E909DB">
        <w:rPr>
          <w:rFonts w:ascii="Times New Roman" w:hAnsi="Times New Roman"/>
          <w:sz w:val="20"/>
          <w:szCs w:val="20"/>
          <w:lang w:val="es-ES"/>
        </w:rPr>
        <w:t>;</w:t>
      </w:r>
    </w:p>
    <w:p w:rsidR="00BA561C" w:rsidRPr="00EB5A5D" w:rsidRDefault="00316B33" w:rsidP="008D76C0">
      <w:pPr>
        <w:spacing w:after="120" w:line="240" w:lineRule="auto"/>
        <w:ind w:left="1247" w:firstLine="624"/>
        <w:rPr>
          <w:rFonts w:ascii="Times New Roman" w:hAnsi="Times New Roman"/>
          <w:sz w:val="20"/>
          <w:szCs w:val="20"/>
          <w:lang w:val="es-ES"/>
        </w:rPr>
      </w:pPr>
      <w:r w:rsidRPr="00E909DB">
        <w:rPr>
          <w:rFonts w:ascii="Times New Roman" w:hAnsi="Times New Roman"/>
          <w:sz w:val="20"/>
          <w:szCs w:val="20"/>
          <w:lang w:val="es-ES"/>
        </w:rPr>
        <w:t>b)</w:t>
      </w:r>
      <w:r w:rsidRPr="00E909DB">
        <w:rPr>
          <w:rFonts w:ascii="Times New Roman" w:hAnsi="Times New Roman"/>
          <w:sz w:val="20"/>
          <w:szCs w:val="20"/>
          <w:lang w:val="es-ES"/>
        </w:rPr>
        <w:tab/>
        <w:t>Er</w:t>
      </w:r>
      <w:r w:rsidR="00F72B47" w:rsidRPr="00E909DB">
        <w:rPr>
          <w:rFonts w:ascii="Times New Roman" w:hAnsi="Times New Roman"/>
          <w:sz w:val="20"/>
          <w:szCs w:val="20"/>
          <w:lang w:val="es-ES"/>
        </w:rPr>
        <w:t>r</w:t>
      </w:r>
      <w:r w:rsidRPr="00E909DB">
        <w:rPr>
          <w:rFonts w:ascii="Times New Roman" w:hAnsi="Times New Roman"/>
          <w:sz w:val="20"/>
          <w:szCs w:val="20"/>
          <w:lang w:val="es-ES"/>
        </w:rPr>
        <w:t>adica</w:t>
      </w:r>
      <w:r w:rsidR="00F72B47" w:rsidRPr="00E909DB">
        <w:rPr>
          <w:rFonts w:ascii="Times New Roman" w:hAnsi="Times New Roman"/>
          <w:sz w:val="20"/>
          <w:szCs w:val="20"/>
          <w:lang w:val="es-ES"/>
        </w:rPr>
        <w:t xml:space="preserve">r las especies exóticas invasoras, o gestionarlas una vez que estén presentes, incluidas opciones de control como </w:t>
      </w:r>
      <w:r w:rsidR="00A7519F" w:rsidRPr="00E909DB">
        <w:rPr>
          <w:rFonts w:ascii="Times New Roman" w:hAnsi="Times New Roman"/>
          <w:sz w:val="20"/>
          <w:szCs w:val="20"/>
          <w:lang w:val="es-ES"/>
        </w:rPr>
        <w:t>la aplicación de plaguicidas con precisión, el uso de cebos, el control biológico y otras mejores prácticas.</w:t>
      </w:r>
    </w:p>
    <w:p w:rsidR="000F47EE" w:rsidRPr="00ED548F" w:rsidRDefault="001C19ED"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D548F">
        <w:rPr>
          <w:lang w:val="es-ES"/>
        </w:rPr>
        <w:t>También se evaluarán las posibles ventajas y desventajas y opciones de las respuestas de índole normativa en los sectores pertinentes, así como las consecuencias de la inacción</w:t>
      </w:r>
      <w:r w:rsidR="000F47EE" w:rsidRPr="00ED548F">
        <w:rPr>
          <w:lang w:val="es-ES"/>
        </w:rPr>
        <w:t xml:space="preserve">. </w:t>
      </w:r>
      <w:r w:rsidRPr="00ED548F">
        <w:rPr>
          <w:lang w:val="es-ES"/>
        </w:rPr>
        <w:t>Se realizará, entre otras actividades, un análisis exhaustivo de los riesgos relativamente comunes asociados a la falta de políticas pertinentes de control de las</w:t>
      </w:r>
      <w:r w:rsidR="00ED548F" w:rsidRPr="00ED548F">
        <w:rPr>
          <w:lang w:val="es-ES"/>
        </w:rPr>
        <w:t xml:space="preserve"> </w:t>
      </w:r>
      <w:r w:rsidRPr="00ED548F">
        <w:rPr>
          <w:lang w:val="es-ES"/>
        </w:rPr>
        <w:t>especies exóticas invas</w:t>
      </w:r>
      <w:r w:rsidR="00EB5A5D" w:rsidRPr="00ED548F">
        <w:rPr>
          <w:lang w:val="es-ES"/>
        </w:rPr>
        <w:t>oras</w:t>
      </w:r>
      <w:r w:rsidRPr="00ED548F">
        <w:rPr>
          <w:lang w:val="es-ES"/>
        </w:rPr>
        <w:t xml:space="preserve">, tales como la falta de controles en las aduanas y de un enfoque de precaución al turismo y otras cuestiones relacionadas. </w:t>
      </w:r>
    </w:p>
    <w:p w:rsidR="000F47EE" w:rsidRPr="00ED548F" w:rsidRDefault="000F47EE" w:rsidP="008D76C0">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s-ES"/>
        </w:rPr>
      </w:pPr>
      <w:r w:rsidRPr="00ED548F">
        <w:rPr>
          <w:lang w:val="es-ES"/>
        </w:rPr>
        <w:t>C</w:t>
      </w:r>
      <w:r w:rsidR="001C19ED" w:rsidRPr="00ED548F">
        <w:rPr>
          <w:lang w:val="es-ES"/>
        </w:rPr>
        <w:t>apítulo 6</w:t>
      </w:r>
      <w:r w:rsidR="00004200" w:rsidRPr="00ED548F">
        <w:rPr>
          <w:lang w:val="es-ES"/>
        </w:rPr>
        <w:t xml:space="preserve">. </w:t>
      </w:r>
      <w:r w:rsidRPr="00ED548F">
        <w:rPr>
          <w:lang w:val="es-ES"/>
        </w:rPr>
        <w:t>Crea</w:t>
      </w:r>
      <w:r w:rsidR="001C19ED" w:rsidRPr="00ED548F">
        <w:rPr>
          <w:lang w:val="es-ES"/>
        </w:rPr>
        <w:t>ción de redes</w:t>
      </w:r>
      <w:r w:rsidR="00BA561C" w:rsidRPr="00ED548F">
        <w:rPr>
          <w:lang w:val="es-ES"/>
        </w:rPr>
        <w:t xml:space="preserve"> –o fortalecimiento de las ya existentes</w:t>
      </w:r>
      <w:r w:rsidR="00ED548F" w:rsidRPr="00ED548F">
        <w:rPr>
          <w:lang w:val="es-ES"/>
        </w:rPr>
        <w:t>–</w:t>
      </w:r>
      <w:r w:rsidR="001C19ED" w:rsidRPr="00ED548F">
        <w:rPr>
          <w:lang w:val="es-ES"/>
        </w:rPr>
        <w:t xml:space="preserve"> y fomento de las capacidades nacionales</w:t>
      </w:r>
      <w:r w:rsidR="00BA561C" w:rsidRPr="00ED548F">
        <w:rPr>
          <w:lang w:val="es-ES"/>
        </w:rPr>
        <w:t xml:space="preserve"> </w:t>
      </w:r>
      <w:r w:rsidR="001C19ED" w:rsidRPr="00ED548F">
        <w:rPr>
          <w:lang w:val="es-ES"/>
        </w:rPr>
        <w:t xml:space="preserve">en materia </w:t>
      </w:r>
      <w:r w:rsidR="00EB5A5D" w:rsidRPr="00ED548F">
        <w:rPr>
          <w:lang w:val="es-ES"/>
        </w:rPr>
        <w:t>de</w:t>
      </w:r>
      <w:r w:rsidR="001C19ED" w:rsidRPr="00ED548F">
        <w:rPr>
          <w:lang w:val="es-ES"/>
        </w:rPr>
        <w:t xml:space="preserve"> concienciación, sistemas de alerta temprana en relación con la diversidad y la gravedad del impacto </w:t>
      </w:r>
      <w:r w:rsidR="00BA561C" w:rsidRPr="00ED548F">
        <w:rPr>
          <w:lang w:val="es-ES"/>
        </w:rPr>
        <w:t xml:space="preserve">de </w:t>
      </w:r>
      <w:r w:rsidR="001C19ED" w:rsidRPr="00ED548F">
        <w:rPr>
          <w:lang w:val="es-ES"/>
        </w:rPr>
        <w:t xml:space="preserve">las </w:t>
      </w:r>
      <w:r w:rsidR="00BA561C" w:rsidRPr="00ED548F">
        <w:rPr>
          <w:lang w:val="es-ES"/>
        </w:rPr>
        <w:t>e</w:t>
      </w:r>
      <w:r w:rsidR="001C19ED" w:rsidRPr="00ED548F">
        <w:rPr>
          <w:lang w:val="es-ES"/>
        </w:rPr>
        <w:t>species exóticas invas</w:t>
      </w:r>
      <w:r w:rsidR="00EB5A5D" w:rsidRPr="00ED548F">
        <w:rPr>
          <w:lang w:val="es-ES"/>
        </w:rPr>
        <w:t>oras</w:t>
      </w:r>
      <w:r w:rsidR="001C19ED" w:rsidRPr="00ED548F">
        <w:rPr>
          <w:lang w:val="es-ES"/>
        </w:rPr>
        <w:t xml:space="preserve"> en la diversidad biológica y estrategias de respuesta rápida, con especial hincapié en el fortalecimiento de las redes</w:t>
      </w:r>
      <w:r w:rsidR="00BA561C" w:rsidRPr="00ED548F">
        <w:rPr>
          <w:lang w:val="es-ES"/>
        </w:rPr>
        <w:t xml:space="preserve"> internacionales e intergubernamentales y </w:t>
      </w:r>
      <w:r w:rsidR="00EB5A5D" w:rsidRPr="00ED548F">
        <w:rPr>
          <w:lang w:val="es-ES"/>
        </w:rPr>
        <w:t xml:space="preserve">de las </w:t>
      </w:r>
      <w:r w:rsidR="00BA561C" w:rsidRPr="00ED548F">
        <w:rPr>
          <w:lang w:val="es-ES"/>
        </w:rPr>
        <w:t xml:space="preserve">estrategias y </w:t>
      </w:r>
      <w:r w:rsidR="00EB5A5D" w:rsidRPr="00ED548F">
        <w:rPr>
          <w:lang w:val="es-ES"/>
        </w:rPr>
        <w:t xml:space="preserve">los </w:t>
      </w:r>
      <w:r w:rsidR="00BA561C" w:rsidRPr="00ED548F">
        <w:rPr>
          <w:lang w:val="es-ES"/>
        </w:rPr>
        <w:t>procedimientos para prever, prevenir la invasión de especies exóticas invas</w:t>
      </w:r>
      <w:r w:rsidR="00EB5A5D" w:rsidRPr="00ED548F">
        <w:rPr>
          <w:lang w:val="es-ES"/>
        </w:rPr>
        <w:t>oras</w:t>
      </w:r>
      <w:r w:rsidR="00BA561C" w:rsidRPr="00ED548F">
        <w:rPr>
          <w:lang w:val="es-ES"/>
        </w:rPr>
        <w:t>, erradicarlas y controlarlas con vistas a conservar la diversidad biológica como base para promover el bienestar humano.</w:t>
      </w:r>
    </w:p>
    <w:p w:rsidR="00966F25" w:rsidRPr="00E909DB" w:rsidRDefault="00EB5A5D" w:rsidP="008D76C0">
      <w:pPr>
        <w:pStyle w:val="CH1"/>
        <w:rPr>
          <w:lang w:val="es-ES"/>
        </w:rPr>
      </w:pPr>
      <w:r>
        <w:rPr>
          <w:lang w:val="es-ES"/>
        </w:rPr>
        <w:br w:type="page"/>
      </w:r>
      <w:r w:rsidR="005B136B" w:rsidRPr="00E909DB">
        <w:rPr>
          <w:lang w:val="es-ES"/>
        </w:rPr>
        <w:lastRenderedPageBreak/>
        <w:tab/>
      </w:r>
      <w:r w:rsidR="00966F25" w:rsidRPr="00E909DB">
        <w:rPr>
          <w:lang w:val="es-ES"/>
        </w:rPr>
        <w:t>IV.</w:t>
      </w:r>
      <w:r w:rsidR="00966F25" w:rsidRPr="00E909DB">
        <w:rPr>
          <w:lang w:val="es-ES"/>
        </w:rPr>
        <w:tab/>
        <w:t>Proceso y calendario de trabajo</w:t>
      </w:r>
    </w:p>
    <w:p w:rsidR="00966F25" w:rsidRPr="00E909DB" w:rsidRDefault="00966F25" w:rsidP="00EB5A5D">
      <w:pPr>
        <w:tabs>
          <w:tab w:val="num" w:pos="567"/>
          <w:tab w:val="left" w:pos="1247"/>
          <w:tab w:val="left" w:pos="1814"/>
          <w:tab w:val="left" w:pos="2381"/>
          <w:tab w:val="left" w:pos="2948"/>
          <w:tab w:val="left" w:pos="3515"/>
          <w:tab w:val="left" w:pos="4082"/>
        </w:tabs>
        <w:spacing w:after="120" w:line="240" w:lineRule="auto"/>
        <w:ind w:left="1247"/>
        <w:rPr>
          <w:rFonts w:ascii="Times New Roman" w:hAnsi="Times New Roman"/>
          <w:sz w:val="20"/>
          <w:szCs w:val="20"/>
          <w:lang w:val="es-ES"/>
        </w:rPr>
      </w:pPr>
      <w:r w:rsidRPr="00E909DB">
        <w:rPr>
          <w:rFonts w:ascii="Times New Roman" w:hAnsi="Times New Roman"/>
          <w:sz w:val="20"/>
          <w:szCs w:val="20"/>
          <w:lang w:val="es-ES"/>
        </w:rPr>
        <w:t>En el cuadro siguiente figura un proceso y un calendario de trabajo para llevar a cabo la evaluación temática propuesta.</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18"/>
        <w:gridCol w:w="6515"/>
      </w:tblGrid>
      <w:tr w:rsidR="00966F25" w:rsidRPr="00E909DB" w:rsidTr="00EC7A94">
        <w:trPr>
          <w:trHeight w:val="584"/>
          <w:tblHeader/>
        </w:trPr>
        <w:tc>
          <w:tcPr>
            <w:tcW w:w="2127" w:type="dxa"/>
            <w:gridSpan w:val="2"/>
            <w:vAlign w:val="center"/>
          </w:tcPr>
          <w:p w:rsidR="00966F25" w:rsidRPr="00E909DB" w:rsidDel="00AB1405"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i/>
                <w:sz w:val="20"/>
                <w:szCs w:val="20"/>
                <w:lang w:val="es-ES" w:eastAsia="zh-CN"/>
              </w:rPr>
            </w:pPr>
            <w:bookmarkStart w:id="0" w:name="OLE_LINK1"/>
            <w:r w:rsidRPr="00E909DB">
              <w:rPr>
                <w:rFonts w:ascii="Times New Roman" w:eastAsia="SimSun" w:hAnsi="Times New Roman"/>
                <w:i/>
                <w:sz w:val="20"/>
                <w:szCs w:val="20"/>
                <w:lang w:val="es-ES" w:eastAsia="zh-CN"/>
              </w:rPr>
              <w:t>Marco temporal</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i/>
                <w:sz w:val="20"/>
                <w:szCs w:val="20"/>
                <w:lang w:val="es-ES" w:eastAsia="zh-CN"/>
              </w:rPr>
            </w:pPr>
            <w:r w:rsidRPr="00E909DB">
              <w:rPr>
                <w:rFonts w:ascii="Times New Roman" w:eastAsia="SimSun" w:hAnsi="Times New Roman"/>
                <w:i/>
                <w:sz w:val="20"/>
                <w:szCs w:val="20"/>
                <w:lang w:val="es-ES" w:eastAsia="zh-CN"/>
              </w:rPr>
              <w:t>Actividades</w:t>
            </w:r>
          </w:p>
        </w:tc>
      </w:tr>
      <w:tr w:rsidR="00966F25" w:rsidRPr="00E909DB" w:rsidTr="00EC7A94">
        <w:trPr>
          <w:trHeight w:val="584"/>
        </w:trPr>
        <w:tc>
          <w:tcPr>
            <w:tcW w:w="709" w:type="dxa"/>
            <w:vMerge w:val="restart"/>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2013</w:t>
            </w: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Cuarto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El Plenario examina y aprueba el ejercicio de análisis inicial preparado por el Grupo multidisciplinario de expertos y solicita al Grupo y a la Mesa que, en el marco de un conjunto de costos convenidos, proceda a realizar una evaluación exhaustiva tras el estudio del análisis inicial detallado (14 de diciembre de 2013)</w:t>
            </w:r>
          </w:p>
        </w:tc>
      </w:tr>
      <w:tr w:rsidR="00966F25" w:rsidRPr="00E909DB" w:rsidTr="00EC7A94">
        <w:trPr>
          <w:trHeight w:val="584"/>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Cuarto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El Grupo de expertos, hace un llamamiento, por conducto de la secretaría, a los gobiernos y otros interesados</w:t>
            </w:r>
            <w:r w:rsidR="00ED548F">
              <w:rPr>
                <w:rFonts w:ascii="Times New Roman" w:eastAsia="SimSun" w:hAnsi="Times New Roman"/>
                <w:sz w:val="19"/>
                <w:szCs w:val="19"/>
                <w:lang w:val="es-ES" w:eastAsia="zh-CN"/>
              </w:rPr>
              <w:t xml:space="preserve"> </w:t>
            </w:r>
            <w:r w:rsidR="0030238A" w:rsidRPr="00E909DB">
              <w:rPr>
                <w:rFonts w:ascii="Times New Roman" w:eastAsia="SimSun" w:hAnsi="Times New Roman"/>
                <w:sz w:val="19"/>
                <w:szCs w:val="19"/>
                <w:lang w:val="es-ES" w:eastAsia="zh-CN"/>
              </w:rPr>
              <w:t xml:space="preserve">para </w:t>
            </w:r>
            <w:r w:rsidRPr="00E909DB">
              <w:rPr>
                <w:rFonts w:ascii="Times New Roman" w:eastAsia="SimSun" w:hAnsi="Times New Roman"/>
                <w:sz w:val="19"/>
                <w:szCs w:val="19"/>
                <w:lang w:val="es-ES" w:eastAsia="zh-CN"/>
              </w:rPr>
              <w:t>que propongan expertos para que colaboren en el análisis (16 de diciembre de 2013 a 31 de enero de 2014)</w:t>
            </w:r>
          </w:p>
        </w:tc>
      </w:tr>
      <w:tr w:rsidR="00966F25" w:rsidRPr="00E909DB" w:rsidTr="00EC7A94">
        <w:trPr>
          <w:trHeight w:val="584"/>
        </w:trPr>
        <w:tc>
          <w:tcPr>
            <w:tcW w:w="709" w:type="dxa"/>
            <w:vMerge w:val="restart"/>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2014</w:t>
            </w: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Primer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 xml:space="preserve">El Grupo, mediante correos electrónicos y teleconferencias, selecciona a los expertos para el estudio sobre el análisis inicial valiéndose de los criterios de selección aprobados </w:t>
            </w:r>
            <w:r w:rsidR="00ED548F">
              <w:rPr>
                <w:rFonts w:ascii="Times New Roman" w:eastAsia="SimSun" w:hAnsi="Times New Roman"/>
                <w:sz w:val="19"/>
                <w:szCs w:val="19"/>
                <w:lang w:val="es-ES" w:eastAsia="zh-CN"/>
              </w:rPr>
              <w:t xml:space="preserve">(véase IPBES/2/9) </w:t>
            </w:r>
            <w:r w:rsidRPr="00E909DB">
              <w:rPr>
                <w:rFonts w:ascii="Times New Roman" w:eastAsia="SimSun" w:hAnsi="Times New Roman"/>
                <w:sz w:val="19"/>
                <w:szCs w:val="19"/>
                <w:lang w:val="es-ES" w:eastAsia="zh-CN"/>
              </w:rPr>
              <w:t>(1 a 14 de febrero de 2014)</w:t>
            </w:r>
          </w:p>
        </w:tc>
      </w:tr>
      <w:tr w:rsidR="00966F25" w:rsidRPr="00E909DB" w:rsidTr="00EC7A94">
        <w:trPr>
          <w:trHeight w:val="584"/>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Segundo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El Grupo y la Mesa supervisan el análisis inicial detallado, con inclusión del esquema, los costos y la viabilidad</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(3 meses). A comienzos de abril de 2014 se celebra una reunión sobre el análisis inicial.</w:t>
            </w:r>
          </w:p>
        </w:tc>
      </w:tr>
      <w:bookmarkEnd w:id="0"/>
      <w:tr w:rsidR="00966F25" w:rsidRPr="00E909DB" w:rsidTr="00EC7A94">
        <w:trPr>
          <w:trHeight w:val="584"/>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Segundo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El informe sobre el análisis inicial detallado se remite a los miembros de la Plataforma y otros interesados para que lo examinen y formulen observaciones durante dos semanas en la segunda mitad de abril de 2014.</w:t>
            </w:r>
          </w:p>
        </w:tc>
      </w:tr>
      <w:tr w:rsidR="00966F25" w:rsidRPr="00E909DB" w:rsidTr="00EC7A94">
        <w:trPr>
          <w:trHeight w:val="274"/>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Segundo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 xml:space="preserve">Sobre la base de los resultados del ejercicio de análisis inicial detallado y las observaciones presentadas por de los miembros de la Plataforma y otros interesados, </w:t>
            </w:r>
            <w:r w:rsidR="0030238A" w:rsidRPr="00E909DB">
              <w:rPr>
                <w:rFonts w:ascii="Times New Roman" w:eastAsia="SimSun" w:hAnsi="Times New Roman"/>
                <w:sz w:val="19"/>
                <w:szCs w:val="19"/>
                <w:lang w:val="es-ES" w:eastAsia="zh-CN"/>
              </w:rPr>
              <w:t>e</w:t>
            </w:r>
            <w:r w:rsidRPr="00E909DB">
              <w:rPr>
                <w:rFonts w:ascii="Times New Roman" w:eastAsia="SimSun" w:hAnsi="Times New Roman"/>
                <w:sz w:val="19"/>
                <w:szCs w:val="19"/>
                <w:lang w:val="es-ES" w:eastAsia="zh-CN"/>
              </w:rPr>
              <w:t>l Grupo y la Mesa deciden si se procede o no con la evaluación, suponiendo que esta pueda realizarse en el marco del presupuesto aprobado por el Plenario, en la primera mitad de mayo de 2014.</w:t>
            </w:r>
          </w:p>
        </w:tc>
      </w:tr>
      <w:tr w:rsidR="00966F25" w:rsidRPr="00E909DB" w:rsidTr="00EC7A94">
        <w:trPr>
          <w:trHeight w:val="866"/>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Segundo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Por conducto de la secretaría, el Grupo</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solicita a los gobiernos y otros interesados que propongan expertos para preparar el informe. Las candidaturas se deberán presentar antes de fines de junio de 2014</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(1 mes y medio).</w:t>
            </w:r>
          </w:p>
        </w:tc>
      </w:tr>
      <w:tr w:rsidR="00966F25" w:rsidRPr="00E909DB" w:rsidTr="00EC7A94">
        <w:trPr>
          <w:trHeight w:val="584"/>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Tercer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El Grupo selecciona a los copresidentes del informe, los autores principales encargados de la coordinación, los autores principales y los revisores valiéndose de los criterios de selección aprobados</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 xml:space="preserve">del 1 de julio al 15 de agosto </w:t>
            </w:r>
            <w:r w:rsidR="00ED548F">
              <w:rPr>
                <w:rFonts w:ascii="Times New Roman" w:eastAsia="SimSun" w:hAnsi="Times New Roman"/>
                <w:sz w:val="19"/>
                <w:szCs w:val="19"/>
                <w:lang w:val="es-ES" w:eastAsia="zh-CN"/>
              </w:rPr>
              <w:t>de 2014 (1 </w:t>
            </w:r>
            <w:r w:rsidRPr="00E909DB">
              <w:rPr>
                <w:rFonts w:ascii="Times New Roman" w:eastAsia="SimSun" w:hAnsi="Times New Roman"/>
                <w:sz w:val="19"/>
                <w:szCs w:val="19"/>
                <w:lang w:val="es-ES" w:eastAsia="zh-CN"/>
              </w:rPr>
              <w:t>mes y medio)</w:t>
            </w:r>
            <w:r w:rsidR="00ED548F">
              <w:rPr>
                <w:rFonts w:ascii="Times New Roman" w:eastAsia="SimSun" w:hAnsi="Times New Roman"/>
                <w:sz w:val="19"/>
                <w:szCs w:val="19"/>
                <w:lang w:val="es-ES" w:eastAsia="zh-CN"/>
              </w:rPr>
              <w:t xml:space="preserve"> (véase IPBES/2/9)</w:t>
            </w:r>
            <w:r w:rsidRPr="00E909DB">
              <w:rPr>
                <w:rFonts w:ascii="Times New Roman" w:eastAsia="SimSun" w:hAnsi="Times New Roman"/>
                <w:sz w:val="19"/>
                <w:szCs w:val="19"/>
                <w:lang w:val="es-ES" w:eastAsia="zh-CN"/>
              </w:rPr>
              <w:t>.</w:t>
            </w:r>
          </w:p>
        </w:tc>
      </w:tr>
      <w:tr w:rsidR="00966F25" w:rsidRPr="00E909DB" w:rsidTr="00EC7A94">
        <w:trPr>
          <w:trHeight w:val="584"/>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Tercer/Cuarto trimestres</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Antes de mediados de febrero de 2015, los copresidentes del informe, los autores principales encargados de la coordinación y los autores principales preparan el primer proyecto de informe (</w:t>
            </w:r>
            <w:r w:rsidR="0030238A" w:rsidRPr="00E909DB">
              <w:rPr>
                <w:rFonts w:ascii="Times New Roman" w:eastAsia="SimSun" w:hAnsi="Times New Roman"/>
                <w:sz w:val="19"/>
                <w:szCs w:val="19"/>
                <w:lang w:val="es-ES" w:eastAsia="zh-CN"/>
              </w:rPr>
              <w:t xml:space="preserve">6 </w:t>
            </w:r>
            <w:r w:rsidRPr="00E909DB">
              <w:rPr>
                <w:rFonts w:ascii="Times New Roman" w:eastAsia="SimSun" w:hAnsi="Times New Roman"/>
                <w:sz w:val="19"/>
                <w:szCs w:val="19"/>
                <w:lang w:val="es-ES" w:eastAsia="zh-CN"/>
              </w:rPr>
              <w:t>meses). En septiembre de 2014 se celebra una primera reunión de autores</w:t>
            </w:r>
          </w:p>
        </w:tc>
      </w:tr>
      <w:tr w:rsidR="00966F25" w:rsidRPr="00E909DB" w:rsidTr="00EC7A94">
        <w:trPr>
          <w:trHeight w:val="504"/>
        </w:trPr>
        <w:tc>
          <w:tcPr>
            <w:tcW w:w="709" w:type="dxa"/>
            <w:vMerge w:val="restart"/>
            <w:vAlign w:val="center"/>
          </w:tcPr>
          <w:p w:rsidR="00966F25" w:rsidRPr="00E909DB" w:rsidRDefault="00966F25" w:rsidP="008D76C0">
            <w:pPr>
              <w:keepNext/>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2015</w:t>
            </w: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Primer trimestre</w:t>
            </w:r>
          </w:p>
        </w:tc>
        <w:tc>
          <w:tcPr>
            <w:tcW w:w="6515" w:type="dxa"/>
            <w:vAlign w:val="center"/>
          </w:tcPr>
          <w:p w:rsidR="00966F25" w:rsidRPr="00E909DB" w:rsidRDefault="00966F25" w:rsidP="008D76C0">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Hasta fines de marzo de 2015, los expertos examinan el primer</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proyecto de informe (1 mes y medio, 2 meses)</w:t>
            </w:r>
          </w:p>
        </w:tc>
      </w:tr>
      <w:tr w:rsidR="00966F25" w:rsidRPr="00E909DB" w:rsidTr="00EC7A94">
        <w:trPr>
          <w:trHeight w:val="567"/>
        </w:trPr>
        <w:tc>
          <w:tcPr>
            <w:tcW w:w="709" w:type="dxa"/>
            <w:vMerge/>
          </w:tcPr>
          <w:p w:rsidR="00966F25" w:rsidRPr="00E909DB" w:rsidRDefault="00966F25" w:rsidP="008D76C0">
            <w:pPr>
              <w:keepNext/>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Segundo trimestre</w:t>
            </w:r>
          </w:p>
        </w:tc>
        <w:tc>
          <w:tcPr>
            <w:tcW w:w="6515" w:type="dxa"/>
            <w:vAlign w:val="center"/>
          </w:tcPr>
          <w:p w:rsidR="00966F25" w:rsidRPr="00E909DB" w:rsidRDefault="00966F25" w:rsidP="008D76C0">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De abril a junio de 2015 (3 meses), los copresidentes, los autores principales encargados de la coordinación y los autores principales preparan el segundo</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proyecto de informe y un primer proyecto de resumen para responsables de formular políticas bajo la orientación</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 xml:space="preserve">de los revisores y el </w:t>
            </w:r>
            <w:r w:rsidR="004A6F92">
              <w:rPr>
                <w:rFonts w:ascii="Times New Roman" w:eastAsia="SimSun" w:hAnsi="Times New Roman"/>
                <w:sz w:val="19"/>
                <w:szCs w:val="19"/>
                <w:lang w:val="es-ES" w:eastAsia="zh-CN"/>
              </w:rPr>
              <w:t>Grupo. En junio de </w:t>
            </w:r>
            <w:r w:rsidRPr="00E909DB">
              <w:rPr>
                <w:rFonts w:ascii="Times New Roman" w:eastAsia="SimSun" w:hAnsi="Times New Roman"/>
                <w:sz w:val="19"/>
                <w:szCs w:val="19"/>
                <w:lang w:val="es-ES" w:eastAsia="zh-CN"/>
              </w:rPr>
              <w:t>2015 se celebra una segunda reunión de autores</w:t>
            </w:r>
          </w:p>
        </w:tc>
      </w:tr>
      <w:tr w:rsidR="00966F25" w:rsidRPr="00E909DB" w:rsidTr="00EC7A94">
        <w:trPr>
          <w:trHeight w:val="547"/>
        </w:trPr>
        <w:tc>
          <w:tcPr>
            <w:tcW w:w="709" w:type="dxa"/>
            <w:vMerge/>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Tercer trimestre</w:t>
            </w:r>
          </w:p>
        </w:tc>
        <w:tc>
          <w:tcPr>
            <w:tcW w:w="6515" w:type="dxa"/>
            <w:vAlign w:val="center"/>
          </w:tcPr>
          <w:p w:rsidR="00966F25" w:rsidRPr="00E909DB" w:rsidRDefault="00966F25" w:rsidP="00EB5A5D">
            <w:pPr>
              <w:keepLines/>
              <w:tabs>
                <w:tab w:val="left" w:pos="426"/>
                <w:tab w:val="num" w:pos="1353"/>
              </w:tabs>
              <w:autoSpaceDE w:val="0"/>
              <w:autoSpaceDN w:val="0"/>
              <w:adjustRightInd w:val="0"/>
              <w:spacing w:before="20" w:after="24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Durante julio y agosto de 2015, los expertos, los gobiernos y otros interesados examinan el segundo proyecto de informe y el primer</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resumen para los responsables de formular políticas (2 meses)</w:t>
            </w:r>
          </w:p>
        </w:tc>
      </w:tr>
      <w:tr w:rsidR="00966F25" w:rsidRPr="00E909DB" w:rsidTr="00EC7A94">
        <w:trPr>
          <w:trHeight w:val="215"/>
        </w:trPr>
        <w:tc>
          <w:tcPr>
            <w:tcW w:w="709" w:type="dxa"/>
            <w:vMerge/>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EB5A5D">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Tercer/Cuarto trimestres</w:t>
            </w:r>
          </w:p>
        </w:tc>
        <w:tc>
          <w:tcPr>
            <w:tcW w:w="6515" w:type="dxa"/>
            <w:vAlign w:val="center"/>
          </w:tcPr>
          <w:p w:rsidR="00966F25" w:rsidRPr="00E909DB" w:rsidRDefault="00966F25" w:rsidP="00EB5A5D">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Durante septiembre y octubre de 2015 (2 meses), bajo la orientación de los revisores y el Grupo, los copresidentes del informe, los autores principales encargados de la coordinación y los autores principales preparan la versión final del proyecto de informe y la versión final del proyecto de resumen para los responsables. En octubre de 2015 se celebra una tercera reunión de autores</w:t>
            </w:r>
          </w:p>
        </w:tc>
      </w:tr>
      <w:tr w:rsidR="00966F25" w:rsidRPr="00E909DB" w:rsidTr="00EC7A94">
        <w:trPr>
          <w:trHeight w:val="479"/>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EB5A5D">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Cuarto trimestre</w:t>
            </w:r>
          </w:p>
        </w:tc>
        <w:tc>
          <w:tcPr>
            <w:tcW w:w="6515" w:type="dxa"/>
            <w:vAlign w:val="center"/>
          </w:tcPr>
          <w:p w:rsidR="00966F25" w:rsidRPr="00E909DB" w:rsidRDefault="00966F25" w:rsidP="00EB5A5D">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A más tardar a mediados de diciembre de 2015, el resumen para los responsables de formular políticas se traduce a todos los id</w:t>
            </w:r>
            <w:r w:rsidR="004A6F92">
              <w:rPr>
                <w:rFonts w:ascii="Times New Roman" w:eastAsia="SimSun" w:hAnsi="Times New Roman"/>
                <w:sz w:val="19"/>
                <w:szCs w:val="19"/>
                <w:lang w:val="es-ES" w:eastAsia="zh-CN"/>
              </w:rPr>
              <w:t>iomas oficiales de las Naciones </w:t>
            </w:r>
            <w:r w:rsidRPr="00E909DB">
              <w:rPr>
                <w:rFonts w:ascii="Times New Roman" w:eastAsia="SimSun" w:hAnsi="Times New Roman"/>
                <w:sz w:val="19"/>
                <w:szCs w:val="19"/>
                <w:lang w:val="es-ES" w:eastAsia="zh-CN"/>
              </w:rPr>
              <w:t>Unidas (1 mes y medio)</w:t>
            </w:r>
          </w:p>
        </w:tc>
      </w:tr>
      <w:tr w:rsidR="00966F25" w:rsidRPr="00E909DB" w:rsidTr="00EC7A94">
        <w:trPr>
          <w:trHeight w:val="242"/>
        </w:trPr>
        <w:tc>
          <w:tcPr>
            <w:tcW w:w="709" w:type="dxa"/>
            <w:vMerge w:val="restart"/>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2016</w:t>
            </w: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Primer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Durante enero y febrero de 2016, la versión final del proyecto de informe y el resumen para los responsables de formular políticas se remiten a los gobiernos y otros interesados para su examen final (1 mes y medio, 2 meses). Se insta encarecidamente a los gobiernos a que formulen por escrito observaciones sobre el proyecto de resumen para los responsables de formular políticas.</w:t>
            </w:r>
            <w:r w:rsidR="00ED548F">
              <w:rPr>
                <w:rFonts w:ascii="Times New Roman" w:eastAsia="SimSun" w:hAnsi="Times New Roman"/>
                <w:sz w:val="19"/>
                <w:szCs w:val="19"/>
                <w:lang w:val="es-ES" w:eastAsia="zh-CN"/>
              </w:rPr>
              <w:t xml:space="preserve"> </w:t>
            </w:r>
            <w:r w:rsidRPr="00E909DB">
              <w:rPr>
                <w:rFonts w:ascii="Times New Roman" w:eastAsia="SimSun" w:hAnsi="Times New Roman"/>
                <w:sz w:val="19"/>
                <w:szCs w:val="19"/>
                <w:lang w:val="es-ES" w:eastAsia="zh-CN"/>
              </w:rPr>
              <w:t>Esas observaciones deberán presentarse a la secretaría con una semana de antelación al cuarto periodo de sesiones del Plenario</w:t>
            </w:r>
          </w:p>
        </w:tc>
      </w:tr>
      <w:tr w:rsidR="00966F25" w:rsidRPr="00E909DB" w:rsidTr="00EC7A94">
        <w:trPr>
          <w:trHeight w:val="242"/>
        </w:trPr>
        <w:tc>
          <w:tcPr>
            <w:tcW w:w="709" w:type="dxa"/>
            <w:vMerge/>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jc w:val="center"/>
              <w:rPr>
                <w:rFonts w:ascii="Times New Roman" w:eastAsia="SimSun" w:hAnsi="Times New Roman"/>
                <w:sz w:val="20"/>
                <w:szCs w:val="20"/>
                <w:lang w:val="es-ES" w:eastAsia="zh-CN"/>
              </w:rPr>
            </w:pPr>
          </w:p>
        </w:tc>
        <w:tc>
          <w:tcPr>
            <w:tcW w:w="1418"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Primer trimestre</w:t>
            </w:r>
          </w:p>
        </w:tc>
        <w:tc>
          <w:tcPr>
            <w:tcW w:w="6515" w:type="dxa"/>
            <w:vAlign w:val="center"/>
          </w:tcPr>
          <w:p w:rsidR="00966F25" w:rsidRPr="00E909DB" w:rsidRDefault="00966F25" w:rsidP="008D76C0">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es-ES" w:eastAsia="zh-CN"/>
              </w:rPr>
            </w:pPr>
            <w:r w:rsidRPr="00E909DB">
              <w:rPr>
                <w:rFonts w:ascii="Times New Roman" w:eastAsia="SimSun" w:hAnsi="Times New Roman"/>
                <w:sz w:val="19"/>
                <w:szCs w:val="19"/>
                <w:lang w:val="es-ES" w:eastAsia="zh-CN"/>
              </w:rPr>
              <w:t>En su cuarto perí</w:t>
            </w:r>
            <w:r w:rsidR="0030238A" w:rsidRPr="00E909DB">
              <w:rPr>
                <w:rFonts w:ascii="Times New Roman" w:eastAsia="SimSun" w:hAnsi="Times New Roman"/>
                <w:sz w:val="19"/>
                <w:szCs w:val="19"/>
                <w:lang w:val="es-ES" w:eastAsia="zh-CN"/>
              </w:rPr>
              <w:t>odo de sesiones, en marzo de 201</w:t>
            </w:r>
            <w:r w:rsidRPr="00E909DB">
              <w:rPr>
                <w:rFonts w:ascii="Times New Roman" w:eastAsia="SimSun" w:hAnsi="Times New Roman"/>
                <w:sz w:val="19"/>
                <w:szCs w:val="19"/>
                <w:lang w:val="es-ES" w:eastAsia="zh-CN"/>
              </w:rPr>
              <w:t>6, el Plenario examina y acepta el informe y las revisiones y aprueba el resumen para los responsables de formular políticas</w:t>
            </w:r>
          </w:p>
        </w:tc>
      </w:tr>
    </w:tbl>
    <w:p w:rsidR="00966F25" w:rsidRPr="00E909DB" w:rsidRDefault="00966F25" w:rsidP="008D76C0">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hAnsi="Times New Roman"/>
          <w:b/>
          <w:sz w:val="28"/>
          <w:szCs w:val="28"/>
          <w:lang w:val="es-ES"/>
        </w:rPr>
      </w:pPr>
      <w:r w:rsidRPr="00E909DB">
        <w:rPr>
          <w:rFonts w:ascii="Times New Roman" w:hAnsi="Times New Roman"/>
          <w:b/>
          <w:sz w:val="28"/>
          <w:szCs w:val="28"/>
          <w:lang w:val="es-ES"/>
        </w:rPr>
        <w:tab/>
        <w:t>V.</w:t>
      </w:r>
      <w:r w:rsidRPr="00E909DB">
        <w:rPr>
          <w:rFonts w:ascii="Times New Roman" w:hAnsi="Times New Roman"/>
          <w:b/>
          <w:sz w:val="28"/>
          <w:szCs w:val="28"/>
          <w:lang w:val="es-ES"/>
        </w:rPr>
        <w:tab/>
        <w:t>Estimación de los costos</w:t>
      </w:r>
    </w:p>
    <w:p w:rsidR="00966F25" w:rsidRPr="00E909DB" w:rsidRDefault="00164F44" w:rsidP="008D76C0">
      <w:pPr>
        <w:tabs>
          <w:tab w:val="num" w:pos="567"/>
          <w:tab w:val="left" w:pos="1247"/>
          <w:tab w:val="left" w:pos="1814"/>
          <w:tab w:val="left" w:pos="2381"/>
          <w:tab w:val="left" w:pos="2948"/>
          <w:tab w:val="left" w:pos="3515"/>
          <w:tab w:val="left" w:pos="4082"/>
        </w:tabs>
        <w:spacing w:after="120" w:line="240" w:lineRule="auto"/>
        <w:ind w:left="1247"/>
        <w:rPr>
          <w:rFonts w:ascii="Times New Roman" w:hAnsi="Times New Roman"/>
          <w:sz w:val="20"/>
          <w:szCs w:val="20"/>
          <w:lang w:val="es-ES"/>
        </w:rPr>
      </w:pPr>
      <w:r w:rsidRPr="00E909DB">
        <w:rPr>
          <w:rFonts w:ascii="Times New Roman" w:hAnsi="Times New Roman"/>
          <w:sz w:val="20"/>
          <w:szCs w:val="20"/>
          <w:lang w:val="es-ES"/>
        </w:rPr>
        <w:t>17.</w:t>
      </w:r>
      <w:r w:rsidRPr="00E909DB">
        <w:rPr>
          <w:rFonts w:ascii="Times New Roman" w:hAnsi="Times New Roman"/>
          <w:sz w:val="20"/>
          <w:szCs w:val="20"/>
          <w:lang w:val="es-ES"/>
        </w:rPr>
        <w:tab/>
      </w:r>
      <w:r w:rsidR="00966F25" w:rsidRPr="00E909DB">
        <w:rPr>
          <w:rFonts w:ascii="Times New Roman" w:hAnsi="Times New Roman"/>
          <w:sz w:val="20"/>
          <w:szCs w:val="20"/>
          <w:lang w:val="es-ES"/>
        </w:rPr>
        <w:t>En el cuadro que figura a continuación se presenta una estimación de los costos de la realización de la evaluación y la preparación del informe sobre la evaluación temática.</w:t>
      </w:r>
    </w:p>
    <w:p w:rsidR="00966F25" w:rsidRPr="00E909DB" w:rsidRDefault="00966F25" w:rsidP="008D76C0">
      <w:pPr>
        <w:tabs>
          <w:tab w:val="left" w:pos="1247"/>
          <w:tab w:val="left" w:pos="1814"/>
          <w:tab w:val="left" w:pos="2381"/>
          <w:tab w:val="left" w:pos="2948"/>
          <w:tab w:val="left" w:pos="3515"/>
          <w:tab w:val="left" w:pos="4082"/>
        </w:tabs>
        <w:spacing w:after="120" w:line="240" w:lineRule="auto"/>
        <w:ind w:left="1247"/>
        <w:rPr>
          <w:rFonts w:ascii="Times New Roman" w:hAnsi="Times New Roman"/>
          <w:sz w:val="18"/>
          <w:szCs w:val="18"/>
          <w:lang w:val="es-ES"/>
        </w:rPr>
      </w:pPr>
      <w:r w:rsidRPr="00E909DB">
        <w:rPr>
          <w:rFonts w:ascii="Times New Roman" w:hAnsi="Times New Roman"/>
          <w:sz w:val="18"/>
          <w:szCs w:val="18"/>
          <w:lang w:val="es-ES"/>
        </w:rPr>
        <w:t>(Dólares de los Estados Unidos)</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398"/>
        <w:gridCol w:w="3402"/>
        <w:gridCol w:w="1134"/>
      </w:tblGrid>
      <w:tr w:rsidR="002F1FA4" w:rsidRPr="00E909DB" w:rsidTr="00EC7A94">
        <w:trPr>
          <w:tblHeader/>
        </w:trPr>
        <w:tc>
          <w:tcPr>
            <w:tcW w:w="709"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i/>
                <w:sz w:val="20"/>
                <w:szCs w:val="20"/>
                <w:lang w:val="es-ES" w:eastAsia="zh-CN"/>
              </w:rPr>
            </w:pPr>
            <w:bookmarkStart w:id="1" w:name="_GoBack"/>
            <w:bookmarkEnd w:id="1"/>
            <w:r w:rsidRPr="00E909DB">
              <w:rPr>
                <w:rFonts w:ascii="Times New Roman" w:eastAsia="SimSun" w:hAnsi="Times New Roman"/>
                <w:i/>
                <w:sz w:val="20"/>
                <w:szCs w:val="20"/>
                <w:lang w:val="es-ES" w:eastAsia="zh-CN"/>
              </w:rPr>
              <w:t>Año</w:t>
            </w:r>
          </w:p>
        </w:tc>
        <w:tc>
          <w:tcPr>
            <w:tcW w:w="3398"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i/>
                <w:sz w:val="20"/>
                <w:szCs w:val="20"/>
                <w:lang w:val="es-ES" w:eastAsia="zh-CN"/>
              </w:rPr>
            </w:pPr>
            <w:r w:rsidRPr="00E909DB">
              <w:rPr>
                <w:rFonts w:ascii="Times New Roman" w:eastAsia="SimSun" w:hAnsi="Times New Roman"/>
                <w:i/>
                <w:sz w:val="20"/>
                <w:szCs w:val="20"/>
                <w:lang w:val="es-ES" w:eastAsia="zh-CN"/>
              </w:rPr>
              <w:t>Partida de gastos</w:t>
            </w: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i/>
                <w:sz w:val="20"/>
                <w:szCs w:val="20"/>
                <w:lang w:val="es-ES" w:eastAsia="zh-CN"/>
              </w:rPr>
            </w:pPr>
            <w:r w:rsidRPr="00E909DB">
              <w:rPr>
                <w:rFonts w:ascii="Times New Roman" w:eastAsia="SimSun" w:hAnsi="Times New Roman"/>
                <w:i/>
                <w:sz w:val="20"/>
                <w:szCs w:val="20"/>
                <w:lang w:val="es-ES" w:eastAsia="zh-CN"/>
              </w:rPr>
              <w:t>Supuestos</w:t>
            </w:r>
          </w:p>
        </w:tc>
        <w:tc>
          <w:tcPr>
            <w:tcW w:w="1134" w:type="dxa"/>
          </w:tcPr>
          <w:p w:rsidR="00966F25" w:rsidRPr="00E909DB" w:rsidRDefault="00966F25" w:rsidP="008D76C0">
            <w:pPr>
              <w:tabs>
                <w:tab w:val="left" w:pos="426"/>
              </w:tabs>
              <w:autoSpaceDE w:val="0"/>
              <w:autoSpaceDN w:val="0"/>
              <w:adjustRightInd w:val="0"/>
              <w:spacing w:before="20" w:after="20" w:line="240" w:lineRule="auto"/>
              <w:jc w:val="right"/>
              <w:rPr>
                <w:rFonts w:ascii="Times New Roman" w:eastAsia="SimSun" w:hAnsi="Times New Roman"/>
                <w:i/>
                <w:sz w:val="20"/>
                <w:szCs w:val="20"/>
                <w:lang w:val="es-ES" w:eastAsia="zh-CN"/>
              </w:rPr>
            </w:pPr>
            <w:r w:rsidRPr="00E909DB">
              <w:rPr>
                <w:rFonts w:ascii="Times New Roman" w:eastAsia="SimSun" w:hAnsi="Times New Roman"/>
                <w:i/>
                <w:sz w:val="20"/>
                <w:szCs w:val="20"/>
                <w:lang w:val="es-ES" w:eastAsia="zh-CN"/>
              </w:rPr>
              <w:t>Costo</w:t>
            </w:r>
          </w:p>
        </w:tc>
      </w:tr>
      <w:tr w:rsidR="002F1FA4" w:rsidRPr="00E909DB" w:rsidTr="00EC7A94">
        <w:tc>
          <w:tcPr>
            <w:tcW w:w="709" w:type="dxa"/>
            <w:vMerge w:val="restart"/>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2014</w:t>
            </w:r>
          </w:p>
        </w:tc>
        <w:tc>
          <w:tcPr>
            <w:tcW w:w="3398" w:type="dxa"/>
            <w:vMerge w:val="restart"/>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Reunión de análisis inicial (</w:t>
            </w:r>
            <w:r w:rsidR="002F1FA4" w:rsidRPr="00E909DB">
              <w:rPr>
                <w:rFonts w:ascii="Times New Roman" w:eastAsia="SimSun" w:hAnsi="Times New Roman"/>
                <w:sz w:val="20"/>
                <w:szCs w:val="20"/>
                <w:lang w:val="es-ES" w:eastAsia="zh-CN"/>
              </w:rPr>
              <w:t xml:space="preserve">25 participantes: </w:t>
            </w:r>
            <w:r w:rsidRPr="00E909DB">
              <w:rPr>
                <w:rFonts w:ascii="Times New Roman" w:eastAsia="SimSun" w:hAnsi="Times New Roman"/>
                <w:sz w:val="20"/>
                <w:szCs w:val="20"/>
                <w:lang w:val="es-ES" w:eastAsia="zh-CN"/>
              </w:rPr>
              <w:t>Grupo multidisciplinario de expertos, miembros de la Mesa más expertos)</w:t>
            </w: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Costos de la reunión (1 semana, 25 participantes) (25% en especie)</w:t>
            </w:r>
          </w:p>
        </w:tc>
        <w:tc>
          <w:tcPr>
            <w:tcW w:w="1134" w:type="dxa"/>
          </w:tcPr>
          <w:p w:rsidR="00966F25" w:rsidRPr="00E909DB" w:rsidRDefault="00966F25" w:rsidP="00ED548F">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7</w:t>
            </w:r>
            <w:r w:rsidR="00ED548F">
              <w:rPr>
                <w:rFonts w:ascii="Times New Roman" w:eastAsia="SimSun" w:hAnsi="Times New Roman"/>
                <w:sz w:val="20"/>
                <w:szCs w:val="20"/>
                <w:lang w:val="es-ES" w:eastAsia="zh-CN"/>
              </w:rPr>
              <w:t> </w:t>
            </w:r>
            <w:r w:rsidRPr="00E909DB">
              <w:rPr>
                <w:rFonts w:ascii="Times New Roman" w:eastAsia="SimSun" w:hAnsi="Times New Roman"/>
                <w:sz w:val="20"/>
                <w:szCs w:val="20"/>
                <w:lang w:val="es-ES" w:eastAsia="zh-CN"/>
              </w:rPr>
              <w:t>500</w:t>
            </w:r>
          </w:p>
        </w:tc>
      </w:tr>
      <w:tr w:rsidR="002F1FA4" w:rsidRPr="00E909DB" w:rsidTr="00EC7A94">
        <w:trPr>
          <w:trHeight w:val="187"/>
        </w:trPr>
        <w:tc>
          <w:tcPr>
            <w:tcW w:w="709" w:type="dxa"/>
            <w:vMerge/>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398" w:type="dxa"/>
            <w:vMerge/>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Viajes y dietas (19 x 3.000 dólares)</w:t>
            </w:r>
          </w:p>
        </w:tc>
        <w:tc>
          <w:tcPr>
            <w:tcW w:w="1134" w:type="dxa"/>
          </w:tcPr>
          <w:p w:rsidR="00966F25" w:rsidRPr="00E909DB" w:rsidRDefault="00ED548F" w:rsidP="008D76C0">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Pr>
                <w:rFonts w:ascii="Times New Roman" w:eastAsia="SimSun" w:hAnsi="Times New Roman"/>
                <w:sz w:val="20"/>
                <w:szCs w:val="20"/>
                <w:lang w:val="es-ES" w:eastAsia="zh-CN"/>
              </w:rPr>
              <w:t>57 </w:t>
            </w:r>
            <w:r w:rsidR="00966F25" w:rsidRPr="00E909DB">
              <w:rPr>
                <w:rFonts w:ascii="Times New Roman" w:eastAsia="SimSun" w:hAnsi="Times New Roman"/>
                <w:sz w:val="20"/>
                <w:szCs w:val="20"/>
                <w:lang w:val="es-ES" w:eastAsia="zh-CN"/>
              </w:rPr>
              <w:t>000</w:t>
            </w:r>
          </w:p>
        </w:tc>
      </w:tr>
      <w:tr w:rsidR="002F1FA4" w:rsidRPr="00E909DB" w:rsidTr="00EC7A94">
        <w:tc>
          <w:tcPr>
            <w:tcW w:w="709" w:type="dxa"/>
            <w:vMerge/>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398" w:type="dxa"/>
            <w:vMerge w:val="restart"/>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Primera reunión de autores (</w:t>
            </w:r>
            <w:r w:rsidR="002F1FA4" w:rsidRPr="00E909DB">
              <w:rPr>
                <w:rFonts w:ascii="Times New Roman" w:eastAsia="SimSun" w:hAnsi="Times New Roman"/>
                <w:sz w:val="20"/>
                <w:szCs w:val="20"/>
                <w:lang w:val="es-ES" w:eastAsia="zh-CN"/>
              </w:rPr>
              <w:t>50</w:t>
            </w:r>
            <w:r w:rsidRPr="00E909DB">
              <w:rPr>
                <w:rFonts w:ascii="Times New Roman" w:eastAsia="SimSun" w:hAnsi="Times New Roman"/>
                <w:sz w:val="20"/>
                <w:szCs w:val="20"/>
                <w:lang w:val="es-ES" w:eastAsia="zh-CN"/>
              </w:rPr>
              <w:t> copresidentes,</w:t>
            </w:r>
            <w:r w:rsidR="00ED548F">
              <w:rPr>
                <w:rFonts w:ascii="Times New Roman" w:eastAsia="SimSun" w:hAnsi="Times New Roman"/>
                <w:sz w:val="20"/>
                <w:szCs w:val="20"/>
                <w:lang w:val="es-ES" w:eastAsia="zh-CN"/>
              </w:rPr>
              <w:t xml:space="preserve"> </w:t>
            </w:r>
            <w:r w:rsidRPr="00E909DB">
              <w:rPr>
                <w:rFonts w:ascii="Times New Roman" w:eastAsia="SimSun" w:hAnsi="Times New Roman"/>
                <w:sz w:val="20"/>
                <w:szCs w:val="20"/>
                <w:lang w:val="es-ES" w:eastAsia="zh-CN"/>
              </w:rPr>
              <w:t>autores principales encargados de la coordinación y autores principales más 4 miembros del Grupo</w:t>
            </w:r>
            <w:r w:rsidRPr="00E909DB">
              <w:rPr>
                <w:rFonts w:ascii="Times New Roman" w:eastAsia="SimSun" w:hAnsi="Times New Roman"/>
                <w:sz w:val="18"/>
                <w:szCs w:val="18"/>
                <w:lang w:val="es-ES" w:eastAsia="zh-CN"/>
              </w:rPr>
              <w:t xml:space="preserve"> </w:t>
            </w:r>
            <w:r w:rsidRPr="00E909DB">
              <w:rPr>
                <w:rFonts w:ascii="Times New Roman" w:eastAsia="SimSun" w:hAnsi="Times New Roman"/>
                <w:sz w:val="20"/>
                <w:szCs w:val="20"/>
                <w:lang w:val="es-ES" w:eastAsia="zh-CN"/>
              </w:rPr>
              <w:t>multidisciplinario de expertos /Mesa más 1 funcionario de apoyo técnico)</w:t>
            </w: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 xml:space="preserve">Costos de la reunión (1 semana, </w:t>
            </w:r>
            <w:r w:rsidR="002F1FA4" w:rsidRPr="00E909DB">
              <w:rPr>
                <w:rFonts w:ascii="Times New Roman" w:eastAsia="SimSun" w:hAnsi="Times New Roman"/>
                <w:sz w:val="20"/>
                <w:szCs w:val="20"/>
                <w:lang w:val="es-ES" w:eastAsia="zh-CN"/>
              </w:rPr>
              <w:t>55</w:t>
            </w:r>
            <w:r w:rsidRPr="00E909DB">
              <w:rPr>
                <w:rFonts w:ascii="Times New Roman" w:eastAsia="SimSun" w:hAnsi="Times New Roman"/>
                <w:sz w:val="20"/>
                <w:szCs w:val="20"/>
                <w:lang w:val="es-ES" w:eastAsia="zh-CN"/>
              </w:rPr>
              <w:t xml:space="preserve"> participantes) (25% en especie)</w:t>
            </w:r>
          </w:p>
        </w:tc>
        <w:tc>
          <w:tcPr>
            <w:tcW w:w="1134" w:type="dxa"/>
          </w:tcPr>
          <w:p w:rsidR="00966F25" w:rsidRPr="00E909DB" w:rsidRDefault="00966F25" w:rsidP="008D76C0">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1</w:t>
            </w:r>
            <w:r w:rsidR="002F1FA4" w:rsidRPr="00E909DB">
              <w:rPr>
                <w:rFonts w:ascii="Times New Roman" w:eastAsia="SimSun" w:hAnsi="Times New Roman"/>
                <w:sz w:val="20"/>
                <w:szCs w:val="20"/>
                <w:lang w:val="es-ES" w:eastAsia="zh-CN"/>
              </w:rPr>
              <w:t>1</w:t>
            </w:r>
            <w:r w:rsidR="00ED548F">
              <w:rPr>
                <w:rFonts w:ascii="Times New Roman" w:eastAsia="SimSun" w:hAnsi="Times New Roman"/>
                <w:sz w:val="20"/>
                <w:szCs w:val="20"/>
                <w:lang w:val="es-ES" w:eastAsia="zh-CN"/>
              </w:rPr>
              <w:t> </w:t>
            </w:r>
            <w:r w:rsidR="002F1FA4" w:rsidRPr="00E909DB">
              <w:rPr>
                <w:rFonts w:ascii="Times New Roman" w:eastAsia="SimSun" w:hAnsi="Times New Roman"/>
                <w:sz w:val="20"/>
                <w:szCs w:val="20"/>
                <w:lang w:val="es-ES" w:eastAsia="zh-CN"/>
              </w:rPr>
              <w:t>250</w:t>
            </w:r>
          </w:p>
        </w:tc>
      </w:tr>
      <w:tr w:rsidR="002F1FA4" w:rsidRPr="00E909DB" w:rsidTr="00EC7A94">
        <w:trPr>
          <w:trHeight w:val="339"/>
        </w:trPr>
        <w:tc>
          <w:tcPr>
            <w:tcW w:w="709" w:type="dxa"/>
            <w:vMerge/>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398" w:type="dxa"/>
            <w:vMerge/>
            <w:tcBorders>
              <w:bottom w:val="single" w:sz="4" w:space="0" w:color="auto"/>
            </w:tcBorders>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402" w:type="dxa"/>
            <w:tcBorders>
              <w:bottom w:val="single" w:sz="4" w:space="0" w:color="auto"/>
            </w:tcBorders>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Viajes y dietas (</w:t>
            </w:r>
            <w:r w:rsidR="002F1FA4" w:rsidRPr="00E909DB">
              <w:rPr>
                <w:rFonts w:ascii="Times New Roman" w:eastAsia="SimSun" w:hAnsi="Times New Roman"/>
                <w:sz w:val="20"/>
                <w:szCs w:val="20"/>
                <w:lang w:val="es-ES" w:eastAsia="zh-CN"/>
              </w:rPr>
              <w:t>41</w:t>
            </w:r>
            <w:r w:rsidRPr="00E909DB">
              <w:rPr>
                <w:rFonts w:ascii="Times New Roman" w:eastAsia="SimSun" w:hAnsi="Times New Roman"/>
                <w:sz w:val="20"/>
                <w:szCs w:val="20"/>
                <w:lang w:val="es-ES" w:eastAsia="zh-CN"/>
              </w:rPr>
              <w:t xml:space="preserve"> x 3.000 dólares)</w:t>
            </w:r>
          </w:p>
        </w:tc>
        <w:tc>
          <w:tcPr>
            <w:tcW w:w="1134" w:type="dxa"/>
            <w:tcBorders>
              <w:bottom w:val="single" w:sz="4" w:space="0" w:color="auto"/>
            </w:tcBorders>
          </w:tcPr>
          <w:p w:rsidR="00966F25" w:rsidRPr="00E909DB" w:rsidRDefault="00966F25" w:rsidP="008D76C0">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1</w:t>
            </w:r>
            <w:r w:rsidR="002F1FA4" w:rsidRPr="00E909DB">
              <w:rPr>
                <w:rFonts w:ascii="Times New Roman" w:eastAsia="SimSun" w:hAnsi="Times New Roman"/>
                <w:sz w:val="20"/>
                <w:szCs w:val="20"/>
                <w:lang w:val="es-ES" w:eastAsia="zh-CN"/>
              </w:rPr>
              <w:t>23</w:t>
            </w:r>
            <w:r w:rsidR="00ED548F">
              <w:rPr>
                <w:rFonts w:ascii="Times New Roman" w:eastAsia="SimSun" w:hAnsi="Times New Roman"/>
                <w:sz w:val="20"/>
                <w:szCs w:val="20"/>
                <w:lang w:val="es-ES" w:eastAsia="zh-CN"/>
              </w:rPr>
              <w:t> </w:t>
            </w:r>
            <w:r w:rsidRPr="00E909DB">
              <w:rPr>
                <w:rFonts w:ascii="Times New Roman" w:eastAsia="SimSun" w:hAnsi="Times New Roman"/>
                <w:sz w:val="20"/>
                <w:szCs w:val="20"/>
                <w:lang w:val="es-ES" w:eastAsia="zh-CN"/>
              </w:rPr>
              <w:t>000</w:t>
            </w:r>
          </w:p>
        </w:tc>
      </w:tr>
      <w:tr w:rsidR="002F1FA4" w:rsidRPr="00E909DB" w:rsidTr="00EC7A94">
        <w:trPr>
          <w:trHeight w:val="361"/>
        </w:trPr>
        <w:tc>
          <w:tcPr>
            <w:tcW w:w="709" w:type="dxa"/>
            <w:vMerge/>
            <w:tcBorders>
              <w:bottom w:val="single" w:sz="4" w:space="0" w:color="auto"/>
            </w:tcBorders>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398" w:type="dxa"/>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Apoyo técnico</w:t>
            </w:r>
          </w:p>
        </w:tc>
        <w:tc>
          <w:tcPr>
            <w:tcW w:w="3402" w:type="dxa"/>
          </w:tcPr>
          <w:p w:rsidR="00966F25" w:rsidRPr="00E909DB" w:rsidRDefault="00966F25" w:rsidP="008D76C0">
            <w:pPr>
              <w:tabs>
                <w:tab w:val="left" w:pos="426"/>
              </w:tabs>
              <w:autoSpaceDE w:val="0"/>
              <w:autoSpaceDN w:val="0"/>
              <w:adjustRightInd w:val="0"/>
              <w:spacing w:before="20" w:after="20" w:line="240" w:lineRule="auto"/>
              <w:contextualSpacing/>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1 puesto equivalente a funcionario del</w:t>
            </w:r>
            <w:r w:rsidR="00ED548F">
              <w:rPr>
                <w:rFonts w:ascii="Times New Roman" w:eastAsia="SimSun" w:hAnsi="Times New Roman"/>
                <w:sz w:val="20"/>
                <w:szCs w:val="20"/>
                <w:lang w:val="es-ES" w:eastAsia="zh-CN"/>
              </w:rPr>
              <w:t xml:space="preserve"> </w:t>
            </w:r>
            <w:r w:rsidRPr="00E909DB">
              <w:rPr>
                <w:rFonts w:ascii="Times New Roman" w:eastAsia="SimSun" w:hAnsi="Times New Roman"/>
                <w:sz w:val="20"/>
                <w:szCs w:val="20"/>
                <w:lang w:val="es-ES" w:eastAsia="zh-CN"/>
              </w:rPr>
              <w:t xml:space="preserve">cuadro orgánico a tiempo completo </w:t>
            </w:r>
            <w:r w:rsidR="00ED548F">
              <w:rPr>
                <w:rFonts w:ascii="Times New Roman" w:eastAsia="SimSun" w:hAnsi="Times New Roman"/>
                <w:sz w:val="20"/>
                <w:szCs w:val="20"/>
                <w:lang w:val="es-ES" w:eastAsia="zh-CN"/>
              </w:rPr>
              <w:t>(50</w:t>
            </w:r>
            <w:r w:rsidRPr="00E909DB">
              <w:rPr>
                <w:rFonts w:ascii="Times New Roman" w:eastAsia="SimSun" w:hAnsi="Times New Roman"/>
                <w:sz w:val="20"/>
                <w:szCs w:val="20"/>
                <w:lang w:val="es-ES" w:eastAsia="zh-CN"/>
              </w:rPr>
              <w:t>% en especie)</w:t>
            </w:r>
          </w:p>
        </w:tc>
        <w:tc>
          <w:tcPr>
            <w:tcW w:w="1134" w:type="dxa"/>
            <w:tcBorders>
              <w:bottom w:val="single" w:sz="4" w:space="0" w:color="auto"/>
            </w:tcBorders>
          </w:tcPr>
          <w:p w:rsidR="00966F25" w:rsidRPr="00E909DB" w:rsidRDefault="00ED548F" w:rsidP="008D76C0">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Pr>
                <w:rFonts w:ascii="Times New Roman" w:eastAsia="SimSun" w:hAnsi="Times New Roman"/>
                <w:sz w:val="20"/>
                <w:szCs w:val="20"/>
                <w:lang w:val="es-ES" w:eastAsia="zh-CN"/>
              </w:rPr>
              <w:t>75 </w:t>
            </w:r>
            <w:r w:rsidR="00966F25" w:rsidRPr="00E909DB">
              <w:rPr>
                <w:rFonts w:ascii="Times New Roman" w:eastAsia="SimSun" w:hAnsi="Times New Roman"/>
                <w:sz w:val="20"/>
                <w:szCs w:val="20"/>
                <w:lang w:val="es-ES" w:eastAsia="zh-CN"/>
              </w:rPr>
              <w:t>000</w:t>
            </w:r>
          </w:p>
        </w:tc>
      </w:tr>
      <w:tr w:rsidR="002F1FA4" w:rsidRPr="00E909DB" w:rsidTr="00EC7A94">
        <w:tc>
          <w:tcPr>
            <w:tcW w:w="709" w:type="dxa"/>
            <w:vMerge w:val="restart"/>
            <w:vAlign w:val="center"/>
          </w:tcPr>
          <w:p w:rsidR="00966F25" w:rsidRPr="00E909DB" w:rsidRDefault="00966F25" w:rsidP="008D76C0">
            <w:pPr>
              <w:tabs>
                <w:tab w:val="left" w:pos="426"/>
              </w:tabs>
              <w:autoSpaceDE w:val="0"/>
              <w:autoSpaceDN w:val="0"/>
              <w:adjustRightInd w:val="0"/>
              <w:spacing w:before="20" w:after="20" w:line="240" w:lineRule="auto"/>
              <w:contextualSpacing/>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2015</w:t>
            </w:r>
          </w:p>
        </w:tc>
        <w:tc>
          <w:tcPr>
            <w:tcW w:w="3398" w:type="dxa"/>
            <w:vMerge w:val="restart"/>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Segunda reunión de autores</w:t>
            </w:r>
            <w:r w:rsidR="002F1FA4" w:rsidRPr="00E909DB">
              <w:rPr>
                <w:rFonts w:ascii="Times New Roman" w:eastAsia="SimSun" w:hAnsi="Times New Roman"/>
                <w:sz w:val="20"/>
                <w:szCs w:val="20"/>
                <w:lang w:val="es-ES" w:eastAsia="zh-CN"/>
              </w:rPr>
              <w:t xml:space="preserve"> (</w:t>
            </w:r>
            <w:r w:rsidRPr="00E909DB">
              <w:rPr>
                <w:rFonts w:ascii="Times New Roman" w:eastAsia="SimSun" w:hAnsi="Times New Roman"/>
                <w:sz w:val="20"/>
                <w:szCs w:val="20"/>
                <w:lang w:val="es-ES" w:eastAsia="zh-CN"/>
              </w:rPr>
              <w:t>5</w:t>
            </w:r>
            <w:r w:rsidR="002F1FA4" w:rsidRPr="00E909DB">
              <w:rPr>
                <w:rFonts w:ascii="Times New Roman" w:eastAsia="SimSun" w:hAnsi="Times New Roman"/>
                <w:sz w:val="20"/>
                <w:szCs w:val="20"/>
                <w:lang w:val="es-ES" w:eastAsia="zh-CN"/>
              </w:rPr>
              <w:t>0</w:t>
            </w:r>
            <w:r w:rsidRPr="00E909DB">
              <w:rPr>
                <w:rFonts w:ascii="Times New Roman" w:eastAsia="SimSun" w:hAnsi="Times New Roman"/>
                <w:sz w:val="20"/>
                <w:szCs w:val="20"/>
                <w:lang w:val="es-ES" w:eastAsia="zh-CN"/>
              </w:rPr>
              <w:t> copresidentes,</w:t>
            </w:r>
            <w:r w:rsidR="00ED548F">
              <w:rPr>
                <w:rFonts w:ascii="Times New Roman" w:eastAsia="SimSun" w:hAnsi="Times New Roman"/>
                <w:sz w:val="20"/>
                <w:szCs w:val="20"/>
                <w:lang w:val="es-ES" w:eastAsia="zh-CN"/>
              </w:rPr>
              <w:t xml:space="preserve"> </w:t>
            </w:r>
            <w:r w:rsidRPr="00E909DB">
              <w:rPr>
                <w:rFonts w:ascii="Times New Roman" w:eastAsia="SimSun" w:hAnsi="Times New Roman"/>
                <w:sz w:val="20"/>
                <w:szCs w:val="20"/>
                <w:lang w:val="es-ES" w:eastAsia="zh-CN"/>
              </w:rPr>
              <w:t>autores principales encargados de la coordinación y autores principales más 1</w:t>
            </w:r>
            <w:r w:rsidR="002F1FA4" w:rsidRPr="00E909DB">
              <w:rPr>
                <w:rFonts w:ascii="Times New Roman" w:eastAsia="SimSun" w:hAnsi="Times New Roman"/>
                <w:sz w:val="20"/>
                <w:szCs w:val="20"/>
                <w:lang w:val="es-ES" w:eastAsia="zh-CN"/>
              </w:rPr>
              <w:t>0</w:t>
            </w:r>
            <w:r w:rsidRPr="00E909DB">
              <w:rPr>
                <w:rFonts w:ascii="Times New Roman" w:eastAsia="SimSun" w:hAnsi="Times New Roman"/>
                <w:sz w:val="20"/>
                <w:szCs w:val="20"/>
                <w:lang w:val="es-ES" w:eastAsia="zh-CN"/>
              </w:rPr>
              <w:t xml:space="preserve"> revisores más 4 miembros del Grupo</w:t>
            </w:r>
            <w:r w:rsidR="002F1FA4" w:rsidRPr="00E909DB">
              <w:rPr>
                <w:rFonts w:ascii="Times New Roman" w:eastAsia="SimSun" w:hAnsi="Times New Roman"/>
                <w:sz w:val="20"/>
                <w:szCs w:val="20"/>
                <w:lang w:val="es-ES" w:eastAsia="zh-CN"/>
              </w:rPr>
              <w:t xml:space="preserve"> </w:t>
            </w:r>
            <w:r w:rsidRPr="00E909DB">
              <w:rPr>
                <w:rFonts w:ascii="Times New Roman" w:eastAsia="SimSun" w:hAnsi="Times New Roman"/>
                <w:sz w:val="20"/>
                <w:szCs w:val="20"/>
                <w:lang w:val="es-ES" w:eastAsia="zh-CN"/>
              </w:rPr>
              <w:t>multidisciplinario de expertos/Mesa más 1 funcionario de apoyo técnico)</w:t>
            </w: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Costos de la reunión (1 semana</w:t>
            </w:r>
            <w:r w:rsidR="002F1FA4" w:rsidRPr="00E909DB">
              <w:rPr>
                <w:rFonts w:ascii="Times New Roman" w:eastAsia="SimSun" w:hAnsi="Times New Roman"/>
                <w:sz w:val="20"/>
                <w:szCs w:val="20"/>
                <w:lang w:val="es-ES" w:eastAsia="zh-CN"/>
              </w:rPr>
              <w:t xml:space="preserve">, </w:t>
            </w:r>
            <w:r w:rsidRPr="00E909DB">
              <w:rPr>
                <w:rFonts w:ascii="Times New Roman" w:eastAsia="SimSun" w:hAnsi="Times New Roman"/>
                <w:sz w:val="20"/>
                <w:szCs w:val="20"/>
                <w:lang w:val="es-ES" w:eastAsia="zh-CN"/>
              </w:rPr>
              <w:t>6</w:t>
            </w:r>
            <w:r w:rsidR="002F1FA4" w:rsidRPr="00E909DB">
              <w:rPr>
                <w:rFonts w:ascii="Times New Roman" w:eastAsia="SimSun" w:hAnsi="Times New Roman"/>
                <w:sz w:val="20"/>
                <w:szCs w:val="20"/>
                <w:lang w:val="es-ES" w:eastAsia="zh-CN"/>
              </w:rPr>
              <w:t>5</w:t>
            </w:r>
            <w:r w:rsidRPr="00E909DB">
              <w:rPr>
                <w:rFonts w:ascii="Times New Roman" w:eastAsia="SimSun" w:hAnsi="Times New Roman"/>
                <w:sz w:val="20"/>
                <w:szCs w:val="20"/>
                <w:lang w:val="es-ES" w:eastAsia="zh-CN"/>
              </w:rPr>
              <w:t xml:space="preserve"> participantes) (25% en especie)</w:t>
            </w:r>
          </w:p>
        </w:tc>
        <w:tc>
          <w:tcPr>
            <w:tcW w:w="1134" w:type="dxa"/>
          </w:tcPr>
          <w:p w:rsidR="00966F25" w:rsidRPr="00E909DB" w:rsidRDefault="00ED548F" w:rsidP="008D76C0">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Pr>
                <w:rFonts w:ascii="Times New Roman" w:eastAsia="SimSun" w:hAnsi="Times New Roman"/>
                <w:sz w:val="20"/>
                <w:szCs w:val="20"/>
                <w:lang w:val="es-ES" w:eastAsia="zh-CN"/>
              </w:rPr>
              <w:t>15 </w:t>
            </w:r>
            <w:r w:rsidR="00966F25" w:rsidRPr="00E909DB">
              <w:rPr>
                <w:rFonts w:ascii="Times New Roman" w:eastAsia="SimSun" w:hAnsi="Times New Roman"/>
                <w:sz w:val="20"/>
                <w:szCs w:val="20"/>
                <w:lang w:val="es-ES" w:eastAsia="zh-CN"/>
              </w:rPr>
              <w:t>000</w:t>
            </w:r>
          </w:p>
        </w:tc>
      </w:tr>
      <w:tr w:rsidR="002F1FA4" w:rsidRPr="00E909DB" w:rsidTr="00EC7A94">
        <w:trPr>
          <w:trHeight w:val="361"/>
        </w:trPr>
        <w:tc>
          <w:tcPr>
            <w:tcW w:w="709" w:type="dxa"/>
            <w:vMerge/>
            <w:vAlign w:val="center"/>
          </w:tcPr>
          <w:p w:rsidR="00966F25" w:rsidRPr="00E909DB" w:rsidRDefault="00966F25" w:rsidP="008D76C0">
            <w:pPr>
              <w:tabs>
                <w:tab w:val="left" w:pos="426"/>
              </w:tabs>
              <w:autoSpaceDE w:val="0"/>
              <w:autoSpaceDN w:val="0"/>
              <w:adjustRightInd w:val="0"/>
              <w:spacing w:before="20" w:after="20" w:line="240" w:lineRule="auto"/>
              <w:contextualSpacing/>
              <w:rPr>
                <w:rFonts w:ascii="Times New Roman" w:eastAsia="SimSun" w:hAnsi="Times New Roman"/>
                <w:sz w:val="20"/>
                <w:szCs w:val="20"/>
                <w:lang w:val="es-ES" w:eastAsia="zh-CN"/>
              </w:rPr>
            </w:pPr>
          </w:p>
        </w:tc>
        <w:tc>
          <w:tcPr>
            <w:tcW w:w="3398" w:type="dxa"/>
            <w:vMerge/>
            <w:tcBorders>
              <w:bottom w:val="single" w:sz="4" w:space="0" w:color="auto"/>
            </w:tcBorders>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402" w:type="dxa"/>
            <w:tcBorders>
              <w:bottom w:val="single" w:sz="4" w:space="0" w:color="auto"/>
            </w:tcBorders>
          </w:tcPr>
          <w:p w:rsidR="00966F25" w:rsidRPr="00E909DB" w:rsidRDefault="002F1FA4"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Viajes y dietas (49</w:t>
            </w:r>
            <w:r w:rsidR="00966F25" w:rsidRPr="00E909DB">
              <w:rPr>
                <w:rFonts w:ascii="Times New Roman" w:eastAsia="SimSun" w:hAnsi="Times New Roman"/>
                <w:sz w:val="20"/>
                <w:szCs w:val="20"/>
                <w:lang w:val="es-ES" w:eastAsia="zh-CN"/>
              </w:rPr>
              <w:t xml:space="preserve"> x 3.000 dólares)</w:t>
            </w:r>
          </w:p>
        </w:tc>
        <w:tc>
          <w:tcPr>
            <w:tcW w:w="1134" w:type="dxa"/>
            <w:tcBorders>
              <w:bottom w:val="single" w:sz="4" w:space="0" w:color="auto"/>
            </w:tcBorders>
          </w:tcPr>
          <w:p w:rsidR="00966F25" w:rsidRPr="00E909DB" w:rsidRDefault="00966F25" w:rsidP="008D76C0">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1</w:t>
            </w:r>
            <w:r w:rsidR="002F1FA4" w:rsidRPr="00E909DB">
              <w:rPr>
                <w:rFonts w:ascii="Times New Roman" w:eastAsia="SimSun" w:hAnsi="Times New Roman"/>
                <w:sz w:val="20"/>
                <w:szCs w:val="20"/>
                <w:lang w:val="es-ES" w:eastAsia="zh-CN"/>
              </w:rPr>
              <w:t>47</w:t>
            </w:r>
            <w:r w:rsidR="00ED548F">
              <w:rPr>
                <w:rFonts w:ascii="Times New Roman" w:eastAsia="SimSun" w:hAnsi="Times New Roman"/>
                <w:sz w:val="20"/>
                <w:szCs w:val="20"/>
                <w:lang w:val="es-ES" w:eastAsia="zh-CN"/>
              </w:rPr>
              <w:t> </w:t>
            </w:r>
            <w:r w:rsidRPr="00E909DB">
              <w:rPr>
                <w:rFonts w:ascii="Times New Roman" w:eastAsia="SimSun" w:hAnsi="Times New Roman"/>
                <w:sz w:val="20"/>
                <w:szCs w:val="20"/>
                <w:lang w:val="es-ES" w:eastAsia="zh-CN"/>
              </w:rPr>
              <w:t>000</w:t>
            </w:r>
          </w:p>
        </w:tc>
      </w:tr>
      <w:tr w:rsidR="002F1FA4" w:rsidRPr="00E909DB" w:rsidTr="00EC7A94">
        <w:tc>
          <w:tcPr>
            <w:tcW w:w="709" w:type="dxa"/>
            <w:vMerge/>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398" w:type="dxa"/>
            <w:vMerge w:val="restart"/>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Tercera reunión de autores (</w:t>
            </w:r>
            <w:r w:rsidR="002F1FA4" w:rsidRPr="00E909DB">
              <w:rPr>
                <w:rFonts w:ascii="Times New Roman" w:eastAsia="SimSun" w:hAnsi="Times New Roman"/>
                <w:sz w:val="20"/>
                <w:szCs w:val="20"/>
                <w:lang w:val="es-ES" w:eastAsia="zh-CN"/>
              </w:rPr>
              <w:t>30</w:t>
            </w:r>
            <w:r w:rsidRPr="00E909DB">
              <w:rPr>
                <w:rFonts w:ascii="Times New Roman" w:eastAsia="SimSun" w:hAnsi="Times New Roman"/>
                <w:sz w:val="20"/>
                <w:szCs w:val="20"/>
                <w:lang w:val="es-ES" w:eastAsia="zh-CN"/>
              </w:rPr>
              <w:t> copresidentes,</w:t>
            </w:r>
            <w:r w:rsidR="00ED548F">
              <w:rPr>
                <w:rFonts w:ascii="Times New Roman" w:eastAsia="SimSun" w:hAnsi="Times New Roman"/>
                <w:sz w:val="20"/>
                <w:szCs w:val="20"/>
                <w:lang w:val="es-ES" w:eastAsia="zh-CN"/>
              </w:rPr>
              <w:t xml:space="preserve"> </w:t>
            </w:r>
            <w:r w:rsidRPr="00E909DB">
              <w:rPr>
                <w:rFonts w:ascii="Times New Roman" w:eastAsia="SimSun" w:hAnsi="Times New Roman"/>
                <w:sz w:val="20"/>
                <w:szCs w:val="20"/>
                <w:lang w:val="es-ES" w:eastAsia="zh-CN"/>
              </w:rPr>
              <w:t>autores principales encargados de la coordinación y autores principales más</w:t>
            </w:r>
            <w:r w:rsidR="002F1FA4" w:rsidRPr="00E909DB">
              <w:rPr>
                <w:rFonts w:ascii="Times New Roman" w:eastAsia="SimSun" w:hAnsi="Times New Roman"/>
                <w:sz w:val="20"/>
                <w:szCs w:val="20"/>
                <w:lang w:val="es-ES" w:eastAsia="zh-CN"/>
              </w:rPr>
              <w:t xml:space="preserve"> 8</w:t>
            </w:r>
            <w:r w:rsidRPr="00E909DB">
              <w:rPr>
                <w:rFonts w:ascii="Times New Roman" w:eastAsia="SimSun" w:hAnsi="Times New Roman"/>
                <w:sz w:val="20"/>
                <w:szCs w:val="20"/>
                <w:lang w:val="es-ES" w:eastAsia="zh-CN"/>
              </w:rPr>
              <w:t xml:space="preserve"> revisores, más 4 miembros del Grupo multidisciplinario de expertos/Mesa más 1 funcionario de apoyo técnico)</w:t>
            </w: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 xml:space="preserve">Costos </w:t>
            </w:r>
            <w:r w:rsidR="002F1FA4" w:rsidRPr="00E909DB">
              <w:rPr>
                <w:rFonts w:ascii="Times New Roman" w:eastAsia="SimSun" w:hAnsi="Times New Roman"/>
                <w:sz w:val="20"/>
                <w:szCs w:val="20"/>
                <w:lang w:val="es-ES" w:eastAsia="zh-CN"/>
              </w:rPr>
              <w:t xml:space="preserve">de la reunión (1 semana, </w:t>
            </w:r>
            <w:r w:rsidRPr="00E909DB">
              <w:rPr>
                <w:rFonts w:ascii="Times New Roman" w:eastAsia="SimSun" w:hAnsi="Times New Roman"/>
                <w:sz w:val="20"/>
                <w:szCs w:val="20"/>
                <w:lang w:val="es-ES" w:eastAsia="zh-CN"/>
              </w:rPr>
              <w:t>6</w:t>
            </w:r>
            <w:r w:rsidR="002F1FA4" w:rsidRPr="00E909DB">
              <w:rPr>
                <w:rFonts w:ascii="Times New Roman" w:eastAsia="SimSun" w:hAnsi="Times New Roman"/>
                <w:sz w:val="20"/>
                <w:szCs w:val="20"/>
                <w:lang w:val="es-ES" w:eastAsia="zh-CN"/>
              </w:rPr>
              <w:t>5</w:t>
            </w:r>
            <w:r w:rsidRPr="00E909DB">
              <w:rPr>
                <w:rFonts w:ascii="Times New Roman" w:eastAsia="SimSun" w:hAnsi="Times New Roman"/>
                <w:sz w:val="20"/>
                <w:szCs w:val="20"/>
                <w:lang w:val="es-ES" w:eastAsia="zh-CN"/>
              </w:rPr>
              <w:t xml:space="preserve"> participantes) (25% en especie)</w:t>
            </w:r>
          </w:p>
        </w:tc>
        <w:tc>
          <w:tcPr>
            <w:tcW w:w="1134" w:type="dxa"/>
          </w:tcPr>
          <w:p w:rsidR="00966F25" w:rsidRPr="00E909DB" w:rsidRDefault="00966F25" w:rsidP="00ED548F">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15</w:t>
            </w:r>
            <w:r w:rsidR="00ED548F">
              <w:rPr>
                <w:rFonts w:ascii="Times New Roman" w:eastAsia="SimSun" w:hAnsi="Times New Roman"/>
                <w:sz w:val="20"/>
                <w:szCs w:val="20"/>
                <w:lang w:val="es-ES" w:eastAsia="zh-CN"/>
              </w:rPr>
              <w:t> </w:t>
            </w:r>
            <w:r w:rsidRPr="00E909DB">
              <w:rPr>
                <w:rFonts w:ascii="Times New Roman" w:eastAsia="SimSun" w:hAnsi="Times New Roman"/>
                <w:sz w:val="20"/>
                <w:szCs w:val="20"/>
                <w:lang w:val="es-ES" w:eastAsia="zh-CN"/>
              </w:rPr>
              <w:t>000</w:t>
            </w:r>
          </w:p>
        </w:tc>
      </w:tr>
      <w:tr w:rsidR="002F1FA4" w:rsidRPr="00E909DB" w:rsidTr="00EC7A94">
        <w:trPr>
          <w:trHeight w:val="339"/>
        </w:trPr>
        <w:tc>
          <w:tcPr>
            <w:tcW w:w="709" w:type="dxa"/>
            <w:vMerge/>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398" w:type="dxa"/>
            <w:vMerge/>
            <w:tcBorders>
              <w:bottom w:val="single" w:sz="4" w:space="0" w:color="auto"/>
            </w:tcBorders>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402" w:type="dxa"/>
            <w:tcBorders>
              <w:bottom w:val="single" w:sz="4" w:space="0" w:color="auto"/>
            </w:tcBorders>
          </w:tcPr>
          <w:p w:rsidR="00966F25" w:rsidRPr="00E909DB" w:rsidRDefault="002F1FA4"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Viajes y dietas (49</w:t>
            </w:r>
            <w:r w:rsidR="00966F25" w:rsidRPr="00E909DB">
              <w:rPr>
                <w:rFonts w:ascii="Times New Roman" w:eastAsia="SimSun" w:hAnsi="Times New Roman"/>
                <w:sz w:val="20"/>
                <w:szCs w:val="20"/>
                <w:lang w:val="es-ES" w:eastAsia="zh-CN"/>
              </w:rPr>
              <w:t xml:space="preserve"> x 3.000 dólares)</w:t>
            </w:r>
          </w:p>
        </w:tc>
        <w:tc>
          <w:tcPr>
            <w:tcW w:w="1134" w:type="dxa"/>
            <w:tcBorders>
              <w:bottom w:val="single" w:sz="4" w:space="0" w:color="auto"/>
            </w:tcBorders>
          </w:tcPr>
          <w:p w:rsidR="00966F25" w:rsidRPr="00E909DB" w:rsidRDefault="00966F25" w:rsidP="00ED548F">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1</w:t>
            </w:r>
            <w:r w:rsidR="002F1FA4" w:rsidRPr="00E909DB">
              <w:rPr>
                <w:rFonts w:ascii="Times New Roman" w:eastAsia="SimSun" w:hAnsi="Times New Roman"/>
                <w:sz w:val="20"/>
                <w:szCs w:val="20"/>
                <w:lang w:val="es-ES" w:eastAsia="zh-CN"/>
              </w:rPr>
              <w:t>47</w:t>
            </w:r>
            <w:r w:rsidR="00ED548F">
              <w:rPr>
                <w:rFonts w:ascii="Times New Roman" w:eastAsia="SimSun" w:hAnsi="Times New Roman"/>
                <w:sz w:val="20"/>
                <w:szCs w:val="20"/>
                <w:lang w:val="es-ES" w:eastAsia="zh-CN"/>
              </w:rPr>
              <w:t> </w:t>
            </w:r>
            <w:r w:rsidRPr="00E909DB">
              <w:rPr>
                <w:rFonts w:ascii="Times New Roman" w:eastAsia="SimSun" w:hAnsi="Times New Roman"/>
                <w:sz w:val="20"/>
                <w:szCs w:val="20"/>
                <w:lang w:val="es-ES" w:eastAsia="zh-CN"/>
              </w:rPr>
              <w:t>000</w:t>
            </w:r>
          </w:p>
        </w:tc>
      </w:tr>
      <w:tr w:rsidR="002F1FA4" w:rsidRPr="00E909DB" w:rsidTr="00EC7A94">
        <w:trPr>
          <w:trHeight w:val="361"/>
        </w:trPr>
        <w:tc>
          <w:tcPr>
            <w:tcW w:w="709" w:type="dxa"/>
            <w:vMerge/>
            <w:tcBorders>
              <w:bottom w:val="single" w:sz="4" w:space="0" w:color="auto"/>
            </w:tcBorders>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398" w:type="dxa"/>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Apoyo técnico</w:t>
            </w:r>
          </w:p>
        </w:tc>
        <w:tc>
          <w:tcPr>
            <w:tcW w:w="3402" w:type="dxa"/>
          </w:tcPr>
          <w:p w:rsidR="00966F25" w:rsidRPr="00E909DB" w:rsidRDefault="00966F25" w:rsidP="00EC7A94">
            <w:pPr>
              <w:tabs>
                <w:tab w:val="left" w:pos="426"/>
              </w:tabs>
              <w:autoSpaceDE w:val="0"/>
              <w:autoSpaceDN w:val="0"/>
              <w:adjustRightInd w:val="0"/>
              <w:spacing w:before="20" w:after="360" w:line="240" w:lineRule="auto"/>
              <w:contextualSpacing/>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1 puesto equivalente a funcionario del cuadro orgánico a tiempo completo (50 % en especie)</w:t>
            </w:r>
          </w:p>
        </w:tc>
        <w:tc>
          <w:tcPr>
            <w:tcW w:w="1134" w:type="dxa"/>
            <w:tcBorders>
              <w:bottom w:val="single" w:sz="4" w:space="0" w:color="auto"/>
            </w:tcBorders>
          </w:tcPr>
          <w:p w:rsidR="00966F25" w:rsidRPr="00E909DB" w:rsidRDefault="00966F25" w:rsidP="00ED548F">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75</w:t>
            </w:r>
            <w:r w:rsidR="00ED548F">
              <w:rPr>
                <w:rFonts w:ascii="Times New Roman" w:eastAsia="SimSun" w:hAnsi="Times New Roman"/>
                <w:sz w:val="20"/>
                <w:szCs w:val="20"/>
                <w:lang w:val="es-ES" w:eastAsia="zh-CN"/>
              </w:rPr>
              <w:t> </w:t>
            </w:r>
            <w:r w:rsidRPr="00E909DB">
              <w:rPr>
                <w:rFonts w:ascii="Times New Roman" w:eastAsia="SimSun" w:hAnsi="Times New Roman"/>
                <w:sz w:val="20"/>
                <w:szCs w:val="20"/>
                <w:lang w:val="es-ES" w:eastAsia="zh-CN"/>
              </w:rPr>
              <w:t>000</w:t>
            </w:r>
          </w:p>
        </w:tc>
      </w:tr>
      <w:tr w:rsidR="002F1FA4" w:rsidRPr="00E909DB" w:rsidTr="00EC7A94">
        <w:trPr>
          <w:trHeight w:val="357"/>
        </w:trPr>
        <w:tc>
          <w:tcPr>
            <w:tcW w:w="709" w:type="dxa"/>
            <w:vMerge w:val="restart"/>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lastRenderedPageBreak/>
              <w:t>2016</w:t>
            </w:r>
          </w:p>
        </w:tc>
        <w:tc>
          <w:tcPr>
            <w:tcW w:w="3398" w:type="dxa"/>
            <w:vAlign w:val="center"/>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Participación de</w:t>
            </w:r>
            <w:r w:rsidR="00ED548F">
              <w:rPr>
                <w:rFonts w:ascii="Times New Roman" w:eastAsia="SimSun" w:hAnsi="Times New Roman"/>
                <w:sz w:val="20"/>
                <w:szCs w:val="20"/>
                <w:lang w:val="es-ES" w:eastAsia="zh-CN"/>
              </w:rPr>
              <w:t xml:space="preserve"> </w:t>
            </w:r>
            <w:r w:rsidRPr="00E909DB">
              <w:rPr>
                <w:rFonts w:ascii="Times New Roman" w:eastAsia="SimSun" w:hAnsi="Times New Roman"/>
                <w:sz w:val="20"/>
                <w:szCs w:val="20"/>
                <w:lang w:val="es-ES" w:eastAsia="zh-CN"/>
              </w:rPr>
              <w:t>2 copresidentes y 2 autores principales encargados de la coordinación en el cuarto período de sesiones del Plenario</w:t>
            </w: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Viajes y dietas (3 x 3.000 dólares)</w:t>
            </w:r>
          </w:p>
        </w:tc>
        <w:tc>
          <w:tcPr>
            <w:tcW w:w="1134" w:type="dxa"/>
          </w:tcPr>
          <w:p w:rsidR="00966F25" w:rsidRPr="00E909DB" w:rsidRDefault="00966F25" w:rsidP="00ED548F">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9</w:t>
            </w:r>
            <w:r w:rsidR="00ED548F">
              <w:rPr>
                <w:rFonts w:ascii="Times New Roman" w:eastAsia="SimSun" w:hAnsi="Times New Roman"/>
                <w:sz w:val="20"/>
                <w:szCs w:val="20"/>
                <w:lang w:val="es-ES" w:eastAsia="zh-CN"/>
              </w:rPr>
              <w:t> </w:t>
            </w:r>
            <w:r w:rsidRPr="00E909DB">
              <w:rPr>
                <w:rFonts w:ascii="Times New Roman" w:eastAsia="SimSun" w:hAnsi="Times New Roman"/>
                <w:sz w:val="20"/>
                <w:szCs w:val="20"/>
                <w:lang w:val="es-ES" w:eastAsia="zh-CN"/>
              </w:rPr>
              <w:t>000</w:t>
            </w:r>
          </w:p>
        </w:tc>
      </w:tr>
      <w:tr w:rsidR="002F1FA4" w:rsidRPr="00E909DB" w:rsidDel="001E184E" w:rsidTr="00EC7A94">
        <w:trPr>
          <w:trHeight w:val="560"/>
        </w:trPr>
        <w:tc>
          <w:tcPr>
            <w:tcW w:w="709" w:type="dxa"/>
            <w:vMerge/>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398"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Difusión y divulgación (resumen para responsables de formular políticas (10 páginas) e informe (200 páginas))</w:t>
            </w: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Traducción del resumen para responsables de formular políticas a todos los idiomas oficiales de las Naciones Unidas, publicación y divulgación</w:t>
            </w:r>
          </w:p>
        </w:tc>
        <w:tc>
          <w:tcPr>
            <w:tcW w:w="1134" w:type="dxa"/>
          </w:tcPr>
          <w:p w:rsidR="00966F25" w:rsidRPr="00E909DB" w:rsidDel="001E184E" w:rsidRDefault="00966F25" w:rsidP="00ED548F">
            <w:pPr>
              <w:tabs>
                <w:tab w:val="left" w:pos="426"/>
              </w:tabs>
              <w:autoSpaceDE w:val="0"/>
              <w:autoSpaceDN w:val="0"/>
              <w:adjustRightInd w:val="0"/>
              <w:spacing w:before="20" w:after="20" w:line="240" w:lineRule="auto"/>
              <w:jc w:val="right"/>
              <w:rPr>
                <w:rFonts w:ascii="Times New Roman" w:eastAsia="SimSun" w:hAnsi="Times New Roman"/>
                <w:sz w:val="20"/>
                <w:szCs w:val="20"/>
                <w:lang w:val="es-ES" w:eastAsia="zh-CN"/>
              </w:rPr>
            </w:pPr>
            <w:r w:rsidRPr="00E909DB">
              <w:rPr>
                <w:rFonts w:ascii="Times New Roman" w:eastAsia="SimSun" w:hAnsi="Times New Roman"/>
                <w:sz w:val="20"/>
                <w:szCs w:val="20"/>
                <w:lang w:val="es-ES" w:eastAsia="zh-CN"/>
              </w:rPr>
              <w:t>117</w:t>
            </w:r>
            <w:r w:rsidR="00ED548F">
              <w:rPr>
                <w:rFonts w:ascii="Times New Roman" w:eastAsia="SimSun" w:hAnsi="Times New Roman"/>
                <w:sz w:val="20"/>
                <w:szCs w:val="20"/>
                <w:lang w:val="es-ES" w:eastAsia="zh-CN"/>
              </w:rPr>
              <w:t> </w:t>
            </w:r>
            <w:r w:rsidRPr="00E909DB">
              <w:rPr>
                <w:rFonts w:ascii="Times New Roman" w:eastAsia="SimSun" w:hAnsi="Times New Roman"/>
                <w:sz w:val="20"/>
                <w:szCs w:val="20"/>
                <w:lang w:val="es-ES" w:eastAsia="zh-CN"/>
              </w:rPr>
              <w:t>000</w:t>
            </w:r>
          </w:p>
        </w:tc>
      </w:tr>
      <w:tr w:rsidR="002F1FA4" w:rsidRPr="00E909DB" w:rsidTr="00EC7A94">
        <w:tc>
          <w:tcPr>
            <w:tcW w:w="709"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b/>
                <w:sz w:val="20"/>
                <w:szCs w:val="20"/>
                <w:lang w:val="es-ES" w:eastAsia="zh-CN"/>
              </w:rPr>
            </w:pPr>
            <w:r w:rsidRPr="00E909DB">
              <w:rPr>
                <w:rFonts w:ascii="Times New Roman" w:eastAsia="SimSun" w:hAnsi="Times New Roman"/>
                <w:b/>
                <w:sz w:val="20"/>
                <w:szCs w:val="20"/>
                <w:lang w:val="es-ES" w:eastAsia="zh-CN"/>
              </w:rPr>
              <w:t>Total</w:t>
            </w:r>
          </w:p>
        </w:tc>
        <w:tc>
          <w:tcPr>
            <w:tcW w:w="3398"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3402" w:type="dxa"/>
          </w:tcPr>
          <w:p w:rsidR="00966F25" w:rsidRPr="00E909DB" w:rsidRDefault="00966F25" w:rsidP="008D76C0">
            <w:pPr>
              <w:tabs>
                <w:tab w:val="left" w:pos="426"/>
              </w:tabs>
              <w:autoSpaceDE w:val="0"/>
              <w:autoSpaceDN w:val="0"/>
              <w:adjustRightInd w:val="0"/>
              <w:spacing w:before="20" w:after="20" w:line="240" w:lineRule="auto"/>
              <w:rPr>
                <w:rFonts w:ascii="Times New Roman" w:eastAsia="SimSun" w:hAnsi="Times New Roman"/>
                <w:sz w:val="20"/>
                <w:szCs w:val="20"/>
                <w:lang w:val="es-ES" w:eastAsia="zh-CN"/>
              </w:rPr>
            </w:pPr>
          </w:p>
        </w:tc>
        <w:tc>
          <w:tcPr>
            <w:tcW w:w="1134" w:type="dxa"/>
          </w:tcPr>
          <w:p w:rsidR="00966F25" w:rsidRPr="00E909DB" w:rsidRDefault="002F1FA4" w:rsidP="00ED548F">
            <w:pPr>
              <w:tabs>
                <w:tab w:val="left" w:pos="426"/>
              </w:tabs>
              <w:autoSpaceDE w:val="0"/>
              <w:autoSpaceDN w:val="0"/>
              <w:adjustRightInd w:val="0"/>
              <w:spacing w:before="20" w:after="20" w:line="240" w:lineRule="auto"/>
              <w:jc w:val="right"/>
              <w:rPr>
                <w:rFonts w:ascii="Times New Roman" w:eastAsia="SimSun" w:hAnsi="Times New Roman"/>
                <w:b/>
                <w:sz w:val="20"/>
                <w:szCs w:val="20"/>
                <w:lang w:val="es-ES" w:eastAsia="zh-CN"/>
              </w:rPr>
            </w:pPr>
            <w:r w:rsidRPr="00E909DB">
              <w:rPr>
                <w:rFonts w:ascii="Times New Roman" w:eastAsia="SimSun" w:hAnsi="Times New Roman"/>
                <w:b/>
                <w:sz w:val="20"/>
                <w:szCs w:val="20"/>
                <w:lang w:val="es-ES" w:eastAsia="zh-CN"/>
              </w:rPr>
              <w:t>798</w:t>
            </w:r>
            <w:r w:rsidR="00ED548F">
              <w:rPr>
                <w:rFonts w:ascii="Times New Roman" w:eastAsia="SimSun" w:hAnsi="Times New Roman"/>
                <w:b/>
                <w:sz w:val="20"/>
                <w:szCs w:val="20"/>
                <w:lang w:val="es-ES" w:eastAsia="zh-CN"/>
              </w:rPr>
              <w:t> </w:t>
            </w:r>
            <w:r w:rsidRPr="00E909DB">
              <w:rPr>
                <w:rFonts w:ascii="Times New Roman" w:eastAsia="SimSun" w:hAnsi="Times New Roman"/>
                <w:b/>
                <w:sz w:val="20"/>
                <w:szCs w:val="20"/>
                <w:lang w:val="es-ES" w:eastAsia="zh-CN"/>
              </w:rPr>
              <w:t>750</w:t>
            </w:r>
          </w:p>
        </w:tc>
      </w:tr>
    </w:tbl>
    <w:p w:rsidR="002E7059" w:rsidRPr="00E909DB" w:rsidRDefault="00EC7A94" w:rsidP="008D76C0">
      <w:pPr>
        <w:pStyle w:val="CH1"/>
        <w:rPr>
          <w:sz w:val="24"/>
          <w:szCs w:val="24"/>
          <w:lang w:val="es-ES"/>
        </w:rPr>
      </w:pPr>
      <w:r>
        <w:rPr>
          <w:sz w:val="24"/>
          <w:szCs w:val="24"/>
          <w:lang w:val="es-ES"/>
        </w:rPr>
        <w:br w:type="page"/>
      </w:r>
      <w:r w:rsidR="00A7519F" w:rsidRPr="00E909DB">
        <w:rPr>
          <w:sz w:val="24"/>
          <w:szCs w:val="24"/>
          <w:lang w:val="es-ES"/>
        </w:rPr>
        <w:lastRenderedPageBreak/>
        <w:t>Referencias</w:t>
      </w:r>
    </w:p>
    <w:p w:rsidR="00C6640F" w:rsidRPr="00E909DB" w:rsidRDefault="00686E4A" w:rsidP="008D76C0">
      <w:pPr>
        <w:suppressAutoHyphens/>
        <w:spacing w:before="360" w:after="120" w:line="240" w:lineRule="auto"/>
        <w:ind w:left="1247"/>
        <w:rPr>
          <w:rFonts w:ascii="Times New Roman" w:hAnsi="Times New Roman"/>
          <w:spacing w:val="-3"/>
          <w:sz w:val="20"/>
          <w:szCs w:val="20"/>
          <w:lang w:val="es-ES"/>
        </w:rPr>
      </w:pPr>
      <w:r w:rsidRPr="00E909DB">
        <w:rPr>
          <w:rFonts w:ascii="Times New Roman" w:hAnsi="Times New Roman"/>
          <w:spacing w:val="-3"/>
          <w:sz w:val="20"/>
          <w:szCs w:val="20"/>
          <w:lang w:val="es-ES"/>
        </w:rPr>
        <w:t xml:space="preserve">Steven L. </w:t>
      </w:r>
      <w:r w:rsidR="000F47EE" w:rsidRPr="00E909DB">
        <w:rPr>
          <w:rFonts w:ascii="Times New Roman" w:hAnsi="Times New Roman"/>
          <w:spacing w:val="-3"/>
          <w:sz w:val="20"/>
          <w:szCs w:val="20"/>
          <w:lang w:val="es-ES"/>
        </w:rPr>
        <w:t>Coles</w:t>
      </w:r>
      <w:r w:rsidR="008A01FA" w:rsidRPr="00E909DB">
        <w:rPr>
          <w:rFonts w:ascii="Times New Roman" w:hAnsi="Times New Roman"/>
          <w:spacing w:val="-3"/>
          <w:sz w:val="20"/>
          <w:szCs w:val="20"/>
          <w:lang w:val="es-ES"/>
        </w:rPr>
        <w:t xml:space="preserve"> </w:t>
      </w:r>
      <w:r w:rsidR="00460555" w:rsidRPr="00E909DB">
        <w:rPr>
          <w:rFonts w:ascii="Times New Roman" w:hAnsi="Times New Roman"/>
          <w:spacing w:val="-3"/>
          <w:sz w:val="20"/>
          <w:szCs w:val="20"/>
          <w:lang w:val="es-ES"/>
        </w:rPr>
        <w:t>y otros</w:t>
      </w:r>
      <w:r w:rsidR="000F47EE" w:rsidRPr="00E909DB">
        <w:rPr>
          <w:rFonts w:ascii="Times New Roman" w:hAnsi="Times New Roman"/>
          <w:spacing w:val="-3"/>
          <w:sz w:val="20"/>
          <w:szCs w:val="20"/>
          <w:lang w:val="es-ES"/>
        </w:rPr>
        <w:t xml:space="preserve">, </w:t>
      </w:r>
      <w:r w:rsidR="00BC7B27" w:rsidRPr="00E909DB">
        <w:rPr>
          <w:rFonts w:ascii="Times New Roman" w:hAnsi="Times New Roman"/>
          <w:spacing w:val="-3"/>
          <w:sz w:val="20"/>
          <w:szCs w:val="20"/>
          <w:lang w:val="es-ES"/>
        </w:rPr>
        <w:t>“</w:t>
      </w:r>
      <w:r w:rsidR="000F47EE" w:rsidRPr="00E909DB">
        <w:rPr>
          <w:rFonts w:ascii="Times New Roman" w:hAnsi="Times New Roman"/>
          <w:spacing w:val="-3"/>
          <w:sz w:val="20"/>
          <w:szCs w:val="20"/>
          <w:lang w:val="es-ES"/>
        </w:rPr>
        <w:t>Historical and recent introductions of non</w:t>
      </w:r>
      <w:r w:rsidR="00FA4996" w:rsidRPr="00E909DB">
        <w:rPr>
          <w:rFonts w:ascii="Times New Roman" w:hAnsi="Times New Roman"/>
          <w:spacing w:val="-3"/>
          <w:sz w:val="20"/>
          <w:szCs w:val="20"/>
          <w:lang w:val="es-ES"/>
        </w:rPr>
        <w:noBreakHyphen/>
      </w:r>
      <w:r w:rsidR="000F47EE" w:rsidRPr="00E909DB">
        <w:rPr>
          <w:rFonts w:ascii="Times New Roman" w:hAnsi="Times New Roman"/>
          <w:spacing w:val="-3"/>
          <w:sz w:val="20"/>
          <w:szCs w:val="20"/>
          <w:lang w:val="es-ES"/>
        </w:rPr>
        <w:t>indigenous marine species into Pearl Harbor, Oahu, Hawaiian Islands</w:t>
      </w:r>
      <w:r w:rsidR="00BC7B27" w:rsidRPr="00E909DB">
        <w:rPr>
          <w:rFonts w:ascii="Times New Roman" w:hAnsi="Times New Roman"/>
          <w:spacing w:val="-3"/>
          <w:sz w:val="20"/>
          <w:szCs w:val="20"/>
          <w:lang w:val="es-ES"/>
        </w:rPr>
        <w:t xml:space="preserve">”, </w:t>
      </w:r>
      <w:r w:rsidR="00BC7B27" w:rsidRPr="00E909DB">
        <w:rPr>
          <w:rFonts w:ascii="Times New Roman" w:hAnsi="Times New Roman"/>
          <w:i/>
          <w:spacing w:val="-3"/>
          <w:sz w:val="20"/>
          <w:szCs w:val="20"/>
          <w:lang w:val="es-ES"/>
        </w:rPr>
        <w:t>Marine Biology,</w:t>
      </w:r>
      <w:r w:rsidR="00BC7B27" w:rsidRPr="00E909DB">
        <w:rPr>
          <w:rFonts w:ascii="Times New Roman" w:hAnsi="Times New Roman"/>
          <w:spacing w:val="-3"/>
          <w:sz w:val="20"/>
          <w:szCs w:val="20"/>
          <w:lang w:val="es-ES"/>
        </w:rPr>
        <w:t xml:space="preserve"> vol. 135, </w:t>
      </w:r>
      <w:r w:rsidR="0056035C" w:rsidRPr="00E909DB">
        <w:rPr>
          <w:rFonts w:ascii="Times New Roman" w:hAnsi="Times New Roman"/>
          <w:spacing w:val="-3"/>
          <w:sz w:val="20"/>
          <w:szCs w:val="20"/>
          <w:lang w:val="es-ES"/>
        </w:rPr>
        <w:t>N</w:t>
      </w:r>
      <w:r w:rsidR="00292BBF" w:rsidRPr="00E909DB">
        <w:rPr>
          <w:rFonts w:ascii="Times New Roman" w:hAnsi="Times New Roman"/>
          <w:spacing w:val="-3"/>
          <w:sz w:val="20"/>
          <w:szCs w:val="20"/>
          <w:lang w:val="es-ES"/>
        </w:rPr>
        <w:t>úm</w:t>
      </w:r>
      <w:r w:rsidR="0056035C" w:rsidRPr="00E909DB">
        <w:rPr>
          <w:rFonts w:ascii="Times New Roman" w:hAnsi="Times New Roman"/>
          <w:spacing w:val="-3"/>
          <w:sz w:val="20"/>
          <w:szCs w:val="20"/>
          <w:lang w:val="es-ES"/>
        </w:rPr>
        <w:t>.</w:t>
      </w:r>
      <w:r w:rsidR="00BC7B27" w:rsidRPr="00E909DB">
        <w:rPr>
          <w:rFonts w:ascii="Times New Roman" w:hAnsi="Times New Roman"/>
          <w:spacing w:val="-3"/>
          <w:sz w:val="20"/>
          <w:szCs w:val="20"/>
          <w:lang w:val="es-ES"/>
        </w:rPr>
        <w:t xml:space="preserve"> 1</w:t>
      </w:r>
      <w:r w:rsidR="000F47EE" w:rsidRPr="00E909DB">
        <w:rPr>
          <w:rFonts w:ascii="Times New Roman" w:hAnsi="Times New Roman"/>
          <w:spacing w:val="-3"/>
          <w:sz w:val="20"/>
          <w:szCs w:val="20"/>
          <w:lang w:val="es-ES"/>
        </w:rPr>
        <w:t xml:space="preserve"> </w:t>
      </w:r>
      <w:r w:rsidR="008A01FA" w:rsidRPr="00E909DB">
        <w:rPr>
          <w:rFonts w:ascii="Times New Roman" w:hAnsi="Times New Roman"/>
          <w:spacing w:val="-3"/>
          <w:sz w:val="20"/>
          <w:szCs w:val="20"/>
          <w:lang w:val="es-ES"/>
        </w:rPr>
        <w:t>(1999)</w:t>
      </w:r>
      <w:r w:rsidR="0056035C" w:rsidRPr="00E909DB">
        <w:rPr>
          <w:rFonts w:ascii="Times New Roman" w:hAnsi="Times New Roman"/>
          <w:spacing w:val="-3"/>
          <w:sz w:val="20"/>
          <w:szCs w:val="20"/>
          <w:lang w:val="es-ES"/>
        </w:rPr>
        <w:t>, p</w:t>
      </w:r>
      <w:r w:rsidR="00292BBF" w:rsidRPr="00E909DB">
        <w:rPr>
          <w:rFonts w:ascii="Times New Roman" w:hAnsi="Times New Roman"/>
          <w:spacing w:val="-3"/>
          <w:sz w:val="20"/>
          <w:szCs w:val="20"/>
          <w:lang w:val="es-ES"/>
        </w:rPr>
        <w:t xml:space="preserve">ágs </w:t>
      </w:r>
      <w:r w:rsidR="0056035C" w:rsidRPr="00E909DB">
        <w:rPr>
          <w:rFonts w:ascii="Times New Roman" w:hAnsi="Times New Roman"/>
          <w:spacing w:val="-3"/>
          <w:sz w:val="20"/>
          <w:szCs w:val="20"/>
          <w:lang w:val="es-ES"/>
        </w:rPr>
        <w:t>147</w:t>
      </w:r>
      <w:r w:rsidR="00292BBF" w:rsidRPr="00E909DB">
        <w:rPr>
          <w:rFonts w:ascii="Times New Roman" w:hAnsi="Times New Roman"/>
          <w:spacing w:val="-3"/>
          <w:sz w:val="20"/>
          <w:szCs w:val="20"/>
          <w:lang w:val="es-ES"/>
        </w:rPr>
        <w:t>a</w:t>
      </w:r>
      <w:r w:rsidR="0056035C" w:rsidRPr="00E909DB">
        <w:rPr>
          <w:rFonts w:ascii="Times New Roman" w:hAnsi="Times New Roman"/>
          <w:spacing w:val="-3"/>
          <w:sz w:val="20"/>
          <w:szCs w:val="20"/>
          <w:lang w:val="es-ES"/>
        </w:rPr>
        <w:t>158</w:t>
      </w:r>
      <w:r w:rsidR="000F47EE" w:rsidRPr="00E909DB">
        <w:rPr>
          <w:rFonts w:ascii="Times New Roman" w:hAnsi="Times New Roman"/>
          <w:spacing w:val="-3"/>
          <w:sz w:val="20"/>
          <w:szCs w:val="20"/>
          <w:lang w:val="es-ES"/>
        </w:rPr>
        <w:t>.</w:t>
      </w:r>
      <w:r w:rsidR="00C6640F" w:rsidRPr="00E909DB">
        <w:rPr>
          <w:rFonts w:ascii="Times New Roman" w:hAnsi="Times New Roman"/>
          <w:spacing w:val="-3"/>
          <w:sz w:val="20"/>
          <w:szCs w:val="20"/>
          <w:lang w:val="es-ES"/>
        </w:rPr>
        <w:t xml:space="preserve"> </w:t>
      </w:r>
    </w:p>
    <w:p w:rsidR="00C6640F" w:rsidRPr="00E909DB" w:rsidRDefault="00C6640F" w:rsidP="008D76C0">
      <w:pPr>
        <w:suppressAutoHyphens/>
        <w:spacing w:after="120" w:line="240" w:lineRule="auto"/>
        <w:ind w:left="1247"/>
        <w:rPr>
          <w:rFonts w:ascii="Times New Roman" w:hAnsi="Times New Roman"/>
          <w:spacing w:val="-3"/>
          <w:sz w:val="20"/>
          <w:szCs w:val="20"/>
          <w:lang w:val="es-ES"/>
        </w:rPr>
      </w:pPr>
      <w:r w:rsidRPr="00E909DB">
        <w:rPr>
          <w:rFonts w:ascii="Times New Roman" w:hAnsi="Times New Roman"/>
          <w:spacing w:val="-3"/>
          <w:sz w:val="20"/>
          <w:szCs w:val="20"/>
          <w:lang w:val="es-ES"/>
        </w:rPr>
        <w:t xml:space="preserve">Coordinating Group on Alien Pest Species, </w:t>
      </w:r>
      <w:r w:rsidRPr="00E909DB">
        <w:rPr>
          <w:rFonts w:ascii="Times New Roman" w:hAnsi="Times New Roman"/>
          <w:i/>
          <w:spacing w:val="-3"/>
          <w:sz w:val="20"/>
          <w:szCs w:val="20"/>
          <w:lang w:val="es-ES"/>
        </w:rPr>
        <w:t>Stop the Silent Invasion</w:t>
      </w:r>
      <w:r w:rsidRPr="00E909DB">
        <w:rPr>
          <w:rFonts w:ascii="Times New Roman" w:hAnsi="Times New Roman"/>
          <w:spacing w:val="-3"/>
          <w:sz w:val="20"/>
          <w:szCs w:val="20"/>
          <w:lang w:val="es-ES"/>
        </w:rPr>
        <w:t xml:space="preserve"> (Honolulu, 1996).</w:t>
      </w:r>
    </w:p>
    <w:p w:rsidR="00C6640F" w:rsidRPr="00E909DB" w:rsidRDefault="00C6640F" w:rsidP="008D76C0">
      <w:pPr>
        <w:spacing w:after="120" w:line="240" w:lineRule="auto"/>
        <w:ind w:left="1247"/>
        <w:rPr>
          <w:rFonts w:ascii="Times New Roman" w:hAnsi="Times New Roman"/>
          <w:sz w:val="20"/>
          <w:szCs w:val="20"/>
          <w:lang w:val="es-ES"/>
        </w:rPr>
      </w:pPr>
      <w:r w:rsidRPr="00E909DB">
        <w:rPr>
          <w:rFonts w:ascii="Times New Roman" w:hAnsi="Times New Roman"/>
          <w:sz w:val="20"/>
          <w:szCs w:val="20"/>
          <w:lang w:val="es-ES"/>
        </w:rPr>
        <w:t xml:space="preserve">Francis Howarth, “Impacts of alien land arthropods and molluscs on native plants and animals in Hawaii”, in </w:t>
      </w:r>
      <w:r w:rsidRPr="00E909DB">
        <w:rPr>
          <w:rFonts w:ascii="Times New Roman" w:hAnsi="Times New Roman"/>
          <w:i/>
          <w:iCs/>
          <w:sz w:val="20"/>
          <w:szCs w:val="20"/>
          <w:lang w:val="es-ES"/>
        </w:rPr>
        <w:t xml:space="preserve">Hawaii's Terrestrial Ecosystems: Preservation and Management, </w:t>
      </w:r>
      <w:r w:rsidRPr="00E909DB">
        <w:rPr>
          <w:rFonts w:ascii="Times New Roman" w:hAnsi="Times New Roman"/>
          <w:sz w:val="20"/>
          <w:szCs w:val="20"/>
          <w:lang w:val="es-ES"/>
        </w:rPr>
        <w:t>eds. C. P. Stone and J. Michael Scott (Honolulu, University of Hawaii Press, 1985).</w:t>
      </w:r>
    </w:p>
    <w:p w:rsidR="00C6640F" w:rsidRPr="00E909DB" w:rsidRDefault="00C6640F" w:rsidP="008D76C0">
      <w:pPr>
        <w:spacing w:after="120" w:line="240" w:lineRule="auto"/>
        <w:ind w:left="1247"/>
        <w:rPr>
          <w:rFonts w:ascii="Times New Roman" w:hAnsi="Times New Roman"/>
          <w:sz w:val="20"/>
          <w:szCs w:val="20"/>
          <w:lang w:val="es-ES"/>
        </w:rPr>
      </w:pPr>
      <w:r w:rsidRPr="00E909DB">
        <w:rPr>
          <w:rFonts w:ascii="Times New Roman" w:hAnsi="Times New Roman"/>
          <w:sz w:val="20"/>
          <w:szCs w:val="20"/>
          <w:lang w:val="es-ES"/>
        </w:rPr>
        <w:t xml:space="preserve">Marianne Kettunen </w:t>
      </w:r>
      <w:r w:rsidR="00460555" w:rsidRPr="00E909DB">
        <w:rPr>
          <w:rFonts w:ascii="Times New Roman" w:hAnsi="Times New Roman"/>
          <w:sz w:val="20"/>
          <w:szCs w:val="20"/>
          <w:lang w:val="es-ES"/>
        </w:rPr>
        <w:t>y otros</w:t>
      </w:r>
      <w:r w:rsidRPr="00E909DB">
        <w:rPr>
          <w:rFonts w:ascii="Times New Roman" w:hAnsi="Times New Roman"/>
          <w:sz w:val="20"/>
          <w:szCs w:val="20"/>
          <w:lang w:val="es-ES"/>
        </w:rPr>
        <w:t xml:space="preserve">, </w:t>
      </w:r>
      <w:r w:rsidRPr="00E909DB">
        <w:rPr>
          <w:rFonts w:ascii="Times New Roman" w:hAnsi="Times New Roman"/>
          <w:i/>
          <w:sz w:val="20"/>
          <w:szCs w:val="20"/>
          <w:lang w:val="es-ES"/>
        </w:rPr>
        <w:t>Technical support to EU strategy on invasive alien species (IAS): Assessment of the impacts of IAS in Europe and the EU</w:t>
      </w:r>
      <w:r w:rsidR="00292BBF" w:rsidRPr="00E909DB">
        <w:rPr>
          <w:rFonts w:ascii="Times New Roman" w:hAnsi="Times New Roman"/>
          <w:i/>
          <w:sz w:val="20"/>
          <w:szCs w:val="20"/>
          <w:lang w:val="es-ES"/>
        </w:rPr>
        <w:t xml:space="preserve"> </w:t>
      </w:r>
      <w:r w:rsidR="00292BBF" w:rsidRPr="00E909DB">
        <w:rPr>
          <w:rFonts w:ascii="Times New Roman" w:hAnsi="Times New Roman"/>
          <w:sz w:val="20"/>
          <w:szCs w:val="20"/>
          <w:lang w:val="es-ES"/>
        </w:rPr>
        <w:t>(Apoyo técnico a la estrategia de la UE sobre especies exóticas invasoras: Evaluación del impacto de lase species exóticas invasoras en Europa y la UE</w:t>
      </w:r>
      <w:r w:rsidRPr="00E909DB">
        <w:rPr>
          <w:rFonts w:ascii="Times New Roman" w:hAnsi="Times New Roman"/>
          <w:i/>
          <w:sz w:val="20"/>
          <w:szCs w:val="20"/>
          <w:lang w:val="es-ES"/>
        </w:rPr>
        <w:t xml:space="preserve"> </w:t>
      </w:r>
      <w:r w:rsidRPr="00E909DB">
        <w:rPr>
          <w:rFonts w:ascii="Times New Roman" w:hAnsi="Times New Roman"/>
          <w:sz w:val="20"/>
          <w:szCs w:val="20"/>
          <w:lang w:val="es-ES"/>
        </w:rPr>
        <w:t>(Brusel</w:t>
      </w:r>
      <w:r w:rsidR="00292BBF" w:rsidRPr="00E909DB">
        <w:rPr>
          <w:rFonts w:ascii="Times New Roman" w:hAnsi="Times New Roman"/>
          <w:sz w:val="20"/>
          <w:szCs w:val="20"/>
          <w:lang w:val="es-ES"/>
        </w:rPr>
        <w:t>a</w:t>
      </w:r>
      <w:r w:rsidRPr="00E909DB">
        <w:rPr>
          <w:rFonts w:ascii="Times New Roman" w:hAnsi="Times New Roman"/>
          <w:sz w:val="20"/>
          <w:szCs w:val="20"/>
          <w:lang w:val="es-ES"/>
        </w:rPr>
        <w:t xml:space="preserve">s, </w:t>
      </w:r>
      <w:r w:rsidR="00292BBF" w:rsidRPr="00E909DB">
        <w:rPr>
          <w:rFonts w:ascii="Times New Roman" w:hAnsi="Times New Roman"/>
          <w:sz w:val="20"/>
          <w:szCs w:val="20"/>
          <w:lang w:val="es-ES"/>
        </w:rPr>
        <w:t>Instituto para la Política Ambiental Europea</w:t>
      </w:r>
      <w:r w:rsidRPr="00E909DB">
        <w:rPr>
          <w:rFonts w:ascii="Times New Roman" w:hAnsi="Times New Roman"/>
          <w:sz w:val="20"/>
          <w:szCs w:val="20"/>
          <w:lang w:val="es-ES"/>
        </w:rPr>
        <w:t>, 2009).</w:t>
      </w:r>
    </w:p>
    <w:p w:rsidR="00C6640F" w:rsidRPr="00E909DB" w:rsidRDefault="00C6640F" w:rsidP="008D76C0">
      <w:pPr>
        <w:autoSpaceDE w:val="0"/>
        <w:autoSpaceDN w:val="0"/>
        <w:adjustRightInd w:val="0"/>
        <w:spacing w:after="120" w:line="240" w:lineRule="auto"/>
        <w:ind w:left="1247"/>
        <w:rPr>
          <w:rFonts w:ascii="Times New Roman" w:hAnsi="Times New Roman"/>
          <w:i/>
          <w:iCs/>
          <w:sz w:val="20"/>
          <w:szCs w:val="20"/>
          <w:lang w:val="es-ES" w:eastAsia="fr-FR"/>
        </w:rPr>
      </w:pPr>
      <w:r w:rsidRPr="00E909DB">
        <w:rPr>
          <w:rFonts w:ascii="Times New Roman" w:hAnsi="Times New Roman"/>
          <w:sz w:val="20"/>
          <w:szCs w:val="20"/>
          <w:lang w:val="es-ES" w:eastAsia="fr-FR"/>
        </w:rPr>
        <w:t xml:space="preserve">J. Le Breton, J. Chazeau </w:t>
      </w:r>
      <w:r w:rsidR="00460555" w:rsidRPr="00E909DB">
        <w:rPr>
          <w:rFonts w:ascii="Times New Roman" w:hAnsi="Times New Roman"/>
          <w:sz w:val="20"/>
          <w:szCs w:val="20"/>
          <w:lang w:val="es-ES" w:eastAsia="fr-FR"/>
        </w:rPr>
        <w:t>y</w:t>
      </w:r>
      <w:r w:rsidRPr="00E909DB">
        <w:rPr>
          <w:rFonts w:ascii="Times New Roman" w:hAnsi="Times New Roman"/>
          <w:sz w:val="20"/>
          <w:szCs w:val="20"/>
          <w:lang w:val="es-ES" w:eastAsia="fr-FR"/>
        </w:rPr>
        <w:t xml:space="preserve"> H. Jourdan, “Immediate impacts of invasion by </w:t>
      </w:r>
      <w:r w:rsidRPr="00E909DB">
        <w:rPr>
          <w:rFonts w:ascii="Times New Roman" w:hAnsi="Times New Roman"/>
          <w:i/>
          <w:iCs/>
          <w:sz w:val="20"/>
          <w:szCs w:val="20"/>
          <w:lang w:val="es-ES" w:eastAsia="fr-FR"/>
        </w:rPr>
        <w:t xml:space="preserve">Wasmannia auropunctata </w:t>
      </w:r>
      <w:r w:rsidRPr="00E909DB">
        <w:rPr>
          <w:rFonts w:ascii="Times New Roman" w:hAnsi="Times New Roman"/>
          <w:sz w:val="20"/>
          <w:szCs w:val="20"/>
          <w:lang w:val="es-ES" w:eastAsia="fr-FR"/>
        </w:rPr>
        <w:t>(Hymenoptera: Formicidae) on native litter ant fauna in a New Caledonian</w:t>
      </w:r>
      <w:r w:rsidRPr="00E909DB">
        <w:rPr>
          <w:rFonts w:ascii="Times New Roman" w:hAnsi="Times New Roman"/>
          <w:i/>
          <w:iCs/>
          <w:sz w:val="20"/>
          <w:szCs w:val="20"/>
          <w:lang w:val="es-ES" w:eastAsia="fr-FR"/>
        </w:rPr>
        <w:t xml:space="preserve"> </w:t>
      </w:r>
      <w:r w:rsidRPr="00E909DB">
        <w:rPr>
          <w:rFonts w:ascii="Times New Roman" w:hAnsi="Times New Roman"/>
          <w:sz w:val="20"/>
          <w:szCs w:val="20"/>
          <w:lang w:val="es-ES" w:eastAsia="fr-FR"/>
        </w:rPr>
        <w:t xml:space="preserve">rainforest”, </w:t>
      </w:r>
      <w:r w:rsidRPr="00E909DB">
        <w:rPr>
          <w:rFonts w:ascii="Times New Roman" w:hAnsi="Times New Roman"/>
          <w:i/>
          <w:sz w:val="20"/>
          <w:szCs w:val="20"/>
          <w:lang w:val="es-ES" w:eastAsia="fr-FR"/>
        </w:rPr>
        <w:t>Austral Ecology</w:t>
      </w:r>
      <w:r w:rsidRPr="00E909DB">
        <w:rPr>
          <w:rFonts w:ascii="Times New Roman" w:hAnsi="Times New Roman"/>
          <w:sz w:val="20"/>
          <w:szCs w:val="20"/>
          <w:lang w:val="es-ES" w:eastAsia="fr-FR"/>
        </w:rPr>
        <w:t>, vol. 28, N</w:t>
      </w:r>
      <w:r w:rsidR="00292BBF" w:rsidRPr="00E909DB">
        <w:rPr>
          <w:rFonts w:ascii="Times New Roman" w:hAnsi="Times New Roman"/>
          <w:sz w:val="20"/>
          <w:szCs w:val="20"/>
          <w:lang w:val="es-ES" w:eastAsia="fr-FR"/>
        </w:rPr>
        <w:t>úm</w:t>
      </w:r>
      <w:r w:rsidRPr="00E909DB">
        <w:rPr>
          <w:rFonts w:ascii="Times New Roman" w:hAnsi="Times New Roman"/>
          <w:sz w:val="20"/>
          <w:szCs w:val="20"/>
          <w:lang w:val="es-ES" w:eastAsia="fr-FR"/>
        </w:rPr>
        <w:t>. 2 (2003), p</w:t>
      </w:r>
      <w:r w:rsidR="00292BBF" w:rsidRPr="00E909DB">
        <w:rPr>
          <w:rFonts w:ascii="Times New Roman" w:hAnsi="Times New Roman"/>
          <w:sz w:val="20"/>
          <w:szCs w:val="20"/>
          <w:lang w:val="es-ES" w:eastAsia="fr-FR"/>
        </w:rPr>
        <w:t xml:space="preserve">ágs. 204 a </w:t>
      </w:r>
      <w:r w:rsidRPr="00E909DB">
        <w:rPr>
          <w:rFonts w:ascii="Times New Roman" w:hAnsi="Times New Roman"/>
          <w:sz w:val="20"/>
          <w:szCs w:val="20"/>
          <w:lang w:val="es-ES" w:eastAsia="fr-FR"/>
        </w:rPr>
        <w:t>209.</w:t>
      </w:r>
    </w:p>
    <w:p w:rsidR="000F47EE" w:rsidRPr="00E909DB" w:rsidRDefault="000F072C" w:rsidP="008D76C0">
      <w:pPr>
        <w:spacing w:after="120" w:line="240" w:lineRule="auto"/>
        <w:ind w:left="1247"/>
        <w:rPr>
          <w:rFonts w:ascii="Times New Roman" w:hAnsi="Times New Roman"/>
          <w:sz w:val="20"/>
          <w:szCs w:val="20"/>
          <w:lang w:val="es-ES"/>
        </w:rPr>
      </w:pPr>
      <w:r w:rsidRPr="00E909DB">
        <w:rPr>
          <w:rFonts w:ascii="Times New Roman" w:hAnsi="Times New Roman"/>
          <w:sz w:val="20"/>
          <w:szCs w:val="20"/>
          <w:lang w:val="es-ES"/>
        </w:rPr>
        <w:t xml:space="preserve">Sarah </w:t>
      </w:r>
      <w:r w:rsidR="00B06C7E" w:rsidRPr="00E909DB">
        <w:rPr>
          <w:rFonts w:ascii="Times New Roman" w:hAnsi="Times New Roman"/>
          <w:sz w:val="20"/>
          <w:szCs w:val="20"/>
          <w:lang w:val="es-ES"/>
        </w:rPr>
        <w:t xml:space="preserve">Lowe </w:t>
      </w:r>
      <w:r w:rsidR="00460555" w:rsidRPr="00E909DB">
        <w:rPr>
          <w:rFonts w:ascii="Times New Roman" w:hAnsi="Times New Roman"/>
          <w:sz w:val="20"/>
          <w:szCs w:val="20"/>
          <w:lang w:val="es-ES"/>
        </w:rPr>
        <w:t>y otros</w:t>
      </w:r>
      <w:r w:rsidR="00B06C7E" w:rsidRPr="00E909DB">
        <w:rPr>
          <w:rFonts w:ascii="Times New Roman" w:hAnsi="Times New Roman"/>
          <w:sz w:val="20"/>
          <w:szCs w:val="20"/>
          <w:lang w:val="es-ES"/>
        </w:rPr>
        <w:t xml:space="preserve">, </w:t>
      </w:r>
      <w:r w:rsidR="00B06C7E" w:rsidRPr="00E909DB">
        <w:rPr>
          <w:rFonts w:ascii="Times New Roman" w:hAnsi="Times New Roman"/>
          <w:i/>
          <w:sz w:val="20"/>
          <w:szCs w:val="20"/>
          <w:lang w:val="es-ES"/>
        </w:rPr>
        <w:t>100 of the World’s Worst Invasive Alien Species</w:t>
      </w:r>
      <w:r w:rsidR="009C40AA" w:rsidRPr="00E909DB">
        <w:rPr>
          <w:rFonts w:ascii="Times New Roman" w:hAnsi="Times New Roman"/>
          <w:i/>
          <w:sz w:val="20"/>
          <w:szCs w:val="20"/>
          <w:lang w:val="es-ES"/>
        </w:rPr>
        <w:t>:</w:t>
      </w:r>
      <w:r w:rsidR="00B06C7E" w:rsidRPr="00E909DB">
        <w:rPr>
          <w:rFonts w:ascii="Times New Roman" w:hAnsi="Times New Roman"/>
          <w:i/>
          <w:sz w:val="20"/>
          <w:szCs w:val="20"/>
          <w:lang w:val="es-ES"/>
        </w:rPr>
        <w:t xml:space="preserve"> A </w:t>
      </w:r>
      <w:r w:rsidR="0056035C" w:rsidRPr="00E909DB">
        <w:rPr>
          <w:rFonts w:ascii="Times New Roman" w:hAnsi="Times New Roman"/>
          <w:i/>
          <w:sz w:val="20"/>
          <w:szCs w:val="20"/>
          <w:lang w:val="es-ES"/>
        </w:rPr>
        <w:t>S</w:t>
      </w:r>
      <w:r w:rsidR="00B06C7E" w:rsidRPr="00E909DB">
        <w:rPr>
          <w:rFonts w:ascii="Times New Roman" w:hAnsi="Times New Roman"/>
          <w:i/>
          <w:sz w:val="20"/>
          <w:szCs w:val="20"/>
          <w:lang w:val="es-ES"/>
        </w:rPr>
        <w:t>election from the Global Invasive Species Database</w:t>
      </w:r>
      <w:r w:rsidR="00B06C7E" w:rsidRPr="00E909DB">
        <w:rPr>
          <w:rFonts w:ascii="Times New Roman" w:hAnsi="Times New Roman"/>
          <w:sz w:val="20"/>
          <w:szCs w:val="20"/>
          <w:lang w:val="es-ES"/>
        </w:rPr>
        <w:t xml:space="preserve"> (</w:t>
      </w:r>
      <w:r w:rsidR="00292BBF" w:rsidRPr="00E909DB">
        <w:rPr>
          <w:rFonts w:ascii="Times New Roman" w:hAnsi="Times New Roman"/>
          <w:sz w:val="20"/>
          <w:szCs w:val="20"/>
          <w:lang w:val="es-ES"/>
        </w:rPr>
        <w:t xml:space="preserve">Grupo de Especialistas en Especies Invasoras de la </w:t>
      </w:r>
      <w:r w:rsidR="000F47EE" w:rsidRPr="00E909DB">
        <w:rPr>
          <w:rStyle w:val="style1"/>
          <w:rFonts w:ascii="Times New Roman" w:hAnsi="Times New Roman"/>
          <w:sz w:val="20"/>
          <w:szCs w:val="20"/>
          <w:lang w:val="es-ES"/>
        </w:rPr>
        <w:t>U</w:t>
      </w:r>
      <w:r w:rsidR="00292BBF" w:rsidRPr="00E909DB">
        <w:rPr>
          <w:rStyle w:val="style1"/>
          <w:rFonts w:ascii="Times New Roman" w:hAnsi="Times New Roman"/>
          <w:sz w:val="20"/>
          <w:szCs w:val="20"/>
          <w:lang w:val="es-ES"/>
        </w:rPr>
        <w:t>I</w:t>
      </w:r>
      <w:r w:rsidR="000F47EE" w:rsidRPr="00E909DB">
        <w:rPr>
          <w:rStyle w:val="style1"/>
          <w:rFonts w:ascii="Times New Roman" w:hAnsi="Times New Roman"/>
          <w:sz w:val="20"/>
          <w:szCs w:val="20"/>
          <w:lang w:val="es-ES"/>
        </w:rPr>
        <w:t>CN</w:t>
      </w:r>
      <w:r w:rsidR="009C40AA" w:rsidRPr="00E909DB">
        <w:rPr>
          <w:rStyle w:val="style1"/>
          <w:rFonts w:ascii="Times New Roman" w:hAnsi="Times New Roman"/>
          <w:sz w:val="20"/>
          <w:szCs w:val="20"/>
          <w:lang w:val="es-ES"/>
        </w:rPr>
        <w:t>, 2000</w:t>
      </w:r>
      <w:r w:rsidR="00B06C7E" w:rsidRPr="00E909DB">
        <w:rPr>
          <w:rStyle w:val="style1"/>
          <w:rFonts w:ascii="Times New Roman" w:hAnsi="Times New Roman"/>
          <w:sz w:val="20"/>
          <w:szCs w:val="20"/>
          <w:lang w:val="es-ES"/>
        </w:rPr>
        <w:t>)</w:t>
      </w:r>
      <w:r w:rsidR="000F47EE" w:rsidRPr="00E909DB">
        <w:rPr>
          <w:rStyle w:val="style1"/>
          <w:rFonts w:ascii="Times New Roman" w:hAnsi="Times New Roman"/>
          <w:sz w:val="20"/>
          <w:szCs w:val="20"/>
          <w:lang w:val="es-ES"/>
        </w:rPr>
        <w:t xml:space="preserve"> (</w:t>
      </w:r>
      <w:r w:rsidR="00292BBF" w:rsidRPr="00E909DB">
        <w:rPr>
          <w:rStyle w:val="style1"/>
          <w:rFonts w:ascii="Times New Roman" w:hAnsi="Times New Roman"/>
          <w:sz w:val="20"/>
          <w:szCs w:val="20"/>
          <w:lang w:val="es-ES"/>
        </w:rPr>
        <w:t>disponible en</w:t>
      </w:r>
      <w:r w:rsidR="00B06C7E" w:rsidRPr="00E909DB">
        <w:rPr>
          <w:rStyle w:val="style1"/>
          <w:rFonts w:ascii="Times New Roman" w:hAnsi="Times New Roman"/>
          <w:sz w:val="20"/>
          <w:szCs w:val="20"/>
          <w:lang w:val="es-ES"/>
        </w:rPr>
        <w:t xml:space="preserve"> </w:t>
      </w:r>
      <w:r w:rsidR="000F47EE" w:rsidRPr="00E909DB">
        <w:rPr>
          <w:rStyle w:val="style1"/>
          <w:rFonts w:ascii="Times New Roman" w:hAnsi="Times New Roman"/>
          <w:sz w:val="20"/>
          <w:szCs w:val="20"/>
          <w:lang w:val="es-ES"/>
        </w:rPr>
        <w:t>http://www.issg.org/database</w:t>
      </w:r>
      <w:r w:rsidR="00B06C7E" w:rsidRPr="00E909DB">
        <w:rPr>
          <w:rStyle w:val="style1"/>
          <w:rFonts w:ascii="Times New Roman" w:hAnsi="Times New Roman"/>
          <w:sz w:val="20"/>
          <w:szCs w:val="20"/>
          <w:lang w:val="es-ES"/>
        </w:rPr>
        <w:t>/species/reference_files/100English.pdf</w:t>
      </w:r>
      <w:r w:rsidR="000F47EE" w:rsidRPr="00E909DB">
        <w:rPr>
          <w:rStyle w:val="style1"/>
          <w:rFonts w:ascii="Times New Roman" w:hAnsi="Times New Roman"/>
          <w:sz w:val="20"/>
          <w:szCs w:val="20"/>
          <w:lang w:val="es-ES"/>
        </w:rPr>
        <w:t>)</w:t>
      </w:r>
      <w:r w:rsidR="00A365D6" w:rsidRPr="00E909DB">
        <w:rPr>
          <w:rStyle w:val="style1"/>
          <w:rFonts w:ascii="Times New Roman" w:hAnsi="Times New Roman"/>
          <w:sz w:val="20"/>
          <w:szCs w:val="20"/>
          <w:lang w:val="es-ES"/>
        </w:rPr>
        <w:t>.</w:t>
      </w:r>
    </w:p>
    <w:p w:rsidR="000F47EE" w:rsidRPr="00E909DB" w:rsidRDefault="001D0453" w:rsidP="008D76C0">
      <w:pPr>
        <w:spacing w:after="120" w:line="240" w:lineRule="auto"/>
        <w:ind w:left="1247"/>
        <w:rPr>
          <w:rFonts w:ascii="Times New Roman" w:hAnsi="Times New Roman"/>
          <w:sz w:val="20"/>
          <w:szCs w:val="20"/>
          <w:lang w:val="es-ES"/>
        </w:rPr>
      </w:pPr>
      <w:r w:rsidRPr="00E909DB">
        <w:rPr>
          <w:rFonts w:ascii="Times New Roman" w:hAnsi="Times New Roman"/>
          <w:sz w:val="20"/>
          <w:szCs w:val="20"/>
          <w:lang w:val="es-ES"/>
        </w:rPr>
        <w:t xml:space="preserve">Jean Bruno </w:t>
      </w:r>
      <w:r w:rsidR="000F47EE" w:rsidRPr="00E909DB">
        <w:rPr>
          <w:rFonts w:ascii="Times New Roman" w:hAnsi="Times New Roman"/>
          <w:sz w:val="20"/>
          <w:szCs w:val="20"/>
          <w:lang w:val="es-ES"/>
        </w:rPr>
        <w:t>Mikissa</w:t>
      </w:r>
      <w:r w:rsidRPr="00E909DB">
        <w:rPr>
          <w:rFonts w:ascii="Times New Roman" w:hAnsi="Times New Roman"/>
          <w:sz w:val="20"/>
          <w:szCs w:val="20"/>
          <w:lang w:val="es-ES"/>
        </w:rPr>
        <w:t xml:space="preserve"> </w:t>
      </w:r>
      <w:r w:rsidR="00292BBF" w:rsidRPr="00E909DB">
        <w:rPr>
          <w:rFonts w:ascii="Times New Roman" w:hAnsi="Times New Roman"/>
          <w:sz w:val="20"/>
          <w:szCs w:val="20"/>
          <w:lang w:val="es-ES"/>
        </w:rPr>
        <w:t>y otros</w:t>
      </w:r>
      <w:r w:rsidR="000F47EE" w:rsidRPr="00E909DB">
        <w:rPr>
          <w:rFonts w:ascii="Times New Roman" w:hAnsi="Times New Roman"/>
          <w:sz w:val="20"/>
          <w:szCs w:val="20"/>
          <w:lang w:val="es-ES"/>
        </w:rPr>
        <w:t xml:space="preserve"> </w:t>
      </w:r>
      <w:r w:rsidRPr="00E909DB">
        <w:rPr>
          <w:rFonts w:ascii="Times New Roman" w:hAnsi="Times New Roman"/>
          <w:sz w:val="20"/>
          <w:szCs w:val="20"/>
          <w:lang w:val="es-ES"/>
        </w:rPr>
        <w:t>“</w:t>
      </w:r>
      <w:r w:rsidR="000F47EE" w:rsidRPr="00E909DB">
        <w:rPr>
          <w:rFonts w:ascii="Times New Roman" w:hAnsi="Times New Roman"/>
          <w:sz w:val="20"/>
          <w:szCs w:val="20"/>
          <w:lang w:val="es-ES"/>
        </w:rPr>
        <w:t xml:space="preserve">Preliminary Assessment on the Interactions of </w:t>
      </w:r>
      <w:r w:rsidR="000F47EE" w:rsidRPr="00E909DB">
        <w:rPr>
          <w:rFonts w:ascii="Times New Roman" w:hAnsi="Times New Roman"/>
          <w:i/>
          <w:iCs/>
          <w:sz w:val="20"/>
          <w:szCs w:val="20"/>
          <w:lang w:val="es-ES"/>
        </w:rPr>
        <w:t xml:space="preserve">Wasmannia auropunctata </w:t>
      </w:r>
      <w:r w:rsidR="000F47EE" w:rsidRPr="00E909DB">
        <w:rPr>
          <w:rFonts w:ascii="Times New Roman" w:hAnsi="Times New Roman"/>
          <w:sz w:val="20"/>
          <w:szCs w:val="20"/>
          <w:lang w:val="es-ES"/>
        </w:rPr>
        <w:t>in Native Ant Communities (Hymenoptera:</w:t>
      </w:r>
      <w:r w:rsidR="000F47EE" w:rsidRPr="00E909DB">
        <w:rPr>
          <w:rFonts w:ascii="Times New Roman" w:hAnsi="Times New Roman"/>
          <w:i/>
          <w:iCs/>
          <w:sz w:val="20"/>
          <w:szCs w:val="20"/>
          <w:lang w:val="es-ES"/>
        </w:rPr>
        <w:t xml:space="preserve"> </w:t>
      </w:r>
      <w:r w:rsidR="000F47EE" w:rsidRPr="00E909DB">
        <w:rPr>
          <w:rFonts w:ascii="Times New Roman" w:hAnsi="Times New Roman"/>
          <w:sz w:val="20"/>
          <w:szCs w:val="20"/>
          <w:lang w:val="es-ES"/>
        </w:rPr>
        <w:t>Formicidae) of a Mosaic Gallery Forest/Savannah in Lope</w:t>
      </w:r>
      <w:r w:rsidR="000F47EE" w:rsidRPr="00E909DB">
        <w:rPr>
          <w:rFonts w:ascii="Times New Roman" w:hAnsi="Times New Roman"/>
          <w:i/>
          <w:iCs/>
          <w:sz w:val="20"/>
          <w:szCs w:val="20"/>
          <w:lang w:val="es-ES"/>
        </w:rPr>
        <w:t xml:space="preserve"> </w:t>
      </w:r>
      <w:r w:rsidR="000F47EE" w:rsidRPr="00E909DB">
        <w:rPr>
          <w:rFonts w:ascii="Times New Roman" w:hAnsi="Times New Roman"/>
          <w:sz w:val="20"/>
          <w:szCs w:val="20"/>
          <w:lang w:val="es-ES"/>
        </w:rPr>
        <w:t>National Park, Gabon</w:t>
      </w:r>
      <w:r w:rsidRPr="00E909DB">
        <w:rPr>
          <w:rFonts w:ascii="Times New Roman" w:hAnsi="Times New Roman"/>
          <w:sz w:val="20"/>
          <w:szCs w:val="20"/>
          <w:lang w:val="es-ES"/>
        </w:rPr>
        <w:t>”,</w:t>
      </w:r>
      <w:r w:rsidR="000F47EE" w:rsidRPr="00E909DB">
        <w:rPr>
          <w:rFonts w:ascii="Times New Roman" w:hAnsi="Times New Roman"/>
          <w:sz w:val="20"/>
          <w:szCs w:val="20"/>
          <w:lang w:val="es-ES"/>
        </w:rPr>
        <w:t xml:space="preserve"> </w:t>
      </w:r>
      <w:r w:rsidR="000F47EE" w:rsidRPr="00E909DB">
        <w:rPr>
          <w:rFonts w:ascii="Times New Roman" w:hAnsi="Times New Roman"/>
          <w:i/>
          <w:sz w:val="20"/>
          <w:szCs w:val="20"/>
          <w:lang w:val="es-ES"/>
        </w:rPr>
        <w:t>Sociobiology</w:t>
      </w:r>
      <w:r w:rsidRPr="00E909DB">
        <w:rPr>
          <w:rFonts w:ascii="Times New Roman" w:hAnsi="Times New Roman"/>
          <w:sz w:val="20"/>
          <w:szCs w:val="20"/>
          <w:lang w:val="es-ES"/>
        </w:rPr>
        <w:t xml:space="preserve">, vol. </w:t>
      </w:r>
      <w:r w:rsidR="000F47EE" w:rsidRPr="00E909DB">
        <w:rPr>
          <w:rFonts w:ascii="Times New Roman" w:hAnsi="Times New Roman"/>
          <w:bCs/>
          <w:sz w:val="20"/>
          <w:szCs w:val="20"/>
          <w:lang w:val="es-ES"/>
        </w:rPr>
        <w:t>51</w:t>
      </w:r>
      <w:r w:rsidRPr="00E909DB">
        <w:rPr>
          <w:rFonts w:ascii="Times New Roman" w:hAnsi="Times New Roman"/>
          <w:bCs/>
          <w:sz w:val="20"/>
          <w:szCs w:val="20"/>
          <w:lang w:val="es-ES"/>
        </w:rPr>
        <w:t xml:space="preserve">, </w:t>
      </w:r>
      <w:r w:rsidR="00307526" w:rsidRPr="00E909DB">
        <w:rPr>
          <w:rFonts w:ascii="Times New Roman" w:hAnsi="Times New Roman"/>
          <w:bCs/>
          <w:sz w:val="20"/>
          <w:szCs w:val="20"/>
          <w:lang w:val="es-ES"/>
        </w:rPr>
        <w:t>N</w:t>
      </w:r>
      <w:r w:rsidRPr="00E909DB">
        <w:rPr>
          <w:rFonts w:ascii="Times New Roman" w:hAnsi="Times New Roman"/>
          <w:bCs/>
          <w:sz w:val="20"/>
          <w:szCs w:val="20"/>
          <w:lang w:val="es-ES"/>
        </w:rPr>
        <w:t>o.</w:t>
      </w:r>
      <w:r w:rsidR="00307526" w:rsidRPr="00E909DB">
        <w:rPr>
          <w:rFonts w:ascii="Times New Roman" w:hAnsi="Times New Roman"/>
          <w:bCs/>
          <w:sz w:val="20"/>
          <w:szCs w:val="20"/>
          <w:lang w:val="es-ES"/>
        </w:rPr>
        <w:t xml:space="preserve"> </w:t>
      </w:r>
      <w:r w:rsidRPr="00E909DB">
        <w:rPr>
          <w:rFonts w:ascii="Times New Roman" w:hAnsi="Times New Roman"/>
          <w:bCs/>
          <w:sz w:val="20"/>
          <w:szCs w:val="20"/>
          <w:lang w:val="es-ES"/>
        </w:rPr>
        <w:t>1 (2008), p</w:t>
      </w:r>
      <w:r w:rsidR="00460555" w:rsidRPr="00E909DB">
        <w:rPr>
          <w:rFonts w:ascii="Times New Roman" w:hAnsi="Times New Roman"/>
          <w:bCs/>
          <w:sz w:val="20"/>
          <w:szCs w:val="20"/>
          <w:lang w:val="es-ES"/>
        </w:rPr>
        <w:t>ágs</w:t>
      </w:r>
      <w:r w:rsidRPr="00E909DB">
        <w:rPr>
          <w:rFonts w:ascii="Times New Roman" w:hAnsi="Times New Roman"/>
          <w:bCs/>
          <w:sz w:val="20"/>
          <w:szCs w:val="20"/>
          <w:lang w:val="es-ES"/>
        </w:rPr>
        <w:t>.</w:t>
      </w:r>
      <w:r w:rsidR="000F47EE" w:rsidRPr="00E909DB">
        <w:rPr>
          <w:rFonts w:ascii="Times New Roman" w:hAnsi="Times New Roman"/>
          <w:sz w:val="20"/>
          <w:szCs w:val="20"/>
          <w:lang w:val="es-ES"/>
        </w:rPr>
        <w:t xml:space="preserve"> 207</w:t>
      </w:r>
      <w:r w:rsidR="00460555" w:rsidRPr="00E909DB">
        <w:rPr>
          <w:rFonts w:ascii="Times New Roman" w:hAnsi="Times New Roman"/>
          <w:sz w:val="20"/>
          <w:szCs w:val="20"/>
          <w:lang w:val="es-ES"/>
        </w:rPr>
        <w:t xml:space="preserve"> a </w:t>
      </w:r>
      <w:r w:rsidR="000F47EE" w:rsidRPr="00E909DB">
        <w:rPr>
          <w:rFonts w:ascii="Times New Roman" w:hAnsi="Times New Roman"/>
          <w:sz w:val="20"/>
          <w:szCs w:val="20"/>
          <w:lang w:val="es-ES"/>
        </w:rPr>
        <w:t>218.</w:t>
      </w:r>
    </w:p>
    <w:p w:rsidR="000F47EE" w:rsidRPr="00E909DB" w:rsidRDefault="00380574" w:rsidP="008D76C0">
      <w:pPr>
        <w:tabs>
          <w:tab w:val="left" w:pos="-720"/>
        </w:tabs>
        <w:suppressAutoHyphens/>
        <w:spacing w:after="120" w:line="240" w:lineRule="auto"/>
        <w:ind w:left="1247"/>
        <w:rPr>
          <w:rFonts w:ascii="Times New Roman" w:hAnsi="Times New Roman"/>
          <w:spacing w:val="-3"/>
          <w:sz w:val="20"/>
          <w:szCs w:val="20"/>
          <w:lang w:val="es-ES"/>
        </w:rPr>
      </w:pPr>
      <w:r w:rsidRPr="00E909DB">
        <w:rPr>
          <w:rFonts w:ascii="Times New Roman" w:hAnsi="Times New Roman"/>
          <w:sz w:val="20"/>
          <w:szCs w:val="20"/>
          <w:shd w:val="clear" w:color="auto" w:fill="FFFFFF"/>
          <w:lang w:val="es-ES"/>
        </w:rPr>
        <w:t>D</w:t>
      </w:r>
      <w:r w:rsidR="00B6325C" w:rsidRPr="00E909DB">
        <w:rPr>
          <w:rFonts w:ascii="Times New Roman" w:hAnsi="Times New Roman"/>
          <w:sz w:val="20"/>
          <w:szCs w:val="20"/>
          <w:shd w:val="clear" w:color="auto" w:fill="FFFFFF"/>
          <w:lang w:val="es-ES"/>
        </w:rPr>
        <w:t>avid</w:t>
      </w:r>
      <w:r w:rsidRPr="00E909DB">
        <w:rPr>
          <w:rFonts w:ascii="Times New Roman" w:hAnsi="Times New Roman"/>
          <w:sz w:val="20"/>
          <w:szCs w:val="20"/>
          <w:shd w:val="clear" w:color="auto" w:fill="FFFFFF"/>
          <w:lang w:val="es-ES"/>
        </w:rPr>
        <w:t xml:space="preserve"> </w:t>
      </w:r>
      <w:r w:rsidR="000F47EE" w:rsidRPr="00E909DB">
        <w:rPr>
          <w:rFonts w:ascii="Times New Roman" w:hAnsi="Times New Roman"/>
          <w:sz w:val="20"/>
          <w:szCs w:val="20"/>
          <w:shd w:val="clear" w:color="auto" w:fill="FFFFFF"/>
          <w:lang w:val="es-ES"/>
        </w:rPr>
        <w:t>Pimentel</w:t>
      </w:r>
      <w:r w:rsidRPr="00E909DB">
        <w:rPr>
          <w:rFonts w:ascii="Times New Roman" w:hAnsi="Times New Roman"/>
          <w:sz w:val="20"/>
          <w:szCs w:val="20"/>
          <w:shd w:val="clear" w:color="auto" w:fill="FFFFFF"/>
          <w:lang w:val="es-ES"/>
        </w:rPr>
        <w:t xml:space="preserve"> </w:t>
      </w:r>
      <w:r w:rsidR="00460555" w:rsidRPr="00E909DB">
        <w:rPr>
          <w:rFonts w:ascii="Times New Roman" w:hAnsi="Times New Roman"/>
          <w:sz w:val="20"/>
          <w:szCs w:val="20"/>
          <w:shd w:val="clear" w:color="auto" w:fill="FFFFFF"/>
          <w:lang w:val="es-ES"/>
        </w:rPr>
        <w:t>y otros</w:t>
      </w:r>
      <w:r w:rsidRPr="00E909DB">
        <w:rPr>
          <w:rFonts w:ascii="Times New Roman" w:hAnsi="Times New Roman"/>
          <w:sz w:val="20"/>
          <w:szCs w:val="20"/>
          <w:shd w:val="clear" w:color="auto" w:fill="FFFFFF"/>
          <w:lang w:val="es-ES"/>
        </w:rPr>
        <w:t>,</w:t>
      </w:r>
      <w:r w:rsidR="000F47EE" w:rsidRPr="00E909DB">
        <w:rPr>
          <w:rFonts w:ascii="Times New Roman" w:hAnsi="Times New Roman"/>
          <w:sz w:val="20"/>
          <w:szCs w:val="20"/>
          <w:shd w:val="clear" w:color="auto" w:fill="FFFFFF"/>
          <w:lang w:val="es-ES"/>
        </w:rPr>
        <w:t xml:space="preserve"> </w:t>
      </w:r>
      <w:r w:rsidRPr="00E909DB">
        <w:rPr>
          <w:rFonts w:ascii="Times New Roman" w:hAnsi="Times New Roman"/>
          <w:sz w:val="20"/>
          <w:szCs w:val="20"/>
          <w:shd w:val="clear" w:color="auto" w:fill="FFFFFF"/>
          <w:lang w:val="es-ES"/>
        </w:rPr>
        <w:t>“</w:t>
      </w:r>
      <w:r w:rsidR="000F47EE" w:rsidRPr="00E909DB">
        <w:rPr>
          <w:rFonts w:ascii="Times New Roman" w:hAnsi="Times New Roman"/>
          <w:sz w:val="20"/>
          <w:szCs w:val="20"/>
          <w:shd w:val="clear" w:color="auto" w:fill="FFFFFF"/>
          <w:lang w:val="es-ES"/>
        </w:rPr>
        <w:t>Environmental and economic costs of nonindigenous species in the United States</w:t>
      </w:r>
      <w:r w:rsidRPr="00E909DB">
        <w:rPr>
          <w:rFonts w:ascii="Times New Roman" w:hAnsi="Times New Roman"/>
          <w:sz w:val="20"/>
          <w:szCs w:val="20"/>
          <w:shd w:val="clear" w:color="auto" w:fill="FFFFFF"/>
          <w:lang w:val="es-ES"/>
        </w:rPr>
        <w:t xml:space="preserve">”, </w:t>
      </w:r>
      <w:r w:rsidR="000F47EE" w:rsidRPr="00E909DB">
        <w:rPr>
          <w:rFonts w:ascii="Times New Roman" w:hAnsi="Times New Roman"/>
          <w:i/>
          <w:sz w:val="20"/>
          <w:szCs w:val="20"/>
          <w:shd w:val="clear" w:color="auto" w:fill="FFFFFF"/>
          <w:lang w:val="es-ES"/>
        </w:rPr>
        <w:t>Bioscience</w:t>
      </w:r>
      <w:r w:rsidRPr="00E909DB">
        <w:rPr>
          <w:rFonts w:ascii="Times New Roman" w:hAnsi="Times New Roman"/>
          <w:sz w:val="20"/>
          <w:szCs w:val="20"/>
          <w:shd w:val="clear" w:color="auto" w:fill="FFFFFF"/>
          <w:lang w:val="es-ES"/>
        </w:rPr>
        <w:t>, vol.</w:t>
      </w:r>
      <w:r w:rsidR="000F47EE" w:rsidRPr="00E909DB">
        <w:rPr>
          <w:rFonts w:ascii="Times New Roman" w:hAnsi="Times New Roman"/>
          <w:sz w:val="20"/>
          <w:szCs w:val="20"/>
          <w:shd w:val="clear" w:color="auto" w:fill="FFFFFF"/>
          <w:lang w:val="es-ES"/>
        </w:rPr>
        <w:t xml:space="preserve"> 50</w:t>
      </w:r>
      <w:r w:rsidR="00307526" w:rsidRPr="00E909DB">
        <w:rPr>
          <w:rFonts w:ascii="Times New Roman" w:hAnsi="Times New Roman"/>
          <w:sz w:val="20"/>
          <w:szCs w:val="20"/>
          <w:shd w:val="clear" w:color="auto" w:fill="FFFFFF"/>
          <w:lang w:val="es-ES"/>
        </w:rPr>
        <w:t>, N</w:t>
      </w:r>
      <w:r w:rsidR="00460555" w:rsidRPr="00E909DB">
        <w:rPr>
          <w:rFonts w:ascii="Times New Roman" w:hAnsi="Times New Roman"/>
          <w:sz w:val="20"/>
          <w:szCs w:val="20"/>
          <w:shd w:val="clear" w:color="auto" w:fill="FFFFFF"/>
          <w:lang w:val="es-ES"/>
        </w:rPr>
        <w:t>úm</w:t>
      </w:r>
      <w:r w:rsidR="00307526" w:rsidRPr="00E909DB">
        <w:rPr>
          <w:rFonts w:ascii="Times New Roman" w:hAnsi="Times New Roman"/>
          <w:sz w:val="20"/>
          <w:szCs w:val="20"/>
          <w:shd w:val="clear" w:color="auto" w:fill="FFFFFF"/>
          <w:lang w:val="es-ES"/>
        </w:rPr>
        <w:t xml:space="preserve">. </w:t>
      </w:r>
      <w:r w:rsidR="001174E4" w:rsidRPr="00E909DB">
        <w:rPr>
          <w:rFonts w:ascii="Times New Roman" w:hAnsi="Times New Roman"/>
          <w:sz w:val="20"/>
          <w:szCs w:val="20"/>
          <w:shd w:val="clear" w:color="auto" w:fill="FFFFFF"/>
          <w:lang w:val="es-ES"/>
        </w:rPr>
        <w:t>1</w:t>
      </w:r>
      <w:r w:rsidRPr="00E909DB">
        <w:rPr>
          <w:rFonts w:ascii="Times New Roman" w:hAnsi="Times New Roman"/>
          <w:sz w:val="20"/>
          <w:szCs w:val="20"/>
          <w:shd w:val="clear" w:color="auto" w:fill="FFFFFF"/>
          <w:lang w:val="es-ES"/>
        </w:rPr>
        <w:t xml:space="preserve"> (2000), p</w:t>
      </w:r>
      <w:r w:rsidR="00460555" w:rsidRPr="00E909DB">
        <w:rPr>
          <w:rFonts w:ascii="Times New Roman" w:hAnsi="Times New Roman"/>
          <w:sz w:val="20"/>
          <w:szCs w:val="20"/>
          <w:shd w:val="clear" w:color="auto" w:fill="FFFFFF"/>
          <w:lang w:val="es-ES"/>
        </w:rPr>
        <w:t>ágs</w:t>
      </w:r>
      <w:r w:rsidRPr="00E909DB">
        <w:rPr>
          <w:rFonts w:ascii="Times New Roman" w:hAnsi="Times New Roman"/>
          <w:sz w:val="20"/>
          <w:szCs w:val="20"/>
          <w:shd w:val="clear" w:color="auto" w:fill="FFFFFF"/>
          <w:lang w:val="es-ES"/>
        </w:rPr>
        <w:t>.</w:t>
      </w:r>
      <w:r w:rsidR="000F47EE" w:rsidRPr="00E909DB">
        <w:rPr>
          <w:rFonts w:ascii="Times New Roman" w:hAnsi="Times New Roman"/>
          <w:sz w:val="20"/>
          <w:szCs w:val="20"/>
          <w:shd w:val="clear" w:color="auto" w:fill="FFFFFF"/>
          <w:lang w:val="es-ES"/>
        </w:rPr>
        <w:t xml:space="preserve"> 53</w:t>
      </w:r>
      <w:r w:rsidR="00460555" w:rsidRPr="00E909DB">
        <w:rPr>
          <w:rFonts w:ascii="Times New Roman" w:hAnsi="Times New Roman"/>
          <w:sz w:val="20"/>
          <w:szCs w:val="20"/>
          <w:shd w:val="clear" w:color="auto" w:fill="FFFFFF"/>
          <w:lang w:val="es-ES"/>
        </w:rPr>
        <w:t xml:space="preserve"> a </w:t>
      </w:r>
      <w:r w:rsidR="000F47EE" w:rsidRPr="00E909DB">
        <w:rPr>
          <w:rFonts w:ascii="Times New Roman" w:hAnsi="Times New Roman"/>
          <w:sz w:val="20"/>
          <w:szCs w:val="20"/>
          <w:shd w:val="clear" w:color="auto" w:fill="FFFFFF"/>
          <w:lang w:val="es-ES"/>
        </w:rPr>
        <w:t>65.</w:t>
      </w:r>
    </w:p>
    <w:p w:rsidR="000F47EE" w:rsidRPr="00E909DB" w:rsidRDefault="002D5264" w:rsidP="008D76C0">
      <w:pPr>
        <w:tabs>
          <w:tab w:val="left" w:pos="-720"/>
        </w:tabs>
        <w:suppressAutoHyphens/>
        <w:spacing w:after="120" w:line="240" w:lineRule="auto"/>
        <w:ind w:left="1247"/>
        <w:rPr>
          <w:rFonts w:ascii="Times New Roman" w:hAnsi="Times New Roman"/>
          <w:spacing w:val="-3"/>
          <w:sz w:val="20"/>
          <w:szCs w:val="20"/>
          <w:lang w:val="es-ES"/>
        </w:rPr>
      </w:pPr>
      <w:r w:rsidRPr="00E909DB">
        <w:rPr>
          <w:rFonts w:ascii="Times New Roman" w:hAnsi="Times New Roman"/>
          <w:sz w:val="20"/>
          <w:szCs w:val="20"/>
          <w:shd w:val="clear" w:color="auto" w:fill="FFFFFF"/>
          <w:lang w:val="es-ES"/>
        </w:rPr>
        <w:t>D</w:t>
      </w:r>
      <w:r w:rsidR="00B6325C" w:rsidRPr="00E909DB">
        <w:rPr>
          <w:rFonts w:ascii="Times New Roman" w:hAnsi="Times New Roman"/>
          <w:sz w:val="20"/>
          <w:szCs w:val="20"/>
          <w:shd w:val="clear" w:color="auto" w:fill="FFFFFF"/>
          <w:lang w:val="es-ES"/>
        </w:rPr>
        <w:t>avid</w:t>
      </w:r>
      <w:r w:rsidRPr="00E909DB">
        <w:rPr>
          <w:rFonts w:ascii="Times New Roman" w:hAnsi="Times New Roman"/>
          <w:sz w:val="20"/>
          <w:szCs w:val="20"/>
          <w:shd w:val="clear" w:color="auto" w:fill="FFFFFF"/>
          <w:lang w:val="es-ES"/>
        </w:rPr>
        <w:t xml:space="preserve"> </w:t>
      </w:r>
      <w:r w:rsidR="000F47EE" w:rsidRPr="00E909DB">
        <w:rPr>
          <w:rFonts w:ascii="Times New Roman" w:hAnsi="Times New Roman"/>
          <w:sz w:val="20"/>
          <w:szCs w:val="20"/>
          <w:shd w:val="clear" w:color="auto" w:fill="FFFFFF"/>
          <w:lang w:val="es-ES"/>
        </w:rPr>
        <w:t xml:space="preserve">Pimentel, </w:t>
      </w:r>
      <w:r w:rsidRPr="00E909DB">
        <w:rPr>
          <w:rFonts w:ascii="Times New Roman" w:hAnsi="Times New Roman"/>
          <w:sz w:val="20"/>
          <w:szCs w:val="20"/>
          <w:shd w:val="clear" w:color="auto" w:fill="FFFFFF"/>
          <w:lang w:val="es-ES"/>
        </w:rPr>
        <w:t>R</w:t>
      </w:r>
      <w:r w:rsidR="00B6325C" w:rsidRPr="00E909DB">
        <w:rPr>
          <w:rFonts w:ascii="Times New Roman" w:hAnsi="Times New Roman"/>
          <w:sz w:val="20"/>
          <w:szCs w:val="20"/>
          <w:shd w:val="clear" w:color="auto" w:fill="FFFFFF"/>
          <w:lang w:val="es-ES"/>
        </w:rPr>
        <w:t>o</w:t>
      </w:r>
      <w:r w:rsidR="001174E4" w:rsidRPr="00E909DB">
        <w:rPr>
          <w:rFonts w:ascii="Times New Roman" w:hAnsi="Times New Roman"/>
          <w:sz w:val="20"/>
          <w:szCs w:val="20"/>
          <w:shd w:val="clear" w:color="auto" w:fill="FFFFFF"/>
          <w:lang w:val="es-ES"/>
        </w:rPr>
        <w:t>d</w:t>
      </w:r>
      <w:r w:rsidR="00B6325C" w:rsidRPr="00E909DB">
        <w:rPr>
          <w:rFonts w:ascii="Times New Roman" w:hAnsi="Times New Roman"/>
          <w:sz w:val="20"/>
          <w:szCs w:val="20"/>
          <w:shd w:val="clear" w:color="auto" w:fill="FFFFFF"/>
          <w:lang w:val="es-ES"/>
        </w:rPr>
        <w:t>olfo</w:t>
      </w:r>
      <w:r w:rsidR="000F47EE" w:rsidRPr="00E909DB">
        <w:rPr>
          <w:rFonts w:ascii="Times New Roman" w:hAnsi="Times New Roman"/>
          <w:sz w:val="20"/>
          <w:szCs w:val="20"/>
          <w:shd w:val="clear" w:color="auto" w:fill="FFFFFF"/>
          <w:lang w:val="es-ES"/>
        </w:rPr>
        <w:t xml:space="preserve"> Zuniga</w:t>
      </w:r>
      <w:r w:rsidRPr="00E909DB">
        <w:rPr>
          <w:rFonts w:ascii="Times New Roman" w:hAnsi="Times New Roman"/>
          <w:sz w:val="20"/>
          <w:szCs w:val="20"/>
          <w:shd w:val="clear" w:color="auto" w:fill="FFFFFF"/>
          <w:lang w:val="es-ES"/>
        </w:rPr>
        <w:t xml:space="preserve"> </w:t>
      </w:r>
      <w:r w:rsidR="00460555" w:rsidRPr="00E909DB">
        <w:rPr>
          <w:rFonts w:ascii="Times New Roman" w:hAnsi="Times New Roman"/>
          <w:sz w:val="20"/>
          <w:szCs w:val="20"/>
          <w:shd w:val="clear" w:color="auto" w:fill="FFFFFF"/>
          <w:lang w:val="es-ES"/>
        </w:rPr>
        <w:t>y</w:t>
      </w:r>
      <w:r w:rsidRPr="00E909DB">
        <w:rPr>
          <w:rFonts w:ascii="Times New Roman" w:hAnsi="Times New Roman"/>
          <w:sz w:val="20"/>
          <w:szCs w:val="20"/>
          <w:shd w:val="clear" w:color="auto" w:fill="FFFFFF"/>
          <w:lang w:val="es-ES"/>
        </w:rPr>
        <w:t xml:space="preserve"> D</w:t>
      </w:r>
      <w:r w:rsidR="00B6325C" w:rsidRPr="00E909DB">
        <w:rPr>
          <w:rFonts w:ascii="Times New Roman" w:hAnsi="Times New Roman"/>
          <w:sz w:val="20"/>
          <w:szCs w:val="20"/>
          <w:shd w:val="clear" w:color="auto" w:fill="FFFFFF"/>
          <w:lang w:val="es-ES"/>
        </w:rPr>
        <w:t xml:space="preserve">oug </w:t>
      </w:r>
      <w:r w:rsidR="000F47EE" w:rsidRPr="00E909DB">
        <w:rPr>
          <w:rFonts w:ascii="Times New Roman" w:hAnsi="Times New Roman"/>
          <w:sz w:val="20"/>
          <w:szCs w:val="20"/>
          <w:shd w:val="clear" w:color="auto" w:fill="FFFFFF"/>
          <w:lang w:val="es-ES"/>
        </w:rPr>
        <w:t>Morrison</w:t>
      </w:r>
      <w:r w:rsidRPr="00E909DB">
        <w:rPr>
          <w:rFonts w:ascii="Times New Roman" w:hAnsi="Times New Roman"/>
          <w:sz w:val="20"/>
          <w:szCs w:val="20"/>
          <w:shd w:val="clear" w:color="auto" w:fill="FFFFFF"/>
          <w:lang w:val="es-ES"/>
        </w:rPr>
        <w:t>,</w:t>
      </w:r>
      <w:r w:rsidR="000F47EE" w:rsidRPr="00E909DB">
        <w:rPr>
          <w:rFonts w:ascii="Times New Roman" w:hAnsi="Times New Roman"/>
          <w:sz w:val="20"/>
          <w:szCs w:val="20"/>
          <w:shd w:val="clear" w:color="auto" w:fill="FFFFFF"/>
          <w:lang w:val="es-ES"/>
        </w:rPr>
        <w:t xml:space="preserve"> </w:t>
      </w:r>
      <w:r w:rsidRPr="00E909DB">
        <w:rPr>
          <w:rFonts w:ascii="Times New Roman" w:hAnsi="Times New Roman"/>
          <w:sz w:val="20"/>
          <w:szCs w:val="20"/>
          <w:shd w:val="clear" w:color="auto" w:fill="FFFFFF"/>
          <w:lang w:val="es-ES"/>
        </w:rPr>
        <w:t>“</w:t>
      </w:r>
      <w:r w:rsidR="000F47EE" w:rsidRPr="00E909DB">
        <w:rPr>
          <w:rFonts w:ascii="Times New Roman" w:hAnsi="Times New Roman"/>
          <w:sz w:val="20"/>
          <w:szCs w:val="20"/>
          <w:shd w:val="clear" w:color="auto" w:fill="FFFFFF"/>
          <w:lang w:val="es-ES"/>
        </w:rPr>
        <w:t>Update on the environmental and economic costs associated with alien</w:t>
      </w:r>
      <w:r w:rsidR="001174E4" w:rsidRPr="00E909DB">
        <w:rPr>
          <w:rFonts w:ascii="Times New Roman" w:hAnsi="Times New Roman"/>
          <w:sz w:val="20"/>
          <w:szCs w:val="20"/>
          <w:shd w:val="clear" w:color="auto" w:fill="FFFFFF"/>
          <w:lang w:val="es-ES"/>
        </w:rPr>
        <w:t xml:space="preserve"> </w:t>
      </w:r>
      <w:r w:rsidR="000F47EE" w:rsidRPr="00E909DB">
        <w:rPr>
          <w:rFonts w:ascii="Times New Roman" w:hAnsi="Times New Roman"/>
          <w:sz w:val="20"/>
          <w:szCs w:val="20"/>
          <w:shd w:val="clear" w:color="auto" w:fill="FFFFFF"/>
          <w:lang w:val="es-ES"/>
        </w:rPr>
        <w:t>invasive species in the United States</w:t>
      </w:r>
      <w:r w:rsidRPr="00E909DB">
        <w:rPr>
          <w:rFonts w:ascii="Times New Roman" w:hAnsi="Times New Roman"/>
          <w:sz w:val="20"/>
          <w:szCs w:val="20"/>
          <w:shd w:val="clear" w:color="auto" w:fill="FFFFFF"/>
          <w:lang w:val="es-ES"/>
        </w:rPr>
        <w:t>”,</w:t>
      </w:r>
      <w:r w:rsidR="000F47EE" w:rsidRPr="00E909DB">
        <w:rPr>
          <w:rFonts w:ascii="Times New Roman" w:hAnsi="Times New Roman"/>
          <w:sz w:val="20"/>
          <w:szCs w:val="20"/>
          <w:shd w:val="clear" w:color="auto" w:fill="FFFFFF"/>
          <w:lang w:val="es-ES"/>
        </w:rPr>
        <w:t xml:space="preserve"> </w:t>
      </w:r>
      <w:r w:rsidR="000F47EE" w:rsidRPr="00E909DB">
        <w:rPr>
          <w:rFonts w:ascii="Times New Roman" w:hAnsi="Times New Roman"/>
          <w:i/>
          <w:sz w:val="20"/>
          <w:szCs w:val="20"/>
          <w:shd w:val="clear" w:color="auto" w:fill="FFFFFF"/>
          <w:lang w:val="es-ES"/>
        </w:rPr>
        <w:t>Ecological Economics</w:t>
      </w:r>
      <w:r w:rsidRPr="00E909DB">
        <w:rPr>
          <w:rFonts w:ascii="Times New Roman" w:hAnsi="Times New Roman"/>
          <w:sz w:val="20"/>
          <w:szCs w:val="20"/>
          <w:shd w:val="clear" w:color="auto" w:fill="FFFFFF"/>
          <w:lang w:val="es-ES"/>
        </w:rPr>
        <w:t>, vol</w:t>
      </w:r>
      <w:r w:rsidR="000F47EE" w:rsidRPr="00E909DB">
        <w:rPr>
          <w:rFonts w:ascii="Times New Roman" w:hAnsi="Times New Roman"/>
          <w:sz w:val="20"/>
          <w:szCs w:val="20"/>
          <w:shd w:val="clear" w:color="auto" w:fill="FFFFFF"/>
          <w:lang w:val="es-ES"/>
        </w:rPr>
        <w:t>. 52</w:t>
      </w:r>
      <w:r w:rsidR="00307526" w:rsidRPr="00E909DB">
        <w:rPr>
          <w:rFonts w:ascii="Times New Roman" w:hAnsi="Times New Roman"/>
          <w:sz w:val="20"/>
          <w:szCs w:val="20"/>
          <w:shd w:val="clear" w:color="auto" w:fill="FFFFFF"/>
          <w:lang w:val="es-ES"/>
        </w:rPr>
        <w:t xml:space="preserve">, No. </w:t>
      </w:r>
      <w:r w:rsidR="001174E4" w:rsidRPr="00E909DB">
        <w:rPr>
          <w:rFonts w:ascii="Times New Roman" w:hAnsi="Times New Roman"/>
          <w:sz w:val="20"/>
          <w:szCs w:val="20"/>
          <w:shd w:val="clear" w:color="auto" w:fill="FFFFFF"/>
          <w:lang w:val="es-ES"/>
        </w:rPr>
        <w:t>3</w:t>
      </w:r>
      <w:r w:rsidRPr="00E909DB">
        <w:rPr>
          <w:rFonts w:ascii="Times New Roman" w:hAnsi="Times New Roman"/>
          <w:sz w:val="20"/>
          <w:szCs w:val="20"/>
          <w:shd w:val="clear" w:color="auto" w:fill="FFFFFF"/>
          <w:lang w:val="es-ES"/>
        </w:rPr>
        <w:t xml:space="preserve"> (2005), pp.</w:t>
      </w:r>
      <w:r w:rsidR="001174E4" w:rsidRPr="00E909DB">
        <w:rPr>
          <w:rFonts w:ascii="Times New Roman" w:hAnsi="Times New Roman"/>
          <w:sz w:val="20"/>
          <w:szCs w:val="20"/>
          <w:shd w:val="clear" w:color="auto" w:fill="FFFFFF"/>
          <w:lang w:val="es-ES"/>
        </w:rPr>
        <w:t> </w:t>
      </w:r>
      <w:r w:rsidR="000F47EE" w:rsidRPr="00E909DB">
        <w:rPr>
          <w:rFonts w:ascii="Times New Roman" w:hAnsi="Times New Roman"/>
          <w:sz w:val="20"/>
          <w:szCs w:val="20"/>
          <w:shd w:val="clear" w:color="auto" w:fill="FFFFFF"/>
          <w:lang w:val="es-ES"/>
        </w:rPr>
        <w:t>273</w:t>
      </w:r>
      <w:r w:rsidRPr="00E909DB">
        <w:rPr>
          <w:rFonts w:ascii="Times New Roman" w:hAnsi="Times New Roman"/>
          <w:sz w:val="20"/>
          <w:szCs w:val="20"/>
          <w:shd w:val="clear" w:color="auto" w:fill="FFFFFF"/>
          <w:lang w:val="es-ES"/>
        </w:rPr>
        <w:t>–</w:t>
      </w:r>
      <w:r w:rsidR="000F47EE" w:rsidRPr="00E909DB">
        <w:rPr>
          <w:rFonts w:ascii="Times New Roman" w:hAnsi="Times New Roman"/>
          <w:sz w:val="20"/>
          <w:szCs w:val="20"/>
          <w:shd w:val="clear" w:color="auto" w:fill="FFFFFF"/>
          <w:lang w:val="es-ES"/>
        </w:rPr>
        <w:t>288.</w:t>
      </w:r>
      <w:r w:rsidR="000F47EE" w:rsidRPr="00E909DB">
        <w:rPr>
          <w:rStyle w:val="apple-converted-space"/>
          <w:rFonts w:ascii="Times New Roman" w:hAnsi="Times New Roman"/>
          <w:sz w:val="20"/>
          <w:szCs w:val="20"/>
          <w:shd w:val="clear" w:color="auto" w:fill="FFFFFF"/>
          <w:lang w:val="es-ES"/>
        </w:rPr>
        <w:t> </w:t>
      </w:r>
    </w:p>
    <w:p w:rsidR="000F47EE" w:rsidRPr="00E909DB" w:rsidRDefault="00306052" w:rsidP="008D76C0">
      <w:pPr>
        <w:tabs>
          <w:tab w:val="left" w:pos="-720"/>
        </w:tabs>
        <w:suppressAutoHyphens/>
        <w:spacing w:after="120" w:line="240" w:lineRule="auto"/>
        <w:ind w:left="1247"/>
        <w:rPr>
          <w:rFonts w:ascii="Times New Roman" w:hAnsi="Times New Roman"/>
          <w:spacing w:val="-3"/>
          <w:sz w:val="20"/>
          <w:szCs w:val="20"/>
          <w:lang w:val="es-ES"/>
        </w:rPr>
      </w:pPr>
      <w:r w:rsidRPr="00E909DB">
        <w:rPr>
          <w:rFonts w:ascii="Times New Roman" w:hAnsi="Times New Roman"/>
          <w:spacing w:val="-3"/>
          <w:sz w:val="20"/>
          <w:szCs w:val="20"/>
          <w:lang w:val="es-ES"/>
        </w:rPr>
        <w:t>G</w:t>
      </w:r>
      <w:r w:rsidR="004508DE" w:rsidRPr="00E909DB">
        <w:rPr>
          <w:rFonts w:ascii="Times New Roman" w:hAnsi="Times New Roman"/>
          <w:spacing w:val="-3"/>
          <w:sz w:val="20"/>
          <w:szCs w:val="20"/>
          <w:lang w:val="es-ES"/>
        </w:rPr>
        <w:t>ordon</w:t>
      </w:r>
      <w:r w:rsidRPr="00E909DB">
        <w:rPr>
          <w:rFonts w:ascii="Times New Roman" w:hAnsi="Times New Roman"/>
          <w:spacing w:val="-3"/>
          <w:sz w:val="20"/>
          <w:szCs w:val="20"/>
          <w:lang w:val="es-ES"/>
        </w:rPr>
        <w:t xml:space="preserve"> </w:t>
      </w:r>
      <w:r w:rsidR="004508DE" w:rsidRPr="00E909DB">
        <w:rPr>
          <w:rFonts w:ascii="Times New Roman" w:hAnsi="Times New Roman"/>
          <w:spacing w:val="-3"/>
          <w:sz w:val="20"/>
          <w:szCs w:val="20"/>
          <w:lang w:val="es-ES"/>
        </w:rPr>
        <w:t xml:space="preserve">H. </w:t>
      </w:r>
      <w:r w:rsidR="000F47EE" w:rsidRPr="00E909DB">
        <w:rPr>
          <w:rFonts w:ascii="Times New Roman" w:hAnsi="Times New Roman"/>
          <w:spacing w:val="-3"/>
          <w:sz w:val="20"/>
          <w:szCs w:val="20"/>
          <w:lang w:val="es-ES"/>
        </w:rPr>
        <w:t>Rodda</w:t>
      </w:r>
      <w:r w:rsidRPr="00E909DB">
        <w:rPr>
          <w:rFonts w:ascii="Times New Roman" w:hAnsi="Times New Roman"/>
          <w:spacing w:val="-3"/>
          <w:sz w:val="20"/>
          <w:szCs w:val="20"/>
          <w:lang w:val="es-ES"/>
        </w:rPr>
        <w:t xml:space="preserve"> </w:t>
      </w:r>
      <w:r w:rsidR="00460555" w:rsidRPr="00E909DB">
        <w:rPr>
          <w:rFonts w:ascii="Times New Roman" w:hAnsi="Times New Roman"/>
          <w:spacing w:val="-3"/>
          <w:sz w:val="20"/>
          <w:szCs w:val="20"/>
          <w:lang w:val="es-ES"/>
        </w:rPr>
        <w:t>y</w:t>
      </w:r>
      <w:r w:rsidRPr="00E909DB">
        <w:rPr>
          <w:rFonts w:ascii="Times New Roman" w:hAnsi="Times New Roman"/>
          <w:spacing w:val="-3"/>
          <w:sz w:val="20"/>
          <w:szCs w:val="20"/>
          <w:lang w:val="es-ES"/>
        </w:rPr>
        <w:t xml:space="preserve"> </w:t>
      </w:r>
      <w:r w:rsidR="000F47EE" w:rsidRPr="00E909DB">
        <w:rPr>
          <w:rFonts w:ascii="Times New Roman" w:hAnsi="Times New Roman"/>
          <w:spacing w:val="-3"/>
          <w:sz w:val="20"/>
          <w:szCs w:val="20"/>
          <w:lang w:val="es-ES"/>
        </w:rPr>
        <w:t>T</w:t>
      </w:r>
      <w:r w:rsidR="004508DE" w:rsidRPr="00E909DB">
        <w:rPr>
          <w:rFonts w:ascii="Times New Roman" w:hAnsi="Times New Roman"/>
          <w:spacing w:val="-3"/>
          <w:sz w:val="20"/>
          <w:szCs w:val="20"/>
          <w:lang w:val="es-ES"/>
        </w:rPr>
        <w:t xml:space="preserve">homas </w:t>
      </w:r>
      <w:r w:rsidR="000F47EE" w:rsidRPr="00E909DB">
        <w:rPr>
          <w:rFonts w:ascii="Times New Roman" w:hAnsi="Times New Roman"/>
          <w:spacing w:val="-3"/>
          <w:sz w:val="20"/>
          <w:szCs w:val="20"/>
          <w:lang w:val="es-ES"/>
        </w:rPr>
        <w:t>H. Fritts</w:t>
      </w:r>
      <w:r w:rsidR="00B6325C" w:rsidRPr="00E909DB">
        <w:rPr>
          <w:rFonts w:ascii="Times New Roman" w:hAnsi="Times New Roman"/>
          <w:spacing w:val="-3"/>
          <w:sz w:val="20"/>
          <w:szCs w:val="20"/>
          <w:lang w:val="es-ES"/>
        </w:rPr>
        <w:t>,</w:t>
      </w:r>
      <w:r w:rsidR="00ED548F">
        <w:rPr>
          <w:rFonts w:ascii="Times New Roman" w:hAnsi="Times New Roman"/>
          <w:spacing w:val="-3"/>
          <w:sz w:val="20"/>
          <w:szCs w:val="20"/>
          <w:lang w:val="es-ES"/>
        </w:rPr>
        <w:t xml:space="preserve"> </w:t>
      </w:r>
      <w:r w:rsidR="00B6325C" w:rsidRPr="00E909DB">
        <w:rPr>
          <w:rFonts w:ascii="Times New Roman" w:hAnsi="Times New Roman"/>
          <w:spacing w:val="-3"/>
          <w:sz w:val="20"/>
          <w:szCs w:val="20"/>
          <w:lang w:val="es-ES"/>
        </w:rPr>
        <w:t>“</w:t>
      </w:r>
      <w:r w:rsidR="000F47EE" w:rsidRPr="00E909DB">
        <w:rPr>
          <w:rFonts w:ascii="Times New Roman" w:hAnsi="Times New Roman"/>
          <w:spacing w:val="-3"/>
          <w:sz w:val="20"/>
          <w:szCs w:val="20"/>
          <w:lang w:val="es-ES"/>
        </w:rPr>
        <w:t>The brown tree snake on Pacific islands</w:t>
      </w:r>
      <w:r w:rsidR="00B6325C" w:rsidRPr="00E909DB">
        <w:rPr>
          <w:rFonts w:ascii="Times New Roman" w:hAnsi="Times New Roman"/>
          <w:spacing w:val="-3"/>
          <w:sz w:val="20"/>
          <w:szCs w:val="20"/>
          <w:lang w:val="es-ES"/>
        </w:rPr>
        <w:t xml:space="preserve">”, </w:t>
      </w:r>
      <w:r w:rsidR="000F47EE" w:rsidRPr="00E909DB">
        <w:rPr>
          <w:rFonts w:ascii="Times New Roman" w:hAnsi="Times New Roman"/>
          <w:i/>
          <w:spacing w:val="-3"/>
          <w:sz w:val="20"/>
          <w:szCs w:val="20"/>
          <w:lang w:val="es-ES"/>
        </w:rPr>
        <w:t>Pacific Science Association Information Bulletin</w:t>
      </w:r>
      <w:r w:rsidR="00B6325C" w:rsidRPr="00E909DB">
        <w:rPr>
          <w:rFonts w:ascii="Times New Roman" w:hAnsi="Times New Roman"/>
          <w:spacing w:val="-3"/>
          <w:sz w:val="20"/>
          <w:szCs w:val="20"/>
          <w:lang w:val="es-ES"/>
        </w:rPr>
        <w:t>, vol.</w:t>
      </w:r>
      <w:r w:rsidR="000F47EE" w:rsidRPr="00E909DB">
        <w:rPr>
          <w:rFonts w:ascii="Times New Roman" w:hAnsi="Times New Roman"/>
          <w:spacing w:val="-3"/>
          <w:sz w:val="20"/>
          <w:szCs w:val="20"/>
          <w:lang w:val="es-ES"/>
        </w:rPr>
        <w:t xml:space="preserve"> 45</w:t>
      </w:r>
      <w:r w:rsidR="00307526" w:rsidRPr="00E909DB">
        <w:rPr>
          <w:rFonts w:ascii="Times New Roman" w:hAnsi="Times New Roman"/>
          <w:spacing w:val="-3"/>
          <w:sz w:val="20"/>
          <w:szCs w:val="20"/>
          <w:lang w:val="es-ES"/>
        </w:rPr>
        <w:t xml:space="preserve">, No. </w:t>
      </w:r>
      <w:r w:rsidR="000F47EE" w:rsidRPr="00E909DB">
        <w:rPr>
          <w:rFonts w:ascii="Times New Roman" w:hAnsi="Times New Roman"/>
          <w:spacing w:val="-3"/>
          <w:sz w:val="20"/>
          <w:szCs w:val="20"/>
          <w:lang w:val="es-ES"/>
        </w:rPr>
        <w:t>3</w:t>
      </w:r>
      <w:r w:rsidR="00B6325C" w:rsidRPr="00E909DB">
        <w:rPr>
          <w:rFonts w:ascii="Times New Roman" w:hAnsi="Times New Roman"/>
          <w:spacing w:val="-3"/>
          <w:sz w:val="20"/>
          <w:szCs w:val="20"/>
          <w:lang w:val="es-ES"/>
        </w:rPr>
        <w:t>–</w:t>
      </w:r>
      <w:r w:rsidR="000F47EE" w:rsidRPr="00E909DB">
        <w:rPr>
          <w:rFonts w:ascii="Times New Roman" w:hAnsi="Times New Roman"/>
          <w:spacing w:val="-3"/>
          <w:sz w:val="20"/>
          <w:szCs w:val="20"/>
          <w:lang w:val="es-ES"/>
        </w:rPr>
        <w:t>4</w:t>
      </w:r>
      <w:r w:rsidR="001174E4" w:rsidRPr="00E909DB">
        <w:rPr>
          <w:rFonts w:ascii="Times New Roman" w:hAnsi="Times New Roman"/>
          <w:spacing w:val="-3"/>
          <w:sz w:val="20"/>
          <w:szCs w:val="20"/>
          <w:lang w:val="es-ES"/>
        </w:rPr>
        <w:t xml:space="preserve"> </w:t>
      </w:r>
      <w:r w:rsidR="000F47EE" w:rsidRPr="00E909DB">
        <w:rPr>
          <w:rFonts w:ascii="Times New Roman" w:hAnsi="Times New Roman"/>
          <w:spacing w:val="-3"/>
          <w:sz w:val="20"/>
          <w:szCs w:val="20"/>
          <w:lang w:val="es-ES"/>
        </w:rPr>
        <w:t>(Sept.</w:t>
      </w:r>
      <w:r w:rsidR="00B6325C" w:rsidRPr="00E909DB">
        <w:rPr>
          <w:rFonts w:ascii="Times New Roman" w:hAnsi="Times New Roman"/>
          <w:spacing w:val="-3"/>
          <w:sz w:val="20"/>
          <w:szCs w:val="20"/>
          <w:lang w:val="es-ES"/>
        </w:rPr>
        <w:t>–</w:t>
      </w:r>
      <w:r w:rsidR="000F47EE" w:rsidRPr="00E909DB">
        <w:rPr>
          <w:rFonts w:ascii="Times New Roman" w:hAnsi="Times New Roman"/>
          <w:spacing w:val="-3"/>
          <w:sz w:val="20"/>
          <w:szCs w:val="20"/>
          <w:lang w:val="es-ES"/>
        </w:rPr>
        <w:t>Dec.</w:t>
      </w:r>
      <w:r w:rsidR="0087228E" w:rsidRPr="00E909DB">
        <w:rPr>
          <w:rFonts w:ascii="Times New Roman" w:hAnsi="Times New Roman"/>
          <w:spacing w:val="-3"/>
          <w:sz w:val="20"/>
          <w:szCs w:val="20"/>
          <w:lang w:val="es-ES"/>
        </w:rPr>
        <w:t xml:space="preserve"> 1993</w:t>
      </w:r>
      <w:r w:rsidR="000F47EE" w:rsidRPr="00E909DB">
        <w:rPr>
          <w:rFonts w:ascii="Times New Roman" w:hAnsi="Times New Roman"/>
          <w:spacing w:val="-3"/>
          <w:sz w:val="20"/>
          <w:szCs w:val="20"/>
          <w:lang w:val="es-ES"/>
        </w:rPr>
        <w:t>)</w:t>
      </w:r>
      <w:r w:rsidR="00B6325C" w:rsidRPr="00E909DB">
        <w:rPr>
          <w:rFonts w:ascii="Times New Roman" w:hAnsi="Times New Roman"/>
          <w:spacing w:val="-3"/>
          <w:sz w:val="20"/>
          <w:szCs w:val="20"/>
          <w:lang w:val="es-ES"/>
        </w:rPr>
        <w:t>, pp.</w:t>
      </w:r>
      <w:r w:rsidR="001174E4" w:rsidRPr="00E909DB">
        <w:rPr>
          <w:rFonts w:ascii="Times New Roman" w:hAnsi="Times New Roman"/>
          <w:spacing w:val="-3"/>
          <w:sz w:val="20"/>
          <w:szCs w:val="20"/>
          <w:lang w:val="es-ES"/>
        </w:rPr>
        <w:t xml:space="preserve"> </w:t>
      </w:r>
      <w:r w:rsidR="000F47EE" w:rsidRPr="00E909DB">
        <w:rPr>
          <w:rFonts w:ascii="Times New Roman" w:hAnsi="Times New Roman"/>
          <w:spacing w:val="-3"/>
          <w:sz w:val="20"/>
          <w:szCs w:val="20"/>
          <w:lang w:val="es-ES"/>
        </w:rPr>
        <w:t>1</w:t>
      </w:r>
      <w:r w:rsidR="00B6325C" w:rsidRPr="00E909DB">
        <w:rPr>
          <w:rFonts w:ascii="Times New Roman" w:hAnsi="Times New Roman"/>
          <w:spacing w:val="-3"/>
          <w:sz w:val="20"/>
          <w:szCs w:val="20"/>
          <w:lang w:val="es-ES"/>
        </w:rPr>
        <w:t>–</w:t>
      </w:r>
      <w:r w:rsidR="000F47EE" w:rsidRPr="00E909DB">
        <w:rPr>
          <w:rFonts w:ascii="Times New Roman" w:hAnsi="Times New Roman"/>
          <w:spacing w:val="-3"/>
          <w:sz w:val="20"/>
          <w:szCs w:val="20"/>
          <w:lang w:val="es-ES"/>
        </w:rPr>
        <w:t>3.</w:t>
      </w:r>
    </w:p>
    <w:p w:rsidR="000F47EE" w:rsidRPr="00E909DB" w:rsidRDefault="004508DE" w:rsidP="008D76C0">
      <w:pPr>
        <w:tabs>
          <w:tab w:val="left" w:pos="-720"/>
        </w:tabs>
        <w:suppressAutoHyphens/>
        <w:spacing w:after="120" w:line="240" w:lineRule="auto"/>
        <w:ind w:left="1247"/>
        <w:rPr>
          <w:rFonts w:ascii="Times New Roman" w:hAnsi="Times New Roman"/>
          <w:spacing w:val="-3"/>
          <w:sz w:val="20"/>
          <w:szCs w:val="20"/>
          <w:lang w:val="es-ES"/>
        </w:rPr>
      </w:pPr>
      <w:r w:rsidRPr="00E909DB">
        <w:rPr>
          <w:rFonts w:ascii="Times New Roman" w:hAnsi="Times New Roman"/>
          <w:spacing w:val="-3"/>
          <w:sz w:val="20"/>
          <w:szCs w:val="20"/>
          <w:lang w:val="es-ES"/>
        </w:rPr>
        <w:t>D</w:t>
      </w:r>
      <w:r w:rsidR="00A368E5" w:rsidRPr="00E909DB">
        <w:rPr>
          <w:rFonts w:ascii="Times New Roman" w:hAnsi="Times New Roman"/>
          <w:spacing w:val="-3"/>
          <w:sz w:val="20"/>
          <w:szCs w:val="20"/>
          <w:lang w:val="es-ES"/>
        </w:rPr>
        <w:t>aniel</w:t>
      </w:r>
      <w:r w:rsidRPr="00E909DB">
        <w:rPr>
          <w:rFonts w:ascii="Times New Roman" w:hAnsi="Times New Roman"/>
          <w:spacing w:val="-3"/>
          <w:sz w:val="20"/>
          <w:szCs w:val="20"/>
          <w:lang w:val="es-ES"/>
        </w:rPr>
        <w:t xml:space="preserve"> </w:t>
      </w:r>
      <w:r w:rsidR="000F47EE" w:rsidRPr="00E909DB">
        <w:rPr>
          <w:rFonts w:ascii="Times New Roman" w:hAnsi="Times New Roman"/>
          <w:spacing w:val="-3"/>
          <w:sz w:val="20"/>
          <w:szCs w:val="20"/>
          <w:lang w:val="es-ES"/>
        </w:rPr>
        <w:t>Simberloff</w:t>
      </w:r>
      <w:r w:rsidR="00ED548F">
        <w:rPr>
          <w:rFonts w:ascii="Times New Roman" w:hAnsi="Times New Roman"/>
          <w:spacing w:val="-3"/>
          <w:sz w:val="20"/>
          <w:szCs w:val="20"/>
          <w:lang w:val="es-ES"/>
        </w:rPr>
        <w:t xml:space="preserve"> </w:t>
      </w:r>
      <w:r w:rsidR="00460555" w:rsidRPr="00E909DB">
        <w:rPr>
          <w:rFonts w:ascii="Times New Roman" w:hAnsi="Times New Roman"/>
          <w:spacing w:val="-3"/>
          <w:sz w:val="20"/>
          <w:szCs w:val="20"/>
          <w:lang w:val="es-ES"/>
        </w:rPr>
        <w:t>y otros</w:t>
      </w:r>
      <w:r w:rsidRPr="00E909DB">
        <w:rPr>
          <w:rFonts w:ascii="Times New Roman" w:hAnsi="Times New Roman"/>
          <w:spacing w:val="-3"/>
          <w:sz w:val="20"/>
          <w:szCs w:val="20"/>
          <w:lang w:val="es-ES"/>
        </w:rPr>
        <w:t>,</w:t>
      </w:r>
      <w:r w:rsidR="000F47EE" w:rsidRPr="00E909DB">
        <w:rPr>
          <w:rFonts w:ascii="Times New Roman" w:hAnsi="Times New Roman"/>
          <w:spacing w:val="-3"/>
          <w:sz w:val="20"/>
          <w:szCs w:val="20"/>
          <w:lang w:val="es-ES"/>
        </w:rPr>
        <w:t xml:space="preserve"> </w:t>
      </w:r>
      <w:r w:rsidRPr="00E909DB">
        <w:rPr>
          <w:rFonts w:ascii="Times New Roman" w:hAnsi="Times New Roman"/>
          <w:spacing w:val="-3"/>
          <w:sz w:val="20"/>
          <w:szCs w:val="20"/>
          <w:lang w:val="es-ES"/>
        </w:rPr>
        <w:t>“</w:t>
      </w:r>
      <w:r w:rsidR="000F47EE" w:rsidRPr="00E909DB">
        <w:rPr>
          <w:rFonts w:ascii="Times New Roman" w:hAnsi="Times New Roman"/>
          <w:spacing w:val="-3"/>
          <w:sz w:val="20"/>
          <w:szCs w:val="20"/>
          <w:lang w:val="es-ES"/>
        </w:rPr>
        <w:t>Impacts of biological invasions: what’s what and the way forward</w:t>
      </w:r>
      <w:r w:rsidRPr="00E909DB">
        <w:rPr>
          <w:rFonts w:ascii="Times New Roman" w:hAnsi="Times New Roman"/>
          <w:spacing w:val="-3"/>
          <w:sz w:val="20"/>
          <w:szCs w:val="20"/>
          <w:lang w:val="es-ES"/>
        </w:rPr>
        <w:t>”,</w:t>
      </w:r>
      <w:r w:rsidR="000F47EE" w:rsidRPr="00E909DB">
        <w:rPr>
          <w:rFonts w:ascii="Times New Roman" w:hAnsi="Times New Roman"/>
          <w:spacing w:val="-3"/>
          <w:sz w:val="20"/>
          <w:szCs w:val="20"/>
          <w:lang w:val="es-ES"/>
        </w:rPr>
        <w:t xml:space="preserve"> </w:t>
      </w:r>
      <w:r w:rsidR="000F47EE" w:rsidRPr="00E909DB">
        <w:rPr>
          <w:rFonts w:ascii="Times New Roman" w:hAnsi="Times New Roman"/>
          <w:i/>
          <w:spacing w:val="-3"/>
          <w:sz w:val="20"/>
          <w:szCs w:val="20"/>
          <w:lang w:val="es-ES"/>
        </w:rPr>
        <w:t xml:space="preserve">Trends in </w:t>
      </w:r>
      <w:r w:rsidR="00A368E5" w:rsidRPr="00E909DB">
        <w:rPr>
          <w:rFonts w:ascii="Times New Roman" w:hAnsi="Times New Roman"/>
          <w:i/>
          <w:spacing w:val="-3"/>
          <w:sz w:val="20"/>
          <w:szCs w:val="20"/>
          <w:lang w:val="es-ES"/>
        </w:rPr>
        <w:t>E</w:t>
      </w:r>
      <w:r w:rsidR="000F47EE" w:rsidRPr="00E909DB">
        <w:rPr>
          <w:rFonts w:ascii="Times New Roman" w:hAnsi="Times New Roman"/>
          <w:i/>
          <w:spacing w:val="-3"/>
          <w:sz w:val="20"/>
          <w:szCs w:val="20"/>
          <w:lang w:val="es-ES"/>
        </w:rPr>
        <w:t xml:space="preserve">cology </w:t>
      </w:r>
      <w:r w:rsidR="000F47EE" w:rsidRPr="00E909DB">
        <w:rPr>
          <w:rFonts w:ascii="Times New Roman" w:hAnsi="Times New Roman"/>
          <w:spacing w:val="-3"/>
          <w:sz w:val="20"/>
          <w:szCs w:val="20"/>
          <w:lang w:val="es-ES"/>
        </w:rPr>
        <w:t>&amp;</w:t>
      </w:r>
      <w:r w:rsidR="000F47EE" w:rsidRPr="00E909DB">
        <w:rPr>
          <w:rFonts w:ascii="Times New Roman" w:hAnsi="Times New Roman"/>
          <w:i/>
          <w:spacing w:val="-3"/>
          <w:sz w:val="20"/>
          <w:szCs w:val="20"/>
          <w:lang w:val="es-ES"/>
        </w:rPr>
        <w:t xml:space="preserve"> </w:t>
      </w:r>
      <w:r w:rsidR="00A368E5" w:rsidRPr="00E909DB">
        <w:rPr>
          <w:rFonts w:ascii="Times New Roman" w:hAnsi="Times New Roman"/>
          <w:i/>
          <w:spacing w:val="-3"/>
          <w:sz w:val="20"/>
          <w:szCs w:val="20"/>
          <w:lang w:val="es-ES"/>
        </w:rPr>
        <w:t>E</w:t>
      </w:r>
      <w:r w:rsidR="000F47EE" w:rsidRPr="00E909DB">
        <w:rPr>
          <w:rFonts w:ascii="Times New Roman" w:hAnsi="Times New Roman"/>
          <w:i/>
          <w:spacing w:val="-3"/>
          <w:sz w:val="20"/>
          <w:szCs w:val="20"/>
          <w:lang w:val="es-ES"/>
        </w:rPr>
        <w:t>volution</w:t>
      </w:r>
      <w:r w:rsidR="000F47EE" w:rsidRPr="00E909DB">
        <w:rPr>
          <w:rFonts w:ascii="Times New Roman" w:hAnsi="Times New Roman"/>
          <w:spacing w:val="-3"/>
          <w:sz w:val="20"/>
          <w:szCs w:val="20"/>
          <w:lang w:val="es-ES"/>
        </w:rPr>
        <w:t xml:space="preserve">, </w:t>
      </w:r>
      <w:r w:rsidR="00865157" w:rsidRPr="00E909DB">
        <w:rPr>
          <w:rFonts w:ascii="Times New Roman" w:hAnsi="Times New Roman"/>
          <w:spacing w:val="-3"/>
          <w:sz w:val="20"/>
          <w:szCs w:val="20"/>
          <w:lang w:val="es-ES"/>
        </w:rPr>
        <w:t xml:space="preserve">vol. </w:t>
      </w:r>
      <w:r w:rsidR="000F47EE" w:rsidRPr="00E909DB">
        <w:rPr>
          <w:rFonts w:ascii="Times New Roman" w:hAnsi="Times New Roman"/>
          <w:spacing w:val="-3"/>
          <w:sz w:val="20"/>
          <w:szCs w:val="20"/>
          <w:lang w:val="es-ES"/>
        </w:rPr>
        <w:t>28</w:t>
      </w:r>
      <w:r w:rsidR="00307526" w:rsidRPr="00E909DB">
        <w:rPr>
          <w:rFonts w:ascii="Times New Roman" w:hAnsi="Times New Roman"/>
          <w:spacing w:val="-3"/>
          <w:sz w:val="20"/>
          <w:szCs w:val="20"/>
          <w:lang w:val="es-ES"/>
        </w:rPr>
        <w:t>, N</w:t>
      </w:r>
      <w:r w:rsidR="00460555" w:rsidRPr="00E909DB">
        <w:rPr>
          <w:rFonts w:ascii="Times New Roman" w:hAnsi="Times New Roman"/>
          <w:spacing w:val="-3"/>
          <w:sz w:val="20"/>
          <w:szCs w:val="20"/>
          <w:lang w:val="es-ES"/>
        </w:rPr>
        <w:t>úm</w:t>
      </w:r>
      <w:r w:rsidR="00307526" w:rsidRPr="00E909DB">
        <w:rPr>
          <w:rFonts w:ascii="Times New Roman" w:hAnsi="Times New Roman"/>
          <w:spacing w:val="-3"/>
          <w:sz w:val="20"/>
          <w:szCs w:val="20"/>
          <w:lang w:val="es-ES"/>
        </w:rPr>
        <w:t xml:space="preserve">. </w:t>
      </w:r>
      <w:r w:rsidR="004074B9" w:rsidRPr="00E909DB">
        <w:rPr>
          <w:rFonts w:ascii="Times New Roman" w:hAnsi="Times New Roman"/>
          <w:spacing w:val="-3"/>
          <w:sz w:val="20"/>
          <w:szCs w:val="20"/>
          <w:lang w:val="es-ES"/>
        </w:rPr>
        <w:t>1</w:t>
      </w:r>
      <w:r w:rsidR="00865157" w:rsidRPr="00E909DB">
        <w:rPr>
          <w:rFonts w:ascii="Times New Roman" w:hAnsi="Times New Roman"/>
          <w:spacing w:val="-3"/>
          <w:sz w:val="20"/>
          <w:szCs w:val="20"/>
          <w:lang w:val="es-ES"/>
        </w:rPr>
        <w:t xml:space="preserve"> (2013)</w:t>
      </w:r>
      <w:r w:rsidR="000F47EE" w:rsidRPr="00E909DB">
        <w:rPr>
          <w:rFonts w:ascii="Times New Roman" w:hAnsi="Times New Roman"/>
          <w:spacing w:val="-3"/>
          <w:sz w:val="20"/>
          <w:szCs w:val="20"/>
          <w:lang w:val="es-ES"/>
        </w:rPr>
        <w:t xml:space="preserve">, </w:t>
      </w:r>
      <w:r w:rsidR="00865157" w:rsidRPr="00E909DB">
        <w:rPr>
          <w:rFonts w:ascii="Times New Roman" w:hAnsi="Times New Roman"/>
          <w:spacing w:val="-3"/>
          <w:sz w:val="20"/>
          <w:szCs w:val="20"/>
          <w:lang w:val="es-ES"/>
        </w:rPr>
        <w:t>p</w:t>
      </w:r>
      <w:r w:rsidR="00460555" w:rsidRPr="00E909DB">
        <w:rPr>
          <w:rFonts w:ascii="Times New Roman" w:hAnsi="Times New Roman"/>
          <w:spacing w:val="-3"/>
          <w:sz w:val="20"/>
          <w:szCs w:val="20"/>
          <w:lang w:val="es-ES"/>
        </w:rPr>
        <w:t>ágs</w:t>
      </w:r>
      <w:r w:rsidR="00865157" w:rsidRPr="00E909DB">
        <w:rPr>
          <w:rFonts w:ascii="Times New Roman" w:hAnsi="Times New Roman"/>
          <w:spacing w:val="-3"/>
          <w:sz w:val="20"/>
          <w:szCs w:val="20"/>
          <w:lang w:val="es-ES"/>
        </w:rPr>
        <w:t xml:space="preserve">. </w:t>
      </w:r>
      <w:r w:rsidR="000F47EE" w:rsidRPr="00E909DB">
        <w:rPr>
          <w:rFonts w:ascii="Times New Roman" w:hAnsi="Times New Roman"/>
          <w:spacing w:val="-3"/>
          <w:sz w:val="20"/>
          <w:szCs w:val="20"/>
          <w:lang w:val="es-ES"/>
        </w:rPr>
        <w:t>58</w:t>
      </w:r>
      <w:r w:rsidR="00460555" w:rsidRPr="00E909DB">
        <w:rPr>
          <w:rFonts w:ascii="Times New Roman" w:hAnsi="Times New Roman"/>
          <w:spacing w:val="-3"/>
          <w:sz w:val="20"/>
          <w:szCs w:val="20"/>
          <w:lang w:val="es-ES"/>
        </w:rPr>
        <w:t xml:space="preserve"> a </w:t>
      </w:r>
      <w:r w:rsidR="000F47EE" w:rsidRPr="00E909DB">
        <w:rPr>
          <w:rFonts w:ascii="Times New Roman" w:hAnsi="Times New Roman"/>
          <w:spacing w:val="-3"/>
          <w:sz w:val="20"/>
          <w:szCs w:val="20"/>
          <w:lang w:val="es-ES"/>
        </w:rPr>
        <w:t>66.</w:t>
      </w:r>
    </w:p>
    <w:p w:rsidR="000F47EE" w:rsidRPr="00E909DB" w:rsidRDefault="00460555" w:rsidP="008D76C0">
      <w:pPr>
        <w:tabs>
          <w:tab w:val="left" w:pos="1560"/>
          <w:tab w:val="left" w:pos="1920"/>
        </w:tabs>
        <w:spacing w:after="120" w:line="240" w:lineRule="auto"/>
        <w:ind w:left="1247" w:right="120"/>
        <w:rPr>
          <w:rFonts w:ascii="Times New Roman" w:hAnsi="Times New Roman"/>
          <w:bCs/>
          <w:sz w:val="20"/>
          <w:szCs w:val="20"/>
          <w:lang w:val="es-ES"/>
        </w:rPr>
      </w:pPr>
      <w:r w:rsidRPr="00E909DB">
        <w:rPr>
          <w:rFonts w:ascii="Times New Roman" w:hAnsi="Times New Roman"/>
          <w:bCs/>
          <w:sz w:val="20"/>
          <w:szCs w:val="20"/>
          <w:lang w:val="es-ES"/>
        </w:rPr>
        <w:t>Servicio Forestal de los Estados Unidos</w:t>
      </w:r>
      <w:r w:rsidR="000F47EE" w:rsidRPr="00E909DB">
        <w:rPr>
          <w:rFonts w:ascii="Times New Roman" w:hAnsi="Times New Roman"/>
          <w:bCs/>
          <w:sz w:val="20"/>
          <w:szCs w:val="20"/>
          <w:lang w:val="es-ES"/>
        </w:rPr>
        <w:t xml:space="preserve">, </w:t>
      </w:r>
      <w:r w:rsidR="00502C85" w:rsidRPr="00E909DB">
        <w:rPr>
          <w:rFonts w:ascii="Times New Roman" w:hAnsi="Times New Roman"/>
          <w:bCs/>
          <w:sz w:val="20"/>
          <w:szCs w:val="20"/>
          <w:lang w:val="es-ES"/>
        </w:rPr>
        <w:t>“</w:t>
      </w:r>
      <w:r w:rsidR="000F47EE" w:rsidRPr="00E909DB">
        <w:rPr>
          <w:rFonts w:ascii="Times New Roman" w:hAnsi="Times New Roman"/>
          <w:bCs/>
          <w:sz w:val="20"/>
          <w:szCs w:val="20"/>
          <w:lang w:val="es-ES"/>
        </w:rPr>
        <w:t>Pacific Island Ecosystems at Risk (PIER)</w:t>
      </w:r>
      <w:r w:rsidR="00502C85" w:rsidRPr="00E909DB">
        <w:rPr>
          <w:rFonts w:ascii="Times New Roman" w:hAnsi="Times New Roman"/>
          <w:bCs/>
          <w:sz w:val="20"/>
          <w:szCs w:val="20"/>
          <w:lang w:val="es-ES"/>
        </w:rPr>
        <w:t>”,</w:t>
      </w:r>
      <w:r w:rsidR="000F47EE" w:rsidRPr="00E909DB">
        <w:rPr>
          <w:rFonts w:ascii="Times New Roman" w:hAnsi="Times New Roman"/>
          <w:bCs/>
          <w:sz w:val="20"/>
          <w:szCs w:val="20"/>
          <w:lang w:val="es-ES"/>
        </w:rPr>
        <w:t xml:space="preserve"> </w:t>
      </w:r>
      <w:r w:rsidRPr="00E909DB">
        <w:rPr>
          <w:rFonts w:ascii="Times New Roman" w:hAnsi="Times New Roman"/>
          <w:bCs/>
          <w:sz w:val="20"/>
          <w:szCs w:val="20"/>
          <w:lang w:val="es-ES"/>
        </w:rPr>
        <w:t>disponible en</w:t>
      </w:r>
      <w:r w:rsidR="00ED548F">
        <w:rPr>
          <w:rFonts w:ascii="Times New Roman" w:hAnsi="Times New Roman"/>
          <w:bCs/>
          <w:sz w:val="20"/>
          <w:szCs w:val="20"/>
          <w:lang w:val="es-ES"/>
        </w:rPr>
        <w:t xml:space="preserve"> </w:t>
      </w:r>
      <w:r w:rsidR="00415911" w:rsidRPr="00E909DB">
        <w:rPr>
          <w:rFonts w:ascii="Times New Roman" w:hAnsi="Times New Roman"/>
          <w:sz w:val="20"/>
          <w:szCs w:val="20"/>
          <w:lang w:val="es-ES"/>
        </w:rPr>
        <w:t>http://www.hear.org/pier</w:t>
      </w:r>
      <w:r w:rsidR="00415911" w:rsidRPr="00E909DB">
        <w:rPr>
          <w:lang w:val="es-ES"/>
        </w:rPr>
        <w:t xml:space="preserve"> </w:t>
      </w:r>
      <w:r w:rsidR="0056035C" w:rsidRPr="00E909DB">
        <w:rPr>
          <w:rFonts w:ascii="Times New Roman" w:hAnsi="Times New Roman"/>
          <w:bCs/>
          <w:sz w:val="20"/>
          <w:szCs w:val="20"/>
          <w:lang w:val="es-ES"/>
        </w:rPr>
        <w:t>(</w:t>
      </w:r>
      <w:r w:rsidRPr="00E909DB">
        <w:rPr>
          <w:rFonts w:ascii="Times New Roman" w:hAnsi="Times New Roman"/>
          <w:bCs/>
          <w:sz w:val="20"/>
          <w:szCs w:val="20"/>
          <w:lang w:val="es-ES"/>
        </w:rPr>
        <w:t xml:space="preserve">consultado el </w:t>
      </w:r>
      <w:r w:rsidR="00502C85" w:rsidRPr="00E909DB">
        <w:rPr>
          <w:rFonts w:ascii="Times New Roman" w:hAnsi="Times New Roman"/>
          <w:bCs/>
          <w:sz w:val="20"/>
          <w:szCs w:val="20"/>
          <w:lang w:val="es-ES"/>
        </w:rPr>
        <w:t xml:space="preserve">2 </w:t>
      </w:r>
      <w:r w:rsidRPr="00E909DB">
        <w:rPr>
          <w:rFonts w:ascii="Times New Roman" w:hAnsi="Times New Roman"/>
          <w:bCs/>
          <w:sz w:val="20"/>
          <w:szCs w:val="20"/>
          <w:lang w:val="es-ES"/>
        </w:rPr>
        <w:t>de octubre de</w:t>
      </w:r>
      <w:r w:rsidR="00502C85" w:rsidRPr="00E909DB">
        <w:rPr>
          <w:rFonts w:ascii="Times New Roman" w:hAnsi="Times New Roman"/>
          <w:bCs/>
          <w:sz w:val="20"/>
          <w:szCs w:val="20"/>
          <w:lang w:val="es-ES"/>
        </w:rPr>
        <w:t xml:space="preserve"> 2013)</w:t>
      </w:r>
      <w:r w:rsidR="000F47EE" w:rsidRPr="00E909DB">
        <w:rPr>
          <w:rFonts w:ascii="Times New Roman" w:hAnsi="Times New Roman"/>
          <w:bCs/>
          <w:sz w:val="20"/>
          <w:szCs w:val="20"/>
          <w:lang w:val="es-ES"/>
        </w:rPr>
        <w:t>.</w:t>
      </w:r>
    </w:p>
    <w:p w:rsidR="000F47EE" w:rsidRPr="00E909DB" w:rsidRDefault="00CC4719" w:rsidP="008D76C0">
      <w:pPr>
        <w:autoSpaceDE w:val="0"/>
        <w:autoSpaceDN w:val="0"/>
        <w:adjustRightInd w:val="0"/>
        <w:spacing w:after="120" w:line="240" w:lineRule="auto"/>
        <w:ind w:left="1247"/>
        <w:rPr>
          <w:rFonts w:ascii="Times New Roman" w:hAnsi="Times New Roman"/>
          <w:sz w:val="20"/>
          <w:szCs w:val="20"/>
          <w:lang w:val="es-ES" w:eastAsia="fr-FR"/>
        </w:rPr>
      </w:pPr>
      <w:r w:rsidRPr="00E909DB">
        <w:rPr>
          <w:rFonts w:ascii="Times New Roman" w:hAnsi="Times New Roman"/>
          <w:sz w:val="20"/>
          <w:szCs w:val="20"/>
          <w:lang w:val="es-ES" w:eastAsia="fr-FR"/>
        </w:rPr>
        <w:t>K</w:t>
      </w:r>
      <w:r w:rsidR="001D35A8" w:rsidRPr="00E909DB">
        <w:rPr>
          <w:rFonts w:ascii="Times New Roman" w:hAnsi="Times New Roman"/>
          <w:sz w:val="20"/>
          <w:szCs w:val="20"/>
          <w:lang w:val="es-ES" w:eastAsia="fr-FR"/>
        </w:rPr>
        <w:t>endra</w:t>
      </w:r>
      <w:r w:rsidR="001466BD" w:rsidRPr="00E909DB">
        <w:rPr>
          <w:rFonts w:ascii="Times New Roman" w:hAnsi="Times New Roman"/>
          <w:sz w:val="20"/>
          <w:szCs w:val="20"/>
          <w:lang w:val="es-ES" w:eastAsia="fr-FR"/>
        </w:rPr>
        <w:t xml:space="preserve"> </w:t>
      </w:r>
      <w:r w:rsidRPr="00E909DB">
        <w:rPr>
          <w:rFonts w:ascii="Times New Roman" w:hAnsi="Times New Roman"/>
          <w:sz w:val="20"/>
          <w:szCs w:val="20"/>
          <w:lang w:val="es-ES" w:eastAsia="fr-FR"/>
        </w:rPr>
        <w:t xml:space="preserve">L. </w:t>
      </w:r>
      <w:r w:rsidR="000F47EE" w:rsidRPr="00E909DB">
        <w:rPr>
          <w:rFonts w:ascii="Times New Roman" w:hAnsi="Times New Roman"/>
          <w:sz w:val="20"/>
          <w:szCs w:val="20"/>
          <w:lang w:val="es-ES" w:eastAsia="fr-FR"/>
        </w:rPr>
        <w:t xml:space="preserve">Walker, </w:t>
      </w:r>
      <w:r w:rsidRPr="00E909DB">
        <w:rPr>
          <w:rFonts w:ascii="Times New Roman" w:hAnsi="Times New Roman"/>
          <w:sz w:val="20"/>
          <w:szCs w:val="20"/>
          <w:lang w:val="es-ES" w:eastAsia="fr-FR"/>
        </w:rPr>
        <w:t>“</w:t>
      </w:r>
      <w:r w:rsidR="000F47EE" w:rsidRPr="00E909DB">
        <w:rPr>
          <w:rFonts w:ascii="Times New Roman" w:hAnsi="Times New Roman"/>
          <w:sz w:val="20"/>
          <w:szCs w:val="20"/>
          <w:lang w:val="es-ES" w:eastAsia="fr-FR"/>
        </w:rPr>
        <w:t xml:space="preserve">Impact of the little fire ant, </w:t>
      </w:r>
      <w:r w:rsidR="000F47EE" w:rsidRPr="00E909DB">
        <w:rPr>
          <w:rFonts w:ascii="Times New Roman" w:hAnsi="Times New Roman"/>
          <w:i/>
          <w:iCs/>
          <w:sz w:val="20"/>
          <w:szCs w:val="20"/>
          <w:lang w:val="es-ES" w:eastAsia="fr-FR"/>
        </w:rPr>
        <w:t>Wasmannia auropunctata</w:t>
      </w:r>
      <w:r w:rsidR="000F47EE" w:rsidRPr="00E909DB">
        <w:rPr>
          <w:rFonts w:ascii="Times New Roman" w:hAnsi="Times New Roman"/>
          <w:sz w:val="20"/>
          <w:szCs w:val="20"/>
          <w:lang w:val="es-ES" w:eastAsia="fr-FR"/>
        </w:rPr>
        <w:t>, on native forest ants in Gabon</w:t>
      </w:r>
      <w:r w:rsidR="001466BD" w:rsidRPr="00E909DB">
        <w:rPr>
          <w:rFonts w:ascii="Times New Roman" w:hAnsi="Times New Roman"/>
          <w:sz w:val="20"/>
          <w:szCs w:val="20"/>
          <w:lang w:val="es-ES" w:eastAsia="fr-FR"/>
        </w:rPr>
        <w:t>”</w:t>
      </w:r>
      <w:r w:rsidRPr="00E909DB">
        <w:rPr>
          <w:rFonts w:ascii="Times New Roman" w:hAnsi="Times New Roman"/>
          <w:sz w:val="20"/>
          <w:szCs w:val="20"/>
          <w:lang w:val="es-ES" w:eastAsia="fr-FR"/>
        </w:rPr>
        <w:t>,</w:t>
      </w:r>
      <w:r w:rsidR="008C4605" w:rsidRPr="00E909DB">
        <w:rPr>
          <w:rFonts w:ascii="Times New Roman" w:hAnsi="Times New Roman"/>
          <w:sz w:val="20"/>
          <w:szCs w:val="20"/>
          <w:lang w:val="es-ES" w:eastAsia="fr-FR"/>
        </w:rPr>
        <w:t xml:space="preserve"> </w:t>
      </w:r>
      <w:r w:rsidR="000F47EE" w:rsidRPr="00E909DB">
        <w:rPr>
          <w:rFonts w:ascii="Times New Roman" w:hAnsi="Times New Roman"/>
          <w:i/>
          <w:sz w:val="20"/>
          <w:szCs w:val="20"/>
          <w:lang w:val="es-ES" w:eastAsia="fr-FR"/>
        </w:rPr>
        <w:t>Biotropica</w:t>
      </w:r>
      <w:r w:rsidRPr="00E909DB">
        <w:rPr>
          <w:rFonts w:ascii="Times New Roman" w:hAnsi="Times New Roman"/>
          <w:sz w:val="20"/>
          <w:szCs w:val="20"/>
          <w:lang w:val="es-ES" w:eastAsia="fr-FR"/>
        </w:rPr>
        <w:t>,</w:t>
      </w:r>
      <w:r w:rsidR="000F47EE" w:rsidRPr="00E909DB">
        <w:rPr>
          <w:rFonts w:ascii="Times New Roman" w:hAnsi="Times New Roman"/>
          <w:sz w:val="20"/>
          <w:szCs w:val="20"/>
          <w:lang w:val="es-ES" w:eastAsia="fr-FR"/>
        </w:rPr>
        <w:t xml:space="preserve"> </w:t>
      </w:r>
      <w:r w:rsidRPr="00E909DB">
        <w:rPr>
          <w:rFonts w:ascii="Times New Roman" w:hAnsi="Times New Roman"/>
          <w:sz w:val="20"/>
          <w:szCs w:val="20"/>
          <w:lang w:val="es-ES" w:eastAsia="fr-FR"/>
        </w:rPr>
        <w:t xml:space="preserve">vol. </w:t>
      </w:r>
      <w:r w:rsidR="000F47EE" w:rsidRPr="00E909DB">
        <w:rPr>
          <w:rFonts w:ascii="Times New Roman" w:hAnsi="Times New Roman"/>
          <w:sz w:val="20"/>
          <w:szCs w:val="20"/>
          <w:lang w:val="es-ES" w:eastAsia="fr-FR"/>
        </w:rPr>
        <w:t>38</w:t>
      </w:r>
      <w:r w:rsidRPr="00E909DB">
        <w:rPr>
          <w:rFonts w:ascii="Times New Roman" w:hAnsi="Times New Roman"/>
          <w:sz w:val="20"/>
          <w:szCs w:val="20"/>
          <w:lang w:val="es-ES" w:eastAsia="fr-FR"/>
        </w:rPr>
        <w:t xml:space="preserve">, </w:t>
      </w:r>
      <w:r w:rsidR="00307526" w:rsidRPr="00E909DB">
        <w:rPr>
          <w:rFonts w:ascii="Times New Roman" w:hAnsi="Times New Roman"/>
          <w:sz w:val="20"/>
          <w:szCs w:val="20"/>
          <w:lang w:val="es-ES" w:eastAsia="fr-FR"/>
        </w:rPr>
        <w:t>N</w:t>
      </w:r>
      <w:r w:rsidR="00460555" w:rsidRPr="00E909DB">
        <w:rPr>
          <w:rFonts w:ascii="Times New Roman" w:hAnsi="Times New Roman"/>
          <w:sz w:val="20"/>
          <w:szCs w:val="20"/>
          <w:lang w:val="es-ES" w:eastAsia="fr-FR"/>
        </w:rPr>
        <w:t>úm</w:t>
      </w:r>
      <w:r w:rsidRPr="00E909DB">
        <w:rPr>
          <w:rFonts w:ascii="Times New Roman" w:hAnsi="Times New Roman"/>
          <w:sz w:val="20"/>
          <w:szCs w:val="20"/>
          <w:lang w:val="es-ES" w:eastAsia="fr-FR"/>
        </w:rPr>
        <w:t>.</w:t>
      </w:r>
      <w:r w:rsidR="000F47EE" w:rsidRPr="00E909DB">
        <w:rPr>
          <w:rFonts w:ascii="Times New Roman" w:hAnsi="Times New Roman"/>
          <w:sz w:val="20"/>
          <w:szCs w:val="20"/>
          <w:lang w:val="es-ES" w:eastAsia="fr-FR"/>
        </w:rPr>
        <w:t xml:space="preserve"> 5</w:t>
      </w:r>
      <w:r w:rsidR="00543F2D" w:rsidRPr="00E909DB">
        <w:rPr>
          <w:rFonts w:ascii="Times New Roman" w:hAnsi="Times New Roman"/>
          <w:sz w:val="20"/>
          <w:szCs w:val="20"/>
          <w:lang w:val="es-ES" w:eastAsia="fr-FR"/>
        </w:rPr>
        <w:t xml:space="preserve"> (2006)</w:t>
      </w:r>
      <w:r w:rsidRPr="00E909DB">
        <w:rPr>
          <w:rFonts w:ascii="Times New Roman" w:hAnsi="Times New Roman"/>
          <w:sz w:val="20"/>
          <w:szCs w:val="20"/>
          <w:lang w:val="es-ES" w:eastAsia="fr-FR"/>
        </w:rPr>
        <w:t>,</w:t>
      </w:r>
      <w:r w:rsidR="000F47EE" w:rsidRPr="00E909DB">
        <w:rPr>
          <w:rFonts w:ascii="Times New Roman" w:hAnsi="Times New Roman"/>
          <w:sz w:val="20"/>
          <w:szCs w:val="20"/>
          <w:lang w:val="es-ES" w:eastAsia="fr-FR"/>
        </w:rPr>
        <w:t xml:space="preserve"> </w:t>
      </w:r>
      <w:r w:rsidRPr="00E909DB">
        <w:rPr>
          <w:rFonts w:ascii="Times New Roman" w:hAnsi="Times New Roman"/>
          <w:sz w:val="20"/>
          <w:szCs w:val="20"/>
          <w:lang w:val="es-ES" w:eastAsia="fr-FR"/>
        </w:rPr>
        <w:t>p</w:t>
      </w:r>
      <w:r w:rsidR="00460555" w:rsidRPr="00E909DB">
        <w:rPr>
          <w:rFonts w:ascii="Times New Roman" w:hAnsi="Times New Roman"/>
          <w:sz w:val="20"/>
          <w:szCs w:val="20"/>
          <w:lang w:val="es-ES" w:eastAsia="fr-FR"/>
        </w:rPr>
        <w:t>ágs</w:t>
      </w:r>
      <w:r w:rsidRPr="00E909DB">
        <w:rPr>
          <w:rFonts w:ascii="Times New Roman" w:hAnsi="Times New Roman"/>
          <w:sz w:val="20"/>
          <w:szCs w:val="20"/>
          <w:lang w:val="es-ES" w:eastAsia="fr-FR"/>
        </w:rPr>
        <w:t xml:space="preserve">. </w:t>
      </w:r>
      <w:r w:rsidR="000F47EE" w:rsidRPr="00E909DB">
        <w:rPr>
          <w:rFonts w:ascii="Times New Roman" w:hAnsi="Times New Roman"/>
          <w:sz w:val="20"/>
          <w:szCs w:val="20"/>
          <w:lang w:val="es-ES" w:eastAsia="fr-FR"/>
        </w:rPr>
        <w:t>666</w:t>
      </w:r>
      <w:r w:rsidR="00460555" w:rsidRPr="00E909DB">
        <w:rPr>
          <w:rFonts w:ascii="Times New Roman" w:hAnsi="Times New Roman"/>
          <w:sz w:val="20"/>
          <w:szCs w:val="20"/>
          <w:lang w:val="es-ES" w:eastAsia="fr-FR"/>
        </w:rPr>
        <w:t xml:space="preserve"> a </w:t>
      </w:r>
      <w:r w:rsidR="000F47EE" w:rsidRPr="00E909DB">
        <w:rPr>
          <w:rFonts w:ascii="Times New Roman" w:hAnsi="Times New Roman"/>
          <w:sz w:val="20"/>
          <w:szCs w:val="20"/>
          <w:lang w:val="es-ES" w:eastAsia="fr-FR"/>
        </w:rPr>
        <w:t>673.</w:t>
      </w:r>
    </w:p>
    <w:p w:rsidR="000F47EE" w:rsidRPr="00E909DB" w:rsidRDefault="003D3FE4" w:rsidP="008D76C0">
      <w:pPr>
        <w:autoSpaceDE w:val="0"/>
        <w:autoSpaceDN w:val="0"/>
        <w:adjustRightInd w:val="0"/>
        <w:spacing w:after="120" w:line="240" w:lineRule="auto"/>
        <w:ind w:left="1247"/>
        <w:rPr>
          <w:rFonts w:ascii="Times New Roman" w:hAnsi="Times New Roman"/>
          <w:sz w:val="20"/>
          <w:szCs w:val="20"/>
          <w:lang w:val="es-ES" w:eastAsia="fr-FR"/>
        </w:rPr>
      </w:pPr>
      <w:r w:rsidRPr="00E909DB">
        <w:rPr>
          <w:rFonts w:ascii="Times New Roman" w:hAnsi="Times New Roman"/>
          <w:sz w:val="20"/>
          <w:szCs w:val="20"/>
          <w:lang w:val="es-ES" w:eastAsia="fr-FR"/>
        </w:rPr>
        <w:t>J</w:t>
      </w:r>
      <w:r w:rsidR="00FA4BC6" w:rsidRPr="00E909DB">
        <w:rPr>
          <w:rFonts w:ascii="Times New Roman" w:hAnsi="Times New Roman"/>
          <w:sz w:val="20"/>
          <w:szCs w:val="20"/>
          <w:lang w:val="es-ES" w:eastAsia="fr-FR"/>
        </w:rPr>
        <w:t>ames</w:t>
      </w:r>
      <w:r w:rsidRPr="00E909DB">
        <w:rPr>
          <w:rFonts w:ascii="Times New Roman" w:hAnsi="Times New Roman"/>
          <w:sz w:val="20"/>
          <w:szCs w:val="20"/>
          <w:lang w:val="es-ES" w:eastAsia="fr-FR"/>
        </w:rPr>
        <w:t xml:space="preserve"> K. </w:t>
      </w:r>
      <w:r w:rsidR="000F47EE" w:rsidRPr="00E909DB">
        <w:rPr>
          <w:rFonts w:ascii="Times New Roman" w:hAnsi="Times New Roman"/>
          <w:sz w:val="20"/>
          <w:szCs w:val="20"/>
          <w:lang w:val="es-ES" w:eastAsia="fr-FR"/>
        </w:rPr>
        <w:t>Wetterer,</w:t>
      </w:r>
      <w:r w:rsidR="005463C9" w:rsidRPr="00E909DB">
        <w:rPr>
          <w:rFonts w:ascii="Times New Roman" w:hAnsi="Times New Roman"/>
          <w:sz w:val="20"/>
          <w:szCs w:val="20"/>
          <w:lang w:val="es-ES" w:eastAsia="fr-FR"/>
        </w:rPr>
        <w:t xml:space="preserve"> P. D. Walsh </w:t>
      </w:r>
      <w:r w:rsidR="00460555" w:rsidRPr="00E909DB">
        <w:rPr>
          <w:rFonts w:ascii="Times New Roman" w:hAnsi="Times New Roman"/>
          <w:sz w:val="20"/>
          <w:szCs w:val="20"/>
          <w:lang w:val="es-ES" w:eastAsia="fr-FR"/>
        </w:rPr>
        <w:t>y</w:t>
      </w:r>
      <w:r w:rsidR="005463C9" w:rsidRPr="00E909DB">
        <w:rPr>
          <w:rFonts w:ascii="Times New Roman" w:hAnsi="Times New Roman"/>
          <w:sz w:val="20"/>
          <w:szCs w:val="20"/>
          <w:lang w:val="es-ES" w:eastAsia="fr-FR"/>
        </w:rPr>
        <w:t xml:space="preserve"> L. J. T. White,</w:t>
      </w:r>
      <w:r w:rsidR="000F47EE" w:rsidRPr="00E909DB">
        <w:rPr>
          <w:rFonts w:ascii="Times New Roman" w:hAnsi="Times New Roman"/>
          <w:sz w:val="20"/>
          <w:szCs w:val="20"/>
          <w:lang w:val="es-ES" w:eastAsia="fr-FR"/>
        </w:rPr>
        <w:t xml:space="preserve"> </w:t>
      </w:r>
      <w:r w:rsidRPr="00E909DB">
        <w:rPr>
          <w:rFonts w:ascii="Times New Roman" w:hAnsi="Times New Roman"/>
          <w:sz w:val="20"/>
          <w:szCs w:val="20"/>
          <w:lang w:val="es-ES" w:eastAsia="fr-FR"/>
        </w:rPr>
        <w:t>“</w:t>
      </w:r>
      <w:r w:rsidR="000F47EE" w:rsidRPr="00E909DB">
        <w:rPr>
          <w:rFonts w:ascii="Times New Roman" w:hAnsi="Times New Roman"/>
          <w:i/>
          <w:iCs/>
          <w:sz w:val="20"/>
          <w:szCs w:val="20"/>
          <w:lang w:val="es-ES" w:eastAsia="fr-FR"/>
        </w:rPr>
        <w:t xml:space="preserve">Wasmannia auropunctata </w:t>
      </w:r>
      <w:r w:rsidR="000F47EE" w:rsidRPr="00E909DB">
        <w:rPr>
          <w:rFonts w:ascii="Times New Roman" w:hAnsi="Times New Roman"/>
          <w:sz w:val="20"/>
          <w:szCs w:val="20"/>
          <w:lang w:val="es-ES" w:eastAsia="fr-FR"/>
        </w:rPr>
        <w:t>(Roger) (Hymenoptera: Formicidae), a destructive tramp-ant, in wildlife refuges of Gabon</w:t>
      </w:r>
      <w:r w:rsidRPr="00E909DB">
        <w:rPr>
          <w:rFonts w:ascii="Times New Roman" w:hAnsi="Times New Roman"/>
          <w:sz w:val="20"/>
          <w:szCs w:val="20"/>
          <w:lang w:val="es-ES" w:eastAsia="fr-FR"/>
        </w:rPr>
        <w:t>”,</w:t>
      </w:r>
      <w:r w:rsidR="000F47EE" w:rsidRPr="00E909DB">
        <w:rPr>
          <w:rFonts w:ascii="Times New Roman" w:hAnsi="Times New Roman"/>
          <w:sz w:val="20"/>
          <w:szCs w:val="20"/>
          <w:lang w:val="es-ES" w:eastAsia="fr-FR"/>
        </w:rPr>
        <w:t xml:space="preserve"> </w:t>
      </w:r>
      <w:r w:rsidR="000F47EE" w:rsidRPr="00E909DB">
        <w:rPr>
          <w:rFonts w:ascii="Times New Roman" w:hAnsi="Times New Roman"/>
          <w:i/>
          <w:sz w:val="20"/>
          <w:szCs w:val="20"/>
          <w:lang w:val="es-ES" w:eastAsia="fr-FR"/>
        </w:rPr>
        <w:t>Afr</w:t>
      </w:r>
      <w:r w:rsidRPr="00E909DB">
        <w:rPr>
          <w:rFonts w:ascii="Times New Roman" w:hAnsi="Times New Roman"/>
          <w:i/>
          <w:sz w:val="20"/>
          <w:szCs w:val="20"/>
          <w:lang w:val="es-ES" w:eastAsia="fr-FR"/>
        </w:rPr>
        <w:t>ican</w:t>
      </w:r>
      <w:r w:rsidR="000F47EE" w:rsidRPr="00E909DB">
        <w:rPr>
          <w:rFonts w:ascii="Times New Roman" w:hAnsi="Times New Roman"/>
          <w:i/>
          <w:sz w:val="20"/>
          <w:szCs w:val="20"/>
          <w:lang w:val="es-ES" w:eastAsia="fr-FR"/>
        </w:rPr>
        <w:t>. Entomol</w:t>
      </w:r>
      <w:r w:rsidRPr="00E909DB">
        <w:rPr>
          <w:rFonts w:ascii="Times New Roman" w:hAnsi="Times New Roman"/>
          <w:i/>
          <w:sz w:val="20"/>
          <w:szCs w:val="20"/>
          <w:lang w:val="es-ES" w:eastAsia="fr-FR"/>
        </w:rPr>
        <w:t>ogy</w:t>
      </w:r>
      <w:r w:rsidRPr="00E909DB">
        <w:rPr>
          <w:rFonts w:ascii="Times New Roman" w:hAnsi="Times New Roman"/>
          <w:sz w:val="20"/>
          <w:szCs w:val="20"/>
          <w:lang w:val="es-ES" w:eastAsia="fr-FR"/>
        </w:rPr>
        <w:t>, vol</w:t>
      </w:r>
      <w:r w:rsidR="000F47EE" w:rsidRPr="00E909DB">
        <w:rPr>
          <w:rFonts w:ascii="Times New Roman" w:hAnsi="Times New Roman"/>
          <w:sz w:val="20"/>
          <w:szCs w:val="20"/>
          <w:lang w:val="es-ES" w:eastAsia="fr-FR"/>
        </w:rPr>
        <w:t>. 7</w:t>
      </w:r>
      <w:r w:rsidRPr="00E909DB">
        <w:rPr>
          <w:rFonts w:ascii="Times New Roman" w:hAnsi="Times New Roman"/>
          <w:sz w:val="20"/>
          <w:szCs w:val="20"/>
          <w:lang w:val="es-ES" w:eastAsia="fr-FR"/>
        </w:rPr>
        <w:t xml:space="preserve">, </w:t>
      </w:r>
      <w:r w:rsidR="00307526" w:rsidRPr="00E909DB">
        <w:rPr>
          <w:rFonts w:ascii="Times New Roman" w:hAnsi="Times New Roman"/>
          <w:sz w:val="20"/>
          <w:szCs w:val="20"/>
          <w:lang w:val="es-ES" w:eastAsia="fr-FR"/>
        </w:rPr>
        <w:t>N</w:t>
      </w:r>
      <w:r w:rsidR="00460555" w:rsidRPr="00E909DB">
        <w:rPr>
          <w:rFonts w:ascii="Times New Roman" w:hAnsi="Times New Roman"/>
          <w:sz w:val="20"/>
          <w:szCs w:val="20"/>
          <w:lang w:val="es-ES" w:eastAsia="fr-FR"/>
        </w:rPr>
        <w:t>úm</w:t>
      </w:r>
      <w:r w:rsidRPr="00E909DB">
        <w:rPr>
          <w:rFonts w:ascii="Times New Roman" w:hAnsi="Times New Roman"/>
          <w:sz w:val="20"/>
          <w:szCs w:val="20"/>
          <w:lang w:val="es-ES" w:eastAsia="fr-FR"/>
        </w:rPr>
        <w:t>. 2</w:t>
      </w:r>
      <w:r w:rsidR="00FA4BC6" w:rsidRPr="00E909DB">
        <w:rPr>
          <w:rFonts w:ascii="Times New Roman" w:hAnsi="Times New Roman"/>
          <w:sz w:val="20"/>
          <w:szCs w:val="20"/>
          <w:lang w:val="es-ES" w:eastAsia="fr-FR"/>
        </w:rPr>
        <w:t xml:space="preserve"> (1999)</w:t>
      </w:r>
      <w:r w:rsidRPr="00E909DB">
        <w:rPr>
          <w:rFonts w:ascii="Times New Roman" w:hAnsi="Times New Roman"/>
          <w:sz w:val="20"/>
          <w:szCs w:val="20"/>
          <w:lang w:val="es-ES" w:eastAsia="fr-FR"/>
        </w:rPr>
        <w:t>, p</w:t>
      </w:r>
      <w:r w:rsidR="00460555" w:rsidRPr="00E909DB">
        <w:rPr>
          <w:rFonts w:ascii="Times New Roman" w:hAnsi="Times New Roman"/>
          <w:sz w:val="20"/>
          <w:szCs w:val="20"/>
          <w:lang w:val="es-ES" w:eastAsia="fr-FR"/>
        </w:rPr>
        <w:t>ágs</w:t>
      </w:r>
      <w:r w:rsidRPr="00E909DB">
        <w:rPr>
          <w:rFonts w:ascii="Times New Roman" w:hAnsi="Times New Roman"/>
          <w:sz w:val="20"/>
          <w:szCs w:val="20"/>
          <w:lang w:val="es-ES" w:eastAsia="fr-FR"/>
        </w:rPr>
        <w:t>.</w:t>
      </w:r>
      <w:r w:rsidR="000F47EE" w:rsidRPr="00E909DB">
        <w:rPr>
          <w:rFonts w:ascii="Times New Roman" w:hAnsi="Times New Roman"/>
          <w:sz w:val="20"/>
          <w:szCs w:val="20"/>
          <w:lang w:val="es-ES" w:eastAsia="fr-FR"/>
        </w:rPr>
        <w:t xml:space="preserve"> 292</w:t>
      </w:r>
      <w:r w:rsidR="00460555" w:rsidRPr="00E909DB">
        <w:rPr>
          <w:rFonts w:ascii="Times New Roman" w:hAnsi="Times New Roman"/>
          <w:sz w:val="20"/>
          <w:szCs w:val="20"/>
          <w:lang w:val="es-ES" w:eastAsia="fr-FR"/>
        </w:rPr>
        <w:t xml:space="preserve"> a </w:t>
      </w:r>
      <w:r w:rsidR="00582ADE" w:rsidRPr="00E909DB">
        <w:rPr>
          <w:rFonts w:ascii="Times New Roman" w:hAnsi="Times New Roman"/>
          <w:sz w:val="20"/>
          <w:szCs w:val="20"/>
          <w:lang w:val="es-ES" w:eastAsia="fr-FR"/>
        </w:rPr>
        <w:t>294</w:t>
      </w:r>
      <w:r w:rsidR="000F47EE" w:rsidRPr="00E909DB">
        <w:rPr>
          <w:rFonts w:ascii="Times New Roman" w:hAnsi="Times New Roman"/>
          <w:sz w:val="20"/>
          <w:szCs w:val="20"/>
          <w:lang w:val="es-ES" w:eastAsia="fr-FR"/>
        </w:rPr>
        <w:t>.</w:t>
      </w:r>
    </w:p>
    <w:p w:rsidR="000F47EE" w:rsidRPr="00E909DB" w:rsidRDefault="00FA4BC6" w:rsidP="008D76C0">
      <w:pPr>
        <w:spacing w:after="120" w:line="240" w:lineRule="auto"/>
        <w:ind w:left="1247"/>
        <w:rPr>
          <w:rFonts w:ascii="Times New Roman" w:hAnsi="Times New Roman"/>
          <w:sz w:val="20"/>
          <w:szCs w:val="20"/>
          <w:lang w:val="es-ES"/>
        </w:rPr>
      </w:pPr>
      <w:r w:rsidRPr="00E909DB">
        <w:rPr>
          <w:rFonts w:ascii="Times New Roman" w:hAnsi="Times New Roman"/>
          <w:sz w:val="20"/>
          <w:szCs w:val="20"/>
          <w:lang w:val="es-ES"/>
        </w:rPr>
        <w:t xml:space="preserve">James K. </w:t>
      </w:r>
      <w:r w:rsidR="000F47EE" w:rsidRPr="00E909DB">
        <w:rPr>
          <w:rFonts w:ascii="Times New Roman" w:hAnsi="Times New Roman"/>
          <w:sz w:val="20"/>
          <w:szCs w:val="20"/>
          <w:lang w:val="es-ES"/>
        </w:rPr>
        <w:t xml:space="preserve">Wetterer, </w:t>
      </w:r>
      <w:r w:rsidR="00C223A7" w:rsidRPr="00E909DB">
        <w:rPr>
          <w:rFonts w:ascii="Times New Roman" w:hAnsi="Times New Roman"/>
          <w:sz w:val="20"/>
          <w:szCs w:val="20"/>
          <w:lang w:val="es-ES"/>
        </w:rPr>
        <w:t>“</w:t>
      </w:r>
      <w:r w:rsidR="000F47EE" w:rsidRPr="00E909DB">
        <w:rPr>
          <w:rFonts w:ascii="Times New Roman" w:hAnsi="Times New Roman"/>
          <w:sz w:val="20"/>
          <w:szCs w:val="20"/>
          <w:lang w:val="es-ES"/>
        </w:rPr>
        <w:t xml:space="preserve">Worldwide spread of the destroyer ant, </w:t>
      </w:r>
      <w:r w:rsidR="000F47EE" w:rsidRPr="00E909DB">
        <w:rPr>
          <w:rFonts w:ascii="Times New Roman" w:hAnsi="Times New Roman"/>
          <w:i/>
          <w:sz w:val="20"/>
          <w:szCs w:val="20"/>
          <w:lang w:val="es-ES"/>
        </w:rPr>
        <w:t>Monomorium destructor</w:t>
      </w:r>
      <w:r w:rsidR="000F47EE" w:rsidRPr="00E909DB">
        <w:rPr>
          <w:rFonts w:ascii="Times New Roman" w:hAnsi="Times New Roman"/>
          <w:sz w:val="20"/>
          <w:szCs w:val="20"/>
          <w:lang w:val="es-ES"/>
        </w:rPr>
        <w:t xml:space="preserve"> (Hymenoptera: Formicidae)</w:t>
      </w:r>
      <w:r w:rsidR="00C223A7" w:rsidRPr="00E909DB">
        <w:rPr>
          <w:rFonts w:ascii="Times New Roman" w:hAnsi="Times New Roman"/>
          <w:sz w:val="20"/>
          <w:szCs w:val="20"/>
          <w:lang w:val="es-ES"/>
        </w:rPr>
        <w:t>”,</w:t>
      </w:r>
      <w:r w:rsidR="000F47EE" w:rsidRPr="00E909DB">
        <w:rPr>
          <w:rFonts w:ascii="Times New Roman" w:hAnsi="Times New Roman"/>
          <w:sz w:val="20"/>
          <w:szCs w:val="20"/>
          <w:lang w:val="es-ES"/>
        </w:rPr>
        <w:t xml:space="preserve"> </w:t>
      </w:r>
      <w:r w:rsidR="000F47EE" w:rsidRPr="00E909DB">
        <w:rPr>
          <w:rFonts w:ascii="Times New Roman" w:hAnsi="Times New Roman"/>
          <w:i/>
          <w:sz w:val="20"/>
          <w:szCs w:val="20"/>
          <w:lang w:val="es-ES"/>
        </w:rPr>
        <w:t>Myrmecological News</w:t>
      </w:r>
      <w:r w:rsidR="00C223A7" w:rsidRPr="00E909DB">
        <w:rPr>
          <w:rFonts w:ascii="Times New Roman" w:hAnsi="Times New Roman"/>
          <w:sz w:val="20"/>
          <w:szCs w:val="20"/>
          <w:lang w:val="es-ES"/>
        </w:rPr>
        <w:t>, vol.</w:t>
      </w:r>
      <w:r w:rsidR="000F47EE" w:rsidRPr="00E909DB">
        <w:rPr>
          <w:rFonts w:ascii="Times New Roman" w:hAnsi="Times New Roman"/>
          <w:sz w:val="20"/>
          <w:szCs w:val="20"/>
          <w:lang w:val="es-ES"/>
        </w:rPr>
        <w:t xml:space="preserve"> 12</w:t>
      </w:r>
      <w:r w:rsidR="00C223A7" w:rsidRPr="00E909DB">
        <w:rPr>
          <w:rFonts w:ascii="Times New Roman" w:hAnsi="Times New Roman"/>
          <w:sz w:val="20"/>
          <w:szCs w:val="20"/>
          <w:lang w:val="es-ES"/>
        </w:rPr>
        <w:t xml:space="preserve"> (2009), p</w:t>
      </w:r>
      <w:r w:rsidR="00460555" w:rsidRPr="00E909DB">
        <w:rPr>
          <w:rFonts w:ascii="Times New Roman" w:hAnsi="Times New Roman"/>
          <w:sz w:val="20"/>
          <w:szCs w:val="20"/>
          <w:lang w:val="es-ES"/>
        </w:rPr>
        <w:t>ágs.</w:t>
      </w:r>
      <w:r w:rsidR="00ED548F">
        <w:rPr>
          <w:rFonts w:ascii="Times New Roman" w:hAnsi="Times New Roman"/>
          <w:sz w:val="20"/>
          <w:szCs w:val="20"/>
          <w:lang w:val="es-ES"/>
        </w:rPr>
        <w:t xml:space="preserve"> </w:t>
      </w:r>
      <w:r w:rsidR="000F47EE" w:rsidRPr="00E909DB">
        <w:rPr>
          <w:rFonts w:ascii="Times New Roman" w:hAnsi="Times New Roman"/>
          <w:sz w:val="20"/>
          <w:szCs w:val="20"/>
          <w:lang w:val="es-ES"/>
        </w:rPr>
        <w:t>97</w:t>
      </w:r>
      <w:r w:rsidR="00460555" w:rsidRPr="00E909DB">
        <w:rPr>
          <w:rFonts w:ascii="Times New Roman" w:hAnsi="Times New Roman"/>
          <w:sz w:val="20"/>
          <w:szCs w:val="20"/>
          <w:lang w:val="es-ES"/>
        </w:rPr>
        <w:t xml:space="preserve"> a </w:t>
      </w:r>
      <w:r w:rsidR="000F47EE" w:rsidRPr="00E909DB">
        <w:rPr>
          <w:rFonts w:ascii="Times New Roman" w:hAnsi="Times New Roman"/>
          <w:sz w:val="20"/>
          <w:szCs w:val="20"/>
          <w:lang w:val="es-ES"/>
        </w:rPr>
        <w:t>118.</w:t>
      </w:r>
    </w:p>
    <w:p w:rsidR="002D5E9B" w:rsidRPr="00ED548F" w:rsidRDefault="000F47EE" w:rsidP="008D76C0">
      <w:pPr>
        <w:spacing w:after="120" w:line="240" w:lineRule="auto"/>
        <w:ind w:left="1247"/>
        <w:rPr>
          <w:rFonts w:ascii="Times New Roman" w:hAnsi="Times New Roman"/>
          <w:sz w:val="20"/>
          <w:szCs w:val="20"/>
        </w:rPr>
      </w:pPr>
      <w:r w:rsidRPr="00ED548F">
        <w:rPr>
          <w:rFonts w:ascii="Times New Roman" w:hAnsi="Times New Roman"/>
          <w:sz w:val="20"/>
          <w:szCs w:val="20"/>
        </w:rPr>
        <w:t>U</w:t>
      </w:r>
      <w:r w:rsidR="00E61D69" w:rsidRPr="00ED548F">
        <w:rPr>
          <w:rFonts w:ascii="Times New Roman" w:hAnsi="Times New Roman"/>
          <w:sz w:val="20"/>
          <w:szCs w:val="20"/>
        </w:rPr>
        <w:t xml:space="preserve">nited </w:t>
      </w:r>
      <w:r w:rsidRPr="00ED548F">
        <w:rPr>
          <w:rFonts w:ascii="Times New Roman" w:hAnsi="Times New Roman"/>
          <w:sz w:val="20"/>
          <w:szCs w:val="20"/>
        </w:rPr>
        <w:t>S</w:t>
      </w:r>
      <w:r w:rsidR="00E61D69" w:rsidRPr="00ED548F">
        <w:rPr>
          <w:rFonts w:ascii="Times New Roman" w:hAnsi="Times New Roman"/>
          <w:sz w:val="20"/>
          <w:szCs w:val="20"/>
        </w:rPr>
        <w:t xml:space="preserve">tates </w:t>
      </w:r>
      <w:r w:rsidRPr="00ED548F">
        <w:rPr>
          <w:rFonts w:ascii="Times New Roman" w:hAnsi="Times New Roman"/>
          <w:sz w:val="20"/>
          <w:szCs w:val="20"/>
        </w:rPr>
        <w:t>G</w:t>
      </w:r>
      <w:r w:rsidR="00E61D69" w:rsidRPr="00ED548F">
        <w:rPr>
          <w:rFonts w:ascii="Times New Roman" w:hAnsi="Times New Roman"/>
          <w:sz w:val="20"/>
          <w:szCs w:val="20"/>
        </w:rPr>
        <w:t xml:space="preserve">eological </w:t>
      </w:r>
      <w:r w:rsidRPr="00ED548F">
        <w:rPr>
          <w:rFonts w:ascii="Times New Roman" w:hAnsi="Times New Roman"/>
          <w:sz w:val="20"/>
          <w:szCs w:val="20"/>
        </w:rPr>
        <w:t>S</w:t>
      </w:r>
      <w:r w:rsidR="00E61D69" w:rsidRPr="00ED548F">
        <w:rPr>
          <w:rFonts w:ascii="Times New Roman" w:hAnsi="Times New Roman"/>
          <w:sz w:val="20"/>
          <w:szCs w:val="20"/>
        </w:rPr>
        <w:t>urvey</w:t>
      </w:r>
      <w:r w:rsidRPr="00ED548F">
        <w:rPr>
          <w:rFonts w:ascii="Times New Roman" w:hAnsi="Times New Roman"/>
          <w:sz w:val="20"/>
          <w:szCs w:val="20"/>
        </w:rPr>
        <w:t xml:space="preserve"> Invasive Specie</w:t>
      </w:r>
      <w:r w:rsidR="00E61D69" w:rsidRPr="00ED548F">
        <w:rPr>
          <w:rFonts w:ascii="Times New Roman" w:hAnsi="Times New Roman"/>
          <w:sz w:val="20"/>
          <w:szCs w:val="20"/>
        </w:rPr>
        <w:t>s Programme</w:t>
      </w:r>
      <w:r w:rsidR="00460555" w:rsidRPr="00ED548F">
        <w:rPr>
          <w:rFonts w:ascii="Times New Roman" w:hAnsi="Times New Roman"/>
          <w:sz w:val="20"/>
          <w:szCs w:val="20"/>
        </w:rPr>
        <w:t>,disponible en</w:t>
      </w:r>
      <w:r w:rsidR="00ED548F" w:rsidRPr="00ED548F">
        <w:rPr>
          <w:rFonts w:ascii="Times New Roman" w:hAnsi="Times New Roman"/>
          <w:sz w:val="20"/>
          <w:szCs w:val="20"/>
        </w:rPr>
        <w:t xml:space="preserve"> </w:t>
      </w:r>
      <w:r w:rsidR="001F0557" w:rsidRPr="00ED548F">
        <w:rPr>
          <w:rFonts w:ascii="Times New Roman" w:hAnsi="Times New Roman"/>
          <w:sz w:val="20"/>
          <w:szCs w:val="20"/>
        </w:rPr>
        <w:t>www.usgs.gov/ecosystems/invasive_species/.</w:t>
      </w:r>
    </w:p>
    <w:p w:rsidR="00D3520E" w:rsidRPr="00ED548F" w:rsidRDefault="00D3520E" w:rsidP="008D76C0">
      <w:pPr>
        <w:pStyle w:val="Normal-pool"/>
        <w:rPr>
          <w:lang w:val="en-US"/>
        </w:rPr>
      </w:pPr>
    </w:p>
    <w:tbl>
      <w:tblPr>
        <w:tblW w:w="0" w:type="auto"/>
        <w:tblLook w:val="01E0"/>
      </w:tblPr>
      <w:tblGrid>
        <w:gridCol w:w="3237"/>
        <w:gridCol w:w="3237"/>
        <w:gridCol w:w="3238"/>
      </w:tblGrid>
      <w:tr w:rsidR="00D3520E" w:rsidRPr="00ED548F" w:rsidTr="00D3520E">
        <w:tc>
          <w:tcPr>
            <w:tcW w:w="3237" w:type="dxa"/>
          </w:tcPr>
          <w:p w:rsidR="00D3520E" w:rsidRPr="00ED548F" w:rsidRDefault="00D3520E" w:rsidP="008D76C0">
            <w:pPr>
              <w:pStyle w:val="Normal-pool"/>
              <w:rPr>
                <w:sz w:val="18"/>
                <w:szCs w:val="18"/>
                <w:lang w:val="en-US"/>
              </w:rPr>
            </w:pPr>
          </w:p>
        </w:tc>
        <w:tc>
          <w:tcPr>
            <w:tcW w:w="3237" w:type="dxa"/>
            <w:tcBorders>
              <w:bottom w:val="single" w:sz="4" w:space="0" w:color="auto"/>
            </w:tcBorders>
          </w:tcPr>
          <w:p w:rsidR="00D3520E" w:rsidRPr="00ED548F" w:rsidRDefault="00D3520E" w:rsidP="008D76C0">
            <w:pPr>
              <w:pStyle w:val="Normal-pool"/>
              <w:rPr>
                <w:sz w:val="18"/>
                <w:szCs w:val="18"/>
                <w:lang w:val="en-US"/>
              </w:rPr>
            </w:pPr>
          </w:p>
        </w:tc>
        <w:tc>
          <w:tcPr>
            <w:tcW w:w="3238" w:type="dxa"/>
          </w:tcPr>
          <w:p w:rsidR="00D3520E" w:rsidRPr="00ED548F" w:rsidRDefault="00D3520E" w:rsidP="008D76C0">
            <w:pPr>
              <w:pStyle w:val="Normal-pool"/>
              <w:rPr>
                <w:sz w:val="18"/>
                <w:szCs w:val="18"/>
                <w:lang w:val="en-US"/>
              </w:rPr>
            </w:pPr>
          </w:p>
        </w:tc>
      </w:tr>
    </w:tbl>
    <w:p w:rsidR="00D3520E" w:rsidRPr="00ED548F" w:rsidRDefault="00D3520E" w:rsidP="008D76C0">
      <w:pPr>
        <w:pStyle w:val="Normal-pool"/>
        <w:rPr>
          <w:sz w:val="18"/>
          <w:szCs w:val="18"/>
          <w:lang w:val="en-US"/>
        </w:rPr>
      </w:pPr>
    </w:p>
    <w:sectPr w:rsidR="00D3520E" w:rsidRPr="00ED548F" w:rsidSect="00E9220E">
      <w:headerReference w:type="even" r:id="rId10"/>
      <w:headerReference w:type="default" r:id="rId11"/>
      <w:footerReference w:type="even" r:id="rId12"/>
      <w:footerReference w:type="default" r:id="rId13"/>
      <w:footerReference w:type="first" r:id="rId14"/>
      <w:pgSz w:w="12240" w:h="15840"/>
      <w:pgMar w:top="907" w:right="992" w:bottom="1418" w:left="1418" w:header="539" w:footer="9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6C" w:rsidRDefault="00BA606C" w:rsidP="000F47EE">
      <w:pPr>
        <w:spacing w:after="0" w:line="240" w:lineRule="auto"/>
      </w:pPr>
      <w:r>
        <w:separator/>
      </w:r>
    </w:p>
  </w:endnote>
  <w:endnote w:type="continuationSeparator" w:id="0">
    <w:p w:rsidR="00BA606C" w:rsidRDefault="00BA606C" w:rsidP="000F4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92" w:rsidRPr="005B136B" w:rsidRDefault="004A6F92">
    <w:pPr>
      <w:pStyle w:val="Footer"/>
      <w:rPr>
        <w:rFonts w:ascii="Times New Roman" w:hAnsi="Times New Roman"/>
        <w:b/>
        <w:sz w:val="18"/>
        <w:szCs w:val="18"/>
      </w:rPr>
    </w:pPr>
    <w:r w:rsidRPr="005B136B">
      <w:rPr>
        <w:rFonts w:ascii="Times New Roman" w:hAnsi="Times New Roman"/>
        <w:b/>
        <w:sz w:val="18"/>
        <w:szCs w:val="18"/>
      </w:rPr>
      <w:fldChar w:fldCharType="begin"/>
    </w:r>
    <w:r w:rsidRPr="005B136B">
      <w:rPr>
        <w:rFonts w:ascii="Times New Roman" w:hAnsi="Times New Roman"/>
        <w:b/>
        <w:sz w:val="18"/>
        <w:szCs w:val="18"/>
      </w:rPr>
      <w:instrText xml:space="preserve"> PAGE   \* MERGEFORMAT </w:instrText>
    </w:r>
    <w:r w:rsidRPr="005B136B">
      <w:rPr>
        <w:rFonts w:ascii="Times New Roman" w:hAnsi="Times New Roman"/>
        <w:b/>
        <w:sz w:val="18"/>
        <w:szCs w:val="18"/>
      </w:rPr>
      <w:fldChar w:fldCharType="separate"/>
    </w:r>
    <w:r w:rsidR="00680AAF">
      <w:rPr>
        <w:rFonts w:ascii="Times New Roman" w:hAnsi="Times New Roman"/>
        <w:b/>
        <w:noProof/>
        <w:sz w:val="18"/>
        <w:szCs w:val="18"/>
      </w:rPr>
      <w:t>8</w:t>
    </w:r>
    <w:r w:rsidRPr="005B136B">
      <w:rPr>
        <w:rFonts w:ascii="Times New Roman" w:hAnsi="Times New Roman"/>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92" w:rsidRPr="005B136B" w:rsidRDefault="004A6F92">
    <w:pPr>
      <w:pStyle w:val="Footer"/>
      <w:jc w:val="right"/>
      <w:rPr>
        <w:rFonts w:ascii="Times New Roman" w:hAnsi="Times New Roman"/>
        <w:b/>
        <w:sz w:val="18"/>
        <w:szCs w:val="18"/>
      </w:rPr>
    </w:pPr>
    <w:r w:rsidRPr="005B136B">
      <w:rPr>
        <w:rFonts w:ascii="Times New Roman" w:hAnsi="Times New Roman"/>
        <w:b/>
        <w:sz w:val="18"/>
        <w:szCs w:val="18"/>
      </w:rPr>
      <w:fldChar w:fldCharType="begin"/>
    </w:r>
    <w:r w:rsidRPr="005B136B">
      <w:rPr>
        <w:rFonts w:ascii="Times New Roman" w:hAnsi="Times New Roman"/>
        <w:b/>
        <w:sz w:val="18"/>
        <w:szCs w:val="18"/>
      </w:rPr>
      <w:instrText xml:space="preserve"> PAGE   \* MERGEFORMAT </w:instrText>
    </w:r>
    <w:r w:rsidRPr="005B136B">
      <w:rPr>
        <w:rFonts w:ascii="Times New Roman" w:hAnsi="Times New Roman"/>
        <w:b/>
        <w:sz w:val="18"/>
        <w:szCs w:val="18"/>
      </w:rPr>
      <w:fldChar w:fldCharType="separate"/>
    </w:r>
    <w:r w:rsidR="00680AAF">
      <w:rPr>
        <w:rFonts w:ascii="Times New Roman" w:hAnsi="Times New Roman"/>
        <w:b/>
        <w:noProof/>
        <w:sz w:val="18"/>
        <w:szCs w:val="18"/>
      </w:rPr>
      <w:t>7</w:t>
    </w:r>
    <w:r w:rsidRPr="005B136B">
      <w:rPr>
        <w:rFonts w:ascii="Times New Roman" w:hAnsi="Times New Roman"/>
        <w:b/>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92" w:rsidRPr="00F812BE" w:rsidRDefault="004A6F92" w:rsidP="00A8379C">
    <w:pPr>
      <w:pStyle w:val="Footer"/>
      <w:tabs>
        <w:tab w:val="clear" w:pos="4680"/>
        <w:tab w:val="clear" w:pos="9360"/>
        <w:tab w:val="left" w:pos="624"/>
      </w:tabs>
      <w:spacing w:before="20" w:after="40"/>
      <w:rPr>
        <w:rFonts w:ascii="Times New Roman" w:hAnsi="Times New Roman"/>
        <w:sz w:val="18"/>
        <w:szCs w:val="18"/>
      </w:rPr>
    </w:pPr>
    <w:r>
      <w:rPr>
        <w:rFonts w:ascii="Times New Roman" w:hAnsi="Times New Roman"/>
        <w:sz w:val="18"/>
        <w:szCs w:val="18"/>
      </w:rPr>
      <w:t>K1353343</w:t>
    </w:r>
    <w:r>
      <w:rPr>
        <w:rFonts w:ascii="Times New Roman" w:hAnsi="Times New Roman"/>
        <w:sz w:val="18"/>
        <w:szCs w:val="18"/>
      </w:rPr>
      <w:tab/>
      <w:t>1</w:t>
    </w:r>
    <w:r w:rsidR="00763CA8">
      <w:rPr>
        <w:rFonts w:ascii="Times New Roman" w:hAnsi="Times New Roman"/>
        <w:sz w:val="18"/>
        <w:szCs w:val="18"/>
      </w:rPr>
      <w:t>5</w:t>
    </w:r>
    <w:r>
      <w:rPr>
        <w:rFonts w:ascii="Times New Roman" w:hAnsi="Times New Roman"/>
        <w:sz w:val="18"/>
        <w:szCs w:val="18"/>
      </w:rPr>
      <w:t>11</w:t>
    </w:r>
    <w:r w:rsidRPr="00F812BE">
      <w:rPr>
        <w:rFonts w:ascii="Times New Roman" w:hAnsi="Times New Roman"/>
        <w:sz w:val="18"/>
        <w:szCs w:val="18"/>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6C" w:rsidRPr="008F1214" w:rsidRDefault="00BA606C" w:rsidP="008F1214">
      <w:pPr>
        <w:spacing w:after="120" w:line="240" w:lineRule="auto"/>
        <w:ind w:left="624"/>
        <w:rPr>
          <w:rFonts w:ascii="Times New Roman" w:hAnsi="Times New Roman"/>
          <w:sz w:val="18"/>
          <w:szCs w:val="18"/>
        </w:rPr>
      </w:pPr>
      <w:r w:rsidRPr="008F1214">
        <w:rPr>
          <w:rFonts w:ascii="Times New Roman" w:hAnsi="Times New Roman"/>
          <w:sz w:val="18"/>
          <w:szCs w:val="18"/>
        </w:rPr>
        <w:separator/>
      </w:r>
    </w:p>
  </w:footnote>
  <w:footnote w:type="continuationSeparator" w:id="0">
    <w:p w:rsidR="00BA606C" w:rsidRDefault="00BA606C" w:rsidP="000F47EE">
      <w:pPr>
        <w:spacing w:after="0" w:line="240" w:lineRule="auto"/>
      </w:pPr>
      <w:r>
        <w:continuationSeparator/>
      </w:r>
    </w:p>
  </w:footnote>
  <w:footnote w:id="1">
    <w:p w:rsidR="004A6F92" w:rsidRPr="008F1214" w:rsidRDefault="004A6F92" w:rsidP="008F1214">
      <w:pPr>
        <w:pStyle w:val="FootnoteText"/>
        <w:spacing w:before="20" w:after="40"/>
        <w:ind w:left="1247"/>
        <w:rPr>
          <w:rFonts w:ascii="Times New Roman" w:hAnsi="Times New Roman"/>
          <w:sz w:val="18"/>
          <w:szCs w:val="18"/>
        </w:rPr>
      </w:pPr>
      <w:r w:rsidRPr="008F1214">
        <w:rPr>
          <w:rStyle w:val="FootnoteReference"/>
          <w:rFonts w:ascii="Times New Roman" w:hAnsi="Times New Roman"/>
          <w:sz w:val="18"/>
          <w:szCs w:val="18"/>
        </w:rPr>
        <w:sym w:font="Symbol" w:char="F02A"/>
      </w:r>
      <w:r w:rsidRPr="008F1214">
        <w:rPr>
          <w:rFonts w:ascii="Times New Roman" w:hAnsi="Times New Roman"/>
          <w:sz w:val="18"/>
          <w:szCs w:val="18"/>
        </w:rPr>
        <w:t xml:space="preserve"> IPBES/</w:t>
      </w:r>
      <w:r w:rsidRPr="008F1214">
        <w:rPr>
          <w:rFonts w:ascii="Times New Roman" w:hAnsi="Times New Roman"/>
          <w:sz w:val="18"/>
          <w:szCs w:val="18"/>
          <w:lang w:eastAsia="ja-JP"/>
        </w:rPr>
        <w:t>2/1.</w:t>
      </w:r>
    </w:p>
  </w:footnote>
  <w:footnote w:id="2">
    <w:p w:rsidR="004A6F92" w:rsidRPr="004D2779" w:rsidRDefault="004A6F92" w:rsidP="008F1214">
      <w:pPr>
        <w:pStyle w:val="FootnoteText"/>
        <w:tabs>
          <w:tab w:val="left" w:pos="624"/>
        </w:tabs>
        <w:spacing w:before="20" w:after="40"/>
        <w:ind w:left="1247"/>
        <w:rPr>
          <w:rFonts w:ascii="Times New Roman" w:hAnsi="Times New Roman"/>
          <w:sz w:val="18"/>
          <w:szCs w:val="18"/>
          <w:lang w:val="es-ES"/>
        </w:rPr>
      </w:pPr>
      <w:r w:rsidRPr="00FE0DD8">
        <w:rPr>
          <w:rStyle w:val="FootnoteReference"/>
          <w:rFonts w:ascii="Times New Roman" w:hAnsi="Times New Roman"/>
          <w:sz w:val="18"/>
          <w:szCs w:val="18"/>
        </w:rPr>
        <w:footnoteRef/>
      </w:r>
      <w:r w:rsidRPr="004D2779">
        <w:rPr>
          <w:rFonts w:ascii="Times New Roman" w:hAnsi="Times New Roman"/>
          <w:sz w:val="18"/>
          <w:szCs w:val="18"/>
          <w:lang w:val="es-ES"/>
        </w:rPr>
        <w:t xml:space="preserve"> Disponible en http://www.cbd.int/sp/targets.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92" w:rsidRPr="00F812BE" w:rsidRDefault="004A6F92" w:rsidP="00D3520E">
    <w:pPr>
      <w:pStyle w:val="BBTitle"/>
      <w:pBdr>
        <w:bottom w:val="single" w:sz="4" w:space="1" w:color="auto"/>
      </w:pBdr>
      <w:tabs>
        <w:tab w:val="clear" w:pos="1814"/>
        <w:tab w:val="clear" w:pos="2381"/>
        <w:tab w:val="clear" w:pos="2948"/>
        <w:tab w:val="clear" w:pos="3515"/>
        <w:tab w:val="left" w:pos="3332"/>
      </w:tabs>
      <w:spacing w:before="0" w:after="0"/>
      <w:ind w:left="0" w:right="49"/>
      <w:rPr>
        <w:sz w:val="18"/>
        <w:szCs w:val="18"/>
      </w:rPr>
    </w:pPr>
    <w:r w:rsidRPr="00F812BE">
      <w:rPr>
        <w:sz w:val="18"/>
        <w:szCs w:val="18"/>
      </w:rPr>
      <w:t>IPBES/2/16/Add.3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92" w:rsidRPr="00F812BE" w:rsidRDefault="004A6F92" w:rsidP="00D3520E">
    <w:pPr>
      <w:pStyle w:val="BBTitle"/>
      <w:pBdr>
        <w:bottom w:val="single" w:sz="4" w:space="1" w:color="auto"/>
      </w:pBdr>
      <w:tabs>
        <w:tab w:val="clear" w:pos="1814"/>
        <w:tab w:val="clear" w:pos="2381"/>
        <w:tab w:val="clear" w:pos="2948"/>
        <w:tab w:val="clear" w:pos="3515"/>
        <w:tab w:val="left" w:pos="3332"/>
      </w:tabs>
      <w:spacing w:before="0" w:after="0"/>
      <w:ind w:left="0" w:right="49"/>
      <w:jc w:val="right"/>
      <w:rPr>
        <w:sz w:val="18"/>
        <w:szCs w:val="18"/>
      </w:rPr>
    </w:pPr>
    <w:r w:rsidRPr="00F812BE">
      <w:rPr>
        <w:sz w:val="18"/>
        <w:szCs w:val="18"/>
      </w:rPr>
      <w:t>IPBES/2/16/Add.3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C3C"/>
    <w:multiLevelType w:val="hybridMultilevel"/>
    <w:tmpl w:val="62A018B6"/>
    <w:lvl w:ilvl="0" w:tplc="0409000F">
      <w:start w:val="1"/>
      <w:numFmt w:val="decimal"/>
      <w:lvlText w:val="%1."/>
      <w:lvlJc w:val="left"/>
      <w:pPr>
        <w:ind w:left="7920" w:hanging="360"/>
      </w:pPr>
    </w:lvl>
    <w:lvl w:ilvl="1" w:tplc="04090019">
      <w:start w:val="1"/>
      <w:numFmt w:val="lowerLetter"/>
      <w:lvlText w:val="%2."/>
      <w:lvlJc w:val="left"/>
      <w:pPr>
        <w:ind w:left="4577" w:hanging="360"/>
      </w:pPr>
    </w:lvl>
    <w:lvl w:ilvl="2" w:tplc="0409001B" w:tentative="1">
      <w:start w:val="1"/>
      <w:numFmt w:val="lowerRoman"/>
      <w:lvlText w:val="%3."/>
      <w:lvlJc w:val="right"/>
      <w:pPr>
        <w:ind w:left="5297" w:hanging="180"/>
      </w:pPr>
    </w:lvl>
    <w:lvl w:ilvl="3" w:tplc="0409000F" w:tentative="1">
      <w:start w:val="1"/>
      <w:numFmt w:val="decimal"/>
      <w:lvlText w:val="%4."/>
      <w:lvlJc w:val="left"/>
      <w:pPr>
        <w:ind w:left="6017" w:hanging="360"/>
      </w:pPr>
    </w:lvl>
    <w:lvl w:ilvl="4" w:tplc="04090019" w:tentative="1">
      <w:start w:val="1"/>
      <w:numFmt w:val="lowerLetter"/>
      <w:lvlText w:val="%5."/>
      <w:lvlJc w:val="left"/>
      <w:pPr>
        <w:ind w:left="6737" w:hanging="360"/>
      </w:pPr>
    </w:lvl>
    <w:lvl w:ilvl="5" w:tplc="0409001B" w:tentative="1">
      <w:start w:val="1"/>
      <w:numFmt w:val="lowerRoman"/>
      <w:lvlText w:val="%6."/>
      <w:lvlJc w:val="right"/>
      <w:pPr>
        <w:ind w:left="7457" w:hanging="180"/>
      </w:pPr>
    </w:lvl>
    <w:lvl w:ilvl="6" w:tplc="0409000F" w:tentative="1">
      <w:start w:val="1"/>
      <w:numFmt w:val="decimal"/>
      <w:lvlText w:val="%7."/>
      <w:lvlJc w:val="left"/>
      <w:pPr>
        <w:ind w:left="8177" w:hanging="360"/>
      </w:pPr>
    </w:lvl>
    <w:lvl w:ilvl="7" w:tplc="04090019" w:tentative="1">
      <w:start w:val="1"/>
      <w:numFmt w:val="lowerLetter"/>
      <w:lvlText w:val="%8."/>
      <w:lvlJc w:val="left"/>
      <w:pPr>
        <w:ind w:left="8897" w:hanging="360"/>
      </w:pPr>
    </w:lvl>
    <w:lvl w:ilvl="8" w:tplc="0409001B" w:tentative="1">
      <w:start w:val="1"/>
      <w:numFmt w:val="lowerRoman"/>
      <w:lvlText w:val="%9."/>
      <w:lvlJc w:val="right"/>
      <w:pPr>
        <w:ind w:left="9617" w:hanging="180"/>
      </w:pPr>
    </w:lvl>
  </w:abstractNum>
  <w:abstractNum w:abstractNumId="1">
    <w:nsid w:val="0FD6290E"/>
    <w:multiLevelType w:val="hybridMultilevel"/>
    <w:tmpl w:val="FCA2944C"/>
    <w:lvl w:ilvl="0" w:tplc="8C9CCDD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
    <w:nsid w:val="0FDD4802"/>
    <w:multiLevelType w:val="hybridMultilevel"/>
    <w:tmpl w:val="9E1C06CA"/>
    <w:lvl w:ilvl="0" w:tplc="EC483968">
      <w:start w:val="1"/>
      <w:numFmt w:val="upperLetter"/>
      <w:lvlText w:val="%1."/>
      <w:lvlJc w:val="left"/>
      <w:pPr>
        <w:ind w:left="1479" w:hanging="855"/>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AD0660F"/>
    <w:multiLevelType w:val="hybridMultilevel"/>
    <w:tmpl w:val="2A78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C27517"/>
    <w:multiLevelType w:val="hybridMultilevel"/>
    <w:tmpl w:val="7B866AFE"/>
    <w:lvl w:ilvl="0" w:tplc="200A72E6">
      <w:start w:val="1"/>
      <w:numFmt w:val="upperRoman"/>
      <w:lvlText w:val="%1."/>
      <w:lvlJc w:val="left"/>
      <w:pPr>
        <w:ind w:left="1706" w:hanging="8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FBA25D6"/>
    <w:multiLevelType w:val="hybridMultilevel"/>
    <w:tmpl w:val="5B6C959C"/>
    <w:lvl w:ilvl="0" w:tplc="83C808FE">
      <w:start w:val="1"/>
      <w:numFmt w:val="lowerLetter"/>
      <w:lvlText w:val="(%1)"/>
      <w:lvlJc w:val="left"/>
      <w:pPr>
        <w:ind w:left="3125" w:hanging="63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7">
    <w:nsid w:val="317B7E0A"/>
    <w:multiLevelType w:val="hybridMultilevel"/>
    <w:tmpl w:val="1B0630EA"/>
    <w:lvl w:ilvl="0" w:tplc="2CD4310C">
      <w:start w:val="22"/>
      <w:numFmt w:val="lowerLetter"/>
      <w:lvlText w:val="(%1)"/>
      <w:lvlJc w:val="left"/>
      <w:pPr>
        <w:ind w:left="2855" w:hanging="36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8">
    <w:nsid w:val="320B165C"/>
    <w:multiLevelType w:val="hybridMultilevel"/>
    <w:tmpl w:val="5934B428"/>
    <w:lvl w:ilvl="0" w:tplc="7AA0D4EE">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BA56DD"/>
    <w:multiLevelType w:val="hybridMultilevel"/>
    <w:tmpl w:val="2CF64F8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34E27CF8"/>
    <w:multiLevelType w:val="hybridMultilevel"/>
    <w:tmpl w:val="FFCE4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8F5EA5"/>
    <w:multiLevelType w:val="hybridMultilevel"/>
    <w:tmpl w:val="5086AAE8"/>
    <w:lvl w:ilvl="0" w:tplc="68BA0EA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6078355A"/>
    <w:multiLevelType w:val="hybridMultilevel"/>
    <w:tmpl w:val="F3F22250"/>
    <w:lvl w:ilvl="0" w:tplc="56265ED8">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4">
    <w:nsid w:val="656654DA"/>
    <w:multiLevelType w:val="hybridMultilevel"/>
    <w:tmpl w:val="F7B0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1709F4"/>
    <w:multiLevelType w:val="hybridMultilevel"/>
    <w:tmpl w:val="92A425F6"/>
    <w:lvl w:ilvl="0" w:tplc="0BBA1BE6">
      <w:start w:val="9"/>
      <w:numFmt w:val="lowerLetter"/>
      <w:lvlText w:val="(%1)"/>
      <w:lvlJc w:val="left"/>
      <w:pPr>
        <w:ind w:left="2855" w:hanging="36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16">
    <w:nsid w:val="6CD27F88"/>
    <w:multiLevelType w:val="hybridMultilevel"/>
    <w:tmpl w:val="98EAF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14"/>
  </w:num>
  <w:num w:numId="6">
    <w:abstractNumId w:val="16"/>
  </w:num>
  <w:num w:numId="7">
    <w:abstractNumId w:val="0"/>
  </w:num>
  <w:num w:numId="8">
    <w:abstractNumId w:val="1"/>
  </w:num>
  <w:num w:numId="9">
    <w:abstractNumId w:val="11"/>
  </w:num>
  <w:num w:numId="10">
    <w:abstractNumId w:val="12"/>
  </w:num>
  <w:num w:numId="11">
    <w:abstractNumId w:val="3"/>
    <w:lvlOverride w:ilvl="0">
      <w:lvl w:ilvl="0">
        <w:start w:val="1"/>
        <w:numFmt w:val="decimal"/>
        <w:lvlText w:val="%1."/>
        <w:lvlJc w:val="left"/>
        <w:pPr>
          <w:tabs>
            <w:tab w:val="num" w:pos="567"/>
          </w:tabs>
          <w:ind w:left="1247" w:firstLine="0"/>
        </w:pPr>
        <w:rPr>
          <w:rFonts w:hint="default"/>
          <w:b w:val="0"/>
        </w:rPr>
      </w:lvl>
    </w:lvlOverride>
  </w:num>
  <w:num w:numId="12">
    <w:abstractNumId w:val="13"/>
  </w:num>
  <w:num w:numId="13">
    <w:abstractNumId w:val="6"/>
  </w:num>
  <w:num w:numId="14">
    <w:abstractNumId w:val="5"/>
  </w:num>
  <w:num w:numId="15">
    <w:abstractNumId w:val="15"/>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evenAndOddHeaders/>
  <w:characterSpacingControl w:val="doNotCompress"/>
  <w:hdrShapeDefaults>
    <o:shapedefaults v:ext="edit" spidmax="3074"/>
  </w:hdrShapeDefaults>
  <w:footnotePr>
    <w:footnote w:id="-1"/>
    <w:footnote w:id="0"/>
  </w:footnotePr>
  <w:endnotePr>
    <w:endnote w:id="-1"/>
    <w:endnote w:id="0"/>
  </w:endnotePr>
  <w:compat/>
  <w:docVars>
    <w:docVar w:name="dgnword-docGUID" w:val="{0923382C-AD08-47FE-B5D0-852060BF24D6}"/>
    <w:docVar w:name="dgnword-eventsink" w:val="75592376"/>
  </w:docVars>
  <w:rsids>
    <w:rsidRoot w:val="000F47EE"/>
    <w:rsid w:val="00002B91"/>
    <w:rsid w:val="00004200"/>
    <w:rsid w:val="00020B7B"/>
    <w:rsid w:val="00026D31"/>
    <w:rsid w:val="00076E85"/>
    <w:rsid w:val="00077E48"/>
    <w:rsid w:val="00083353"/>
    <w:rsid w:val="000A34C4"/>
    <w:rsid w:val="000C6CA3"/>
    <w:rsid w:val="000D41D9"/>
    <w:rsid w:val="000F072C"/>
    <w:rsid w:val="000F104A"/>
    <w:rsid w:val="000F47EE"/>
    <w:rsid w:val="001174E4"/>
    <w:rsid w:val="0012550A"/>
    <w:rsid w:val="001259A7"/>
    <w:rsid w:val="00141ADD"/>
    <w:rsid w:val="0014249F"/>
    <w:rsid w:val="001466BD"/>
    <w:rsid w:val="00152C1C"/>
    <w:rsid w:val="00164E9D"/>
    <w:rsid w:val="00164F44"/>
    <w:rsid w:val="00166350"/>
    <w:rsid w:val="00181225"/>
    <w:rsid w:val="001860A8"/>
    <w:rsid w:val="001A1175"/>
    <w:rsid w:val="001A36FD"/>
    <w:rsid w:val="001A46BE"/>
    <w:rsid w:val="001A73E0"/>
    <w:rsid w:val="001B12B4"/>
    <w:rsid w:val="001C19ED"/>
    <w:rsid w:val="001C7262"/>
    <w:rsid w:val="001D0453"/>
    <w:rsid w:val="001D35A8"/>
    <w:rsid w:val="001F0557"/>
    <w:rsid w:val="001F3A51"/>
    <w:rsid w:val="001F41D5"/>
    <w:rsid w:val="00201691"/>
    <w:rsid w:val="00215EEE"/>
    <w:rsid w:val="0022709D"/>
    <w:rsid w:val="00240F53"/>
    <w:rsid w:val="00247381"/>
    <w:rsid w:val="00257885"/>
    <w:rsid w:val="002612BC"/>
    <w:rsid w:val="00280314"/>
    <w:rsid w:val="00292BBF"/>
    <w:rsid w:val="00292EFF"/>
    <w:rsid w:val="0029430A"/>
    <w:rsid w:val="002A5EA2"/>
    <w:rsid w:val="002B4E65"/>
    <w:rsid w:val="002D4C5A"/>
    <w:rsid w:val="002D5264"/>
    <w:rsid w:val="002D5E9B"/>
    <w:rsid w:val="002E7059"/>
    <w:rsid w:val="002F1C7C"/>
    <w:rsid w:val="002F1D1A"/>
    <w:rsid w:val="002F1FA4"/>
    <w:rsid w:val="002F4179"/>
    <w:rsid w:val="0030238A"/>
    <w:rsid w:val="00306052"/>
    <w:rsid w:val="00307526"/>
    <w:rsid w:val="00316B33"/>
    <w:rsid w:val="003209D9"/>
    <w:rsid w:val="0032436E"/>
    <w:rsid w:val="00330237"/>
    <w:rsid w:val="0033139F"/>
    <w:rsid w:val="003565A3"/>
    <w:rsid w:val="0036462A"/>
    <w:rsid w:val="00380574"/>
    <w:rsid w:val="0038419D"/>
    <w:rsid w:val="00394AAA"/>
    <w:rsid w:val="003B062C"/>
    <w:rsid w:val="003B404D"/>
    <w:rsid w:val="003C2FC7"/>
    <w:rsid w:val="003C3CB5"/>
    <w:rsid w:val="003C5A06"/>
    <w:rsid w:val="003C7637"/>
    <w:rsid w:val="003D24F7"/>
    <w:rsid w:val="003D3FE4"/>
    <w:rsid w:val="003E7A16"/>
    <w:rsid w:val="00400911"/>
    <w:rsid w:val="0040288C"/>
    <w:rsid w:val="004074B9"/>
    <w:rsid w:val="00415911"/>
    <w:rsid w:val="00433FE4"/>
    <w:rsid w:val="00440321"/>
    <w:rsid w:val="00443489"/>
    <w:rsid w:val="004508DE"/>
    <w:rsid w:val="00456C17"/>
    <w:rsid w:val="00460555"/>
    <w:rsid w:val="00461672"/>
    <w:rsid w:val="00473C97"/>
    <w:rsid w:val="0047576F"/>
    <w:rsid w:val="004811B3"/>
    <w:rsid w:val="004A103F"/>
    <w:rsid w:val="004A6F92"/>
    <w:rsid w:val="004D116C"/>
    <w:rsid w:val="004D2779"/>
    <w:rsid w:val="00502C85"/>
    <w:rsid w:val="00503F51"/>
    <w:rsid w:val="00513F91"/>
    <w:rsid w:val="00521F51"/>
    <w:rsid w:val="005310A1"/>
    <w:rsid w:val="00535AF0"/>
    <w:rsid w:val="0053702B"/>
    <w:rsid w:val="00543F2D"/>
    <w:rsid w:val="005463C9"/>
    <w:rsid w:val="00552857"/>
    <w:rsid w:val="0056035C"/>
    <w:rsid w:val="0058129F"/>
    <w:rsid w:val="00582ADE"/>
    <w:rsid w:val="005862A0"/>
    <w:rsid w:val="00586F83"/>
    <w:rsid w:val="00591051"/>
    <w:rsid w:val="00596C4C"/>
    <w:rsid w:val="005A33CE"/>
    <w:rsid w:val="005A41BC"/>
    <w:rsid w:val="005B02BE"/>
    <w:rsid w:val="005B136B"/>
    <w:rsid w:val="005B1AE1"/>
    <w:rsid w:val="005B1BDF"/>
    <w:rsid w:val="005B59BF"/>
    <w:rsid w:val="005D7CC3"/>
    <w:rsid w:val="005E0E97"/>
    <w:rsid w:val="005E6C53"/>
    <w:rsid w:val="005F1948"/>
    <w:rsid w:val="0060041F"/>
    <w:rsid w:val="006020AE"/>
    <w:rsid w:val="0060658E"/>
    <w:rsid w:val="006151EE"/>
    <w:rsid w:val="0063074C"/>
    <w:rsid w:val="00636903"/>
    <w:rsid w:val="006435AD"/>
    <w:rsid w:val="00645511"/>
    <w:rsid w:val="0065145B"/>
    <w:rsid w:val="00651F18"/>
    <w:rsid w:val="00664434"/>
    <w:rsid w:val="0066715F"/>
    <w:rsid w:val="00680AAF"/>
    <w:rsid w:val="00686E4A"/>
    <w:rsid w:val="00691684"/>
    <w:rsid w:val="006C4211"/>
    <w:rsid w:val="006C7370"/>
    <w:rsid w:val="006F5B0B"/>
    <w:rsid w:val="00705EC4"/>
    <w:rsid w:val="0071407C"/>
    <w:rsid w:val="007142D5"/>
    <w:rsid w:val="00717857"/>
    <w:rsid w:val="0072137A"/>
    <w:rsid w:val="00763CA8"/>
    <w:rsid w:val="007671FB"/>
    <w:rsid w:val="00775BD3"/>
    <w:rsid w:val="00780B93"/>
    <w:rsid w:val="007A0E94"/>
    <w:rsid w:val="007C39EE"/>
    <w:rsid w:val="007D5F2B"/>
    <w:rsid w:val="007F31EC"/>
    <w:rsid w:val="007F48B9"/>
    <w:rsid w:val="007F4970"/>
    <w:rsid w:val="00800977"/>
    <w:rsid w:val="00837DA8"/>
    <w:rsid w:val="00844728"/>
    <w:rsid w:val="00845458"/>
    <w:rsid w:val="00847B11"/>
    <w:rsid w:val="00865157"/>
    <w:rsid w:val="0087228E"/>
    <w:rsid w:val="00883B24"/>
    <w:rsid w:val="008A01FA"/>
    <w:rsid w:val="008C4605"/>
    <w:rsid w:val="008D76C0"/>
    <w:rsid w:val="008E01DC"/>
    <w:rsid w:val="008E79F9"/>
    <w:rsid w:val="008F1214"/>
    <w:rsid w:val="009029AF"/>
    <w:rsid w:val="009044DF"/>
    <w:rsid w:val="00925015"/>
    <w:rsid w:val="00965546"/>
    <w:rsid w:val="00966F25"/>
    <w:rsid w:val="009739B5"/>
    <w:rsid w:val="00973F40"/>
    <w:rsid w:val="009B25A2"/>
    <w:rsid w:val="009B2847"/>
    <w:rsid w:val="009C2ACE"/>
    <w:rsid w:val="009C40AA"/>
    <w:rsid w:val="009C6BD5"/>
    <w:rsid w:val="009D4AD9"/>
    <w:rsid w:val="009E7B4B"/>
    <w:rsid w:val="00A03B38"/>
    <w:rsid w:val="00A067C2"/>
    <w:rsid w:val="00A1302B"/>
    <w:rsid w:val="00A1544E"/>
    <w:rsid w:val="00A365D6"/>
    <w:rsid w:val="00A368E5"/>
    <w:rsid w:val="00A53932"/>
    <w:rsid w:val="00A6116F"/>
    <w:rsid w:val="00A7519F"/>
    <w:rsid w:val="00A80479"/>
    <w:rsid w:val="00A81B82"/>
    <w:rsid w:val="00A8379C"/>
    <w:rsid w:val="00AD1746"/>
    <w:rsid w:val="00B049E9"/>
    <w:rsid w:val="00B06C7E"/>
    <w:rsid w:val="00B1436B"/>
    <w:rsid w:val="00B278D4"/>
    <w:rsid w:val="00B32DC0"/>
    <w:rsid w:val="00B33FA6"/>
    <w:rsid w:val="00B34768"/>
    <w:rsid w:val="00B4770E"/>
    <w:rsid w:val="00B54FED"/>
    <w:rsid w:val="00B56C57"/>
    <w:rsid w:val="00B6325C"/>
    <w:rsid w:val="00B9636F"/>
    <w:rsid w:val="00BA003A"/>
    <w:rsid w:val="00BA561C"/>
    <w:rsid w:val="00BA606C"/>
    <w:rsid w:val="00BB0C3C"/>
    <w:rsid w:val="00BC04E4"/>
    <w:rsid w:val="00BC5739"/>
    <w:rsid w:val="00BC7B27"/>
    <w:rsid w:val="00BD295C"/>
    <w:rsid w:val="00BE0521"/>
    <w:rsid w:val="00BF42FD"/>
    <w:rsid w:val="00C00F1C"/>
    <w:rsid w:val="00C13F19"/>
    <w:rsid w:val="00C14290"/>
    <w:rsid w:val="00C223A7"/>
    <w:rsid w:val="00C25577"/>
    <w:rsid w:val="00C27221"/>
    <w:rsid w:val="00C6102C"/>
    <w:rsid w:val="00C646A4"/>
    <w:rsid w:val="00C6640F"/>
    <w:rsid w:val="00C716D2"/>
    <w:rsid w:val="00C8217E"/>
    <w:rsid w:val="00CB15E2"/>
    <w:rsid w:val="00CB69E4"/>
    <w:rsid w:val="00CC1679"/>
    <w:rsid w:val="00CC4719"/>
    <w:rsid w:val="00CE5D36"/>
    <w:rsid w:val="00CE6529"/>
    <w:rsid w:val="00D02C20"/>
    <w:rsid w:val="00D031A4"/>
    <w:rsid w:val="00D059DE"/>
    <w:rsid w:val="00D16435"/>
    <w:rsid w:val="00D24BE5"/>
    <w:rsid w:val="00D328D4"/>
    <w:rsid w:val="00D32C27"/>
    <w:rsid w:val="00D3520E"/>
    <w:rsid w:val="00D36F27"/>
    <w:rsid w:val="00D46B93"/>
    <w:rsid w:val="00D70099"/>
    <w:rsid w:val="00D71904"/>
    <w:rsid w:val="00D8798A"/>
    <w:rsid w:val="00D90984"/>
    <w:rsid w:val="00D94D8A"/>
    <w:rsid w:val="00DB76E8"/>
    <w:rsid w:val="00DC0926"/>
    <w:rsid w:val="00DE11B0"/>
    <w:rsid w:val="00DF43A4"/>
    <w:rsid w:val="00E1724B"/>
    <w:rsid w:val="00E233EF"/>
    <w:rsid w:val="00E30C19"/>
    <w:rsid w:val="00E401AC"/>
    <w:rsid w:val="00E4118C"/>
    <w:rsid w:val="00E5727B"/>
    <w:rsid w:val="00E61D69"/>
    <w:rsid w:val="00E73882"/>
    <w:rsid w:val="00E762D7"/>
    <w:rsid w:val="00E909DB"/>
    <w:rsid w:val="00E9220E"/>
    <w:rsid w:val="00E97F4F"/>
    <w:rsid w:val="00EA7663"/>
    <w:rsid w:val="00EB39CA"/>
    <w:rsid w:val="00EB5971"/>
    <w:rsid w:val="00EB5A5D"/>
    <w:rsid w:val="00EB5D22"/>
    <w:rsid w:val="00EC7A94"/>
    <w:rsid w:val="00ED548F"/>
    <w:rsid w:val="00EF026C"/>
    <w:rsid w:val="00EF40B5"/>
    <w:rsid w:val="00F27375"/>
    <w:rsid w:val="00F33CF3"/>
    <w:rsid w:val="00F43D0D"/>
    <w:rsid w:val="00F4562B"/>
    <w:rsid w:val="00F56BAC"/>
    <w:rsid w:val="00F72B47"/>
    <w:rsid w:val="00F74389"/>
    <w:rsid w:val="00F812BE"/>
    <w:rsid w:val="00F976A0"/>
    <w:rsid w:val="00FA4996"/>
    <w:rsid w:val="00FA4BC6"/>
    <w:rsid w:val="00FA4E32"/>
    <w:rsid w:val="00FB4CA3"/>
    <w:rsid w:val="00FC0678"/>
    <w:rsid w:val="00FC2C9F"/>
    <w:rsid w:val="00FC4775"/>
    <w:rsid w:val="00FC603B"/>
    <w:rsid w:val="00FE0DD8"/>
    <w:rsid w:val="00FE178C"/>
    <w:rsid w:val="00FE2E26"/>
    <w:rsid w:val="00FE5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EE"/>
    <w:pPr>
      <w:ind w:left="720"/>
      <w:contextualSpacing/>
    </w:pPr>
  </w:style>
  <w:style w:type="paragraph" w:customStyle="1" w:styleId="ColorfulList-Accent11">
    <w:name w:val="Colorful List - Accent 11"/>
    <w:basedOn w:val="Normal"/>
    <w:uiPriority w:val="34"/>
    <w:qFormat/>
    <w:rsid w:val="000F47EE"/>
    <w:pPr>
      <w:ind w:left="720"/>
      <w:contextualSpacing/>
    </w:pPr>
    <w:rPr>
      <w:rFonts w:eastAsia="Calibri"/>
    </w:rPr>
  </w:style>
  <w:style w:type="character" w:styleId="Hyperlink">
    <w:name w:val="Hyperlink"/>
    <w:unhideWhenUsed/>
    <w:rsid w:val="000F47EE"/>
    <w:rPr>
      <w:color w:val="0000FF"/>
      <w:u w:val="single"/>
    </w:rPr>
  </w:style>
  <w:style w:type="table" w:styleId="TableGrid">
    <w:name w:val="Table Grid"/>
    <w:basedOn w:val="TableNormal"/>
    <w:uiPriority w:val="59"/>
    <w:rsid w:val="000F47EE"/>
    <w:rPr>
      <w:lang w:val="nb-NO"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rsid w:val="000F47EE"/>
  </w:style>
  <w:style w:type="character" w:customStyle="1" w:styleId="apple-converted-space">
    <w:name w:val="apple-converted-space"/>
    <w:basedOn w:val="DefaultParagraphFont"/>
    <w:rsid w:val="000F47EE"/>
  </w:style>
  <w:style w:type="paragraph" w:styleId="FootnoteText">
    <w:name w:val="footnote text"/>
    <w:basedOn w:val="Normal"/>
    <w:link w:val="FootnoteTextChar"/>
    <w:uiPriority w:val="99"/>
    <w:semiHidden/>
    <w:unhideWhenUsed/>
    <w:rsid w:val="000F47EE"/>
    <w:pPr>
      <w:spacing w:after="0" w:line="240" w:lineRule="auto"/>
    </w:pPr>
    <w:rPr>
      <w:sz w:val="20"/>
      <w:szCs w:val="20"/>
    </w:rPr>
  </w:style>
  <w:style w:type="character" w:customStyle="1" w:styleId="FootnoteTextChar">
    <w:name w:val="Footnote Text Char"/>
    <w:link w:val="FootnoteText"/>
    <w:uiPriority w:val="99"/>
    <w:semiHidden/>
    <w:rsid w:val="000F47EE"/>
    <w:rPr>
      <w:rFonts w:eastAsia="Times New Roman"/>
      <w:sz w:val="20"/>
      <w:szCs w:val="20"/>
      <w:lang w:val="en-NZ" w:eastAsia="en-NZ"/>
    </w:rPr>
  </w:style>
  <w:style w:type="character" w:styleId="FootnoteReference">
    <w:name w:val="footnote reference"/>
    <w:uiPriority w:val="99"/>
    <w:semiHidden/>
    <w:unhideWhenUsed/>
    <w:rsid w:val="000F47EE"/>
    <w:rPr>
      <w:vertAlign w:val="superscript"/>
    </w:rPr>
  </w:style>
  <w:style w:type="character" w:styleId="CommentReference">
    <w:name w:val="annotation reference"/>
    <w:uiPriority w:val="99"/>
    <w:semiHidden/>
    <w:unhideWhenUsed/>
    <w:rsid w:val="000F47EE"/>
    <w:rPr>
      <w:sz w:val="16"/>
      <w:szCs w:val="16"/>
    </w:rPr>
  </w:style>
  <w:style w:type="paragraph" w:styleId="CommentText">
    <w:name w:val="annotation text"/>
    <w:basedOn w:val="Normal"/>
    <w:link w:val="CommentTextChar"/>
    <w:uiPriority w:val="99"/>
    <w:semiHidden/>
    <w:unhideWhenUsed/>
    <w:rsid w:val="000F47EE"/>
    <w:pPr>
      <w:spacing w:line="240" w:lineRule="auto"/>
    </w:pPr>
    <w:rPr>
      <w:sz w:val="20"/>
      <w:szCs w:val="20"/>
    </w:rPr>
  </w:style>
  <w:style w:type="character" w:customStyle="1" w:styleId="CommentTextChar">
    <w:name w:val="Comment Text Char"/>
    <w:link w:val="CommentText"/>
    <w:uiPriority w:val="99"/>
    <w:semiHidden/>
    <w:rsid w:val="000F47EE"/>
    <w:rPr>
      <w:rFonts w:eastAsia="Times New Roman"/>
      <w:sz w:val="20"/>
      <w:szCs w:val="20"/>
      <w:lang w:val="en-NZ" w:eastAsia="en-NZ"/>
    </w:rPr>
  </w:style>
  <w:style w:type="paragraph" w:styleId="BalloonText">
    <w:name w:val="Balloon Text"/>
    <w:basedOn w:val="Normal"/>
    <w:link w:val="BalloonTextChar"/>
    <w:uiPriority w:val="99"/>
    <w:semiHidden/>
    <w:unhideWhenUsed/>
    <w:rsid w:val="000F4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7EE"/>
    <w:rPr>
      <w:rFonts w:ascii="Tahoma" w:eastAsia="Times New Roman" w:hAnsi="Tahoma" w:cs="Tahoma"/>
      <w:sz w:val="16"/>
      <w:szCs w:val="16"/>
      <w:lang w:val="en-NZ" w:eastAsia="en-NZ"/>
    </w:rPr>
  </w:style>
  <w:style w:type="paragraph" w:styleId="CommentSubject">
    <w:name w:val="annotation subject"/>
    <w:basedOn w:val="CommentText"/>
    <w:next w:val="CommentText"/>
    <w:link w:val="CommentSubjectChar"/>
    <w:uiPriority w:val="99"/>
    <w:semiHidden/>
    <w:unhideWhenUsed/>
    <w:rsid w:val="00400911"/>
    <w:rPr>
      <w:b/>
      <w:bCs/>
    </w:rPr>
  </w:style>
  <w:style w:type="character" w:customStyle="1" w:styleId="CommentSubjectChar">
    <w:name w:val="Comment Subject Char"/>
    <w:link w:val="CommentSubject"/>
    <w:uiPriority w:val="99"/>
    <w:semiHidden/>
    <w:rsid w:val="00400911"/>
    <w:rPr>
      <w:rFonts w:eastAsia="Times New Roman"/>
      <w:b/>
      <w:bCs/>
      <w:sz w:val="20"/>
      <w:szCs w:val="20"/>
      <w:lang w:val="en-NZ" w:eastAsia="en-NZ"/>
    </w:rPr>
  </w:style>
  <w:style w:type="paragraph" w:customStyle="1" w:styleId="BBTitle">
    <w:name w:val="BB_Title"/>
    <w:basedOn w:val="Normal"/>
    <w:rsid w:val="007142D5"/>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hAnsi="Times New Roman"/>
      <w:b/>
      <w:sz w:val="28"/>
      <w:szCs w:val="28"/>
      <w:lang w:val="en-GB"/>
    </w:rPr>
  </w:style>
  <w:style w:type="paragraph" w:styleId="Header">
    <w:name w:val="header"/>
    <w:basedOn w:val="Normal"/>
    <w:link w:val="HeaderChar"/>
    <w:uiPriority w:val="99"/>
    <w:unhideWhenUsed/>
    <w:rsid w:val="007142D5"/>
    <w:pPr>
      <w:tabs>
        <w:tab w:val="center" w:pos="4680"/>
        <w:tab w:val="right" w:pos="9360"/>
      </w:tabs>
      <w:spacing w:after="0" w:line="240" w:lineRule="auto"/>
    </w:pPr>
  </w:style>
  <w:style w:type="character" w:customStyle="1" w:styleId="HeaderChar">
    <w:name w:val="Header Char"/>
    <w:link w:val="Header"/>
    <w:uiPriority w:val="99"/>
    <w:rsid w:val="007142D5"/>
    <w:rPr>
      <w:rFonts w:eastAsia="Times New Roman"/>
      <w:lang w:val="en-NZ" w:eastAsia="en-NZ"/>
    </w:rPr>
  </w:style>
  <w:style w:type="paragraph" w:styleId="Footer">
    <w:name w:val="footer"/>
    <w:basedOn w:val="Normal"/>
    <w:link w:val="FooterChar"/>
    <w:uiPriority w:val="99"/>
    <w:unhideWhenUsed/>
    <w:rsid w:val="007142D5"/>
    <w:pPr>
      <w:tabs>
        <w:tab w:val="center" w:pos="4680"/>
        <w:tab w:val="right" w:pos="9360"/>
      </w:tabs>
      <w:spacing w:after="0" w:line="240" w:lineRule="auto"/>
    </w:pPr>
  </w:style>
  <w:style w:type="character" w:customStyle="1" w:styleId="FooterChar">
    <w:name w:val="Footer Char"/>
    <w:link w:val="Footer"/>
    <w:uiPriority w:val="99"/>
    <w:rsid w:val="007142D5"/>
    <w:rPr>
      <w:rFonts w:eastAsia="Times New Roman"/>
      <w:lang w:val="en-NZ" w:eastAsia="en-NZ"/>
    </w:rPr>
  </w:style>
  <w:style w:type="paragraph" w:customStyle="1" w:styleId="AATitle">
    <w:name w:val="AA_Title"/>
    <w:basedOn w:val="Normal"/>
    <w:rsid w:val="00FE0DD8"/>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hAnsi="Times New Roman"/>
      <w:b/>
      <w:sz w:val="20"/>
      <w:szCs w:val="20"/>
      <w:lang w:val="fr-CA"/>
    </w:rPr>
  </w:style>
  <w:style w:type="paragraph" w:customStyle="1" w:styleId="AATitle2">
    <w:name w:val="AA_Title2"/>
    <w:basedOn w:val="AATitle"/>
    <w:rsid w:val="00FE0DD8"/>
    <w:pPr>
      <w:tabs>
        <w:tab w:val="clear" w:pos="4082"/>
      </w:tabs>
      <w:spacing w:before="120" w:after="120"/>
      <w:ind w:right="4536"/>
    </w:pPr>
  </w:style>
  <w:style w:type="paragraph" w:customStyle="1" w:styleId="CH2">
    <w:name w:val="CH2"/>
    <w:basedOn w:val="Normal"/>
    <w:next w:val="Normal"/>
    <w:rsid w:val="005D7CC3"/>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hAnsi="Times New Roman"/>
      <w:b/>
      <w:sz w:val="24"/>
      <w:szCs w:val="24"/>
      <w:lang w:val="fr-CA"/>
    </w:rPr>
  </w:style>
  <w:style w:type="paragraph" w:customStyle="1" w:styleId="Normalnumber">
    <w:name w:val="Normal_number"/>
    <w:basedOn w:val="Normal"/>
    <w:link w:val="NormalnumberChar"/>
    <w:rsid w:val="005D7CC3"/>
    <w:pPr>
      <w:tabs>
        <w:tab w:val="left" w:pos="1247"/>
        <w:tab w:val="left" w:pos="1814"/>
        <w:tab w:val="left" w:pos="2381"/>
        <w:tab w:val="left" w:pos="2948"/>
        <w:tab w:val="left" w:pos="3515"/>
        <w:tab w:val="left" w:pos="4082"/>
      </w:tabs>
      <w:spacing w:after="120" w:line="240" w:lineRule="auto"/>
    </w:pPr>
    <w:rPr>
      <w:rFonts w:ascii="Times New Roman" w:hAnsi="Times New Roman"/>
      <w:sz w:val="20"/>
      <w:szCs w:val="20"/>
      <w:lang w:val="fr-CA"/>
    </w:rPr>
  </w:style>
  <w:style w:type="paragraph" w:customStyle="1" w:styleId="ZZAnxheader">
    <w:name w:val="ZZ_Anx_header"/>
    <w:basedOn w:val="Normal"/>
    <w:rsid w:val="005B136B"/>
    <w:pPr>
      <w:tabs>
        <w:tab w:val="left" w:pos="1247"/>
        <w:tab w:val="left" w:pos="1814"/>
        <w:tab w:val="left" w:pos="2381"/>
        <w:tab w:val="left" w:pos="2948"/>
        <w:tab w:val="left" w:pos="3515"/>
        <w:tab w:val="left" w:pos="4082"/>
      </w:tabs>
      <w:spacing w:after="0" w:line="240" w:lineRule="auto"/>
    </w:pPr>
    <w:rPr>
      <w:rFonts w:ascii="Times New Roman" w:hAnsi="Times New Roman"/>
      <w:b/>
      <w:bCs/>
      <w:sz w:val="28"/>
      <w:lang w:val="fr-CA"/>
    </w:rPr>
  </w:style>
  <w:style w:type="paragraph" w:customStyle="1" w:styleId="ZZAnxtitle">
    <w:name w:val="ZZ_Anx_title"/>
    <w:basedOn w:val="Normal"/>
    <w:rsid w:val="005B136B"/>
    <w:pPr>
      <w:tabs>
        <w:tab w:val="left" w:pos="1247"/>
        <w:tab w:val="left" w:pos="1814"/>
        <w:tab w:val="left" w:pos="2381"/>
        <w:tab w:val="left" w:pos="2948"/>
        <w:tab w:val="left" w:pos="3515"/>
        <w:tab w:val="left" w:pos="4082"/>
      </w:tabs>
      <w:spacing w:before="360" w:after="120" w:line="240" w:lineRule="auto"/>
      <w:ind w:left="1247"/>
    </w:pPr>
    <w:rPr>
      <w:rFonts w:ascii="Times New Roman" w:hAnsi="Times New Roman"/>
      <w:b/>
      <w:bCs/>
      <w:sz w:val="28"/>
      <w:szCs w:val="26"/>
      <w:lang w:val="fr-CA"/>
    </w:rPr>
  </w:style>
  <w:style w:type="paragraph" w:customStyle="1" w:styleId="Normal-pool">
    <w:name w:val="Normal-pool"/>
    <w:link w:val="Normal-poolChar"/>
    <w:rsid w:val="00D3520E"/>
    <w:pPr>
      <w:tabs>
        <w:tab w:val="left" w:pos="1247"/>
        <w:tab w:val="left" w:pos="1814"/>
        <w:tab w:val="left" w:pos="2381"/>
        <w:tab w:val="left" w:pos="2948"/>
        <w:tab w:val="left" w:pos="3515"/>
        <w:tab w:val="left" w:pos="4082"/>
      </w:tabs>
    </w:pPr>
    <w:rPr>
      <w:rFonts w:ascii="Times New Roman" w:hAnsi="Times New Roman"/>
      <w:lang w:val="en-GB"/>
    </w:rPr>
  </w:style>
  <w:style w:type="character" w:customStyle="1" w:styleId="Normal-poolChar">
    <w:name w:val="Normal-pool Char"/>
    <w:link w:val="Normal-pool"/>
    <w:rsid w:val="00D3520E"/>
    <w:rPr>
      <w:rFonts w:ascii="Times New Roman" w:eastAsia="Times New Roman" w:hAnsi="Times New Roman" w:cs="Times New Roman"/>
      <w:sz w:val="20"/>
      <w:szCs w:val="20"/>
      <w:lang w:val="en-GB"/>
    </w:rPr>
  </w:style>
  <w:style w:type="paragraph" w:customStyle="1" w:styleId="CH1">
    <w:name w:val="CH1"/>
    <w:basedOn w:val="Normal"/>
    <w:next w:val="CH2"/>
    <w:rsid w:val="00E73882"/>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hAnsi="Times New Roman"/>
      <w:b/>
      <w:sz w:val="28"/>
      <w:szCs w:val="28"/>
      <w:lang w:val="fr-CA"/>
    </w:rPr>
  </w:style>
  <w:style w:type="paragraph" w:customStyle="1" w:styleId="CH3">
    <w:name w:val="CH3"/>
    <w:basedOn w:val="Normal"/>
    <w:next w:val="Normalnumber"/>
    <w:rsid w:val="00E73882"/>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hAnsi="Times New Roman"/>
      <w:b/>
      <w:sz w:val="20"/>
      <w:szCs w:val="20"/>
      <w:lang w:val="fr-CA"/>
    </w:rPr>
  </w:style>
  <w:style w:type="paragraph" w:customStyle="1" w:styleId="CH4">
    <w:name w:val="CH4"/>
    <w:basedOn w:val="Normal"/>
    <w:next w:val="Normalnumber"/>
    <w:rsid w:val="00E73882"/>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hAnsi="Times New Roman"/>
      <w:b/>
      <w:sz w:val="20"/>
      <w:szCs w:val="20"/>
      <w:lang w:val="fr-CA"/>
    </w:rPr>
  </w:style>
  <w:style w:type="character" w:customStyle="1" w:styleId="NormalnumberChar">
    <w:name w:val="Normal_number Char"/>
    <w:link w:val="Normalnumber"/>
    <w:rsid w:val="00664434"/>
    <w:rPr>
      <w:rFonts w:ascii="Times New Roman" w:eastAsia="Times New Roman" w:hAnsi="Times New Roman" w:cs="Times New Roman"/>
      <w:sz w:val="20"/>
      <w:szCs w:val="20"/>
      <w:lang w:val="fr-CA"/>
    </w:rPr>
  </w:style>
  <w:style w:type="numbering" w:customStyle="1" w:styleId="Normallist">
    <w:name w:val="Normal_list"/>
    <w:basedOn w:val="NoList"/>
    <w:rsid w:val="00664434"/>
    <w:pPr>
      <w:numPr>
        <w:numId w:val="10"/>
      </w:numPr>
    </w:pPr>
  </w:style>
  <w:style w:type="paragraph" w:styleId="Revision">
    <w:name w:val="Revision"/>
    <w:hidden/>
    <w:uiPriority w:val="99"/>
    <w:semiHidden/>
    <w:rsid w:val="007F48B9"/>
    <w:rPr>
      <w:sz w:val="22"/>
      <w:szCs w:val="22"/>
    </w:rPr>
  </w:style>
</w:styles>
</file>

<file path=word/webSettings.xml><?xml version="1.0" encoding="utf-8"?>
<w:webSettings xmlns:r="http://schemas.openxmlformats.org/officeDocument/2006/relationships" xmlns:w="http://schemas.openxmlformats.org/wordprocessingml/2006/main">
  <w:divs>
    <w:div w:id="70277303">
      <w:bodyDiv w:val="1"/>
      <w:marLeft w:val="0"/>
      <w:marRight w:val="0"/>
      <w:marTop w:val="0"/>
      <w:marBottom w:val="0"/>
      <w:divBdr>
        <w:top w:val="none" w:sz="0" w:space="0" w:color="auto"/>
        <w:left w:val="none" w:sz="0" w:space="0" w:color="auto"/>
        <w:bottom w:val="none" w:sz="0" w:space="0" w:color="auto"/>
        <w:right w:val="none" w:sz="0" w:space="0" w:color="auto"/>
      </w:divBdr>
      <w:divsChild>
        <w:div w:id="544291770">
          <w:marLeft w:val="0"/>
          <w:marRight w:val="0"/>
          <w:marTop w:val="0"/>
          <w:marBottom w:val="0"/>
          <w:divBdr>
            <w:top w:val="none" w:sz="0" w:space="0" w:color="auto"/>
            <w:left w:val="none" w:sz="0" w:space="0" w:color="auto"/>
            <w:bottom w:val="none" w:sz="0" w:space="0" w:color="auto"/>
            <w:right w:val="none" w:sz="0" w:space="0" w:color="auto"/>
          </w:divBdr>
        </w:div>
        <w:div w:id="650909445">
          <w:marLeft w:val="0"/>
          <w:marRight w:val="0"/>
          <w:marTop w:val="0"/>
          <w:marBottom w:val="0"/>
          <w:divBdr>
            <w:top w:val="none" w:sz="0" w:space="0" w:color="auto"/>
            <w:left w:val="none" w:sz="0" w:space="0" w:color="auto"/>
            <w:bottom w:val="none" w:sz="0" w:space="0" w:color="auto"/>
            <w:right w:val="none" w:sz="0" w:space="0" w:color="auto"/>
          </w:divBdr>
        </w:div>
        <w:div w:id="1097095611">
          <w:marLeft w:val="0"/>
          <w:marRight w:val="0"/>
          <w:marTop w:val="0"/>
          <w:marBottom w:val="0"/>
          <w:divBdr>
            <w:top w:val="none" w:sz="0" w:space="0" w:color="auto"/>
            <w:left w:val="none" w:sz="0" w:space="0" w:color="auto"/>
            <w:bottom w:val="none" w:sz="0" w:space="0" w:color="auto"/>
            <w:right w:val="none" w:sz="0" w:space="0" w:color="auto"/>
          </w:divBdr>
        </w:div>
        <w:div w:id="1538010504">
          <w:marLeft w:val="0"/>
          <w:marRight w:val="0"/>
          <w:marTop w:val="0"/>
          <w:marBottom w:val="0"/>
          <w:divBdr>
            <w:top w:val="none" w:sz="0" w:space="0" w:color="auto"/>
            <w:left w:val="none" w:sz="0" w:space="0" w:color="auto"/>
            <w:bottom w:val="none" w:sz="0" w:space="0" w:color="auto"/>
            <w:right w:val="none" w:sz="0" w:space="0" w:color="auto"/>
          </w:divBdr>
        </w:div>
        <w:div w:id="1549487205">
          <w:marLeft w:val="0"/>
          <w:marRight w:val="0"/>
          <w:marTop w:val="0"/>
          <w:marBottom w:val="0"/>
          <w:divBdr>
            <w:top w:val="none" w:sz="0" w:space="0" w:color="auto"/>
            <w:left w:val="none" w:sz="0" w:space="0" w:color="auto"/>
            <w:bottom w:val="none" w:sz="0" w:space="0" w:color="auto"/>
            <w:right w:val="none" w:sz="0" w:space="0" w:color="auto"/>
          </w:divBdr>
        </w:div>
        <w:div w:id="1759248488">
          <w:marLeft w:val="0"/>
          <w:marRight w:val="0"/>
          <w:marTop w:val="0"/>
          <w:marBottom w:val="0"/>
          <w:divBdr>
            <w:top w:val="none" w:sz="0" w:space="0" w:color="auto"/>
            <w:left w:val="none" w:sz="0" w:space="0" w:color="auto"/>
            <w:bottom w:val="none" w:sz="0" w:space="0" w:color="auto"/>
            <w:right w:val="none" w:sz="0" w:space="0" w:color="auto"/>
          </w:divBdr>
        </w:div>
      </w:divsChild>
    </w:div>
    <w:div w:id="188833631">
      <w:bodyDiv w:val="1"/>
      <w:marLeft w:val="0"/>
      <w:marRight w:val="0"/>
      <w:marTop w:val="0"/>
      <w:marBottom w:val="0"/>
      <w:divBdr>
        <w:top w:val="none" w:sz="0" w:space="0" w:color="auto"/>
        <w:left w:val="none" w:sz="0" w:space="0" w:color="auto"/>
        <w:bottom w:val="none" w:sz="0" w:space="0" w:color="auto"/>
        <w:right w:val="none" w:sz="0" w:space="0" w:color="auto"/>
      </w:divBdr>
    </w:div>
    <w:div w:id="440999256">
      <w:bodyDiv w:val="1"/>
      <w:marLeft w:val="0"/>
      <w:marRight w:val="0"/>
      <w:marTop w:val="0"/>
      <w:marBottom w:val="0"/>
      <w:divBdr>
        <w:top w:val="none" w:sz="0" w:space="0" w:color="auto"/>
        <w:left w:val="none" w:sz="0" w:space="0" w:color="auto"/>
        <w:bottom w:val="none" w:sz="0" w:space="0" w:color="auto"/>
        <w:right w:val="none" w:sz="0" w:space="0" w:color="auto"/>
      </w:divBdr>
    </w:div>
    <w:div w:id="1153453213">
      <w:bodyDiv w:val="1"/>
      <w:marLeft w:val="0"/>
      <w:marRight w:val="0"/>
      <w:marTop w:val="0"/>
      <w:marBottom w:val="0"/>
      <w:divBdr>
        <w:top w:val="none" w:sz="0" w:space="0" w:color="auto"/>
        <w:left w:val="none" w:sz="0" w:space="0" w:color="auto"/>
        <w:bottom w:val="none" w:sz="0" w:space="0" w:color="auto"/>
        <w:right w:val="none" w:sz="0" w:space="0" w:color="auto"/>
      </w:divBdr>
    </w:div>
    <w:div w:id="2143376323">
      <w:bodyDiv w:val="1"/>
      <w:marLeft w:val="0"/>
      <w:marRight w:val="0"/>
      <w:marTop w:val="0"/>
      <w:marBottom w:val="0"/>
      <w:divBdr>
        <w:top w:val="none" w:sz="0" w:space="0" w:color="auto"/>
        <w:left w:val="none" w:sz="0" w:space="0" w:color="auto"/>
        <w:bottom w:val="none" w:sz="0" w:space="0" w:color="auto"/>
        <w:right w:val="none" w:sz="0" w:space="0" w:color="auto"/>
      </w:divBdr>
      <w:divsChild>
        <w:div w:id="799768418">
          <w:marLeft w:val="0"/>
          <w:marRight w:val="0"/>
          <w:marTop w:val="0"/>
          <w:marBottom w:val="0"/>
          <w:divBdr>
            <w:top w:val="none" w:sz="0" w:space="0" w:color="auto"/>
            <w:left w:val="none" w:sz="0" w:space="0" w:color="auto"/>
            <w:bottom w:val="none" w:sz="0" w:space="0" w:color="auto"/>
            <w:right w:val="none" w:sz="0" w:space="0" w:color="auto"/>
          </w:divBdr>
        </w:div>
        <w:div w:id="941298687">
          <w:marLeft w:val="0"/>
          <w:marRight w:val="0"/>
          <w:marTop w:val="0"/>
          <w:marBottom w:val="0"/>
          <w:divBdr>
            <w:top w:val="none" w:sz="0" w:space="0" w:color="auto"/>
            <w:left w:val="none" w:sz="0" w:space="0" w:color="auto"/>
            <w:bottom w:val="none" w:sz="0" w:space="0" w:color="auto"/>
            <w:right w:val="none" w:sz="0" w:space="0" w:color="auto"/>
          </w:divBdr>
        </w:div>
        <w:div w:id="1226601893">
          <w:marLeft w:val="0"/>
          <w:marRight w:val="0"/>
          <w:marTop w:val="0"/>
          <w:marBottom w:val="0"/>
          <w:divBdr>
            <w:top w:val="none" w:sz="0" w:space="0" w:color="auto"/>
            <w:left w:val="none" w:sz="0" w:space="0" w:color="auto"/>
            <w:bottom w:val="none" w:sz="0" w:space="0" w:color="auto"/>
            <w:right w:val="none" w:sz="0" w:space="0" w:color="auto"/>
          </w:divBdr>
        </w:div>
        <w:div w:id="1671323164">
          <w:marLeft w:val="0"/>
          <w:marRight w:val="0"/>
          <w:marTop w:val="0"/>
          <w:marBottom w:val="0"/>
          <w:divBdr>
            <w:top w:val="none" w:sz="0" w:space="0" w:color="auto"/>
            <w:left w:val="none" w:sz="0" w:space="0" w:color="auto"/>
            <w:bottom w:val="none" w:sz="0" w:space="0" w:color="auto"/>
            <w:right w:val="none" w:sz="0" w:space="0" w:color="auto"/>
          </w:divBdr>
        </w:div>
        <w:div w:id="1865168752">
          <w:marLeft w:val="0"/>
          <w:marRight w:val="0"/>
          <w:marTop w:val="0"/>
          <w:marBottom w:val="0"/>
          <w:divBdr>
            <w:top w:val="none" w:sz="0" w:space="0" w:color="auto"/>
            <w:left w:val="none" w:sz="0" w:space="0" w:color="auto"/>
            <w:bottom w:val="none" w:sz="0" w:space="0" w:color="auto"/>
            <w:right w:val="none" w:sz="0" w:space="0" w:color="auto"/>
          </w:divBdr>
        </w:div>
        <w:div w:id="206949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7580-7690-48D2-A1E5-B0594E10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Thaman_r</dc:creator>
  <cp:lastModifiedBy>Rohan</cp:lastModifiedBy>
  <cp:revision>2</cp:revision>
  <cp:lastPrinted>2013-11-07T12:25:00Z</cp:lastPrinted>
  <dcterms:created xsi:type="dcterms:W3CDTF">2013-11-19T14:21:00Z</dcterms:created>
  <dcterms:modified xsi:type="dcterms:W3CDTF">2013-11-19T14:21:00Z</dcterms:modified>
</cp:coreProperties>
</file>