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8DA" w:rsidRDefault="00C558DA" w:rsidP="00067937">
      <w:bookmarkStart w:id="0" w:name="_GoBack"/>
      <w:bookmarkEnd w:id="0"/>
    </w:p>
    <w:tbl>
      <w:tblPr>
        <w:tblW w:w="5000" w:type="pct"/>
        <w:jc w:val="right"/>
        <w:tblLayout w:type="fixed"/>
        <w:tblLook w:val="0000" w:firstRow="0" w:lastRow="0" w:firstColumn="0" w:lastColumn="0" w:noHBand="0" w:noVBand="0"/>
      </w:tblPr>
      <w:tblGrid>
        <w:gridCol w:w="1524"/>
        <w:gridCol w:w="483"/>
        <w:gridCol w:w="509"/>
        <w:gridCol w:w="852"/>
        <w:gridCol w:w="993"/>
        <w:gridCol w:w="2407"/>
        <w:gridCol w:w="710"/>
        <w:gridCol w:w="569"/>
        <w:gridCol w:w="1665"/>
      </w:tblGrid>
      <w:tr w:rsidR="00067937" w:rsidRPr="00837CF6" w:rsidTr="00902D5D">
        <w:trPr>
          <w:cantSplit/>
          <w:trHeight w:val="1079"/>
          <w:jc w:val="right"/>
        </w:trPr>
        <w:tc>
          <w:tcPr>
            <w:tcW w:w="1525" w:type="dxa"/>
          </w:tcPr>
          <w:p w:rsidR="00067937" w:rsidRPr="00837CF6" w:rsidRDefault="00067937" w:rsidP="00902D5D">
            <w:pPr>
              <w:keepNext/>
              <w:tabs>
                <w:tab w:val="left" w:pos="1247"/>
                <w:tab w:val="left" w:pos="1814"/>
                <w:tab w:val="left" w:pos="2381"/>
                <w:tab w:val="left" w:pos="2948"/>
                <w:tab w:val="left" w:pos="3515"/>
              </w:tabs>
              <w:spacing w:before="40"/>
              <w:outlineLvl w:val="1"/>
              <w:rPr>
                <w:rFonts w:eastAsia="Times New Roman"/>
                <w:sz w:val="27"/>
                <w:szCs w:val="27"/>
              </w:rPr>
            </w:pPr>
            <w:r w:rsidRPr="00837CF6">
              <w:rPr>
                <w:rFonts w:ascii="Arial" w:eastAsia="Times New Roman" w:hAnsi="Arial" w:cs="Arial"/>
                <w:b/>
                <w:noProof/>
                <w:sz w:val="27"/>
                <w:szCs w:val="27"/>
              </w:rPr>
              <w:t xml:space="preserve">UNITED </w:t>
            </w:r>
            <w:r w:rsidRPr="00837CF6">
              <w:rPr>
                <w:rFonts w:ascii="Arial" w:eastAsia="Times New Roman" w:hAnsi="Arial" w:cs="Arial"/>
                <w:b/>
                <w:noProof/>
                <w:sz w:val="27"/>
                <w:szCs w:val="27"/>
              </w:rPr>
              <w:br/>
              <w:t>NATIONS</w:t>
            </w:r>
          </w:p>
        </w:tc>
        <w:tc>
          <w:tcPr>
            <w:tcW w:w="992" w:type="dxa"/>
            <w:gridSpan w:val="2"/>
            <w:tcBorders>
              <w:left w:val="nil"/>
            </w:tcBorders>
            <w:vAlign w:val="center"/>
          </w:tcPr>
          <w:p w:rsidR="00067937" w:rsidRPr="00837CF6" w:rsidRDefault="00067937" w:rsidP="00902D5D">
            <w:pPr>
              <w:tabs>
                <w:tab w:val="left" w:pos="1247"/>
                <w:tab w:val="left" w:pos="1814"/>
                <w:tab w:val="left" w:pos="2381"/>
                <w:tab w:val="left" w:pos="2948"/>
                <w:tab w:val="left" w:pos="3515"/>
              </w:tabs>
              <w:ind w:left="-108"/>
              <w:jc w:val="center"/>
              <w:rPr>
                <w:rFonts w:eastAsia="Times New Roman"/>
              </w:rPr>
            </w:pPr>
            <w:r w:rsidRPr="00837CF6">
              <w:rPr>
                <w:rFonts w:eastAsia="Times New Roman"/>
                <w:noProof/>
                <w:lang w:val="en-US"/>
              </w:rPr>
              <w:drawing>
                <wp:inline distT="0" distB="0" distL="0" distR="0" wp14:anchorId="766A6E5D" wp14:editId="6C18CD8F">
                  <wp:extent cx="542925" cy="419100"/>
                  <wp:effectExtent l="0" t="0" r="0" b="0"/>
                  <wp:docPr id="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852" w:type="dxa"/>
            <w:tcBorders>
              <w:left w:val="nil"/>
            </w:tcBorders>
            <w:vAlign w:val="center"/>
          </w:tcPr>
          <w:p w:rsidR="00067937" w:rsidRPr="00837CF6" w:rsidRDefault="00067937" w:rsidP="00902D5D">
            <w:pPr>
              <w:tabs>
                <w:tab w:val="left" w:pos="1247"/>
                <w:tab w:val="left" w:pos="1814"/>
                <w:tab w:val="left" w:pos="2381"/>
                <w:tab w:val="left" w:pos="2948"/>
                <w:tab w:val="left" w:pos="3515"/>
              </w:tabs>
              <w:ind w:left="-108"/>
              <w:jc w:val="center"/>
              <w:rPr>
                <w:rFonts w:eastAsia="Times New Roman"/>
              </w:rPr>
            </w:pPr>
            <w:r w:rsidRPr="00837CF6">
              <w:rPr>
                <w:rFonts w:eastAsia="Times New Roman"/>
                <w:noProof/>
                <w:lang w:val="en-US"/>
              </w:rPr>
              <w:drawing>
                <wp:inline distT="0" distB="0" distL="0" distR="0" wp14:anchorId="3247F11C" wp14:editId="0CF98934">
                  <wp:extent cx="438150" cy="476250"/>
                  <wp:effectExtent l="0" t="0" r="0" b="0"/>
                  <wp:docPr id="2"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tc>
        <w:tc>
          <w:tcPr>
            <w:tcW w:w="993" w:type="dxa"/>
            <w:tcBorders>
              <w:left w:val="nil"/>
            </w:tcBorders>
            <w:vAlign w:val="center"/>
          </w:tcPr>
          <w:p w:rsidR="00067937" w:rsidRPr="00837CF6" w:rsidRDefault="00067937" w:rsidP="00902D5D">
            <w:pPr>
              <w:tabs>
                <w:tab w:val="left" w:pos="1247"/>
                <w:tab w:val="left" w:pos="1814"/>
                <w:tab w:val="left" w:pos="2381"/>
                <w:tab w:val="left" w:pos="2948"/>
                <w:tab w:val="left" w:pos="3515"/>
              </w:tabs>
              <w:ind w:left="-108"/>
              <w:jc w:val="center"/>
              <w:rPr>
                <w:rFonts w:eastAsia="Times New Roman"/>
              </w:rPr>
            </w:pPr>
            <w:r w:rsidRPr="00837CF6">
              <w:rPr>
                <w:rFonts w:eastAsia="Times New Roman"/>
                <w:noProof/>
                <w:lang w:val="en-US"/>
              </w:rPr>
              <w:drawing>
                <wp:inline distT="0" distB="0" distL="0" distR="0" wp14:anchorId="1FF8A04D" wp14:editId="202A75E1">
                  <wp:extent cx="571500" cy="476250"/>
                  <wp:effectExtent l="0" t="0" r="0" b="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07" w:type="dxa"/>
            <w:tcBorders>
              <w:left w:val="nil"/>
            </w:tcBorders>
            <w:vAlign w:val="center"/>
          </w:tcPr>
          <w:p w:rsidR="00067937" w:rsidRPr="00837CF6" w:rsidRDefault="00067937" w:rsidP="00902D5D">
            <w:pPr>
              <w:tabs>
                <w:tab w:val="left" w:pos="1247"/>
                <w:tab w:val="left" w:pos="1814"/>
                <w:tab w:val="left" w:pos="2381"/>
                <w:tab w:val="left" w:pos="2948"/>
                <w:tab w:val="left" w:pos="3515"/>
              </w:tabs>
              <w:ind w:left="-108"/>
              <w:rPr>
                <w:rFonts w:eastAsia="Times New Roman"/>
              </w:rPr>
            </w:pPr>
            <w:r w:rsidRPr="00837CF6">
              <w:rPr>
                <w:rFonts w:eastAsia="Times New Roman"/>
                <w:noProof/>
                <w:lang w:val="en-US"/>
              </w:rPr>
              <w:drawing>
                <wp:inline distT="0" distB="0" distL="0" distR="0" wp14:anchorId="438DAB86" wp14:editId="2CFA08F3">
                  <wp:extent cx="1504950" cy="5238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tc>
        <w:tc>
          <w:tcPr>
            <w:tcW w:w="710" w:type="dxa"/>
            <w:tcBorders>
              <w:left w:val="nil"/>
              <w:right w:val="nil"/>
            </w:tcBorders>
          </w:tcPr>
          <w:p w:rsidR="00067937" w:rsidRPr="00837CF6" w:rsidRDefault="00067937" w:rsidP="00902D5D">
            <w:pPr>
              <w:tabs>
                <w:tab w:val="left" w:pos="1247"/>
                <w:tab w:val="left" w:pos="1814"/>
                <w:tab w:val="left" w:pos="2381"/>
                <w:tab w:val="left" w:pos="2948"/>
                <w:tab w:val="left" w:pos="3515"/>
              </w:tabs>
              <w:jc w:val="center"/>
              <w:rPr>
                <w:rFonts w:eastAsia="Times New Roman"/>
              </w:rPr>
            </w:pPr>
            <w:r w:rsidRPr="00837CF6">
              <w:rPr>
                <w:rFonts w:eastAsia="Times New Roman"/>
                <w:noProof/>
                <w:lang w:val="en-US"/>
              </w:rPr>
              <w:drawing>
                <wp:inline distT="0" distB="0" distL="0" distR="0" wp14:anchorId="2A981FF9" wp14:editId="290F4AD5">
                  <wp:extent cx="285750" cy="561975"/>
                  <wp:effectExtent l="0" t="0" r="0" b="0"/>
                  <wp:docPr id="5"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9" w:type="dxa"/>
            <w:tcBorders>
              <w:left w:val="nil"/>
            </w:tcBorders>
            <w:vAlign w:val="center"/>
          </w:tcPr>
          <w:p w:rsidR="00067937" w:rsidRPr="00837CF6" w:rsidRDefault="00067937" w:rsidP="00902D5D">
            <w:pPr>
              <w:tabs>
                <w:tab w:val="left" w:pos="1247"/>
                <w:tab w:val="left" w:pos="1814"/>
                <w:tab w:val="left" w:pos="2381"/>
                <w:tab w:val="left" w:pos="2948"/>
                <w:tab w:val="left" w:pos="3515"/>
              </w:tabs>
              <w:jc w:val="center"/>
              <w:rPr>
                <w:rFonts w:eastAsia="Times New Roman"/>
              </w:rPr>
            </w:pPr>
          </w:p>
        </w:tc>
        <w:tc>
          <w:tcPr>
            <w:tcW w:w="1665" w:type="dxa"/>
          </w:tcPr>
          <w:p w:rsidR="00067937" w:rsidRPr="00837CF6" w:rsidRDefault="00067937" w:rsidP="00902D5D">
            <w:pPr>
              <w:keepNext/>
              <w:tabs>
                <w:tab w:val="left" w:pos="1247"/>
                <w:tab w:val="left" w:pos="1814"/>
                <w:tab w:val="left" w:pos="2381"/>
                <w:tab w:val="left" w:pos="2948"/>
                <w:tab w:val="left" w:pos="3515"/>
              </w:tabs>
              <w:spacing w:before="40"/>
              <w:jc w:val="right"/>
              <w:outlineLvl w:val="1"/>
              <w:rPr>
                <w:rFonts w:ascii="Arial" w:eastAsia="Times New Roman" w:hAnsi="Arial" w:cs="Arial"/>
                <w:b/>
                <w:sz w:val="64"/>
                <w:szCs w:val="64"/>
              </w:rPr>
            </w:pPr>
            <w:r w:rsidRPr="00837CF6">
              <w:rPr>
                <w:rFonts w:ascii="Arial" w:eastAsia="Times New Roman" w:hAnsi="Arial" w:cs="Arial"/>
                <w:b/>
                <w:sz w:val="64"/>
                <w:szCs w:val="64"/>
              </w:rPr>
              <w:t>BES</w:t>
            </w:r>
          </w:p>
        </w:tc>
      </w:tr>
      <w:tr w:rsidR="00067937" w:rsidRPr="00837CF6" w:rsidTr="00902D5D">
        <w:trPr>
          <w:cantSplit/>
          <w:trHeight w:val="282"/>
          <w:jc w:val="right"/>
        </w:trPr>
        <w:tc>
          <w:tcPr>
            <w:tcW w:w="1525" w:type="dxa"/>
            <w:tcBorders>
              <w:bottom w:val="single" w:sz="2" w:space="0" w:color="auto"/>
            </w:tcBorders>
          </w:tcPr>
          <w:p w:rsidR="00067937" w:rsidRPr="00837CF6" w:rsidRDefault="00067937" w:rsidP="00902D5D">
            <w:pPr>
              <w:tabs>
                <w:tab w:val="left" w:pos="1247"/>
                <w:tab w:val="left" w:pos="1814"/>
                <w:tab w:val="left" w:pos="2381"/>
                <w:tab w:val="left" w:pos="2948"/>
                <w:tab w:val="left" w:pos="3515"/>
              </w:tabs>
              <w:rPr>
                <w:rFonts w:eastAsia="Times New Roman"/>
                <w:noProof/>
              </w:rPr>
            </w:pPr>
          </w:p>
        </w:tc>
        <w:tc>
          <w:tcPr>
            <w:tcW w:w="5954" w:type="dxa"/>
            <w:gridSpan w:val="6"/>
            <w:tcBorders>
              <w:bottom w:val="single" w:sz="2" w:space="0" w:color="auto"/>
            </w:tcBorders>
          </w:tcPr>
          <w:p w:rsidR="00067937" w:rsidRPr="00837CF6" w:rsidRDefault="00067937" w:rsidP="00902D5D">
            <w:pPr>
              <w:tabs>
                <w:tab w:val="left" w:pos="1247"/>
                <w:tab w:val="left" w:pos="1814"/>
                <w:tab w:val="left" w:pos="2381"/>
                <w:tab w:val="left" w:pos="2948"/>
                <w:tab w:val="left" w:pos="3515"/>
              </w:tabs>
              <w:rPr>
                <w:rFonts w:eastAsia="Times New Roman"/>
                <w:b/>
                <w:sz w:val="24"/>
                <w:szCs w:val="24"/>
              </w:rPr>
            </w:pPr>
          </w:p>
        </w:tc>
        <w:tc>
          <w:tcPr>
            <w:tcW w:w="2234" w:type="dxa"/>
            <w:gridSpan w:val="2"/>
            <w:tcBorders>
              <w:bottom w:val="single" w:sz="2" w:space="0" w:color="auto"/>
            </w:tcBorders>
          </w:tcPr>
          <w:p w:rsidR="00067937" w:rsidRPr="00837CF6" w:rsidRDefault="00067937" w:rsidP="00902D5D">
            <w:pPr>
              <w:tabs>
                <w:tab w:val="left" w:pos="1247"/>
                <w:tab w:val="left" w:pos="1814"/>
                <w:tab w:val="left" w:pos="2381"/>
                <w:tab w:val="left" w:pos="2948"/>
                <w:tab w:val="left" w:pos="3515"/>
              </w:tabs>
              <w:rPr>
                <w:rFonts w:eastAsia="Times New Roman"/>
                <w:b/>
                <w:sz w:val="24"/>
                <w:szCs w:val="24"/>
              </w:rPr>
            </w:pPr>
            <w:r w:rsidRPr="00837CF6">
              <w:rPr>
                <w:rFonts w:eastAsia="Times New Roman"/>
                <w:b/>
                <w:sz w:val="24"/>
                <w:szCs w:val="24"/>
              </w:rPr>
              <w:t>IPBES</w:t>
            </w:r>
            <w:r w:rsidRPr="00837CF6">
              <w:rPr>
                <w:rFonts w:eastAsia="Times New Roman"/>
              </w:rPr>
              <w:t>/5/INF/</w:t>
            </w:r>
            <w:r>
              <w:rPr>
                <w:rFonts w:eastAsia="Times New Roman"/>
              </w:rPr>
              <w:t>19</w:t>
            </w:r>
          </w:p>
        </w:tc>
      </w:tr>
      <w:tr w:rsidR="00067937" w:rsidRPr="00837CF6" w:rsidTr="00902D5D">
        <w:trPr>
          <w:cantSplit/>
          <w:trHeight w:val="1433"/>
          <w:jc w:val="right"/>
        </w:trPr>
        <w:tc>
          <w:tcPr>
            <w:tcW w:w="2008" w:type="dxa"/>
            <w:gridSpan w:val="2"/>
            <w:tcBorders>
              <w:top w:val="single" w:sz="2" w:space="0" w:color="auto"/>
              <w:bottom w:val="single" w:sz="24" w:space="0" w:color="auto"/>
            </w:tcBorders>
          </w:tcPr>
          <w:p w:rsidR="00067937" w:rsidRPr="00837CF6" w:rsidRDefault="00067937" w:rsidP="00902D5D">
            <w:pPr>
              <w:tabs>
                <w:tab w:val="left" w:pos="1247"/>
                <w:tab w:val="left" w:pos="1814"/>
                <w:tab w:val="left" w:pos="2381"/>
                <w:tab w:val="left" w:pos="2948"/>
                <w:tab w:val="left" w:pos="3515"/>
              </w:tabs>
              <w:spacing w:before="240" w:after="240"/>
              <w:rPr>
                <w:rFonts w:ascii="Arial" w:eastAsia="Times New Roman" w:hAnsi="Arial" w:cs="Arial"/>
                <w:b/>
                <w:sz w:val="28"/>
                <w:szCs w:val="28"/>
              </w:rPr>
            </w:pPr>
            <w:r w:rsidRPr="00837CF6">
              <w:rPr>
                <w:rFonts w:ascii="Arial" w:eastAsia="Times New Roman" w:hAnsi="Arial" w:cs="Arial"/>
                <w:b/>
                <w:noProof/>
                <w:sz w:val="28"/>
                <w:szCs w:val="28"/>
                <w:lang w:val="en-US"/>
              </w:rPr>
              <w:drawing>
                <wp:inline distT="0" distB="0" distL="0" distR="0" wp14:anchorId="0BDC682D" wp14:editId="2195340E">
                  <wp:extent cx="1114425"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1" w:type="dxa"/>
            <w:gridSpan w:val="5"/>
            <w:tcBorders>
              <w:top w:val="single" w:sz="2" w:space="0" w:color="auto"/>
              <w:bottom w:val="single" w:sz="24" w:space="0" w:color="auto"/>
            </w:tcBorders>
          </w:tcPr>
          <w:p w:rsidR="00067937" w:rsidRPr="00837CF6" w:rsidRDefault="00067937" w:rsidP="00902D5D">
            <w:pPr>
              <w:tabs>
                <w:tab w:val="left" w:pos="1247"/>
                <w:tab w:val="left" w:pos="1814"/>
                <w:tab w:val="left" w:pos="2381"/>
                <w:tab w:val="left" w:pos="2948"/>
                <w:tab w:val="left" w:pos="3515"/>
              </w:tabs>
              <w:spacing w:before="120" w:after="120"/>
              <w:rPr>
                <w:rFonts w:eastAsia="Times New Roman"/>
              </w:rPr>
            </w:pPr>
            <w:r w:rsidRPr="00837CF6">
              <w:rPr>
                <w:rFonts w:ascii="Arial" w:eastAsia="Times New Roman" w:hAnsi="Arial" w:cs="Arial"/>
                <w:b/>
                <w:sz w:val="28"/>
                <w:szCs w:val="28"/>
              </w:rPr>
              <w:t>Intergovernmental Science-Policy Platform on Biodiversity and Ecosystem Services</w:t>
            </w:r>
          </w:p>
        </w:tc>
        <w:tc>
          <w:tcPr>
            <w:tcW w:w="2234" w:type="dxa"/>
            <w:gridSpan w:val="2"/>
            <w:tcBorders>
              <w:top w:val="single" w:sz="2" w:space="0" w:color="auto"/>
              <w:bottom w:val="single" w:sz="24" w:space="0" w:color="auto"/>
            </w:tcBorders>
          </w:tcPr>
          <w:p w:rsidR="00067937" w:rsidRPr="00837CF6" w:rsidRDefault="00067937" w:rsidP="00902D5D">
            <w:pPr>
              <w:tabs>
                <w:tab w:val="left" w:pos="1247"/>
                <w:tab w:val="left" w:pos="1814"/>
                <w:tab w:val="left" w:pos="2381"/>
                <w:tab w:val="left" w:pos="2948"/>
                <w:tab w:val="left" w:pos="3515"/>
              </w:tabs>
              <w:spacing w:before="120" w:after="120"/>
              <w:rPr>
                <w:rFonts w:eastAsia="Times New Roman"/>
              </w:rPr>
            </w:pPr>
            <w:r w:rsidRPr="00837CF6">
              <w:rPr>
                <w:rFonts w:eastAsia="Times New Roman"/>
              </w:rPr>
              <w:t>Distr.: General</w:t>
            </w:r>
            <w:r w:rsidRPr="00837CF6">
              <w:rPr>
                <w:rFonts w:eastAsia="Times New Roman"/>
              </w:rPr>
              <w:br/>
            </w:r>
            <w:r>
              <w:rPr>
                <w:rFonts w:eastAsia="Times New Roman"/>
              </w:rPr>
              <w:t>2</w:t>
            </w:r>
            <w:r w:rsidR="00A27252">
              <w:rPr>
                <w:rFonts w:eastAsia="Times New Roman"/>
              </w:rPr>
              <w:t>7</w:t>
            </w:r>
            <w:r>
              <w:rPr>
                <w:rFonts w:eastAsia="Times New Roman"/>
              </w:rPr>
              <w:t xml:space="preserve"> January 2017</w:t>
            </w:r>
          </w:p>
          <w:p w:rsidR="00067937" w:rsidRPr="00837CF6" w:rsidRDefault="00067937" w:rsidP="00902D5D">
            <w:pPr>
              <w:tabs>
                <w:tab w:val="left" w:pos="1247"/>
                <w:tab w:val="left" w:pos="1814"/>
                <w:tab w:val="left" w:pos="2381"/>
                <w:tab w:val="left" w:pos="2948"/>
                <w:tab w:val="left" w:pos="3515"/>
              </w:tabs>
              <w:spacing w:before="120" w:after="120"/>
              <w:rPr>
                <w:rFonts w:eastAsia="Times New Roman"/>
              </w:rPr>
            </w:pPr>
            <w:r w:rsidRPr="00837CF6">
              <w:rPr>
                <w:rFonts w:eastAsia="Times New Roman"/>
              </w:rPr>
              <w:t>English</w:t>
            </w:r>
            <w:r w:rsidR="00902D5D">
              <w:rPr>
                <w:rFonts w:eastAsia="Times New Roman"/>
              </w:rPr>
              <w:t xml:space="preserve"> only</w:t>
            </w:r>
          </w:p>
        </w:tc>
      </w:tr>
    </w:tbl>
    <w:p w:rsidR="00067937" w:rsidRPr="00837CF6" w:rsidRDefault="00067937" w:rsidP="00067937">
      <w:pPr>
        <w:keepNext/>
        <w:keepLines/>
        <w:tabs>
          <w:tab w:val="left" w:pos="1247"/>
          <w:tab w:val="left" w:pos="1814"/>
          <w:tab w:val="left" w:pos="2381"/>
          <w:tab w:val="left" w:pos="2948"/>
          <w:tab w:val="left" w:pos="3515"/>
        </w:tabs>
        <w:suppressAutoHyphens/>
        <w:ind w:right="3402"/>
        <w:rPr>
          <w:rFonts w:eastAsia="Times New Roman"/>
          <w:b/>
        </w:rPr>
      </w:pPr>
      <w:r w:rsidRPr="00837CF6">
        <w:rPr>
          <w:rFonts w:eastAsia="Times New Roman"/>
          <w:b/>
        </w:rPr>
        <w:t>Plenary of the Intergovernmental Science-Policy</w:t>
      </w:r>
    </w:p>
    <w:p w:rsidR="00067937" w:rsidRPr="00837CF6" w:rsidRDefault="00067937" w:rsidP="00067937">
      <w:pPr>
        <w:keepNext/>
        <w:keepLines/>
        <w:tabs>
          <w:tab w:val="left" w:pos="1247"/>
          <w:tab w:val="left" w:pos="1814"/>
          <w:tab w:val="left" w:pos="2381"/>
          <w:tab w:val="left" w:pos="2948"/>
          <w:tab w:val="left" w:pos="3515"/>
        </w:tabs>
        <w:suppressAutoHyphens/>
        <w:ind w:right="3402"/>
        <w:rPr>
          <w:rFonts w:eastAsia="Times New Roman"/>
          <w:b/>
        </w:rPr>
      </w:pPr>
      <w:r w:rsidRPr="00837CF6">
        <w:rPr>
          <w:rFonts w:eastAsia="Times New Roman"/>
          <w:b/>
        </w:rPr>
        <w:t>Platform on Biodiversity and Ecosystem Services</w:t>
      </w:r>
    </w:p>
    <w:p w:rsidR="00067937" w:rsidRPr="00837CF6" w:rsidRDefault="00067937" w:rsidP="00067937">
      <w:pPr>
        <w:keepNext/>
        <w:keepLines/>
        <w:tabs>
          <w:tab w:val="left" w:pos="1247"/>
          <w:tab w:val="left" w:pos="1814"/>
          <w:tab w:val="left" w:pos="2381"/>
          <w:tab w:val="left" w:pos="2948"/>
          <w:tab w:val="left" w:pos="3515"/>
        </w:tabs>
        <w:suppressAutoHyphens/>
        <w:ind w:right="3402"/>
        <w:rPr>
          <w:rFonts w:eastAsia="Times New Roman"/>
        </w:rPr>
      </w:pPr>
      <w:r w:rsidRPr="00837CF6">
        <w:rPr>
          <w:rFonts w:eastAsia="Times New Roman"/>
        </w:rPr>
        <w:t>Fifth session</w:t>
      </w:r>
    </w:p>
    <w:p w:rsidR="00067937" w:rsidRPr="00837CF6" w:rsidRDefault="00067937" w:rsidP="00067937">
      <w:pPr>
        <w:keepNext/>
        <w:keepLines/>
        <w:tabs>
          <w:tab w:val="left" w:pos="1247"/>
          <w:tab w:val="left" w:pos="1814"/>
          <w:tab w:val="left" w:pos="2381"/>
          <w:tab w:val="left" w:pos="2948"/>
          <w:tab w:val="left" w:pos="3515"/>
        </w:tabs>
        <w:suppressAutoHyphens/>
        <w:ind w:right="3402"/>
        <w:rPr>
          <w:rFonts w:eastAsia="Times New Roman"/>
        </w:rPr>
      </w:pPr>
      <w:r w:rsidRPr="00837CF6">
        <w:rPr>
          <w:rFonts w:eastAsia="Times New Roman"/>
        </w:rPr>
        <w:t>Bonn, Germany, 7–10 March 2017</w:t>
      </w:r>
    </w:p>
    <w:p w:rsidR="00067937" w:rsidRPr="00837CF6" w:rsidRDefault="00067937" w:rsidP="00067937">
      <w:pPr>
        <w:keepNext/>
        <w:keepLines/>
        <w:tabs>
          <w:tab w:val="left" w:pos="1247"/>
          <w:tab w:val="left" w:pos="1814"/>
          <w:tab w:val="left" w:pos="2381"/>
          <w:tab w:val="left" w:pos="2948"/>
          <w:tab w:val="left" w:pos="3515"/>
        </w:tabs>
        <w:suppressAutoHyphens/>
        <w:ind w:right="3402"/>
        <w:rPr>
          <w:rFonts w:eastAsia="Times New Roman"/>
        </w:rPr>
      </w:pPr>
      <w:r w:rsidRPr="00837CF6">
        <w:rPr>
          <w:rFonts w:eastAsia="Times New Roman"/>
        </w:rPr>
        <w:t xml:space="preserve">Item </w:t>
      </w:r>
      <w:r>
        <w:rPr>
          <w:rFonts w:eastAsia="Times New Roman"/>
        </w:rPr>
        <w:t>5</w:t>
      </w:r>
      <w:r w:rsidRPr="00837CF6">
        <w:rPr>
          <w:rFonts w:eastAsia="Times New Roman"/>
        </w:rPr>
        <w:t xml:space="preserve"> of the provisional agenda</w:t>
      </w:r>
      <w:r w:rsidR="001E038A" w:rsidRPr="001E038A">
        <w:rPr>
          <w:rStyle w:val="FootnoteReference"/>
          <w:bCs/>
          <w:spacing w:val="4"/>
          <w:w w:val="103"/>
          <w:vertAlign w:val="baseline"/>
        </w:rPr>
        <w:footnoteReference w:customMarkFollows="1" w:id="1"/>
        <w:t>*</w:t>
      </w:r>
    </w:p>
    <w:p w:rsidR="00067937" w:rsidRPr="00837CF6" w:rsidRDefault="00067937" w:rsidP="005D5035">
      <w:pPr>
        <w:pStyle w:val="AATitle2"/>
        <w:spacing w:before="60"/>
      </w:pPr>
      <w:r>
        <w:t xml:space="preserve">Report </w:t>
      </w:r>
      <w:r w:rsidRPr="003A1045">
        <w:t xml:space="preserve">of the Executive Secretary on the implementation </w:t>
      </w:r>
      <w:r w:rsidR="001E038A">
        <w:br/>
      </w:r>
      <w:r w:rsidRPr="003A1045">
        <w:t>of the work programme for the period 2014–2018</w:t>
      </w:r>
    </w:p>
    <w:p w:rsidR="00067937" w:rsidRPr="00A27252" w:rsidRDefault="00067937" w:rsidP="00A27252">
      <w:pPr>
        <w:pStyle w:val="BBTitle"/>
      </w:pPr>
      <w:r w:rsidRPr="00A27252">
        <w:t>Implementation of the conflict</w:t>
      </w:r>
      <w:r w:rsidR="00C163A4">
        <w:t>-</w:t>
      </w:r>
      <w:r w:rsidRPr="00A27252">
        <w:t>of</w:t>
      </w:r>
      <w:r w:rsidR="00C163A4">
        <w:t>-</w:t>
      </w:r>
      <w:r w:rsidRPr="00A27252">
        <w:t xml:space="preserve">interest policy for the Intergovernmental Science-Policy Platform on Biodiversity and Ecosystem Services </w:t>
      </w:r>
    </w:p>
    <w:p w:rsidR="00067937" w:rsidRPr="00A27252" w:rsidRDefault="00A27252" w:rsidP="00A27252">
      <w:pPr>
        <w:pStyle w:val="CH2"/>
      </w:pPr>
      <w:r>
        <w:tab/>
      </w:r>
      <w:r>
        <w:tab/>
      </w:r>
      <w:r w:rsidR="00067937" w:rsidRPr="00A27252">
        <w:t>Note by the secretariat</w:t>
      </w:r>
    </w:p>
    <w:p w:rsidR="00067937" w:rsidRDefault="00902D5D" w:rsidP="00A27252">
      <w:pPr>
        <w:pStyle w:val="NormalNonumber"/>
        <w:ind w:firstLine="624"/>
      </w:pPr>
      <w:r>
        <w:t xml:space="preserve">By its </w:t>
      </w:r>
      <w:r w:rsidRPr="1E1852C9">
        <w:t>decision IPBES-3/3</w:t>
      </w:r>
      <w:r>
        <w:t>, on procedures for the preparation of Platform deliverables, t</w:t>
      </w:r>
      <w:r w:rsidR="00067937" w:rsidRPr="1E1852C9">
        <w:t xml:space="preserve">he Plenary </w:t>
      </w:r>
      <w:r>
        <w:t xml:space="preserve">of the Intergovernmental Science-Policy Platform on Biodiversity and Ecosystem Services (IPBES) </w:t>
      </w:r>
      <w:r w:rsidR="00067937" w:rsidRPr="0096667D">
        <w:t xml:space="preserve">adopted </w:t>
      </w:r>
      <w:r w:rsidR="00067937" w:rsidRPr="00EE2F41">
        <w:t>the conflict</w:t>
      </w:r>
      <w:r w:rsidR="00DD5CCB">
        <w:t>-</w:t>
      </w:r>
      <w:r w:rsidR="00067937" w:rsidRPr="00EE2F41">
        <w:t>of</w:t>
      </w:r>
      <w:r w:rsidR="00DD5CCB">
        <w:t>-</w:t>
      </w:r>
      <w:r w:rsidR="00067937" w:rsidRPr="00EE2F41">
        <w:t xml:space="preserve">interest policy and implementation procedures set out in annex II to that </w:t>
      </w:r>
      <w:r w:rsidR="00067937" w:rsidRPr="0096667D">
        <w:t xml:space="preserve">decision. The annex to the present note provides information on </w:t>
      </w:r>
      <w:r w:rsidR="00AB3F35" w:rsidRPr="0096667D">
        <w:t xml:space="preserve">the </w:t>
      </w:r>
      <w:r w:rsidR="00067937" w:rsidRPr="0096667D">
        <w:t xml:space="preserve">progress </w:t>
      </w:r>
      <w:r w:rsidR="00AB3F35" w:rsidRPr="0096667D">
        <w:t xml:space="preserve">made </w:t>
      </w:r>
      <w:r w:rsidR="00067937" w:rsidRPr="0096667D">
        <w:t xml:space="preserve">in </w:t>
      </w:r>
      <w:r w:rsidR="00AB3F35" w:rsidRPr="0096667D">
        <w:t>implementing</w:t>
      </w:r>
      <w:r w:rsidR="00067937" w:rsidRPr="0096667D">
        <w:t xml:space="preserve"> the policy. The appendix to</w:t>
      </w:r>
      <w:r w:rsidR="00067937" w:rsidRPr="00EE2F41">
        <w:t xml:space="preserve"> the annex sets out a report </w:t>
      </w:r>
      <w:r w:rsidR="00EE2F41" w:rsidRPr="0093031E">
        <w:t xml:space="preserve">to the Plenary </w:t>
      </w:r>
      <w:r w:rsidR="00067937" w:rsidRPr="00EE2F41">
        <w:t>by the Committee on Conflicts of Interest on its activities, which the Committee submit</w:t>
      </w:r>
      <w:r w:rsidR="00DD5CCB">
        <w:t>ted</w:t>
      </w:r>
      <w:r w:rsidR="00067937" w:rsidRPr="00EE2F41">
        <w:t xml:space="preserve"> in accordance with rule 10 of the implementation</w:t>
      </w:r>
      <w:r w:rsidR="00067937">
        <w:t xml:space="preserve"> procedures. The annex, including its appendix, is presented without formal editing. </w:t>
      </w:r>
    </w:p>
    <w:p w:rsidR="00067937" w:rsidRPr="00A27252" w:rsidRDefault="00067937" w:rsidP="00A27252">
      <w:pPr>
        <w:pStyle w:val="ZZAnxheader"/>
      </w:pPr>
      <w:r w:rsidRPr="00A27252">
        <w:br w:type="page"/>
      </w:r>
      <w:r w:rsidRPr="00A27252">
        <w:lastRenderedPageBreak/>
        <w:t>Annex</w:t>
      </w:r>
    </w:p>
    <w:p w:rsidR="00067937" w:rsidRPr="00A27252" w:rsidRDefault="00067937" w:rsidP="00A27252">
      <w:pPr>
        <w:pStyle w:val="ZZAnxtitle"/>
      </w:pPr>
      <w:r w:rsidRPr="00A27252">
        <w:t xml:space="preserve">Composition of the Committee on Conflicts of Interest </w:t>
      </w:r>
    </w:p>
    <w:p w:rsidR="00067937" w:rsidRPr="00A27252" w:rsidRDefault="00067937" w:rsidP="00A27252">
      <w:pPr>
        <w:pStyle w:val="Normalnumber"/>
        <w:numPr>
          <w:ilvl w:val="0"/>
          <w:numId w:val="39"/>
        </w:numPr>
      </w:pPr>
      <w:r w:rsidRPr="00A27252">
        <w:t xml:space="preserve">A Committee on conflicts of interest was established in 2015, following the third session of the Plenary, in accordance with Rule 10 of the conflict of interest policy (please see IPBES/4/INF/20). Following election of the new Bureau at the fourth session of the Plenary, Robert Watson (Chair, United Kingdom of Great Britain and Northern Ireland) and Leonel Sierralta (Chile) stepped down from the Committee, and Alfred Oteng-Yeboah (Ghana, Bureau vice-chair for African Group) became chair of the Committee.  </w:t>
      </w:r>
    </w:p>
    <w:p w:rsidR="00067937" w:rsidRPr="00A27252" w:rsidRDefault="00067937" w:rsidP="00A27252">
      <w:pPr>
        <w:pStyle w:val="Normalnumber"/>
        <w:numPr>
          <w:ilvl w:val="0"/>
          <w:numId w:val="39"/>
        </w:numPr>
      </w:pPr>
      <w:r w:rsidRPr="00A27252">
        <w:t xml:space="preserve">The Committee is composed of the following 9 members: </w:t>
      </w:r>
    </w:p>
    <w:p w:rsidR="00067937" w:rsidRPr="00A27252" w:rsidRDefault="00067937" w:rsidP="00A27252">
      <w:pPr>
        <w:pStyle w:val="Normalnumber"/>
        <w:numPr>
          <w:ilvl w:val="1"/>
          <w:numId w:val="39"/>
        </w:numPr>
      </w:pPr>
      <w:r w:rsidRPr="00A27252">
        <w:t>3 Bureau members:</w:t>
      </w:r>
    </w:p>
    <w:p w:rsidR="00067937" w:rsidRDefault="00067937" w:rsidP="00067937">
      <w:pPr>
        <w:pStyle w:val="Normalnumber"/>
        <w:numPr>
          <w:ilvl w:val="0"/>
          <w:numId w:val="0"/>
        </w:numPr>
        <w:tabs>
          <w:tab w:val="left" w:pos="2430"/>
        </w:tabs>
        <w:ind w:left="2430"/>
      </w:pPr>
      <w:r>
        <w:t xml:space="preserve">Alfred Oteng-Yeboah (Ghana), Chair. </w:t>
      </w:r>
    </w:p>
    <w:p w:rsidR="00067937" w:rsidRPr="00510333" w:rsidRDefault="00067937" w:rsidP="00067937">
      <w:pPr>
        <w:pStyle w:val="Normalnumber"/>
        <w:numPr>
          <w:ilvl w:val="0"/>
          <w:numId w:val="0"/>
        </w:numPr>
        <w:tabs>
          <w:tab w:val="left" w:pos="2430"/>
        </w:tabs>
        <w:ind w:left="2430"/>
      </w:pPr>
      <w:r>
        <w:t>Diego Pacheco (</w:t>
      </w:r>
      <w:r>
        <w:rPr>
          <w:rStyle w:val="st"/>
        </w:rPr>
        <w:t xml:space="preserve">Plurinational State </w:t>
      </w:r>
      <w:r w:rsidRPr="0093031E">
        <w:rPr>
          <w:rStyle w:val="st"/>
          <w:i/>
        </w:rPr>
        <w:t xml:space="preserve">of </w:t>
      </w:r>
      <w:r w:rsidRPr="00DD4923">
        <w:rPr>
          <w:rStyle w:val="Emphasis"/>
          <w:i w:val="0"/>
        </w:rPr>
        <w:t>Bolivia</w:t>
      </w:r>
      <w:r w:rsidRPr="00510333">
        <w:t>)</w:t>
      </w:r>
    </w:p>
    <w:p w:rsidR="00067937" w:rsidRDefault="00067937" w:rsidP="00067937">
      <w:pPr>
        <w:pStyle w:val="Normalnumber"/>
        <w:numPr>
          <w:ilvl w:val="0"/>
          <w:numId w:val="0"/>
        </w:numPr>
        <w:tabs>
          <w:tab w:val="left" w:pos="2430"/>
        </w:tabs>
        <w:ind w:left="2430"/>
      </w:pPr>
      <w:r>
        <w:t xml:space="preserve">Rashad </w:t>
      </w:r>
      <w:proofErr w:type="spellStart"/>
      <w:r>
        <w:t>Allahverdiyev</w:t>
      </w:r>
      <w:proofErr w:type="spellEnd"/>
      <w:r>
        <w:t xml:space="preserve"> (Azerbaijan)</w:t>
      </w:r>
    </w:p>
    <w:p w:rsidR="00067937" w:rsidRDefault="00067937" w:rsidP="00067937">
      <w:pPr>
        <w:pStyle w:val="Normalnumber"/>
        <w:numPr>
          <w:ilvl w:val="1"/>
          <w:numId w:val="39"/>
        </w:numPr>
        <w:tabs>
          <w:tab w:val="left" w:pos="624"/>
        </w:tabs>
      </w:pPr>
      <w:r>
        <w:t>5 members, one per UN region:</w:t>
      </w:r>
    </w:p>
    <w:p w:rsidR="00067937" w:rsidRDefault="00067937" w:rsidP="00067937">
      <w:pPr>
        <w:pStyle w:val="Normalnumber"/>
        <w:numPr>
          <w:ilvl w:val="0"/>
          <w:numId w:val="0"/>
        </w:numPr>
        <w:tabs>
          <w:tab w:val="left" w:pos="2430"/>
        </w:tabs>
        <w:ind w:left="2430"/>
      </w:pPr>
      <w:r>
        <w:t>Helena Nader (Brazil)</w:t>
      </w:r>
    </w:p>
    <w:p w:rsidR="00067937" w:rsidRDefault="00067937" w:rsidP="00067937">
      <w:pPr>
        <w:pStyle w:val="Normalnumber"/>
        <w:numPr>
          <w:ilvl w:val="0"/>
          <w:numId w:val="0"/>
        </w:numPr>
        <w:tabs>
          <w:tab w:val="left" w:pos="2430"/>
        </w:tabs>
        <w:ind w:left="2430"/>
      </w:pPr>
      <w:r>
        <w:t>Kevin Joseph Cash (Canada)</w:t>
      </w:r>
    </w:p>
    <w:p w:rsidR="00067937" w:rsidRPr="0093031E" w:rsidRDefault="00067937" w:rsidP="00067937">
      <w:pPr>
        <w:pStyle w:val="Normalnumber"/>
        <w:numPr>
          <w:ilvl w:val="0"/>
          <w:numId w:val="0"/>
        </w:numPr>
        <w:tabs>
          <w:tab w:val="left" w:pos="2430"/>
        </w:tabs>
        <w:ind w:left="2430"/>
      </w:pPr>
      <w:proofErr w:type="spellStart"/>
      <w:r w:rsidRPr="0093031E">
        <w:t>Haigen</w:t>
      </w:r>
      <w:proofErr w:type="spellEnd"/>
      <w:r w:rsidRPr="0093031E">
        <w:t xml:space="preserve"> Xu (China)</w:t>
      </w:r>
    </w:p>
    <w:p w:rsidR="00067937" w:rsidRPr="0093031E" w:rsidRDefault="00067937" w:rsidP="00067937">
      <w:pPr>
        <w:pStyle w:val="Normalnumber"/>
        <w:numPr>
          <w:ilvl w:val="0"/>
          <w:numId w:val="0"/>
        </w:numPr>
        <w:tabs>
          <w:tab w:val="left" w:pos="2430"/>
        </w:tabs>
        <w:ind w:left="2430"/>
      </w:pPr>
      <w:proofErr w:type="spellStart"/>
      <w:r w:rsidRPr="0093031E">
        <w:t>Kaouthar</w:t>
      </w:r>
      <w:proofErr w:type="spellEnd"/>
      <w:r w:rsidRPr="0093031E">
        <w:t xml:space="preserve"> </w:t>
      </w:r>
      <w:proofErr w:type="spellStart"/>
      <w:r w:rsidRPr="0093031E">
        <w:t>Tliche</w:t>
      </w:r>
      <w:proofErr w:type="spellEnd"/>
      <w:r w:rsidRPr="0093031E">
        <w:t xml:space="preserve"> </w:t>
      </w:r>
      <w:proofErr w:type="spellStart"/>
      <w:r w:rsidRPr="0093031E">
        <w:t>Aloui</w:t>
      </w:r>
      <w:proofErr w:type="spellEnd"/>
      <w:r w:rsidRPr="0093031E">
        <w:t xml:space="preserve"> (Tunisia)</w:t>
      </w:r>
    </w:p>
    <w:p w:rsidR="00067937" w:rsidRDefault="00067937" w:rsidP="00067937">
      <w:pPr>
        <w:pStyle w:val="Normalnumber"/>
        <w:numPr>
          <w:ilvl w:val="0"/>
          <w:numId w:val="0"/>
        </w:numPr>
        <w:tabs>
          <w:tab w:val="left" w:pos="2430"/>
        </w:tabs>
        <w:ind w:left="2430"/>
      </w:pPr>
      <w:proofErr w:type="spellStart"/>
      <w:r>
        <w:t>Nilay</w:t>
      </w:r>
      <w:proofErr w:type="spellEnd"/>
      <w:r>
        <w:t xml:space="preserve"> (</w:t>
      </w:r>
      <w:proofErr w:type="spellStart"/>
      <w:r>
        <w:t>Çabuk</w:t>
      </w:r>
      <w:proofErr w:type="spellEnd"/>
      <w:r>
        <w:t>) Kaya (Turkey)</w:t>
      </w:r>
    </w:p>
    <w:p w:rsidR="00067937" w:rsidRDefault="00067937" w:rsidP="00067937">
      <w:pPr>
        <w:pStyle w:val="Normalnumber"/>
        <w:numPr>
          <w:ilvl w:val="1"/>
          <w:numId w:val="38"/>
        </w:numPr>
        <w:tabs>
          <w:tab w:val="left" w:pos="624"/>
        </w:tabs>
      </w:pPr>
      <w:r>
        <w:t>1 legal counsel</w:t>
      </w:r>
    </w:p>
    <w:p w:rsidR="00067937" w:rsidRDefault="00067937" w:rsidP="00067937">
      <w:pPr>
        <w:pStyle w:val="Normalnumber"/>
        <w:numPr>
          <w:ilvl w:val="0"/>
          <w:numId w:val="0"/>
        </w:numPr>
        <w:tabs>
          <w:tab w:val="left" w:pos="2430"/>
        </w:tabs>
        <w:ind w:left="2430"/>
      </w:pPr>
      <w:r>
        <w:t>A legal adviser from the Division of Environmental Law and Conventions, UNEP, is serving as the “additional member with appropriate legal expertise from, and appointed by the organization hosting the secretariat” (Rule 10).</w:t>
      </w:r>
    </w:p>
    <w:p w:rsidR="00067937" w:rsidRPr="00DE288F" w:rsidRDefault="00A27252" w:rsidP="00A27252">
      <w:pPr>
        <w:pStyle w:val="CH2"/>
      </w:pPr>
      <w:r>
        <w:tab/>
      </w:r>
      <w:r>
        <w:tab/>
      </w:r>
      <w:r w:rsidR="00067937" w:rsidRPr="00DE288F">
        <w:t>Actions taken</w:t>
      </w:r>
    </w:p>
    <w:p w:rsidR="00067937" w:rsidRPr="00A27252" w:rsidRDefault="00067937" w:rsidP="00A27252">
      <w:pPr>
        <w:pStyle w:val="Normalnumber"/>
        <w:numPr>
          <w:ilvl w:val="0"/>
          <w:numId w:val="39"/>
        </w:numPr>
      </w:pPr>
      <w:r w:rsidRPr="00A27252">
        <w:t>All relevant individuals (new Bureau members, technical support unit’s professional staff and all experts) were invited by the Secretariat to submit disclosure forms electronically through an online form (appendix to annex II to decision IPBES-3/3).</w:t>
      </w:r>
    </w:p>
    <w:p w:rsidR="00067937" w:rsidRDefault="00067937" w:rsidP="00A27252">
      <w:pPr>
        <w:pStyle w:val="Normalnumber"/>
        <w:numPr>
          <w:ilvl w:val="0"/>
          <w:numId w:val="39"/>
        </w:numPr>
      </w:pPr>
      <w:r>
        <w:t>The following complements were included in the disclosure form, as in previous year:</w:t>
      </w:r>
    </w:p>
    <w:p w:rsidR="00067937" w:rsidRPr="00A27252" w:rsidRDefault="00067937" w:rsidP="00A27252">
      <w:pPr>
        <w:pStyle w:val="Normalnumber"/>
        <w:numPr>
          <w:ilvl w:val="2"/>
          <w:numId w:val="37"/>
        </w:numPr>
      </w:pPr>
      <w:r w:rsidRPr="00A27252">
        <w:t>Current employer (singular) was replaced with current employers (plural);</w:t>
      </w:r>
    </w:p>
    <w:p w:rsidR="00067937" w:rsidRPr="00A27252" w:rsidRDefault="00067937" w:rsidP="00A27252">
      <w:pPr>
        <w:pStyle w:val="Normalnumber"/>
        <w:numPr>
          <w:ilvl w:val="2"/>
          <w:numId w:val="37"/>
        </w:numPr>
      </w:pPr>
      <w:r w:rsidRPr="00A27252">
        <w:t>A note on question 2 was provided to request experts to list all current sources of funding for research and consultancies in their response to question 2 of the form.</w:t>
      </w:r>
    </w:p>
    <w:p w:rsidR="00067937" w:rsidRDefault="00067937" w:rsidP="00A27252">
      <w:pPr>
        <w:pStyle w:val="Normalnumber"/>
        <w:numPr>
          <w:ilvl w:val="0"/>
          <w:numId w:val="39"/>
        </w:numPr>
      </w:pPr>
      <w:r>
        <w:t>The secretariat compiled all responses received and submitted to Committee members a summary spreadsheet of all submissions asking whether any conflict was identified;</w:t>
      </w:r>
    </w:p>
    <w:p w:rsidR="00067937" w:rsidRDefault="00067937" w:rsidP="00A27252">
      <w:pPr>
        <w:pStyle w:val="Normalnumber"/>
        <w:numPr>
          <w:ilvl w:val="0"/>
          <w:numId w:val="39"/>
        </w:numPr>
      </w:pPr>
      <w:r>
        <w:t xml:space="preserve">Experts were required to submit a disclosure form for each deliverable they are involved in, in situations where they contribute to several deliverables. </w:t>
      </w:r>
    </w:p>
    <w:p w:rsidR="00067937" w:rsidRDefault="00067937" w:rsidP="00A27252">
      <w:pPr>
        <w:pStyle w:val="Normalnumber"/>
        <w:numPr>
          <w:ilvl w:val="0"/>
          <w:numId w:val="39"/>
        </w:numPr>
      </w:pPr>
      <w:r>
        <w:t xml:space="preserve">The Committee reviewed the compiled information, which on </w:t>
      </w:r>
      <w:r w:rsidRPr="008B68D3">
        <w:t>25 January</w:t>
      </w:r>
      <w:r>
        <w:t xml:space="preserve"> 2016 corresponded to about</w:t>
      </w:r>
      <w:r w:rsidRPr="00DE288F">
        <w:t xml:space="preserve"> </w:t>
      </w:r>
      <w:r>
        <w:t xml:space="preserve">77% of the expected disclosure forms. No teleconference was organised because no conflict was signalled either by an expert, or by a member of the Committee. </w:t>
      </w:r>
    </w:p>
    <w:p w:rsidR="00067937" w:rsidRDefault="00067937" w:rsidP="00A27252">
      <w:pPr>
        <w:pStyle w:val="Normalnumber"/>
        <w:numPr>
          <w:ilvl w:val="0"/>
          <w:numId w:val="39"/>
        </w:numPr>
      </w:pPr>
      <w:r>
        <w:t>The secretariat will actively seek to receive the remainder of the forms.</w:t>
      </w:r>
    </w:p>
    <w:p w:rsidR="00067937" w:rsidRPr="00633543" w:rsidRDefault="00067937" w:rsidP="00067937">
      <w:pPr>
        <w:pStyle w:val="Normalnumber"/>
        <w:numPr>
          <w:ilvl w:val="0"/>
          <w:numId w:val="39"/>
        </w:numPr>
      </w:pPr>
      <w:r>
        <w:t>The</w:t>
      </w:r>
      <w:r w:rsidRPr="009E5833">
        <w:t xml:space="preserve"> Committee sent to the </w:t>
      </w:r>
      <w:r>
        <w:t>Secretariat</w:t>
      </w:r>
      <w:r w:rsidRPr="009E5833">
        <w:t xml:space="preserve"> the </w:t>
      </w:r>
      <w:r>
        <w:t>letter set out in the appendix below for submission to the Plenary</w:t>
      </w:r>
      <w:r w:rsidRPr="009E5833">
        <w:t>. Th</w:t>
      </w:r>
      <w:r>
        <w:t>e</w:t>
      </w:r>
      <w:r w:rsidRPr="009E5833">
        <w:t xml:space="preserve"> </w:t>
      </w:r>
      <w:r>
        <w:t xml:space="preserve">letter </w:t>
      </w:r>
      <w:r w:rsidRPr="009E5833">
        <w:t xml:space="preserve">constitutes the </w:t>
      </w:r>
      <w:r>
        <w:t xml:space="preserve">Committee’s </w:t>
      </w:r>
      <w:r w:rsidRPr="009E5833">
        <w:t>report on its activities</w:t>
      </w:r>
      <w:r>
        <w:t xml:space="preserve"> and is being submitted to the Plenary for information, pursuant to r</w:t>
      </w:r>
      <w:r w:rsidRPr="009E5833">
        <w:t>ule 10, paragraph 5</w:t>
      </w:r>
      <w:r>
        <w:t xml:space="preserve">, of the conflict of interest policy, according to which </w:t>
      </w:r>
      <w:r w:rsidRPr="009E5833">
        <w:t>the Committee will submit a report on its activities to the Plenary at least four weeks prior to each session</w:t>
      </w:r>
      <w:r>
        <w:t xml:space="preserve"> of the Plenary</w:t>
      </w:r>
      <w:r w:rsidRPr="009E5833">
        <w:t>.</w:t>
      </w:r>
      <w:r>
        <w:t xml:space="preserve"> </w:t>
      </w:r>
    </w:p>
    <w:p w:rsidR="00067937" w:rsidRPr="00737839" w:rsidRDefault="00A27252" w:rsidP="00A27252">
      <w:pPr>
        <w:pStyle w:val="CH2"/>
      </w:pPr>
      <w:r>
        <w:lastRenderedPageBreak/>
        <w:tab/>
      </w:r>
      <w:r>
        <w:tab/>
      </w:r>
      <w:r w:rsidR="00067937" w:rsidRPr="00737839">
        <w:t>Appendix</w:t>
      </w:r>
    </w:p>
    <w:p w:rsidR="00067937" w:rsidRPr="00CC612A" w:rsidRDefault="00A27252" w:rsidP="00A27252">
      <w:pPr>
        <w:pStyle w:val="CH2"/>
      </w:pPr>
      <w:r>
        <w:tab/>
      </w:r>
      <w:r>
        <w:tab/>
      </w:r>
      <w:r w:rsidR="00067937" w:rsidRPr="00CC612A">
        <w:t xml:space="preserve">Report of the Committee on </w:t>
      </w:r>
      <w:r w:rsidR="00067937">
        <w:t>C</w:t>
      </w:r>
      <w:r w:rsidR="00067937" w:rsidRPr="00CC612A">
        <w:t>onflict</w:t>
      </w:r>
      <w:r w:rsidR="00067937">
        <w:t>s</w:t>
      </w:r>
      <w:r w:rsidR="00067937" w:rsidRPr="00CC612A">
        <w:t xml:space="preserve"> of </w:t>
      </w:r>
      <w:r w:rsidR="00067937">
        <w:t>I</w:t>
      </w:r>
      <w:r w:rsidR="00067937" w:rsidRPr="00CC612A">
        <w:t>nterest</w:t>
      </w:r>
      <w:r w:rsidR="00067937">
        <w:t xml:space="preserve"> to the Plenary on its activities</w:t>
      </w:r>
    </w:p>
    <w:p w:rsidR="00067937" w:rsidRPr="009E5833" w:rsidRDefault="00067937" w:rsidP="00A27252">
      <w:pPr>
        <w:spacing w:after="120"/>
        <w:ind w:left="1247"/>
      </w:pPr>
      <w:r w:rsidRPr="009E5833">
        <w:t xml:space="preserve">Dear </w:t>
      </w:r>
      <w:r>
        <w:t>Governments and Observers</w:t>
      </w:r>
    </w:p>
    <w:p w:rsidR="00067937" w:rsidRPr="009E5833" w:rsidRDefault="00067937" w:rsidP="00A27252">
      <w:pPr>
        <w:tabs>
          <w:tab w:val="left" w:pos="624"/>
        </w:tabs>
        <w:spacing w:after="120"/>
        <w:ind w:left="1247" w:firstLine="624"/>
      </w:pPr>
      <w:r w:rsidRPr="008B68D3">
        <w:t>The Conflicts of interest Committee has reviewed all conflict of interest forms submitted to date (January 25, 2017), i.e., 1065 submissions.</w:t>
      </w:r>
    </w:p>
    <w:p w:rsidR="00067937" w:rsidRPr="009E5833" w:rsidRDefault="00067937" w:rsidP="00A27252">
      <w:pPr>
        <w:tabs>
          <w:tab w:val="left" w:pos="624"/>
        </w:tabs>
        <w:spacing w:after="120"/>
        <w:ind w:left="1247" w:firstLine="624"/>
      </w:pPr>
      <w:r w:rsidRPr="009E5833">
        <w:t xml:space="preserve">When examining an individual’s Conflict of </w:t>
      </w:r>
      <w:r>
        <w:t>i</w:t>
      </w:r>
      <w:r w:rsidRPr="009E5833">
        <w:t>nterest (COI) form, the Committee spent considerable time differentiating between “biases” and “conflict of interest”.  The IPBES Plenary (Annex II of Decision IP</w:t>
      </w:r>
      <w:r>
        <w:t>BES-3/3) defined a conflict of i</w:t>
      </w:r>
      <w:r w:rsidRPr="009E5833">
        <w:t xml:space="preserve">nterest as any current interest of an individual that could either: (i) significantly impair the individual’s objectivity in carrying out his or her duties and responsibilities for the Platform, or (ii) create an unfair advantage for any person or organization. Whereas </w:t>
      </w:r>
      <w:r>
        <w:t>b</w:t>
      </w:r>
      <w:r w:rsidRPr="009E5833">
        <w:t>ias, as defined in the IPBES policy on COI, refers to a point of view or perspective that is strongly held by an individual regarding a particular issue or set of issues.</w:t>
      </w:r>
    </w:p>
    <w:p w:rsidR="00067937" w:rsidRPr="008B68D3" w:rsidRDefault="00067937" w:rsidP="00A27252">
      <w:pPr>
        <w:tabs>
          <w:tab w:val="left" w:pos="624"/>
        </w:tabs>
        <w:spacing w:after="120"/>
        <w:ind w:left="1247" w:firstLine="624"/>
      </w:pPr>
      <w:r w:rsidRPr="009E5833">
        <w:t>The strength of IPBES is to ensure that the experts involved in preparing the assessment reports (co-chairs, coordinating lead authors, lead authors and review editors) represent a wide range of experiences, views and perspectives.  The Committee recognized that all e</w:t>
      </w:r>
      <w:r>
        <w:t>xperts, whether from academia, g</w:t>
      </w:r>
      <w:r w:rsidRPr="009E5833">
        <w:t xml:space="preserve">overnment, private sector or NGOs, have biases. This is part of human nature.  As noted in the COI policy, bias is managed through the selection of experts with a balance of perspectives, and through the peer </w:t>
      </w:r>
      <w:r w:rsidRPr="008B68D3">
        <w:t xml:space="preserve">review process.  </w:t>
      </w:r>
    </w:p>
    <w:p w:rsidR="00067937" w:rsidRPr="009E5833" w:rsidRDefault="00067937" w:rsidP="00A27252">
      <w:pPr>
        <w:tabs>
          <w:tab w:val="left" w:pos="624"/>
        </w:tabs>
        <w:spacing w:after="120"/>
        <w:ind w:left="1247" w:firstLine="624"/>
      </w:pPr>
      <w:r w:rsidRPr="008B68D3">
        <w:t>The Committee reviewed all new forms since the last review and noted that none had signalled a conflict of interest.</w:t>
      </w:r>
    </w:p>
    <w:p w:rsidR="00067937" w:rsidRPr="009E5833" w:rsidRDefault="00067937" w:rsidP="00A27252">
      <w:pPr>
        <w:tabs>
          <w:tab w:val="left" w:pos="624"/>
        </w:tabs>
        <w:spacing w:after="120"/>
        <w:ind w:left="1247" w:firstLine="624"/>
      </w:pPr>
      <w:r w:rsidRPr="009E5833">
        <w:t xml:space="preserve">The Committee did not find any conflicts of interests as defined in Annex II of Decision </w:t>
      </w:r>
      <w:r>
        <w:br/>
      </w:r>
      <w:r w:rsidRPr="009E5833">
        <w:t>IPBES-3/3.</w:t>
      </w:r>
    </w:p>
    <w:p w:rsidR="00067937" w:rsidRDefault="00067937" w:rsidP="00A27252">
      <w:pPr>
        <w:tabs>
          <w:tab w:val="left" w:pos="624"/>
        </w:tabs>
        <w:spacing w:after="120"/>
        <w:ind w:left="1247" w:firstLine="624"/>
      </w:pPr>
      <w:r w:rsidRPr="009E5833">
        <w:t xml:space="preserve">The Committee noted that as of </w:t>
      </w:r>
      <w:r>
        <w:t>January 25, 2017</w:t>
      </w:r>
      <w:r w:rsidRPr="009E5833">
        <w:t xml:space="preserve"> the secretariat </w:t>
      </w:r>
      <w:r>
        <w:t>was missing 62 COI forms</w:t>
      </w:r>
      <w:r w:rsidRPr="009E5833">
        <w:t xml:space="preserve">.  Given </w:t>
      </w:r>
      <w:r>
        <w:t xml:space="preserve">the fact </w:t>
      </w:r>
      <w:r w:rsidRPr="009E5833">
        <w:t xml:space="preserve">that the COI policy requires </w:t>
      </w:r>
      <w:r>
        <w:t>senior leadership of the Platform and authors with responsibility for report content</w:t>
      </w:r>
      <w:r w:rsidRPr="009E5833">
        <w:t xml:space="preserve"> to submit a COI form, the Committee exhorts the secretariat to remind all </w:t>
      </w:r>
      <w:r>
        <w:t xml:space="preserve">relevant </w:t>
      </w:r>
      <w:r w:rsidRPr="009E5833">
        <w:t>experts that a condition of being involved in an IPBES activity is submission of a COI form, otherwise their participation will not be permitted and their involvement terminated.</w:t>
      </w:r>
    </w:p>
    <w:p w:rsidR="00067937" w:rsidRDefault="00067937" w:rsidP="00A27252">
      <w:pPr>
        <w:tabs>
          <w:tab w:val="left" w:pos="624"/>
        </w:tabs>
        <w:spacing w:after="120"/>
        <w:ind w:left="1247" w:firstLine="624"/>
      </w:pPr>
      <w:r>
        <w:t xml:space="preserve">Alfred Oteng-Yeboah </w:t>
      </w:r>
    </w:p>
    <w:p w:rsidR="00067937" w:rsidRDefault="00067937" w:rsidP="00A27252">
      <w:pPr>
        <w:tabs>
          <w:tab w:val="left" w:pos="624"/>
        </w:tabs>
        <w:spacing w:after="120"/>
        <w:ind w:left="1247" w:firstLine="624"/>
      </w:pPr>
      <w:r>
        <w:t>Chair of the Committee on conflict of interest</w:t>
      </w:r>
    </w:p>
    <w:p w:rsidR="00067937" w:rsidRDefault="00067937" w:rsidP="00A27252">
      <w:pPr>
        <w:tabs>
          <w:tab w:val="left" w:pos="624"/>
        </w:tabs>
        <w:spacing w:after="120"/>
        <w:ind w:left="1247" w:firstLine="624"/>
      </w:pPr>
      <w:r>
        <w:t>On behalf of the Committee</w:t>
      </w:r>
    </w:p>
    <w:tbl>
      <w:tblPr>
        <w:tblW w:w="0" w:type="auto"/>
        <w:tblLook w:val="04A0" w:firstRow="1" w:lastRow="0" w:firstColumn="1" w:lastColumn="0" w:noHBand="0" w:noVBand="1"/>
      </w:tblPr>
      <w:tblGrid>
        <w:gridCol w:w="1943"/>
        <w:gridCol w:w="1942"/>
        <w:gridCol w:w="1942"/>
        <w:gridCol w:w="1942"/>
        <w:gridCol w:w="1943"/>
      </w:tblGrid>
      <w:tr w:rsidR="00067937" w:rsidTr="00A27252">
        <w:tc>
          <w:tcPr>
            <w:tcW w:w="1943" w:type="dxa"/>
            <w:shd w:val="clear" w:color="auto" w:fill="auto"/>
          </w:tcPr>
          <w:p w:rsidR="00067937" w:rsidRDefault="00067937" w:rsidP="00A27252">
            <w:pPr>
              <w:spacing w:before="520"/>
            </w:pPr>
          </w:p>
        </w:tc>
        <w:tc>
          <w:tcPr>
            <w:tcW w:w="1942" w:type="dxa"/>
            <w:shd w:val="clear" w:color="auto" w:fill="auto"/>
          </w:tcPr>
          <w:p w:rsidR="00067937" w:rsidRDefault="00067937" w:rsidP="00A27252">
            <w:pPr>
              <w:spacing w:before="520"/>
            </w:pPr>
          </w:p>
        </w:tc>
        <w:tc>
          <w:tcPr>
            <w:tcW w:w="1942" w:type="dxa"/>
            <w:tcBorders>
              <w:bottom w:val="single" w:sz="4" w:space="0" w:color="auto"/>
            </w:tcBorders>
            <w:shd w:val="clear" w:color="auto" w:fill="auto"/>
          </w:tcPr>
          <w:p w:rsidR="00067937" w:rsidRDefault="00067937" w:rsidP="00A27252">
            <w:pPr>
              <w:spacing w:before="520"/>
            </w:pPr>
          </w:p>
        </w:tc>
        <w:tc>
          <w:tcPr>
            <w:tcW w:w="1942" w:type="dxa"/>
            <w:shd w:val="clear" w:color="auto" w:fill="auto"/>
          </w:tcPr>
          <w:p w:rsidR="00067937" w:rsidRDefault="00067937" w:rsidP="00A27252">
            <w:pPr>
              <w:spacing w:before="520"/>
            </w:pPr>
          </w:p>
        </w:tc>
        <w:tc>
          <w:tcPr>
            <w:tcW w:w="1943" w:type="dxa"/>
            <w:shd w:val="clear" w:color="auto" w:fill="auto"/>
          </w:tcPr>
          <w:p w:rsidR="00067937" w:rsidRDefault="00067937" w:rsidP="00A27252">
            <w:pPr>
              <w:spacing w:before="520"/>
            </w:pPr>
          </w:p>
        </w:tc>
      </w:tr>
    </w:tbl>
    <w:p w:rsidR="00067937" w:rsidRDefault="00067937" w:rsidP="00A27252"/>
    <w:sectPr w:rsidR="00067937" w:rsidSect="00A27252">
      <w:headerReference w:type="even" r:id="rId14"/>
      <w:headerReference w:type="default" r:id="rId15"/>
      <w:footerReference w:type="even" r:id="rId16"/>
      <w:footerReference w:type="defaul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D03" w:rsidRDefault="00F12D03">
      <w:r>
        <w:separator/>
      </w:r>
    </w:p>
  </w:endnote>
  <w:endnote w:type="continuationSeparator" w:id="0">
    <w:p w:rsidR="00F12D03" w:rsidRDefault="00F1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5D" w:rsidRDefault="00902D5D">
    <w:pPr>
      <w:pStyle w:val="Footer"/>
    </w:pPr>
    <w:r>
      <w:rPr>
        <w:rStyle w:val="PageNumber"/>
      </w:rPr>
      <w:fldChar w:fldCharType="begin"/>
    </w:r>
    <w:r>
      <w:rPr>
        <w:rStyle w:val="PageNumber"/>
      </w:rPr>
      <w:instrText xml:space="preserve"> PAGE </w:instrText>
    </w:r>
    <w:r>
      <w:rPr>
        <w:rStyle w:val="PageNumber"/>
      </w:rPr>
      <w:fldChar w:fldCharType="separate"/>
    </w:r>
    <w:r w:rsidR="00A1039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5D" w:rsidRDefault="00902D5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10398">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5D" w:rsidRDefault="00902D5D" w:rsidP="00A27252">
    <w:pPr>
      <w:pStyle w:val="Footer"/>
      <w:tabs>
        <w:tab w:val="clear" w:pos="4320"/>
        <w:tab w:val="clear" w:pos="8640"/>
        <w:tab w:val="left" w:pos="624"/>
      </w:tabs>
    </w:pPr>
    <w:r>
      <w:t>K1700485</w:t>
    </w:r>
    <w:r>
      <w:tab/>
    </w:r>
    <w:r w:rsidR="0093031E">
      <w:t>0602</w:t>
    </w:r>
    <w: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D03" w:rsidRDefault="00F12D03" w:rsidP="001E038A">
      <w:pPr>
        <w:spacing w:before="60"/>
        <w:ind w:left="624"/>
      </w:pPr>
      <w:r>
        <w:separator/>
      </w:r>
    </w:p>
  </w:footnote>
  <w:footnote w:type="continuationSeparator" w:id="0">
    <w:p w:rsidR="00F12D03" w:rsidRDefault="00F12D03">
      <w:r>
        <w:continuationSeparator/>
      </w:r>
    </w:p>
  </w:footnote>
  <w:footnote w:id="1">
    <w:p w:rsidR="00902D5D" w:rsidRPr="00572C2B" w:rsidRDefault="00902D5D" w:rsidP="001E038A">
      <w:pPr>
        <w:pStyle w:val="FootnoteText"/>
        <w:tabs>
          <w:tab w:val="left" w:pos="624"/>
        </w:tabs>
        <w:ind w:right="57"/>
        <w:rPr>
          <w:szCs w:val="18"/>
        </w:rPr>
      </w:pPr>
      <w:r w:rsidRPr="001E038A">
        <w:rPr>
          <w:rStyle w:val="FootnoteReference"/>
          <w:spacing w:val="5"/>
          <w:w w:val="104"/>
          <w:vertAlign w:val="baseline"/>
        </w:rPr>
        <w:t>*</w:t>
      </w:r>
      <w:r w:rsidRPr="001E038A">
        <w:rPr>
          <w:szCs w:val="18"/>
        </w:rPr>
        <w:t xml:space="preserve"> </w:t>
      </w:r>
      <w:r>
        <w:rPr>
          <w:szCs w:val="18"/>
        </w:rPr>
        <w:t>IPBES/5</w:t>
      </w:r>
      <w:r w:rsidRPr="00C30A44">
        <w:rPr>
          <w:szCs w:val="18"/>
        </w:rPr>
        <w:t>/1</w:t>
      </w:r>
      <w:r>
        <w:rPr>
          <w:szCs w:val="18"/>
        </w:rPr>
        <w:t>/Rev.1.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5D" w:rsidRPr="00A27252" w:rsidRDefault="00902D5D" w:rsidP="00A27252">
    <w:pPr>
      <w:pStyle w:val="Header"/>
      <w:rPr>
        <w:szCs w:val="18"/>
      </w:rPr>
    </w:pPr>
    <w:r w:rsidRPr="00A27252">
      <w:rPr>
        <w:rFonts w:eastAsia="Times New Roman"/>
        <w:szCs w:val="18"/>
      </w:rPr>
      <w:t>IPBES/5/INF/19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5D" w:rsidRPr="00A27252" w:rsidRDefault="00902D5D" w:rsidP="00A27252">
    <w:pPr>
      <w:pStyle w:val="Header"/>
      <w:jc w:val="right"/>
      <w:rPr>
        <w:szCs w:val="18"/>
      </w:rPr>
    </w:pPr>
    <w:r w:rsidRPr="00A27252">
      <w:rPr>
        <w:rFonts w:eastAsia="Times New Roman"/>
        <w:szCs w:val="18"/>
      </w:rPr>
      <w:t>IPBES/5/INF/19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361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62D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4248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D01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2A7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8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2C4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4D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02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855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F5212"/>
    <w:multiLevelType w:val="hybridMultilevel"/>
    <w:tmpl w:val="EE2CCD92"/>
    <w:lvl w:ilvl="0" w:tplc="0B505B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C6981"/>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CBD647A"/>
    <w:multiLevelType w:val="hybridMultilevel"/>
    <w:tmpl w:val="BFC8F32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3" w15:restartNumberingAfterBreak="0">
    <w:nsid w:val="12685253"/>
    <w:multiLevelType w:val="hybridMultilevel"/>
    <w:tmpl w:val="244E0C74"/>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4" w15:restartNumberingAfterBreak="0">
    <w:nsid w:val="148D24A2"/>
    <w:multiLevelType w:val="hybridMultilevel"/>
    <w:tmpl w:val="3E76C9F2"/>
    <w:lvl w:ilvl="0" w:tplc="B3C62E8C">
      <w:start w:val="3"/>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5" w15:restartNumberingAfterBreak="0">
    <w:nsid w:val="152A22B2"/>
    <w:multiLevelType w:val="hybridMultilevel"/>
    <w:tmpl w:val="A10A66D0"/>
    <w:lvl w:ilvl="0" w:tplc="C318E702">
      <w:start w:val="1"/>
      <w:numFmt w:val="decimal"/>
      <w:lvlText w:val="%1"/>
      <w:lvlJc w:val="right"/>
      <w:pPr>
        <w:tabs>
          <w:tab w:val="num" w:pos="1146"/>
        </w:tabs>
        <w:ind w:left="1146" w:hanging="720"/>
      </w:pPr>
      <w:rPr>
        <w:rFonts w:ascii="Times New Roman" w:hAnsi="Times New Roman" w:hint="default"/>
        <w:sz w:val="16"/>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6" w15:restartNumberingAfterBreak="0">
    <w:nsid w:val="171113A7"/>
    <w:multiLevelType w:val="multilevel"/>
    <w:tmpl w:val="48241D10"/>
    <w:numStyleLink w:val="Normallist"/>
  </w:abstractNum>
  <w:abstractNum w:abstractNumId="1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8" w15:restartNumberingAfterBreak="0">
    <w:nsid w:val="1DA33D8C"/>
    <w:multiLevelType w:val="multilevel"/>
    <w:tmpl w:val="040C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9D92754"/>
    <w:multiLevelType w:val="hybridMultilevel"/>
    <w:tmpl w:val="ECBA1E6C"/>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0" w15:restartNumberingAfterBreak="0">
    <w:nsid w:val="2C3B0D05"/>
    <w:multiLevelType w:val="hybridMultilevel"/>
    <w:tmpl w:val="C0227916"/>
    <w:lvl w:ilvl="0" w:tplc="FFFFFFFF">
      <w:start w:val="1"/>
      <w:numFmt w:val="upperLetter"/>
      <w:lvlText w:val="%1."/>
      <w:lvlJc w:val="left"/>
      <w:pPr>
        <w:tabs>
          <w:tab w:val="num" w:pos="1239"/>
        </w:tabs>
        <w:ind w:left="1239" w:hanging="615"/>
      </w:pPr>
      <w:rPr>
        <w:rFonts w:hint="default"/>
      </w:rPr>
    </w:lvl>
    <w:lvl w:ilvl="1" w:tplc="FFFFFFFF" w:tentative="1">
      <w:start w:val="1"/>
      <w:numFmt w:val="lowerLetter"/>
      <w:lvlText w:val="%2."/>
      <w:lvlJc w:val="left"/>
      <w:pPr>
        <w:tabs>
          <w:tab w:val="num" w:pos="1704"/>
        </w:tabs>
        <w:ind w:left="1704" w:hanging="360"/>
      </w:pPr>
    </w:lvl>
    <w:lvl w:ilvl="2" w:tplc="FFFFFFFF" w:tentative="1">
      <w:start w:val="1"/>
      <w:numFmt w:val="lowerRoman"/>
      <w:lvlText w:val="%3."/>
      <w:lvlJc w:val="right"/>
      <w:pPr>
        <w:tabs>
          <w:tab w:val="num" w:pos="2424"/>
        </w:tabs>
        <w:ind w:left="2424" w:hanging="180"/>
      </w:pPr>
    </w:lvl>
    <w:lvl w:ilvl="3" w:tplc="FFFFFFFF" w:tentative="1">
      <w:start w:val="1"/>
      <w:numFmt w:val="decimal"/>
      <w:lvlText w:val="%4."/>
      <w:lvlJc w:val="left"/>
      <w:pPr>
        <w:tabs>
          <w:tab w:val="num" w:pos="3144"/>
        </w:tabs>
        <w:ind w:left="3144" w:hanging="360"/>
      </w:pPr>
    </w:lvl>
    <w:lvl w:ilvl="4" w:tplc="FFFFFFFF" w:tentative="1">
      <w:start w:val="1"/>
      <w:numFmt w:val="lowerLetter"/>
      <w:lvlText w:val="%5."/>
      <w:lvlJc w:val="left"/>
      <w:pPr>
        <w:tabs>
          <w:tab w:val="num" w:pos="3864"/>
        </w:tabs>
        <w:ind w:left="3864" w:hanging="360"/>
      </w:pPr>
    </w:lvl>
    <w:lvl w:ilvl="5" w:tplc="FFFFFFFF" w:tentative="1">
      <w:start w:val="1"/>
      <w:numFmt w:val="lowerRoman"/>
      <w:lvlText w:val="%6."/>
      <w:lvlJc w:val="right"/>
      <w:pPr>
        <w:tabs>
          <w:tab w:val="num" w:pos="4584"/>
        </w:tabs>
        <w:ind w:left="4584" w:hanging="180"/>
      </w:pPr>
    </w:lvl>
    <w:lvl w:ilvl="6" w:tplc="FFFFFFFF" w:tentative="1">
      <w:start w:val="1"/>
      <w:numFmt w:val="decimal"/>
      <w:lvlText w:val="%7."/>
      <w:lvlJc w:val="left"/>
      <w:pPr>
        <w:tabs>
          <w:tab w:val="num" w:pos="5304"/>
        </w:tabs>
        <w:ind w:left="5304" w:hanging="360"/>
      </w:pPr>
    </w:lvl>
    <w:lvl w:ilvl="7" w:tplc="FFFFFFFF" w:tentative="1">
      <w:start w:val="1"/>
      <w:numFmt w:val="lowerLetter"/>
      <w:lvlText w:val="%8."/>
      <w:lvlJc w:val="left"/>
      <w:pPr>
        <w:tabs>
          <w:tab w:val="num" w:pos="6024"/>
        </w:tabs>
        <w:ind w:left="6024" w:hanging="360"/>
      </w:pPr>
    </w:lvl>
    <w:lvl w:ilvl="8" w:tplc="FFFFFFFF" w:tentative="1">
      <w:start w:val="1"/>
      <w:numFmt w:val="lowerRoman"/>
      <w:lvlText w:val="%9."/>
      <w:lvlJc w:val="right"/>
      <w:pPr>
        <w:tabs>
          <w:tab w:val="num" w:pos="6744"/>
        </w:tabs>
        <w:ind w:left="6744"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DAD6749"/>
    <w:multiLevelType w:val="multilevel"/>
    <w:tmpl w:val="6C6ABE72"/>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3" w15:restartNumberingAfterBreak="0">
    <w:nsid w:val="3DC2761C"/>
    <w:multiLevelType w:val="multilevel"/>
    <w:tmpl w:val="244E0C74"/>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24" w15:restartNumberingAfterBreak="0">
    <w:nsid w:val="42FA2D6F"/>
    <w:multiLevelType w:val="multilevel"/>
    <w:tmpl w:val="8DA8D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1B2525"/>
    <w:multiLevelType w:val="hybridMultilevel"/>
    <w:tmpl w:val="052CB816"/>
    <w:lvl w:ilvl="0" w:tplc="D8D64CD6">
      <w:start w:val="1"/>
      <w:numFmt w:val="upperLetter"/>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6" w15:restartNumberingAfterBreak="0">
    <w:nsid w:val="51C413FE"/>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5ADB42A4"/>
    <w:multiLevelType w:val="hybridMultilevel"/>
    <w:tmpl w:val="814E2BDA"/>
    <w:lvl w:ilvl="0" w:tplc="2D4E6FEE">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9" w15:restartNumberingAfterBreak="0">
    <w:nsid w:val="6A8779C7"/>
    <w:multiLevelType w:val="multilevel"/>
    <w:tmpl w:val="ECBA1E6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0" w15:restartNumberingAfterBreak="0">
    <w:nsid w:val="6CD901C9"/>
    <w:multiLevelType w:val="hybridMultilevel"/>
    <w:tmpl w:val="6C6ABE72"/>
    <w:lvl w:ilvl="0" w:tplc="695EDA44">
      <w:start w:val="1"/>
      <w:numFmt w:val="decimal"/>
      <w:lvlText w:val="%1."/>
      <w:lvlJc w:val="left"/>
      <w:pPr>
        <w:tabs>
          <w:tab w:val="num" w:pos="777"/>
        </w:tabs>
        <w:ind w:left="777" w:hanging="360"/>
      </w:pPr>
      <w:rPr>
        <w:rFonts w:hint="default"/>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1" w15:restartNumberingAfterBreak="0">
    <w:nsid w:val="6E4C3BBB"/>
    <w:multiLevelType w:val="multilevel"/>
    <w:tmpl w:val="BFC8F32C"/>
    <w:lvl w:ilvl="0">
      <w:start w:val="1"/>
      <w:numFmt w:val="decimal"/>
      <w:lvlText w:val="%1."/>
      <w:lvlJc w:val="left"/>
      <w:pPr>
        <w:tabs>
          <w:tab w:val="num" w:pos="777"/>
        </w:tabs>
        <w:ind w:left="777" w:hanging="360"/>
      </w:pPr>
      <w:rPr>
        <w:rFonts w:hint="default"/>
      </w:r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2" w15:restartNumberingAfterBreak="0">
    <w:nsid w:val="74B22DF7"/>
    <w:multiLevelType w:val="hybridMultilevel"/>
    <w:tmpl w:val="0A06C2EA"/>
    <w:lvl w:ilvl="0" w:tplc="EF8C842C">
      <w:start w:val="1"/>
      <w:numFmt w:val="upperRoman"/>
      <w:lvlText w:val="%1."/>
      <w:lvlJc w:val="left"/>
      <w:pPr>
        <w:tabs>
          <w:tab w:val="num" w:pos="1287"/>
        </w:tabs>
        <w:ind w:left="1287" w:hanging="72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3" w15:restartNumberingAfterBreak="0">
    <w:nsid w:val="77443D92"/>
    <w:multiLevelType w:val="hybridMultilevel"/>
    <w:tmpl w:val="154C4DB0"/>
    <w:lvl w:ilvl="0" w:tplc="D53AA31C">
      <w:start w:val="3"/>
      <w:numFmt w:val="decimal"/>
      <w:lvlText w:val="%1."/>
      <w:lvlJc w:val="left"/>
      <w:pPr>
        <w:tabs>
          <w:tab w:val="num" w:pos="1242"/>
        </w:tabs>
        <w:ind w:left="1242" w:hanging="675"/>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num w:numId="1">
    <w:abstractNumId w:val="11"/>
  </w:num>
  <w:num w:numId="2">
    <w:abstractNumId w:val="2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7"/>
  </w:num>
  <w:num w:numId="17">
    <w:abstractNumId w:val="27"/>
  </w:num>
  <w:num w:numId="18">
    <w:abstractNumId w:val="27"/>
  </w:num>
  <w:num w:numId="19">
    <w:abstractNumId w:val="32"/>
  </w:num>
  <w:num w:numId="20">
    <w:abstractNumId w:val="14"/>
  </w:num>
  <w:num w:numId="21">
    <w:abstractNumId w:val="33"/>
  </w:num>
  <w:num w:numId="22">
    <w:abstractNumId w:val="28"/>
  </w:num>
  <w:num w:numId="23">
    <w:abstractNumId w:val="25"/>
  </w:num>
  <w:num w:numId="24">
    <w:abstractNumId w:val="27"/>
  </w:num>
  <w:num w:numId="25">
    <w:abstractNumId w:val="27"/>
  </w:num>
  <w:num w:numId="26">
    <w:abstractNumId w:val="24"/>
  </w:num>
  <w:num w:numId="27">
    <w:abstractNumId w:val="15"/>
  </w:num>
  <w:num w:numId="28">
    <w:abstractNumId w:val="13"/>
  </w:num>
  <w:num w:numId="29">
    <w:abstractNumId w:val="23"/>
  </w:num>
  <w:num w:numId="30">
    <w:abstractNumId w:val="30"/>
  </w:num>
  <w:num w:numId="31">
    <w:abstractNumId w:val="22"/>
  </w:num>
  <w:num w:numId="32">
    <w:abstractNumId w:val="19"/>
  </w:num>
  <w:num w:numId="33">
    <w:abstractNumId w:val="29"/>
  </w:num>
  <w:num w:numId="34">
    <w:abstractNumId w:val="12"/>
  </w:num>
  <w:num w:numId="35">
    <w:abstractNumId w:val="31"/>
  </w:num>
  <w:num w:numId="36">
    <w:abstractNumId w:val="20"/>
  </w:num>
  <w:num w:numId="37">
    <w:abstractNumId w:val="16"/>
  </w:num>
  <w:num w:numId="38">
    <w:abstractNumId w:val="1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9">
    <w:abstractNumId w:val="1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0">
    <w:abstractNumId w:val="10"/>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37"/>
    <w:rsid w:val="000149E6"/>
    <w:rsid w:val="000247B0"/>
    <w:rsid w:val="00026997"/>
    <w:rsid w:val="00033E0B"/>
    <w:rsid w:val="00035EDE"/>
    <w:rsid w:val="000509B4"/>
    <w:rsid w:val="00067937"/>
    <w:rsid w:val="00071886"/>
    <w:rsid w:val="000742BC"/>
    <w:rsid w:val="00082A0C"/>
    <w:rsid w:val="0009640C"/>
    <w:rsid w:val="000D33C0"/>
    <w:rsid w:val="001202E3"/>
    <w:rsid w:val="0013059D"/>
    <w:rsid w:val="00141A55"/>
    <w:rsid w:val="00181EC8"/>
    <w:rsid w:val="00184349"/>
    <w:rsid w:val="001D3874"/>
    <w:rsid w:val="001D7E75"/>
    <w:rsid w:val="001E038A"/>
    <w:rsid w:val="001E56D2"/>
    <w:rsid w:val="001E7D56"/>
    <w:rsid w:val="001F75DE"/>
    <w:rsid w:val="00200D58"/>
    <w:rsid w:val="002013BE"/>
    <w:rsid w:val="002063A4"/>
    <w:rsid w:val="0021145B"/>
    <w:rsid w:val="00247707"/>
    <w:rsid w:val="00286740"/>
    <w:rsid w:val="002929D8"/>
    <w:rsid w:val="002A237D"/>
    <w:rsid w:val="002A4C53"/>
    <w:rsid w:val="002A6864"/>
    <w:rsid w:val="002C145D"/>
    <w:rsid w:val="002C2C3E"/>
    <w:rsid w:val="002C533E"/>
    <w:rsid w:val="002D027F"/>
    <w:rsid w:val="002D7B60"/>
    <w:rsid w:val="002F4761"/>
    <w:rsid w:val="0031413F"/>
    <w:rsid w:val="00343CE5"/>
    <w:rsid w:val="00355EA9"/>
    <w:rsid w:val="00396257"/>
    <w:rsid w:val="00397EB8"/>
    <w:rsid w:val="003A4FD0"/>
    <w:rsid w:val="003A69D1"/>
    <w:rsid w:val="003B1545"/>
    <w:rsid w:val="003C409D"/>
    <w:rsid w:val="003F0E85"/>
    <w:rsid w:val="00410C55"/>
    <w:rsid w:val="00417725"/>
    <w:rsid w:val="00437F26"/>
    <w:rsid w:val="00454769"/>
    <w:rsid w:val="00466991"/>
    <w:rsid w:val="0047064C"/>
    <w:rsid w:val="004C5C96"/>
    <w:rsid w:val="004D06A4"/>
    <w:rsid w:val="004F1A81"/>
    <w:rsid w:val="005218D9"/>
    <w:rsid w:val="00536186"/>
    <w:rsid w:val="0057315F"/>
    <w:rsid w:val="005C67C8"/>
    <w:rsid w:val="005D0249"/>
    <w:rsid w:val="005D5035"/>
    <w:rsid w:val="005F100C"/>
    <w:rsid w:val="006303B4"/>
    <w:rsid w:val="00641703"/>
    <w:rsid w:val="006431A6"/>
    <w:rsid w:val="006471FA"/>
    <w:rsid w:val="006501AD"/>
    <w:rsid w:val="00651BFA"/>
    <w:rsid w:val="00692E2A"/>
    <w:rsid w:val="006A76F2"/>
    <w:rsid w:val="006D79AE"/>
    <w:rsid w:val="006E6722"/>
    <w:rsid w:val="007027B9"/>
    <w:rsid w:val="00715E88"/>
    <w:rsid w:val="00734CAA"/>
    <w:rsid w:val="00757581"/>
    <w:rsid w:val="007A5C12"/>
    <w:rsid w:val="007E003F"/>
    <w:rsid w:val="00830E26"/>
    <w:rsid w:val="00843576"/>
    <w:rsid w:val="00843B64"/>
    <w:rsid w:val="00867BFF"/>
    <w:rsid w:val="0088480A"/>
    <w:rsid w:val="008957DD"/>
    <w:rsid w:val="00897D98"/>
    <w:rsid w:val="008A6DF2"/>
    <w:rsid w:val="008C04CB"/>
    <w:rsid w:val="008D7C99"/>
    <w:rsid w:val="008E0FCB"/>
    <w:rsid w:val="00902D5D"/>
    <w:rsid w:val="0092178C"/>
    <w:rsid w:val="0093031E"/>
    <w:rsid w:val="0094179A"/>
    <w:rsid w:val="0094459E"/>
    <w:rsid w:val="00944DBC"/>
    <w:rsid w:val="00950977"/>
    <w:rsid w:val="009564A6"/>
    <w:rsid w:val="0096667D"/>
    <w:rsid w:val="00970D27"/>
    <w:rsid w:val="0099519B"/>
    <w:rsid w:val="009B4A0F"/>
    <w:rsid w:val="009D0B63"/>
    <w:rsid w:val="00A10398"/>
    <w:rsid w:val="00A1348D"/>
    <w:rsid w:val="00A232EE"/>
    <w:rsid w:val="00A27252"/>
    <w:rsid w:val="00A44411"/>
    <w:rsid w:val="00A469FA"/>
    <w:rsid w:val="00A55B01"/>
    <w:rsid w:val="00A56B5B"/>
    <w:rsid w:val="00A657DD"/>
    <w:rsid w:val="00A666A6"/>
    <w:rsid w:val="00A80611"/>
    <w:rsid w:val="00AB3F35"/>
    <w:rsid w:val="00AB5340"/>
    <w:rsid w:val="00AC7C96"/>
    <w:rsid w:val="00AE237D"/>
    <w:rsid w:val="00AF7C07"/>
    <w:rsid w:val="00B405B7"/>
    <w:rsid w:val="00B6406F"/>
    <w:rsid w:val="00B66901"/>
    <w:rsid w:val="00B71E6D"/>
    <w:rsid w:val="00B72070"/>
    <w:rsid w:val="00B779E1"/>
    <w:rsid w:val="00BA1A67"/>
    <w:rsid w:val="00C163A4"/>
    <w:rsid w:val="00C30C63"/>
    <w:rsid w:val="00C558DA"/>
    <w:rsid w:val="00C84759"/>
    <w:rsid w:val="00CA6C7F"/>
    <w:rsid w:val="00CC10A6"/>
    <w:rsid w:val="00CD7044"/>
    <w:rsid w:val="00CE524C"/>
    <w:rsid w:val="00CF141F"/>
    <w:rsid w:val="00CF4777"/>
    <w:rsid w:val="00D169AF"/>
    <w:rsid w:val="00D25249"/>
    <w:rsid w:val="00D44172"/>
    <w:rsid w:val="00D63B8C"/>
    <w:rsid w:val="00D739CC"/>
    <w:rsid w:val="00D8093D"/>
    <w:rsid w:val="00D8108C"/>
    <w:rsid w:val="00D842AE"/>
    <w:rsid w:val="00D9211C"/>
    <w:rsid w:val="00DA1BCA"/>
    <w:rsid w:val="00DC46FF"/>
    <w:rsid w:val="00DD1A4F"/>
    <w:rsid w:val="00DD4923"/>
    <w:rsid w:val="00DD5CCB"/>
    <w:rsid w:val="00DD7C2C"/>
    <w:rsid w:val="00E06797"/>
    <w:rsid w:val="00E21C83"/>
    <w:rsid w:val="00E46D9A"/>
    <w:rsid w:val="00E565FF"/>
    <w:rsid w:val="00E5676A"/>
    <w:rsid w:val="00E65388"/>
    <w:rsid w:val="00E85B7D"/>
    <w:rsid w:val="00E9121B"/>
    <w:rsid w:val="00EA39E5"/>
    <w:rsid w:val="00EA71A4"/>
    <w:rsid w:val="00EC5A46"/>
    <w:rsid w:val="00EC63E2"/>
    <w:rsid w:val="00EE2F41"/>
    <w:rsid w:val="00EF22B3"/>
    <w:rsid w:val="00F113DA"/>
    <w:rsid w:val="00F12D03"/>
    <w:rsid w:val="00F37DC8"/>
    <w:rsid w:val="00F650C3"/>
    <w:rsid w:val="00F8091E"/>
    <w:rsid w:val="00F8615C"/>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0C8CD9-EFB6-44D7-8B79-92AD4F2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Normal-pool"/>
    <w:qFormat/>
    <w:rsid w:val="00067937"/>
    <w:rPr>
      <w:rFonts w:eastAsia="MS Mincho"/>
      <w:lang w:val="en-GB"/>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 w:val="24"/>
      <w:szCs w:val="24"/>
    </w:rPr>
  </w:style>
  <w:style w:type="paragraph" w:styleId="Heading3">
    <w:name w:val="heading 3"/>
    <w:basedOn w:val="Normal"/>
    <w:next w:val="Normalnumber"/>
    <w:qFormat/>
    <w:rsid w:val="00200D58"/>
    <w:pPr>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sz w:val="24"/>
    </w:rPr>
  </w:style>
  <w:style w:type="paragraph" w:styleId="Heading6">
    <w:name w:val="heading 6"/>
    <w:basedOn w:val="Normal"/>
    <w:next w:val="Normal"/>
    <w:qFormat/>
    <w:rsid w:val="00247707"/>
    <w:pPr>
      <w:keepNext/>
      <w:ind w:left="578"/>
      <w:outlineLvl w:val="5"/>
    </w:pPr>
    <w:rPr>
      <w:b/>
      <w:bCs/>
      <w:sz w:val="24"/>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4"/>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
    <w:next w:val="Normalnumber"/>
    <w:rsid w:val="006303B4"/>
    <w:pPr>
      <w:keepNext/>
      <w:keepLines/>
      <w:tabs>
        <w:tab w:val="right" w:pos="851"/>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s>
      <w:suppressAutoHyphens/>
      <w:spacing w:after="120"/>
      <w:ind w:left="1247" w:right="284" w:hanging="1247"/>
    </w:pPr>
    <w:rPr>
      <w:b/>
    </w:rPr>
  </w:style>
  <w:style w:type="character" w:styleId="FootnoteReference">
    <w:name w:val="footnote reference"/>
    <w:basedOn w:val="DefaultParagraphFont"/>
    <w:uiPriority w:val="99"/>
    <w:rsid w:val="009B4A0F"/>
    <w:rPr>
      <w:rFonts w:ascii="Times New Roman" w:hAnsi="Times New Roman"/>
      <w:color w:val="auto"/>
      <w:sz w:val="20"/>
      <w:szCs w:val="18"/>
      <w:vertAlign w:val="superscript"/>
    </w:rPr>
  </w:style>
  <w:style w:type="paragraph" w:styleId="FootnoteText">
    <w:name w:val="footnote text"/>
    <w:basedOn w:val="Normal"/>
    <w:link w:val="FootnoteTextChar"/>
    <w:uiPriority w:val="99"/>
    <w:rsid w:val="00247707"/>
    <w:pPr>
      <w:spacing w:before="20" w:after="40"/>
      <w:ind w:left="1247"/>
    </w:pPr>
    <w:rPr>
      <w:sz w:val="18"/>
    </w:rPr>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rsid w:val="0009640C"/>
    <w:pPr>
      <w:keepNext/>
      <w:keepLines/>
      <w:suppressAutoHyphens/>
      <w:spacing w:before="320" w:after="240"/>
      <w:ind w:left="1247" w:right="567"/>
    </w:pPr>
    <w:rPr>
      <w:b/>
      <w:sz w:val="28"/>
      <w:szCs w:val="28"/>
    </w:rPr>
  </w:style>
  <w:style w:type="paragraph" w:styleId="Footer">
    <w:name w:val="footer"/>
    <w:aliases w:val="Footer-pool"/>
    <w:basedOn w:val="Normal"/>
    <w:rsid w:val="002A6864"/>
    <w:pPr>
      <w:tabs>
        <w:tab w:val="center" w:pos="4320"/>
        <w:tab w:val="right" w:pos="8640"/>
      </w:tabs>
      <w:spacing w:before="60" w:after="120"/>
    </w:pPr>
  </w:style>
  <w:style w:type="paragraph" w:styleId="Header">
    <w:name w:val="header"/>
    <w:aliases w:val="Header-pool"/>
    <w:basedOn w:val="Normal"/>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16"/>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071886"/>
    <w:pPr>
      <w:numPr>
        <w:numId w:val="37"/>
      </w:numPr>
      <w:spacing w:after="120"/>
    </w:p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character" w:customStyle="1" w:styleId="NormalnumberChar">
    <w:name w:val="Normal_number Char"/>
    <w:link w:val="Normalnumber"/>
    <w:rsid w:val="00067937"/>
    <w:rPr>
      <w:rFonts w:eastAsia="MS Mincho"/>
      <w:lang w:val="en-GB"/>
    </w:rPr>
  </w:style>
  <w:style w:type="character" w:customStyle="1" w:styleId="Normal-poolChar">
    <w:name w:val="Normal-pool Char"/>
    <w:rsid w:val="00067937"/>
    <w:rPr>
      <w:lang w:val="en-GB" w:eastAsia="en-US" w:bidi="ar-SA"/>
    </w:rPr>
  </w:style>
  <w:style w:type="character" w:customStyle="1" w:styleId="CH2Char">
    <w:name w:val="CH2 Char"/>
    <w:link w:val="CH2"/>
    <w:rsid w:val="00067937"/>
    <w:rPr>
      <w:b/>
      <w:sz w:val="24"/>
      <w:szCs w:val="24"/>
      <w:lang w:val="en-GB"/>
    </w:rPr>
  </w:style>
  <w:style w:type="paragraph" w:styleId="Title">
    <w:name w:val="Title"/>
    <w:basedOn w:val="BBTitle"/>
    <w:next w:val="Normal"/>
    <w:link w:val="TitleChar"/>
    <w:qFormat/>
    <w:rsid w:val="00067937"/>
    <w:rPr>
      <w:lang w:val="en-US"/>
    </w:rPr>
  </w:style>
  <w:style w:type="character" w:customStyle="1" w:styleId="TitleChar">
    <w:name w:val="Title Char"/>
    <w:basedOn w:val="DefaultParagraphFont"/>
    <w:link w:val="Title"/>
    <w:rsid w:val="00067937"/>
    <w:rPr>
      <w:b/>
      <w:sz w:val="28"/>
      <w:szCs w:val="28"/>
    </w:rPr>
  </w:style>
  <w:style w:type="character" w:styleId="Emphasis">
    <w:name w:val="Emphasis"/>
    <w:uiPriority w:val="20"/>
    <w:qFormat/>
    <w:rsid w:val="00067937"/>
    <w:rPr>
      <w:i/>
      <w:iCs/>
    </w:rPr>
  </w:style>
  <w:style w:type="character" w:customStyle="1" w:styleId="st">
    <w:name w:val="st"/>
    <w:rsid w:val="00067937"/>
  </w:style>
  <w:style w:type="character" w:customStyle="1" w:styleId="FootnoteTextChar">
    <w:name w:val="Footnote Text Char"/>
    <w:basedOn w:val="DefaultParagraphFont"/>
    <w:link w:val="FootnoteText"/>
    <w:uiPriority w:val="99"/>
    <w:rsid w:val="001E038A"/>
    <w:rPr>
      <w:rFonts w:eastAsia="MS Mincho"/>
      <w:sz w:val="18"/>
      <w:lang w:val="en-GB"/>
    </w:rPr>
  </w:style>
  <w:style w:type="paragraph" w:styleId="BalloonText">
    <w:name w:val="Balloon Text"/>
    <w:basedOn w:val="Normal"/>
    <w:link w:val="BalloonTextChar"/>
    <w:rsid w:val="008C04CB"/>
    <w:rPr>
      <w:rFonts w:ascii="Tahoma" w:hAnsi="Tahoma" w:cs="Tahoma"/>
      <w:sz w:val="16"/>
      <w:szCs w:val="16"/>
    </w:rPr>
  </w:style>
  <w:style w:type="character" w:customStyle="1" w:styleId="BalloonTextChar">
    <w:name w:val="Balloon Text Char"/>
    <w:basedOn w:val="DefaultParagraphFont"/>
    <w:link w:val="BalloonText"/>
    <w:rsid w:val="008C04CB"/>
    <w:rPr>
      <w:rFonts w:ascii="Tahoma" w:eastAsia="MS Mincho" w:hAnsi="Tahoma" w:cs="Tahoma"/>
      <w:sz w:val="16"/>
      <w:szCs w:val="16"/>
      <w:lang w:val="en-GB"/>
    </w:rPr>
  </w:style>
  <w:style w:type="character" w:styleId="CommentReference">
    <w:name w:val="annotation reference"/>
    <w:basedOn w:val="DefaultParagraphFont"/>
    <w:rsid w:val="00AB3F35"/>
    <w:rPr>
      <w:sz w:val="16"/>
      <w:szCs w:val="16"/>
    </w:rPr>
  </w:style>
  <w:style w:type="paragraph" w:styleId="CommentText">
    <w:name w:val="annotation text"/>
    <w:basedOn w:val="Normal"/>
    <w:link w:val="CommentTextChar"/>
    <w:rsid w:val="00AB3F35"/>
  </w:style>
  <w:style w:type="character" w:customStyle="1" w:styleId="CommentTextChar">
    <w:name w:val="Comment Text Char"/>
    <w:basedOn w:val="DefaultParagraphFont"/>
    <w:link w:val="CommentText"/>
    <w:rsid w:val="00AB3F35"/>
    <w:rPr>
      <w:rFonts w:eastAsia="MS Mincho"/>
      <w:lang w:val="en-GB"/>
    </w:rPr>
  </w:style>
  <w:style w:type="paragraph" w:styleId="CommentSubject">
    <w:name w:val="annotation subject"/>
    <w:basedOn w:val="CommentText"/>
    <w:next w:val="CommentText"/>
    <w:link w:val="CommentSubjectChar"/>
    <w:rsid w:val="00AB3F35"/>
    <w:rPr>
      <w:b/>
      <w:bCs/>
    </w:rPr>
  </w:style>
  <w:style w:type="character" w:customStyle="1" w:styleId="CommentSubjectChar">
    <w:name w:val="Comment Subject Char"/>
    <w:basedOn w:val="CommentTextChar"/>
    <w:link w:val="CommentSubject"/>
    <w:rsid w:val="00AB3F35"/>
    <w:rPr>
      <w:rFonts w:eastAsia="MS Mincho"/>
      <w:b/>
      <w:bCs/>
      <w:lang w:val="en-GB"/>
    </w:rPr>
  </w:style>
  <w:style w:type="paragraph" w:styleId="Revision">
    <w:name w:val="Revision"/>
    <w:hidden/>
    <w:uiPriority w:val="99"/>
    <w:semiHidden/>
    <w:rsid w:val="00AB3F35"/>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44AA-7976-41E9-943E-C3DCB558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NATIONS UNIES</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2010-07-07T11:56:00Z</cp:lastPrinted>
  <dcterms:created xsi:type="dcterms:W3CDTF">2017-02-06T20:21:00Z</dcterms:created>
  <dcterms:modified xsi:type="dcterms:W3CDTF">2017-02-06T20:21:00Z</dcterms:modified>
</cp:coreProperties>
</file>