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6E" w:rsidRPr="009A106E" w:rsidRDefault="003A086E" w:rsidP="00CE5293">
      <w:pPr>
        <w:pStyle w:val="Normal-pool"/>
        <w:rPr>
          <w:sz w:val="20"/>
          <w:szCs w:val="20"/>
          <w:lang w:val="fr-FR"/>
        </w:rPr>
      </w:pPr>
      <w:bookmarkStart w:id="0" w:name="_GoBack"/>
      <w:bookmarkEnd w:id="0"/>
    </w:p>
    <w:p w:rsidR="00194D87" w:rsidRPr="009A106E" w:rsidRDefault="00194D87" w:rsidP="00CE5293">
      <w:pPr>
        <w:pStyle w:val="Normal-pool"/>
        <w:rPr>
          <w:sz w:val="20"/>
          <w:szCs w:val="20"/>
          <w:lang w:val="fr-FR"/>
        </w:rPr>
      </w:pPr>
    </w:p>
    <w:tbl>
      <w:tblPr>
        <w:tblW w:w="9780" w:type="dxa"/>
        <w:tblLayout w:type="fixed"/>
        <w:tblLook w:val="0000" w:firstRow="0" w:lastRow="0" w:firstColumn="0" w:lastColumn="0" w:noHBand="0" w:noVBand="0"/>
      </w:tblPr>
      <w:tblGrid>
        <w:gridCol w:w="1560"/>
        <w:gridCol w:w="5208"/>
        <w:gridCol w:w="3012"/>
      </w:tblGrid>
      <w:tr w:rsidR="00194D87" w:rsidRPr="009A106E">
        <w:trPr>
          <w:cantSplit/>
          <w:trHeight w:val="850"/>
        </w:trPr>
        <w:tc>
          <w:tcPr>
            <w:tcW w:w="1560" w:type="dxa"/>
          </w:tcPr>
          <w:p w:rsidR="00194D87" w:rsidRPr="009A106E" w:rsidRDefault="00D11FC2" w:rsidP="00D11FC2">
            <w:pPr>
              <w:tabs>
                <w:tab w:val="left" w:pos="624"/>
                <w:tab w:val="left" w:pos="1871"/>
                <w:tab w:val="left" w:pos="2495"/>
                <w:tab w:val="left" w:pos="3119"/>
                <w:tab w:val="left" w:pos="3742"/>
              </w:tabs>
              <w:spacing w:line="240" w:lineRule="auto"/>
              <w:rPr>
                <w:rFonts w:ascii="Arial" w:hAnsi="Arial" w:cs="Arial"/>
                <w:b/>
                <w:sz w:val="27"/>
                <w:szCs w:val="27"/>
              </w:rPr>
            </w:pPr>
            <w:r w:rsidRPr="009A106E">
              <w:rPr>
                <w:rFonts w:ascii="Arial" w:hAnsi="Arial" w:cs="Arial"/>
                <w:b/>
                <w:sz w:val="27"/>
                <w:szCs w:val="27"/>
              </w:rPr>
              <w:t>NATIONSUNIE</w:t>
            </w:r>
            <w:r w:rsidR="00194D87" w:rsidRPr="009A106E">
              <w:rPr>
                <w:rFonts w:ascii="Arial" w:hAnsi="Arial" w:cs="Arial"/>
                <w:b/>
                <w:sz w:val="27"/>
                <w:szCs w:val="27"/>
              </w:rPr>
              <w:t>S</w:t>
            </w:r>
          </w:p>
        </w:tc>
        <w:tc>
          <w:tcPr>
            <w:tcW w:w="5208" w:type="dxa"/>
          </w:tcPr>
          <w:p w:rsidR="00194D87" w:rsidRPr="009A106E" w:rsidRDefault="00194D87" w:rsidP="00293850">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194D87" w:rsidRPr="009A106E" w:rsidRDefault="00194D87" w:rsidP="00293850">
            <w:pPr>
              <w:tabs>
                <w:tab w:val="left" w:pos="624"/>
                <w:tab w:val="left" w:pos="1871"/>
                <w:tab w:val="left" w:pos="2495"/>
                <w:tab w:val="left" w:pos="3119"/>
                <w:tab w:val="left" w:pos="3742"/>
              </w:tabs>
              <w:spacing w:line="240" w:lineRule="auto"/>
              <w:jc w:val="right"/>
              <w:rPr>
                <w:rFonts w:ascii="Univers" w:hAnsi="Univers"/>
                <w:b/>
                <w:sz w:val="72"/>
                <w:szCs w:val="72"/>
              </w:rPr>
            </w:pPr>
            <w:r w:rsidRPr="009A106E">
              <w:rPr>
                <w:rFonts w:ascii="Univers" w:hAnsi="Univers"/>
                <w:b/>
                <w:sz w:val="72"/>
                <w:szCs w:val="72"/>
              </w:rPr>
              <w:t>EP</w:t>
            </w:r>
          </w:p>
        </w:tc>
      </w:tr>
      <w:tr w:rsidR="00194D87" w:rsidRPr="009A106E">
        <w:trPr>
          <w:cantSplit/>
          <w:trHeight w:val="281"/>
        </w:trPr>
        <w:tc>
          <w:tcPr>
            <w:tcW w:w="1560" w:type="dxa"/>
            <w:tcBorders>
              <w:bottom w:val="single" w:sz="4" w:space="0" w:color="auto"/>
            </w:tcBorders>
          </w:tcPr>
          <w:p w:rsidR="00194D87" w:rsidRPr="009A106E" w:rsidRDefault="00194D87" w:rsidP="00293850">
            <w:pPr>
              <w:tabs>
                <w:tab w:val="left" w:pos="624"/>
                <w:tab w:val="left" w:pos="1871"/>
                <w:tab w:val="left" w:pos="2495"/>
                <w:tab w:val="left" w:pos="3119"/>
                <w:tab w:val="left" w:pos="3742"/>
              </w:tabs>
              <w:spacing w:line="240" w:lineRule="auto"/>
              <w:rPr>
                <w:sz w:val="18"/>
                <w:szCs w:val="18"/>
              </w:rPr>
            </w:pPr>
          </w:p>
        </w:tc>
        <w:tc>
          <w:tcPr>
            <w:tcW w:w="5208" w:type="dxa"/>
            <w:tcBorders>
              <w:bottom w:val="single" w:sz="4" w:space="0" w:color="auto"/>
            </w:tcBorders>
          </w:tcPr>
          <w:p w:rsidR="00194D87" w:rsidRPr="009A106E" w:rsidRDefault="00194D87" w:rsidP="00293850">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194D87" w:rsidRPr="009A106E" w:rsidRDefault="00194D87" w:rsidP="00D36134">
            <w:pPr>
              <w:tabs>
                <w:tab w:val="left" w:pos="624"/>
                <w:tab w:val="left" w:pos="1871"/>
                <w:tab w:val="left" w:pos="2495"/>
                <w:tab w:val="left" w:pos="3119"/>
                <w:tab w:val="left" w:pos="3742"/>
              </w:tabs>
              <w:spacing w:after="0" w:line="240" w:lineRule="auto"/>
              <w:rPr>
                <w:rFonts w:ascii="Times New Roman" w:hAnsi="Times New Roman"/>
                <w:sz w:val="18"/>
                <w:szCs w:val="18"/>
                <w:lang w:eastAsia="ja-JP"/>
              </w:rPr>
            </w:pPr>
            <w:r w:rsidRPr="009A106E">
              <w:rPr>
                <w:rFonts w:ascii="Times New Roman" w:hAnsi="Times New Roman"/>
                <w:b/>
                <w:sz w:val="24"/>
                <w:szCs w:val="24"/>
              </w:rPr>
              <w:t>IPBES</w:t>
            </w:r>
            <w:r w:rsidRPr="009A106E">
              <w:rPr>
                <w:rFonts w:ascii="Times New Roman" w:hAnsi="Times New Roman"/>
                <w:sz w:val="20"/>
                <w:szCs w:val="20"/>
              </w:rPr>
              <w:t>/</w:t>
            </w:r>
            <w:r w:rsidRPr="009A106E">
              <w:rPr>
                <w:rFonts w:ascii="Times New Roman" w:hAnsi="Times New Roman"/>
                <w:sz w:val="20"/>
                <w:szCs w:val="20"/>
                <w:lang w:eastAsia="ja-JP"/>
              </w:rPr>
              <w:t>2/1</w:t>
            </w:r>
            <w:r w:rsidR="0058068F" w:rsidRPr="009A106E">
              <w:rPr>
                <w:rFonts w:ascii="Times New Roman" w:hAnsi="Times New Roman"/>
                <w:sz w:val="20"/>
                <w:szCs w:val="20"/>
                <w:lang w:eastAsia="ja-JP"/>
              </w:rPr>
              <w:t>6/Add.</w:t>
            </w:r>
            <w:r w:rsidR="00D36134" w:rsidRPr="009A106E">
              <w:rPr>
                <w:rFonts w:ascii="Times New Roman" w:hAnsi="Times New Roman"/>
                <w:sz w:val="20"/>
                <w:szCs w:val="20"/>
                <w:lang w:eastAsia="ja-JP"/>
              </w:rPr>
              <w:t>8</w:t>
            </w:r>
          </w:p>
        </w:tc>
      </w:tr>
      <w:tr w:rsidR="00194D87" w:rsidRPr="009A106E">
        <w:trPr>
          <w:cantSplit/>
          <w:trHeight w:val="2549"/>
        </w:trPr>
        <w:tc>
          <w:tcPr>
            <w:tcW w:w="1560" w:type="dxa"/>
            <w:tcBorders>
              <w:top w:val="single" w:sz="4" w:space="0" w:color="auto"/>
              <w:bottom w:val="single" w:sz="24" w:space="0" w:color="auto"/>
            </w:tcBorders>
          </w:tcPr>
          <w:p w:rsidR="00194D87" w:rsidRPr="009A106E" w:rsidRDefault="00194D87" w:rsidP="00293850">
            <w:pPr>
              <w:tabs>
                <w:tab w:val="left" w:pos="624"/>
                <w:tab w:val="left" w:pos="1871"/>
                <w:tab w:val="left" w:pos="2495"/>
                <w:tab w:val="left" w:pos="3119"/>
                <w:tab w:val="left" w:pos="3742"/>
              </w:tabs>
              <w:spacing w:line="240" w:lineRule="auto"/>
            </w:pPr>
            <w:r w:rsidRPr="009A106E">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59.7pt" o:ole="" fillcolor="window">
                  <v:imagedata r:id="rId9" o:title=""/>
                </v:shape>
                <o:OLEObject Type="Embed" ProgID="Word.Picture.8" ShapeID="_x0000_i1025" DrawAspect="Content" ObjectID="_1446632830" r:id="rId10"/>
              </w:object>
            </w:r>
            <w:r w:rsidR="0043311D">
              <w:rPr>
                <w:noProof/>
                <w:lang w:val="en-US"/>
              </w:rPr>
              <w:drawing>
                <wp:inline distT="0" distB="0" distL="0" distR="0">
                  <wp:extent cx="721360" cy="765810"/>
                  <wp:effectExtent l="0" t="0" r="254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76581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9A106E" w:rsidRDefault="00D11FC2" w:rsidP="00D11FC2">
            <w:pPr>
              <w:tabs>
                <w:tab w:val="left" w:pos="624"/>
                <w:tab w:val="left" w:pos="1871"/>
                <w:tab w:val="left" w:pos="2495"/>
                <w:tab w:val="left" w:pos="3119"/>
                <w:tab w:val="left" w:pos="3742"/>
              </w:tabs>
              <w:spacing w:before="1400" w:line="240" w:lineRule="auto"/>
              <w:rPr>
                <w:rFonts w:ascii="Univers" w:hAnsi="Univers"/>
                <w:b/>
                <w:sz w:val="28"/>
              </w:rPr>
            </w:pPr>
            <w:r w:rsidRPr="009A106E">
              <w:rPr>
                <w:rFonts w:ascii="Univers" w:hAnsi="Univers"/>
                <w:b/>
                <w:sz w:val="32"/>
                <w:szCs w:val="32"/>
              </w:rPr>
              <w:t xml:space="preserve">Programme </w:t>
            </w:r>
            <w:r w:rsidR="00194D87" w:rsidRPr="009A106E">
              <w:rPr>
                <w:rFonts w:ascii="Univers" w:hAnsi="Univers"/>
                <w:b/>
                <w:sz w:val="32"/>
                <w:szCs w:val="32"/>
              </w:rPr>
              <w:br/>
            </w:r>
            <w:r w:rsidRPr="009A106E">
              <w:rPr>
                <w:rFonts w:ascii="Univers" w:hAnsi="Univers"/>
                <w:b/>
                <w:sz w:val="32"/>
                <w:szCs w:val="32"/>
              </w:rPr>
              <w:t>des Nations Unies</w:t>
            </w:r>
            <w:r w:rsidR="00194D87" w:rsidRPr="009A106E">
              <w:rPr>
                <w:rFonts w:ascii="Univers" w:hAnsi="Univers"/>
                <w:b/>
                <w:sz w:val="32"/>
                <w:szCs w:val="32"/>
              </w:rPr>
              <w:t xml:space="preserve"> </w:t>
            </w:r>
            <w:r w:rsidR="00194D87" w:rsidRPr="009A106E">
              <w:rPr>
                <w:rFonts w:ascii="Univers" w:hAnsi="Univers"/>
                <w:b/>
                <w:sz w:val="32"/>
                <w:szCs w:val="32"/>
              </w:rPr>
              <w:br/>
            </w:r>
            <w:r w:rsidRPr="009A106E">
              <w:rPr>
                <w:rFonts w:ascii="Univers" w:hAnsi="Univers"/>
                <w:b/>
                <w:sz w:val="32"/>
                <w:szCs w:val="32"/>
              </w:rPr>
              <w:t>pour l’environnement</w:t>
            </w:r>
          </w:p>
        </w:tc>
        <w:tc>
          <w:tcPr>
            <w:tcW w:w="3012" w:type="dxa"/>
            <w:tcBorders>
              <w:top w:val="single" w:sz="4" w:space="0" w:color="auto"/>
              <w:bottom w:val="single" w:sz="24" w:space="0" w:color="auto"/>
            </w:tcBorders>
          </w:tcPr>
          <w:p w:rsidR="00194D87" w:rsidRPr="009A106E" w:rsidRDefault="00194D87" w:rsidP="00DB3AC1">
            <w:pPr>
              <w:tabs>
                <w:tab w:val="left" w:pos="624"/>
                <w:tab w:val="left" w:pos="1871"/>
                <w:tab w:val="left" w:pos="2495"/>
                <w:tab w:val="left" w:pos="3119"/>
                <w:tab w:val="left" w:pos="3742"/>
              </w:tabs>
              <w:spacing w:before="120" w:after="0" w:line="240" w:lineRule="auto"/>
              <w:rPr>
                <w:rFonts w:ascii="Times New Roman" w:hAnsi="Times New Roman"/>
                <w:sz w:val="20"/>
                <w:szCs w:val="20"/>
              </w:rPr>
            </w:pPr>
            <w:r w:rsidRPr="009A106E">
              <w:rPr>
                <w:rFonts w:ascii="Times New Roman" w:hAnsi="Times New Roman"/>
                <w:sz w:val="20"/>
                <w:szCs w:val="20"/>
              </w:rPr>
              <w:t>Distr.</w:t>
            </w:r>
            <w:r w:rsidR="00C46608" w:rsidRPr="009A106E">
              <w:rPr>
                <w:rFonts w:ascii="Times New Roman" w:hAnsi="Times New Roman"/>
                <w:sz w:val="20"/>
                <w:szCs w:val="20"/>
              </w:rPr>
              <w:t xml:space="preserve"> </w:t>
            </w:r>
            <w:r w:rsidRPr="009A106E">
              <w:rPr>
                <w:rFonts w:ascii="Times New Roman" w:hAnsi="Times New Roman"/>
                <w:sz w:val="20"/>
                <w:szCs w:val="20"/>
              </w:rPr>
              <w:t xml:space="preserve">: </w:t>
            </w:r>
            <w:r w:rsidR="00D11FC2" w:rsidRPr="009A106E">
              <w:rPr>
                <w:rFonts w:ascii="Times New Roman" w:hAnsi="Times New Roman"/>
                <w:sz w:val="20"/>
                <w:szCs w:val="20"/>
              </w:rPr>
              <w:t>générale</w:t>
            </w:r>
            <w:r w:rsidR="00870972" w:rsidRPr="009A106E">
              <w:rPr>
                <w:rFonts w:ascii="Times New Roman" w:hAnsi="Times New Roman"/>
                <w:sz w:val="20"/>
                <w:szCs w:val="20"/>
              </w:rPr>
              <w:br/>
            </w:r>
            <w:r w:rsidRPr="009A106E">
              <w:rPr>
                <w:rFonts w:ascii="Times New Roman" w:hAnsi="Times New Roman"/>
                <w:sz w:val="20"/>
                <w:szCs w:val="20"/>
                <w:lang w:eastAsia="ja-JP"/>
              </w:rPr>
              <w:t>2</w:t>
            </w:r>
            <w:r w:rsidR="00D36134" w:rsidRPr="009A106E">
              <w:rPr>
                <w:rFonts w:ascii="Times New Roman" w:hAnsi="Times New Roman"/>
                <w:sz w:val="20"/>
                <w:szCs w:val="20"/>
                <w:lang w:eastAsia="ja-JP"/>
              </w:rPr>
              <w:t>4</w:t>
            </w:r>
            <w:r w:rsidRPr="009A106E">
              <w:rPr>
                <w:rFonts w:ascii="Times New Roman" w:hAnsi="Times New Roman"/>
                <w:sz w:val="20"/>
                <w:szCs w:val="20"/>
                <w:lang w:eastAsia="ja-JP"/>
              </w:rPr>
              <w:t xml:space="preserve"> </w:t>
            </w:r>
            <w:r w:rsidR="00D11FC2" w:rsidRPr="009A106E">
              <w:rPr>
                <w:rFonts w:ascii="Times New Roman" w:hAnsi="Times New Roman"/>
                <w:sz w:val="20"/>
                <w:szCs w:val="20"/>
                <w:lang w:eastAsia="ja-JP"/>
              </w:rPr>
              <w:t>octobre</w:t>
            </w:r>
            <w:r w:rsidR="00D11D69" w:rsidRPr="009A106E">
              <w:rPr>
                <w:rFonts w:ascii="Times New Roman" w:hAnsi="Times New Roman"/>
                <w:sz w:val="20"/>
                <w:szCs w:val="20"/>
                <w:lang w:eastAsia="ja-JP"/>
              </w:rPr>
              <w:t xml:space="preserve"> </w:t>
            </w:r>
            <w:r w:rsidRPr="009A106E">
              <w:rPr>
                <w:rFonts w:ascii="Times New Roman" w:hAnsi="Times New Roman"/>
                <w:sz w:val="20"/>
                <w:szCs w:val="20"/>
                <w:lang w:eastAsia="ja-JP"/>
              </w:rPr>
              <w:t>2013</w:t>
            </w:r>
          </w:p>
          <w:p w:rsidR="00194D87" w:rsidRPr="009A106E" w:rsidRDefault="00D11FC2" w:rsidP="00D11FC2">
            <w:pPr>
              <w:tabs>
                <w:tab w:val="left" w:pos="624"/>
                <w:tab w:val="left" w:pos="1871"/>
                <w:tab w:val="left" w:pos="2495"/>
                <w:tab w:val="left" w:pos="3119"/>
                <w:tab w:val="left" w:pos="3742"/>
              </w:tabs>
              <w:spacing w:before="120" w:after="0" w:line="240" w:lineRule="auto"/>
              <w:rPr>
                <w:sz w:val="20"/>
                <w:szCs w:val="20"/>
              </w:rPr>
            </w:pPr>
            <w:r w:rsidRPr="009A106E">
              <w:rPr>
                <w:rFonts w:ascii="Times New Roman" w:hAnsi="Times New Roman"/>
                <w:sz w:val="20"/>
                <w:szCs w:val="20"/>
              </w:rPr>
              <w:t>Français</w:t>
            </w:r>
            <w:r w:rsidRPr="009A106E">
              <w:rPr>
                <w:rFonts w:ascii="Times New Roman" w:hAnsi="Times New Roman"/>
                <w:sz w:val="20"/>
                <w:szCs w:val="20"/>
              </w:rPr>
              <w:br/>
            </w:r>
            <w:r w:rsidR="00194D87" w:rsidRPr="009A106E">
              <w:rPr>
                <w:rFonts w:ascii="Times New Roman" w:hAnsi="Times New Roman"/>
                <w:sz w:val="20"/>
                <w:szCs w:val="20"/>
              </w:rPr>
              <w:t>Original</w:t>
            </w:r>
            <w:r w:rsidRPr="009A106E">
              <w:rPr>
                <w:rFonts w:ascii="Times New Roman" w:hAnsi="Times New Roman"/>
                <w:sz w:val="20"/>
                <w:szCs w:val="20"/>
              </w:rPr>
              <w:t xml:space="preserve"> </w:t>
            </w:r>
            <w:r w:rsidR="00194D87" w:rsidRPr="009A106E">
              <w:rPr>
                <w:rFonts w:ascii="Times New Roman" w:hAnsi="Times New Roman"/>
                <w:sz w:val="20"/>
                <w:szCs w:val="20"/>
              </w:rPr>
              <w:t xml:space="preserve">: </w:t>
            </w:r>
            <w:r w:rsidRPr="009A106E">
              <w:rPr>
                <w:rFonts w:ascii="Times New Roman" w:hAnsi="Times New Roman"/>
                <w:sz w:val="20"/>
                <w:szCs w:val="20"/>
              </w:rPr>
              <w:t>anglais</w:t>
            </w:r>
            <w:r w:rsidR="00194D87" w:rsidRPr="009A106E">
              <w:rPr>
                <w:sz w:val="20"/>
                <w:szCs w:val="20"/>
              </w:rPr>
              <w:t xml:space="preserve"> </w:t>
            </w:r>
          </w:p>
        </w:tc>
      </w:tr>
    </w:tbl>
    <w:p w:rsidR="00194D87" w:rsidRPr="009A106E" w:rsidRDefault="00D11FC2" w:rsidP="00194D87">
      <w:pPr>
        <w:pStyle w:val="AATitle"/>
        <w:keepNext w:val="0"/>
        <w:keepLines w:val="0"/>
        <w:tabs>
          <w:tab w:val="clear" w:pos="4082"/>
          <w:tab w:val="left" w:pos="4395"/>
        </w:tabs>
        <w:ind w:right="4631"/>
        <w:rPr>
          <w:sz w:val="20"/>
          <w:szCs w:val="20"/>
          <w:lang w:val="fr-FR"/>
        </w:rPr>
      </w:pPr>
      <w:r w:rsidRPr="009A106E">
        <w:rPr>
          <w:sz w:val="20"/>
          <w:szCs w:val="20"/>
          <w:lang w:val="fr-FR"/>
        </w:rPr>
        <w:t xml:space="preserve">Plénière de la Plateforme intergouvernementale scientifique et politique sur la biodiversité et les services écosystémiques </w:t>
      </w:r>
    </w:p>
    <w:p w:rsidR="00194D87" w:rsidRPr="009A106E" w:rsidRDefault="00D11FC2" w:rsidP="00194D87">
      <w:pPr>
        <w:pStyle w:val="AATitle"/>
        <w:keepNext w:val="0"/>
        <w:keepLines w:val="0"/>
        <w:rPr>
          <w:sz w:val="20"/>
          <w:szCs w:val="20"/>
          <w:lang w:val="fr-FR"/>
        </w:rPr>
      </w:pPr>
      <w:r w:rsidRPr="009A106E">
        <w:rPr>
          <w:sz w:val="20"/>
          <w:szCs w:val="20"/>
          <w:lang w:val="fr-FR"/>
        </w:rPr>
        <w:t>Deuxième</w:t>
      </w:r>
      <w:r w:rsidR="00194D87" w:rsidRPr="009A106E">
        <w:rPr>
          <w:sz w:val="20"/>
          <w:szCs w:val="20"/>
          <w:lang w:val="fr-FR"/>
        </w:rPr>
        <w:t xml:space="preserve"> session</w:t>
      </w:r>
    </w:p>
    <w:p w:rsidR="00194D87" w:rsidRPr="009A106E" w:rsidRDefault="00194D87" w:rsidP="008A5A06">
      <w:pPr>
        <w:pStyle w:val="AATitle"/>
        <w:rPr>
          <w:b w:val="0"/>
          <w:sz w:val="20"/>
          <w:szCs w:val="20"/>
          <w:lang w:val="fr-FR"/>
        </w:rPr>
      </w:pPr>
      <w:r w:rsidRPr="009A106E">
        <w:rPr>
          <w:b w:val="0"/>
          <w:sz w:val="20"/>
          <w:szCs w:val="20"/>
          <w:lang w:val="fr-FR"/>
        </w:rPr>
        <w:t>Antalya</w:t>
      </w:r>
      <w:r w:rsidR="00D11FC2" w:rsidRPr="009A106E">
        <w:rPr>
          <w:b w:val="0"/>
          <w:sz w:val="20"/>
          <w:szCs w:val="20"/>
          <w:lang w:val="fr-FR"/>
        </w:rPr>
        <w:t xml:space="preserve"> (Turquie)</w:t>
      </w:r>
      <w:r w:rsidRPr="009A106E">
        <w:rPr>
          <w:b w:val="0"/>
          <w:sz w:val="20"/>
          <w:szCs w:val="20"/>
          <w:lang w:val="fr-FR"/>
        </w:rPr>
        <w:t xml:space="preserve">, </w:t>
      </w:r>
      <w:r w:rsidR="00D11FC2" w:rsidRPr="009A106E">
        <w:rPr>
          <w:b w:val="0"/>
          <w:sz w:val="20"/>
          <w:szCs w:val="20"/>
          <w:lang w:val="fr-FR"/>
        </w:rPr>
        <w:t>9-</w:t>
      </w:r>
      <w:r w:rsidR="00DC2F2E" w:rsidRPr="009A106E">
        <w:rPr>
          <w:b w:val="0"/>
          <w:sz w:val="20"/>
          <w:szCs w:val="20"/>
          <w:lang w:val="fr-FR"/>
        </w:rPr>
        <w:t>1</w:t>
      </w:r>
      <w:r w:rsidRPr="009A106E">
        <w:rPr>
          <w:b w:val="0"/>
          <w:sz w:val="20"/>
          <w:szCs w:val="20"/>
          <w:lang w:val="fr-FR"/>
        </w:rPr>
        <w:t xml:space="preserve">4 </w:t>
      </w:r>
      <w:r w:rsidR="00D11FC2" w:rsidRPr="009A106E">
        <w:rPr>
          <w:b w:val="0"/>
          <w:sz w:val="20"/>
          <w:szCs w:val="20"/>
          <w:lang w:val="fr-FR"/>
        </w:rPr>
        <w:t>décembre</w:t>
      </w:r>
      <w:r w:rsidRPr="009A106E">
        <w:rPr>
          <w:b w:val="0"/>
          <w:sz w:val="20"/>
          <w:szCs w:val="20"/>
          <w:lang w:val="fr-FR"/>
        </w:rPr>
        <w:t xml:space="preserve"> 2013</w:t>
      </w:r>
    </w:p>
    <w:p w:rsidR="00D27251" w:rsidRPr="009A106E" w:rsidRDefault="00FE19DC" w:rsidP="00D27251">
      <w:pPr>
        <w:pStyle w:val="AATitle"/>
        <w:keepNext w:val="0"/>
        <w:keepLines w:val="0"/>
        <w:tabs>
          <w:tab w:val="clear" w:pos="1814"/>
          <w:tab w:val="clear" w:pos="2381"/>
          <w:tab w:val="clear" w:pos="2948"/>
          <w:tab w:val="clear" w:pos="3515"/>
          <w:tab w:val="left" w:pos="624"/>
          <w:tab w:val="left" w:pos="1871"/>
          <w:tab w:val="left" w:pos="2495"/>
          <w:tab w:val="left" w:pos="3119"/>
        </w:tabs>
        <w:outlineLvl w:val="0"/>
        <w:rPr>
          <w:b w:val="0"/>
          <w:sz w:val="20"/>
          <w:szCs w:val="20"/>
          <w:lang w:val="fr-FR" w:eastAsia="ja-JP"/>
        </w:rPr>
      </w:pPr>
      <w:r w:rsidRPr="009A106E">
        <w:rPr>
          <w:b w:val="0"/>
          <w:sz w:val="20"/>
          <w:szCs w:val="20"/>
          <w:lang w:val="fr-FR" w:eastAsia="ja-JP"/>
        </w:rPr>
        <w:t>Point 4 </w:t>
      </w:r>
      <w:r w:rsidR="00D27251" w:rsidRPr="009A106E">
        <w:rPr>
          <w:b w:val="0"/>
          <w:sz w:val="20"/>
          <w:szCs w:val="20"/>
          <w:lang w:val="fr-FR" w:eastAsia="ja-JP"/>
        </w:rPr>
        <w:t>a)</w:t>
      </w:r>
      <w:r w:rsidR="00D11FC2" w:rsidRPr="009A106E">
        <w:rPr>
          <w:b w:val="0"/>
          <w:sz w:val="20"/>
          <w:szCs w:val="20"/>
          <w:lang w:val="fr-FR" w:eastAsia="ja-JP"/>
        </w:rPr>
        <w:t xml:space="preserve"> de l’ordre du jour provisoire</w:t>
      </w:r>
      <w:r w:rsidR="00D11FC2" w:rsidRPr="009A106E">
        <w:rPr>
          <w:rStyle w:val="FootnoteReference"/>
          <w:b w:val="0"/>
          <w:szCs w:val="20"/>
          <w:lang w:val="fr-FR" w:eastAsia="ja-JP"/>
        </w:rPr>
        <w:t xml:space="preserve"> </w:t>
      </w:r>
      <w:r w:rsidR="00D27251" w:rsidRPr="009A106E">
        <w:rPr>
          <w:rStyle w:val="FootnoteReference"/>
          <w:b w:val="0"/>
          <w:szCs w:val="20"/>
          <w:lang w:val="fr-FR" w:eastAsia="ja-JP"/>
        </w:rPr>
        <w:footnoteReference w:customMarkFollows="1" w:id="1"/>
        <w:sym w:font="Symbol" w:char="F02A"/>
      </w:r>
    </w:p>
    <w:p w:rsidR="00D36134" w:rsidRPr="009A106E" w:rsidRDefault="00D11FC2" w:rsidP="00FB4629">
      <w:pPr>
        <w:pStyle w:val="AATitle2"/>
        <w:spacing w:before="60"/>
        <w:rPr>
          <w:sz w:val="20"/>
          <w:szCs w:val="20"/>
          <w:lang w:val="fr-FR"/>
        </w:rPr>
      </w:pPr>
      <w:r w:rsidRPr="009A106E">
        <w:rPr>
          <w:sz w:val="20"/>
          <w:szCs w:val="20"/>
          <w:lang w:val="fr-FR"/>
        </w:rPr>
        <w:t>Programme de travail initial de la Plateforme :</w:t>
      </w:r>
      <w:r w:rsidR="00D27251" w:rsidRPr="009A106E">
        <w:rPr>
          <w:sz w:val="20"/>
          <w:szCs w:val="20"/>
          <w:lang w:val="fr-FR"/>
        </w:rPr>
        <w:t xml:space="preserve"> </w:t>
      </w:r>
      <w:r w:rsidR="00D36134" w:rsidRPr="009A106E">
        <w:rPr>
          <w:sz w:val="20"/>
          <w:szCs w:val="20"/>
          <w:lang w:val="fr-FR"/>
        </w:rPr>
        <w:t>programme</w:t>
      </w:r>
      <w:r w:rsidR="00EB5238">
        <w:rPr>
          <w:sz w:val="20"/>
          <w:szCs w:val="20"/>
          <w:lang w:val="fr-FR"/>
        </w:rPr>
        <w:t xml:space="preserve"> </w:t>
      </w:r>
      <w:r w:rsidRPr="009A106E">
        <w:rPr>
          <w:sz w:val="20"/>
          <w:szCs w:val="20"/>
          <w:lang w:val="fr-FR"/>
        </w:rPr>
        <w:t xml:space="preserve">de travail pour la période </w:t>
      </w:r>
      <w:r w:rsidR="00D36134" w:rsidRPr="009A106E">
        <w:rPr>
          <w:sz w:val="20"/>
          <w:szCs w:val="20"/>
          <w:lang w:val="fr-FR"/>
        </w:rPr>
        <w:t>2014</w:t>
      </w:r>
      <w:r w:rsidR="0003742A">
        <w:rPr>
          <w:sz w:val="20"/>
          <w:szCs w:val="20"/>
          <w:lang w:val="fr-FR"/>
        </w:rPr>
        <w:t>-</w:t>
      </w:r>
      <w:r w:rsidR="00D36134" w:rsidRPr="009A106E">
        <w:rPr>
          <w:sz w:val="20"/>
          <w:szCs w:val="20"/>
          <w:lang w:val="fr-FR"/>
        </w:rPr>
        <w:t>2018</w:t>
      </w:r>
    </w:p>
    <w:p w:rsidR="00D11D69" w:rsidRPr="009A106E" w:rsidRDefault="00D11FC2" w:rsidP="00D36134">
      <w:pPr>
        <w:pStyle w:val="BBTitle"/>
        <w:rPr>
          <w:lang w:val="fr-FR"/>
        </w:rPr>
      </w:pPr>
      <w:r w:rsidRPr="009A106E">
        <w:rPr>
          <w:lang w:val="fr-FR"/>
        </w:rPr>
        <w:t xml:space="preserve">Cadrage initial de l’évaluation thématique des espèces </w:t>
      </w:r>
      <w:r w:rsidR="00DC2F2E" w:rsidRPr="009A106E">
        <w:rPr>
          <w:lang w:val="fr-FR"/>
        </w:rPr>
        <w:t>migratrices</w:t>
      </w:r>
    </w:p>
    <w:p w:rsidR="0088054F" w:rsidRPr="009A106E" w:rsidRDefault="00641714" w:rsidP="00641714">
      <w:pPr>
        <w:pStyle w:val="CH2"/>
        <w:rPr>
          <w:lang w:val="fr-FR"/>
        </w:rPr>
      </w:pPr>
      <w:r w:rsidRPr="009A106E">
        <w:rPr>
          <w:lang w:val="fr-FR"/>
        </w:rPr>
        <w:tab/>
      </w:r>
      <w:r w:rsidRPr="009A106E">
        <w:rPr>
          <w:lang w:val="fr-FR"/>
        </w:rPr>
        <w:tab/>
      </w:r>
      <w:r w:rsidR="00D11FC2" w:rsidRPr="009A106E">
        <w:rPr>
          <w:lang w:val="fr-FR"/>
        </w:rPr>
        <w:t>Note du secré</w:t>
      </w:r>
      <w:r w:rsidR="0088054F" w:rsidRPr="009A106E">
        <w:rPr>
          <w:lang w:val="fr-FR"/>
        </w:rPr>
        <w:t>tariat</w:t>
      </w:r>
    </w:p>
    <w:p w:rsidR="0088054F" w:rsidRPr="009A106E" w:rsidRDefault="00641714" w:rsidP="00641714">
      <w:pPr>
        <w:pStyle w:val="CH1"/>
        <w:rPr>
          <w:lang w:val="fr-FR"/>
        </w:rPr>
      </w:pPr>
      <w:r w:rsidRPr="009A106E">
        <w:rPr>
          <w:lang w:val="fr-FR"/>
        </w:rPr>
        <w:tab/>
        <w:t>I.</w:t>
      </w:r>
      <w:r w:rsidRPr="009A106E">
        <w:rPr>
          <w:lang w:val="fr-FR"/>
        </w:rPr>
        <w:tab/>
      </w:r>
      <w:r w:rsidR="0088054F" w:rsidRPr="009A106E">
        <w:rPr>
          <w:lang w:val="fr-FR"/>
        </w:rPr>
        <w:t>Introduction</w:t>
      </w:r>
    </w:p>
    <w:p w:rsidR="0088054F" w:rsidRPr="00E432E3" w:rsidRDefault="00E432E3" w:rsidP="00E432E3">
      <w:pPr>
        <w:pStyle w:val="Normalnumber"/>
        <w:rPr>
          <w:sz w:val="20"/>
          <w:szCs w:val="20"/>
          <w:lang w:val="fr-FR"/>
        </w:rPr>
      </w:pPr>
      <w:r w:rsidRPr="00E432E3">
        <w:rPr>
          <w:sz w:val="20"/>
          <w:szCs w:val="20"/>
          <w:lang w:val="fr-FR"/>
        </w:rPr>
        <w:t>Reconnaissant la nécessité de faire avancer le programme de travail pour la période 2014–2018 une fois celui-ci approuvé par la Plénière de la Plateforme intergouvernementale scientifique et politique sur la biodiversité et les services écosystémiques à sa deuxième session, le Bureau et le Groupe d’experts multidisciplinaire ont convenu d’établir, pour examen à ladite session, un certain nombre de documents de cadrage initial tenant compte de la hiérarchisation des demandes, suggestions et contributions présentées à la Plateforme et des produits définis dans le projet de programme de travail (IPBES/2/2). On trouvera dans la présente note</w:t>
      </w:r>
      <w:r w:rsidR="009106D9" w:rsidRPr="00E432E3">
        <w:rPr>
          <w:sz w:val="20"/>
          <w:szCs w:val="20"/>
          <w:lang w:val="fr-FR"/>
        </w:rPr>
        <w:t xml:space="preserve"> </w:t>
      </w:r>
      <w:r w:rsidR="00DC2F2E" w:rsidRPr="00E432E3">
        <w:rPr>
          <w:sz w:val="20"/>
          <w:szCs w:val="20"/>
          <w:lang w:val="fr-FR"/>
        </w:rPr>
        <w:t xml:space="preserve">le cadrage </w:t>
      </w:r>
      <w:r w:rsidR="0088054F" w:rsidRPr="00E432E3">
        <w:rPr>
          <w:sz w:val="20"/>
          <w:szCs w:val="20"/>
          <w:lang w:val="fr-FR"/>
        </w:rPr>
        <w:t>initial</w:t>
      </w:r>
      <w:r w:rsidR="00DC2F2E" w:rsidRPr="00E432E3">
        <w:rPr>
          <w:sz w:val="20"/>
          <w:szCs w:val="20"/>
          <w:lang w:val="fr-FR"/>
        </w:rPr>
        <w:t xml:space="preserve"> d’une </w:t>
      </w:r>
      <w:r w:rsidR="000C3A57" w:rsidRPr="00E432E3">
        <w:rPr>
          <w:sz w:val="20"/>
          <w:szCs w:val="20"/>
          <w:lang w:val="fr-FR"/>
        </w:rPr>
        <w:t>évaluation</w:t>
      </w:r>
      <w:r w:rsidR="00DC2F2E" w:rsidRPr="00E432E3">
        <w:rPr>
          <w:sz w:val="20"/>
          <w:szCs w:val="20"/>
          <w:lang w:val="fr-FR"/>
        </w:rPr>
        <w:t xml:space="preserve"> thématique des espèces migratrices. </w:t>
      </w:r>
      <w:r w:rsidRPr="00E432E3">
        <w:rPr>
          <w:sz w:val="20"/>
          <w:szCs w:val="20"/>
          <w:lang w:val="fr-FR"/>
        </w:rPr>
        <w:t>Il</w:t>
      </w:r>
      <w:r w:rsidR="00DC2F2E" w:rsidRPr="00E432E3">
        <w:rPr>
          <w:sz w:val="20"/>
          <w:szCs w:val="20"/>
          <w:lang w:val="fr-FR"/>
        </w:rPr>
        <w:t xml:space="preserve"> a été élaboré conformément au projet de </w:t>
      </w:r>
      <w:r w:rsidR="000C3A57" w:rsidRPr="00E432E3">
        <w:rPr>
          <w:sz w:val="20"/>
          <w:szCs w:val="20"/>
          <w:lang w:val="fr-FR"/>
        </w:rPr>
        <w:t>procédures</w:t>
      </w:r>
      <w:r w:rsidR="00DC2F2E" w:rsidRPr="00E432E3">
        <w:rPr>
          <w:sz w:val="20"/>
          <w:szCs w:val="20"/>
          <w:lang w:val="fr-FR"/>
        </w:rPr>
        <w:t xml:space="preserve"> pour </w:t>
      </w:r>
      <w:r w:rsidRPr="00E432E3">
        <w:rPr>
          <w:sz w:val="20"/>
          <w:szCs w:val="20"/>
          <w:lang w:val="fr-FR"/>
        </w:rPr>
        <w:t xml:space="preserve">l’établissement </w:t>
      </w:r>
      <w:r w:rsidR="00DC2F2E" w:rsidRPr="00E432E3">
        <w:rPr>
          <w:sz w:val="20"/>
          <w:szCs w:val="20"/>
          <w:lang w:val="fr-FR"/>
        </w:rPr>
        <w:t>des produits de la Plateforme</w:t>
      </w:r>
      <w:r w:rsidR="00E44355" w:rsidRPr="00E432E3">
        <w:rPr>
          <w:sz w:val="20"/>
          <w:szCs w:val="20"/>
          <w:lang w:val="fr-FR"/>
        </w:rPr>
        <w:t xml:space="preserve"> (IPBES/2/9).</w:t>
      </w:r>
    </w:p>
    <w:p w:rsidR="00D36134" w:rsidRPr="009A106E" w:rsidRDefault="00D36134" w:rsidP="00C91306">
      <w:pPr>
        <w:pStyle w:val="CH1"/>
        <w:rPr>
          <w:lang w:val="fr-FR"/>
        </w:rPr>
      </w:pPr>
      <w:r w:rsidRPr="009A106E">
        <w:rPr>
          <w:lang w:val="fr-FR"/>
        </w:rPr>
        <w:tab/>
        <w:t>I</w:t>
      </w:r>
      <w:r w:rsidR="0088054F" w:rsidRPr="009A106E">
        <w:rPr>
          <w:lang w:val="fr-FR"/>
        </w:rPr>
        <w:t>I.</w:t>
      </w:r>
      <w:r w:rsidRPr="009A106E">
        <w:rPr>
          <w:lang w:val="fr-FR"/>
        </w:rPr>
        <w:tab/>
      </w:r>
      <w:r w:rsidR="000C3A57" w:rsidRPr="009A106E">
        <w:rPr>
          <w:lang w:val="fr-FR"/>
        </w:rPr>
        <w:t xml:space="preserve">Portée, </w:t>
      </w:r>
      <w:r w:rsidR="009106D9" w:rsidRPr="009A106E">
        <w:rPr>
          <w:lang w:val="fr-FR"/>
        </w:rPr>
        <w:t>bien-fondé</w:t>
      </w:r>
      <w:r w:rsidR="00D11FC2" w:rsidRPr="009A106E">
        <w:rPr>
          <w:lang w:val="fr-FR"/>
        </w:rPr>
        <w:t>, utilité</w:t>
      </w:r>
    </w:p>
    <w:p w:rsidR="00D36134" w:rsidRPr="009A106E" w:rsidRDefault="00D11FC2" w:rsidP="00C91306">
      <w:pPr>
        <w:pStyle w:val="CH2"/>
        <w:rPr>
          <w:lang w:val="fr-FR"/>
        </w:rPr>
      </w:pPr>
      <w:r w:rsidRPr="009A106E">
        <w:rPr>
          <w:lang w:val="fr-FR"/>
        </w:rPr>
        <w:tab/>
        <w:t>A.</w:t>
      </w:r>
      <w:r w:rsidRPr="009A106E">
        <w:rPr>
          <w:lang w:val="fr-FR"/>
        </w:rPr>
        <w:tab/>
        <w:t>Portée</w:t>
      </w:r>
    </w:p>
    <w:p w:rsidR="00D36134" w:rsidRPr="009A106E" w:rsidRDefault="00D11FC2" w:rsidP="00D36134">
      <w:pPr>
        <w:pStyle w:val="Normalnumber"/>
        <w:rPr>
          <w:sz w:val="20"/>
          <w:szCs w:val="20"/>
          <w:lang w:val="fr-FR"/>
        </w:rPr>
      </w:pPr>
      <w:r w:rsidRPr="009A106E">
        <w:rPr>
          <w:sz w:val="20"/>
          <w:szCs w:val="20"/>
          <w:lang w:val="fr-FR"/>
        </w:rPr>
        <w:t>L’évaluation proposée aurait pour but d’</w:t>
      </w:r>
      <w:r w:rsidR="00124C35" w:rsidRPr="009A106E">
        <w:rPr>
          <w:sz w:val="20"/>
          <w:szCs w:val="20"/>
          <w:lang w:val="fr-FR"/>
        </w:rPr>
        <w:t>évaluer</w:t>
      </w:r>
      <w:r w:rsidRPr="009A106E">
        <w:rPr>
          <w:sz w:val="20"/>
          <w:szCs w:val="20"/>
          <w:lang w:val="fr-FR"/>
        </w:rPr>
        <w:t xml:space="preserve"> l’état des connaissances sur les principales préoccupations concernant la conservation et l’utilisation durable des espèces migratrices.</w:t>
      </w:r>
      <w:r w:rsidR="00D36134" w:rsidRPr="009A106E">
        <w:rPr>
          <w:sz w:val="20"/>
          <w:szCs w:val="20"/>
          <w:lang w:val="fr-FR"/>
        </w:rPr>
        <w:t xml:space="preserve"> </w:t>
      </w:r>
    </w:p>
    <w:p w:rsidR="00D36134" w:rsidRPr="009A106E" w:rsidRDefault="009106D9" w:rsidP="00C91306">
      <w:pPr>
        <w:pStyle w:val="CH2"/>
        <w:rPr>
          <w:lang w:val="fr-FR"/>
        </w:rPr>
      </w:pPr>
      <w:r w:rsidRPr="009A106E">
        <w:rPr>
          <w:lang w:val="fr-FR"/>
        </w:rPr>
        <w:tab/>
        <w:t>B.</w:t>
      </w:r>
      <w:r w:rsidRPr="009A106E">
        <w:rPr>
          <w:lang w:val="fr-FR"/>
        </w:rPr>
        <w:tab/>
        <w:t>Bien-fondé</w:t>
      </w:r>
    </w:p>
    <w:p w:rsidR="00D36134" w:rsidRPr="009A106E" w:rsidRDefault="00D11FC2" w:rsidP="00D36134">
      <w:pPr>
        <w:pStyle w:val="Normalnumber"/>
        <w:rPr>
          <w:lang w:val="fr-FR"/>
        </w:rPr>
      </w:pPr>
      <w:r w:rsidRPr="009A106E">
        <w:rPr>
          <w:sz w:val="20"/>
          <w:szCs w:val="20"/>
          <w:lang w:val="fr-FR"/>
        </w:rPr>
        <w:t xml:space="preserve">Les espèces migratrices d’animaux sauvages sont une composante essentielle des </w:t>
      </w:r>
      <w:r w:rsidR="00124C35" w:rsidRPr="009A106E">
        <w:rPr>
          <w:sz w:val="20"/>
          <w:szCs w:val="20"/>
          <w:lang w:val="fr-FR"/>
        </w:rPr>
        <w:t>écosystèmes</w:t>
      </w:r>
      <w:r w:rsidR="000C3A57" w:rsidRPr="009A106E">
        <w:rPr>
          <w:sz w:val="20"/>
          <w:szCs w:val="20"/>
          <w:lang w:val="fr-FR"/>
        </w:rPr>
        <w:t xml:space="preserve"> qui entretiennent toute vie sur terre. Il s’agit souvent d’</w:t>
      </w:r>
      <w:r w:rsidRPr="009A106E">
        <w:rPr>
          <w:sz w:val="20"/>
          <w:szCs w:val="20"/>
          <w:lang w:val="fr-FR"/>
        </w:rPr>
        <w:t xml:space="preserve">espèces clés qui structurent et connectent les </w:t>
      </w:r>
      <w:r w:rsidR="00124C35" w:rsidRPr="009A106E">
        <w:rPr>
          <w:sz w:val="20"/>
          <w:szCs w:val="20"/>
          <w:lang w:val="fr-FR"/>
        </w:rPr>
        <w:t>écosystèmes</w:t>
      </w:r>
      <w:r w:rsidRPr="009A106E">
        <w:rPr>
          <w:sz w:val="20"/>
          <w:szCs w:val="20"/>
          <w:lang w:val="fr-FR"/>
        </w:rPr>
        <w:t xml:space="preserve">. </w:t>
      </w:r>
      <w:r w:rsidR="00124C35" w:rsidRPr="009A106E">
        <w:rPr>
          <w:sz w:val="20"/>
          <w:szCs w:val="20"/>
          <w:lang w:val="fr-FR"/>
        </w:rPr>
        <w:t>Elles constituent aussi une ressource naturelle d</w:t>
      </w:r>
      <w:r w:rsidR="00E432E3">
        <w:rPr>
          <w:sz w:val="20"/>
          <w:szCs w:val="20"/>
          <w:lang w:val="fr-FR"/>
        </w:rPr>
        <w:t>e grand</w:t>
      </w:r>
      <w:r w:rsidR="00124C35" w:rsidRPr="009A106E">
        <w:rPr>
          <w:sz w:val="20"/>
          <w:szCs w:val="20"/>
          <w:lang w:val="fr-FR"/>
        </w:rPr>
        <w:t>e valeur, fournissant un large éventail de services écosystémiques (</w:t>
      </w:r>
      <w:r w:rsidR="000C3A57" w:rsidRPr="009A106E">
        <w:rPr>
          <w:sz w:val="20"/>
          <w:szCs w:val="20"/>
          <w:lang w:val="fr-FR"/>
        </w:rPr>
        <w:t>approvisionnement</w:t>
      </w:r>
      <w:r w:rsidR="00D36134" w:rsidRPr="009A106E">
        <w:rPr>
          <w:sz w:val="20"/>
          <w:szCs w:val="20"/>
          <w:lang w:val="fr-FR"/>
        </w:rPr>
        <w:t xml:space="preserve">, </w:t>
      </w:r>
      <w:r w:rsidR="009106D9" w:rsidRPr="009A106E">
        <w:rPr>
          <w:sz w:val="20"/>
          <w:szCs w:val="20"/>
          <w:lang w:val="fr-FR"/>
        </w:rPr>
        <w:t>support, régulation, valeurs c</w:t>
      </w:r>
      <w:r w:rsidR="000C3A57" w:rsidRPr="009A106E">
        <w:rPr>
          <w:sz w:val="20"/>
          <w:szCs w:val="20"/>
          <w:lang w:val="fr-FR"/>
        </w:rPr>
        <w:t>ulture</w:t>
      </w:r>
      <w:r w:rsidR="009106D9" w:rsidRPr="009A106E">
        <w:rPr>
          <w:sz w:val="20"/>
          <w:szCs w:val="20"/>
          <w:lang w:val="fr-FR"/>
        </w:rPr>
        <w:t>lles</w:t>
      </w:r>
      <w:r w:rsidR="00124C35" w:rsidRPr="009A106E">
        <w:rPr>
          <w:sz w:val="20"/>
          <w:szCs w:val="20"/>
          <w:lang w:val="fr-FR"/>
        </w:rPr>
        <w:t xml:space="preserve">), dont </w:t>
      </w:r>
      <w:r w:rsidR="00124C35" w:rsidRPr="009A106E">
        <w:rPr>
          <w:sz w:val="20"/>
          <w:szCs w:val="20"/>
          <w:lang w:val="fr-FR"/>
        </w:rPr>
        <w:lastRenderedPageBreak/>
        <w:t>nous sommes tous tributaires. Ces services écosystémiques comprennent la fourniture d’al</w:t>
      </w:r>
      <w:r w:rsidR="000C3A57" w:rsidRPr="009A106E">
        <w:rPr>
          <w:sz w:val="20"/>
          <w:szCs w:val="20"/>
          <w:lang w:val="fr-FR"/>
        </w:rPr>
        <w:t>iments, la dispersion des semences</w:t>
      </w:r>
      <w:r w:rsidR="00124C35" w:rsidRPr="009A106E">
        <w:rPr>
          <w:sz w:val="20"/>
          <w:szCs w:val="20"/>
          <w:lang w:val="fr-FR"/>
        </w:rPr>
        <w:t xml:space="preserve"> et des nutriments, et la pollinisation;</w:t>
      </w:r>
      <w:r w:rsidR="00D36134" w:rsidRPr="009A106E">
        <w:rPr>
          <w:sz w:val="20"/>
          <w:szCs w:val="20"/>
          <w:lang w:val="fr-FR"/>
        </w:rPr>
        <w:t xml:space="preserve"> </w:t>
      </w:r>
      <w:r w:rsidR="00124C35" w:rsidRPr="009A106E">
        <w:rPr>
          <w:sz w:val="20"/>
          <w:szCs w:val="20"/>
          <w:lang w:val="fr-FR"/>
        </w:rPr>
        <w:t>à ce</w:t>
      </w:r>
      <w:r w:rsidR="000C3A57" w:rsidRPr="009A106E">
        <w:rPr>
          <w:sz w:val="20"/>
          <w:szCs w:val="20"/>
          <w:lang w:val="fr-FR"/>
        </w:rPr>
        <w:t>s services viennent s’ajouter de</w:t>
      </w:r>
      <w:r w:rsidR="00124C35" w:rsidRPr="009A106E">
        <w:rPr>
          <w:sz w:val="20"/>
          <w:szCs w:val="20"/>
          <w:lang w:val="fr-FR"/>
        </w:rPr>
        <w:t>s valeurs culturelles, intellectuelles et spirituelles.</w:t>
      </w:r>
      <w:r w:rsidR="00D36134" w:rsidRPr="009A106E">
        <w:rPr>
          <w:sz w:val="20"/>
          <w:szCs w:val="20"/>
          <w:lang w:val="fr-FR"/>
        </w:rPr>
        <w:t xml:space="preserve"> </w:t>
      </w:r>
      <w:r w:rsidR="00124C35" w:rsidRPr="009A106E">
        <w:rPr>
          <w:sz w:val="20"/>
          <w:szCs w:val="20"/>
          <w:lang w:val="fr-FR"/>
        </w:rPr>
        <w:t>Les espèces mig</w:t>
      </w:r>
      <w:r w:rsidR="000C3A57" w:rsidRPr="009A106E">
        <w:rPr>
          <w:sz w:val="20"/>
          <w:szCs w:val="20"/>
          <w:lang w:val="fr-FR"/>
        </w:rPr>
        <w:t>ratrices jouent un rôle essentie</w:t>
      </w:r>
      <w:r w:rsidR="00124C35" w:rsidRPr="009A106E">
        <w:rPr>
          <w:sz w:val="20"/>
          <w:szCs w:val="20"/>
          <w:lang w:val="fr-FR"/>
        </w:rPr>
        <w:t>l dans les moyens de subsistance des populations ainsi que dans les économies locales, nationales et régionales.</w:t>
      </w:r>
      <w:r w:rsidR="00D36134" w:rsidRPr="009A106E">
        <w:rPr>
          <w:lang w:val="fr-FR"/>
        </w:rPr>
        <w:t xml:space="preserve"> </w:t>
      </w:r>
    </w:p>
    <w:p w:rsidR="00124C35" w:rsidRPr="009A106E" w:rsidRDefault="00124C35" w:rsidP="00EE251F">
      <w:pPr>
        <w:pStyle w:val="Normalnumber"/>
        <w:rPr>
          <w:sz w:val="20"/>
          <w:szCs w:val="20"/>
          <w:lang w:val="fr-FR"/>
        </w:rPr>
      </w:pPr>
      <w:r w:rsidRPr="009A106E">
        <w:rPr>
          <w:sz w:val="20"/>
          <w:szCs w:val="20"/>
          <w:lang w:val="fr-FR"/>
        </w:rPr>
        <w:t>Dans le même temps, les espèces migratrices sont extrêmement vulnérable</w:t>
      </w:r>
      <w:r w:rsidR="005B41BE" w:rsidRPr="009A106E">
        <w:rPr>
          <w:sz w:val="20"/>
          <w:szCs w:val="20"/>
          <w:lang w:val="fr-FR"/>
        </w:rPr>
        <w:t>s du fait des longs trajets qu’el</w:t>
      </w:r>
      <w:r w:rsidRPr="009A106E">
        <w:rPr>
          <w:sz w:val="20"/>
          <w:szCs w:val="20"/>
          <w:lang w:val="fr-FR"/>
        </w:rPr>
        <w:t>l</w:t>
      </w:r>
      <w:r w:rsidR="005B41BE" w:rsidRPr="009A106E">
        <w:rPr>
          <w:sz w:val="20"/>
          <w:szCs w:val="20"/>
          <w:lang w:val="fr-FR"/>
        </w:rPr>
        <w:t>e</w:t>
      </w:r>
      <w:r w:rsidRPr="009A106E">
        <w:rPr>
          <w:sz w:val="20"/>
          <w:szCs w:val="20"/>
          <w:lang w:val="fr-FR"/>
        </w:rPr>
        <w:t xml:space="preserve">s doivent </w:t>
      </w:r>
      <w:r w:rsidR="005B41BE" w:rsidRPr="009A106E">
        <w:rPr>
          <w:sz w:val="20"/>
          <w:szCs w:val="20"/>
          <w:lang w:val="fr-FR"/>
        </w:rPr>
        <w:t>parcourir, qui sont semés d’embu</w:t>
      </w:r>
      <w:r w:rsidRPr="009A106E">
        <w:rPr>
          <w:sz w:val="20"/>
          <w:szCs w:val="20"/>
          <w:lang w:val="fr-FR"/>
        </w:rPr>
        <w:t>ches. Elles courent généralement plus de dangers, de tous ordres, q</w:t>
      </w:r>
      <w:r w:rsidR="005B41BE" w:rsidRPr="009A106E">
        <w:rPr>
          <w:sz w:val="20"/>
          <w:szCs w:val="20"/>
          <w:lang w:val="fr-FR"/>
        </w:rPr>
        <w:t xml:space="preserve">ue les espèces non migratrices, car leurs </w:t>
      </w:r>
      <w:r w:rsidRPr="009A106E">
        <w:rPr>
          <w:sz w:val="20"/>
          <w:szCs w:val="20"/>
          <w:lang w:val="fr-FR"/>
        </w:rPr>
        <w:t xml:space="preserve">besoins </w:t>
      </w:r>
      <w:r w:rsidR="005B41BE" w:rsidRPr="009A106E">
        <w:rPr>
          <w:sz w:val="20"/>
          <w:szCs w:val="20"/>
          <w:lang w:val="fr-FR"/>
        </w:rPr>
        <w:t xml:space="preserve">sont plus impérieux </w:t>
      </w:r>
      <w:r w:rsidRPr="009A106E">
        <w:rPr>
          <w:sz w:val="20"/>
          <w:szCs w:val="20"/>
          <w:lang w:val="fr-FR"/>
        </w:rPr>
        <w:t xml:space="preserve">que </w:t>
      </w:r>
      <w:r w:rsidR="005B41BE" w:rsidRPr="009A106E">
        <w:rPr>
          <w:sz w:val="20"/>
          <w:szCs w:val="20"/>
          <w:lang w:val="fr-FR"/>
        </w:rPr>
        <w:t xml:space="preserve">pour </w:t>
      </w:r>
      <w:r w:rsidRPr="009A106E">
        <w:rPr>
          <w:sz w:val="20"/>
          <w:szCs w:val="20"/>
          <w:lang w:val="fr-FR"/>
        </w:rPr>
        <w:t xml:space="preserve">ces dernières. En effet, </w:t>
      </w:r>
      <w:r w:rsidR="005B41BE" w:rsidRPr="009A106E">
        <w:rPr>
          <w:sz w:val="20"/>
          <w:szCs w:val="20"/>
          <w:lang w:val="fr-FR"/>
        </w:rPr>
        <w:t xml:space="preserve">il leur faut </w:t>
      </w:r>
      <w:r w:rsidRPr="009A106E">
        <w:rPr>
          <w:sz w:val="20"/>
          <w:szCs w:val="20"/>
          <w:lang w:val="fr-FR"/>
        </w:rPr>
        <w:t>un habitat fa</w:t>
      </w:r>
      <w:r w:rsidR="005B41BE" w:rsidRPr="009A106E">
        <w:rPr>
          <w:sz w:val="20"/>
          <w:szCs w:val="20"/>
          <w:lang w:val="fr-FR"/>
        </w:rPr>
        <w:t>vorable non seulement en</w:t>
      </w:r>
      <w:r w:rsidRPr="009A106E">
        <w:rPr>
          <w:sz w:val="20"/>
          <w:szCs w:val="20"/>
          <w:lang w:val="fr-FR"/>
        </w:rPr>
        <w:t xml:space="preserve"> période de reproduction, mais aussi hors de la saison d’accouplement et le long de leurs trajets migratoires. Dans un monde en pleine</w:t>
      </w:r>
      <w:r w:rsidR="005B41BE" w:rsidRPr="009A106E">
        <w:rPr>
          <w:sz w:val="20"/>
          <w:szCs w:val="20"/>
          <w:lang w:val="fr-FR"/>
        </w:rPr>
        <w:t xml:space="preserve"> évolution, l’homme exerce sur certains de c</w:t>
      </w:r>
      <w:r w:rsidRPr="009A106E">
        <w:rPr>
          <w:sz w:val="20"/>
          <w:szCs w:val="20"/>
          <w:lang w:val="fr-FR"/>
        </w:rPr>
        <w:t>es habit</w:t>
      </w:r>
      <w:r w:rsidR="005B41BE" w:rsidRPr="009A106E">
        <w:rPr>
          <w:sz w:val="20"/>
          <w:szCs w:val="20"/>
          <w:lang w:val="fr-FR"/>
        </w:rPr>
        <w:t>ats, et</w:t>
      </w:r>
      <w:r w:rsidRPr="009A106E">
        <w:rPr>
          <w:sz w:val="20"/>
          <w:szCs w:val="20"/>
          <w:lang w:val="fr-FR"/>
        </w:rPr>
        <w:t xml:space="preserve"> souvent </w:t>
      </w:r>
      <w:r w:rsidR="005B41BE" w:rsidRPr="009A106E">
        <w:rPr>
          <w:sz w:val="20"/>
          <w:szCs w:val="20"/>
          <w:lang w:val="fr-FR"/>
        </w:rPr>
        <w:t xml:space="preserve">aussi </w:t>
      </w:r>
      <w:r w:rsidRPr="009A106E">
        <w:rPr>
          <w:sz w:val="20"/>
          <w:szCs w:val="20"/>
          <w:lang w:val="fr-FR"/>
        </w:rPr>
        <w:t xml:space="preserve">sur les animaux eux-mêmes, une intense pression </w:t>
      </w:r>
      <w:r w:rsidR="005B41BE" w:rsidRPr="009A106E">
        <w:rPr>
          <w:sz w:val="20"/>
          <w:szCs w:val="20"/>
          <w:lang w:val="fr-FR"/>
        </w:rPr>
        <w:t>résultant notamment d’une chasse trop intensive ou de</w:t>
      </w:r>
      <w:r w:rsidRPr="009A106E">
        <w:rPr>
          <w:sz w:val="20"/>
          <w:szCs w:val="20"/>
          <w:lang w:val="fr-FR"/>
        </w:rPr>
        <w:t xml:space="preserve"> </w:t>
      </w:r>
      <w:r w:rsidR="00E432E3">
        <w:rPr>
          <w:sz w:val="20"/>
          <w:szCs w:val="20"/>
          <w:lang w:val="fr-FR"/>
        </w:rPr>
        <w:t>prises accidentelles</w:t>
      </w:r>
      <w:r w:rsidRPr="009A106E">
        <w:rPr>
          <w:sz w:val="20"/>
          <w:szCs w:val="20"/>
          <w:lang w:val="fr-FR"/>
        </w:rPr>
        <w:t xml:space="preserve">. De ce fait, de nombreuses espèces migratrices, autrefois communes, </w:t>
      </w:r>
      <w:r w:rsidR="005B41BE" w:rsidRPr="009A106E">
        <w:rPr>
          <w:sz w:val="20"/>
          <w:szCs w:val="20"/>
          <w:lang w:val="fr-FR"/>
        </w:rPr>
        <w:t>commencent à se raréfier.</w:t>
      </w:r>
    </w:p>
    <w:p w:rsidR="00D36134" w:rsidRPr="009A106E" w:rsidRDefault="00124C35" w:rsidP="009A106E">
      <w:pPr>
        <w:pStyle w:val="CH2"/>
        <w:rPr>
          <w:lang w:val="fr-FR"/>
        </w:rPr>
      </w:pPr>
      <w:r w:rsidRPr="009A106E">
        <w:rPr>
          <w:lang w:val="fr-FR"/>
        </w:rPr>
        <w:tab/>
        <w:t>C.</w:t>
      </w:r>
      <w:r w:rsidRPr="009A106E">
        <w:rPr>
          <w:lang w:val="fr-FR"/>
        </w:rPr>
        <w:tab/>
        <w:t>Utilité</w:t>
      </w:r>
    </w:p>
    <w:p w:rsidR="00D36134" w:rsidRPr="009A106E" w:rsidRDefault="00124C35" w:rsidP="00D36134">
      <w:pPr>
        <w:pStyle w:val="Normalnumber"/>
        <w:rPr>
          <w:sz w:val="20"/>
          <w:szCs w:val="20"/>
          <w:lang w:val="fr-FR"/>
        </w:rPr>
      </w:pPr>
      <w:r w:rsidRPr="009A106E">
        <w:rPr>
          <w:sz w:val="20"/>
          <w:szCs w:val="20"/>
          <w:lang w:val="fr-FR"/>
        </w:rPr>
        <w:t>L’évaluation appuierait l’élab</w:t>
      </w:r>
      <w:r w:rsidR="005B41BE" w:rsidRPr="009A106E">
        <w:rPr>
          <w:sz w:val="20"/>
          <w:szCs w:val="20"/>
          <w:lang w:val="fr-FR"/>
        </w:rPr>
        <w:t xml:space="preserve">oration et la mise en œuvre de </w:t>
      </w:r>
      <w:r w:rsidRPr="009A106E">
        <w:rPr>
          <w:sz w:val="20"/>
          <w:szCs w:val="20"/>
          <w:lang w:val="fr-FR"/>
        </w:rPr>
        <w:t xml:space="preserve">politiques dans le cadre de la Convention sur les espèces migratrices (CMS), les instruments connexes et autres accords multilatéraux sur l’environnement. Elle contribuerait à la mise en œuvre du Plan stratégique pour les espèces migratrices 2015-2023 et du Plan stratégique pour la diversité biologique 2011-2020 en fournissant </w:t>
      </w:r>
      <w:r w:rsidR="0076776C" w:rsidRPr="009A106E">
        <w:rPr>
          <w:sz w:val="20"/>
          <w:szCs w:val="20"/>
          <w:lang w:val="fr-FR"/>
        </w:rPr>
        <w:t xml:space="preserve">aux décideurs </w:t>
      </w:r>
      <w:r w:rsidRPr="009A106E">
        <w:rPr>
          <w:sz w:val="20"/>
          <w:szCs w:val="20"/>
          <w:lang w:val="fr-FR"/>
        </w:rPr>
        <w:t>les</w:t>
      </w:r>
      <w:r w:rsidR="0076776C" w:rsidRPr="009A106E">
        <w:rPr>
          <w:sz w:val="20"/>
          <w:szCs w:val="20"/>
          <w:lang w:val="fr-FR"/>
        </w:rPr>
        <w:t xml:space="preserve"> arguments scientifiques et les</w:t>
      </w:r>
      <w:r w:rsidRPr="009A106E">
        <w:rPr>
          <w:sz w:val="20"/>
          <w:szCs w:val="20"/>
          <w:lang w:val="fr-FR"/>
        </w:rPr>
        <w:t xml:space="preserve"> informations </w:t>
      </w:r>
      <w:r w:rsidR="0076776C" w:rsidRPr="009A106E">
        <w:rPr>
          <w:sz w:val="20"/>
          <w:szCs w:val="20"/>
          <w:lang w:val="fr-FR"/>
        </w:rPr>
        <w:t>dont ils ont besoin pour</w:t>
      </w:r>
      <w:r w:rsidRPr="009A106E">
        <w:rPr>
          <w:sz w:val="20"/>
          <w:szCs w:val="20"/>
          <w:lang w:val="fr-FR"/>
        </w:rPr>
        <w:t xml:space="preserve"> étudier</w:t>
      </w:r>
      <w:r w:rsidR="0076776C" w:rsidRPr="009A106E">
        <w:rPr>
          <w:sz w:val="20"/>
          <w:szCs w:val="20"/>
          <w:lang w:val="fr-FR"/>
        </w:rPr>
        <w:t xml:space="preserve"> et pouvoir expliquer</w:t>
      </w:r>
      <w:r w:rsidRPr="009A106E">
        <w:rPr>
          <w:sz w:val="20"/>
          <w:szCs w:val="20"/>
          <w:lang w:val="fr-FR"/>
        </w:rPr>
        <w:t xml:space="preserve"> plus clairement l’impact des espèces migratrices</w:t>
      </w:r>
      <w:r w:rsidR="0076776C" w:rsidRPr="009A106E">
        <w:rPr>
          <w:sz w:val="20"/>
          <w:szCs w:val="20"/>
          <w:lang w:val="fr-FR"/>
        </w:rPr>
        <w:t xml:space="preserve"> en tant que liens mobiles entre les écosystèmes. On notera qu’un certain nombre d’études, portant sur différents taxons, ont déjà été entreprises par la CMS,</w:t>
      </w:r>
      <w:r w:rsidRPr="009A106E">
        <w:rPr>
          <w:sz w:val="20"/>
          <w:szCs w:val="20"/>
          <w:lang w:val="fr-FR"/>
        </w:rPr>
        <w:t xml:space="preserve"> en particulier </w:t>
      </w:r>
      <w:r w:rsidR="0076776C" w:rsidRPr="009A106E">
        <w:rPr>
          <w:sz w:val="20"/>
          <w:szCs w:val="20"/>
          <w:lang w:val="fr-FR"/>
        </w:rPr>
        <w:t xml:space="preserve">sur </w:t>
      </w:r>
      <w:r w:rsidRPr="009A106E">
        <w:rPr>
          <w:sz w:val="20"/>
          <w:szCs w:val="20"/>
          <w:lang w:val="fr-FR"/>
        </w:rPr>
        <w:t xml:space="preserve">les mammifères terrestres, les requins, les tortues marines et les poissons d’eau douce. </w:t>
      </w:r>
      <w:r w:rsidR="0076776C" w:rsidRPr="009A106E">
        <w:rPr>
          <w:sz w:val="20"/>
          <w:szCs w:val="20"/>
          <w:lang w:val="fr-FR"/>
        </w:rPr>
        <w:t>Aucune</w:t>
      </w:r>
      <w:r w:rsidRPr="009A106E">
        <w:rPr>
          <w:sz w:val="20"/>
          <w:szCs w:val="20"/>
          <w:lang w:val="fr-FR"/>
        </w:rPr>
        <w:t xml:space="preserve"> évaluation globale des espèces migratrices</w:t>
      </w:r>
      <w:r w:rsidR="0076776C" w:rsidRPr="009A106E">
        <w:rPr>
          <w:sz w:val="20"/>
          <w:szCs w:val="20"/>
          <w:lang w:val="fr-FR"/>
        </w:rPr>
        <w:t xml:space="preserve"> n’a cependant été entreprise à ce jour</w:t>
      </w:r>
      <w:r w:rsidRPr="009A106E">
        <w:rPr>
          <w:sz w:val="20"/>
          <w:szCs w:val="20"/>
          <w:lang w:val="fr-FR"/>
        </w:rPr>
        <w:t>.</w:t>
      </w:r>
    </w:p>
    <w:p w:rsidR="00D36134" w:rsidRPr="009A106E" w:rsidRDefault="00C91306" w:rsidP="00C91306">
      <w:pPr>
        <w:pStyle w:val="CH1"/>
        <w:rPr>
          <w:lang w:val="fr-FR"/>
        </w:rPr>
      </w:pPr>
      <w:r w:rsidRPr="009A106E">
        <w:rPr>
          <w:lang w:val="fr-FR"/>
        </w:rPr>
        <w:tab/>
      </w:r>
      <w:r w:rsidR="00D36134" w:rsidRPr="009A106E">
        <w:rPr>
          <w:lang w:val="fr-FR"/>
        </w:rPr>
        <w:t>II</w:t>
      </w:r>
      <w:r w:rsidR="00E83C2F" w:rsidRPr="009A106E">
        <w:rPr>
          <w:lang w:val="fr-FR"/>
        </w:rPr>
        <w:t>I</w:t>
      </w:r>
      <w:r w:rsidR="00D36134" w:rsidRPr="009A106E">
        <w:rPr>
          <w:lang w:val="fr-FR"/>
        </w:rPr>
        <w:t>.</w:t>
      </w:r>
      <w:r w:rsidR="00D36134" w:rsidRPr="009A106E">
        <w:rPr>
          <w:lang w:val="fr-FR"/>
        </w:rPr>
        <w:tab/>
      </w:r>
      <w:r w:rsidR="00E432E3">
        <w:rPr>
          <w:lang w:val="fr-FR"/>
        </w:rPr>
        <w:t>Plan</w:t>
      </w:r>
      <w:r w:rsidR="0076776C" w:rsidRPr="009A106E">
        <w:rPr>
          <w:lang w:val="fr-FR"/>
        </w:rPr>
        <w:t xml:space="preserve"> des chapitres</w:t>
      </w:r>
    </w:p>
    <w:p w:rsidR="00E83C2F" w:rsidRPr="009A106E" w:rsidRDefault="00692481" w:rsidP="00B36A9F">
      <w:pPr>
        <w:pStyle w:val="Normalnumber"/>
        <w:rPr>
          <w:sz w:val="20"/>
          <w:szCs w:val="20"/>
          <w:lang w:val="fr-FR"/>
        </w:rPr>
      </w:pPr>
      <w:r w:rsidRPr="009A106E">
        <w:rPr>
          <w:sz w:val="20"/>
          <w:szCs w:val="20"/>
          <w:lang w:val="fr-FR"/>
        </w:rPr>
        <w:t>L</w:t>
      </w:r>
      <w:r w:rsidR="0090431D" w:rsidRPr="009A106E">
        <w:rPr>
          <w:sz w:val="20"/>
          <w:szCs w:val="20"/>
          <w:lang w:val="fr-FR"/>
        </w:rPr>
        <w:t>’évaluation thématique proposée sera présentée dans un rappor</w:t>
      </w:r>
      <w:r w:rsidR="00E83C2F" w:rsidRPr="009A106E">
        <w:rPr>
          <w:sz w:val="20"/>
          <w:szCs w:val="20"/>
          <w:lang w:val="fr-FR"/>
        </w:rPr>
        <w:t>t</w:t>
      </w:r>
      <w:r w:rsidR="0090431D" w:rsidRPr="009A106E">
        <w:rPr>
          <w:sz w:val="20"/>
          <w:szCs w:val="20"/>
          <w:lang w:val="fr-FR"/>
        </w:rPr>
        <w:t xml:space="preserve"> com</w:t>
      </w:r>
      <w:r w:rsidR="0076776C" w:rsidRPr="009A106E">
        <w:rPr>
          <w:sz w:val="20"/>
          <w:szCs w:val="20"/>
          <w:lang w:val="fr-FR"/>
        </w:rPr>
        <w:t>portant huit chapitres, comme indiqué</w:t>
      </w:r>
      <w:r w:rsidR="0090431D" w:rsidRPr="009A106E">
        <w:rPr>
          <w:sz w:val="20"/>
          <w:szCs w:val="20"/>
          <w:lang w:val="fr-FR"/>
        </w:rPr>
        <w:t xml:space="preserve"> ci-dessous.</w:t>
      </w:r>
    </w:p>
    <w:p w:rsidR="00D36134" w:rsidRPr="009A106E" w:rsidRDefault="0090431D" w:rsidP="00B36A9F">
      <w:pPr>
        <w:pStyle w:val="Normalnumber"/>
        <w:rPr>
          <w:sz w:val="20"/>
          <w:szCs w:val="20"/>
          <w:lang w:val="fr-FR"/>
        </w:rPr>
      </w:pPr>
      <w:r w:rsidRPr="009A106E">
        <w:rPr>
          <w:sz w:val="20"/>
          <w:szCs w:val="20"/>
          <w:lang w:val="fr-FR"/>
        </w:rPr>
        <w:t>Chapitre</w:t>
      </w:r>
      <w:r w:rsidR="00AC31BB" w:rsidRPr="009A106E">
        <w:rPr>
          <w:sz w:val="20"/>
          <w:szCs w:val="20"/>
          <w:lang w:val="fr-FR"/>
        </w:rPr>
        <w:t xml:space="preserve"> 1.</w:t>
      </w:r>
      <w:r w:rsidR="00E83C2F" w:rsidRPr="009A106E">
        <w:rPr>
          <w:sz w:val="20"/>
          <w:szCs w:val="20"/>
          <w:lang w:val="fr-FR"/>
        </w:rPr>
        <w:t xml:space="preserve"> </w:t>
      </w:r>
      <w:r w:rsidRPr="009A106E">
        <w:rPr>
          <w:sz w:val="20"/>
          <w:szCs w:val="20"/>
          <w:lang w:val="fr-FR"/>
        </w:rPr>
        <w:t>Introduction aux espèces migratrices :</w:t>
      </w:r>
    </w:p>
    <w:p w:rsidR="00D36134" w:rsidRPr="009A106E" w:rsidRDefault="0090431D" w:rsidP="002D1797">
      <w:pPr>
        <w:pStyle w:val="NormalNonumber"/>
        <w:numPr>
          <w:ilvl w:val="0"/>
          <w:numId w:val="6"/>
        </w:numPr>
        <w:rPr>
          <w:sz w:val="20"/>
          <w:szCs w:val="20"/>
          <w:lang w:val="fr-FR"/>
        </w:rPr>
      </w:pPr>
      <w:r w:rsidRPr="009A106E">
        <w:rPr>
          <w:sz w:val="20"/>
          <w:szCs w:val="20"/>
          <w:lang w:val="fr-FR"/>
        </w:rPr>
        <w:t>Dé</w:t>
      </w:r>
      <w:r w:rsidR="00D36134" w:rsidRPr="009A106E">
        <w:rPr>
          <w:sz w:val="20"/>
          <w:szCs w:val="20"/>
          <w:lang w:val="fr-FR"/>
        </w:rPr>
        <w:t xml:space="preserve">finition </w:t>
      </w:r>
      <w:r w:rsidRPr="009A106E">
        <w:rPr>
          <w:sz w:val="20"/>
          <w:szCs w:val="20"/>
          <w:lang w:val="fr-FR"/>
        </w:rPr>
        <w:t>des espèces migratrices</w:t>
      </w:r>
      <w:r w:rsidR="00E83C2F" w:rsidRPr="009A106E">
        <w:rPr>
          <w:sz w:val="20"/>
          <w:szCs w:val="20"/>
          <w:lang w:val="fr-FR"/>
        </w:rPr>
        <w:t>;</w:t>
      </w:r>
    </w:p>
    <w:p w:rsidR="00D36134" w:rsidRPr="009A106E" w:rsidRDefault="0090431D" w:rsidP="002D1797">
      <w:pPr>
        <w:pStyle w:val="NormalNonumber"/>
        <w:numPr>
          <w:ilvl w:val="0"/>
          <w:numId w:val="6"/>
        </w:numPr>
        <w:rPr>
          <w:sz w:val="20"/>
          <w:szCs w:val="20"/>
          <w:lang w:val="fr-FR"/>
        </w:rPr>
      </w:pPr>
      <w:r w:rsidRPr="009A106E">
        <w:rPr>
          <w:sz w:val="20"/>
          <w:szCs w:val="20"/>
          <w:lang w:val="fr-FR"/>
        </w:rPr>
        <w:t>Types de</w:t>
      </w:r>
      <w:r w:rsidR="00C91306" w:rsidRPr="009A106E">
        <w:rPr>
          <w:sz w:val="20"/>
          <w:szCs w:val="20"/>
          <w:lang w:val="fr-FR"/>
        </w:rPr>
        <w:t xml:space="preserve"> migration</w:t>
      </w:r>
      <w:r w:rsidR="00E83C2F" w:rsidRPr="009A106E">
        <w:rPr>
          <w:sz w:val="20"/>
          <w:szCs w:val="20"/>
          <w:lang w:val="fr-FR"/>
        </w:rPr>
        <w:t>;</w:t>
      </w:r>
    </w:p>
    <w:p w:rsidR="00D36134" w:rsidRPr="009A106E" w:rsidRDefault="0090431D" w:rsidP="002D1797">
      <w:pPr>
        <w:pStyle w:val="NormalNonumber"/>
        <w:numPr>
          <w:ilvl w:val="0"/>
          <w:numId w:val="6"/>
        </w:numPr>
        <w:rPr>
          <w:sz w:val="20"/>
          <w:szCs w:val="20"/>
          <w:lang w:val="fr-FR"/>
        </w:rPr>
      </w:pPr>
      <w:r w:rsidRPr="009A106E">
        <w:rPr>
          <w:sz w:val="20"/>
          <w:szCs w:val="20"/>
          <w:lang w:val="fr-FR"/>
        </w:rPr>
        <w:t>Dangers qui menacent les espèces migratrices.</w:t>
      </w:r>
    </w:p>
    <w:p w:rsidR="0090431D" w:rsidRPr="009A106E" w:rsidRDefault="00D36134" w:rsidP="00B36A9F">
      <w:pPr>
        <w:pStyle w:val="Normalnumber"/>
        <w:rPr>
          <w:lang w:val="fr-FR"/>
        </w:rPr>
      </w:pPr>
      <w:r w:rsidRPr="009A106E">
        <w:rPr>
          <w:sz w:val="20"/>
          <w:szCs w:val="20"/>
          <w:lang w:val="fr-FR"/>
        </w:rPr>
        <w:t>Cha</w:t>
      </w:r>
      <w:r w:rsidR="0090431D" w:rsidRPr="009A106E">
        <w:rPr>
          <w:sz w:val="20"/>
          <w:szCs w:val="20"/>
          <w:lang w:val="fr-FR"/>
        </w:rPr>
        <w:t>pitre</w:t>
      </w:r>
      <w:r w:rsidRPr="009A106E">
        <w:rPr>
          <w:sz w:val="20"/>
          <w:szCs w:val="20"/>
          <w:lang w:val="fr-FR"/>
        </w:rPr>
        <w:t xml:space="preserve"> 2</w:t>
      </w:r>
      <w:r w:rsidR="00AC31BB" w:rsidRPr="009A106E">
        <w:rPr>
          <w:sz w:val="20"/>
          <w:szCs w:val="20"/>
          <w:lang w:val="fr-FR"/>
        </w:rPr>
        <w:t>.</w:t>
      </w:r>
      <w:r w:rsidR="00E83C2F" w:rsidRPr="009A106E">
        <w:rPr>
          <w:sz w:val="20"/>
          <w:szCs w:val="20"/>
          <w:lang w:val="fr-FR"/>
        </w:rPr>
        <w:t xml:space="preserve"> </w:t>
      </w:r>
      <w:r w:rsidR="0090431D" w:rsidRPr="009A106E">
        <w:rPr>
          <w:sz w:val="20"/>
          <w:szCs w:val="20"/>
          <w:lang w:val="fr-FR"/>
        </w:rPr>
        <w:t>Évaluation de la fonction écologique des espèces migratrices dans les écosystèmes :</w:t>
      </w:r>
    </w:p>
    <w:p w:rsidR="00D36134" w:rsidRPr="009A106E" w:rsidRDefault="0090431D" w:rsidP="002D1797">
      <w:pPr>
        <w:pStyle w:val="Normalnumber"/>
        <w:numPr>
          <w:ilvl w:val="0"/>
          <w:numId w:val="5"/>
        </w:numPr>
        <w:ind w:left="1276" w:firstLine="567"/>
        <w:rPr>
          <w:sz w:val="20"/>
          <w:szCs w:val="20"/>
          <w:lang w:val="fr-FR"/>
        </w:rPr>
      </w:pPr>
      <w:r w:rsidRPr="009A106E">
        <w:rPr>
          <w:sz w:val="20"/>
          <w:szCs w:val="20"/>
          <w:lang w:val="fr-FR"/>
        </w:rPr>
        <w:t>Établissement de liens entre les ressources</w:t>
      </w:r>
      <w:r w:rsidR="00BE514C" w:rsidRPr="009A106E">
        <w:rPr>
          <w:sz w:val="20"/>
          <w:szCs w:val="20"/>
          <w:lang w:val="fr-FR"/>
        </w:rPr>
        <w:t xml:space="preserve"> (</w:t>
      </w:r>
      <w:r w:rsidR="00D36134" w:rsidRPr="009A106E">
        <w:rPr>
          <w:sz w:val="20"/>
          <w:szCs w:val="20"/>
          <w:lang w:val="fr-FR"/>
        </w:rPr>
        <w:t>transport</w:t>
      </w:r>
      <w:r w:rsidR="00BE514C" w:rsidRPr="009A106E">
        <w:rPr>
          <w:sz w:val="20"/>
          <w:szCs w:val="20"/>
          <w:lang w:val="fr-FR"/>
        </w:rPr>
        <w:t xml:space="preserve"> de matières organiques, de nutriments, de minéraux,</w:t>
      </w:r>
      <w:r w:rsidR="00E83C2F" w:rsidRPr="009A106E">
        <w:rPr>
          <w:sz w:val="20"/>
          <w:szCs w:val="20"/>
          <w:lang w:val="fr-FR"/>
        </w:rPr>
        <w:t xml:space="preserve"> etc</w:t>
      </w:r>
      <w:r w:rsidR="00D36134" w:rsidRPr="009A106E">
        <w:rPr>
          <w:sz w:val="20"/>
          <w:szCs w:val="20"/>
          <w:lang w:val="fr-FR"/>
        </w:rPr>
        <w:t>.)</w:t>
      </w:r>
      <w:r w:rsidR="00E83C2F" w:rsidRPr="009A106E">
        <w:rPr>
          <w:sz w:val="20"/>
          <w:szCs w:val="20"/>
          <w:lang w:val="fr-FR"/>
        </w:rPr>
        <w:t>;</w:t>
      </w:r>
    </w:p>
    <w:p w:rsidR="00D36134" w:rsidRPr="009A106E" w:rsidRDefault="0090431D" w:rsidP="002D1797">
      <w:pPr>
        <w:pStyle w:val="Normalnumber"/>
        <w:numPr>
          <w:ilvl w:val="0"/>
          <w:numId w:val="5"/>
        </w:numPr>
        <w:ind w:left="1276" w:firstLine="567"/>
        <w:rPr>
          <w:sz w:val="20"/>
          <w:szCs w:val="20"/>
          <w:lang w:val="fr-FR"/>
        </w:rPr>
      </w:pPr>
      <w:r w:rsidRPr="009A106E">
        <w:rPr>
          <w:sz w:val="20"/>
          <w:szCs w:val="20"/>
          <w:lang w:val="fr-FR"/>
        </w:rPr>
        <w:t>É</w:t>
      </w:r>
      <w:r w:rsidR="0076776C" w:rsidRPr="009A106E">
        <w:rPr>
          <w:sz w:val="20"/>
          <w:szCs w:val="20"/>
          <w:lang w:val="fr-FR"/>
        </w:rPr>
        <w:t xml:space="preserve">tablissement de </w:t>
      </w:r>
      <w:r w:rsidRPr="009A106E">
        <w:rPr>
          <w:sz w:val="20"/>
          <w:szCs w:val="20"/>
          <w:lang w:val="fr-FR"/>
        </w:rPr>
        <w:t>lien</w:t>
      </w:r>
      <w:r w:rsidR="0076776C" w:rsidRPr="009A106E">
        <w:rPr>
          <w:sz w:val="20"/>
          <w:szCs w:val="20"/>
          <w:lang w:val="fr-FR"/>
        </w:rPr>
        <w:t>s</w:t>
      </w:r>
      <w:r w:rsidRPr="009A106E">
        <w:rPr>
          <w:sz w:val="20"/>
          <w:szCs w:val="20"/>
          <w:lang w:val="fr-FR"/>
        </w:rPr>
        <w:t xml:space="preserve"> entre réservoirs génétiques</w:t>
      </w:r>
      <w:r w:rsidR="00D36134" w:rsidRPr="009A106E">
        <w:rPr>
          <w:sz w:val="20"/>
          <w:szCs w:val="20"/>
          <w:lang w:val="fr-FR"/>
        </w:rPr>
        <w:t xml:space="preserve"> (</w:t>
      </w:r>
      <w:r w:rsidR="0076776C" w:rsidRPr="009A106E">
        <w:rPr>
          <w:sz w:val="20"/>
          <w:szCs w:val="20"/>
          <w:lang w:val="fr-FR"/>
        </w:rPr>
        <w:t>dispersion de semences</w:t>
      </w:r>
      <w:r w:rsidRPr="009A106E">
        <w:rPr>
          <w:sz w:val="20"/>
          <w:szCs w:val="20"/>
          <w:lang w:val="fr-FR"/>
        </w:rPr>
        <w:t xml:space="preserve">, pollinisation, </w:t>
      </w:r>
      <w:r w:rsidR="00E83C2F" w:rsidRPr="009A106E">
        <w:rPr>
          <w:sz w:val="20"/>
          <w:szCs w:val="20"/>
          <w:lang w:val="fr-FR"/>
        </w:rPr>
        <w:t>etc.</w:t>
      </w:r>
      <w:r w:rsidR="00D36134" w:rsidRPr="009A106E">
        <w:rPr>
          <w:sz w:val="20"/>
          <w:szCs w:val="20"/>
          <w:lang w:val="fr-FR"/>
        </w:rPr>
        <w:t>)</w:t>
      </w:r>
      <w:r w:rsidR="00E83C2F" w:rsidRPr="009A106E">
        <w:rPr>
          <w:sz w:val="20"/>
          <w:szCs w:val="20"/>
          <w:lang w:val="fr-FR"/>
        </w:rPr>
        <w:t>;</w:t>
      </w:r>
    </w:p>
    <w:p w:rsidR="00D36134" w:rsidRPr="009A106E" w:rsidRDefault="0090431D" w:rsidP="002D1797">
      <w:pPr>
        <w:pStyle w:val="Normalnumber"/>
        <w:numPr>
          <w:ilvl w:val="0"/>
          <w:numId w:val="5"/>
        </w:numPr>
        <w:ind w:left="1276" w:firstLine="567"/>
        <w:rPr>
          <w:sz w:val="20"/>
          <w:szCs w:val="20"/>
          <w:lang w:val="fr-FR"/>
        </w:rPr>
      </w:pPr>
      <w:r w:rsidRPr="009A106E">
        <w:rPr>
          <w:sz w:val="20"/>
          <w:szCs w:val="20"/>
          <w:lang w:val="fr-FR"/>
        </w:rPr>
        <w:t xml:space="preserve">Établissement d’un lien entre processus (exemple : le pâturage structure le développement des communautés </w:t>
      </w:r>
      <w:r w:rsidR="00EB5238">
        <w:rPr>
          <w:sz w:val="20"/>
          <w:szCs w:val="20"/>
          <w:lang w:val="fr-FR"/>
        </w:rPr>
        <w:t>végétal</w:t>
      </w:r>
      <w:r w:rsidRPr="009A106E">
        <w:rPr>
          <w:sz w:val="20"/>
          <w:szCs w:val="20"/>
          <w:lang w:val="fr-FR"/>
        </w:rPr>
        <w:t>es</w:t>
      </w:r>
      <w:r w:rsidR="00D36134" w:rsidRPr="009A106E">
        <w:rPr>
          <w:sz w:val="20"/>
          <w:szCs w:val="20"/>
          <w:lang w:val="fr-FR"/>
        </w:rPr>
        <w:t>)</w:t>
      </w:r>
      <w:r w:rsidR="00E83C2F" w:rsidRPr="009A106E">
        <w:rPr>
          <w:sz w:val="20"/>
          <w:szCs w:val="20"/>
          <w:lang w:val="fr-FR"/>
        </w:rPr>
        <w:t>.</w:t>
      </w:r>
    </w:p>
    <w:p w:rsidR="00D36134" w:rsidRPr="009A106E" w:rsidRDefault="00BE514C" w:rsidP="00B36A9F">
      <w:pPr>
        <w:pStyle w:val="Normalnumber"/>
        <w:rPr>
          <w:sz w:val="20"/>
          <w:szCs w:val="20"/>
          <w:lang w:val="fr-FR"/>
        </w:rPr>
      </w:pPr>
      <w:r w:rsidRPr="009A106E">
        <w:rPr>
          <w:sz w:val="20"/>
          <w:szCs w:val="20"/>
          <w:lang w:val="fr-FR"/>
        </w:rPr>
        <w:t>Chapitres</w:t>
      </w:r>
      <w:r w:rsidR="00AC31BB" w:rsidRPr="009A106E">
        <w:rPr>
          <w:sz w:val="20"/>
          <w:szCs w:val="20"/>
          <w:lang w:val="fr-FR"/>
        </w:rPr>
        <w:t xml:space="preserve"> 3.</w:t>
      </w:r>
      <w:r w:rsidR="00E83C2F" w:rsidRPr="009A106E">
        <w:rPr>
          <w:sz w:val="20"/>
          <w:szCs w:val="20"/>
          <w:lang w:val="fr-FR"/>
        </w:rPr>
        <w:t xml:space="preserve"> </w:t>
      </w:r>
      <w:r w:rsidRPr="009A106E">
        <w:rPr>
          <w:sz w:val="20"/>
          <w:szCs w:val="20"/>
          <w:lang w:val="fr-FR"/>
        </w:rPr>
        <w:t xml:space="preserve">Évaluation de la valeur économique des services écosystémiques fournis par les espèces migratrices </w:t>
      </w:r>
      <w:r w:rsidR="00E83C2F" w:rsidRPr="009A106E">
        <w:rPr>
          <w:sz w:val="20"/>
          <w:szCs w:val="20"/>
          <w:lang w:val="fr-FR"/>
        </w:rPr>
        <w:t>:</w:t>
      </w:r>
    </w:p>
    <w:p w:rsidR="00D36134" w:rsidRPr="009A106E" w:rsidRDefault="009A106E" w:rsidP="009A106E">
      <w:pPr>
        <w:pStyle w:val="Normalnumber"/>
        <w:numPr>
          <w:ilvl w:val="0"/>
          <w:numId w:val="0"/>
        </w:numPr>
        <w:tabs>
          <w:tab w:val="clear" w:pos="1814"/>
        </w:tabs>
        <w:ind w:left="1276" w:firstLine="567"/>
        <w:rPr>
          <w:sz w:val="20"/>
          <w:szCs w:val="20"/>
          <w:lang w:val="fr-FR"/>
        </w:rPr>
      </w:pPr>
      <w:r w:rsidRPr="009A106E">
        <w:rPr>
          <w:sz w:val="20"/>
          <w:szCs w:val="20"/>
          <w:lang w:val="fr-FR"/>
        </w:rPr>
        <w:t>a)</w:t>
      </w:r>
      <w:r w:rsidRPr="009A106E">
        <w:rPr>
          <w:sz w:val="20"/>
          <w:szCs w:val="20"/>
          <w:lang w:val="fr-FR"/>
        </w:rPr>
        <w:tab/>
      </w:r>
      <w:r w:rsidR="00BE514C" w:rsidRPr="009A106E">
        <w:rPr>
          <w:sz w:val="20"/>
          <w:szCs w:val="20"/>
          <w:lang w:val="fr-FR"/>
        </w:rPr>
        <w:t>Valeur d’un certain nombre de services écosystémiques (</w:t>
      </w:r>
      <w:r w:rsidR="00D730C6" w:rsidRPr="009A106E">
        <w:rPr>
          <w:sz w:val="20"/>
          <w:szCs w:val="20"/>
          <w:lang w:val="fr-FR"/>
        </w:rPr>
        <w:t xml:space="preserve">approvisionnement, support, régulation, </w:t>
      </w:r>
      <w:r w:rsidR="00692481" w:rsidRPr="009A106E">
        <w:rPr>
          <w:sz w:val="20"/>
          <w:szCs w:val="20"/>
          <w:lang w:val="fr-FR"/>
        </w:rPr>
        <w:t xml:space="preserve">valeurs </w:t>
      </w:r>
      <w:r w:rsidR="00D730C6" w:rsidRPr="009A106E">
        <w:rPr>
          <w:sz w:val="20"/>
          <w:szCs w:val="20"/>
          <w:lang w:val="fr-FR"/>
        </w:rPr>
        <w:t>culture</w:t>
      </w:r>
      <w:r w:rsidR="00692481" w:rsidRPr="009A106E">
        <w:rPr>
          <w:sz w:val="20"/>
          <w:szCs w:val="20"/>
          <w:lang w:val="fr-FR"/>
        </w:rPr>
        <w:t>lles</w:t>
      </w:r>
      <w:r w:rsidR="00D730C6" w:rsidRPr="009A106E">
        <w:rPr>
          <w:sz w:val="20"/>
          <w:szCs w:val="20"/>
          <w:lang w:val="fr-FR"/>
        </w:rPr>
        <w:t>)</w:t>
      </w:r>
      <w:r w:rsidR="00BE514C" w:rsidRPr="009A106E">
        <w:rPr>
          <w:sz w:val="20"/>
          <w:szCs w:val="20"/>
          <w:lang w:val="fr-FR"/>
        </w:rPr>
        <w:t xml:space="preserve"> fournis par les espèces migratrices</w:t>
      </w:r>
      <w:r w:rsidR="00436890" w:rsidRPr="009A106E">
        <w:rPr>
          <w:sz w:val="20"/>
          <w:szCs w:val="20"/>
          <w:lang w:val="fr-FR"/>
        </w:rPr>
        <w:t>;</w:t>
      </w:r>
    </w:p>
    <w:p w:rsidR="00D36134" w:rsidRPr="009A106E" w:rsidRDefault="009A106E" w:rsidP="009A106E">
      <w:pPr>
        <w:pStyle w:val="Normalnumber"/>
        <w:numPr>
          <w:ilvl w:val="0"/>
          <w:numId w:val="0"/>
        </w:numPr>
        <w:tabs>
          <w:tab w:val="clear" w:pos="1814"/>
        </w:tabs>
        <w:ind w:left="1276" w:firstLine="567"/>
        <w:rPr>
          <w:sz w:val="20"/>
          <w:szCs w:val="20"/>
          <w:lang w:val="fr-FR"/>
        </w:rPr>
      </w:pPr>
      <w:r w:rsidRPr="009A106E">
        <w:rPr>
          <w:sz w:val="20"/>
          <w:szCs w:val="20"/>
          <w:lang w:val="fr-FR"/>
        </w:rPr>
        <w:t>b)</w:t>
      </w:r>
      <w:r w:rsidRPr="009A106E">
        <w:rPr>
          <w:sz w:val="20"/>
          <w:szCs w:val="20"/>
          <w:lang w:val="fr-FR"/>
        </w:rPr>
        <w:tab/>
      </w:r>
      <w:r w:rsidR="00EB5238">
        <w:rPr>
          <w:sz w:val="20"/>
          <w:szCs w:val="20"/>
          <w:lang w:val="fr-FR"/>
        </w:rPr>
        <w:t>M</w:t>
      </w:r>
      <w:r w:rsidR="00BE514C" w:rsidRPr="009A106E">
        <w:rPr>
          <w:sz w:val="20"/>
          <w:szCs w:val="20"/>
          <w:lang w:val="fr-FR"/>
        </w:rPr>
        <w:t xml:space="preserve">oyens d’intégrer la valeur des espèces migratrices et de leurs </w:t>
      </w:r>
      <w:r w:rsidR="00D36134" w:rsidRPr="009A106E">
        <w:rPr>
          <w:bCs/>
          <w:sz w:val="20"/>
          <w:szCs w:val="20"/>
          <w:lang w:val="fr-FR"/>
        </w:rPr>
        <w:t>habitats</w:t>
      </w:r>
      <w:r w:rsidR="00BE514C" w:rsidRPr="009A106E">
        <w:rPr>
          <w:bCs/>
          <w:sz w:val="20"/>
          <w:szCs w:val="20"/>
          <w:lang w:val="fr-FR"/>
        </w:rPr>
        <w:t xml:space="preserve"> dans les stratégies et plans locaux, nationaux et </w:t>
      </w:r>
      <w:r w:rsidR="00D36134" w:rsidRPr="009A106E">
        <w:rPr>
          <w:bCs/>
          <w:sz w:val="20"/>
          <w:szCs w:val="20"/>
          <w:lang w:val="fr-FR"/>
        </w:rPr>
        <w:t>internationa</w:t>
      </w:r>
      <w:r w:rsidR="00BE514C" w:rsidRPr="009A106E">
        <w:rPr>
          <w:bCs/>
          <w:sz w:val="20"/>
          <w:szCs w:val="20"/>
          <w:lang w:val="fr-FR"/>
        </w:rPr>
        <w:t>ux de développement et d’élimination de la pauvreté.</w:t>
      </w:r>
    </w:p>
    <w:p w:rsidR="00D36134" w:rsidRPr="009A106E" w:rsidRDefault="00BE514C" w:rsidP="00436890">
      <w:pPr>
        <w:pStyle w:val="Normalnumber"/>
        <w:rPr>
          <w:sz w:val="20"/>
          <w:szCs w:val="20"/>
          <w:lang w:val="fr-FR"/>
        </w:rPr>
      </w:pPr>
      <w:r w:rsidRPr="009A106E">
        <w:rPr>
          <w:sz w:val="20"/>
          <w:szCs w:val="20"/>
          <w:lang w:val="fr-FR"/>
        </w:rPr>
        <w:t>Chapitre</w:t>
      </w:r>
      <w:r w:rsidR="00AC31BB" w:rsidRPr="009A106E">
        <w:rPr>
          <w:sz w:val="20"/>
          <w:szCs w:val="20"/>
          <w:lang w:val="fr-FR"/>
        </w:rPr>
        <w:t xml:space="preserve"> 4.</w:t>
      </w:r>
      <w:r w:rsidR="00E83C2F" w:rsidRPr="009A106E">
        <w:rPr>
          <w:sz w:val="20"/>
          <w:szCs w:val="20"/>
          <w:lang w:val="fr-FR"/>
        </w:rPr>
        <w:t xml:space="preserve"> </w:t>
      </w:r>
      <w:r w:rsidRPr="009A106E">
        <w:rPr>
          <w:sz w:val="20"/>
          <w:szCs w:val="20"/>
          <w:lang w:val="fr-FR"/>
        </w:rPr>
        <w:t xml:space="preserve">Évaluation des impacts des changements climatiques sur les espèces migratrices </w:t>
      </w:r>
      <w:r w:rsidR="00E83C2F" w:rsidRPr="009A106E">
        <w:rPr>
          <w:sz w:val="20"/>
          <w:szCs w:val="20"/>
          <w:lang w:val="fr-FR"/>
        </w:rPr>
        <w:t>:</w:t>
      </w:r>
    </w:p>
    <w:p w:rsidR="00D36134" w:rsidRPr="009A106E" w:rsidRDefault="00BE514C" w:rsidP="002D1797">
      <w:pPr>
        <w:pStyle w:val="Normalnumber"/>
        <w:numPr>
          <w:ilvl w:val="0"/>
          <w:numId w:val="8"/>
        </w:numPr>
        <w:ind w:hanging="284"/>
        <w:rPr>
          <w:sz w:val="20"/>
          <w:szCs w:val="20"/>
          <w:lang w:val="fr-FR"/>
        </w:rPr>
      </w:pPr>
      <w:r w:rsidRPr="009A106E">
        <w:rPr>
          <w:sz w:val="20"/>
          <w:szCs w:val="20"/>
          <w:lang w:val="fr-FR"/>
        </w:rPr>
        <w:t>Pertes et modifications d’habitats</w:t>
      </w:r>
      <w:r w:rsidR="00E83C2F" w:rsidRPr="009A106E">
        <w:rPr>
          <w:sz w:val="20"/>
          <w:szCs w:val="20"/>
          <w:lang w:val="fr-FR"/>
        </w:rPr>
        <w:t>;</w:t>
      </w:r>
    </w:p>
    <w:p w:rsidR="00D36134" w:rsidRPr="009A106E" w:rsidRDefault="00BE514C" w:rsidP="002D1797">
      <w:pPr>
        <w:pStyle w:val="Normalnumber"/>
        <w:numPr>
          <w:ilvl w:val="0"/>
          <w:numId w:val="8"/>
        </w:numPr>
        <w:ind w:hanging="284"/>
        <w:rPr>
          <w:sz w:val="20"/>
          <w:szCs w:val="20"/>
          <w:lang w:val="fr-FR"/>
        </w:rPr>
      </w:pPr>
      <w:r w:rsidRPr="009A106E">
        <w:rPr>
          <w:sz w:val="20"/>
          <w:szCs w:val="20"/>
          <w:lang w:val="fr-FR"/>
        </w:rPr>
        <w:t>Changements dans la disponibilité des ressources</w:t>
      </w:r>
      <w:r w:rsidR="00E83C2F" w:rsidRPr="009A106E">
        <w:rPr>
          <w:sz w:val="20"/>
          <w:szCs w:val="20"/>
          <w:lang w:val="fr-FR"/>
        </w:rPr>
        <w:t>;</w:t>
      </w:r>
    </w:p>
    <w:p w:rsidR="00D36134" w:rsidRPr="009A106E" w:rsidRDefault="00BE514C" w:rsidP="002D1797">
      <w:pPr>
        <w:pStyle w:val="Normalnumber"/>
        <w:numPr>
          <w:ilvl w:val="0"/>
          <w:numId w:val="8"/>
        </w:numPr>
        <w:ind w:hanging="284"/>
        <w:rPr>
          <w:sz w:val="20"/>
          <w:szCs w:val="20"/>
          <w:lang w:val="fr-FR"/>
        </w:rPr>
      </w:pPr>
      <w:r w:rsidRPr="009A106E">
        <w:rPr>
          <w:sz w:val="20"/>
          <w:szCs w:val="20"/>
          <w:lang w:val="fr-FR"/>
        </w:rPr>
        <w:t>Évolution de la phénologie</w:t>
      </w:r>
      <w:r w:rsidR="00E83C2F" w:rsidRPr="009A106E">
        <w:rPr>
          <w:sz w:val="20"/>
          <w:szCs w:val="20"/>
          <w:lang w:val="fr-FR"/>
        </w:rPr>
        <w:t>;</w:t>
      </w:r>
    </w:p>
    <w:p w:rsidR="00D36134" w:rsidRPr="009A106E" w:rsidRDefault="00BE514C" w:rsidP="002D1797">
      <w:pPr>
        <w:pStyle w:val="Normalnumber"/>
        <w:numPr>
          <w:ilvl w:val="0"/>
          <w:numId w:val="8"/>
        </w:numPr>
        <w:ind w:hanging="284"/>
        <w:rPr>
          <w:sz w:val="20"/>
          <w:szCs w:val="20"/>
          <w:lang w:val="fr-FR"/>
        </w:rPr>
      </w:pPr>
      <w:r w:rsidRPr="009A106E">
        <w:rPr>
          <w:sz w:val="20"/>
          <w:szCs w:val="20"/>
          <w:lang w:val="fr-FR"/>
        </w:rPr>
        <w:lastRenderedPageBreak/>
        <w:t xml:space="preserve">Entraves aux </w:t>
      </w:r>
      <w:r w:rsidR="00D36134" w:rsidRPr="009A106E">
        <w:rPr>
          <w:sz w:val="20"/>
          <w:szCs w:val="20"/>
          <w:lang w:val="fr-FR"/>
        </w:rPr>
        <w:t>migration</w:t>
      </w:r>
      <w:r w:rsidRPr="009A106E">
        <w:rPr>
          <w:sz w:val="20"/>
          <w:szCs w:val="20"/>
          <w:lang w:val="fr-FR"/>
        </w:rPr>
        <w:t>s</w:t>
      </w:r>
      <w:r w:rsidR="00E83C2F" w:rsidRPr="009A106E">
        <w:rPr>
          <w:sz w:val="20"/>
          <w:szCs w:val="20"/>
          <w:lang w:val="fr-FR"/>
        </w:rPr>
        <w:t>;</w:t>
      </w:r>
    </w:p>
    <w:p w:rsidR="00D36134" w:rsidRPr="009A106E" w:rsidRDefault="00D730C6" w:rsidP="002D1797">
      <w:pPr>
        <w:pStyle w:val="Normalnumber"/>
        <w:numPr>
          <w:ilvl w:val="0"/>
          <w:numId w:val="8"/>
        </w:numPr>
        <w:ind w:hanging="284"/>
        <w:rPr>
          <w:sz w:val="20"/>
          <w:szCs w:val="20"/>
          <w:lang w:val="fr-FR"/>
        </w:rPr>
      </w:pPr>
      <w:r w:rsidRPr="009A106E">
        <w:rPr>
          <w:sz w:val="20"/>
          <w:szCs w:val="20"/>
          <w:lang w:val="fr-FR"/>
        </w:rPr>
        <w:t>Réponses</w:t>
      </w:r>
      <w:r w:rsidR="00BE514C" w:rsidRPr="009A106E">
        <w:rPr>
          <w:sz w:val="20"/>
          <w:szCs w:val="20"/>
          <w:lang w:val="fr-FR"/>
        </w:rPr>
        <w:t xml:space="preserve"> politiques</w:t>
      </w:r>
      <w:r w:rsidR="00436890" w:rsidRPr="009A106E">
        <w:rPr>
          <w:sz w:val="20"/>
          <w:szCs w:val="20"/>
          <w:lang w:val="fr-FR"/>
        </w:rPr>
        <w:t>.</w:t>
      </w:r>
    </w:p>
    <w:p w:rsidR="00D36134" w:rsidRPr="009A106E" w:rsidRDefault="00BE514C" w:rsidP="00436890">
      <w:pPr>
        <w:pStyle w:val="Normalnumber"/>
        <w:rPr>
          <w:sz w:val="20"/>
          <w:szCs w:val="20"/>
          <w:lang w:val="fr-FR"/>
        </w:rPr>
      </w:pPr>
      <w:r w:rsidRPr="009A106E">
        <w:rPr>
          <w:sz w:val="20"/>
          <w:szCs w:val="20"/>
          <w:lang w:val="fr-FR"/>
        </w:rPr>
        <w:t>Chapitre</w:t>
      </w:r>
      <w:r w:rsidR="00AC31BB" w:rsidRPr="009A106E">
        <w:rPr>
          <w:sz w:val="20"/>
          <w:szCs w:val="20"/>
          <w:lang w:val="fr-FR"/>
        </w:rPr>
        <w:t xml:space="preserve"> 5.</w:t>
      </w:r>
      <w:r w:rsidR="00D36134" w:rsidRPr="009A106E">
        <w:rPr>
          <w:sz w:val="20"/>
          <w:szCs w:val="20"/>
          <w:lang w:val="fr-FR"/>
        </w:rPr>
        <w:t xml:space="preserve"> </w:t>
      </w:r>
      <w:r w:rsidRPr="009A106E">
        <w:rPr>
          <w:sz w:val="20"/>
          <w:szCs w:val="20"/>
          <w:lang w:val="fr-FR"/>
        </w:rPr>
        <w:t xml:space="preserve">Évaluation des savoirs traditionnels </w:t>
      </w:r>
      <w:r w:rsidR="00D730C6" w:rsidRPr="009A106E">
        <w:rPr>
          <w:sz w:val="20"/>
          <w:szCs w:val="20"/>
          <w:lang w:val="fr-FR"/>
        </w:rPr>
        <w:t>concernant</w:t>
      </w:r>
      <w:r w:rsidR="00C8469B" w:rsidRPr="009A106E">
        <w:rPr>
          <w:sz w:val="20"/>
          <w:szCs w:val="20"/>
          <w:lang w:val="fr-FR"/>
        </w:rPr>
        <w:t xml:space="preserve"> les espèces migratrices </w:t>
      </w:r>
      <w:r w:rsidR="00E83C2F" w:rsidRPr="009A106E">
        <w:rPr>
          <w:sz w:val="20"/>
          <w:szCs w:val="20"/>
          <w:lang w:val="fr-FR"/>
        </w:rPr>
        <w:t>:</w:t>
      </w:r>
    </w:p>
    <w:p w:rsidR="00D36134" w:rsidRPr="009A106E" w:rsidRDefault="00C8469B" w:rsidP="002D1797">
      <w:pPr>
        <w:pStyle w:val="Normalnumber"/>
        <w:numPr>
          <w:ilvl w:val="0"/>
          <w:numId w:val="9"/>
        </w:numPr>
        <w:ind w:hanging="644"/>
        <w:rPr>
          <w:sz w:val="20"/>
          <w:szCs w:val="20"/>
          <w:lang w:val="fr-FR"/>
        </w:rPr>
      </w:pPr>
      <w:r w:rsidRPr="009A106E">
        <w:rPr>
          <w:sz w:val="20"/>
          <w:szCs w:val="20"/>
          <w:lang w:val="fr-FR"/>
        </w:rPr>
        <w:t>I</w:t>
      </w:r>
      <w:r w:rsidR="00D36134" w:rsidRPr="009A106E">
        <w:rPr>
          <w:sz w:val="20"/>
          <w:szCs w:val="20"/>
          <w:lang w:val="fr-FR"/>
        </w:rPr>
        <w:t xml:space="preserve">mportance </w:t>
      </w:r>
      <w:r w:rsidR="00D730C6" w:rsidRPr="009A106E">
        <w:rPr>
          <w:sz w:val="20"/>
          <w:szCs w:val="20"/>
          <w:lang w:val="fr-FR"/>
        </w:rPr>
        <w:t>des savoirs traditionnels concernant</w:t>
      </w:r>
      <w:r w:rsidRPr="009A106E">
        <w:rPr>
          <w:sz w:val="20"/>
          <w:szCs w:val="20"/>
          <w:lang w:val="fr-FR"/>
        </w:rPr>
        <w:t xml:space="preserve"> les espèces migratrices</w:t>
      </w:r>
      <w:r w:rsidR="00E83C2F" w:rsidRPr="009A106E">
        <w:rPr>
          <w:sz w:val="20"/>
          <w:szCs w:val="20"/>
          <w:lang w:val="fr-FR"/>
        </w:rPr>
        <w:t>;</w:t>
      </w:r>
    </w:p>
    <w:p w:rsidR="00D36134" w:rsidRPr="009A106E" w:rsidRDefault="00C8469B" w:rsidP="002D1797">
      <w:pPr>
        <w:pStyle w:val="Normalnumber"/>
        <w:numPr>
          <w:ilvl w:val="0"/>
          <w:numId w:val="9"/>
        </w:numPr>
        <w:ind w:hanging="644"/>
        <w:rPr>
          <w:sz w:val="20"/>
          <w:szCs w:val="20"/>
          <w:lang w:val="fr-FR"/>
        </w:rPr>
      </w:pPr>
      <w:r w:rsidRPr="009A106E">
        <w:rPr>
          <w:sz w:val="20"/>
          <w:szCs w:val="20"/>
          <w:lang w:val="fr-FR"/>
        </w:rPr>
        <w:t>Études de cas sur un certain nombre d’espèces migratrices aviaires, marines et terrestres.</w:t>
      </w:r>
    </w:p>
    <w:p w:rsidR="00D36134" w:rsidRPr="009A106E" w:rsidRDefault="00C8469B" w:rsidP="00C8469B">
      <w:pPr>
        <w:pStyle w:val="Normalnumber"/>
        <w:rPr>
          <w:sz w:val="20"/>
          <w:szCs w:val="20"/>
          <w:lang w:val="fr-FR"/>
        </w:rPr>
      </w:pPr>
      <w:r w:rsidRPr="009A106E">
        <w:rPr>
          <w:sz w:val="20"/>
          <w:szCs w:val="20"/>
          <w:lang w:val="fr-FR"/>
        </w:rPr>
        <w:t>Chapitre</w:t>
      </w:r>
      <w:r w:rsidR="00AC31BB" w:rsidRPr="009A106E">
        <w:rPr>
          <w:sz w:val="20"/>
          <w:szCs w:val="20"/>
          <w:lang w:val="fr-FR"/>
        </w:rPr>
        <w:t xml:space="preserve"> 6.</w:t>
      </w:r>
      <w:r w:rsidR="00E83C2F" w:rsidRPr="009A106E">
        <w:rPr>
          <w:sz w:val="20"/>
          <w:szCs w:val="20"/>
          <w:lang w:val="fr-FR"/>
        </w:rPr>
        <w:t xml:space="preserve"> </w:t>
      </w:r>
      <w:r w:rsidR="00BE514C" w:rsidRPr="009A106E">
        <w:rPr>
          <w:sz w:val="20"/>
          <w:szCs w:val="20"/>
          <w:lang w:val="fr-FR"/>
        </w:rPr>
        <w:t>É</w:t>
      </w:r>
      <w:r w:rsidRPr="009A106E">
        <w:rPr>
          <w:sz w:val="20"/>
          <w:szCs w:val="20"/>
          <w:lang w:val="fr-FR"/>
        </w:rPr>
        <w:t>valuation des espèces migratrices dans les zones situées hor</w:t>
      </w:r>
      <w:r w:rsidR="00EB5238">
        <w:rPr>
          <w:sz w:val="20"/>
          <w:szCs w:val="20"/>
          <w:lang w:val="fr-FR"/>
        </w:rPr>
        <w:t>s des juridictions nationales :</w:t>
      </w:r>
    </w:p>
    <w:p w:rsidR="00D36134" w:rsidRPr="009A106E" w:rsidRDefault="00D730C6" w:rsidP="00C8469B">
      <w:pPr>
        <w:pStyle w:val="Normalnumber"/>
        <w:numPr>
          <w:ilvl w:val="0"/>
          <w:numId w:val="10"/>
        </w:numPr>
        <w:tabs>
          <w:tab w:val="clear" w:pos="2948"/>
        </w:tabs>
        <w:ind w:left="1276" w:firstLine="567"/>
        <w:rPr>
          <w:sz w:val="20"/>
          <w:szCs w:val="20"/>
          <w:lang w:val="fr-FR"/>
        </w:rPr>
      </w:pPr>
      <w:r w:rsidRPr="009A106E">
        <w:rPr>
          <w:sz w:val="20"/>
          <w:szCs w:val="20"/>
          <w:lang w:val="fr-FR"/>
        </w:rPr>
        <w:t>I</w:t>
      </w:r>
      <w:r w:rsidR="00D36134" w:rsidRPr="009A106E">
        <w:rPr>
          <w:sz w:val="20"/>
          <w:szCs w:val="20"/>
          <w:lang w:val="fr-FR"/>
        </w:rPr>
        <w:t xml:space="preserve">mportance </w:t>
      </w:r>
      <w:r w:rsidR="00C8469B" w:rsidRPr="009A106E">
        <w:rPr>
          <w:sz w:val="20"/>
          <w:szCs w:val="20"/>
          <w:lang w:val="fr-FR"/>
        </w:rPr>
        <w:t>des zones situées hors des juridictions nationales pour les espèces migratrices</w:t>
      </w:r>
      <w:r w:rsidR="00E83C2F" w:rsidRPr="009A106E">
        <w:rPr>
          <w:sz w:val="20"/>
          <w:szCs w:val="20"/>
          <w:lang w:val="fr-FR"/>
        </w:rPr>
        <w:t>;</w:t>
      </w:r>
    </w:p>
    <w:p w:rsidR="00D36134" w:rsidRPr="009A106E" w:rsidRDefault="00C8469B" w:rsidP="00C8469B">
      <w:pPr>
        <w:pStyle w:val="Normalnumber"/>
        <w:numPr>
          <w:ilvl w:val="0"/>
          <w:numId w:val="10"/>
        </w:numPr>
        <w:tabs>
          <w:tab w:val="clear" w:pos="1814"/>
          <w:tab w:val="clear" w:pos="2381"/>
          <w:tab w:val="clear" w:pos="2948"/>
          <w:tab w:val="clear" w:pos="3515"/>
          <w:tab w:val="left" w:pos="2410"/>
        </w:tabs>
        <w:ind w:left="1276" w:firstLine="567"/>
        <w:rPr>
          <w:sz w:val="20"/>
          <w:szCs w:val="20"/>
          <w:lang w:val="fr-FR"/>
        </w:rPr>
      </w:pPr>
      <w:r w:rsidRPr="009A106E">
        <w:rPr>
          <w:sz w:val="20"/>
          <w:szCs w:val="20"/>
          <w:lang w:val="fr-FR"/>
        </w:rPr>
        <w:t>Efficacité des politiques régissant les</w:t>
      </w:r>
      <w:r w:rsidR="00E83C2F" w:rsidRPr="009A106E">
        <w:rPr>
          <w:sz w:val="20"/>
          <w:szCs w:val="20"/>
          <w:lang w:val="fr-FR"/>
        </w:rPr>
        <w:t xml:space="preserve"> </w:t>
      </w:r>
      <w:r w:rsidRPr="009A106E">
        <w:rPr>
          <w:sz w:val="20"/>
          <w:szCs w:val="20"/>
          <w:lang w:val="fr-FR"/>
        </w:rPr>
        <w:t>zones situées hors des juridictions nationales pour la protection et la gestion des espèces migratrices</w:t>
      </w:r>
      <w:r w:rsidR="00E83C2F" w:rsidRPr="009A106E">
        <w:rPr>
          <w:sz w:val="20"/>
          <w:szCs w:val="20"/>
          <w:lang w:val="fr-FR"/>
        </w:rPr>
        <w:t>;</w:t>
      </w:r>
    </w:p>
    <w:p w:rsidR="00D36134" w:rsidRPr="009A106E" w:rsidRDefault="00C8469B" w:rsidP="002D1797">
      <w:pPr>
        <w:pStyle w:val="Normalnumber"/>
        <w:numPr>
          <w:ilvl w:val="0"/>
          <w:numId w:val="10"/>
        </w:numPr>
        <w:tabs>
          <w:tab w:val="clear" w:pos="1814"/>
          <w:tab w:val="clear" w:pos="2381"/>
          <w:tab w:val="clear" w:pos="2948"/>
          <w:tab w:val="clear" w:pos="3515"/>
          <w:tab w:val="left" w:pos="2410"/>
        </w:tabs>
        <w:ind w:left="1276" w:firstLine="567"/>
        <w:rPr>
          <w:sz w:val="20"/>
          <w:szCs w:val="20"/>
          <w:lang w:val="fr-FR"/>
        </w:rPr>
      </w:pPr>
      <w:r w:rsidRPr="009A106E">
        <w:rPr>
          <w:sz w:val="20"/>
          <w:szCs w:val="20"/>
          <w:lang w:val="fr-FR"/>
        </w:rPr>
        <w:t>Recomma</w:t>
      </w:r>
      <w:r w:rsidR="00D36134" w:rsidRPr="009A106E">
        <w:rPr>
          <w:sz w:val="20"/>
          <w:szCs w:val="20"/>
          <w:lang w:val="fr-FR"/>
        </w:rPr>
        <w:t xml:space="preserve">ndations </w:t>
      </w:r>
      <w:r w:rsidRPr="009A106E">
        <w:rPr>
          <w:sz w:val="20"/>
          <w:szCs w:val="20"/>
          <w:lang w:val="fr-FR"/>
        </w:rPr>
        <w:t xml:space="preserve">en vue de politiques plus efficaces pour la </w:t>
      </w:r>
      <w:r w:rsidR="00D36134" w:rsidRPr="009A106E">
        <w:rPr>
          <w:sz w:val="20"/>
          <w:szCs w:val="20"/>
          <w:lang w:val="fr-FR"/>
        </w:rPr>
        <w:t>conservation</w:t>
      </w:r>
      <w:r w:rsidRPr="009A106E">
        <w:rPr>
          <w:sz w:val="20"/>
          <w:szCs w:val="20"/>
          <w:lang w:val="fr-FR"/>
        </w:rPr>
        <w:t xml:space="preserve"> et l’utilisation durable des espèces migratrices dans les zones situées hors des juridictions nationales</w:t>
      </w:r>
      <w:r w:rsidR="00E83C2F" w:rsidRPr="009A106E">
        <w:rPr>
          <w:sz w:val="20"/>
          <w:szCs w:val="20"/>
          <w:lang w:val="fr-FR"/>
        </w:rPr>
        <w:t>.</w:t>
      </w:r>
      <w:r w:rsidR="00D36134" w:rsidRPr="009A106E">
        <w:rPr>
          <w:sz w:val="20"/>
          <w:szCs w:val="20"/>
          <w:lang w:val="fr-FR"/>
        </w:rPr>
        <w:t xml:space="preserve"> </w:t>
      </w:r>
    </w:p>
    <w:p w:rsidR="00D36134" w:rsidRPr="009A106E" w:rsidRDefault="00C44556" w:rsidP="00436890">
      <w:pPr>
        <w:pStyle w:val="Normalnumber"/>
        <w:rPr>
          <w:sz w:val="20"/>
          <w:szCs w:val="20"/>
          <w:lang w:val="fr-FR"/>
        </w:rPr>
      </w:pPr>
      <w:r w:rsidRPr="009A106E">
        <w:rPr>
          <w:sz w:val="20"/>
          <w:szCs w:val="20"/>
          <w:lang w:val="fr-FR"/>
        </w:rPr>
        <w:t xml:space="preserve">Chapitre </w:t>
      </w:r>
      <w:r w:rsidR="00AC31BB" w:rsidRPr="009A106E">
        <w:rPr>
          <w:sz w:val="20"/>
          <w:szCs w:val="20"/>
          <w:lang w:val="fr-FR"/>
        </w:rPr>
        <w:t>7.</w:t>
      </w:r>
      <w:r w:rsidR="00C8469B" w:rsidRPr="009A106E">
        <w:rPr>
          <w:sz w:val="20"/>
          <w:szCs w:val="20"/>
          <w:lang w:val="fr-FR"/>
        </w:rPr>
        <w:t xml:space="preserve"> </w:t>
      </w:r>
      <w:r w:rsidR="00BE514C" w:rsidRPr="009A106E">
        <w:rPr>
          <w:sz w:val="20"/>
          <w:szCs w:val="20"/>
          <w:lang w:val="fr-FR"/>
        </w:rPr>
        <w:t>É</w:t>
      </w:r>
      <w:r w:rsidR="00C8469B" w:rsidRPr="009A106E">
        <w:rPr>
          <w:sz w:val="20"/>
          <w:szCs w:val="20"/>
          <w:lang w:val="fr-FR"/>
        </w:rPr>
        <w:t xml:space="preserve">valuation </w:t>
      </w:r>
      <w:r w:rsidRPr="009A106E">
        <w:rPr>
          <w:sz w:val="20"/>
          <w:szCs w:val="20"/>
          <w:lang w:val="fr-FR"/>
        </w:rPr>
        <w:t xml:space="preserve">des systèmes d’aires protégées au regard des besoins des espèces migratrices </w:t>
      </w:r>
      <w:r w:rsidR="00E83C2F" w:rsidRPr="009A106E">
        <w:rPr>
          <w:sz w:val="20"/>
          <w:szCs w:val="20"/>
          <w:lang w:val="fr-FR"/>
        </w:rPr>
        <w:t>:</w:t>
      </w:r>
    </w:p>
    <w:p w:rsidR="00D36134" w:rsidRPr="009A106E" w:rsidRDefault="00D730C6" w:rsidP="002D1797">
      <w:pPr>
        <w:pStyle w:val="Normalnumber"/>
        <w:numPr>
          <w:ilvl w:val="0"/>
          <w:numId w:val="11"/>
        </w:numPr>
        <w:tabs>
          <w:tab w:val="clear" w:pos="1814"/>
          <w:tab w:val="clear" w:pos="2948"/>
        </w:tabs>
        <w:ind w:left="1276" w:firstLine="567"/>
        <w:rPr>
          <w:sz w:val="20"/>
          <w:szCs w:val="20"/>
          <w:lang w:val="fr-FR"/>
        </w:rPr>
      </w:pPr>
      <w:r w:rsidRPr="009A106E">
        <w:rPr>
          <w:sz w:val="20"/>
          <w:szCs w:val="20"/>
          <w:lang w:val="fr-FR"/>
        </w:rPr>
        <w:t>Dans quelle m</w:t>
      </w:r>
      <w:r w:rsidR="00C44556" w:rsidRPr="009A106E">
        <w:rPr>
          <w:sz w:val="20"/>
          <w:szCs w:val="20"/>
          <w:lang w:val="fr-FR"/>
        </w:rPr>
        <w:t xml:space="preserve">esure </w:t>
      </w:r>
      <w:r w:rsidRPr="009A106E">
        <w:rPr>
          <w:sz w:val="20"/>
          <w:szCs w:val="20"/>
          <w:lang w:val="fr-FR"/>
        </w:rPr>
        <w:t xml:space="preserve">et comment </w:t>
      </w:r>
      <w:r w:rsidR="00C44556" w:rsidRPr="009A106E">
        <w:rPr>
          <w:sz w:val="20"/>
          <w:szCs w:val="20"/>
          <w:lang w:val="fr-FR"/>
        </w:rPr>
        <w:t xml:space="preserve">les principaux systèmes d’aires protégées et les </w:t>
      </w:r>
      <w:r w:rsidR="00D36134" w:rsidRPr="009A106E">
        <w:rPr>
          <w:sz w:val="20"/>
          <w:szCs w:val="20"/>
          <w:lang w:val="fr-FR"/>
        </w:rPr>
        <w:t xml:space="preserve">initiatives </w:t>
      </w:r>
      <w:r w:rsidR="00C44556" w:rsidRPr="009A106E">
        <w:rPr>
          <w:sz w:val="20"/>
          <w:szCs w:val="20"/>
          <w:lang w:val="fr-FR"/>
        </w:rPr>
        <w:t>visant à promouvoir les réseaux écologiques répondent aux besoins des espèces migratrices durant la totalité de leur cycle de vie et dans l’ensembl</w:t>
      </w:r>
      <w:r w:rsidR="00692481" w:rsidRPr="009A106E">
        <w:rPr>
          <w:sz w:val="20"/>
          <w:szCs w:val="20"/>
          <w:lang w:val="fr-FR"/>
        </w:rPr>
        <w:t>e de leurs aires de répartition</w:t>
      </w:r>
      <w:r w:rsidR="00E83C2F" w:rsidRPr="009A106E">
        <w:rPr>
          <w:sz w:val="20"/>
          <w:szCs w:val="20"/>
          <w:lang w:val="fr-FR"/>
        </w:rPr>
        <w:t>;</w:t>
      </w:r>
    </w:p>
    <w:p w:rsidR="00D36134" w:rsidRPr="009A106E" w:rsidRDefault="00C44556" w:rsidP="002D1797">
      <w:pPr>
        <w:pStyle w:val="Normalnumber"/>
        <w:numPr>
          <w:ilvl w:val="0"/>
          <w:numId w:val="11"/>
        </w:numPr>
        <w:tabs>
          <w:tab w:val="clear" w:pos="1814"/>
          <w:tab w:val="clear" w:pos="2948"/>
        </w:tabs>
        <w:ind w:left="1276" w:firstLine="567"/>
        <w:rPr>
          <w:sz w:val="20"/>
          <w:szCs w:val="20"/>
          <w:lang w:val="fr-FR"/>
        </w:rPr>
      </w:pPr>
      <w:r w:rsidRPr="009A106E">
        <w:rPr>
          <w:sz w:val="20"/>
          <w:szCs w:val="20"/>
          <w:lang w:val="fr-FR"/>
        </w:rPr>
        <w:t>Utilisation actuelle et futur</w:t>
      </w:r>
      <w:r w:rsidR="00D730C6" w:rsidRPr="009A106E">
        <w:rPr>
          <w:sz w:val="20"/>
          <w:szCs w:val="20"/>
          <w:lang w:val="fr-FR"/>
        </w:rPr>
        <w:t xml:space="preserve">e des concepts et approches relatifs aux </w:t>
      </w:r>
      <w:r w:rsidRPr="009A106E">
        <w:rPr>
          <w:sz w:val="20"/>
          <w:szCs w:val="20"/>
          <w:lang w:val="fr-FR"/>
        </w:rPr>
        <w:t>réseaux écologiques</w:t>
      </w:r>
      <w:r w:rsidR="00BF7A98" w:rsidRPr="009A106E">
        <w:rPr>
          <w:sz w:val="20"/>
          <w:szCs w:val="20"/>
          <w:lang w:val="fr-FR"/>
        </w:rPr>
        <w:t>;</w:t>
      </w:r>
    </w:p>
    <w:p w:rsidR="00D36134" w:rsidRPr="009A106E" w:rsidRDefault="00C44556" w:rsidP="002D1797">
      <w:pPr>
        <w:pStyle w:val="Normalnumber"/>
        <w:numPr>
          <w:ilvl w:val="0"/>
          <w:numId w:val="11"/>
        </w:numPr>
        <w:tabs>
          <w:tab w:val="clear" w:pos="1814"/>
          <w:tab w:val="clear" w:pos="2948"/>
        </w:tabs>
        <w:ind w:left="1276" w:firstLine="567"/>
        <w:rPr>
          <w:sz w:val="20"/>
          <w:szCs w:val="20"/>
          <w:lang w:val="fr-FR"/>
        </w:rPr>
      </w:pPr>
      <w:r w:rsidRPr="009A106E">
        <w:rPr>
          <w:sz w:val="20"/>
          <w:szCs w:val="20"/>
          <w:lang w:val="fr-FR"/>
        </w:rPr>
        <w:t xml:space="preserve">Possibilités d’améliorer l’efficacité des </w:t>
      </w:r>
      <w:r w:rsidR="00D36134" w:rsidRPr="009A106E">
        <w:rPr>
          <w:sz w:val="20"/>
          <w:szCs w:val="20"/>
          <w:lang w:val="fr-FR"/>
        </w:rPr>
        <w:t xml:space="preserve">initiatives </w:t>
      </w:r>
      <w:r w:rsidRPr="009A106E">
        <w:rPr>
          <w:sz w:val="20"/>
          <w:szCs w:val="20"/>
          <w:lang w:val="fr-FR"/>
        </w:rPr>
        <w:t>et</w:t>
      </w:r>
      <w:r w:rsidR="00D36134" w:rsidRPr="009A106E">
        <w:rPr>
          <w:sz w:val="20"/>
          <w:szCs w:val="20"/>
          <w:lang w:val="fr-FR"/>
        </w:rPr>
        <w:t xml:space="preserve"> programmes </w:t>
      </w:r>
      <w:r w:rsidRPr="009A106E">
        <w:rPr>
          <w:sz w:val="20"/>
          <w:szCs w:val="20"/>
          <w:lang w:val="fr-FR"/>
        </w:rPr>
        <w:t>relatifs aux aires proté</w:t>
      </w:r>
      <w:r w:rsidR="00D730C6" w:rsidRPr="009A106E">
        <w:rPr>
          <w:sz w:val="20"/>
          <w:szCs w:val="20"/>
          <w:lang w:val="fr-FR"/>
        </w:rPr>
        <w:t>gées et aux réseaux écologiques et de renforce</w:t>
      </w:r>
      <w:r w:rsidR="00F60C00" w:rsidRPr="009A106E">
        <w:rPr>
          <w:sz w:val="20"/>
          <w:szCs w:val="20"/>
          <w:lang w:val="fr-FR"/>
        </w:rPr>
        <w:t>r</w:t>
      </w:r>
      <w:r w:rsidRPr="009A106E">
        <w:rPr>
          <w:sz w:val="20"/>
          <w:szCs w:val="20"/>
          <w:lang w:val="fr-FR"/>
        </w:rPr>
        <w:t xml:space="preserve"> les synergies </w:t>
      </w:r>
      <w:r w:rsidR="00CA2CFE" w:rsidRPr="009A106E">
        <w:rPr>
          <w:sz w:val="20"/>
          <w:szCs w:val="20"/>
          <w:lang w:val="fr-FR"/>
        </w:rPr>
        <w:t>entre ces initiatives et program</w:t>
      </w:r>
      <w:r w:rsidRPr="009A106E">
        <w:rPr>
          <w:sz w:val="20"/>
          <w:szCs w:val="20"/>
          <w:lang w:val="fr-FR"/>
        </w:rPr>
        <w:t>mes,</w:t>
      </w:r>
      <w:r w:rsidR="00CA2CFE" w:rsidRPr="009A106E">
        <w:rPr>
          <w:sz w:val="20"/>
          <w:szCs w:val="20"/>
          <w:lang w:val="fr-FR"/>
        </w:rPr>
        <w:t xml:space="preserve"> en fonc</w:t>
      </w:r>
      <w:r w:rsidRPr="009A106E">
        <w:rPr>
          <w:sz w:val="20"/>
          <w:szCs w:val="20"/>
          <w:lang w:val="fr-FR"/>
        </w:rPr>
        <w:t>tion des besoins des espèces migratrices.</w:t>
      </w:r>
    </w:p>
    <w:p w:rsidR="000A7BDF" w:rsidRPr="009A106E" w:rsidRDefault="00CA2CFE" w:rsidP="000A7BDF">
      <w:pPr>
        <w:pStyle w:val="Normalnumber"/>
        <w:rPr>
          <w:sz w:val="20"/>
          <w:szCs w:val="20"/>
          <w:lang w:val="fr-FR"/>
        </w:rPr>
      </w:pPr>
      <w:r w:rsidRPr="009A106E">
        <w:rPr>
          <w:sz w:val="20"/>
          <w:szCs w:val="20"/>
          <w:lang w:val="fr-FR"/>
        </w:rPr>
        <w:t>Chapitre</w:t>
      </w:r>
      <w:r w:rsidR="00AC31BB" w:rsidRPr="009A106E">
        <w:rPr>
          <w:sz w:val="20"/>
          <w:szCs w:val="20"/>
          <w:lang w:val="fr-FR"/>
        </w:rPr>
        <w:t xml:space="preserve"> 8.</w:t>
      </w:r>
      <w:r w:rsidR="00BF7A98" w:rsidRPr="009A106E">
        <w:rPr>
          <w:sz w:val="20"/>
          <w:szCs w:val="20"/>
          <w:lang w:val="fr-FR"/>
        </w:rPr>
        <w:t xml:space="preserve"> </w:t>
      </w:r>
      <w:r w:rsidR="00D36134" w:rsidRPr="009A106E">
        <w:rPr>
          <w:sz w:val="20"/>
          <w:szCs w:val="20"/>
          <w:lang w:val="fr-FR"/>
        </w:rPr>
        <w:t xml:space="preserve">Options </w:t>
      </w:r>
      <w:r w:rsidRPr="009A106E">
        <w:rPr>
          <w:sz w:val="20"/>
          <w:szCs w:val="20"/>
          <w:lang w:val="fr-FR"/>
        </w:rPr>
        <w:t>pour une meilleur</w:t>
      </w:r>
      <w:r w:rsidR="00D730C6" w:rsidRPr="009A106E">
        <w:rPr>
          <w:sz w:val="20"/>
          <w:szCs w:val="20"/>
          <w:lang w:val="fr-FR"/>
        </w:rPr>
        <w:t>e</w:t>
      </w:r>
      <w:r w:rsidRPr="009A106E">
        <w:rPr>
          <w:sz w:val="20"/>
          <w:szCs w:val="20"/>
          <w:lang w:val="fr-FR"/>
        </w:rPr>
        <w:t xml:space="preserve"> intégration des préoccupations liées aux espèces migratrices dans les évaluations, les politiques et la prise de décisions.</w:t>
      </w:r>
    </w:p>
    <w:p w:rsidR="00D36134" w:rsidRPr="009A106E" w:rsidRDefault="000A7BDF" w:rsidP="000A7BDF">
      <w:pPr>
        <w:pStyle w:val="CH1"/>
        <w:rPr>
          <w:lang w:val="fr-FR"/>
        </w:rPr>
      </w:pPr>
      <w:r w:rsidRPr="009A106E">
        <w:rPr>
          <w:lang w:val="fr-FR"/>
        </w:rPr>
        <w:tab/>
      </w:r>
      <w:r w:rsidR="000D57BE" w:rsidRPr="009A106E">
        <w:rPr>
          <w:lang w:val="fr-FR"/>
        </w:rPr>
        <w:t>I</w:t>
      </w:r>
      <w:r w:rsidR="00AB1405" w:rsidRPr="009A106E">
        <w:rPr>
          <w:lang w:val="fr-FR"/>
        </w:rPr>
        <w:t>V</w:t>
      </w:r>
      <w:r w:rsidR="000D57BE" w:rsidRPr="009A106E">
        <w:rPr>
          <w:lang w:val="fr-FR"/>
        </w:rPr>
        <w:t>.</w:t>
      </w:r>
      <w:r w:rsidR="00D36134" w:rsidRPr="009A106E">
        <w:rPr>
          <w:lang w:val="fr-FR"/>
        </w:rPr>
        <w:tab/>
      </w:r>
      <w:r w:rsidR="00EB5238" w:rsidRPr="00EB5238">
        <w:rPr>
          <w:lang w:val="fr-FR"/>
        </w:rPr>
        <w:t xml:space="preserve">Déroulement et calendrier </w:t>
      </w:r>
      <w:r w:rsidR="00CA2CFE" w:rsidRPr="009A106E">
        <w:rPr>
          <w:lang w:val="fr-FR"/>
        </w:rPr>
        <w:t>des travaux</w:t>
      </w:r>
    </w:p>
    <w:p w:rsidR="006034C7" w:rsidRPr="009A106E" w:rsidRDefault="00CA2CFE" w:rsidP="00322D60">
      <w:pPr>
        <w:pStyle w:val="Normalnumber"/>
        <w:rPr>
          <w:b/>
          <w:lang w:val="fr-FR"/>
        </w:rPr>
      </w:pPr>
      <w:r w:rsidRPr="009A106E">
        <w:rPr>
          <w:sz w:val="20"/>
          <w:szCs w:val="20"/>
          <w:lang w:val="fr-FR"/>
        </w:rPr>
        <w:t>Le calendrier des travaux à entreprendre pour mener à bien l’évaluation thématique pro</w:t>
      </w:r>
      <w:r w:rsidR="00322D60" w:rsidRPr="009A106E">
        <w:rPr>
          <w:sz w:val="20"/>
          <w:szCs w:val="20"/>
          <w:lang w:val="fr-FR"/>
        </w:rPr>
        <w:t>posée figure ci-dessous.</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83"/>
        <w:gridCol w:w="5772"/>
      </w:tblGrid>
      <w:tr w:rsidR="00080E35" w:rsidRPr="009A106E" w:rsidTr="0003742A">
        <w:trPr>
          <w:trHeight w:val="409"/>
          <w:tblHeader/>
        </w:trPr>
        <w:tc>
          <w:tcPr>
            <w:tcW w:w="2552" w:type="dxa"/>
            <w:gridSpan w:val="2"/>
            <w:vAlign w:val="center"/>
          </w:tcPr>
          <w:p w:rsidR="00080E35" w:rsidRPr="009A106E" w:rsidRDefault="009A4FE6" w:rsidP="006034C7">
            <w:pPr>
              <w:keepLines/>
              <w:tabs>
                <w:tab w:val="left" w:pos="426"/>
                <w:tab w:val="num" w:pos="1353"/>
              </w:tabs>
              <w:autoSpaceDE w:val="0"/>
              <w:autoSpaceDN w:val="0"/>
              <w:adjustRightInd w:val="0"/>
              <w:spacing w:after="120"/>
              <w:rPr>
                <w:rFonts w:ascii="Times New Roman" w:eastAsia="SimSun" w:hAnsi="Times New Roman"/>
                <w:i/>
                <w:sz w:val="20"/>
                <w:szCs w:val="20"/>
                <w:lang w:eastAsia="zh-CN"/>
              </w:rPr>
            </w:pPr>
            <w:r>
              <w:rPr>
                <w:rFonts w:ascii="Times New Roman" w:eastAsia="SimSun" w:hAnsi="Times New Roman"/>
                <w:i/>
                <w:sz w:val="20"/>
                <w:szCs w:val="20"/>
                <w:lang w:eastAsia="zh-CN"/>
              </w:rPr>
              <w:t>Échéance</w:t>
            </w:r>
          </w:p>
        </w:tc>
        <w:tc>
          <w:tcPr>
            <w:tcW w:w="5811" w:type="dxa"/>
            <w:vAlign w:val="center"/>
          </w:tcPr>
          <w:p w:rsidR="00080E35" w:rsidRPr="009A106E" w:rsidRDefault="00080E35" w:rsidP="006034C7">
            <w:pPr>
              <w:keepLines/>
              <w:tabs>
                <w:tab w:val="left" w:pos="426"/>
                <w:tab w:val="num" w:pos="1353"/>
              </w:tabs>
              <w:autoSpaceDE w:val="0"/>
              <w:autoSpaceDN w:val="0"/>
              <w:adjustRightInd w:val="0"/>
              <w:spacing w:after="120"/>
              <w:rPr>
                <w:rFonts w:ascii="Times New Roman" w:eastAsia="SimSun" w:hAnsi="Times New Roman"/>
                <w:i/>
                <w:sz w:val="20"/>
                <w:szCs w:val="20"/>
                <w:lang w:eastAsia="zh-CN"/>
              </w:rPr>
            </w:pPr>
            <w:r w:rsidRPr="009A106E">
              <w:rPr>
                <w:rFonts w:ascii="Times New Roman" w:eastAsia="SimSun" w:hAnsi="Times New Roman"/>
                <w:i/>
                <w:sz w:val="20"/>
                <w:szCs w:val="20"/>
              </w:rPr>
              <w:t>Actions à engager</w:t>
            </w:r>
          </w:p>
        </w:tc>
      </w:tr>
      <w:tr w:rsidR="00080E35" w:rsidRPr="009A106E" w:rsidTr="0003742A">
        <w:trPr>
          <w:trHeight w:val="584"/>
        </w:trPr>
        <w:tc>
          <w:tcPr>
            <w:tcW w:w="709" w:type="dxa"/>
            <w:vMerge w:val="restart"/>
            <w:vAlign w:val="center"/>
          </w:tcPr>
          <w:p w:rsidR="00080E35" w:rsidRPr="009A106E" w:rsidRDefault="00080E35" w:rsidP="00322D60">
            <w:pPr>
              <w:keepLines/>
              <w:tabs>
                <w:tab w:val="left" w:pos="426"/>
                <w:tab w:val="num" w:pos="1353"/>
              </w:tabs>
              <w:autoSpaceDE w:val="0"/>
              <w:autoSpaceDN w:val="0"/>
              <w:adjustRightInd w:val="0"/>
              <w:spacing w:after="120"/>
              <w:ind w:left="-108"/>
              <w:jc w:val="center"/>
              <w:rPr>
                <w:rFonts w:ascii="Times New Roman" w:eastAsia="SimSun" w:hAnsi="Times New Roman"/>
                <w:sz w:val="20"/>
                <w:szCs w:val="20"/>
                <w:lang w:eastAsia="zh-CN"/>
              </w:rPr>
            </w:pPr>
            <w:r w:rsidRPr="009A106E">
              <w:rPr>
                <w:rFonts w:ascii="Times New Roman" w:eastAsia="SimSun" w:hAnsi="Times New Roman"/>
                <w:sz w:val="20"/>
                <w:szCs w:val="20"/>
                <w:lang w:eastAsia="zh-CN"/>
              </w:rPr>
              <w:t>2013</w:t>
            </w:r>
          </w:p>
        </w:tc>
        <w:tc>
          <w:tcPr>
            <w:tcW w:w="1843" w:type="dxa"/>
            <w:vAlign w:val="center"/>
          </w:tcPr>
          <w:p w:rsidR="00080E35" w:rsidRPr="009A106E" w:rsidRDefault="00080E35" w:rsidP="00EB5238">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Quatrième</w:t>
            </w:r>
            <w:r>
              <w:rPr>
                <w:rFonts w:ascii="Times New Roman" w:eastAsia="SimSun" w:hAnsi="Times New Roman"/>
                <w:sz w:val="20"/>
                <w:szCs w:val="20"/>
                <w:lang w:eastAsia="zh-CN"/>
              </w:rPr>
              <w:t xml:space="preserve"> </w:t>
            </w:r>
            <w:r w:rsidRPr="009A106E">
              <w:rPr>
                <w:rFonts w:ascii="Times New Roman" w:eastAsia="SimSun" w:hAnsi="Times New Roman"/>
                <w:sz w:val="20"/>
                <w:szCs w:val="20"/>
                <w:lang w:eastAsia="zh-CN"/>
              </w:rPr>
              <w:t>trimestre</w:t>
            </w:r>
          </w:p>
        </w:tc>
        <w:tc>
          <w:tcPr>
            <w:tcW w:w="5811" w:type="dxa"/>
            <w:vAlign w:val="center"/>
          </w:tcPr>
          <w:p w:rsidR="00080E35" w:rsidRPr="009A106E" w:rsidRDefault="00080E35" w:rsidP="00330DCF">
            <w:pPr>
              <w:keepLines/>
              <w:tabs>
                <w:tab w:val="left" w:pos="426"/>
                <w:tab w:val="num" w:pos="1353"/>
              </w:tabs>
              <w:autoSpaceDE w:val="0"/>
              <w:autoSpaceDN w:val="0"/>
              <w:adjustRightInd w:val="0"/>
              <w:spacing w:after="120"/>
              <w:rPr>
                <w:rFonts w:ascii="Times New Roman" w:eastAsia="SimSun" w:hAnsi="Times New Roman"/>
                <w:sz w:val="20"/>
                <w:szCs w:val="20"/>
              </w:rPr>
            </w:pPr>
            <w:r w:rsidRPr="009A106E">
              <w:rPr>
                <w:rFonts w:ascii="Times New Roman" w:eastAsia="SimSun" w:hAnsi="Times New Roman"/>
                <w:sz w:val="20"/>
                <w:szCs w:val="20"/>
              </w:rPr>
              <w:t>La Plénière revoit et approuve le cadrage initial préparé par le Groupe d’experts multidisciplinaire et demande au Groupe et au Bureau de procéder, dans la limite d’une enveloppe budgétaire convenue, à une évaluation complète après une étude de cadrage détaillée (14 décembre 2013)</w:t>
            </w:r>
          </w:p>
        </w:tc>
      </w:tr>
      <w:tr w:rsidR="00080E35" w:rsidRPr="009A106E" w:rsidTr="0003742A">
        <w:trPr>
          <w:trHeight w:val="584"/>
        </w:trPr>
        <w:tc>
          <w:tcPr>
            <w:tcW w:w="709" w:type="dxa"/>
            <w:vMerge/>
            <w:vAlign w:val="center"/>
          </w:tcPr>
          <w:p w:rsidR="00080E35" w:rsidRPr="009A106E" w:rsidRDefault="00080E35"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080E35" w:rsidRPr="009A106E" w:rsidRDefault="00080E35" w:rsidP="00EB5238">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Quatrième trimestre</w:t>
            </w:r>
          </w:p>
        </w:tc>
        <w:tc>
          <w:tcPr>
            <w:tcW w:w="5811" w:type="dxa"/>
            <w:vAlign w:val="center"/>
          </w:tcPr>
          <w:p w:rsidR="00080E35" w:rsidRPr="009A106E" w:rsidRDefault="00080E35"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Groupe demande aux gouvernements et autres parties prenantes, par l’intermédiaire du secrétariat, de présenter les candidatures d’experts susceptibles de cont</w:t>
            </w:r>
            <w:r w:rsidR="007D0F89">
              <w:rPr>
                <w:rFonts w:ascii="Times New Roman" w:eastAsia="SimSun" w:hAnsi="Times New Roman"/>
                <w:sz w:val="20"/>
                <w:szCs w:val="20"/>
                <w:lang w:eastAsia="zh-CN"/>
              </w:rPr>
              <w:t>ribuer à l’étude de cadrage (16 </w:t>
            </w:r>
            <w:r w:rsidRPr="009A106E">
              <w:rPr>
                <w:rFonts w:ascii="Times New Roman" w:eastAsia="SimSun" w:hAnsi="Times New Roman"/>
                <w:sz w:val="20"/>
                <w:szCs w:val="20"/>
                <w:lang w:eastAsia="zh-CN"/>
              </w:rPr>
              <w:t>décembre 2013 - 31 janvier 2014)</w:t>
            </w:r>
          </w:p>
        </w:tc>
      </w:tr>
      <w:tr w:rsidR="00322D60" w:rsidRPr="009A106E" w:rsidTr="0003742A">
        <w:trPr>
          <w:trHeight w:val="584"/>
        </w:trPr>
        <w:tc>
          <w:tcPr>
            <w:tcW w:w="709" w:type="dxa"/>
            <w:vMerge w:val="restart"/>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r w:rsidRPr="009A106E">
              <w:rPr>
                <w:rFonts w:ascii="Times New Roman" w:eastAsia="SimSun" w:hAnsi="Times New Roman"/>
                <w:sz w:val="20"/>
                <w:szCs w:val="20"/>
                <w:lang w:eastAsia="zh-CN"/>
              </w:rPr>
              <w:t>2014</w:t>
            </w:r>
          </w:p>
        </w:tc>
        <w:tc>
          <w:tcPr>
            <w:tcW w:w="1843" w:type="dxa"/>
            <w:vAlign w:val="center"/>
          </w:tcPr>
          <w:p w:rsidR="00330DCF" w:rsidRPr="009A106E" w:rsidRDefault="00330DCF" w:rsidP="00330DCF">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Premier</w:t>
            </w:r>
            <w:r w:rsidR="00EB5238">
              <w:rPr>
                <w:rFonts w:ascii="Times New Roman" w:eastAsia="SimSun" w:hAnsi="Times New Roman"/>
                <w:sz w:val="20"/>
                <w:szCs w:val="20"/>
                <w:lang w:eastAsia="zh-CN"/>
              </w:rPr>
              <w:t xml:space="preserve"> </w:t>
            </w:r>
            <w:r w:rsidRPr="009A106E">
              <w:rPr>
                <w:rFonts w:ascii="Times New Roman" w:eastAsia="SimSun" w:hAnsi="Times New Roman"/>
                <w:sz w:val="20"/>
                <w:szCs w:val="20"/>
                <w:lang w:eastAsia="zh-CN"/>
              </w:rPr>
              <w:t>trimestre</w:t>
            </w:r>
          </w:p>
        </w:tc>
        <w:tc>
          <w:tcPr>
            <w:tcW w:w="5811" w:type="dxa"/>
            <w:vAlign w:val="center"/>
          </w:tcPr>
          <w:p w:rsidR="00322D60" w:rsidRPr="009A106E" w:rsidRDefault="00322D60"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Groupe choisit, par courriel et</w:t>
            </w:r>
            <w:r w:rsidR="00EB5238">
              <w:rPr>
                <w:rFonts w:ascii="Times New Roman" w:eastAsia="SimSun" w:hAnsi="Times New Roman"/>
                <w:sz w:val="20"/>
                <w:szCs w:val="20"/>
                <w:lang w:eastAsia="zh-CN"/>
              </w:rPr>
              <w:t xml:space="preserve"> </w:t>
            </w:r>
            <w:r w:rsidRPr="009A106E">
              <w:rPr>
                <w:rFonts w:ascii="Times New Roman" w:eastAsia="SimSun" w:hAnsi="Times New Roman"/>
                <w:sz w:val="20"/>
                <w:szCs w:val="20"/>
                <w:lang w:eastAsia="zh-CN"/>
              </w:rPr>
              <w:t xml:space="preserve">téléconférences, les experts qui se chargeront de l’étude de cadrage en s’appuyant sur des critères de </w:t>
            </w:r>
            <w:r w:rsidRPr="009A106E">
              <w:rPr>
                <w:sz w:val="20"/>
                <w:szCs w:val="20"/>
              </w:rPr>
              <w:t>s</w:t>
            </w:r>
            <w:r w:rsidR="00330DCF" w:rsidRPr="009A106E">
              <w:rPr>
                <w:rFonts w:ascii="Times New Roman" w:eastAsia="SimSun" w:hAnsi="Times New Roman"/>
                <w:sz w:val="20"/>
                <w:szCs w:val="20"/>
                <w:lang w:eastAsia="zh-CN"/>
              </w:rPr>
              <w:t>élection approuvés</w:t>
            </w:r>
            <w:r w:rsidR="00EB5238">
              <w:rPr>
                <w:rFonts w:ascii="Times New Roman" w:eastAsia="SimSun" w:hAnsi="Times New Roman"/>
                <w:sz w:val="20"/>
                <w:szCs w:val="20"/>
                <w:lang w:eastAsia="zh-CN"/>
              </w:rPr>
              <w:t xml:space="preserve"> </w:t>
            </w:r>
            <w:r w:rsidR="00330DCF" w:rsidRPr="009A106E">
              <w:rPr>
                <w:rFonts w:ascii="Times New Roman" w:eastAsia="SimSun" w:hAnsi="Times New Roman"/>
                <w:sz w:val="20"/>
                <w:szCs w:val="20"/>
                <w:lang w:eastAsia="zh-CN"/>
              </w:rPr>
              <w:t>(1</w:t>
            </w:r>
            <w:r w:rsidR="00330DCF" w:rsidRPr="009A106E">
              <w:rPr>
                <w:rFonts w:ascii="Times New Roman" w:eastAsia="SimSun" w:hAnsi="Times New Roman"/>
                <w:sz w:val="20"/>
                <w:szCs w:val="20"/>
                <w:vertAlign w:val="superscript"/>
                <w:lang w:eastAsia="zh-CN"/>
              </w:rPr>
              <w:t>er</w:t>
            </w:r>
            <w:r w:rsidRPr="009A106E">
              <w:rPr>
                <w:rFonts w:ascii="Times New Roman" w:eastAsia="SimSun" w:hAnsi="Times New Roman"/>
                <w:sz w:val="20"/>
                <w:szCs w:val="20"/>
                <w:lang w:eastAsia="zh-CN"/>
              </w:rPr>
              <w:t>-14 févier 2014)</w:t>
            </w:r>
          </w:p>
        </w:tc>
      </w:tr>
      <w:tr w:rsidR="00322D60" w:rsidRPr="009A106E" w:rsidTr="0003742A">
        <w:trPr>
          <w:trHeight w:val="584"/>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30DCF"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Deuxième trimestre</w:t>
            </w:r>
          </w:p>
        </w:tc>
        <w:tc>
          <w:tcPr>
            <w:tcW w:w="5811" w:type="dxa"/>
            <w:vAlign w:val="center"/>
          </w:tcPr>
          <w:p w:rsidR="00322D60" w:rsidRPr="009A106E" w:rsidRDefault="00330DCF"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Groupe et le Bureau</w:t>
            </w:r>
            <w:r w:rsidR="00322D60" w:rsidRPr="009A106E">
              <w:rPr>
                <w:rFonts w:ascii="Times New Roman" w:eastAsia="SimSun" w:hAnsi="Times New Roman"/>
                <w:sz w:val="20"/>
                <w:szCs w:val="20"/>
                <w:lang w:eastAsia="zh-CN"/>
              </w:rPr>
              <w:t xml:space="preserve"> supervisent l’étude de cadrage détaillée, y compris son ébauche, son coût et sa faisabilité (trois mois</w:t>
            </w:r>
            <w:r w:rsidR="00F60C00" w:rsidRPr="009A106E">
              <w:rPr>
                <w:rFonts w:ascii="Times New Roman" w:eastAsia="SimSun" w:hAnsi="Times New Roman"/>
                <w:sz w:val="20"/>
                <w:szCs w:val="20"/>
                <w:lang w:eastAsia="zh-CN"/>
              </w:rPr>
              <w:t>). Une réunion de cadrage a</w:t>
            </w:r>
            <w:r w:rsidR="00322D60" w:rsidRPr="009A106E">
              <w:rPr>
                <w:rFonts w:ascii="Times New Roman" w:eastAsia="SimSun" w:hAnsi="Times New Roman"/>
                <w:sz w:val="20"/>
                <w:szCs w:val="20"/>
                <w:lang w:eastAsia="zh-CN"/>
              </w:rPr>
              <w:t xml:space="preserve"> lieu début avril 2014.</w:t>
            </w:r>
          </w:p>
        </w:tc>
      </w:tr>
      <w:tr w:rsidR="00322D60" w:rsidRPr="009A106E" w:rsidTr="0003742A">
        <w:trPr>
          <w:trHeight w:val="584"/>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30DCF"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Deuxième</w:t>
            </w:r>
            <w:r w:rsidR="00EB5238">
              <w:rPr>
                <w:rFonts w:ascii="Times New Roman" w:eastAsia="SimSun" w:hAnsi="Times New Roman"/>
                <w:sz w:val="20"/>
                <w:szCs w:val="20"/>
                <w:lang w:eastAsia="zh-CN"/>
              </w:rPr>
              <w:t xml:space="preserve"> </w:t>
            </w:r>
            <w:r w:rsidRPr="009A106E">
              <w:rPr>
                <w:rFonts w:ascii="Times New Roman" w:eastAsia="SimSun" w:hAnsi="Times New Roman"/>
                <w:sz w:val="20"/>
                <w:szCs w:val="20"/>
                <w:lang w:eastAsia="zh-CN"/>
              </w:rPr>
              <w:t>trimestre</w:t>
            </w:r>
          </w:p>
        </w:tc>
        <w:tc>
          <w:tcPr>
            <w:tcW w:w="5811" w:type="dxa"/>
            <w:vAlign w:val="center"/>
          </w:tcPr>
          <w:p w:rsidR="00322D60" w:rsidRPr="009A106E" w:rsidRDefault="00322D60"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rPr>
              <w:t>Le rapport sur l’étude de cadrage détaillée est transmis aux membres de la Plateforme et aux autres parties prenantes, pour examen et observations</w:t>
            </w:r>
            <w:r w:rsidR="00EB5238">
              <w:rPr>
                <w:rFonts w:ascii="Times New Roman" w:eastAsia="SimSun" w:hAnsi="Times New Roman"/>
                <w:sz w:val="20"/>
                <w:szCs w:val="20"/>
              </w:rPr>
              <w:t xml:space="preserve"> </w:t>
            </w:r>
            <w:r w:rsidRPr="009A106E">
              <w:rPr>
                <w:rFonts w:ascii="Times New Roman" w:eastAsia="SimSun" w:hAnsi="Times New Roman"/>
                <w:sz w:val="20"/>
                <w:szCs w:val="20"/>
              </w:rPr>
              <w:t>(dans la deuxième moitié d’avril 2014)</w:t>
            </w:r>
          </w:p>
        </w:tc>
      </w:tr>
      <w:tr w:rsidR="00322D60" w:rsidRPr="009A106E" w:rsidTr="0003742A">
        <w:trPr>
          <w:trHeight w:val="274"/>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30DCF" w:rsidP="009A106E">
            <w:pPr>
              <w:keepLines/>
              <w:tabs>
                <w:tab w:val="left" w:pos="426"/>
                <w:tab w:val="num" w:pos="1353"/>
              </w:tabs>
              <w:autoSpaceDE w:val="0"/>
              <w:autoSpaceDN w:val="0"/>
              <w:adjustRightInd w:val="0"/>
              <w:spacing w:before="120"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Deuxième trimestre</w:t>
            </w:r>
          </w:p>
        </w:tc>
        <w:tc>
          <w:tcPr>
            <w:tcW w:w="5811" w:type="dxa"/>
            <w:vAlign w:val="center"/>
          </w:tcPr>
          <w:p w:rsidR="00322D60" w:rsidRPr="009A106E" w:rsidRDefault="00322D60" w:rsidP="009A106E">
            <w:pPr>
              <w:keepLines/>
              <w:tabs>
                <w:tab w:val="left" w:pos="426"/>
                <w:tab w:val="num" w:pos="1353"/>
              </w:tabs>
              <w:autoSpaceDE w:val="0"/>
              <w:autoSpaceDN w:val="0"/>
              <w:adjustRightInd w:val="0"/>
              <w:spacing w:before="120"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Groupe et le Bureau décident, compte tenu des résultats de l’étude de cadrage détaillée et des observations reçues des membres de la Plateforme et d’autres parties prenantes, s’ils convient ou non de procéder à l’évaluation, à supposer qu’elle puisse être menée dans les limites de l’enveloppe budgétaire approuvée par la Plénière (dans la première moitié de mai 2014)</w:t>
            </w:r>
          </w:p>
        </w:tc>
      </w:tr>
      <w:tr w:rsidR="00322D60" w:rsidRPr="009A106E" w:rsidTr="0003742A">
        <w:trPr>
          <w:trHeight w:val="584"/>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30DCF"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Deuxième</w:t>
            </w:r>
            <w:r w:rsidR="00EB5238">
              <w:rPr>
                <w:rFonts w:ascii="Times New Roman" w:eastAsia="SimSun" w:hAnsi="Times New Roman"/>
                <w:sz w:val="20"/>
                <w:szCs w:val="20"/>
                <w:lang w:eastAsia="zh-CN"/>
              </w:rPr>
              <w:t xml:space="preserve"> </w:t>
            </w:r>
            <w:r w:rsidRPr="009A106E">
              <w:rPr>
                <w:rFonts w:ascii="Times New Roman" w:eastAsia="SimSun" w:hAnsi="Times New Roman"/>
                <w:sz w:val="20"/>
                <w:szCs w:val="20"/>
                <w:lang w:eastAsia="zh-CN"/>
              </w:rPr>
              <w:t>trimestre</w:t>
            </w:r>
          </w:p>
        </w:tc>
        <w:tc>
          <w:tcPr>
            <w:tcW w:w="5811" w:type="dxa"/>
            <w:vAlign w:val="center"/>
          </w:tcPr>
          <w:p w:rsidR="00322D60" w:rsidRPr="009A106E" w:rsidRDefault="00F60C00"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Groupe demande</w:t>
            </w:r>
            <w:r w:rsidR="00322D60" w:rsidRPr="009A106E">
              <w:rPr>
                <w:rFonts w:ascii="Times New Roman" w:eastAsia="SimSun" w:hAnsi="Times New Roman"/>
                <w:sz w:val="20"/>
                <w:szCs w:val="20"/>
                <w:lang w:eastAsia="zh-CN"/>
              </w:rPr>
              <w:t xml:space="preserve"> aux gouvernements et autres parties prenantes, par l’intermédiaire du secrétariat, de présenter les candidatures d’experts susceptibles de préparer le rapport à présenter en juin 2014 (1,5 mois)</w:t>
            </w:r>
          </w:p>
        </w:tc>
      </w:tr>
      <w:tr w:rsidR="00322D60" w:rsidRPr="009A106E" w:rsidTr="0003742A">
        <w:trPr>
          <w:trHeight w:val="584"/>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30DCF"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Troisième trimestre</w:t>
            </w:r>
          </w:p>
        </w:tc>
        <w:tc>
          <w:tcPr>
            <w:tcW w:w="5811" w:type="dxa"/>
            <w:vAlign w:val="center"/>
          </w:tcPr>
          <w:p w:rsidR="00322D60" w:rsidRPr="009A106E" w:rsidRDefault="00322D60" w:rsidP="00330DCF">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 xml:space="preserve">Le Groupe choisit les coprésidents, les </w:t>
            </w:r>
            <w:r w:rsidR="00EB5238">
              <w:rPr>
                <w:rFonts w:ascii="Times New Roman" w:eastAsia="SimSun" w:hAnsi="Times New Roman"/>
                <w:sz w:val="20"/>
                <w:szCs w:val="20"/>
                <w:lang w:eastAsia="zh-CN"/>
              </w:rPr>
              <w:t>auteurs coordonnateurs principaux</w:t>
            </w:r>
            <w:r w:rsidRPr="009A106E">
              <w:rPr>
                <w:rFonts w:ascii="Times New Roman" w:eastAsia="SimSun" w:hAnsi="Times New Roman"/>
                <w:sz w:val="20"/>
                <w:szCs w:val="20"/>
                <w:lang w:eastAsia="zh-CN"/>
              </w:rPr>
              <w:t xml:space="preserve">, les </w:t>
            </w:r>
            <w:r w:rsidR="00EB5238">
              <w:rPr>
                <w:rFonts w:ascii="Times New Roman" w:eastAsia="SimSun" w:hAnsi="Times New Roman"/>
                <w:sz w:val="20"/>
                <w:szCs w:val="20"/>
                <w:lang w:eastAsia="zh-CN"/>
              </w:rPr>
              <w:t xml:space="preserve">auteurs principaux </w:t>
            </w:r>
            <w:r w:rsidRPr="009A106E">
              <w:rPr>
                <w:rFonts w:ascii="Times New Roman" w:eastAsia="SimSun" w:hAnsi="Times New Roman"/>
                <w:sz w:val="20"/>
                <w:szCs w:val="20"/>
                <w:lang w:eastAsia="zh-CN"/>
              </w:rPr>
              <w:t xml:space="preserve">et les </w:t>
            </w:r>
            <w:r w:rsidR="00EB5238">
              <w:rPr>
                <w:rFonts w:ascii="Times New Roman" w:eastAsia="SimSun" w:hAnsi="Times New Roman"/>
                <w:sz w:val="20"/>
                <w:szCs w:val="20"/>
                <w:lang w:eastAsia="zh-CN"/>
              </w:rPr>
              <w:t>éditeurs-réviseurs</w:t>
            </w:r>
            <w:r w:rsidRPr="009A106E">
              <w:rPr>
                <w:rFonts w:ascii="Times New Roman" w:eastAsia="SimSun" w:hAnsi="Times New Roman"/>
                <w:sz w:val="20"/>
                <w:szCs w:val="20"/>
                <w:lang w:eastAsia="zh-CN"/>
              </w:rPr>
              <w:t xml:space="preserve"> du rapport en s’appuyant sur les</w:t>
            </w:r>
            <w:r w:rsidR="00330DCF" w:rsidRPr="009A106E">
              <w:rPr>
                <w:rFonts w:ascii="Times New Roman" w:eastAsia="SimSun" w:hAnsi="Times New Roman"/>
                <w:sz w:val="20"/>
                <w:szCs w:val="20"/>
                <w:lang w:eastAsia="zh-CN"/>
              </w:rPr>
              <w:t xml:space="preserve"> critères de sélection établis (voir le document IPBES/2/9)</w:t>
            </w:r>
            <w:r w:rsidRPr="009A106E">
              <w:rPr>
                <w:rFonts w:ascii="Times New Roman" w:eastAsia="SimSun" w:hAnsi="Times New Roman"/>
                <w:sz w:val="20"/>
                <w:szCs w:val="20"/>
                <w:lang w:eastAsia="zh-CN"/>
              </w:rPr>
              <w:t xml:space="preserve"> (1</w:t>
            </w:r>
            <w:r w:rsidRPr="009A106E">
              <w:rPr>
                <w:rFonts w:ascii="Times New Roman" w:eastAsia="SimSun" w:hAnsi="Times New Roman"/>
                <w:sz w:val="20"/>
                <w:szCs w:val="20"/>
                <w:vertAlign w:val="superscript"/>
                <w:lang w:eastAsia="zh-CN"/>
              </w:rPr>
              <w:t>er</w:t>
            </w:r>
            <w:r w:rsidRPr="009A106E">
              <w:rPr>
                <w:rFonts w:ascii="Times New Roman" w:eastAsia="SimSun" w:hAnsi="Times New Roman"/>
                <w:sz w:val="20"/>
                <w:szCs w:val="20"/>
                <w:lang w:eastAsia="zh-CN"/>
              </w:rPr>
              <w:t xml:space="preserve"> juillet - 15 août 2014 (1,5 mois)</w:t>
            </w:r>
          </w:p>
        </w:tc>
      </w:tr>
      <w:tr w:rsidR="00322D60" w:rsidRPr="009A106E" w:rsidTr="0003742A">
        <w:trPr>
          <w:trHeight w:val="584"/>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7B1C31" w:rsidP="007B1C31">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Pr>
                <w:rFonts w:ascii="Times New Roman" w:eastAsia="SimSun" w:hAnsi="Times New Roman"/>
                <w:sz w:val="20"/>
                <w:szCs w:val="20"/>
                <w:lang w:eastAsia="zh-CN"/>
              </w:rPr>
              <w:t>Troisième/</w:t>
            </w:r>
            <w:r w:rsidR="00330DCF" w:rsidRPr="009A106E">
              <w:rPr>
                <w:rFonts w:ascii="Times New Roman" w:eastAsia="SimSun" w:hAnsi="Times New Roman"/>
                <w:sz w:val="20"/>
                <w:szCs w:val="20"/>
                <w:lang w:eastAsia="zh-CN"/>
              </w:rPr>
              <w:t>quatrième</w:t>
            </w:r>
            <w:r w:rsidR="00EB5238">
              <w:rPr>
                <w:rFonts w:ascii="Times New Roman" w:eastAsia="SimSun" w:hAnsi="Times New Roman"/>
                <w:sz w:val="20"/>
                <w:szCs w:val="20"/>
                <w:lang w:eastAsia="zh-CN"/>
              </w:rPr>
              <w:t xml:space="preserve"> </w:t>
            </w:r>
            <w:r w:rsidR="00330DCF" w:rsidRPr="009A106E">
              <w:rPr>
                <w:rFonts w:ascii="Times New Roman" w:eastAsia="SimSun" w:hAnsi="Times New Roman"/>
                <w:sz w:val="20"/>
                <w:szCs w:val="20"/>
                <w:lang w:eastAsia="zh-CN"/>
              </w:rPr>
              <w:t>trimestre</w:t>
            </w:r>
            <w:r w:rsidR="00F60C00" w:rsidRPr="009A106E">
              <w:rPr>
                <w:rFonts w:ascii="Times New Roman" w:eastAsia="SimSun" w:hAnsi="Times New Roman"/>
                <w:sz w:val="20"/>
                <w:szCs w:val="20"/>
                <w:lang w:eastAsia="zh-CN"/>
              </w:rPr>
              <w:t>s</w:t>
            </w:r>
          </w:p>
        </w:tc>
        <w:tc>
          <w:tcPr>
            <w:tcW w:w="5811" w:type="dxa"/>
            <w:vAlign w:val="center"/>
          </w:tcPr>
          <w:p w:rsidR="00322D60" w:rsidRPr="009A106E" w:rsidRDefault="00322D60" w:rsidP="00330DCF">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 xml:space="preserve">Les coprésidents, </w:t>
            </w:r>
            <w:r w:rsidR="00330DCF" w:rsidRPr="009A106E">
              <w:rPr>
                <w:rFonts w:ascii="Times New Roman" w:eastAsia="SimSun" w:hAnsi="Times New Roman"/>
                <w:sz w:val="20"/>
                <w:szCs w:val="20"/>
                <w:lang w:eastAsia="zh-CN"/>
              </w:rPr>
              <w:t xml:space="preserve">les </w:t>
            </w:r>
            <w:r w:rsidR="00EB5238">
              <w:rPr>
                <w:rFonts w:ascii="Times New Roman" w:eastAsia="SimSun" w:hAnsi="Times New Roman"/>
                <w:sz w:val="20"/>
                <w:szCs w:val="20"/>
                <w:lang w:eastAsia="zh-CN"/>
              </w:rPr>
              <w:t>auteurs coordonnateurs principaux</w:t>
            </w:r>
            <w:r w:rsidRPr="009A106E">
              <w:rPr>
                <w:rFonts w:ascii="Times New Roman" w:eastAsia="SimSun" w:hAnsi="Times New Roman"/>
                <w:sz w:val="20"/>
                <w:szCs w:val="20"/>
                <w:lang w:eastAsia="zh-CN"/>
              </w:rPr>
              <w:t xml:space="preserve"> et </w:t>
            </w:r>
            <w:r w:rsidR="00330DCF" w:rsidRPr="009A106E">
              <w:rPr>
                <w:rFonts w:ascii="Times New Roman" w:eastAsia="SimSun" w:hAnsi="Times New Roman"/>
                <w:sz w:val="20"/>
                <w:szCs w:val="20"/>
                <w:lang w:eastAsia="zh-CN"/>
              </w:rPr>
              <w:t xml:space="preserve">les </w:t>
            </w:r>
            <w:r w:rsidR="00EB5238">
              <w:rPr>
                <w:rFonts w:ascii="Times New Roman" w:eastAsia="SimSun" w:hAnsi="Times New Roman"/>
                <w:sz w:val="20"/>
                <w:szCs w:val="20"/>
                <w:lang w:eastAsia="zh-CN"/>
              </w:rPr>
              <w:t xml:space="preserve">auteurs principaux </w:t>
            </w:r>
            <w:r w:rsidRPr="009A106E">
              <w:rPr>
                <w:rFonts w:ascii="Times New Roman" w:eastAsia="SimSun" w:hAnsi="Times New Roman"/>
                <w:sz w:val="20"/>
                <w:szCs w:val="20"/>
                <w:lang w:eastAsia="zh-CN"/>
              </w:rPr>
              <w:t>préparent le premier projet de rapport d’ici mi-février 2015 (6 mois). Une premièr</w:t>
            </w:r>
            <w:r w:rsidR="00F60C00" w:rsidRPr="009A106E">
              <w:rPr>
                <w:rFonts w:ascii="Times New Roman" w:eastAsia="SimSun" w:hAnsi="Times New Roman"/>
                <w:sz w:val="20"/>
                <w:szCs w:val="20"/>
                <w:lang w:eastAsia="zh-CN"/>
              </w:rPr>
              <w:t>e réunion des auteurs se tient</w:t>
            </w:r>
            <w:r w:rsidRPr="009A106E">
              <w:rPr>
                <w:rFonts w:ascii="Times New Roman" w:eastAsia="SimSun" w:hAnsi="Times New Roman"/>
                <w:sz w:val="20"/>
                <w:szCs w:val="20"/>
                <w:lang w:eastAsia="zh-CN"/>
              </w:rPr>
              <w:t xml:space="preserve"> en septembre 2014.</w:t>
            </w:r>
          </w:p>
        </w:tc>
      </w:tr>
      <w:tr w:rsidR="00322D60" w:rsidRPr="009A106E" w:rsidTr="0003742A">
        <w:trPr>
          <w:trHeight w:val="504"/>
        </w:trPr>
        <w:tc>
          <w:tcPr>
            <w:tcW w:w="709" w:type="dxa"/>
            <w:vMerge w:val="restart"/>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r w:rsidRPr="009A106E">
              <w:rPr>
                <w:rFonts w:ascii="Times New Roman" w:eastAsia="SimSun" w:hAnsi="Times New Roman"/>
                <w:sz w:val="20"/>
                <w:szCs w:val="20"/>
                <w:lang w:eastAsia="zh-CN"/>
              </w:rPr>
              <w:t>2015</w:t>
            </w:r>
          </w:p>
        </w:tc>
        <w:tc>
          <w:tcPr>
            <w:tcW w:w="1843" w:type="dxa"/>
            <w:vAlign w:val="center"/>
          </w:tcPr>
          <w:p w:rsidR="00322D60" w:rsidRPr="009A106E" w:rsidRDefault="00357577"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Premier trimestre</w:t>
            </w:r>
          </w:p>
        </w:tc>
        <w:tc>
          <w:tcPr>
            <w:tcW w:w="5811" w:type="dxa"/>
            <w:vAlign w:val="center"/>
          </w:tcPr>
          <w:p w:rsidR="00322D60" w:rsidRPr="009A106E" w:rsidRDefault="00322D60"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premier projet de rapport est revu par des experts jusque fin mars 2015</w:t>
            </w:r>
            <w:r w:rsidR="00EB5238">
              <w:rPr>
                <w:rFonts w:ascii="Times New Roman" w:eastAsia="SimSun" w:hAnsi="Times New Roman"/>
                <w:sz w:val="20"/>
                <w:szCs w:val="20"/>
                <w:lang w:eastAsia="zh-CN"/>
              </w:rPr>
              <w:t xml:space="preserve"> </w:t>
            </w:r>
            <w:r w:rsidRPr="009A106E">
              <w:rPr>
                <w:rFonts w:ascii="Times New Roman" w:eastAsia="SimSun" w:hAnsi="Times New Roman"/>
                <w:sz w:val="20"/>
                <w:szCs w:val="20"/>
                <w:lang w:eastAsia="zh-CN"/>
              </w:rPr>
              <w:t>(1,5-2 mois)</w:t>
            </w:r>
          </w:p>
        </w:tc>
      </w:tr>
      <w:tr w:rsidR="00322D60" w:rsidRPr="009A106E" w:rsidTr="0003742A">
        <w:trPr>
          <w:trHeight w:val="567"/>
        </w:trPr>
        <w:tc>
          <w:tcPr>
            <w:tcW w:w="709" w:type="dxa"/>
            <w:vMerge/>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57577"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Deuxième trimestre</w:t>
            </w:r>
          </w:p>
        </w:tc>
        <w:tc>
          <w:tcPr>
            <w:tcW w:w="5811" w:type="dxa"/>
            <w:vAlign w:val="center"/>
          </w:tcPr>
          <w:p w:rsidR="00322D60" w:rsidRPr="009A106E" w:rsidRDefault="00322D60" w:rsidP="00F60C00">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 xml:space="preserve">Les coprésidents, les </w:t>
            </w:r>
            <w:r w:rsidR="00EB5238">
              <w:rPr>
                <w:rFonts w:ascii="Times New Roman" w:eastAsia="SimSun" w:hAnsi="Times New Roman"/>
                <w:sz w:val="20"/>
                <w:szCs w:val="20"/>
                <w:lang w:eastAsia="zh-CN"/>
              </w:rPr>
              <w:t>auteurs coordonnateurs principaux</w:t>
            </w:r>
            <w:r w:rsidRPr="009A106E">
              <w:rPr>
                <w:rFonts w:ascii="Times New Roman" w:eastAsia="SimSun" w:hAnsi="Times New Roman"/>
                <w:sz w:val="20"/>
                <w:szCs w:val="20"/>
                <w:lang w:eastAsia="zh-CN"/>
              </w:rPr>
              <w:t xml:space="preserve"> et les </w:t>
            </w:r>
            <w:r w:rsidR="00EB5238">
              <w:rPr>
                <w:rFonts w:ascii="Times New Roman" w:eastAsia="SimSun" w:hAnsi="Times New Roman"/>
                <w:sz w:val="20"/>
                <w:szCs w:val="20"/>
                <w:lang w:eastAsia="zh-CN"/>
              </w:rPr>
              <w:t xml:space="preserve">auteurs principaux </w:t>
            </w:r>
            <w:r w:rsidRPr="009A106E">
              <w:rPr>
                <w:rFonts w:ascii="Times New Roman" w:eastAsia="SimSun" w:hAnsi="Times New Roman"/>
                <w:sz w:val="20"/>
                <w:szCs w:val="20"/>
                <w:lang w:eastAsia="zh-CN"/>
              </w:rPr>
              <w:t xml:space="preserve">préparent le deuxième projet de rapport et le premier projet du Résumé à l’intention des décideurs, sous la direction des </w:t>
            </w:r>
            <w:r w:rsidR="00EB5238">
              <w:rPr>
                <w:rFonts w:ascii="Times New Roman" w:eastAsia="SimSun" w:hAnsi="Times New Roman"/>
                <w:sz w:val="20"/>
                <w:szCs w:val="20"/>
                <w:lang w:eastAsia="zh-CN"/>
              </w:rPr>
              <w:t>éditeurs-réviseurs</w:t>
            </w:r>
            <w:r w:rsidRPr="009A106E">
              <w:rPr>
                <w:rFonts w:ascii="Times New Roman" w:eastAsia="SimSun" w:hAnsi="Times New Roman"/>
                <w:sz w:val="20"/>
                <w:szCs w:val="20"/>
                <w:lang w:eastAsia="zh-CN"/>
              </w:rPr>
              <w:t xml:space="preserve"> et du Groupe d’experts multidisciplinaire (avril-juin 2015)</w:t>
            </w:r>
            <w:r w:rsidR="00EB5238">
              <w:rPr>
                <w:rFonts w:ascii="Times New Roman" w:eastAsia="SimSun" w:hAnsi="Times New Roman"/>
                <w:sz w:val="20"/>
                <w:szCs w:val="20"/>
                <w:lang w:eastAsia="zh-CN"/>
              </w:rPr>
              <w:t xml:space="preserve"> </w:t>
            </w:r>
            <w:r w:rsidRPr="009A106E">
              <w:rPr>
                <w:rFonts w:ascii="Times New Roman" w:eastAsia="SimSun" w:hAnsi="Times New Roman"/>
                <w:sz w:val="20"/>
                <w:szCs w:val="20"/>
                <w:lang w:eastAsia="zh-CN"/>
              </w:rPr>
              <w:t xml:space="preserve">(3 mois). Une deuxième </w:t>
            </w:r>
            <w:r w:rsidR="00F60C00" w:rsidRPr="009A106E">
              <w:rPr>
                <w:rFonts w:ascii="Times New Roman" w:eastAsia="SimSun" w:hAnsi="Times New Roman"/>
                <w:sz w:val="20"/>
                <w:szCs w:val="20"/>
                <w:lang w:eastAsia="zh-CN"/>
              </w:rPr>
              <w:t>réunion des auteurs se tient en juin 201</w:t>
            </w:r>
            <w:r w:rsidRPr="009A106E">
              <w:rPr>
                <w:rFonts w:ascii="Times New Roman" w:eastAsia="SimSun" w:hAnsi="Times New Roman"/>
                <w:sz w:val="20"/>
                <w:szCs w:val="20"/>
                <w:lang w:eastAsia="zh-CN"/>
              </w:rPr>
              <w:t>5.</w:t>
            </w:r>
          </w:p>
        </w:tc>
      </w:tr>
      <w:tr w:rsidR="00322D60" w:rsidRPr="009A106E" w:rsidTr="0003742A">
        <w:trPr>
          <w:trHeight w:val="547"/>
        </w:trPr>
        <w:tc>
          <w:tcPr>
            <w:tcW w:w="709" w:type="dxa"/>
            <w:vMerge/>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57577"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Troisième trimestre</w:t>
            </w:r>
          </w:p>
        </w:tc>
        <w:tc>
          <w:tcPr>
            <w:tcW w:w="5811" w:type="dxa"/>
            <w:vAlign w:val="center"/>
          </w:tcPr>
          <w:p w:rsidR="00322D60" w:rsidRPr="009A106E" w:rsidRDefault="00322D60"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deuxième projet de rapport et le premier projet du Résumé à l’intention des décideurs sont revus par les experts,</w:t>
            </w:r>
            <w:r w:rsidR="00F60C00" w:rsidRPr="009A106E">
              <w:rPr>
                <w:rFonts w:ascii="Times New Roman" w:eastAsia="SimSun" w:hAnsi="Times New Roman"/>
                <w:sz w:val="20"/>
                <w:szCs w:val="20"/>
                <w:lang w:eastAsia="zh-CN"/>
              </w:rPr>
              <w:t xml:space="preserve"> les gouvernements et </w:t>
            </w:r>
            <w:r w:rsidRPr="009A106E">
              <w:rPr>
                <w:rFonts w:ascii="Times New Roman" w:eastAsia="SimSun" w:hAnsi="Times New Roman"/>
                <w:sz w:val="20"/>
                <w:szCs w:val="20"/>
                <w:lang w:eastAsia="zh-CN"/>
              </w:rPr>
              <w:t>autres parties prenantes (juillet-août 2015) (2 mois)</w:t>
            </w:r>
          </w:p>
        </w:tc>
      </w:tr>
      <w:tr w:rsidR="00322D60" w:rsidRPr="009A106E" w:rsidTr="0003742A">
        <w:trPr>
          <w:trHeight w:val="215"/>
        </w:trPr>
        <w:tc>
          <w:tcPr>
            <w:tcW w:w="709" w:type="dxa"/>
            <w:vMerge/>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57577" w:rsidP="007B1C31">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Troisième/quatrième trimestre</w:t>
            </w:r>
            <w:r w:rsidR="007B1C31">
              <w:rPr>
                <w:rFonts w:ascii="Times New Roman" w:eastAsia="SimSun" w:hAnsi="Times New Roman"/>
                <w:sz w:val="20"/>
                <w:szCs w:val="20"/>
                <w:lang w:eastAsia="zh-CN"/>
              </w:rPr>
              <w:t>s</w:t>
            </w:r>
          </w:p>
        </w:tc>
        <w:tc>
          <w:tcPr>
            <w:tcW w:w="5811" w:type="dxa"/>
            <w:vAlign w:val="center"/>
          </w:tcPr>
          <w:p w:rsidR="00322D60" w:rsidRPr="009A106E" w:rsidRDefault="00322D60" w:rsidP="0035757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 xml:space="preserve">Les coprésidents, les </w:t>
            </w:r>
            <w:r w:rsidR="00EB5238">
              <w:rPr>
                <w:rFonts w:ascii="Times New Roman" w:eastAsia="SimSun" w:hAnsi="Times New Roman"/>
                <w:sz w:val="20"/>
                <w:szCs w:val="20"/>
                <w:lang w:eastAsia="zh-CN"/>
              </w:rPr>
              <w:t>auteurs coordonnateurs principaux</w:t>
            </w:r>
            <w:r w:rsidR="00357577" w:rsidRPr="009A106E">
              <w:rPr>
                <w:rFonts w:ascii="Times New Roman" w:eastAsia="SimSun" w:hAnsi="Times New Roman"/>
                <w:sz w:val="20"/>
                <w:szCs w:val="20"/>
                <w:lang w:eastAsia="zh-CN"/>
              </w:rPr>
              <w:t xml:space="preserve"> et les </w:t>
            </w:r>
            <w:r w:rsidR="00EB5238">
              <w:rPr>
                <w:rFonts w:ascii="Times New Roman" w:eastAsia="SimSun" w:hAnsi="Times New Roman"/>
                <w:sz w:val="20"/>
                <w:szCs w:val="20"/>
                <w:lang w:eastAsia="zh-CN"/>
              </w:rPr>
              <w:t xml:space="preserve">auteurs principaux </w:t>
            </w:r>
            <w:r w:rsidRPr="009A106E">
              <w:rPr>
                <w:rFonts w:ascii="Times New Roman" w:eastAsia="SimSun" w:hAnsi="Times New Roman"/>
                <w:sz w:val="20"/>
                <w:szCs w:val="20"/>
                <w:lang w:eastAsia="zh-CN"/>
              </w:rPr>
              <w:t xml:space="preserve">préparent le rapport final et le projet final du Résumé à l’intention des décideurs sous la direction des </w:t>
            </w:r>
            <w:r w:rsidR="00EB5238">
              <w:rPr>
                <w:rFonts w:ascii="Times New Roman" w:eastAsia="SimSun" w:hAnsi="Times New Roman"/>
                <w:sz w:val="20"/>
                <w:szCs w:val="20"/>
                <w:lang w:eastAsia="zh-CN"/>
              </w:rPr>
              <w:t>éditeurs-réviseurs</w:t>
            </w:r>
            <w:r w:rsidRPr="009A106E">
              <w:rPr>
                <w:rFonts w:ascii="Times New Roman" w:eastAsia="SimSun" w:hAnsi="Times New Roman"/>
                <w:sz w:val="20"/>
                <w:szCs w:val="20"/>
                <w:lang w:eastAsia="zh-CN"/>
              </w:rPr>
              <w:t xml:space="preserve"> et du Groupe d’experts multidisciplinaire (septembre-octobre 2015) (2 mois). Un</w:t>
            </w:r>
            <w:r w:rsidR="00357577" w:rsidRPr="009A106E">
              <w:rPr>
                <w:rFonts w:ascii="Times New Roman" w:eastAsia="SimSun" w:hAnsi="Times New Roman"/>
                <w:sz w:val="20"/>
                <w:szCs w:val="20"/>
                <w:lang w:eastAsia="zh-CN"/>
              </w:rPr>
              <w:t xml:space="preserve">e troisième réunion </w:t>
            </w:r>
            <w:r w:rsidR="00F60C00" w:rsidRPr="009A106E">
              <w:rPr>
                <w:rFonts w:ascii="Times New Roman" w:eastAsia="SimSun" w:hAnsi="Times New Roman"/>
                <w:sz w:val="20"/>
                <w:szCs w:val="20"/>
                <w:lang w:eastAsia="zh-CN"/>
              </w:rPr>
              <w:t>des auteurs se tient</w:t>
            </w:r>
            <w:r w:rsidRPr="009A106E">
              <w:rPr>
                <w:rFonts w:ascii="Times New Roman" w:eastAsia="SimSun" w:hAnsi="Times New Roman"/>
                <w:sz w:val="20"/>
                <w:szCs w:val="20"/>
                <w:lang w:eastAsia="zh-CN"/>
              </w:rPr>
              <w:t xml:space="preserve"> en octobre 2015.</w:t>
            </w:r>
          </w:p>
        </w:tc>
      </w:tr>
      <w:tr w:rsidR="00322D60" w:rsidRPr="009A106E" w:rsidTr="0003742A">
        <w:trPr>
          <w:trHeight w:val="479"/>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57577"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Quatrième trimestre</w:t>
            </w:r>
          </w:p>
        </w:tc>
        <w:tc>
          <w:tcPr>
            <w:tcW w:w="5811" w:type="dxa"/>
            <w:vAlign w:val="center"/>
          </w:tcPr>
          <w:p w:rsidR="00322D60" w:rsidRPr="009A106E" w:rsidRDefault="00322D60"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Le résumé à l’intention des décideurs est traduit dans toutes les langues officiel</w:t>
            </w:r>
            <w:r w:rsidR="00357577" w:rsidRPr="009A106E">
              <w:rPr>
                <w:rFonts w:ascii="Times New Roman" w:eastAsia="SimSun" w:hAnsi="Times New Roman"/>
                <w:sz w:val="20"/>
                <w:szCs w:val="20"/>
                <w:lang w:eastAsia="zh-CN"/>
              </w:rPr>
              <w:t>les de l’ONU avant</w:t>
            </w:r>
            <w:r w:rsidRPr="009A106E">
              <w:rPr>
                <w:rFonts w:ascii="Times New Roman" w:eastAsia="SimSun" w:hAnsi="Times New Roman"/>
                <w:sz w:val="20"/>
                <w:szCs w:val="20"/>
                <w:lang w:eastAsia="zh-CN"/>
              </w:rPr>
              <w:t xml:space="preserve"> mi-décembre </w:t>
            </w:r>
            <w:r w:rsidR="00357577" w:rsidRPr="009A106E">
              <w:rPr>
                <w:rFonts w:ascii="Times New Roman" w:eastAsia="SimSun" w:hAnsi="Times New Roman"/>
                <w:sz w:val="20"/>
                <w:szCs w:val="20"/>
                <w:lang w:eastAsia="zh-CN"/>
              </w:rPr>
              <w:t>2015</w:t>
            </w:r>
            <w:r w:rsidRPr="009A106E">
              <w:rPr>
                <w:rFonts w:ascii="Times New Roman" w:eastAsia="SimSun" w:hAnsi="Times New Roman"/>
                <w:sz w:val="20"/>
                <w:szCs w:val="20"/>
                <w:lang w:eastAsia="zh-CN"/>
              </w:rPr>
              <w:t xml:space="preserve"> (1,5 mois)</w:t>
            </w:r>
          </w:p>
        </w:tc>
      </w:tr>
      <w:tr w:rsidR="00322D60" w:rsidRPr="009A106E" w:rsidTr="0003742A">
        <w:trPr>
          <w:trHeight w:val="242"/>
        </w:trPr>
        <w:tc>
          <w:tcPr>
            <w:tcW w:w="709" w:type="dxa"/>
            <w:vMerge w:val="restart"/>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r w:rsidRPr="009A106E">
              <w:rPr>
                <w:rFonts w:ascii="Times New Roman" w:eastAsia="SimSun" w:hAnsi="Times New Roman"/>
                <w:sz w:val="20"/>
                <w:szCs w:val="20"/>
                <w:lang w:eastAsia="zh-CN"/>
              </w:rPr>
              <w:t>2016</w:t>
            </w:r>
          </w:p>
        </w:tc>
        <w:tc>
          <w:tcPr>
            <w:tcW w:w="1843" w:type="dxa"/>
            <w:vAlign w:val="center"/>
          </w:tcPr>
          <w:p w:rsidR="00322D60" w:rsidRPr="009A106E" w:rsidRDefault="00357577"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Premier trimestre</w:t>
            </w:r>
          </w:p>
        </w:tc>
        <w:tc>
          <w:tcPr>
            <w:tcW w:w="5811" w:type="dxa"/>
            <w:vAlign w:val="center"/>
          </w:tcPr>
          <w:p w:rsidR="00322D60" w:rsidRPr="009A106E" w:rsidRDefault="00322D60"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rPr>
              <w:t xml:space="preserve">Le projet de rapport final et le Résumé à l’intention des décideurs sont transmis aux gouvernements et aux autres parties prenantes pour examen final en janvier-février 2016 (1,5-2 mois). Les gouvernements sont vivement invités à adresser au secrétariat, par écrit, leurs observations sur le projet du Résumé à l’intention des décideurs, une semaine avant la </w:t>
            </w:r>
            <w:r w:rsidR="00357577" w:rsidRPr="009A106E">
              <w:rPr>
                <w:rFonts w:ascii="Times New Roman" w:eastAsia="SimSun" w:hAnsi="Times New Roman"/>
                <w:sz w:val="20"/>
                <w:szCs w:val="20"/>
              </w:rPr>
              <w:t xml:space="preserve">quatrième session de la </w:t>
            </w:r>
            <w:r w:rsidRPr="009A106E">
              <w:rPr>
                <w:rFonts w:ascii="Times New Roman" w:eastAsia="SimSun" w:hAnsi="Times New Roman"/>
                <w:sz w:val="20"/>
                <w:szCs w:val="20"/>
              </w:rPr>
              <w:t>Plénière.</w:t>
            </w:r>
          </w:p>
        </w:tc>
      </w:tr>
      <w:tr w:rsidR="00322D60" w:rsidRPr="009A106E" w:rsidTr="0003742A">
        <w:trPr>
          <w:trHeight w:val="242"/>
        </w:trPr>
        <w:tc>
          <w:tcPr>
            <w:tcW w:w="709" w:type="dxa"/>
            <w:vMerge/>
            <w:vAlign w:val="center"/>
          </w:tcPr>
          <w:p w:rsidR="00322D60" w:rsidRPr="009A106E" w:rsidRDefault="00322D60" w:rsidP="006034C7">
            <w:pPr>
              <w:keepLines/>
              <w:tabs>
                <w:tab w:val="left" w:pos="426"/>
                <w:tab w:val="num" w:pos="1353"/>
              </w:tabs>
              <w:autoSpaceDE w:val="0"/>
              <w:autoSpaceDN w:val="0"/>
              <w:adjustRightInd w:val="0"/>
              <w:spacing w:after="120"/>
              <w:jc w:val="center"/>
              <w:rPr>
                <w:rFonts w:ascii="Times New Roman" w:eastAsia="SimSun" w:hAnsi="Times New Roman"/>
                <w:sz w:val="20"/>
                <w:szCs w:val="20"/>
                <w:lang w:eastAsia="zh-CN"/>
              </w:rPr>
            </w:pPr>
          </w:p>
        </w:tc>
        <w:tc>
          <w:tcPr>
            <w:tcW w:w="1843" w:type="dxa"/>
            <w:vAlign w:val="center"/>
          </w:tcPr>
          <w:p w:rsidR="00322D60" w:rsidRPr="009A106E" w:rsidRDefault="00357577" w:rsidP="006034C7">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Premier trimestre</w:t>
            </w:r>
          </w:p>
        </w:tc>
        <w:tc>
          <w:tcPr>
            <w:tcW w:w="5811" w:type="dxa"/>
            <w:vAlign w:val="center"/>
          </w:tcPr>
          <w:p w:rsidR="00322D60" w:rsidRPr="009A106E" w:rsidRDefault="00322D60" w:rsidP="00EB5238">
            <w:pPr>
              <w:keepLines/>
              <w:tabs>
                <w:tab w:val="left" w:pos="426"/>
                <w:tab w:val="num" w:pos="1353"/>
              </w:tabs>
              <w:autoSpaceDE w:val="0"/>
              <w:autoSpaceDN w:val="0"/>
              <w:adjustRightInd w:val="0"/>
              <w:spacing w:after="120"/>
              <w:rPr>
                <w:rFonts w:ascii="Times New Roman" w:eastAsia="SimSun" w:hAnsi="Times New Roman"/>
                <w:sz w:val="20"/>
                <w:szCs w:val="20"/>
                <w:lang w:eastAsia="zh-CN"/>
              </w:rPr>
            </w:pPr>
            <w:r w:rsidRPr="009A106E">
              <w:rPr>
                <w:rFonts w:ascii="Times New Roman" w:eastAsia="SimSun" w:hAnsi="Times New Roman"/>
                <w:sz w:val="20"/>
                <w:szCs w:val="20"/>
                <w:lang w:eastAsia="zh-CN"/>
              </w:rPr>
              <w:t>La Plénière revoi</w:t>
            </w:r>
            <w:r w:rsidR="00EB5238">
              <w:rPr>
                <w:rFonts w:ascii="Times New Roman" w:eastAsia="SimSun" w:hAnsi="Times New Roman"/>
                <w:sz w:val="20"/>
                <w:szCs w:val="20"/>
                <w:lang w:eastAsia="zh-CN"/>
              </w:rPr>
              <w:t>t et accepte le rapport et revoit</w:t>
            </w:r>
            <w:r w:rsidRPr="009A106E">
              <w:rPr>
                <w:rFonts w:ascii="Times New Roman" w:eastAsia="SimSun" w:hAnsi="Times New Roman"/>
                <w:sz w:val="20"/>
                <w:szCs w:val="20"/>
                <w:lang w:eastAsia="zh-CN"/>
              </w:rPr>
              <w:t xml:space="preserve"> et approuve le Résumé à l’i</w:t>
            </w:r>
            <w:r w:rsidR="00357577" w:rsidRPr="009A106E">
              <w:rPr>
                <w:rFonts w:ascii="Times New Roman" w:eastAsia="SimSun" w:hAnsi="Times New Roman"/>
                <w:sz w:val="20"/>
                <w:szCs w:val="20"/>
                <w:lang w:eastAsia="zh-CN"/>
              </w:rPr>
              <w:t>ntention des décideurs lors de s</w:t>
            </w:r>
            <w:r w:rsidRPr="009A106E">
              <w:rPr>
                <w:rFonts w:ascii="Times New Roman" w:eastAsia="SimSun" w:hAnsi="Times New Roman"/>
                <w:sz w:val="20"/>
                <w:szCs w:val="20"/>
                <w:lang w:eastAsia="zh-CN"/>
              </w:rPr>
              <w:t>a quatrième réunion</w:t>
            </w:r>
            <w:r w:rsidR="00357577" w:rsidRPr="009A106E">
              <w:rPr>
                <w:rFonts w:ascii="Times New Roman" w:eastAsia="SimSun" w:hAnsi="Times New Roman"/>
                <w:sz w:val="20"/>
                <w:szCs w:val="20"/>
                <w:lang w:eastAsia="zh-CN"/>
              </w:rPr>
              <w:t>,</w:t>
            </w:r>
            <w:r w:rsidRPr="009A106E">
              <w:rPr>
                <w:rFonts w:ascii="Times New Roman" w:eastAsia="SimSun" w:hAnsi="Times New Roman"/>
                <w:sz w:val="20"/>
                <w:szCs w:val="20"/>
                <w:lang w:eastAsia="zh-CN"/>
              </w:rPr>
              <w:t xml:space="preserve"> en mars 2016.</w:t>
            </w:r>
          </w:p>
        </w:tc>
      </w:tr>
    </w:tbl>
    <w:p w:rsidR="00D36134" w:rsidRPr="009A106E" w:rsidRDefault="006034C7" w:rsidP="00C91306">
      <w:pPr>
        <w:pStyle w:val="CH1"/>
        <w:rPr>
          <w:lang w:val="fr-FR"/>
        </w:rPr>
      </w:pPr>
      <w:r w:rsidRPr="009A106E">
        <w:rPr>
          <w:lang w:val="fr-FR"/>
        </w:rPr>
        <w:lastRenderedPageBreak/>
        <w:tab/>
      </w:r>
      <w:r w:rsidR="00614485" w:rsidRPr="009A106E">
        <w:rPr>
          <w:lang w:val="fr-FR"/>
        </w:rPr>
        <w:t>V.</w:t>
      </w:r>
      <w:r w:rsidR="00D36134" w:rsidRPr="009A106E">
        <w:rPr>
          <w:lang w:val="fr-FR"/>
        </w:rPr>
        <w:tab/>
        <w:t>Co</w:t>
      </w:r>
      <w:r w:rsidRPr="009A106E">
        <w:rPr>
          <w:lang w:val="fr-FR"/>
        </w:rPr>
        <w:t>ûts estimatifs</w:t>
      </w:r>
    </w:p>
    <w:p w:rsidR="008839C0" w:rsidRPr="009A106E" w:rsidRDefault="006034C7" w:rsidP="00FB4629">
      <w:pPr>
        <w:pStyle w:val="Normalnumber"/>
        <w:rPr>
          <w:sz w:val="20"/>
          <w:szCs w:val="20"/>
          <w:lang w:val="fr-FR"/>
        </w:rPr>
      </w:pPr>
      <w:r w:rsidRPr="009A106E">
        <w:rPr>
          <w:sz w:val="20"/>
          <w:szCs w:val="20"/>
          <w:lang w:val="fr-FR"/>
        </w:rPr>
        <w:t>Le tableau ci-dessous fait apparaître les coûts estimat</w:t>
      </w:r>
      <w:r w:rsidR="00357577" w:rsidRPr="009A106E">
        <w:rPr>
          <w:sz w:val="20"/>
          <w:szCs w:val="20"/>
          <w:lang w:val="fr-FR"/>
        </w:rPr>
        <w:t>ifs de l’évaluation et de la pré</w:t>
      </w:r>
      <w:r w:rsidRPr="009A106E">
        <w:rPr>
          <w:sz w:val="20"/>
          <w:szCs w:val="20"/>
          <w:lang w:val="fr-FR"/>
        </w:rPr>
        <w:t>paration du rapport d’évaluation thématique.</w:t>
      </w:r>
    </w:p>
    <w:p w:rsidR="00165D8D" w:rsidRPr="009A106E" w:rsidRDefault="008839C0" w:rsidP="00FB4629">
      <w:pPr>
        <w:pStyle w:val="Normalnumber"/>
        <w:numPr>
          <w:ilvl w:val="0"/>
          <w:numId w:val="0"/>
        </w:numPr>
        <w:ind w:left="1247"/>
        <w:rPr>
          <w:sz w:val="18"/>
          <w:szCs w:val="18"/>
          <w:lang w:val="fr-FR"/>
        </w:rPr>
      </w:pPr>
      <w:r w:rsidRPr="009A106E">
        <w:rPr>
          <w:sz w:val="18"/>
          <w:szCs w:val="18"/>
          <w:lang w:val="fr-FR"/>
        </w:rPr>
        <w:t>(</w:t>
      </w:r>
      <w:r w:rsidR="006034C7" w:rsidRPr="009A106E">
        <w:rPr>
          <w:sz w:val="18"/>
          <w:szCs w:val="18"/>
          <w:lang w:val="fr-FR"/>
        </w:rPr>
        <w:t xml:space="preserve">en dollars des </w:t>
      </w:r>
      <w:r w:rsidR="00165D8D" w:rsidRPr="009A106E">
        <w:rPr>
          <w:sz w:val="18"/>
          <w:szCs w:val="18"/>
          <w:lang w:val="fr-FR"/>
        </w:rPr>
        <w:t>États-Unis</w:t>
      </w:r>
      <w:r w:rsidRPr="009A106E">
        <w:rPr>
          <w:sz w:val="18"/>
          <w:szCs w:val="18"/>
          <w:lang w:val="fr-FR"/>
        </w:rPr>
        <w:t>)</w:t>
      </w:r>
    </w:p>
    <w:tbl>
      <w:tblPr>
        <w:tblW w:w="8270" w:type="dxa"/>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693"/>
        <w:gridCol w:w="3107"/>
        <w:gridCol w:w="1613"/>
      </w:tblGrid>
      <w:tr w:rsidR="00165D8D" w:rsidRPr="009A106E" w:rsidTr="0003742A">
        <w:tc>
          <w:tcPr>
            <w:tcW w:w="85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i/>
                <w:sz w:val="18"/>
                <w:szCs w:val="18"/>
                <w:lang w:eastAsia="zh-CN"/>
              </w:rPr>
            </w:pPr>
            <w:r w:rsidRPr="009A106E">
              <w:rPr>
                <w:rFonts w:ascii="Times New Roman" w:eastAsia="SimSun" w:hAnsi="Times New Roman"/>
                <w:i/>
                <w:sz w:val="18"/>
                <w:szCs w:val="18"/>
                <w:lang w:eastAsia="zh-CN"/>
              </w:rPr>
              <w:t>Année</w:t>
            </w:r>
          </w:p>
        </w:tc>
        <w:tc>
          <w:tcPr>
            <w:tcW w:w="2693" w:type="dxa"/>
          </w:tcPr>
          <w:p w:rsidR="00165D8D" w:rsidRPr="009A106E" w:rsidRDefault="00BD11E8"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i/>
                <w:sz w:val="18"/>
                <w:szCs w:val="18"/>
                <w:lang w:eastAsia="zh-CN"/>
              </w:rPr>
            </w:pPr>
            <w:r w:rsidRPr="00BD11E8">
              <w:rPr>
                <w:rFonts w:ascii="Times New Roman" w:eastAsia="SimSun" w:hAnsi="Times New Roman"/>
                <w:i/>
                <w:sz w:val="18"/>
                <w:szCs w:val="18"/>
                <w:lang w:eastAsia="zh-CN"/>
              </w:rPr>
              <w:t>Poste de dépense</w:t>
            </w: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i/>
                <w:sz w:val="18"/>
                <w:szCs w:val="18"/>
                <w:lang w:eastAsia="zh-CN"/>
              </w:rPr>
            </w:pPr>
            <w:r w:rsidRPr="009A106E">
              <w:rPr>
                <w:rFonts w:ascii="Times New Roman" w:eastAsia="SimSun" w:hAnsi="Times New Roman"/>
                <w:i/>
                <w:sz w:val="18"/>
                <w:szCs w:val="18"/>
                <w:lang w:eastAsia="zh-CN"/>
              </w:rPr>
              <w:t>Hypothèses</w:t>
            </w:r>
          </w:p>
        </w:tc>
        <w:tc>
          <w:tcPr>
            <w:tcW w:w="1613" w:type="dxa"/>
          </w:tcPr>
          <w:p w:rsidR="00165D8D" w:rsidRPr="009A106E" w:rsidRDefault="00165D8D"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i/>
                <w:sz w:val="18"/>
                <w:szCs w:val="18"/>
                <w:lang w:eastAsia="zh-CN"/>
              </w:rPr>
            </w:pPr>
            <w:r w:rsidRPr="009A106E">
              <w:rPr>
                <w:rFonts w:ascii="Times New Roman" w:eastAsia="SimSun" w:hAnsi="Times New Roman"/>
                <w:i/>
                <w:sz w:val="18"/>
                <w:szCs w:val="18"/>
                <w:lang w:eastAsia="zh-CN"/>
              </w:rPr>
              <w:t>Coût</w:t>
            </w:r>
          </w:p>
        </w:tc>
      </w:tr>
      <w:tr w:rsidR="00165D8D" w:rsidRPr="009A106E" w:rsidTr="0003742A">
        <w:tc>
          <w:tcPr>
            <w:tcW w:w="857" w:type="dxa"/>
            <w:vMerge w:val="restart"/>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201</w:t>
            </w:r>
            <w:r w:rsidR="002D0837" w:rsidRPr="009A106E">
              <w:rPr>
                <w:rFonts w:ascii="Times New Roman" w:eastAsia="SimSun" w:hAnsi="Times New Roman"/>
                <w:sz w:val="18"/>
                <w:szCs w:val="18"/>
                <w:lang w:eastAsia="zh-CN"/>
              </w:rPr>
              <w:t>4</w:t>
            </w:r>
          </w:p>
        </w:tc>
        <w:tc>
          <w:tcPr>
            <w:tcW w:w="2693" w:type="dxa"/>
            <w:vMerge w:val="restart"/>
            <w:vAlign w:val="center"/>
          </w:tcPr>
          <w:p w:rsidR="00165D8D" w:rsidRPr="009A106E" w:rsidRDefault="002D0837" w:rsidP="00BD11E8">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Réunion</w:t>
            </w:r>
            <w:r w:rsidR="00165D8D" w:rsidRPr="009A106E">
              <w:rPr>
                <w:rFonts w:ascii="Times New Roman" w:eastAsia="SimSun" w:hAnsi="Times New Roman"/>
                <w:sz w:val="18"/>
                <w:szCs w:val="18"/>
                <w:lang w:eastAsia="zh-CN"/>
              </w:rPr>
              <w:t xml:space="preserve"> de cadrage</w:t>
            </w:r>
            <w:r w:rsidR="00BD11E8">
              <w:rPr>
                <w:rFonts w:ascii="Times New Roman" w:eastAsia="SimSun" w:hAnsi="Times New Roman"/>
                <w:sz w:val="18"/>
                <w:szCs w:val="18"/>
                <w:lang w:eastAsia="zh-CN"/>
              </w:rPr>
              <w:t xml:space="preserve"> </w:t>
            </w:r>
            <w:r w:rsidR="00165D8D" w:rsidRPr="009A106E">
              <w:rPr>
                <w:rFonts w:ascii="Times New Roman" w:eastAsia="SimSun" w:hAnsi="Times New Roman"/>
                <w:sz w:val="18"/>
                <w:szCs w:val="18"/>
                <w:lang w:eastAsia="zh-CN"/>
              </w:rPr>
              <w:t>(Groupe d’experts multidisciplinaire, Bureau et experts)</w:t>
            </w: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Coût de la réunion (un</w:t>
            </w:r>
            <w:r w:rsidR="00D32986">
              <w:rPr>
                <w:rFonts w:ascii="Times New Roman" w:eastAsia="SimSun" w:hAnsi="Times New Roman"/>
                <w:sz w:val="18"/>
                <w:szCs w:val="18"/>
                <w:lang w:eastAsia="zh-CN"/>
              </w:rPr>
              <w:t>e semaine, 25 participants) (25 </w:t>
            </w:r>
            <w:r w:rsidRPr="009A106E">
              <w:rPr>
                <w:rFonts w:ascii="Times New Roman" w:eastAsia="SimSun" w:hAnsi="Times New Roman"/>
                <w:sz w:val="18"/>
                <w:szCs w:val="18"/>
                <w:lang w:eastAsia="zh-CN"/>
              </w:rPr>
              <w:t>% en nature)</w:t>
            </w:r>
          </w:p>
        </w:tc>
        <w:tc>
          <w:tcPr>
            <w:tcW w:w="1613" w:type="dxa"/>
          </w:tcPr>
          <w:p w:rsidR="00165D8D" w:rsidRPr="009A106E" w:rsidRDefault="00574DD7"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Pr>
                <w:rFonts w:ascii="Times New Roman" w:eastAsia="SimSun" w:hAnsi="Times New Roman"/>
                <w:sz w:val="18"/>
                <w:szCs w:val="18"/>
                <w:lang w:eastAsia="zh-CN"/>
              </w:rPr>
              <w:t>7 </w:t>
            </w:r>
            <w:r w:rsidR="00165D8D" w:rsidRPr="009A106E">
              <w:rPr>
                <w:rFonts w:ascii="Times New Roman" w:eastAsia="SimSun" w:hAnsi="Times New Roman"/>
                <w:sz w:val="18"/>
                <w:szCs w:val="18"/>
                <w:lang w:eastAsia="zh-CN"/>
              </w:rPr>
              <w:t>500</w:t>
            </w:r>
          </w:p>
        </w:tc>
      </w:tr>
      <w:tr w:rsidR="00165D8D" w:rsidRPr="009A106E" w:rsidTr="0003742A">
        <w:trPr>
          <w:trHeight w:val="187"/>
        </w:trPr>
        <w:tc>
          <w:tcPr>
            <w:tcW w:w="857" w:type="dxa"/>
            <w:vMerge/>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vMerge/>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3107" w:type="dxa"/>
          </w:tcPr>
          <w:p w:rsidR="00165D8D" w:rsidRPr="009A106E" w:rsidRDefault="002D0837" w:rsidP="002D0837">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 xml:space="preserve">Frais de voyage et </w:t>
            </w:r>
            <w:r w:rsidR="00BD11E8">
              <w:rPr>
                <w:rFonts w:ascii="Times New Roman" w:eastAsia="SimSun" w:hAnsi="Times New Roman"/>
                <w:sz w:val="18"/>
                <w:szCs w:val="18"/>
                <w:lang w:eastAsia="zh-CN"/>
              </w:rPr>
              <w:t>indemnités journalières de su</w:t>
            </w:r>
            <w:r w:rsidR="007D0F89">
              <w:rPr>
                <w:rFonts w:ascii="Times New Roman" w:eastAsia="SimSun" w:hAnsi="Times New Roman"/>
                <w:sz w:val="18"/>
                <w:szCs w:val="18"/>
                <w:lang w:eastAsia="zh-CN"/>
              </w:rPr>
              <w:t xml:space="preserve">bsistance </w:t>
            </w:r>
            <w:r w:rsidR="007D0F89">
              <w:rPr>
                <w:rFonts w:ascii="Times New Roman" w:eastAsia="SimSun" w:hAnsi="Times New Roman"/>
                <w:sz w:val="18"/>
                <w:szCs w:val="18"/>
                <w:lang w:eastAsia="zh-CN"/>
              </w:rPr>
              <w:br/>
            </w:r>
            <w:r w:rsidR="00165D8D" w:rsidRPr="009A106E">
              <w:rPr>
                <w:rFonts w:ascii="Times New Roman" w:eastAsia="SimSun" w:hAnsi="Times New Roman"/>
                <w:sz w:val="18"/>
                <w:szCs w:val="18"/>
                <w:lang w:eastAsia="zh-CN"/>
              </w:rPr>
              <w:t>(19 x 3</w:t>
            </w:r>
            <w:r w:rsidR="007D0F89">
              <w:rPr>
                <w:rFonts w:ascii="Times New Roman" w:eastAsia="SimSun" w:hAnsi="Times New Roman"/>
                <w:sz w:val="18"/>
                <w:szCs w:val="18"/>
                <w:lang w:eastAsia="zh-CN"/>
              </w:rPr>
              <w:t> 000 </w:t>
            </w:r>
            <w:r w:rsidRPr="009A106E">
              <w:rPr>
                <w:rFonts w:ascii="Times New Roman" w:eastAsia="SimSun" w:hAnsi="Times New Roman"/>
                <w:sz w:val="18"/>
                <w:szCs w:val="18"/>
                <w:lang w:eastAsia="zh-CN"/>
              </w:rPr>
              <w:t>dollars</w:t>
            </w:r>
            <w:r w:rsidR="00165D8D" w:rsidRPr="009A106E">
              <w:rPr>
                <w:rFonts w:ascii="Times New Roman" w:eastAsia="SimSun" w:hAnsi="Times New Roman"/>
                <w:sz w:val="18"/>
                <w:szCs w:val="18"/>
                <w:lang w:eastAsia="zh-CN"/>
              </w:rPr>
              <w:t>)</w:t>
            </w:r>
          </w:p>
        </w:tc>
        <w:tc>
          <w:tcPr>
            <w:tcW w:w="1613" w:type="dxa"/>
          </w:tcPr>
          <w:p w:rsidR="00165D8D" w:rsidRPr="009A106E" w:rsidRDefault="00574DD7"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Pr>
                <w:rFonts w:ascii="Times New Roman" w:eastAsia="SimSun" w:hAnsi="Times New Roman"/>
                <w:sz w:val="18"/>
                <w:szCs w:val="18"/>
                <w:lang w:eastAsia="zh-CN"/>
              </w:rPr>
              <w:t>57 </w:t>
            </w:r>
            <w:r w:rsidR="00165D8D" w:rsidRPr="009A106E">
              <w:rPr>
                <w:rFonts w:ascii="Times New Roman" w:eastAsia="SimSun" w:hAnsi="Times New Roman"/>
                <w:sz w:val="18"/>
                <w:szCs w:val="18"/>
                <w:lang w:eastAsia="zh-CN"/>
              </w:rPr>
              <w:t>000</w:t>
            </w:r>
          </w:p>
        </w:tc>
      </w:tr>
      <w:tr w:rsidR="00165D8D" w:rsidRPr="009A106E" w:rsidTr="0003742A">
        <w:tc>
          <w:tcPr>
            <w:tcW w:w="857" w:type="dxa"/>
            <w:vMerge/>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vMerge w:val="restart"/>
            <w:vAlign w:val="center"/>
          </w:tcPr>
          <w:p w:rsidR="00165D8D" w:rsidRPr="009A106E" w:rsidRDefault="00165D8D" w:rsidP="00BD11E8">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rPr>
              <w:t>P</w:t>
            </w:r>
            <w:r w:rsidR="0003742A">
              <w:rPr>
                <w:rFonts w:ascii="Times New Roman" w:eastAsia="SimSun" w:hAnsi="Times New Roman"/>
                <w:sz w:val="18"/>
                <w:szCs w:val="18"/>
              </w:rPr>
              <w:t>remière réunion des auteurs (65 </w:t>
            </w:r>
            <w:r w:rsidRPr="009A106E">
              <w:rPr>
                <w:rFonts w:ascii="Times New Roman" w:eastAsia="SimSun" w:hAnsi="Times New Roman"/>
                <w:sz w:val="18"/>
                <w:szCs w:val="18"/>
              </w:rPr>
              <w:t xml:space="preserve">coprésidents, </w:t>
            </w:r>
            <w:r w:rsidR="00EB5238">
              <w:rPr>
                <w:rFonts w:ascii="Times New Roman" w:eastAsia="SimSun" w:hAnsi="Times New Roman"/>
                <w:sz w:val="18"/>
                <w:szCs w:val="18"/>
              </w:rPr>
              <w:t>auteurs coordonnateurs principaux</w:t>
            </w:r>
            <w:r w:rsidRPr="009A106E">
              <w:rPr>
                <w:rFonts w:ascii="Times New Roman" w:eastAsia="SimSun" w:hAnsi="Times New Roman"/>
                <w:sz w:val="18"/>
                <w:szCs w:val="18"/>
              </w:rPr>
              <w:t xml:space="preserve"> et </w:t>
            </w:r>
            <w:r w:rsidR="002D0837" w:rsidRPr="009A106E">
              <w:rPr>
                <w:rFonts w:ascii="Times New Roman" w:eastAsia="SimSun" w:hAnsi="Times New Roman"/>
                <w:sz w:val="18"/>
                <w:szCs w:val="18"/>
              </w:rPr>
              <w:t>auteurs</w:t>
            </w:r>
            <w:r w:rsidRPr="009A106E">
              <w:rPr>
                <w:rFonts w:ascii="Times New Roman" w:eastAsia="SimSun" w:hAnsi="Times New Roman"/>
                <w:sz w:val="18"/>
                <w:szCs w:val="18"/>
              </w:rPr>
              <w:t xml:space="preserve"> principaux</w:t>
            </w:r>
            <w:r w:rsidR="002D0837" w:rsidRPr="009A106E">
              <w:rPr>
                <w:rFonts w:ascii="Times New Roman" w:eastAsia="SimSun" w:hAnsi="Times New Roman"/>
                <w:sz w:val="18"/>
                <w:szCs w:val="18"/>
              </w:rPr>
              <w:t>,</w:t>
            </w:r>
            <w:r w:rsidR="00BD11E8">
              <w:rPr>
                <w:rFonts w:ascii="Times New Roman" w:eastAsia="SimSun" w:hAnsi="Times New Roman"/>
                <w:sz w:val="18"/>
                <w:szCs w:val="18"/>
              </w:rPr>
              <w:t xml:space="preserve"> + </w:t>
            </w:r>
            <w:r w:rsidRPr="009A106E">
              <w:rPr>
                <w:rFonts w:ascii="Times New Roman" w:eastAsia="SimSun" w:hAnsi="Times New Roman"/>
                <w:sz w:val="18"/>
                <w:szCs w:val="18"/>
              </w:rPr>
              <w:t>4 membres du Groupe/Bureau</w:t>
            </w:r>
            <w:r w:rsidR="002D0837" w:rsidRPr="009A106E">
              <w:rPr>
                <w:rFonts w:ascii="Times New Roman" w:eastAsia="SimSun" w:hAnsi="Times New Roman"/>
                <w:sz w:val="18"/>
                <w:szCs w:val="18"/>
              </w:rPr>
              <w:t>,</w:t>
            </w:r>
            <w:r w:rsidR="00BD11E8">
              <w:rPr>
                <w:rFonts w:ascii="Times New Roman" w:eastAsia="SimSun" w:hAnsi="Times New Roman"/>
                <w:sz w:val="18"/>
                <w:szCs w:val="18"/>
              </w:rPr>
              <w:t xml:space="preserve"> + </w:t>
            </w:r>
            <w:r w:rsidR="002D0837" w:rsidRPr="009A106E">
              <w:rPr>
                <w:rFonts w:ascii="Times New Roman" w:eastAsia="SimSun" w:hAnsi="Times New Roman"/>
                <w:sz w:val="18"/>
                <w:szCs w:val="18"/>
              </w:rPr>
              <w:t>1</w:t>
            </w:r>
            <w:r w:rsidR="00600E80" w:rsidRPr="009A106E">
              <w:rPr>
                <w:rFonts w:ascii="Times New Roman" w:eastAsia="SimSun" w:hAnsi="Times New Roman"/>
                <w:sz w:val="18"/>
                <w:szCs w:val="18"/>
              </w:rPr>
              <w:t> membre du personnel chargé de l</w:t>
            </w:r>
            <w:r w:rsidRPr="009A106E">
              <w:rPr>
                <w:rFonts w:ascii="Times New Roman" w:eastAsia="SimSun" w:hAnsi="Times New Roman"/>
                <w:sz w:val="18"/>
                <w:szCs w:val="18"/>
              </w:rPr>
              <w:t>’appui technique)</w:t>
            </w: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rPr>
              <w:t>Coût de la réunion (une semaine, 70 participants) (25</w:t>
            </w:r>
            <w:r w:rsidR="00EB5238">
              <w:rPr>
                <w:rFonts w:ascii="Times New Roman" w:eastAsia="SimSun" w:hAnsi="Times New Roman"/>
                <w:sz w:val="18"/>
                <w:szCs w:val="18"/>
              </w:rPr>
              <w:t xml:space="preserve"> </w:t>
            </w:r>
            <w:r w:rsidRPr="009A106E">
              <w:rPr>
                <w:rFonts w:ascii="Times New Roman" w:eastAsia="SimSun" w:hAnsi="Times New Roman"/>
                <w:sz w:val="18"/>
                <w:szCs w:val="18"/>
              </w:rPr>
              <w:t>% en nature)</w:t>
            </w:r>
          </w:p>
        </w:tc>
        <w:tc>
          <w:tcPr>
            <w:tcW w:w="1613" w:type="dxa"/>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rPr>
              <w:t>15 </w:t>
            </w:r>
            <w:r w:rsidR="00165D8D" w:rsidRPr="009A106E">
              <w:rPr>
                <w:rFonts w:ascii="Times New Roman" w:eastAsia="SimSun" w:hAnsi="Times New Roman"/>
                <w:sz w:val="18"/>
                <w:szCs w:val="18"/>
              </w:rPr>
              <w:t>000</w:t>
            </w:r>
          </w:p>
        </w:tc>
      </w:tr>
      <w:tr w:rsidR="00165D8D" w:rsidRPr="009A106E" w:rsidTr="0003742A">
        <w:trPr>
          <w:trHeight w:val="339"/>
        </w:trPr>
        <w:tc>
          <w:tcPr>
            <w:tcW w:w="857" w:type="dxa"/>
            <w:vMerge/>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vMerge/>
            <w:tcBorders>
              <w:bottom w:val="single" w:sz="4" w:space="0" w:color="auto"/>
            </w:tcBorders>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3107" w:type="dxa"/>
            <w:tcBorders>
              <w:bottom w:val="single" w:sz="4" w:space="0" w:color="auto"/>
            </w:tcBorders>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rPr>
              <w:t xml:space="preserve">Frais de voyage et </w:t>
            </w:r>
            <w:r w:rsidR="00BD11E8">
              <w:rPr>
                <w:rFonts w:ascii="Times New Roman" w:eastAsia="SimSun" w:hAnsi="Times New Roman"/>
                <w:sz w:val="18"/>
                <w:szCs w:val="18"/>
              </w:rPr>
              <w:t>indemni</w:t>
            </w:r>
            <w:r w:rsidR="007D0F89">
              <w:rPr>
                <w:rFonts w:ascii="Times New Roman" w:eastAsia="SimSun" w:hAnsi="Times New Roman"/>
                <w:sz w:val="18"/>
                <w:szCs w:val="18"/>
              </w:rPr>
              <w:t>tés journalières de subsistance</w:t>
            </w:r>
            <w:r w:rsidR="00BD11E8">
              <w:rPr>
                <w:rFonts w:ascii="Times New Roman" w:eastAsia="SimSun" w:hAnsi="Times New Roman"/>
                <w:sz w:val="18"/>
                <w:szCs w:val="18"/>
              </w:rPr>
              <w:t xml:space="preserve"> </w:t>
            </w:r>
            <w:r w:rsidR="007D0F89">
              <w:rPr>
                <w:rFonts w:ascii="Times New Roman" w:eastAsia="SimSun" w:hAnsi="Times New Roman"/>
                <w:sz w:val="18"/>
                <w:szCs w:val="18"/>
              </w:rPr>
              <w:br/>
            </w:r>
            <w:r w:rsidR="005547AC" w:rsidRPr="009A106E">
              <w:rPr>
                <w:rFonts w:ascii="Times New Roman" w:eastAsia="SimSun" w:hAnsi="Times New Roman"/>
                <w:sz w:val="18"/>
                <w:szCs w:val="18"/>
              </w:rPr>
              <w:t>(53 x 3 000 </w:t>
            </w:r>
            <w:r w:rsidRPr="009A106E">
              <w:rPr>
                <w:rFonts w:ascii="Times New Roman" w:eastAsia="SimSun" w:hAnsi="Times New Roman"/>
                <w:sz w:val="18"/>
                <w:szCs w:val="18"/>
              </w:rPr>
              <w:t>dollars)</w:t>
            </w:r>
          </w:p>
        </w:tc>
        <w:tc>
          <w:tcPr>
            <w:tcW w:w="1613" w:type="dxa"/>
            <w:tcBorders>
              <w:bottom w:val="single" w:sz="4" w:space="0" w:color="auto"/>
            </w:tcBorders>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rPr>
              <w:t>159 </w:t>
            </w:r>
            <w:r w:rsidR="00165D8D" w:rsidRPr="009A106E">
              <w:rPr>
                <w:rFonts w:ascii="Times New Roman" w:eastAsia="SimSun" w:hAnsi="Times New Roman"/>
                <w:sz w:val="18"/>
                <w:szCs w:val="18"/>
              </w:rPr>
              <w:t>000</w:t>
            </w:r>
          </w:p>
        </w:tc>
      </w:tr>
      <w:tr w:rsidR="00165D8D" w:rsidRPr="009A106E" w:rsidTr="0003742A">
        <w:trPr>
          <w:trHeight w:val="361"/>
        </w:trPr>
        <w:tc>
          <w:tcPr>
            <w:tcW w:w="857" w:type="dxa"/>
            <w:vMerge/>
            <w:tcBorders>
              <w:bottom w:val="single" w:sz="4" w:space="0" w:color="auto"/>
            </w:tcBorders>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Appui technique</w:t>
            </w:r>
          </w:p>
        </w:tc>
        <w:tc>
          <w:tcPr>
            <w:tcW w:w="3107" w:type="dxa"/>
          </w:tcPr>
          <w:p w:rsidR="00165D8D" w:rsidRPr="009A106E" w:rsidRDefault="00165D8D" w:rsidP="0022426A">
            <w:pPr>
              <w:pStyle w:val="ColorfulList-Accent1"/>
              <w:tabs>
                <w:tab w:val="left" w:pos="426"/>
              </w:tabs>
              <w:autoSpaceDE w:val="0"/>
              <w:autoSpaceDN w:val="0"/>
              <w:adjustRightInd w:val="0"/>
              <w:spacing w:before="60" w:after="60"/>
              <w:ind w:left="0"/>
              <w:rPr>
                <w:rFonts w:ascii="Times New Roman" w:eastAsia="SimSun" w:hAnsi="Times New Roman"/>
                <w:sz w:val="18"/>
                <w:szCs w:val="18"/>
                <w:lang w:eastAsia="zh-CN"/>
              </w:rPr>
            </w:pPr>
            <w:r w:rsidRPr="009A106E">
              <w:rPr>
                <w:rFonts w:ascii="Times New Roman" w:eastAsia="SimSun" w:hAnsi="Times New Roman"/>
                <w:sz w:val="18"/>
                <w:szCs w:val="18"/>
                <w:lang w:eastAsia="zh-CN"/>
              </w:rPr>
              <w:t xml:space="preserve">1 </w:t>
            </w:r>
            <w:r w:rsidR="00B07A01">
              <w:rPr>
                <w:rFonts w:ascii="Times New Roman" w:eastAsia="SimSun" w:hAnsi="Times New Roman"/>
                <w:sz w:val="18"/>
                <w:szCs w:val="18"/>
                <w:lang w:eastAsia="zh-CN"/>
              </w:rPr>
              <w:t>poste d’administrateur équivalent plein temps</w:t>
            </w:r>
            <w:r w:rsidR="00BD11E8">
              <w:rPr>
                <w:rFonts w:ascii="Times New Roman" w:eastAsia="SimSun" w:hAnsi="Times New Roman"/>
                <w:sz w:val="18"/>
                <w:szCs w:val="18"/>
                <w:lang w:eastAsia="zh-CN"/>
              </w:rPr>
              <w:t xml:space="preserve">  </w:t>
            </w:r>
            <w:r w:rsidRPr="009A106E">
              <w:rPr>
                <w:rFonts w:ascii="Times New Roman" w:eastAsia="SimSun" w:hAnsi="Times New Roman"/>
                <w:sz w:val="18"/>
                <w:szCs w:val="18"/>
                <w:lang w:eastAsia="zh-CN"/>
              </w:rPr>
              <w:t>(50</w:t>
            </w:r>
            <w:r w:rsidR="005547AC" w:rsidRPr="009A106E">
              <w:rPr>
                <w:rFonts w:ascii="Times New Roman" w:eastAsia="SimSun" w:hAnsi="Times New Roman"/>
                <w:sz w:val="18"/>
                <w:szCs w:val="18"/>
                <w:lang w:eastAsia="zh-CN"/>
              </w:rPr>
              <w:t> </w:t>
            </w:r>
            <w:r w:rsidRPr="009A106E">
              <w:rPr>
                <w:rFonts w:ascii="Times New Roman" w:eastAsia="SimSun" w:hAnsi="Times New Roman"/>
                <w:sz w:val="18"/>
                <w:szCs w:val="18"/>
                <w:lang w:eastAsia="zh-CN"/>
              </w:rPr>
              <w:t>% en nature)</w:t>
            </w:r>
          </w:p>
        </w:tc>
        <w:tc>
          <w:tcPr>
            <w:tcW w:w="1613" w:type="dxa"/>
            <w:tcBorders>
              <w:bottom w:val="single" w:sz="4" w:space="0" w:color="auto"/>
            </w:tcBorders>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lang w:eastAsia="zh-CN"/>
              </w:rPr>
              <w:t>75 </w:t>
            </w:r>
            <w:r w:rsidR="00165D8D" w:rsidRPr="009A106E">
              <w:rPr>
                <w:rFonts w:ascii="Times New Roman" w:eastAsia="SimSun" w:hAnsi="Times New Roman"/>
                <w:sz w:val="18"/>
                <w:szCs w:val="18"/>
                <w:lang w:eastAsia="zh-CN"/>
              </w:rPr>
              <w:t>000</w:t>
            </w:r>
          </w:p>
        </w:tc>
      </w:tr>
      <w:tr w:rsidR="00165D8D" w:rsidRPr="009A106E" w:rsidTr="0003742A">
        <w:tc>
          <w:tcPr>
            <w:tcW w:w="857" w:type="dxa"/>
            <w:vMerge w:val="restart"/>
            <w:vAlign w:val="center"/>
          </w:tcPr>
          <w:p w:rsidR="00165D8D" w:rsidRPr="009A106E" w:rsidRDefault="00165D8D" w:rsidP="003E7986">
            <w:pPr>
              <w:pStyle w:val="ColorfulList-Accent1"/>
              <w:tabs>
                <w:tab w:val="left" w:pos="426"/>
              </w:tabs>
              <w:autoSpaceDE w:val="0"/>
              <w:autoSpaceDN w:val="0"/>
              <w:adjustRightInd w:val="0"/>
              <w:spacing w:before="60" w:after="60"/>
              <w:ind w:left="0"/>
              <w:rPr>
                <w:rFonts w:ascii="Times New Roman" w:eastAsia="SimSun" w:hAnsi="Times New Roman"/>
                <w:sz w:val="18"/>
                <w:szCs w:val="18"/>
                <w:lang w:eastAsia="zh-CN"/>
              </w:rPr>
            </w:pPr>
            <w:r w:rsidRPr="009A106E">
              <w:rPr>
                <w:rFonts w:ascii="Times New Roman" w:eastAsia="SimSun" w:hAnsi="Times New Roman"/>
                <w:sz w:val="18"/>
                <w:szCs w:val="18"/>
                <w:lang w:eastAsia="zh-CN"/>
              </w:rPr>
              <w:t>201</w:t>
            </w:r>
            <w:r w:rsidR="00600E80" w:rsidRPr="009A106E">
              <w:rPr>
                <w:rFonts w:ascii="Times New Roman" w:eastAsia="SimSun" w:hAnsi="Times New Roman"/>
                <w:sz w:val="18"/>
                <w:szCs w:val="18"/>
                <w:lang w:eastAsia="zh-CN"/>
              </w:rPr>
              <w:t>5</w:t>
            </w:r>
          </w:p>
        </w:tc>
        <w:tc>
          <w:tcPr>
            <w:tcW w:w="2693" w:type="dxa"/>
            <w:vMerge w:val="restart"/>
            <w:vAlign w:val="center"/>
          </w:tcPr>
          <w:p w:rsidR="00165D8D" w:rsidRPr="009A106E" w:rsidRDefault="00165D8D" w:rsidP="00BD11E8">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rPr>
            </w:pPr>
            <w:r w:rsidRPr="009A106E">
              <w:rPr>
                <w:rFonts w:ascii="Times New Roman" w:eastAsia="SimSun" w:hAnsi="Times New Roman"/>
                <w:sz w:val="18"/>
                <w:szCs w:val="18"/>
              </w:rPr>
              <w:t>Deuxième réunion d’a</w:t>
            </w:r>
            <w:r w:rsidR="001522A2">
              <w:rPr>
                <w:rFonts w:ascii="Times New Roman" w:eastAsia="SimSun" w:hAnsi="Times New Roman"/>
                <w:sz w:val="18"/>
                <w:szCs w:val="18"/>
              </w:rPr>
              <w:t>uteurs (65 </w:t>
            </w:r>
            <w:r w:rsidRPr="009A106E">
              <w:rPr>
                <w:rFonts w:ascii="Times New Roman" w:eastAsia="SimSun" w:hAnsi="Times New Roman"/>
                <w:sz w:val="18"/>
                <w:szCs w:val="18"/>
              </w:rPr>
              <w:t xml:space="preserve">coprésidents, </w:t>
            </w:r>
            <w:r w:rsidR="00EB5238">
              <w:rPr>
                <w:rFonts w:ascii="Times New Roman" w:eastAsia="SimSun" w:hAnsi="Times New Roman"/>
                <w:sz w:val="18"/>
                <w:szCs w:val="18"/>
              </w:rPr>
              <w:t>auteurs coordonnateurs principaux</w:t>
            </w:r>
            <w:r w:rsidR="00600E80" w:rsidRPr="009A106E">
              <w:rPr>
                <w:rFonts w:ascii="Times New Roman" w:eastAsia="SimSun" w:hAnsi="Times New Roman"/>
                <w:sz w:val="18"/>
                <w:szCs w:val="18"/>
              </w:rPr>
              <w:t xml:space="preserve"> et</w:t>
            </w:r>
            <w:r w:rsidRPr="009A106E">
              <w:rPr>
                <w:rFonts w:ascii="Times New Roman" w:eastAsia="SimSun" w:hAnsi="Times New Roman"/>
                <w:sz w:val="18"/>
                <w:szCs w:val="18"/>
              </w:rPr>
              <w:t xml:space="preserve"> </w:t>
            </w:r>
            <w:r w:rsidR="00600E80" w:rsidRPr="009A106E">
              <w:rPr>
                <w:rFonts w:ascii="Times New Roman" w:eastAsia="SimSun" w:hAnsi="Times New Roman"/>
                <w:sz w:val="18"/>
                <w:szCs w:val="18"/>
              </w:rPr>
              <w:t xml:space="preserve">auteurs </w:t>
            </w:r>
            <w:r w:rsidRPr="009A106E">
              <w:rPr>
                <w:rFonts w:ascii="Times New Roman" w:eastAsia="SimSun" w:hAnsi="Times New Roman"/>
                <w:sz w:val="18"/>
                <w:szCs w:val="18"/>
              </w:rPr>
              <w:t>principaux</w:t>
            </w:r>
            <w:r w:rsidR="00600E80" w:rsidRPr="009A106E">
              <w:rPr>
                <w:rFonts w:ascii="Times New Roman" w:eastAsia="SimSun" w:hAnsi="Times New Roman"/>
                <w:sz w:val="18"/>
                <w:szCs w:val="18"/>
              </w:rPr>
              <w:t>,</w:t>
            </w:r>
            <w:r w:rsidR="00BD11E8">
              <w:rPr>
                <w:rFonts w:ascii="Times New Roman" w:eastAsia="SimSun" w:hAnsi="Times New Roman"/>
                <w:sz w:val="18"/>
                <w:szCs w:val="18"/>
              </w:rPr>
              <w:t xml:space="preserve"> + </w:t>
            </w:r>
            <w:r w:rsidR="00600E80" w:rsidRPr="009A106E">
              <w:rPr>
                <w:rFonts w:ascii="Times New Roman" w:eastAsia="SimSun" w:hAnsi="Times New Roman"/>
                <w:sz w:val="18"/>
                <w:szCs w:val="18"/>
              </w:rPr>
              <w:t xml:space="preserve">16 </w:t>
            </w:r>
            <w:r w:rsidR="00EB5238">
              <w:rPr>
                <w:rFonts w:ascii="Times New Roman" w:eastAsia="SimSun" w:hAnsi="Times New Roman"/>
                <w:sz w:val="18"/>
                <w:szCs w:val="18"/>
              </w:rPr>
              <w:t>éditeurs-réviseurs</w:t>
            </w:r>
            <w:r w:rsidR="00600E80" w:rsidRPr="009A106E">
              <w:rPr>
                <w:rFonts w:ascii="Times New Roman" w:eastAsia="SimSun" w:hAnsi="Times New Roman"/>
                <w:sz w:val="18"/>
                <w:szCs w:val="18"/>
              </w:rPr>
              <w:t>,</w:t>
            </w:r>
            <w:r w:rsidR="00BD11E8">
              <w:rPr>
                <w:rFonts w:ascii="Times New Roman" w:eastAsia="SimSun" w:hAnsi="Times New Roman"/>
                <w:sz w:val="18"/>
                <w:szCs w:val="18"/>
              </w:rPr>
              <w:t xml:space="preserve"> + </w:t>
            </w:r>
            <w:r w:rsidR="00600E80" w:rsidRPr="009A106E">
              <w:rPr>
                <w:rFonts w:ascii="Times New Roman" w:eastAsia="SimSun" w:hAnsi="Times New Roman"/>
                <w:sz w:val="18"/>
                <w:szCs w:val="18"/>
              </w:rPr>
              <w:t xml:space="preserve"> </w:t>
            </w:r>
            <w:r w:rsidRPr="009A106E">
              <w:rPr>
                <w:rFonts w:ascii="Times New Roman" w:eastAsia="SimSun" w:hAnsi="Times New Roman"/>
                <w:sz w:val="18"/>
                <w:szCs w:val="18"/>
              </w:rPr>
              <w:t>4 membres du Groupe/Bureau</w:t>
            </w:r>
            <w:r w:rsidR="00600E80" w:rsidRPr="009A106E">
              <w:rPr>
                <w:rFonts w:ascii="Times New Roman" w:eastAsia="SimSun" w:hAnsi="Times New Roman"/>
                <w:sz w:val="18"/>
                <w:szCs w:val="18"/>
              </w:rPr>
              <w:t>,</w:t>
            </w:r>
            <w:r w:rsidR="00BD11E8">
              <w:rPr>
                <w:rFonts w:ascii="Times New Roman" w:eastAsia="SimSun" w:hAnsi="Times New Roman"/>
                <w:sz w:val="18"/>
                <w:szCs w:val="18"/>
              </w:rPr>
              <w:t xml:space="preserve"> + </w:t>
            </w:r>
            <w:r w:rsidRPr="009A106E">
              <w:rPr>
                <w:rFonts w:ascii="Times New Roman" w:eastAsia="SimSun" w:hAnsi="Times New Roman"/>
                <w:sz w:val="18"/>
                <w:szCs w:val="18"/>
              </w:rPr>
              <w:t xml:space="preserve">1 </w:t>
            </w:r>
            <w:r w:rsidR="00600E80" w:rsidRPr="009A106E">
              <w:rPr>
                <w:rFonts w:ascii="Times New Roman" w:eastAsia="SimSun" w:hAnsi="Times New Roman"/>
                <w:sz w:val="18"/>
                <w:szCs w:val="18"/>
              </w:rPr>
              <w:t>membre du personnel chargé de l</w:t>
            </w:r>
            <w:r w:rsidRPr="009A106E">
              <w:rPr>
                <w:rFonts w:ascii="Times New Roman" w:eastAsia="SimSun" w:hAnsi="Times New Roman"/>
                <w:sz w:val="18"/>
                <w:szCs w:val="18"/>
              </w:rPr>
              <w:t>’appui technique)</w:t>
            </w: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rPr>
              <w:t xml:space="preserve">Coût </w:t>
            </w:r>
            <w:r w:rsidR="005547AC" w:rsidRPr="009A106E">
              <w:rPr>
                <w:rFonts w:ascii="Times New Roman" w:eastAsia="SimSun" w:hAnsi="Times New Roman"/>
                <w:sz w:val="18"/>
                <w:szCs w:val="18"/>
              </w:rPr>
              <w:t>de la réunion (une semaine, 86 participants) (25 </w:t>
            </w:r>
            <w:r w:rsidRPr="009A106E">
              <w:rPr>
                <w:rFonts w:ascii="Times New Roman" w:eastAsia="SimSun" w:hAnsi="Times New Roman"/>
                <w:sz w:val="18"/>
                <w:szCs w:val="18"/>
              </w:rPr>
              <w:t>% en nature)</w:t>
            </w:r>
          </w:p>
        </w:tc>
        <w:tc>
          <w:tcPr>
            <w:tcW w:w="1613" w:type="dxa"/>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lang w:eastAsia="zh-CN"/>
              </w:rPr>
              <w:t>15 </w:t>
            </w:r>
            <w:r w:rsidR="00165D8D" w:rsidRPr="009A106E">
              <w:rPr>
                <w:rFonts w:ascii="Times New Roman" w:eastAsia="SimSun" w:hAnsi="Times New Roman"/>
                <w:sz w:val="18"/>
                <w:szCs w:val="18"/>
                <w:lang w:eastAsia="zh-CN"/>
              </w:rPr>
              <w:t>000</w:t>
            </w:r>
          </w:p>
        </w:tc>
      </w:tr>
      <w:tr w:rsidR="00165D8D" w:rsidRPr="009A106E" w:rsidTr="0003742A">
        <w:trPr>
          <w:trHeight w:val="361"/>
        </w:trPr>
        <w:tc>
          <w:tcPr>
            <w:tcW w:w="857" w:type="dxa"/>
            <w:vMerge/>
            <w:vAlign w:val="center"/>
          </w:tcPr>
          <w:p w:rsidR="00165D8D" w:rsidRPr="009A106E" w:rsidRDefault="00165D8D" w:rsidP="003E7986">
            <w:pPr>
              <w:pStyle w:val="ColorfulList-Accent1"/>
              <w:tabs>
                <w:tab w:val="left" w:pos="426"/>
              </w:tabs>
              <w:autoSpaceDE w:val="0"/>
              <w:autoSpaceDN w:val="0"/>
              <w:adjustRightInd w:val="0"/>
              <w:spacing w:before="60" w:after="60"/>
              <w:ind w:left="0"/>
              <w:rPr>
                <w:rFonts w:ascii="Times New Roman" w:eastAsia="SimSun" w:hAnsi="Times New Roman"/>
                <w:sz w:val="18"/>
                <w:szCs w:val="18"/>
                <w:lang w:eastAsia="zh-CN"/>
              </w:rPr>
            </w:pPr>
          </w:p>
        </w:tc>
        <w:tc>
          <w:tcPr>
            <w:tcW w:w="2693" w:type="dxa"/>
            <w:vMerge/>
            <w:tcBorders>
              <w:bottom w:val="single" w:sz="4" w:space="0" w:color="auto"/>
            </w:tcBorders>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3107" w:type="dxa"/>
            <w:tcBorders>
              <w:bottom w:val="single" w:sz="4" w:space="0" w:color="auto"/>
            </w:tcBorders>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rPr>
            </w:pPr>
            <w:r w:rsidRPr="009A106E">
              <w:rPr>
                <w:rFonts w:ascii="Times New Roman" w:eastAsia="SimSun" w:hAnsi="Times New Roman"/>
                <w:sz w:val="18"/>
                <w:szCs w:val="18"/>
              </w:rPr>
              <w:t xml:space="preserve">Frais de voyage et </w:t>
            </w:r>
            <w:r w:rsidR="00BD11E8">
              <w:rPr>
                <w:rFonts w:ascii="Times New Roman" w:eastAsia="SimSun" w:hAnsi="Times New Roman"/>
                <w:sz w:val="18"/>
                <w:szCs w:val="18"/>
              </w:rPr>
              <w:t>indemni</w:t>
            </w:r>
            <w:r w:rsidR="0003742A">
              <w:rPr>
                <w:rFonts w:ascii="Times New Roman" w:eastAsia="SimSun" w:hAnsi="Times New Roman"/>
                <w:sz w:val="18"/>
                <w:szCs w:val="18"/>
              </w:rPr>
              <w:t>tés journalières de subsistance</w:t>
            </w:r>
            <w:r w:rsidR="00BD11E8">
              <w:rPr>
                <w:rFonts w:ascii="Times New Roman" w:eastAsia="SimSun" w:hAnsi="Times New Roman"/>
                <w:sz w:val="18"/>
                <w:szCs w:val="18"/>
              </w:rPr>
              <w:t xml:space="preserve"> </w:t>
            </w:r>
            <w:r w:rsidR="007D0F89">
              <w:rPr>
                <w:rFonts w:ascii="Times New Roman" w:eastAsia="SimSun" w:hAnsi="Times New Roman"/>
                <w:sz w:val="18"/>
                <w:szCs w:val="18"/>
              </w:rPr>
              <w:br/>
            </w:r>
            <w:r w:rsidR="005547AC" w:rsidRPr="009A106E">
              <w:rPr>
                <w:rFonts w:ascii="Times New Roman" w:eastAsia="SimSun" w:hAnsi="Times New Roman"/>
                <w:sz w:val="18"/>
                <w:szCs w:val="18"/>
              </w:rPr>
              <w:t>(65 x 3 000 </w:t>
            </w:r>
            <w:r w:rsidRPr="009A106E">
              <w:rPr>
                <w:rFonts w:ascii="Times New Roman" w:eastAsia="SimSun" w:hAnsi="Times New Roman"/>
                <w:sz w:val="18"/>
                <w:szCs w:val="18"/>
              </w:rPr>
              <w:t>dollars)</w:t>
            </w:r>
          </w:p>
        </w:tc>
        <w:tc>
          <w:tcPr>
            <w:tcW w:w="1613" w:type="dxa"/>
            <w:tcBorders>
              <w:bottom w:val="single" w:sz="4" w:space="0" w:color="auto"/>
            </w:tcBorders>
          </w:tcPr>
          <w:p w:rsidR="00165D8D" w:rsidRPr="009A106E" w:rsidRDefault="00165D8D"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rPr>
              <w:t>195</w:t>
            </w:r>
            <w:r w:rsidR="005547AC" w:rsidRPr="009A106E">
              <w:rPr>
                <w:rFonts w:ascii="Times New Roman" w:eastAsia="SimSun" w:hAnsi="Times New Roman"/>
                <w:sz w:val="18"/>
                <w:szCs w:val="18"/>
              </w:rPr>
              <w:t> </w:t>
            </w:r>
            <w:r w:rsidRPr="009A106E">
              <w:rPr>
                <w:rFonts w:ascii="Times New Roman" w:eastAsia="SimSun" w:hAnsi="Times New Roman"/>
                <w:sz w:val="18"/>
                <w:szCs w:val="18"/>
              </w:rPr>
              <w:t>000</w:t>
            </w:r>
          </w:p>
        </w:tc>
      </w:tr>
      <w:tr w:rsidR="00165D8D" w:rsidRPr="009A106E" w:rsidTr="0003742A">
        <w:tc>
          <w:tcPr>
            <w:tcW w:w="857" w:type="dxa"/>
            <w:vMerge/>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vMerge w:val="restart"/>
            <w:vAlign w:val="center"/>
          </w:tcPr>
          <w:p w:rsidR="00165D8D" w:rsidRPr="009A106E" w:rsidRDefault="00165D8D" w:rsidP="001522A2">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Troisième réunion d’auteurs (</w:t>
            </w:r>
            <w:r w:rsidR="009A106E" w:rsidRPr="009A106E">
              <w:rPr>
                <w:rFonts w:ascii="Times New Roman" w:eastAsia="SimSun" w:hAnsi="Times New Roman"/>
                <w:sz w:val="18"/>
                <w:szCs w:val="18"/>
                <w:lang w:eastAsia="zh-CN"/>
              </w:rPr>
              <w:t>65 </w:t>
            </w:r>
            <w:r w:rsidRPr="009A106E">
              <w:rPr>
                <w:rFonts w:ascii="Times New Roman" w:eastAsia="SimSun" w:hAnsi="Times New Roman"/>
                <w:sz w:val="18"/>
                <w:szCs w:val="18"/>
                <w:lang w:eastAsia="zh-CN"/>
              </w:rPr>
              <w:t xml:space="preserve">coprésidents, </w:t>
            </w:r>
            <w:r w:rsidR="00EB5238">
              <w:rPr>
                <w:rFonts w:ascii="Times New Roman" w:eastAsia="SimSun" w:hAnsi="Times New Roman"/>
                <w:sz w:val="18"/>
                <w:szCs w:val="18"/>
                <w:lang w:eastAsia="zh-CN"/>
              </w:rPr>
              <w:t>auteurs coordonnateurs principaux</w:t>
            </w:r>
            <w:r w:rsidR="00E07AC9" w:rsidRPr="009A106E">
              <w:rPr>
                <w:rFonts w:ascii="Times New Roman" w:eastAsia="SimSun" w:hAnsi="Times New Roman"/>
                <w:sz w:val="18"/>
                <w:szCs w:val="18"/>
                <w:lang w:eastAsia="zh-CN"/>
              </w:rPr>
              <w:t xml:space="preserve"> et</w:t>
            </w:r>
            <w:r w:rsidRPr="009A106E">
              <w:rPr>
                <w:rFonts w:ascii="Times New Roman" w:eastAsia="SimSun" w:hAnsi="Times New Roman"/>
                <w:sz w:val="18"/>
                <w:szCs w:val="18"/>
                <w:lang w:eastAsia="zh-CN"/>
              </w:rPr>
              <w:t xml:space="preserve"> autres</w:t>
            </w:r>
            <w:r w:rsidR="00E07AC9" w:rsidRPr="009A106E">
              <w:rPr>
                <w:rFonts w:ascii="Times New Roman" w:eastAsia="SimSun" w:hAnsi="Times New Roman"/>
                <w:sz w:val="18"/>
                <w:szCs w:val="18"/>
                <w:lang w:eastAsia="zh-CN"/>
              </w:rPr>
              <w:t xml:space="preserve"> auteurs</w:t>
            </w:r>
            <w:r w:rsidRPr="009A106E">
              <w:rPr>
                <w:rFonts w:ascii="Times New Roman" w:eastAsia="SimSun" w:hAnsi="Times New Roman"/>
                <w:sz w:val="18"/>
                <w:szCs w:val="18"/>
                <w:lang w:eastAsia="zh-CN"/>
              </w:rPr>
              <w:t xml:space="preserve"> principaux</w:t>
            </w:r>
            <w:r w:rsidR="00E07AC9" w:rsidRPr="009A106E">
              <w:rPr>
                <w:rFonts w:ascii="Times New Roman" w:eastAsia="SimSun" w:hAnsi="Times New Roman"/>
                <w:sz w:val="18"/>
                <w:szCs w:val="18"/>
                <w:lang w:eastAsia="zh-CN"/>
              </w:rPr>
              <w:t xml:space="preserve">, </w:t>
            </w:r>
            <w:r w:rsidR="001522A2">
              <w:rPr>
                <w:rFonts w:ascii="Times New Roman" w:eastAsia="SimSun" w:hAnsi="Times New Roman"/>
                <w:sz w:val="18"/>
                <w:szCs w:val="18"/>
                <w:lang w:eastAsia="zh-CN"/>
              </w:rPr>
              <w:t>+</w:t>
            </w:r>
            <w:r w:rsidR="00E07AC9" w:rsidRPr="009A106E">
              <w:rPr>
                <w:rFonts w:ascii="Times New Roman" w:eastAsia="SimSun" w:hAnsi="Times New Roman"/>
                <w:sz w:val="18"/>
                <w:szCs w:val="18"/>
                <w:lang w:eastAsia="zh-CN"/>
              </w:rPr>
              <w:t xml:space="preserve"> </w:t>
            </w:r>
            <w:r w:rsidR="009A106E" w:rsidRPr="009A106E">
              <w:rPr>
                <w:rFonts w:ascii="Times New Roman" w:eastAsia="SimSun" w:hAnsi="Times New Roman"/>
                <w:sz w:val="18"/>
                <w:szCs w:val="18"/>
                <w:lang w:eastAsia="zh-CN"/>
              </w:rPr>
              <w:t xml:space="preserve">16 </w:t>
            </w:r>
            <w:r w:rsidR="00EB5238">
              <w:rPr>
                <w:rFonts w:ascii="Times New Roman" w:eastAsia="SimSun" w:hAnsi="Times New Roman"/>
                <w:sz w:val="18"/>
                <w:szCs w:val="18"/>
                <w:lang w:eastAsia="zh-CN"/>
              </w:rPr>
              <w:t>éditeurs-réviseurs</w:t>
            </w:r>
            <w:r w:rsidR="00E07AC9" w:rsidRPr="009A106E">
              <w:rPr>
                <w:rFonts w:ascii="Times New Roman" w:eastAsia="SimSun" w:hAnsi="Times New Roman"/>
                <w:sz w:val="18"/>
                <w:szCs w:val="18"/>
                <w:lang w:eastAsia="zh-CN"/>
              </w:rPr>
              <w:t>,</w:t>
            </w:r>
            <w:r w:rsidR="00BD11E8">
              <w:rPr>
                <w:rFonts w:ascii="Times New Roman" w:eastAsia="SimSun" w:hAnsi="Times New Roman"/>
                <w:sz w:val="18"/>
                <w:szCs w:val="18"/>
                <w:lang w:eastAsia="zh-CN"/>
              </w:rPr>
              <w:t xml:space="preserve"> + </w:t>
            </w:r>
            <w:r w:rsidRPr="009A106E">
              <w:rPr>
                <w:rFonts w:ascii="Times New Roman" w:eastAsia="SimSun" w:hAnsi="Times New Roman"/>
                <w:sz w:val="18"/>
                <w:szCs w:val="18"/>
                <w:lang w:eastAsia="zh-CN"/>
              </w:rPr>
              <w:t xml:space="preserve"> 4 membres du Groupe /Bureau</w:t>
            </w:r>
            <w:r w:rsidR="00E07AC9" w:rsidRPr="009A106E">
              <w:rPr>
                <w:rFonts w:ascii="Times New Roman" w:eastAsia="SimSun" w:hAnsi="Times New Roman"/>
                <w:sz w:val="18"/>
                <w:szCs w:val="18"/>
                <w:lang w:eastAsia="zh-CN"/>
              </w:rPr>
              <w:t>,</w:t>
            </w:r>
            <w:r w:rsidR="001522A2">
              <w:rPr>
                <w:rFonts w:ascii="Times New Roman" w:eastAsia="SimSun" w:hAnsi="Times New Roman"/>
                <w:sz w:val="18"/>
                <w:szCs w:val="18"/>
                <w:lang w:eastAsia="zh-CN"/>
              </w:rPr>
              <w:t xml:space="preserve"> +</w:t>
            </w:r>
            <w:r w:rsidR="00E07AC9" w:rsidRPr="009A106E">
              <w:rPr>
                <w:rFonts w:ascii="Times New Roman" w:eastAsia="SimSun" w:hAnsi="Times New Roman"/>
                <w:sz w:val="18"/>
                <w:szCs w:val="18"/>
                <w:lang w:eastAsia="zh-CN"/>
              </w:rPr>
              <w:t xml:space="preserve"> 1 membre du personnel chargé de l’</w:t>
            </w:r>
            <w:r w:rsidRPr="009A106E">
              <w:rPr>
                <w:rFonts w:ascii="Times New Roman" w:eastAsia="SimSun" w:hAnsi="Times New Roman"/>
                <w:sz w:val="18"/>
                <w:szCs w:val="18"/>
                <w:lang w:eastAsia="zh-CN"/>
              </w:rPr>
              <w:t>appui technique)</w:t>
            </w: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Coût de la réunion (une semaine, 86 participants) (25</w:t>
            </w:r>
            <w:r w:rsidR="005547AC" w:rsidRPr="009A106E">
              <w:rPr>
                <w:rFonts w:ascii="Times New Roman" w:eastAsia="SimSun" w:hAnsi="Times New Roman"/>
                <w:sz w:val="18"/>
                <w:szCs w:val="18"/>
                <w:lang w:eastAsia="zh-CN"/>
              </w:rPr>
              <w:t> </w:t>
            </w:r>
            <w:r w:rsidRPr="009A106E">
              <w:rPr>
                <w:rFonts w:ascii="Times New Roman" w:eastAsia="SimSun" w:hAnsi="Times New Roman"/>
                <w:sz w:val="18"/>
                <w:szCs w:val="18"/>
                <w:lang w:eastAsia="zh-CN"/>
              </w:rPr>
              <w:t>% en nature)</w:t>
            </w:r>
          </w:p>
        </w:tc>
        <w:tc>
          <w:tcPr>
            <w:tcW w:w="1613" w:type="dxa"/>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lang w:eastAsia="zh-CN"/>
              </w:rPr>
              <w:t>15 </w:t>
            </w:r>
            <w:r w:rsidR="00165D8D" w:rsidRPr="009A106E">
              <w:rPr>
                <w:rFonts w:ascii="Times New Roman" w:eastAsia="SimSun" w:hAnsi="Times New Roman"/>
                <w:sz w:val="18"/>
                <w:szCs w:val="18"/>
                <w:lang w:eastAsia="zh-CN"/>
              </w:rPr>
              <w:t>000</w:t>
            </w:r>
          </w:p>
        </w:tc>
      </w:tr>
      <w:tr w:rsidR="00165D8D" w:rsidRPr="009A106E" w:rsidTr="0003742A">
        <w:trPr>
          <w:trHeight w:val="339"/>
        </w:trPr>
        <w:tc>
          <w:tcPr>
            <w:tcW w:w="857" w:type="dxa"/>
            <w:vMerge/>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vMerge/>
            <w:tcBorders>
              <w:bottom w:val="single" w:sz="4" w:space="0" w:color="auto"/>
            </w:tcBorders>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3107" w:type="dxa"/>
            <w:tcBorders>
              <w:bottom w:val="single" w:sz="4" w:space="0" w:color="auto"/>
            </w:tcBorders>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 xml:space="preserve">Frais de voyage et </w:t>
            </w:r>
            <w:r w:rsidR="00BD11E8">
              <w:rPr>
                <w:rFonts w:ascii="Times New Roman" w:eastAsia="SimSun" w:hAnsi="Times New Roman"/>
                <w:sz w:val="18"/>
                <w:szCs w:val="18"/>
                <w:lang w:eastAsia="zh-CN"/>
              </w:rPr>
              <w:t>indemnit</w:t>
            </w:r>
            <w:r w:rsidR="0003742A">
              <w:rPr>
                <w:rFonts w:ascii="Times New Roman" w:eastAsia="SimSun" w:hAnsi="Times New Roman"/>
                <w:sz w:val="18"/>
                <w:szCs w:val="18"/>
                <w:lang w:eastAsia="zh-CN"/>
              </w:rPr>
              <w:t xml:space="preserve">és journalières de subsistance </w:t>
            </w:r>
            <w:r w:rsidRPr="009A106E">
              <w:rPr>
                <w:rFonts w:ascii="Times New Roman" w:eastAsia="SimSun" w:hAnsi="Times New Roman"/>
                <w:sz w:val="18"/>
                <w:szCs w:val="18"/>
                <w:lang w:eastAsia="zh-CN"/>
              </w:rPr>
              <w:t>(65 x 3</w:t>
            </w:r>
            <w:r w:rsidR="005547AC" w:rsidRPr="009A106E">
              <w:rPr>
                <w:rFonts w:ascii="Times New Roman" w:eastAsia="SimSun" w:hAnsi="Times New Roman"/>
                <w:sz w:val="18"/>
                <w:szCs w:val="18"/>
                <w:lang w:eastAsia="zh-CN"/>
              </w:rPr>
              <w:t> 000 </w:t>
            </w:r>
            <w:r w:rsidRPr="009A106E">
              <w:rPr>
                <w:rFonts w:ascii="Times New Roman" w:eastAsia="SimSun" w:hAnsi="Times New Roman"/>
                <w:sz w:val="18"/>
                <w:szCs w:val="18"/>
                <w:lang w:eastAsia="zh-CN"/>
              </w:rPr>
              <w:t>dollars)</w:t>
            </w:r>
          </w:p>
        </w:tc>
        <w:tc>
          <w:tcPr>
            <w:tcW w:w="1613" w:type="dxa"/>
            <w:tcBorders>
              <w:bottom w:val="single" w:sz="4" w:space="0" w:color="auto"/>
            </w:tcBorders>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lang w:eastAsia="zh-CN"/>
              </w:rPr>
              <w:t>195 </w:t>
            </w:r>
            <w:r w:rsidR="00165D8D" w:rsidRPr="009A106E">
              <w:rPr>
                <w:rFonts w:ascii="Times New Roman" w:eastAsia="SimSun" w:hAnsi="Times New Roman"/>
                <w:sz w:val="18"/>
                <w:szCs w:val="18"/>
                <w:lang w:eastAsia="zh-CN"/>
              </w:rPr>
              <w:t>000</w:t>
            </w:r>
          </w:p>
        </w:tc>
      </w:tr>
      <w:tr w:rsidR="00165D8D" w:rsidRPr="009A106E" w:rsidTr="0003742A">
        <w:trPr>
          <w:trHeight w:val="361"/>
        </w:trPr>
        <w:tc>
          <w:tcPr>
            <w:tcW w:w="857" w:type="dxa"/>
            <w:vMerge/>
            <w:tcBorders>
              <w:bottom w:val="single" w:sz="4" w:space="0" w:color="auto"/>
            </w:tcBorders>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Appui technique</w:t>
            </w:r>
          </w:p>
        </w:tc>
        <w:tc>
          <w:tcPr>
            <w:tcW w:w="3107" w:type="dxa"/>
          </w:tcPr>
          <w:p w:rsidR="00165D8D" w:rsidRPr="009A106E" w:rsidRDefault="00165D8D" w:rsidP="00600E80">
            <w:pPr>
              <w:pStyle w:val="ColorfulList-Accent1"/>
              <w:tabs>
                <w:tab w:val="left" w:pos="426"/>
              </w:tabs>
              <w:autoSpaceDE w:val="0"/>
              <w:autoSpaceDN w:val="0"/>
              <w:adjustRightInd w:val="0"/>
              <w:spacing w:before="60" w:after="60"/>
              <w:ind w:left="0"/>
              <w:rPr>
                <w:rFonts w:ascii="Times New Roman" w:eastAsia="SimSun" w:hAnsi="Times New Roman"/>
                <w:sz w:val="18"/>
                <w:szCs w:val="18"/>
                <w:lang w:eastAsia="zh-CN"/>
              </w:rPr>
            </w:pPr>
            <w:r w:rsidRPr="009A106E">
              <w:rPr>
                <w:rFonts w:ascii="Times New Roman" w:eastAsia="SimSun" w:hAnsi="Times New Roman"/>
                <w:sz w:val="18"/>
                <w:szCs w:val="18"/>
                <w:lang w:eastAsia="zh-CN"/>
              </w:rPr>
              <w:t xml:space="preserve">Un </w:t>
            </w:r>
            <w:r w:rsidR="00B07A01">
              <w:rPr>
                <w:rFonts w:ascii="Times New Roman" w:eastAsia="SimSun" w:hAnsi="Times New Roman"/>
                <w:sz w:val="18"/>
                <w:szCs w:val="18"/>
                <w:lang w:eastAsia="zh-CN"/>
              </w:rPr>
              <w:t>poste d’administrateur équivalent plein temps</w:t>
            </w:r>
            <w:r w:rsidR="0003742A">
              <w:rPr>
                <w:rFonts w:ascii="Times New Roman" w:eastAsia="SimSun" w:hAnsi="Times New Roman"/>
                <w:sz w:val="18"/>
                <w:szCs w:val="18"/>
                <w:lang w:eastAsia="zh-CN"/>
              </w:rPr>
              <w:t xml:space="preserve"> </w:t>
            </w:r>
            <w:r w:rsidRPr="009A106E">
              <w:rPr>
                <w:rFonts w:ascii="Times New Roman" w:eastAsia="SimSun" w:hAnsi="Times New Roman"/>
                <w:sz w:val="18"/>
                <w:szCs w:val="18"/>
                <w:lang w:eastAsia="zh-CN"/>
              </w:rPr>
              <w:t>(50</w:t>
            </w:r>
            <w:r w:rsidR="005547AC" w:rsidRPr="009A106E">
              <w:rPr>
                <w:rFonts w:ascii="Times New Roman" w:eastAsia="SimSun" w:hAnsi="Times New Roman"/>
                <w:sz w:val="18"/>
                <w:szCs w:val="18"/>
                <w:lang w:eastAsia="zh-CN"/>
              </w:rPr>
              <w:t> </w:t>
            </w:r>
            <w:r w:rsidRPr="009A106E">
              <w:rPr>
                <w:rFonts w:ascii="Times New Roman" w:eastAsia="SimSun" w:hAnsi="Times New Roman"/>
                <w:sz w:val="18"/>
                <w:szCs w:val="18"/>
                <w:lang w:eastAsia="zh-CN"/>
              </w:rPr>
              <w:t>% en nature)</w:t>
            </w:r>
          </w:p>
        </w:tc>
        <w:tc>
          <w:tcPr>
            <w:tcW w:w="1613" w:type="dxa"/>
            <w:tcBorders>
              <w:bottom w:val="single" w:sz="4" w:space="0" w:color="auto"/>
            </w:tcBorders>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lang w:eastAsia="zh-CN"/>
              </w:rPr>
              <w:t>75 </w:t>
            </w:r>
            <w:r w:rsidR="00165D8D" w:rsidRPr="009A106E">
              <w:rPr>
                <w:rFonts w:ascii="Times New Roman" w:eastAsia="SimSun" w:hAnsi="Times New Roman"/>
                <w:sz w:val="18"/>
                <w:szCs w:val="18"/>
                <w:lang w:eastAsia="zh-CN"/>
              </w:rPr>
              <w:t>000</w:t>
            </w:r>
          </w:p>
        </w:tc>
      </w:tr>
      <w:tr w:rsidR="00165D8D" w:rsidRPr="009A106E" w:rsidTr="0003742A">
        <w:trPr>
          <w:trHeight w:val="357"/>
        </w:trPr>
        <w:tc>
          <w:tcPr>
            <w:tcW w:w="857" w:type="dxa"/>
            <w:vMerge w:val="restart"/>
            <w:vAlign w:val="center"/>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2016</w:t>
            </w:r>
          </w:p>
        </w:tc>
        <w:tc>
          <w:tcPr>
            <w:tcW w:w="2693" w:type="dxa"/>
            <w:vAlign w:val="center"/>
          </w:tcPr>
          <w:p w:rsidR="00165D8D" w:rsidRPr="009A106E" w:rsidRDefault="00165D8D" w:rsidP="00600E80">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 xml:space="preserve">Participation de 2 coprésidents et de 2 </w:t>
            </w:r>
            <w:r w:rsidR="00EB5238">
              <w:rPr>
                <w:rFonts w:ascii="Times New Roman" w:eastAsia="SimSun" w:hAnsi="Times New Roman"/>
                <w:sz w:val="18"/>
                <w:szCs w:val="18"/>
                <w:lang w:eastAsia="zh-CN"/>
              </w:rPr>
              <w:t>auteurs coordonnateurs principaux</w:t>
            </w:r>
            <w:r w:rsidRPr="009A106E">
              <w:rPr>
                <w:rFonts w:ascii="Times New Roman" w:eastAsia="SimSun" w:hAnsi="Times New Roman"/>
                <w:sz w:val="18"/>
                <w:szCs w:val="18"/>
                <w:lang w:eastAsia="zh-CN"/>
              </w:rPr>
              <w:t xml:space="preserve"> à la quatrième réunion de</w:t>
            </w:r>
            <w:r w:rsidR="00600E80" w:rsidRPr="009A106E">
              <w:rPr>
                <w:rFonts w:ascii="Times New Roman" w:eastAsia="SimSun" w:hAnsi="Times New Roman"/>
                <w:sz w:val="18"/>
                <w:szCs w:val="18"/>
                <w:lang w:eastAsia="zh-CN"/>
              </w:rPr>
              <w:t xml:space="preserve"> la Plénière</w:t>
            </w: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 xml:space="preserve">Frais de voyage et </w:t>
            </w:r>
            <w:r w:rsidR="00BD11E8">
              <w:rPr>
                <w:rFonts w:ascii="Times New Roman" w:eastAsia="SimSun" w:hAnsi="Times New Roman"/>
                <w:sz w:val="18"/>
                <w:szCs w:val="18"/>
                <w:lang w:eastAsia="zh-CN"/>
              </w:rPr>
              <w:t>indemni</w:t>
            </w:r>
            <w:r w:rsidR="0003742A">
              <w:rPr>
                <w:rFonts w:ascii="Times New Roman" w:eastAsia="SimSun" w:hAnsi="Times New Roman"/>
                <w:sz w:val="18"/>
                <w:szCs w:val="18"/>
                <w:lang w:eastAsia="zh-CN"/>
              </w:rPr>
              <w:t>tés journalières de subsistance</w:t>
            </w:r>
            <w:r w:rsidR="00BD11E8">
              <w:rPr>
                <w:rFonts w:ascii="Times New Roman" w:eastAsia="SimSun" w:hAnsi="Times New Roman"/>
                <w:sz w:val="18"/>
                <w:szCs w:val="18"/>
                <w:lang w:eastAsia="zh-CN"/>
              </w:rPr>
              <w:t xml:space="preserve"> </w:t>
            </w:r>
            <w:r w:rsidR="00B55B13">
              <w:rPr>
                <w:rFonts w:ascii="Times New Roman" w:eastAsia="SimSun" w:hAnsi="Times New Roman"/>
                <w:sz w:val="18"/>
                <w:szCs w:val="18"/>
                <w:lang w:eastAsia="zh-CN"/>
              </w:rPr>
              <w:br/>
            </w:r>
            <w:r w:rsidR="005547AC" w:rsidRPr="009A106E">
              <w:rPr>
                <w:rFonts w:ascii="Times New Roman" w:eastAsia="SimSun" w:hAnsi="Times New Roman"/>
                <w:sz w:val="18"/>
                <w:szCs w:val="18"/>
                <w:lang w:eastAsia="zh-CN"/>
              </w:rPr>
              <w:t>(3 x 3 000 </w:t>
            </w:r>
            <w:r w:rsidRPr="009A106E">
              <w:rPr>
                <w:rFonts w:ascii="Times New Roman" w:eastAsia="SimSun" w:hAnsi="Times New Roman"/>
                <w:sz w:val="18"/>
                <w:szCs w:val="18"/>
                <w:lang w:eastAsia="zh-CN"/>
              </w:rPr>
              <w:t>dollars)</w:t>
            </w:r>
          </w:p>
        </w:tc>
        <w:tc>
          <w:tcPr>
            <w:tcW w:w="1613" w:type="dxa"/>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lang w:eastAsia="zh-CN"/>
              </w:rPr>
              <w:t>9 </w:t>
            </w:r>
            <w:r w:rsidR="00165D8D" w:rsidRPr="009A106E">
              <w:rPr>
                <w:rFonts w:ascii="Times New Roman" w:eastAsia="SimSun" w:hAnsi="Times New Roman"/>
                <w:sz w:val="18"/>
                <w:szCs w:val="18"/>
                <w:lang w:eastAsia="zh-CN"/>
              </w:rPr>
              <w:t>000</w:t>
            </w:r>
          </w:p>
        </w:tc>
      </w:tr>
      <w:tr w:rsidR="00165D8D" w:rsidRPr="009A106E" w:rsidDel="001E184E" w:rsidTr="0003742A">
        <w:trPr>
          <w:trHeight w:val="560"/>
        </w:trPr>
        <w:tc>
          <w:tcPr>
            <w:tcW w:w="857" w:type="dxa"/>
            <w:vMerge/>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2693" w:type="dxa"/>
          </w:tcPr>
          <w:p w:rsidR="00165D8D" w:rsidRPr="009A106E" w:rsidRDefault="00165D8D" w:rsidP="00600E80">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 xml:space="preserve">Diffusion </w:t>
            </w:r>
            <w:r w:rsidR="00600E80" w:rsidRPr="009A106E">
              <w:rPr>
                <w:rFonts w:ascii="Times New Roman" w:eastAsia="SimSun" w:hAnsi="Times New Roman"/>
                <w:sz w:val="18"/>
                <w:szCs w:val="18"/>
                <w:lang w:eastAsia="zh-CN"/>
              </w:rPr>
              <w:t xml:space="preserve">et information </w:t>
            </w:r>
            <w:r w:rsidRPr="009A106E">
              <w:rPr>
                <w:rFonts w:ascii="Times New Roman" w:eastAsia="SimSun" w:hAnsi="Times New Roman"/>
                <w:sz w:val="18"/>
                <w:szCs w:val="18"/>
                <w:lang w:eastAsia="zh-CN"/>
              </w:rPr>
              <w:t xml:space="preserve">(Résumé </w:t>
            </w:r>
            <w:r w:rsidR="0003742A">
              <w:rPr>
                <w:rFonts w:ascii="Times New Roman" w:eastAsia="SimSun" w:hAnsi="Times New Roman"/>
                <w:sz w:val="18"/>
                <w:szCs w:val="18"/>
                <w:lang w:eastAsia="zh-CN"/>
              </w:rPr>
              <w:t>à l’intention des décideurs (10 </w:t>
            </w:r>
            <w:r w:rsidRPr="009A106E">
              <w:rPr>
                <w:rFonts w:ascii="Times New Roman" w:eastAsia="SimSun" w:hAnsi="Times New Roman"/>
                <w:sz w:val="18"/>
                <w:szCs w:val="18"/>
                <w:lang w:eastAsia="zh-CN"/>
              </w:rPr>
              <w:t>pages)</w:t>
            </w:r>
            <w:r w:rsidR="00600E80" w:rsidRPr="009A106E">
              <w:rPr>
                <w:rFonts w:ascii="Times New Roman" w:eastAsia="SimSun" w:hAnsi="Times New Roman"/>
                <w:sz w:val="18"/>
                <w:szCs w:val="18"/>
                <w:lang w:eastAsia="zh-CN"/>
              </w:rPr>
              <w:t xml:space="preserve"> et</w:t>
            </w:r>
            <w:r w:rsidR="0003742A">
              <w:rPr>
                <w:rFonts w:ascii="Times New Roman" w:eastAsia="SimSun" w:hAnsi="Times New Roman"/>
                <w:sz w:val="18"/>
                <w:szCs w:val="18"/>
                <w:lang w:eastAsia="zh-CN"/>
              </w:rPr>
              <w:t xml:space="preserve"> rapport (200 </w:t>
            </w:r>
            <w:r w:rsidRPr="009A106E">
              <w:rPr>
                <w:rFonts w:ascii="Times New Roman" w:eastAsia="SimSun" w:hAnsi="Times New Roman"/>
                <w:sz w:val="18"/>
                <w:szCs w:val="18"/>
                <w:lang w:eastAsia="zh-CN"/>
              </w:rPr>
              <w:t>pages))</w:t>
            </w: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r w:rsidRPr="009A106E">
              <w:rPr>
                <w:rFonts w:ascii="Times New Roman" w:eastAsia="SimSun" w:hAnsi="Times New Roman"/>
                <w:sz w:val="18"/>
                <w:szCs w:val="18"/>
                <w:lang w:eastAsia="zh-CN"/>
              </w:rPr>
              <w:t>Traduction du Résumé à l’intention des décideurs da</w:t>
            </w:r>
            <w:r w:rsidR="00600E80" w:rsidRPr="009A106E">
              <w:rPr>
                <w:rFonts w:ascii="Times New Roman" w:eastAsia="SimSun" w:hAnsi="Times New Roman"/>
                <w:sz w:val="18"/>
                <w:szCs w:val="18"/>
                <w:lang w:eastAsia="zh-CN"/>
              </w:rPr>
              <w:t>ns toutes les</w:t>
            </w:r>
            <w:r w:rsidRPr="009A106E">
              <w:rPr>
                <w:rFonts w:ascii="Times New Roman" w:eastAsia="SimSun" w:hAnsi="Times New Roman"/>
                <w:sz w:val="18"/>
                <w:szCs w:val="18"/>
                <w:lang w:eastAsia="zh-CN"/>
              </w:rPr>
              <w:t xml:space="preserve"> langues officielles de l’ONU, publication, information</w:t>
            </w:r>
            <w:r w:rsidR="00600E80" w:rsidRPr="009A106E">
              <w:rPr>
                <w:rFonts w:ascii="Times New Roman" w:eastAsia="SimSun" w:hAnsi="Times New Roman"/>
                <w:sz w:val="18"/>
                <w:szCs w:val="18"/>
                <w:lang w:eastAsia="zh-CN"/>
              </w:rPr>
              <w:t>.</w:t>
            </w:r>
          </w:p>
        </w:tc>
        <w:tc>
          <w:tcPr>
            <w:tcW w:w="1613" w:type="dxa"/>
          </w:tcPr>
          <w:p w:rsidR="00165D8D" w:rsidRPr="009A106E" w:rsidDel="001E184E" w:rsidRDefault="00165D8D"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sz w:val="18"/>
                <w:szCs w:val="18"/>
                <w:lang w:eastAsia="zh-CN"/>
              </w:rPr>
            </w:pPr>
            <w:r w:rsidRPr="009A106E">
              <w:rPr>
                <w:rFonts w:ascii="Times New Roman" w:eastAsia="SimSun" w:hAnsi="Times New Roman"/>
                <w:sz w:val="18"/>
                <w:szCs w:val="18"/>
                <w:lang w:eastAsia="zh-CN"/>
              </w:rPr>
              <w:t>117</w:t>
            </w:r>
            <w:r w:rsidR="005547AC" w:rsidRPr="009A106E">
              <w:rPr>
                <w:rFonts w:ascii="Times New Roman" w:eastAsia="SimSun" w:hAnsi="Times New Roman"/>
                <w:sz w:val="18"/>
                <w:szCs w:val="18"/>
                <w:lang w:eastAsia="zh-CN"/>
              </w:rPr>
              <w:t> </w:t>
            </w:r>
            <w:r w:rsidRPr="009A106E">
              <w:rPr>
                <w:rFonts w:ascii="Times New Roman" w:eastAsia="SimSun" w:hAnsi="Times New Roman"/>
                <w:sz w:val="18"/>
                <w:szCs w:val="18"/>
                <w:lang w:eastAsia="zh-CN"/>
              </w:rPr>
              <w:t>000</w:t>
            </w:r>
          </w:p>
        </w:tc>
      </w:tr>
      <w:tr w:rsidR="00165D8D" w:rsidRPr="009A106E" w:rsidTr="0003742A">
        <w:tc>
          <w:tcPr>
            <w:tcW w:w="85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b/>
                <w:sz w:val="18"/>
                <w:szCs w:val="18"/>
                <w:lang w:eastAsia="zh-CN"/>
              </w:rPr>
            </w:pPr>
            <w:r w:rsidRPr="009A106E">
              <w:rPr>
                <w:rFonts w:ascii="Times New Roman" w:eastAsia="SimSun" w:hAnsi="Times New Roman"/>
                <w:b/>
                <w:sz w:val="18"/>
                <w:szCs w:val="18"/>
                <w:lang w:eastAsia="zh-CN"/>
              </w:rPr>
              <w:t>Total</w:t>
            </w:r>
          </w:p>
        </w:tc>
        <w:tc>
          <w:tcPr>
            <w:tcW w:w="2693"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3107" w:type="dxa"/>
          </w:tcPr>
          <w:p w:rsidR="00165D8D" w:rsidRPr="009A106E" w:rsidRDefault="00165D8D" w:rsidP="003E7986">
            <w:pPr>
              <w:pStyle w:val="ColorfulList-Accent1"/>
              <w:tabs>
                <w:tab w:val="left" w:pos="426"/>
              </w:tabs>
              <w:autoSpaceDE w:val="0"/>
              <w:autoSpaceDN w:val="0"/>
              <w:adjustRightInd w:val="0"/>
              <w:spacing w:before="60" w:after="60"/>
              <w:ind w:left="0"/>
              <w:contextualSpacing w:val="0"/>
              <w:rPr>
                <w:rFonts w:ascii="Times New Roman" w:eastAsia="SimSun" w:hAnsi="Times New Roman"/>
                <w:sz w:val="18"/>
                <w:szCs w:val="18"/>
                <w:lang w:eastAsia="zh-CN"/>
              </w:rPr>
            </w:pPr>
          </w:p>
        </w:tc>
        <w:tc>
          <w:tcPr>
            <w:tcW w:w="1613" w:type="dxa"/>
          </w:tcPr>
          <w:p w:rsidR="00165D8D" w:rsidRPr="009A106E" w:rsidRDefault="005547AC" w:rsidP="00BD11E8">
            <w:pPr>
              <w:pStyle w:val="ColorfulList-Accent1"/>
              <w:tabs>
                <w:tab w:val="left" w:pos="426"/>
              </w:tabs>
              <w:autoSpaceDE w:val="0"/>
              <w:autoSpaceDN w:val="0"/>
              <w:adjustRightInd w:val="0"/>
              <w:spacing w:before="60" w:after="60"/>
              <w:ind w:left="0"/>
              <w:contextualSpacing w:val="0"/>
              <w:jc w:val="right"/>
              <w:rPr>
                <w:rFonts w:ascii="Times New Roman" w:eastAsia="SimSun" w:hAnsi="Times New Roman"/>
                <w:b/>
                <w:sz w:val="18"/>
                <w:szCs w:val="18"/>
                <w:lang w:eastAsia="zh-CN"/>
              </w:rPr>
            </w:pPr>
            <w:r w:rsidRPr="009A106E">
              <w:rPr>
                <w:rFonts w:ascii="Times New Roman" w:eastAsia="SimSun" w:hAnsi="Times New Roman"/>
                <w:b/>
                <w:sz w:val="18"/>
                <w:szCs w:val="18"/>
              </w:rPr>
              <w:t>934 </w:t>
            </w:r>
            <w:r w:rsidR="00165D8D" w:rsidRPr="009A106E">
              <w:rPr>
                <w:rFonts w:ascii="Times New Roman" w:eastAsia="SimSun" w:hAnsi="Times New Roman"/>
                <w:b/>
                <w:sz w:val="18"/>
                <w:szCs w:val="18"/>
              </w:rPr>
              <w:t>500</w:t>
            </w:r>
          </w:p>
        </w:tc>
      </w:tr>
    </w:tbl>
    <w:p w:rsidR="00165D8D" w:rsidRPr="009A106E" w:rsidRDefault="00165D8D" w:rsidP="009A106E">
      <w:pPr>
        <w:rPr>
          <w:rFonts w:ascii="Times New Roman" w:hAnsi="Times New Roman"/>
          <w:b/>
        </w:rPr>
      </w:pPr>
    </w:p>
    <w:p w:rsidR="009A106E" w:rsidRPr="009A106E" w:rsidRDefault="009A106E" w:rsidP="009A106E">
      <w:pPr>
        <w:jc w:val="center"/>
        <w:rPr>
          <w:rFonts w:ascii="Times New Roman" w:hAnsi="Times New Roman"/>
          <w:b/>
        </w:rPr>
      </w:pPr>
      <w:r w:rsidRPr="009A106E">
        <w:rPr>
          <w:rFonts w:ascii="Times New Roman" w:hAnsi="Times New Roman"/>
          <w:b/>
        </w:rPr>
        <w:t>_______________________</w:t>
      </w:r>
    </w:p>
    <w:sectPr w:rsidR="009A106E" w:rsidRPr="009A106E" w:rsidSect="00713D8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FB" w:rsidRDefault="007F7CFB">
      <w:r>
        <w:separator/>
      </w:r>
    </w:p>
  </w:endnote>
  <w:endnote w:type="continuationSeparator" w:id="0">
    <w:p w:rsidR="007F7CFB" w:rsidRDefault="007F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81" w:rsidRDefault="00692481">
    <w:pPr>
      <w:pStyle w:val="Footer"/>
    </w:pPr>
    <w:r>
      <w:rPr>
        <w:rStyle w:val="PageNumber"/>
      </w:rPr>
      <w:fldChar w:fldCharType="begin"/>
    </w:r>
    <w:r>
      <w:rPr>
        <w:rStyle w:val="PageNumber"/>
      </w:rPr>
      <w:instrText xml:space="preserve"> PAGE </w:instrText>
    </w:r>
    <w:r>
      <w:rPr>
        <w:rStyle w:val="PageNumber"/>
      </w:rPr>
      <w:fldChar w:fldCharType="separate"/>
    </w:r>
    <w:r w:rsidR="0043311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81" w:rsidRDefault="0069248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3311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81" w:rsidRPr="00864922" w:rsidRDefault="00692481"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K135378</w:t>
    </w:r>
    <w:r w:rsidR="009A106E">
      <w:rPr>
        <w:rFonts w:ascii="Times New Roman" w:hAnsi="Times New Roman"/>
        <w:sz w:val="20"/>
        <w:szCs w:val="20"/>
      </w:rPr>
      <w:t>4</w:t>
    </w:r>
    <w:r>
      <w:rPr>
        <w:rFonts w:ascii="Times New Roman" w:hAnsi="Times New Roman"/>
        <w:sz w:val="20"/>
        <w:szCs w:val="20"/>
      </w:rPr>
      <w:tab/>
    </w:r>
    <w:r w:rsidR="006A1E8D">
      <w:rPr>
        <w:rFonts w:ascii="Times New Roman" w:hAnsi="Times New Roman"/>
        <w:sz w:val="20"/>
        <w:szCs w:val="20"/>
      </w:rPr>
      <w:t>15</w:t>
    </w:r>
    <w:r w:rsidR="00FE19DC">
      <w:rPr>
        <w:rFonts w:ascii="Times New Roman" w:hAnsi="Times New Roman"/>
        <w:sz w:val="20"/>
        <w:szCs w:val="20"/>
      </w:rPr>
      <w:t>11</w:t>
    </w:r>
    <w:r>
      <w:rPr>
        <w:rFonts w:ascii="Times New Roman" w:hAnsi="Times New Roman"/>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FB" w:rsidRPr="00A53029" w:rsidRDefault="007F7CFB" w:rsidP="00A53029">
      <w:pPr>
        <w:spacing w:after="120" w:line="240" w:lineRule="auto"/>
        <w:ind w:left="624"/>
        <w:rPr>
          <w:rFonts w:ascii="Times New Roman" w:hAnsi="Times New Roman"/>
          <w:sz w:val="20"/>
          <w:szCs w:val="20"/>
        </w:rPr>
      </w:pPr>
      <w:r w:rsidRPr="00A53029">
        <w:rPr>
          <w:rFonts w:ascii="Times New Roman" w:hAnsi="Times New Roman"/>
          <w:sz w:val="20"/>
          <w:szCs w:val="20"/>
        </w:rPr>
        <w:separator/>
      </w:r>
    </w:p>
  </w:footnote>
  <w:footnote w:type="continuationSeparator" w:id="0">
    <w:p w:rsidR="007F7CFB" w:rsidRDefault="007F7CFB">
      <w:r>
        <w:continuationSeparator/>
      </w:r>
    </w:p>
  </w:footnote>
  <w:footnote w:id="1">
    <w:p w:rsidR="00692481" w:rsidRPr="00722F99" w:rsidRDefault="00692481" w:rsidP="00D27251">
      <w:pPr>
        <w:pStyle w:val="FootnoteText"/>
        <w:rPr>
          <w:szCs w:val="18"/>
          <w:lang w:val="en-US"/>
        </w:rPr>
      </w:pPr>
      <w:r w:rsidRPr="00722F99">
        <w:rPr>
          <w:rStyle w:val="FootnoteReference"/>
          <w:sz w:val="18"/>
        </w:rPr>
        <w:sym w:font="Symbol" w:char="F02A"/>
      </w:r>
      <w:r w:rsidRPr="00722F99">
        <w:rPr>
          <w:szCs w:val="18"/>
        </w:rPr>
        <w:t xml:space="preserve"> IPBES/</w:t>
      </w:r>
      <w:r w:rsidRPr="00722F99">
        <w:rPr>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81" w:rsidRPr="00194D87" w:rsidRDefault="00692481" w:rsidP="00194D87">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w:t>
    </w:r>
    <w:r>
      <w:rPr>
        <w:rFonts w:ascii="Times New Roman" w:hAnsi="Times New Roman"/>
        <w:szCs w:val="18"/>
        <w:lang w:val="en-US" w:eastAsia="ja-JP"/>
      </w:rPr>
      <w:t>16/Add.8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81" w:rsidRPr="00194D87" w:rsidRDefault="00692481" w:rsidP="00194D87">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w:t>
    </w:r>
    <w:r>
      <w:rPr>
        <w:rFonts w:ascii="Times New Roman" w:hAnsi="Times New Roman"/>
        <w:szCs w:val="18"/>
        <w:lang w:val="en-US" w:eastAsia="ja-JP"/>
      </w:rPr>
      <w:t>6/Add.8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81" w:rsidRPr="00762016" w:rsidRDefault="00692481" w:rsidP="00762016">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8D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A40EA"/>
    <w:multiLevelType w:val="hybridMultilevel"/>
    <w:tmpl w:val="006EE3A2"/>
    <w:lvl w:ilvl="0" w:tplc="04090017">
      <w:start w:val="1"/>
      <w:numFmt w:val="lowerLetter"/>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nsid w:val="10F13139"/>
    <w:multiLevelType w:val="hybridMultilevel"/>
    <w:tmpl w:val="D1AA0DE4"/>
    <w:lvl w:ilvl="0" w:tplc="04090017">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2427F18"/>
    <w:multiLevelType w:val="hybridMultilevel"/>
    <w:tmpl w:val="EC1ED6EC"/>
    <w:lvl w:ilvl="0" w:tplc="04090017">
      <w:start w:val="1"/>
      <w:numFmt w:val="lowerLetter"/>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5">
    <w:nsid w:val="250B3E2F"/>
    <w:multiLevelType w:val="hybridMultilevel"/>
    <w:tmpl w:val="66C06F46"/>
    <w:lvl w:ilvl="0" w:tplc="04090017">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nsid w:val="31ED044C"/>
    <w:multiLevelType w:val="hybridMultilevel"/>
    <w:tmpl w:val="910AD4F2"/>
    <w:lvl w:ilvl="0" w:tplc="04090017">
      <w:start w:val="1"/>
      <w:numFmt w:val="low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9AB23C5"/>
    <w:multiLevelType w:val="hybridMultilevel"/>
    <w:tmpl w:val="9416842C"/>
    <w:lvl w:ilvl="0" w:tplc="04090017">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9">
    <w:nsid w:val="4A6A13CB"/>
    <w:multiLevelType w:val="hybridMultilevel"/>
    <w:tmpl w:val="916C57B6"/>
    <w:lvl w:ilvl="0" w:tplc="A51A79C8">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605F702C"/>
    <w:multiLevelType w:val="hybridMultilevel"/>
    <w:tmpl w:val="12267862"/>
    <w:lvl w:ilvl="0" w:tplc="E21E15D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nsid w:val="62291BF8"/>
    <w:multiLevelType w:val="multilevel"/>
    <w:tmpl w:val="F4ACF36E"/>
    <w:numStyleLink w:val="Normallist"/>
  </w:abstractNum>
  <w:num w:numId="1">
    <w:abstractNumId w:val="10"/>
  </w:num>
  <w:num w:numId="2">
    <w:abstractNumId w:val="3"/>
  </w:num>
  <w:num w:numId="3">
    <w:abstractNumId w:val="7"/>
  </w:num>
  <w:num w:numId="4">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5">
    <w:abstractNumId w:val="4"/>
  </w:num>
  <w:num w:numId="6">
    <w:abstractNumId w:val="1"/>
  </w:num>
  <w:num w:numId="7">
    <w:abstractNumId w:val="11"/>
  </w:num>
  <w:num w:numId="8">
    <w:abstractNumId w:val="6"/>
  </w:num>
  <w:num w:numId="9">
    <w:abstractNumId w:val="5"/>
  </w:num>
  <w:num w:numId="10">
    <w:abstractNumId w:val="8"/>
  </w:num>
  <w:num w:numId="11">
    <w:abstractNumId w:val="2"/>
  </w:num>
  <w:num w:numId="12">
    <w:abstractNumId w:val="9"/>
  </w:num>
  <w:num w:numId="13">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4">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5">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6">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7">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8">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9">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0">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1">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2">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3">
    <w:abstractNumId w:val="12"/>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149E6"/>
    <w:rsid w:val="000179E3"/>
    <w:rsid w:val="00021598"/>
    <w:rsid w:val="000247B0"/>
    <w:rsid w:val="000249A3"/>
    <w:rsid w:val="0002522A"/>
    <w:rsid w:val="00026997"/>
    <w:rsid w:val="00033E0B"/>
    <w:rsid w:val="00035EDE"/>
    <w:rsid w:val="0003742A"/>
    <w:rsid w:val="00046CB9"/>
    <w:rsid w:val="000509B4"/>
    <w:rsid w:val="000537AB"/>
    <w:rsid w:val="0006035B"/>
    <w:rsid w:val="0007166E"/>
    <w:rsid w:val="0007169A"/>
    <w:rsid w:val="00071886"/>
    <w:rsid w:val="000742BC"/>
    <w:rsid w:val="00080E35"/>
    <w:rsid w:val="00082A0C"/>
    <w:rsid w:val="00083504"/>
    <w:rsid w:val="0009640C"/>
    <w:rsid w:val="000A7BDF"/>
    <w:rsid w:val="000B199B"/>
    <w:rsid w:val="000B21D5"/>
    <w:rsid w:val="000B22A2"/>
    <w:rsid w:val="000C2A52"/>
    <w:rsid w:val="000C3A57"/>
    <w:rsid w:val="000D33C0"/>
    <w:rsid w:val="000D57BE"/>
    <w:rsid w:val="000D6941"/>
    <w:rsid w:val="000F4B6E"/>
    <w:rsid w:val="00115F01"/>
    <w:rsid w:val="001202E3"/>
    <w:rsid w:val="00123699"/>
    <w:rsid w:val="00124914"/>
    <w:rsid w:val="00124C35"/>
    <w:rsid w:val="0013059D"/>
    <w:rsid w:val="00141A55"/>
    <w:rsid w:val="00142406"/>
    <w:rsid w:val="001446A3"/>
    <w:rsid w:val="001522A2"/>
    <w:rsid w:val="00155395"/>
    <w:rsid w:val="00164791"/>
    <w:rsid w:val="00165D8D"/>
    <w:rsid w:val="00166EBC"/>
    <w:rsid w:val="00170D52"/>
    <w:rsid w:val="00171546"/>
    <w:rsid w:val="00181EC8"/>
    <w:rsid w:val="00184349"/>
    <w:rsid w:val="001867F5"/>
    <w:rsid w:val="00193420"/>
    <w:rsid w:val="00194D87"/>
    <w:rsid w:val="00195F33"/>
    <w:rsid w:val="001B1617"/>
    <w:rsid w:val="001B4122"/>
    <w:rsid w:val="001B4912"/>
    <w:rsid w:val="001B504B"/>
    <w:rsid w:val="001C1229"/>
    <w:rsid w:val="001D0608"/>
    <w:rsid w:val="001D3874"/>
    <w:rsid w:val="001D7E75"/>
    <w:rsid w:val="001E56D2"/>
    <w:rsid w:val="001E7D56"/>
    <w:rsid w:val="001F1737"/>
    <w:rsid w:val="001F60D3"/>
    <w:rsid w:val="001F75DE"/>
    <w:rsid w:val="00200D58"/>
    <w:rsid w:val="002013BE"/>
    <w:rsid w:val="002063A4"/>
    <w:rsid w:val="0021145B"/>
    <w:rsid w:val="00221178"/>
    <w:rsid w:val="0022426A"/>
    <w:rsid w:val="002324CD"/>
    <w:rsid w:val="002417AA"/>
    <w:rsid w:val="00243D36"/>
    <w:rsid w:val="00247707"/>
    <w:rsid w:val="00254D3C"/>
    <w:rsid w:val="0025743D"/>
    <w:rsid w:val="00276A91"/>
    <w:rsid w:val="002826F5"/>
    <w:rsid w:val="00286740"/>
    <w:rsid w:val="002929D8"/>
    <w:rsid w:val="00293850"/>
    <w:rsid w:val="002A237D"/>
    <w:rsid w:val="002A4C53"/>
    <w:rsid w:val="002B0672"/>
    <w:rsid w:val="002B1B4C"/>
    <w:rsid w:val="002B247F"/>
    <w:rsid w:val="002B3767"/>
    <w:rsid w:val="002C145D"/>
    <w:rsid w:val="002C2C3E"/>
    <w:rsid w:val="002C533E"/>
    <w:rsid w:val="002D027F"/>
    <w:rsid w:val="002D0837"/>
    <w:rsid w:val="002D1797"/>
    <w:rsid w:val="002D7A85"/>
    <w:rsid w:val="002D7B60"/>
    <w:rsid w:val="002F456E"/>
    <w:rsid w:val="002F4761"/>
    <w:rsid w:val="002F5C79"/>
    <w:rsid w:val="003019E2"/>
    <w:rsid w:val="00305EB8"/>
    <w:rsid w:val="00310FD9"/>
    <w:rsid w:val="0031413F"/>
    <w:rsid w:val="003148BB"/>
    <w:rsid w:val="00315D2C"/>
    <w:rsid w:val="00316934"/>
    <w:rsid w:val="00317976"/>
    <w:rsid w:val="00322C62"/>
    <w:rsid w:val="00322D60"/>
    <w:rsid w:val="00330DCF"/>
    <w:rsid w:val="00355EA9"/>
    <w:rsid w:val="00357577"/>
    <w:rsid w:val="003578DE"/>
    <w:rsid w:val="00361489"/>
    <w:rsid w:val="00364DCD"/>
    <w:rsid w:val="003941D4"/>
    <w:rsid w:val="00396257"/>
    <w:rsid w:val="00397EB8"/>
    <w:rsid w:val="003A086E"/>
    <w:rsid w:val="003A1138"/>
    <w:rsid w:val="003A4FD0"/>
    <w:rsid w:val="003A69D1"/>
    <w:rsid w:val="003A7375"/>
    <w:rsid w:val="003A7705"/>
    <w:rsid w:val="003B1545"/>
    <w:rsid w:val="003C409D"/>
    <w:rsid w:val="003C5BA6"/>
    <w:rsid w:val="003E7986"/>
    <w:rsid w:val="003F0E85"/>
    <w:rsid w:val="003F3DDC"/>
    <w:rsid w:val="003F523D"/>
    <w:rsid w:val="00405251"/>
    <w:rsid w:val="00410C55"/>
    <w:rsid w:val="00416854"/>
    <w:rsid w:val="00417725"/>
    <w:rsid w:val="0043311D"/>
    <w:rsid w:val="00436890"/>
    <w:rsid w:val="004377BC"/>
    <w:rsid w:val="00437F26"/>
    <w:rsid w:val="00444097"/>
    <w:rsid w:val="00445487"/>
    <w:rsid w:val="00450942"/>
    <w:rsid w:val="0045436D"/>
    <w:rsid w:val="00454769"/>
    <w:rsid w:val="00466991"/>
    <w:rsid w:val="0047064C"/>
    <w:rsid w:val="00485701"/>
    <w:rsid w:val="004863D2"/>
    <w:rsid w:val="004946D3"/>
    <w:rsid w:val="004A42E1"/>
    <w:rsid w:val="004A5BB1"/>
    <w:rsid w:val="004B162C"/>
    <w:rsid w:val="004C3DBE"/>
    <w:rsid w:val="004C5C96"/>
    <w:rsid w:val="004D06A4"/>
    <w:rsid w:val="004F00DD"/>
    <w:rsid w:val="004F1A81"/>
    <w:rsid w:val="00500621"/>
    <w:rsid w:val="00506617"/>
    <w:rsid w:val="005218D9"/>
    <w:rsid w:val="005276FC"/>
    <w:rsid w:val="00535AB5"/>
    <w:rsid w:val="00536186"/>
    <w:rsid w:val="00536907"/>
    <w:rsid w:val="00542442"/>
    <w:rsid w:val="00544CBB"/>
    <w:rsid w:val="005547AC"/>
    <w:rsid w:val="00560134"/>
    <w:rsid w:val="00563C44"/>
    <w:rsid w:val="0057315F"/>
    <w:rsid w:val="00574DD7"/>
    <w:rsid w:val="00576104"/>
    <w:rsid w:val="005770B1"/>
    <w:rsid w:val="0057716D"/>
    <w:rsid w:val="0058068F"/>
    <w:rsid w:val="005926C2"/>
    <w:rsid w:val="005B41BE"/>
    <w:rsid w:val="005C04E2"/>
    <w:rsid w:val="005C57BB"/>
    <w:rsid w:val="005C67C8"/>
    <w:rsid w:val="005D0249"/>
    <w:rsid w:val="005D6E8C"/>
    <w:rsid w:val="005E1F25"/>
    <w:rsid w:val="005F100C"/>
    <w:rsid w:val="005F68DA"/>
    <w:rsid w:val="00600E80"/>
    <w:rsid w:val="006034C7"/>
    <w:rsid w:val="0060773B"/>
    <w:rsid w:val="006116FA"/>
    <w:rsid w:val="00614485"/>
    <w:rsid w:val="006157B5"/>
    <w:rsid w:val="00626FC6"/>
    <w:rsid w:val="006303B4"/>
    <w:rsid w:val="00633D3D"/>
    <w:rsid w:val="00633FDE"/>
    <w:rsid w:val="00641703"/>
    <w:rsid w:val="00641714"/>
    <w:rsid w:val="006431A6"/>
    <w:rsid w:val="006459F6"/>
    <w:rsid w:val="006501AD"/>
    <w:rsid w:val="00651BFA"/>
    <w:rsid w:val="00662CC1"/>
    <w:rsid w:val="00663A51"/>
    <w:rsid w:val="00665A4B"/>
    <w:rsid w:val="00667509"/>
    <w:rsid w:val="00682847"/>
    <w:rsid w:val="00692481"/>
    <w:rsid w:val="00692E2A"/>
    <w:rsid w:val="006A1E8D"/>
    <w:rsid w:val="006A6FE2"/>
    <w:rsid w:val="006A76F2"/>
    <w:rsid w:val="006C5FA6"/>
    <w:rsid w:val="006D7EFB"/>
    <w:rsid w:val="006E6672"/>
    <w:rsid w:val="006E6722"/>
    <w:rsid w:val="006E7F64"/>
    <w:rsid w:val="006F21D2"/>
    <w:rsid w:val="007027B9"/>
    <w:rsid w:val="00713D8F"/>
    <w:rsid w:val="00715E88"/>
    <w:rsid w:val="00734CAA"/>
    <w:rsid w:val="007469A7"/>
    <w:rsid w:val="0075533C"/>
    <w:rsid w:val="00757581"/>
    <w:rsid w:val="007611A0"/>
    <w:rsid w:val="00762016"/>
    <w:rsid w:val="0076776C"/>
    <w:rsid w:val="007823BE"/>
    <w:rsid w:val="00796D3F"/>
    <w:rsid w:val="007A1683"/>
    <w:rsid w:val="007A36F8"/>
    <w:rsid w:val="007A4329"/>
    <w:rsid w:val="007A5C12"/>
    <w:rsid w:val="007A7CB0"/>
    <w:rsid w:val="007B1C31"/>
    <w:rsid w:val="007B68A3"/>
    <w:rsid w:val="007C0F3E"/>
    <w:rsid w:val="007C2541"/>
    <w:rsid w:val="007D0F89"/>
    <w:rsid w:val="007D66A8"/>
    <w:rsid w:val="007E003F"/>
    <w:rsid w:val="007F7CFB"/>
    <w:rsid w:val="00802E72"/>
    <w:rsid w:val="008164F2"/>
    <w:rsid w:val="00817A84"/>
    <w:rsid w:val="00821395"/>
    <w:rsid w:val="00830E26"/>
    <w:rsid w:val="00842585"/>
    <w:rsid w:val="00843576"/>
    <w:rsid w:val="00843B64"/>
    <w:rsid w:val="008478FC"/>
    <w:rsid w:val="00852E51"/>
    <w:rsid w:val="00867BFF"/>
    <w:rsid w:val="00870972"/>
    <w:rsid w:val="0088054F"/>
    <w:rsid w:val="008839C0"/>
    <w:rsid w:val="0088480A"/>
    <w:rsid w:val="0088757A"/>
    <w:rsid w:val="008957DD"/>
    <w:rsid w:val="00897D98"/>
    <w:rsid w:val="008A26B4"/>
    <w:rsid w:val="008A5A06"/>
    <w:rsid w:val="008A6DF2"/>
    <w:rsid w:val="008A771B"/>
    <w:rsid w:val="008A7807"/>
    <w:rsid w:val="008B4CC9"/>
    <w:rsid w:val="008C0836"/>
    <w:rsid w:val="008C324F"/>
    <w:rsid w:val="008D2BB5"/>
    <w:rsid w:val="008D7C99"/>
    <w:rsid w:val="008E0FCB"/>
    <w:rsid w:val="008E329D"/>
    <w:rsid w:val="008F6070"/>
    <w:rsid w:val="0090431D"/>
    <w:rsid w:val="009106D9"/>
    <w:rsid w:val="00917671"/>
    <w:rsid w:val="0092178C"/>
    <w:rsid w:val="00930B88"/>
    <w:rsid w:val="00940DCC"/>
    <w:rsid w:val="0094179A"/>
    <w:rsid w:val="0094459E"/>
    <w:rsid w:val="00944DBC"/>
    <w:rsid w:val="00945C21"/>
    <w:rsid w:val="00950977"/>
    <w:rsid w:val="0095189F"/>
    <w:rsid w:val="00951A7B"/>
    <w:rsid w:val="009564A6"/>
    <w:rsid w:val="00967621"/>
    <w:rsid w:val="00967753"/>
    <w:rsid w:val="00967E6A"/>
    <w:rsid w:val="009712CD"/>
    <w:rsid w:val="00971C4A"/>
    <w:rsid w:val="009815A4"/>
    <w:rsid w:val="00985183"/>
    <w:rsid w:val="00990CB9"/>
    <w:rsid w:val="009935AC"/>
    <w:rsid w:val="009979BF"/>
    <w:rsid w:val="009A106E"/>
    <w:rsid w:val="009A4FE6"/>
    <w:rsid w:val="009B19CE"/>
    <w:rsid w:val="009B4A0F"/>
    <w:rsid w:val="009C0F13"/>
    <w:rsid w:val="009C11D2"/>
    <w:rsid w:val="009C289F"/>
    <w:rsid w:val="009C6C70"/>
    <w:rsid w:val="009D0B63"/>
    <w:rsid w:val="009D4BA6"/>
    <w:rsid w:val="009D4C74"/>
    <w:rsid w:val="009E307E"/>
    <w:rsid w:val="00A07870"/>
    <w:rsid w:val="00A07F19"/>
    <w:rsid w:val="00A1348D"/>
    <w:rsid w:val="00A232EE"/>
    <w:rsid w:val="00A27B12"/>
    <w:rsid w:val="00A31DBD"/>
    <w:rsid w:val="00A365CD"/>
    <w:rsid w:val="00A3704C"/>
    <w:rsid w:val="00A4175F"/>
    <w:rsid w:val="00A44411"/>
    <w:rsid w:val="00A469FA"/>
    <w:rsid w:val="00A53029"/>
    <w:rsid w:val="00A55B01"/>
    <w:rsid w:val="00A56B5B"/>
    <w:rsid w:val="00A603FF"/>
    <w:rsid w:val="00A60E3D"/>
    <w:rsid w:val="00A62259"/>
    <w:rsid w:val="00A657DD"/>
    <w:rsid w:val="00A666A6"/>
    <w:rsid w:val="00A67480"/>
    <w:rsid w:val="00A675FD"/>
    <w:rsid w:val="00A72437"/>
    <w:rsid w:val="00A75A8E"/>
    <w:rsid w:val="00A80611"/>
    <w:rsid w:val="00A87462"/>
    <w:rsid w:val="00A900EC"/>
    <w:rsid w:val="00A93108"/>
    <w:rsid w:val="00AA3073"/>
    <w:rsid w:val="00AB0B0B"/>
    <w:rsid w:val="00AB1405"/>
    <w:rsid w:val="00AB3AF1"/>
    <w:rsid w:val="00AB5340"/>
    <w:rsid w:val="00AB5808"/>
    <w:rsid w:val="00AC31BB"/>
    <w:rsid w:val="00AC5674"/>
    <w:rsid w:val="00AC7C96"/>
    <w:rsid w:val="00AD5F9A"/>
    <w:rsid w:val="00AE237D"/>
    <w:rsid w:val="00AE502A"/>
    <w:rsid w:val="00AF7C07"/>
    <w:rsid w:val="00B03435"/>
    <w:rsid w:val="00B07A01"/>
    <w:rsid w:val="00B12E37"/>
    <w:rsid w:val="00B141EB"/>
    <w:rsid w:val="00B20DD4"/>
    <w:rsid w:val="00B22C93"/>
    <w:rsid w:val="00B26131"/>
    <w:rsid w:val="00B27589"/>
    <w:rsid w:val="00B27EA9"/>
    <w:rsid w:val="00B36A9F"/>
    <w:rsid w:val="00B405B7"/>
    <w:rsid w:val="00B46922"/>
    <w:rsid w:val="00B52222"/>
    <w:rsid w:val="00B54FE7"/>
    <w:rsid w:val="00B55B13"/>
    <w:rsid w:val="00B64938"/>
    <w:rsid w:val="00B658EA"/>
    <w:rsid w:val="00B66901"/>
    <w:rsid w:val="00B71E6D"/>
    <w:rsid w:val="00B72070"/>
    <w:rsid w:val="00B779E1"/>
    <w:rsid w:val="00B91EE1"/>
    <w:rsid w:val="00B924F8"/>
    <w:rsid w:val="00B94CAD"/>
    <w:rsid w:val="00BA0090"/>
    <w:rsid w:val="00BA01EF"/>
    <w:rsid w:val="00BA0C38"/>
    <w:rsid w:val="00BA1A67"/>
    <w:rsid w:val="00BA3B66"/>
    <w:rsid w:val="00BA4F43"/>
    <w:rsid w:val="00BD11E8"/>
    <w:rsid w:val="00BD54EA"/>
    <w:rsid w:val="00BD6CE0"/>
    <w:rsid w:val="00BE514C"/>
    <w:rsid w:val="00BE5B5F"/>
    <w:rsid w:val="00BE7C8F"/>
    <w:rsid w:val="00BF7A98"/>
    <w:rsid w:val="00C115F6"/>
    <w:rsid w:val="00C26F55"/>
    <w:rsid w:val="00C30C63"/>
    <w:rsid w:val="00C36B8B"/>
    <w:rsid w:val="00C44556"/>
    <w:rsid w:val="00C46608"/>
    <w:rsid w:val="00C46B5E"/>
    <w:rsid w:val="00C47DBF"/>
    <w:rsid w:val="00C552FF"/>
    <w:rsid w:val="00C558DA"/>
    <w:rsid w:val="00C55AF3"/>
    <w:rsid w:val="00C610A0"/>
    <w:rsid w:val="00C8469B"/>
    <w:rsid w:val="00C84759"/>
    <w:rsid w:val="00C84CF3"/>
    <w:rsid w:val="00C861BD"/>
    <w:rsid w:val="00C91306"/>
    <w:rsid w:val="00CA2CFE"/>
    <w:rsid w:val="00CA6C7F"/>
    <w:rsid w:val="00CB38B7"/>
    <w:rsid w:val="00CC10A6"/>
    <w:rsid w:val="00CC386A"/>
    <w:rsid w:val="00CC4547"/>
    <w:rsid w:val="00CC5BFB"/>
    <w:rsid w:val="00CD5EB8"/>
    <w:rsid w:val="00CD7044"/>
    <w:rsid w:val="00CE08B9"/>
    <w:rsid w:val="00CE524C"/>
    <w:rsid w:val="00CE5293"/>
    <w:rsid w:val="00CF141F"/>
    <w:rsid w:val="00CF4777"/>
    <w:rsid w:val="00D067BB"/>
    <w:rsid w:val="00D11D69"/>
    <w:rsid w:val="00D11FC2"/>
    <w:rsid w:val="00D127BC"/>
    <w:rsid w:val="00D1352A"/>
    <w:rsid w:val="00D169AF"/>
    <w:rsid w:val="00D2124E"/>
    <w:rsid w:val="00D22A83"/>
    <w:rsid w:val="00D25249"/>
    <w:rsid w:val="00D27251"/>
    <w:rsid w:val="00D32986"/>
    <w:rsid w:val="00D33114"/>
    <w:rsid w:val="00D36134"/>
    <w:rsid w:val="00D405A7"/>
    <w:rsid w:val="00D4108C"/>
    <w:rsid w:val="00D43C7E"/>
    <w:rsid w:val="00D44172"/>
    <w:rsid w:val="00D63B8C"/>
    <w:rsid w:val="00D730C6"/>
    <w:rsid w:val="00D739CC"/>
    <w:rsid w:val="00D8093D"/>
    <w:rsid w:val="00D8108C"/>
    <w:rsid w:val="00D842AE"/>
    <w:rsid w:val="00D90044"/>
    <w:rsid w:val="00D91AB5"/>
    <w:rsid w:val="00D9211C"/>
    <w:rsid w:val="00D92DE0"/>
    <w:rsid w:val="00D92FEF"/>
    <w:rsid w:val="00D93A0F"/>
    <w:rsid w:val="00DA1BCA"/>
    <w:rsid w:val="00DB0348"/>
    <w:rsid w:val="00DB3AC1"/>
    <w:rsid w:val="00DC2F2E"/>
    <w:rsid w:val="00DC46FF"/>
    <w:rsid w:val="00DC5254"/>
    <w:rsid w:val="00DD1A4F"/>
    <w:rsid w:val="00DD3107"/>
    <w:rsid w:val="00DD376A"/>
    <w:rsid w:val="00DD6269"/>
    <w:rsid w:val="00DD7C2C"/>
    <w:rsid w:val="00DE0ADE"/>
    <w:rsid w:val="00E06797"/>
    <w:rsid w:val="00E07AC9"/>
    <w:rsid w:val="00E10214"/>
    <w:rsid w:val="00E1265B"/>
    <w:rsid w:val="00E13B48"/>
    <w:rsid w:val="00E1404F"/>
    <w:rsid w:val="00E21C83"/>
    <w:rsid w:val="00E24ADA"/>
    <w:rsid w:val="00E31C32"/>
    <w:rsid w:val="00E32F59"/>
    <w:rsid w:val="00E401AF"/>
    <w:rsid w:val="00E40E47"/>
    <w:rsid w:val="00E432E3"/>
    <w:rsid w:val="00E44355"/>
    <w:rsid w:val="00E46D9A"/>
    <w:rsid w:val="00E542AB"/>
    <w:rsid w:val="00E565FF"/>
    <w:rsid w:val="00E578CA"/>
    <w:rsid w:val="00E65388"/>
    <w:rsid w:val="00E65B1B"/>
    <w:rsid w:val="00E83C2F"/>
    <w:rsid w:val="00E85B7D"/>
    <w:rsid w:val="00E86C51"/>
    <w:rsid w:val="00E9121B"/>
    <w:rsid w:val="00E94F4A"/>
    <w:rsid w:val="00E9595F"/>
    <w:rsid w:val="00EA0AE2"/>
    <w:rsid w:val="00EA273F"/>
    <w:rsid w:val="00EA39E5"/>
    <w:rsid w:val="00EB5238"/>
    <w:rsid w:val="00EC2457"/>
    <w:rsid w:val="00EC52D5"/>
    <w:rsid w:val="00EC5A46"/>
    <w:rsid w:val="00EC63E2"/>
    <w:rsid w:val="00EE251F"/>
    <w:rsid w:val="00EF22B3"/>
    <w:rsid w:val="00EF59A4"/>
    <w:rsid w:val="00F02E62"/>
    <w:rsid w:val="00F03422"/>
    <w:rsid w:val="00F03B69"/>
    <w:rsid w:val="00F07A50"/>
    <w:rsid w:val="00F113DA"/>
    <w:rsid w:val="00F37DC8"/>
    <w:rsid w:val="00F439B3"/>
    <w:rsid w:val="00F60C00"/>
    <w:rsid w:val="00F650C3"/>
    <w:rsid w:val="00F65D85"/>
    <w:rsid w:val="00F769FA"/>
    <w:rsid w:val="00F80746"/>
    <w:rsid w:val="00F8091E"/>
    <w:rsid w:val="00F8615C"/>
    <w:rsid w:val="00F95482"/>
    <w:rsid w:val="00F969E5"/>
    <w:rsid w:val="00F96F33"/>
    <w:rsid w:val="00FA30A2"/>
    <w:rsid w:val="00FA406A"/>
    <w:rsid w:val="00FA6BB0"/>
    <w:rsid w:val="00FB4629"/>
    <w:rsid w:val="00FC38A7"/>
    <w:rsid w:val="00FD0CB0"/>
    <w:rsid w:val="00FD2D22"/>
    <w:rsid w:val="00FD4070"/>
    <w:rsid w:val="00FD5860"/>
    <w:rsid w:val="00FE19DC"/>
    <w:rsid w:val="00FE1E0B"/>
    <w:rsid w:val="00FE352D"/>
    <w:rsid w:val="00FE40EB"/>
    <w:rsid w:val="00FE4D02"/>
    <w:rsid w:val="00FE7D62"/>
    <w:rsid w:val="00FF3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94D87"/>
    <w:pPr>
      <w:spacing w:after="200" w:line="276" w:lineRule="auto"/>
    </w:pPr>
    <w:rPr>
      <w:rFonts w:ascii="Calibri" w:eastAsia="Calibri" w:hAnsi="Calibri"/>
      <w:sz w:val="22"/>
      <w:szCs w:val="22"/>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sz w:val="24"/>
      <w:szCs w:val="24"/>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MediumGrid1-Accent2">
    <w:name w:val="Medium Grid 1 Accent 2"/>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 w:type="paragraph" w:styleId="ColorfulList-Accent1">
    <w:name w:val="Colorful List Accent 1"/>
    <w:basedOn w:val="Normal"/>
    <w:uiPriority w:val="34"/>
    <w:qFormat/>
    <w:rsid w:val="00165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94D87"/>
    <w:pPr>
      <w:spacing w:after="200" w:line="276" w:lineRule="auto"/>
    </w:pPr>
    <w:rPr>
      <w:rFonts w:ascii="Calibri" w:eastAsia="Calibri" w:hAnsi="Calibri"/>
      <w:sz w:val="22"/>
      <w:szCs w:val="22"/>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sz w:val="24"/>
      <w:szCs w:val="24"/>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MediumGrid1-Accent2">
    <w:name w:val="Medium Grid 1 Accent 2"/>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 w:type="paragraph" w:styleId="ColorfulList-Accent1">
    <w:name w:val="Colorful List Accent 1"/>
    <w:basedOn w:val="Normal"/>
    <w:uiPriority w:val="34"/>
    <w:qFormat/>
    <w:rsid w:val="0016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C502-6A90-41C6-8AD2-A8A72DF1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 Shanbhag</cp:lastModifiedBy>
  <cp:revision>2</cp:revision>
  <cp:lastPrinted>2013-11-04T07:09:00Z</cp:lastPrinted>
  <dcterms:created xsi:type="dcterms:W3CDTF">2013-11-22T10:41:00Z</dcterms:created>
  <dcterms:modified xsi:type="dcterms:W3CDTF">2013-11-22T10:41:00Z</dcterms:modified>
</cp:coreProperties>
</file>