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668"/>
        <w:gridCol w:w="5100"/>
        <w:gridCol w:w="3012"/>
      </w:tblGrid>
      <w:tr w:rsidR="00194D87" w:rsidRPr="00C278D6" w:rsidTr="0039402D">
        <w:trPr>
          <w:cantSplit/>
          <w:trHeight w:val="850"/>
        </w:trPr>
        <w:tc>
          <w:tcPr>
            <w:tcW w:w="1668" w:type="dxa"/>
          </w:tcPr>
          <w:p w:rsidR="00194D87" w:rsidRPr="00C278D6" w:rsidRDefault="0039402D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</w:pPr>
            <w:bookmarkStart w:id="0" w:name="_GoBack"/>
            <w:bookmarkEnd w:id="0"/>
            <w:r w:rsidRPr="00C50B51">
              <w:rPr>
                <w:rFonts w:ascii="Arial" w:hAnsi="Arial"/>
                <w:b/>
                <w:noProof/>
                <w:sz w:val="27"/>
                <w:szCs w:val="24"/>
                <w:lang w:val="es-ES"/>
              </w:rPr>
              <w:t>NACIONES</w:t>
            </w:r>
            <w:r w:rsidRPr="00C50B51">
              <w:rPr>
                <w:rFonts w:ascii="Arial" w:hAnsi="Arial"/>
                <w:b/>
                <w:noProof/>
                <w:sz w:val="27"/>
                <w:szCs w:val="24"/>
                <w:lang w:val="es-ES"/>
              </w:rPr>
              <w:br/>
              <w:t>UNIDAS</w:t>
            </w:r>
          </w:p>
        </w:tc>
        <w:tc>
          <w:tcPr>
            <w:tcW w:w="5100" w:type="dxa"/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3012" w:type="dxa"/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C278D6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194D87" w:rsidRPr="00C278D6" w:rsidTr="0039402D">
        <w:trPr>
          <w:cantSplit/>
          <w:trHeight w:val="281"/>
        </w:trPr>
        <w:tc>
          <w:tcPr>
            <w:tcW w:w="1668" w:type="dxa"/>
            <w:tcBorders>
              <w:bottom w:val="single" w:sz="4" w:space="0" w:color="auto"/>
            </w:tcBorders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s-ES" w:eastAsia="ja-JP"/>
              </w:rPr>
            </w:pPr>
            <w:r w:rsidRPr="00C278D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IPBES</w:t>
            </w:r>
            <w:r w:rsidRPr="00C278D6">
              <w:rPr>
                <w:rFonts w:ascii="Times New Roman" w:hAnsi="Times New Roman"/>
                <w:sz w:val="20"/>
                <w:szCs w:val="20"/>
                <w:lang w:val="es-ES"/>
              </w:rPr>
              <w:t>/</w:t>
            </w:r>
            <w:r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2/1</w:t>
            </w:r>
            <w:r w:rsidR="0058068F"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6/Add.</w:t>
            </w:r>
            <w:r w:rsidR="00D36134"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8</w:t>
            </w:r>
          </w:p>
        </w:tc>
      </w:tr>
      <w:tr w:rsidR="00194D87" w:rsidRPr="00C278D6" w:rsidTr="0039402D">
        <w:trPr>
          <w:cantSplit/>
          <w:trHeight w:val="2549"/>
        </w:trPr>
        <w:tc>
          <w:tcPr>
            <w:tcW w:w="1668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noProof/>
                <w:lang w:val="es-ES"/>
              </w:rPr>
            </w:pPr>
            <w:r w:rsidRPr="00C278D6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 fillcolor="window">
                  <v:imagedata r:id="rId9" o:title=""/>
                </v:shape>
                <o:OLEObject Type="Embed" ProgID="Word.Picture.8" ShapeID="_x0000_i1025" DrawAspect="Content" ObjectID="_1446632810" r:id="rId10"/>
              </w:object>
            </w:r>
            <w:r w:rsidR="007D4237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C278D6" w:rsidRDefault="0039402D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400" w:line="240" w:lineRule="auto"/>
              <w:rPr>
                <w:rFonts w:ascii="Univers" w:hAnsi="Univers"/>
                <w:b/>
                <w:sz w:val="28"/>
                <w:lang w:val="es-ES"/>
              </w:rPr>
            </w:pPr>
            <w:r w:rsidRPr="006E6479">
              <w:rPr>
                <w:rFonts w:ascii="Univers" w:hAnsi="Univers"/>
                <w:b/>
                <w:sz w:val="32"/>
                <w:lang w:val="es-ES"/>
              </w:rPr>
              <w:t xml:space="preserve">Programa de las </w:t>
            </w:r>
            <w:r w:rsidRPr="006E6479">
              <w:rPr>
                <w:rFonts w:ascii="Univers" w:hAnsi="Univers"/>
                <w:b/>
                <w:sz w:val="32"/>
                <w:lang w:val="es-ES"/>
              </w:rPr>
              <w:br/>
              <w:t xml:space="preserve">Naciones Unidas </w:t>
            </w:r>
            <w:r w:rsidRPr="006E6479">
              <w:rPr>
                <w:rFonts w:ascii="Univers" w:hAnsi="Univers"/>
                <w:b/>
                <w:sz w:val="32"/>
                <w:lang w:val="es-ES"/>
              </w:rPr>
              <w:br/>
              <w:t>para el Medio Ambiente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es-ES" w:eastAsia="ja-JP"/>
              </w:rPr>
            </w:pPr>
            <w:r w:rsidRPr="00C278D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Distr. </w:t>
            </w:r>
            <w:r w:rsidR="00424864" w:rsidRPr="00C278D6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C278D6">
              <w:rPr>
                <w:rFonts w:ascii="Times New Roman" w:hAnsi="Times New Roman"/>
                <w:sz w:val="20"/>
                <w:szCs w:val="20"/>
                <w:lang w:val="es-ES"/>
              </w:rPr>
              <w:t>eneral</w:t>
            </w:r>
            <w:r w:rsidR="00870972" w:rsidRPr="00C278D6">
              <w:rPr>
                <w:rFonts w:ascii="Times New Roman" w:hAnsi="Times New Roman"/>
                <w:sz w:val="20"/>
                <w:szCs w:val="20"/>
                <w:lang w:val="es-ES"/>
              </w:rPr>
              <w:br/>
            </w:r>
            <w:r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2</w:t>
            </w:r>
            <w:r w:rsidR="00D36134"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4</w:t>
            </w:r>
            <w:r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 xml:space="preserve"> </w:t>
            </w:r>
            <w:r w:rsidR="00424864"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de octubre de</w:t>
            </w:r>
            <w:r w:rsidR="00D11D69"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 xml:space="preserve"> </w:t>
            </w:r>
            <w:r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2013</w:t>
            </w:r>
          </w:p>
          <w:p w:rsidR="00424864" w:rsidRPr="00C278D6" w:rsidRDefault="00424864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78D6">
              <w:rPr>
                <w:rFonts w:ascii="Times New Roman" w:hAnsi="Times New Roman"/>
                <w:sz w:val="20"/>
                <w:szCs w:val="20"/>
                <w:lang w:val="es-ES" w:eastAsia="ja-JP"/>
              </w:rPr>
              <w:t>Español</w:t>
            </w:r>
          </w:p>
          <w:p w:rsidR="00194D87" w:rsidRPr="00C278D6" w:rsidRDefault="00194D87" w:rsidP="003A68E7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C278D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Original: </w:t>
            </w:r>
            <w:r w:rsidR="00424864" w:rsidRPr="00C278D6">
              <w:rPr>
                <w:rFonts w:ascii="Times New Roman" w:hAnsi="Times New Roman"/>
                <w:sz w:val="20"/>
                <w:szCs w:val="20"/>
                <w:lang w:val="es-ES"/>
              </w:rPr>
              <w:t>inglés</w:t>
            </w:r>
            <w:r w:rsidRPr="00C278D6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424864" w:rsidRPr="00C278D6" w:rsidRDefault="00BC0015" w:rsidP="003A68E7">
      <w:pPr>
        <w:pStyle w:val="AATitle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outlineLvl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Plenario de la Plataforma Intergubernamental Científico-normativa sobre D</w:t>
      </w:r>
      <w:r w:rsidR="00424864" w:rsidRPr="00C278D6">
        <w:rPr>
          <w:sz w:val="20"/>
          <w:szCs w:val="20"/>
          <w:lang w:val="es-ES"/>
        </w:rPr>
        <w:t xml:space="preserve">iversidad </w:t>
      </w:r>
      <w:r>
        <w:rPr>
          <w:sz w:val="20"/>
          <w:szCs w:val="20"/>
          <w:lang w:val="es-ES"/>
        </w:rPr>
        <w:t>B</w:t>
      </w:r>
      <w:r w:rsidR="00424864" w:rsidRPr="00C278D6">
        <w:rPr>
          <w:sz w:val="20"/>
          <w:szCs w:val="20"/>
          <w:lang w:val="es-ES"/>
        </w:rPr>
        <w:t xml:space="preserve">iológica y </w:t>
      </w:r>
      <w:r>
        <w:rPr>
          <w:sz w:val="20"/>
          <w:szCs w:val="20"/>
          <w:lang w:val="es-ES"/>
        </w:rPr>
        <w:t>S</w:t>
      </w:r>
      <w:r w:rsidR="00424864" w:rsidRPr="00C278D6">
        <w:rPr>
          <w:sz w:val="20"/>
          <w:szCs w:val="20"/>
          <w:lang w:val="es-ES"/>
        </w:rPr>
        <w:t>er</w:t>
      </w:r>
      <w:r>
        <w:rPr>
          <w:sz w:val="20"/>
          <w:szCs w:val="20"/>
          <w:lang w:val="es-ES"/>
        </w:rPr>
        <w:t>vicios de los E</w:t>
      </w:r>
      <w:r w:rsidR="00424864" w:rsidRPr="00C278D6">
        <w:rPr>
          <w:sz w:val="20"/>
          <w:szCs w:val="20"/>
          <w:lang w:val="es-ES"/>
        </w:rPr>
        <w:t>cosistemas</w:t>
      </w:r>
    </w:p>
    <w:p w:rsidR="00424864" w:rsidRPr="00C278D6" w:rsidRDefault="00424864" w:rsidP="003A68E7">
      <w:pPr>
        <w:pStyle w:val="AATitle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outlineLvl w:val="0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Segundo período de sesiones</w:t>
      </w:r>
    </w:p>
    <w:p w:rsidR="00424864" w:rsidRPr="00C278D6" w:rsidRDefault="00424864" w:rsidP="003A68E7">
      <w:pPr>
        <w:pStyle w:val="AATitle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outlineLvl w:val="0"/>
        <w:rPr>
          <w:b w:val="0"/>
          <w:sz w:val="20"/>
          <w:szCs w:val="20"/>
          <w:lang w:val="es-ES"/>
        </w:rPr>
      </w:pPr>
      <w:r w:rsidRPr="00C278D6">
        <w:rPr>
          <w:b w:val="0"/>
          <w:sz w:val="20"/>
          <w:szCs w:val="20"/>
          <w:lang w:val="es-ES"/>
        </w:rPr>
        <w:t xml:space="preserve">Antalya (Turquía), 9 a 14 de diciembre de 2013 </w:t>
      </w:r>
    </w:p>
    <w:p w:rsidR="00D27251" w:rsidRPr="00C278D6" w:rsidRDefault="00424864" w:rsidP="003A68E7">
      <w:pPr>
        <w:pStyle w:val="AATitle"/>
        <w:keepNext w:val="0"/>
        <w:keepLines w:val="0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</w:tabs>
        <w:outlineLvl w:val="0"/>
        <w:rPr>
          <w:b w:val="0"/>
          <w:sz w:val="20"/>
          <w:szCs w:val="20"/>
          <w:lang w:val="es-ES" w:eastAsia="ja-JP"/>
        </w:rPr>
      </w:pPr>
      <w:r w:rsidRPr="00C278D6">
        <w:rPr>
          <w:b w:val="0"/>
          <w:sz w:val="20"/>
          <w:szCs w:val="20"/>
          <w:lang w:val="es-ES" w:eastAsia="ja-JP"/>
        </w:rPr>
        <w:t>Tema</w:t>
      </w:r>
      <w:r w:rsidR="00D27251" w:rsidRPr="00C278D6">
        <w:rPr>
          <w:b w:val="0"/>
          <w:sz w:val="20"/>
          <w:szCs w:val="20"/>
          <w:lang w:val="es-ES" w:eastAsia="ja-JP"/>
        </w:rPr>
        <w:t xml:space="preserve"> 4 a) </w:t>
      </w:r>
      <w:r w:rsidRPr="00C278D6">
        <w:rPr>
          <w:b w:val="0"/>
          <w:sz w:val="20"/>
          <w:szCs w:val="20"/>
          <w:lang w:val="es-ES" w:eastAsia="ja-JP"/>
        </w:rPr>
        <w:t>del programa</w:t>
      </w:r>
      <w:r w:rsidR="00D27251" w:rsidRPr="00C278D6">
        <w:rPr>
          <w:b w:val="0"/>
          <w:sz w:val="20"/>
          <w:szCs w:val="20"/>
          <w:lang w:val="es-ES" w:eastAsia="ja-JP"/>
        </w:rPr>
        <w:t xml:space="preserve"> provisional</w:t>
      </w:r>
      <w:r w:rsidR="00D27251" w:rsidRPr="00C278D6">
        <w:rPr>
          <w:rStyle w:val="FootnoteReference"/>
          <w:b w:val="0"/>
          <w:szCs w:val="20"/>
          <w:lang w:val="es-ES" w:eastAsia="ja-JP"/>
        </w:rPr>
        <w:footnoteReference w:customMarkFollows="1" w:id="1"/>
        <w:sym w:font="Symbol" w:char="F02A"/>
      </w:r>
    </w:p>
    <w:p w:rsidR="00424864" w:rsidRPr="00C278D6" w:rsidRDefault="00424864" w:rsidP="003A68E7">
      <w:pPr>
        <w:pStyle w:val="AATitle2"/>
        <w:spacing w:before="60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Programa de trabajo inicial de la Plataforma</w:t>
      </w:r>
      <w:r w:rsidR="00D27251" w:rsidRPr="00C278D6">
        <w:rPr>
          <w:sz w:val="20"/>
          <w:szCs w:val="20"/>
          <w:lang w:val="es-ES"/>
        </w:rPr>
        <w:t xml:space="preserve">: </w:t>
      </w:r>
      <w:r w:rsidR="0088054F" w:rsidRPr="00C278D6">
        <w:rPr>
          <w:sz w:val="20"/>
          <w:szCs w:val="20"/>
          <w:lang w:val="es-ES"/>
        </w:rPr>
        <w:br/>
      </w:r>
      <w:r w:rsidRPr="00C278D6">
        <w:rPr>
          <w:sz w:val="20"/>
          <w:szCs w:val="20"/>
          <w:lang w:val="es-ES"/>
        </w:rPr>
        <w:t>programa de trabajo de la Plataforma 2014-2018</w:t>
      </w:r>
    </w:p>
    <w:p w:rsidR="00D11D69" w:rsidRPr="00C278D6" w:rsidRDefault="00BC0015" w:rsidP="003A68E7">
      <w:pPr>
        <w:pStyle w:val="BBTitle"/>
        <w:rPr>
          <w:lang w:val="es-ES"/>
        </w:rPr>
      </w:pPr>
      <w:r>
        <w:rPr>
          <w:lang w:val="es-ES"/>
        </w:rPr>
        <w:t>Análisis inicial de</w:t>
      </w:r>
      <w:r w:rsidR="00424864" w:rsidRPr="00C278D6">
        <w:rPr>
          <w:lang w:val="es-ES"/>
        </w:rPr>
        <w:t xml:space="preserve"> la evaluación temática de especies migratorias</w:t>
      </w:r>
    </w:p>
    <w:p w:rsidR="0088054F" w:rsidRPr="00C278D6" w:rsidRDefault="00641714" w:rsidP="003A68E7">
      <w:pPr>
        <w:pStyle w:val="CH2"/>
        <w:rPr>
          <w:lang w:val="es-ES"/>
        </w:rPr>
      </w:pPr>
      <w:r w:rsidRPr="00C278D6">
        <w:rPr>
          <w:lang w:val="es-ES"/>
        </w:rPr>
        <w:tab/>
      </w:r>
      <w:r w:rsidRPr="00C278D6">
        <w:rPr>
          <w:lang w:val="es-ES"/>
        </w:rPr>
        <w:tab/>
      </w:r>
      <w:r w:rsidR="0088054F" w:rsidRPr="00C278D6">
        <w:rPr>
          <w:lang w:val="es-ES"/>
        </w:rPr>
        <w:t>Not</w:t>
      </w:r>
      <w:r w:rsidR="00424864" w:rsidRPr="00C278D6">
        <w:rPr>
          <w:lang w:val="es-ES"/>
        </w:rPr>
        <w:t>a</w:t>
      </w:r>
      <w:r w:rsidR="0088054F" w:rsidRPr="00C278D6">
        <w:rPr>
          <w:lang w:val="es-ES"/>
        </w:rPr>
        <w:t xml:space="preserve"> </w:t>
      </w:r>
      <w:r w:rsidR="00424864" w:rsidRPr="00C278D6">
        <w:rPr>
          <w:lang w:val="es-ES"/>
        </w:rPr>
        <w:t xml:space="preserve">de la </w:t>
      </w:r>
      <w:r w:rsidR="0088054F" w:rsidRPr="00C278D6">
        <w:rPr>
          <w:lang w:val="es-ES"/>
        </w:rPr>
        <w:t>secretar</w:t>
      </w:r>
      <w:r w:rsidR="00424864" w:rsidRPr="00C278D6">
        <w:rPr>
          <w:lang w:val="es-ES"/>
        </w:rPr>
        <w:t>ía</w:t>
      </w:r>
    </w:p>
    <w:p w:rsidR="0088054F" w:rsidRPr="00C278D6" w:rsidRDefault="00641714" w:rsidP="003A68E7">
      <w:pPr>
        <w:pStyle w:val="CH1"/>
        <w:rPr>
          <w:lang w:val="es-ES"/>
        </w:rPr>
      </w:pPr>
      <w:r w:rsidRPr="00C278D6">
        <w:rPr>
          <w:lang w:val="es-ES"/>
        </w:rPr>
        <w:tab/>
        <w:t>I.</w:t>
      </w:r>
      <w:r w:rsidRPr="00C278D6">
        <w:rPr>
          <w:lang w:val="es-ES"/>
        </w:rPr>
        <w:tab/>
      </w:r>
      <w:r w:rsidR="0088054F" w:rsidRPr="00C278D6">
        <w:rPr>
          <w:lang w:val="es-ES"/>
        </w:rPr>
        <w:t>Introduc</w:t>
      </w:r>
      <w:r w:rsidR="00424864" w:rsidRPr="00C278D6">
        <w:rPr>
          <w:lang w:val="es-ES"/>
        </w:rPr>
        <w:t>ción</w:t>
      </w:r>
    </w:p>
    <w:p w:rsidR="0088054F" w:rsidRPr="00C278D6" w:rsidRDefault="001B0DB9" w:rsidP="003A68E7">
      <w:pPr>
        <w:pStyle w:val="Normalnumber"/>
        <w:rPr>
          <w:sz w:val="20"/>
          <w:szCs w:val="20"/>
          <w:lang w:val="es-ES"/>
        </w:rPr>
      </w:pPr>
      <w:r w:rsidRPr="00082746">
        <w:rPr>
          <w:sz w:val="20"/>
          <w:szCs w:val="20"/>
          <w:lang w:val="es-ES"/>
        </w:rPr>
        <w:t xml:space="preserve">Reconociendo que sería necesario </w:t>
      </w:r>
      <w:r>
        <w:rPr>
          <w:sz w:val="20"/>
          <w:szCs w:val="20"/>
          <w:lang w:val="es-ES"/>
        </w:rPr>
        <w:t>seguir adelante con el</w:t>
      </w:r>
      <w:r w:rsidRPr="00082746">
        <w:rPr>
          <w:sz w:val="20"/>
          <w:szCs w:val="20"/>
          <w:lang w:val="es-ES"/>
        </w:rPr>
        <w:t xml:space="preserve"> programa de trabajo para 2014‒2018 tras su aprobación por el Plenario de la Plataforma Intergubernamental Científico-normativa sobre Diversidad Biológica y Servicios de los Ecosistemas en su segundo período de sesiones, la Mesa y el Grupo multidisciplinario de expertos convinieron en preparar, para </w:t>
      </w:r>
      <w:r>
        <w:rPr>
          <w:sz w:val="20"/>
          <w:szCs w:val="20"/>
          <w:lang w:val="es-ES"/>
        </w:rPr>
        <w:t xml:space="preserve">su examen </w:t>
      </w:r>
      <w:r w:rsidRPr="00082746">
        <w:rPr>
          <w:sz w:val="20"/>
          <w:szCs w:val="20"/>
          <w:lang w:val="es-ES"/>
        </w:rPr>
        <w:t xml:space="preserve">por el Plenario en </w:t>
      </w:r>
      <w:r w:rsidR="00DA475F">
        <w:rPr>
          <w:sz w:val="20"/>
          <w:szCs w:val="20"/>
          <w:lang w:val="es-ES"/>
        </w:rPr>
        <w:t xml:space="preserve">ese </w:t>
      </w:r>
      <w:r w:rsidRPr="00082746">
        <w:rPr>
          <w:sz w:val="20"/>
          <w:szCs w:val="20"/>
          <w:lang w:val="es-ES"/>
        </w:rPr>
        <w:t>período de sesiones, varios documentos de análisis preliminar sobre la base de la priorización de solicitudes, sugerencias y aportaciones formuladas a la Plataforma y los productos previstos que figuraban en el proyecto de programa de trabajo para el período 2014–2018 (IPBES/2/2). En la presente nota, elaborada de conformidad con el proyecto de procedimientos para la preparación de productos previstos de la Plataforma (IPBES/2/9), se presenta el análisis preliminar para la evaluación temática de especies migratorias propuesta.</w:t>
      </w:r>
      <w:r w:rsidR="00516A5D">
        <w:rPr>
          <w:sz w:val="20"/>
          <w:szCs w:val="20"/>
          <w:lang w:val="es-ES"/>
        </w:rPr>
        <w:t xml:space="preserve"> </w:t>
      </w:r>
    </w:p>
    <w:p w:rsidR="00D36134" w:rsidRPr="00C278D6" w:rsidRDefault="00D36134" w:rsidP="003A68E7">
      <w:pPr>
        <w:pStyle w:val="CH1"/>
        <w:rPr>
          <w:lang w:val="es-ES"/>
        </w:rPr>
      </w:pPr>
      <w:r w:rsidRPr="00C278D6">
        <w:rPr>
          <w:lang w:val="es-ES"/>
        </w:rPr>
        <w:tab/>
        <w:t>I</w:t>
      </w:r>
      <w:r w:rsidR="0088054F" w:rsidRPr="00C278D6">
        <w:rPr>
          <w:lang w:val="es-ES"/>
        </w:rPr>
        <w:t>I.</w:t>
      </w:r>
      <w:r w:rsidRPr="00C278D6">
        <w:rPr>
          <w:lang w:val="es-ES"/>
        </w:rPr>
        <w:tab/>
      </w:r>
      <w:r w:rsidR="00507945">
        <w:rPr>
          <w:lang w:val="es-ES"/>
        </w:rPr>
        <w:t>Ámbito</w:t>
      </w:r>
      <w:r w:rsidR="00424864" w:rsidRPr="00C278D6">
        <w:rPr>
          <w:lang w:val="es-ES"/>
        </w:rPr>
        <w:t>, fundamento</w:t>
      </w:r>
      <w:r w:rsidR="00BC0015">
        <w:rPr>
          <w:lang w:val="es-ES"/>
        </w:rPr>
        <w:t xml:space="preserve"> y</w:t>
      </w:r>
      <w:r w:rsidR="00424864" w:rsidRPr="00C278D6">
        <w:rPr>
          <w:lang w:val="es-ES"/>
        </w:rPr>
        <w:t xml:space="preserve"> utilidad</w:t>
      </w:r>
    </w:p>
    <w:p w:rsidR="00D36134" w:rsidRPr="00C278D6" w:rsidRDefault="00D36134" w:rsidP="003A68E7">
      <w:pPr>
        <w:pStyle w:val="CH2"/>
        <w:rPr>
          <w:lang w:val="es-ES"/>
        </w:rPr>
      </w:pPr>
      <w:r w:rsidRPr="00C278D6">
        <w:rPr>
          <w:lang w:val="es-ES"/>
        </w:rPr>
        <w:tab/>
        <w:t>A.</w:t>
      </w:r>
      <w:r w:rsidRPr="00C278D6">
        <w:rPr>
          <w:lang w:val="es-ES"/>
        </w:rPr>
        <w:tab/>
      </w:r>
      <w:r w:rsidR="00507945">
        <w:rPr>
          <w:lang w:val="es-ES"/>
        </w:rPr>
        <w:t>Ámbito</w:t>
      </w:r>
    </w:p>
    <w:p w:rsidR="00D36134" w:rsidRPr="00DD2FF2" w:rsidRDefault="00DA475F" w:rsidP="003A68E7">
      <w:pPr>
        <w:pStyle w:val="Normalnumber"/>
        <w:rPr>
          <w:sz w:val="20"/>
          <w:szCs w:val="20"/>
          <w:lang w:val="es-ES"/>
        </w:rPr>
      </w:pPr>
      <w:r w:rsidRPr="00A47667">
        <w:rPr>
          <w:sz w:val="20"/>
          <w:szCs w:val="20"/>
          <w:lang w:val="es-ES_tradnl"/>
        </w:rPr>
        <w:t>L</w:t>
      </w:r>
      <w:r w:rsidRPr="00082746">
        <w:rPr>
          <w:sz w:val="20"/>
          <w:szCs w:val="20"/>
          <w:lang w:val="es-ES"/>
        </w:rPr>
        <w:t xml:space="preserve">a evaluación propuesta </w:t>
      </w:r>
      <w:r>
        <w:rPr>
          <w:sz w:val="20"/>
          <w:szCs w:val="20"/>
          <w:lang w:val="es-ES"/>
        </w:rPr>
        <w:t xml:space="preserve">determinaría </w:t>
      </w:r>
      <w:r w:rsidRPr="00082746">
        <w:rPr>
          <w:sz w:val="20"/>
          <w:szCs w:val="20"/>
          <w:lang w:val="es-ES"/>
        </w:rPr>
        <w:t xml:space="preserve">el estado de los conocimientos </w:t>
      </w:r>
      <w:r>
        <w:rPr>
          <w:sz w:val="20"/>
          <w:szCs w:val="20"/>
          <w:lang w:val="es-ES"/>
        </w:rPr>
        <w:t xml:space="preserve">relacionados con los principales aspectos de </w:t>
      </w:r>
      <w:r w:rsidRPr="00082746">
        <w:rPr>
          <w:sz w:val="20"/>
          <w:szCs w:val="20"/>
          <w:lang w:val="es-ES"/>
        </w:rPr>
        <w:t>la conservación y el uso sostenible de las especies migratorias</w:t>
      </w:r>
      <w:r w:rsidR="00D36134" w:rsidRPr="00DD2FF2">
        <w:rPr>
          <w:sz w:val="20"/>
          <w:szCs w:val="20"/>
          <w:lang w:val="es-ES"/>
        </w:rPr>
        <w:t xml:space="preserve">. </w:t>
      </w:r>
    </w:p>
    <w:p w:rsidR="00D36134" w:rsidRPr="00C278D6" w:rsidRDefault="00D36134" w:rsidP="003A68E7">
      <w:pPr>
        <w:pStyle w:val="CH2"/>
        <w:rPr>
          <w:lang w:val="es-ES"/>
        </w:rPr>
      </w:pPr>
      <w:r w:rsidRPr="00DD2FF2">
        <w:rPr>
          <w:lang w:val="es-ES"/>
        </w:rPr>
        <w:tab/>
      </w:r>
      <w:r w:rsidRPr="00C278D6">
        <w:rPr>
          <w:lang w:val="es-ES"/>
        </w:rPr>
        <w:t>B.</w:t>
      </w:r>
      <w:r w:rsidRPr="00C278D6">
        <w:rPr>
          <w:lang w:val="es-ES"/>
        </w:rPr>
        <w:tab/>
      </w:r>
      <w:r w:rsidR="00424864" w:rsidRPr="00C278D6">
        <w:rPr>
          <w:lang w:val="es-ES"/>
        </w:rPr>
        <w:t>Fundamento</w:t>
      </w:r>
    </w:p>
    <w:p w:rsidR="00D36134" w:rsidRPr="00DD2FF2" w:rsidRDefault="008844E0" w:rsidP="003A68E7">
      <w:pPr>
        <w:pStyle w:val="Normalnumber"/>
        <w:rPr>
          <w:lang w:val="es-ES"/>
        </w:rPr>
      </w:pPr>
      <w:r w:rsidRPr="00082746">
        <w:rPr>
          <w:sz w:val="20"/>
          <w:szCs w:val="20"/>
          <w:lang w:val="es-ES"/>
        </w:rPr>
        <w:t xml:space="preserve">Las especies migratorias de animales silvestres son componentes esenciales de los ecosistemas que sustentan la vida en la Tierra. A menudo son especies clave que estructuran y conectan los ecosistemas. Son también un recurso natural de gran valor, que ofrecen una amplia gama de servicios de aprovisionamiento, apoyo, regulación y culturales de los ecosistemas de los que todos dependemos. Estos servicios de los ecosistemas incluyen la provisión de alimentos, semillas y dispersión de </w:t>
      </w:r>
      <w:r>
        <w:rPr>
          <w:sz w:val="20"/>
          <w:szCs w:val="20"/>
          <w:lang w:val="es-ES"/>
        </w:rPr>
        <w:t xml:space="preserve">los </w:t>
      </w:r>
      <w:r w:rsidRPr="00082746">
        <w:rPr>
          <w:sz w:val="20"/>
          <w:szCs w:val="20"/>
          <w:lang w:val="es-ES"/>
        </w:rPr>
        <w:t xml:space="preserve">nutrientes, la polinización y la inspiración cultural, intelectual y espiritual. Las especies migratorias </w:t>
      </w:r>
      <w:r>
        <w:rPr>
          <w:sz w:val="20"/>
          <w:szCs w:val="20"/>
          <w:lang w:val="es-ES"/>
        </w:rPr>
        <w:t xml:space="preserve">desempeñan una </w:t>
      </w:r>
      <w:r w:rsidRPr="00082746">
        <w:rPr>
          <w:sz w:val="20"/>
          <w:szCs w:val="20"/>
          <w:lang w:val="es-ES"/>
        </w:rPr>
        <w:t xml:space="preserve">importante </w:t>
      </w:r>
      <w:r>
        <w:rPr>
          <w:sz w:val="20"/>
          <w:szCs w:val="20"/>
          <w:lang w:val="es-ES"/>
        </w:rPr>
        <w:t xml:space="preserve">función </w:t>
      </w:r>
      <w:r w:rsidRPr="00082746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 xml:space="preserve">en los medios de subsistencia </w:t>
      </w:r>
      <w:r w:rsidRPr="00082746">
        <w:rPr>
          <w:sz w:val="20"/>
          <w:szCs w:val="20"/>
          <w:lang w:val="es-ES"/>
        </w:rPr>
        <w:t xml:space="preserve">de las personas y </w:t>
      </w:r>
      <w:r>
        <w:rPr>
          <w:sz w:val="20"/>
          <w:szCs w:val="20"/>
          <w:lang w:val="es-ES"/>
        </w:rPr>
        <w:t xml:space="preserve">en </w:t>
      </w:r>
      <w:r w:rsidRPr="00082746">
        <w:rPr>
          <w:sz w:val="20"/>
          <w:szCs w:val="20"/>
          <w:lang w:val="es-ES"/>
        </w:rPr>
        <w:t>las economías locales, nacionales y regionales</w:t>
      </w:r>
      <w:r w:rsidR="00DD2FF2">
        <w:rPr>
          <w:sz w:val="20"/>
          <w:szCs w:val="20"/>
          <w:lang w:val="es-ES"/>
        </w:rPr>
        <w:t>.</w:t>
      </w:r>
      <w:r w:rsidR="00D36134" w:rsidRPr="00DD2FF2">
        <w:rPr>
          <w:lang w:val="es-ES"/>
        </w:rPr>
        <w:t xml:space="preserve"> </w:t>
      </w:r>
    </w:p>
    <w:p w:rsidR="00D36134" w:rsidRPr="00DD2FF2" w:rsidRDefault="008844E0" w:rsidP="003A68E7">
      <w:pPr>
        <w:pStyle w:val="Normalnumber"/>
        <w:rPr>
          <w:sz w:val="20"/>
          <w:szCs w:val="20"/>
          <w:lang w:val="es-ES"/>
        </w:rPr>
      </w:pPr>
      <w:r w:rsidRPr="00082746">
        <w:rPr>
          <w:sz w:val="20"/>
          <w:szCs w:val="20"/>
          <w:lang w:val="es-ES"/>
        </w:rPr>
        <w:lastRenderedPageBreak/>
        <w:t xml:space="preserve">Al mismo tiempo, las especies migratorias son extremadamente vulnerables como resultado de sus largas migraciones, las cuales implican muchos riesgos. </w:t>
      </w:r>
      <w:r>
        <w:rPr>
          <w:sz w:val="20"/>
          <w:szCs w:val="20"/>
          <w:lang w:val="es-ES"/>
        </w:rPr>
        <w:t xml:space="preserve">En </w:t>
      </w:r>
      <w:r w:rsidRPr="00082746">
        <w:rPr>
          <w:sz w:val="20"/>
          <w:szCs w:val="20"/>
          <w:lang w:val="es-ES"/>
        </w:rPr>
        <w:t>promedio, están expuestas a mayor número y variedad de amenazas que las especies no migratorias ya que sus necesidades son mayores</w:t>
      </w:r>
      <w:r>
        <w:rPr>
          <w:sz w:val="20"/>
          <w:szCs w:val="20"/>
          <w:lang w:val="es-ES"/>
        </w:rPr>
        <w:t>:</w:t>
      </w:r>
      <w:r w:rsidRPr="00082746">
        <w:rPr>
          <w:sz w:val="20"/>
          <w:szCs w:val="20"/>
          <w:lang w:val="es-ES"/>
        </w:rPr>
        <w:t xml:space="preserve"> necesitan un hábitat favorable no sólo para la reproducción, sino también fuera de temporada y </w:t>
      </w:r>
      <w:r>
        <w:rPr>
          <w:sz w:val="20"/>
          <w:szCs w:val="20"/>
          <w:lang w:val="es-ES"/>
        </w:rPr>
        <w:t xml:space="preserve">a </w:t>
      </w:r>
      <w:r w:rsidRPr="00082746">
        <w:rPr>
          <w:sz w:val="20"/>
          <w:szCs w:val="20"/>
          <w:lang w:val="es-ES"/>
        </w:rPr>
        <w:t xml:space="preserve">lo largo de sus rutas migratorias. En un mundo en constante cambio, algunos de </w:t>
      </w:r>
      <w:r>
        <w:rPr>
          <w:sz w:val="20"/>
          <w:szCs w:val="20"/>
          <w:lang w:val="es-ES"/>
        </w:rPr>
        <w:t xml:space="preserve">esos </w:t>
      </w:r>
      <w:r w:rsidRPr="00082746">
        <w:rPr>
          <w:sz w:val="20"/>
          <w:szCs w:val="20"/>
          <w:lang w:val="es-ES"/>
        </w:rPr>
        <w:t>hábitats y, con frecuencia, también los propios animales</w:t>
      </w:r>
      <w:r>
        <w:rPr>
          <w:sz w:val="20"/>
          <w:szCs w:val="20"/>
          <w:lang w:val="es-ES"/>
        </w:rPr>
        <w:t xml:space="preserve"> están sometidos a una gran presión de los seres humanos</w:t>
      </w:r>
      <w:r w:rsidRPr="00082746">
        <w:rPr>
          <w:sz w:val="20"/>
          <w:szCs w:val="20"/>
          <w:lang w:val="es-ES"/>
        </w:rPr>
        <w:t xml:space="preserve"> debido</w:t>
      </w:r>
      <w:r>
        <w:rPr>
          <w:sz w:val="20"/>
          <w:szCs w:val="20"/>
          <w:lang w:val="es-ES"/>
        </w:rPr>
        <w:t>, por ejemplo,</w:t>
      </w:r>
      <w:r w:rsidRPr="00082746">
        <w:rPr>
          <w:sz w:val="20"/>
          <w:szCs w:val="20"/>
          <w:lang w:val="es-ES"/>
        </w:rPr>
        <w:t xml:space="preserve"> a la caza </w:t>
      </w:r>
      <w:r>
        <w:rPr>
          <w:sz w:val="20"/>
          <w:szCs w:val="20"/>
          <w:lang w:val="es-ES"/>
        </w:rPr>
        <w:t>in</w:t>
      </w:r>
      <w:r w:rsidRPr="00082746">
        <w:rPr>
          <w:sz w:val="20"/>
          <w:szCs w:val="20"/>
          <w:lang w:val="es-ES"/>
        </w:rPr>
        <w:t xml:space="preserve">sostenible y </w:t>
      </w:r>
      <w:r>
        <w:rPr>
          <w:sz w:val="20"/>
          <w:szCs w:val="20"/>
          <w:lang w:val="es-ES"/>
        </w:rPr>
        <w:t xml:space="preserve">a </w:t>
      </w:r>
      <w:r w:rsidRPr="00082746">
        <w:rPr>
          <w:sz w:val="20"/>
          <w:szCs w:val="20"/>
          <w:lang w:val="es-ES"/>
        </w:rPr>
        <w:t xml:space="preserve">la captura incidental, </w:t>
      </w:r>
      <w:r>
        <w:rPr>
          <w:sz w:val="20"/>
          <w:szCs w:val="20"/>
          <w:lang w:val="es-ES"/>
        </w:rPr>
        <w:t xml:space="preserve">de ahí que </w:t>
      </w:r>
      <w:r w:rsidRPr="00082746">
        <w:rPr>
          <w:sz w:val="20"/>
          <w:szCs w:val="20"/>
          <w:lang w:val="es-ES"/>
        </w:rPr>
        <w:t xml:space="preserve">muchas especies migratorias que alguna vez fueron comunes </w:t>
      </w:r>
      <w:r>
        <w:rPr>
          <w:sz w:val="20"/>
          <w:szCs w:val="20"/>
          <w:lang w:val="es-ES"/>
        </w:rPr>
        <w:t xml:space="preserve">escaseen </w:t>
      </w:r>
      <w:r w:rsidRPr="00082746">
        <w:rPr>
          <w:sz w:val="20"/>
          <w:szCs w:val="20"/>
          <w:lang w:val="es-ES"/>
        </w:rPr>
        <w:t>cada vez más</w:t>
      </w:r>
      <w:r w:rsidR="00594B10">
        <w:rPr>
          <w:sz w:val="20"/>
          <w:szCs w:val="20"/>
          <w:lang w:val="es-ES"/>
        </w:rPr>
        <w:t>.</w:t>
      </w:r>
    </w:p>
    <w:p w:rsidR="00D36134" w:rsidRPr="00C278D6" w:rsidRDefault="00D36134" w:rsidP="003A68E7">
      <w:pPr>
        <w:pStyle w:val="CH2"/>
        <w:tabs>
          <w:tab w:val="clear" w:pos="851"/>
          <w:tab w:val="right" w:pos="993"/>
        </w:tabs>
        <w:rPr>
          <w:lang w:val="es-ES"/>
        </w:rPr>
      </w:pPr>
      <w:r w:rsidRPr="00C278D6">
        <w:rPr>
          <w:lang w:val="es-ES"/>
        </w:rPr>
        <w:tab/>
        <w:t>C.</w:t>
      </w:r>
      <w:r w:rsidRPr="00C278D6">
        <w:rPr>
          <w:lang w:val="es-ES"/>
        </w:rPr>
        <w:tab/>
        <w:t>Utili</w:t>
      </w:r>
      <w:r w:rsidR="00424864" w:rsidRPr="00C278D6">
        <w:rPr>
          <w:lang w:val="es-ES"/>
        </w:rPr>
        <w:t>dad</w:t>
      </w:r>
    </w:p>
    <w:p w:rsidR="00D36134" w:rsidRPr="00594B10" w:rsidRDefault="008844E0" w:rsidP="003A68E7">
      <w:pPr>
        <w:pStyle w:val="Normalnumber"/>
        <w:rPr>
          <w:sz w:val="20"/>
          <w:szCs w:val="20"/>
          <w:lang w:val="es-ES"/>
        </w:rPr>
      </w:pPr>
      <w:r w:rsidRPr="00082746">
        <w:rPr>
          <w:sz w:val="20"/>
          <w:szCs w:val="20"/>
          <w:lang w:val="es-ES"/>
        </w:rPr>
        <w:t xml:space="preserve">La evaluación </w:t>
      </w:r>
      <w:r>
        <w:rPr>
          <w:sz w:val="20"/>
          <w:szCs w:val="20"/>
          <w:lang w:val="es-ES"/>
        </w:rPr>
        <w:t xml:space="preserve">apoyaría </w:t>
      </w:r>
      <w:r w:rsidRPr="00082746">
        <w:rPr>
          <w:sz w:val="20"/>
          <w:szCs w:val="20"/>
          <w:lang w:val="es-ES"/>
        </w:rPr>
        <w:t xml:space="preserve">la formulación y aplicación de políticas en el marco de la Convención sobre la Conservación de las Especies Migratorias de Animales Silvestres, sus instrumentos conexos y otros acuerdos ambientales multilaterales. </w:t>
      </w:r>
      <w:r>
        <w:rPr>
          <w:sz w:val="20"/>
          <w:szCs w:val="20"/>
          <w:lang w:val="es-ES"/>
        </w:rPr>
        <w:t>C</w:t>
      </w:r>
      <w:r w:rsidRPr="00082746">
        <w:rPr>
          <w:sz w:val="20"/>
          <w:szCs w:val="20"/>
          <w:lang w:val="es-ES"/>
        </w:rPr>
        <w:t xml:space="preserve">ontribuiría a la aplicación del Plan Estratégico para las Especies Migratorias 2015-2023 y el Plan Estratégico para la Diversidad Biológica 2011-2020, </w:t>
      </w:r>
      <w:r>
        <w:rPr>
          <w:sz w:val="20"/>
          <w:szCs w:val="20"/>
          <w:lang w:val="es-ES"/>
        </w:rPr>
        <w:t xml:space="preserve">al </w:t>
      </w:r>
      <w:r w:rsidR="004C20D7">
        <w:rPr>
          <w:sz w:val="20"/>
          <w:szCs w:val="20"/>
          <w:lang w:val="es-ES"/>
        </w:rPr>
        <w:t>proporcionar</w:t>
      </w:r>
      <w:r w:rsidRPr="0008274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los conocimientos científicos </w:t>
      </w:r>
      <w:r w:rsidRPr="00082746">
        <w:rPr>
          <w:sz w:val="20"/>
          <w:szCs w:val="20"/>
          <w:lang w:val="es-ES"/>
        </w:rPr>
        <w:t xml:space="preserve">y la información </w:t>
      </w:r>
      <w:r>
        <w:rPr>
          <w:sz w:val="20"/>
          <w:szCs w:val="20"/>
          <w:lang w:val="es-ES"/>
        </w:rPr>
        <w:t xml:space="preserve">de referencia </w:t>
      </w:r>
      <w:r w:rsidRPr="00082746">
        <w:rPr>
          <w:sz w:val="20"/>
          <w:szCs w:val="20"/>
          <w:lang w:val="es-ES"/>
        </w:rPr>
        <w:t xml:space="preserve">que los </w:t>
      </w:r>
      <w:r>
        <w:rPr>
          <w:sz w:val="20"/>
          <w:szCs w:val="20"/>
          <w:lang w:val="es-ES"/>
        </w:rPr>
        <w:t xml:space="preserve">responsables de formular </w:t>
      </w:r>
      <w:r w:rsidRPr="00082746">
        <w:rPr>
          <w:sz w:val="20"/>
          <w:szCs w:val="20"/>
          <w:lang w:val="es-ES"/>
        </w:rPr>
        <w:t>polític</w:t>
      </w:r>
      <w:r>
        <w:rPr>
          <w:sz w:val="20"/>
          <w:szCs w:val="20"/>
          <w:lang w:val="es-ES"/>
        </w:rPr>
        <w:t>a</w:t>
      </w:r>
      <w:r w:rsidRPr="00082746">
        <w:rPr>
          <w:sz w:val="20"/>
          <w:szCs w:val="20"/>
          <w:lang w:val="es-ES"/>
        </w:rPr>
        <w:t>s necesitan a fin de considerar y comunicar de forma más explícita los impactos de las especies migratorias como vínculos móviles entre los ecosistemas. Cabe señalar que en el marco de la Convención sobre</w:t>
      </w:r>
      <w:r>
        <w:rPr>
          <w:sz w:val="20"/>
          <w:szCs w:val="20"/>
          <w:lang w:val="es-ES"/>
        </w:rPr>
        <w:t xml:space="preserve"> las</w:t>
      </w:r>
      <w:r w:rsidRPr="00082746">
        <w:rPr>
          <w:sz w:val="20"/>
          <w:szCs w:val="20"/>
          <w:lang w:val="es-ES"/>
        </w:rPr>
        <w:t xml:space="preserve"> Especies Migratorias se han llevado a cabo revisiones de los diferentes grupos taxonómicos, en especial mamíferos terrestres, tiburones, tortugas marinas y peces de agua dulce. Sin embargo, no se ha realizado una evaluación general de las especies migratorias.</w:t>
      </w:r>
      <w:r w:rsidR="00D36134" w:rsidRPr="00594B10">
        <w:rPr>
          <w:sz w:val="20"/>
          <w:szCs w:val="20"/>
          <w:lang w:val="es-ES"/>
        </w:rPr>
        <w:t>.</w:t>
      </w:r>
    </w:p>
    <w:p w:rsidR="00D36134" w:rsidRPr="00C278D6" w:rsidRDefault="00C91306" w:rsidP="003A68E7">
      <w:pPr>
        <w:pStyle w:val="CH1"/>
        <w:rPr>
          <w:lang w:val="es-ES"/>
        </w:rPr>
      </w:pPr>
      <w:r w:rsidRPr="00C278D6">
        <w:rPr>
          <w:lang w:val="es-ES"/>
        </w:rPr>
        <w:tab/>
      </w:r>
      <w:r w:rsidR="00D36134" w:rsidRPr="00C278D6">
        <w:rPr>
          <w:lang w:val="es-ES"/>
        </w:rPr>
        <w:t>II</w:t>
      </w:r>
      <w:r w:rsidR="00E83C2F" w:rsidRPr="00C278D6">
        <w:rPr>
          <w:lang w:val="es-ES"/>
        </w:rPr>
        <w:t>I</w:t>
      </w:r>
      <w:r w:rsidR="00D36134" w:rsidRPr="00C278D6">
        <w:rPr>
          <w:lang w:val="es-ES"/>
        </w:rPr>
        <w:t>.</w:t>
      </w:r>
      <w:r w:rsidR="00D36134" w:rsidRPr="00C278D6">
        <w:rPr>
          <w:lang w:val="es-ES"/>
        </w:rPr>
        <w:tab/>
      </w:r>
      <w:r w:rsidR="00BC0015">
        <w:rPr>
          <w:lang w:val="es-ES"/>
        </w:rPr>
        <w:t>Estructura por</w:t>
      </w:r>
      <w:r w:rsidR="00424864" w:rsidRPr="00C278D6">
        <w:rPr>
          <w:lang w:val="es-ES"/>
        </w:rPr>
        <w:t xml:space="preserve"> capítulos</w:t>
      </w:r>
    </w:p>
    <w:p w:rsidR="00E83C2F" w:rsidRPr="00C278D6" w:rsidRDefault="00BC0015" w:rsidP="003A68E7">
      <w:pPr>
        <w:pStyle w:val="Normalnumber"/>
        <w:rPr>
          <w:sz w:val="20"/>
          <w:szCs w:val="20"/>
          <w:lang w:val="es-ES"/>
        </w:rPr>
      </w:pPr>
      <w:r w:rsidRPr="00BC0015">
        <w:rPr>
          <w:sz w:val="20"/>
          <w:szCs w:val="20"/>
          <w:lang w:val="es-ES_tradnl"/>
        </w:rPr>
        <w:t xml:space="preserve">Se prevé que la evaluación temática se presente en un informe que contendrá </w:t>
      </w:r>
      <w:r>
        <w:rPr>
          <w:sz w:val="20"/>
          <w:szCs w:val="20"/>
          <w:lang w:val="es-ES_tradnl"/>
        </w:rPr>
        <w:t>ocho</w:t>
      </w:r>
      <w:r w:rsidRPr="00BC0015">
        <w:rPr>
          <w:sz w:val="20"/>
          <w:szCs w:val="20"/>
          <w:lang w:val="es-ES_tradnl"/>
        </w:rPr>
        <w:t xml:space="preserve"> capítulos, estructurados de la manera siguiente</w:t>
      </w:r>
      <w:r w:rsidR="00E83C2F" w:rsidRPr="00C278D6">
        <w:rPr>
          <w:sz w:val="20"/>
          <w:szCs w:val="20"/>
          <w:lang w:val="es-ES"/>
        </w:rPr>
        <w:t>.</w:t>
      </w:r>
    </w:p>
    <w:p w:rsidR="00D36134" w:rsidRPr="00C278D6" w:rsidRDefault="00D3613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</w:t>
      </w:r>
      <w:r w:rsidR="00424864" w:rsidRPr="00C278D6">
        <w:rPr>
          <w:sz w:val="20"/>
          <w:szCs w:val="20"/>
          <w:lang w:val="es-ES"/>
        </w:rPr>
        <w:t>apítulo</w:t>
      </w:r>
      <w:r w:rsidR="00AC31BB" w:rsidRPr="00C278D6">
        <w:rPr>
          <w:sz w:val="20"/>
          <w:szCs w:val="20"/>
          <w:lang w:val="es-ES"/>
        </w:rPr>
        <w:t xml:space="preserve"> 1.</w:t>
      </w:r>
      <w:r w:rsidR="00E83C2F" w:rsidRPr="00C278D6">
        <w:rPr>
          <w:sz w:val="20"/>
          <w:szCs w:val="20"/>
          <w:lang w:val="es-ES"/>
        </w:rPr>
        <w:t xml:space="preserve"> </w:t>
      </w:r>
      <w:r w:rsidR="00C278D6" w:rsidRPr="00C278D6">
        <w:rPr>
          <w:sz w:val="20"/>
          <w:szCs w:val="20"/>
          <w:lang w:val="es-ES"/>
        </w:rPr>
        <w:t>Introducción</w:t>
      </w:r>
      <w:r w:rsidR="00763B36" w:rsidRPr="00C278D6">
        <w:rPr>
          <w:sz w:val="20"/>
          <w:szCs w:val="20"/>
          <w:lang w:val="es-ES"/>
        </w:rPr>
        <w:t xml:space="preserve"> a las</w:t>
      </w:r>
      <w:r w:rsidR="00C278D6">
        <w:rPr>
          <w:sz w:val="20"/>
          <w:szCs w:val="20"/>
          <w:lang w:val="es-ES"/>
        </w:rPr>
        <w:t xml:space="preserve"> e</w:t>
      </w:r>
      <w:r w:rsidR="00763B36" w:rsidRPr="00C278D6">
        <w:rPr>
          <w:sz w:val="20"/>
          <w:szCs w:val="20"/>
          <w:lang w:val="es-ES"/>
        </w:rPr>
        <w:t>species migratorias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C278D6" w:rsidRDefault="00D36134" w:rsidP="003A68E7">
      <w:pPr>
        <w:pStyle w:val="NormalNonumber"/>
        <w:numPr>
          <w:ilvl w:val="0"/>
          <w:numId w:val="6"/>
        </w:numPr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Defini</w:t>
      </w:r>
      <w:r w:rsidR="00763B36" w:rsidRPr="00C278D6">
        <w:rPr>
          <w:sz w:val="20"/>
          <w:szCs w:val="20"/>
          <w:lang w:val="es-ES"/>
        </w:rPr>
        <w:t>ción de especies migratorias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C91306" w:rsidP="003A68E7">
      <w:pPr>
        <w:pStyle w:val="NormalNonumber"/>
        <w:numPr>
          <w:ilvl w:val="0"/>
          <w:numId w:val="6"/>
        </w:numPr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T</w:t>
      </w:r>
      <w:r w:rsidR="00763B36" w:rsidRPr="00C278D6">
        <w:rPr>
          <w:sz w:val="20"/>
          <w:szCs w:val="20"/>
          <w:lang w:val="es-ES"/>
        </w:rPr>
        <w:t>i</w:t>
      </w:r>
      <w:r w:rsidRPr="00C278D6">
        <w:rPr>
          <w:sz w:val="20"/>
          <w:szCs w:val="20"/>
          <w:lang w:val="es-ES"/>
        </w:rPr>
        <w:t>p</w:t>
      </w:r>
      <w:r w:rsidR="00763B36" w:rsidRPr="00C278D6">
        <w:rPr>
          <w:sz w:val="20"/>
          <w:szCs w:val="20"/>
          <w:lang w:val="es-ES"/>
        </w:rPr>
        <w:t>os de migración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763B36" w:rsidP="003A68E7">
      <w:pPr>
        <w:pStyle w:val="NormalNonumber"/>
        <w:numPr>
          <w:ilvl w:val="0"/>
          <w:numId w:val="6"/>
        </w:numPr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Amenazas a las especies migratorias</w:t>
      </w:r>
      <w:r w:rsidR="00E83C2F" w:rsidRPr="00C278D6">
        <w:rPr>
          <w:sz w:val="20"/>
          <w:szCs w:val="20"/>
          <w:lang w:val="es-ES"/>
        </w:rPr>
        <w:t>.</w:t>
      </w:r>
    </w:p>
    <w:p w:rsidR="00D36134" w:rsidRPr="00C278D6" w:rsidRDefault="00424864" w:rsidP="003A68E7">
      <w:pPr>
        <w:pStyle w:val="Normalnumber"/>
        <w:rPr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D36134" w:rsidRPr="00C278D6">
        <w:rPr>
          <w:sz w:val="20"/>
          <w:szCs w:val="20"/>
          <w:lang w:val="es-ES"/>
        </w:rPr>
        <w:t xml:space="preserve"> 2</w:t>
      </w:r>
      <w:r w:rsidR="00AC31BB" w:rsidRPr="00C278D6">
        <w:rPr>
          <w:sz w:val="20"/>
          <w:szCs w:val="20"/>
          <w:lang w:val="es-ES"/>
        </w:rPr>
        <w:t>.</w:t>
      </w:r>
      <w:r w:rsidR="00E83C2F" w:rsidRPr="00C278D6">
        <w:rPr>
          <w:sz w:val="20"/>
          <w:szCs w:val="20"/>
          <w:lang w:val="es-ES"/>
        </w:rPr>
        <w:t xml:space="preserve"> </w:t>
      </w:r>
      <w:r w:rsidR="00763B36" w:rsidRPr="00C278D6">
        <w:rPr>
          <w:sz w:val="20"/>
          <w:szCs w:val="20"/>
          <w:lang w:val="es-ES"/>
        </w:rPr>
        <w:t>Evaluación de la función ecológica de las</w:t>
      </w:r>
      <w:r w:rsidR="00545478" w:rsidRPr="00C278D6">
        <w:rPr>
          <w:sz w:val="20"/>
          <w:szCs w:val="20"/>
          <w:lang w:val="es-ES"/>
        </w:rPr>
        <w:t xml:space="preserve"> </w:t>
      </w:r>
      <w:r w:rsidR="00763B36" w:rsidRPr="00C278D6">
        <w:rPr>
          <w:sz w:val="20"/>
          <w:szCs w:val="20"/>
          <w:lang w:val="es-ES"/>
        </w:rPr>
        <w:t>especies migratorias en los ecosistemas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C278D6" w:rsidRDefault="00545478" w:rsidP="003A68E7">
      <w:pPr>
        <w:pStyle w:val="Normalnumber"/>
        <w:numPr>
          <w:ilvl w:val="0"/>
          <w:numId w:val="5"/>
        </w:numPr>
        <w:ind w:left="1276" w:firstLine="567"/>
        <w:rPr>
          <w:sz w:val="20"/>
          <w:szCs w:val="20"/>
          <w:lang w:val="es-ES"/>
        </w:rPr>
      </w:pPr>
      <w:r w:rsidRPr="001D01F0">
        <w:rPr>
          <w:sz w:val="20"/>
          <w:szCs w:val="20"/>
          <w:lang w:val="es-ES"/>
        </w:rPr>
        <w:t>Vinculación de</w:t>
      </w:r>
      <w:r w:rsidR="00E9781F">
        <w:rPr>
          <w:sz w:val="20"/>
          <w:szCs w:val="20"/>
          <w:lang w:val="es-ES"/>
        </w:rPr>
        <w:t xml:space="preserve"> los</w:t>
      </w:r>
      <w:r w:rsidRPr="00C278D6">
        <w:rPr>
          <w:sz w:val="20"/>
          <w:szCs w:val="20"/>
          <w:lang w:val="es-ES"/>
        </w:rPr>
        <w:t xml:space="preserve"> recursos</w:t>
      </w:r>
      <w:r w:rsidR="00D36134" w:rsidRPr="00C278D6">
        <w:rPr>
          <w:sz w:val="20"/>
          <w:szCs w:val="20"/>
          <w:lang w:val="es-ES"/>
        </w:rPr>
        <w:t xml:space="preserve"> (</w:t>
      </w:r>
      <w:r w:rsidRPr="00C278D6">
        <w:rPr>
          <w:sz w:val="20"/>
          <w:szCs w:val="20"/>
          <w:lang w:val="es-ES"/>
        </w:rPr>
        <w:t xml:space="preserve">por ejemplo, transporte de material orgánico, nutrientes, minerales, </w:t>
      </w:r>
      <w:r w:rsidR="00E83C2F" w:rsidRPr="00C278D6">
        <w:rPr>
          <w:sz w:val="20"/>
          <w:szCs w:val="20"/>
          <w:lang w:val="es-ES"/>
        </w:rPr>
        <w:t>etc</w:t>
      </w:r>
      <w:r w:rsidR="00D36134" w:rsidRPr="00C278D6">
        <w:rPr>
          <w:sz w:val="20"/>
          <w:szCs w:val="20"/>
          <w:lang w:val="es-ES"/>
        </w:rPr>
        <w:t>.)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545478" w:rsidP="003A68E7">
      <w:pPr>
        <w:pStyle w:val="Normalnumber"/>
        <w:numPr>
          <w:ilvl w:val="0"/>
          <w:numId w:val="5"/>
        </w:numPr>
        <w:ind w:left="1276" w:firstLine="567"/>
        <w:rPr>
          <w:sz w:val="20"/>
          <w:szCs w:val="20"/>
          <w:lang w:val="es-ES"/>
        </w:rPr>
      </w:pPr>
      <w:r w:rsidRPr="001D01F0">
        <w:rPr>
          <w:sz w:val="20"/>
          <w:szCs w:val="20"/>
          <w:lang w:val="es-ES"/>
        </w:rPr>
        <w:t xml:space="preserve">Vinculación </w:t>
      </w:r>
      <w:r w:rsidR="00135DB9">
        <w:rPr>
          <w:sz w:val="20"/>
          <w:szCs w:val="20"/>
          <w:lang w:val="es-ES"/>
        </w:rPr>
        <w:t xml:space="preserve">del patrimonio genético </w:t>
      </w:r>
      <w:r w:rsidR="00D36134" w:rsidRPr="00C278D6">
        <w:rPr>
          <w:sz w:val="20"/>
          <w:szCs w:val="20"/>
          <w:lang w:val="es-ES"/>
        </w:rPr>
        <w:t>(</w:t>
      </w:r>
      <w:r w:rsidRPr="00C278D6">
        <w:rPr>
          <w:sz w:val="20"/>
          <w:szCs w:val="20"/>
          <w:lang w:val="es-ES"/>
        </w:rPr>
        <w:t xml:space="preserve">por ejemplo, dispersión de las semillas y polinización, </w:t>
      </w:r>
      <w:r w:rsidR="00E83C2F" w:rsidRPr="00C278D6">
        <w:rPr>
          <w:sz w:val="20"/>
          <w:szCs w:val="20"/>
          <w:lang w:val="es-ES"/>
        </w:rPr>
        <w:t>etc.</w:t>
      </w:r>
      <w:r w:rsidR="00D36134" w:rsidRPr="00C278D6">
        <w:rPr>
          <w:sz w:val="20"/>
          <w:szCs w:val="20"/>
          <w:lang w:val="es-ES"/>
        </w:rPr>
        <w:t>)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545478" w:rsidP="003A68E7">
      <w:pPr>
        <w:pStyle w:val="Normalnumber"/>
        <w:numPr>
          <w:ilvl w:val="0"/>
          <w:numId w:val="5"/>
        </w:numPr>
        <w:ind w:left="1276" w:firstLine="567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Vinculación de </w:t>
      </w:r>
      <w:r w:rsidR="00E9781F">
        <w:rPr>
          <w:sz w:val="20"/>
          <w:szCs w:val="20"/>
          <w:lang w:val="es-ES"/>
        </w:rPr>
        <w:t xml:space="preserve">los </w:t>
      </w:r>
      <w:r w:rsidRPr="00C278D6">
        <w:rPr>
          <w:sz w:val="20"/>
          <w:szCs w:val="20"/>
          <w:lang w:val="es-ES"/>
        </w:rPr>
        <w:t>procesos</w:t>
      </w:r>
      <w:r w:rsidR="00D36134" w:rsidRPr="00C278D6">
        <w:rPr>
          <w:sz w:val="20"/>
          <w:szCs w:val="20"/>
          <w:lang w:val="es-ES"/>
        </w:rPr>
        <w:t xml:space="preserve"> (</w:t>
      </w:r>
      <w:r w:rsidRPr="00C278D6">
        <w:rPr>
          <w:sz w:val="20"/>
          <w:szCs w:val="20"/>
          <w:lang w:val="es-ES"/>
        </w:rPr>
        <w:t xml:space="preserve">por ejemplo, el pastoreo, </w:t>
      </w:r>
      <w:r w:rsidR="00135DB9">
        <w:rPr>
          <w:sz w:val="20"/>
          <w:szCs w:val="20"/>
          <w:lang w:val="es-ES"/>
        </w:rPr>
        <w:t>que</w:t>
      </w:r>
      <w:r w:rsidRPr="00C278D6">
        <w:rPr>
          <w:sz w:val="20"/>
          <w:szCs w:val="20"/>
          <w:lang w:val="es-ES"/>
        </w:rPr>
        <w:t xml:space="preserve"> estructura el desarrollo de las fitocenosis</w:t>
      </w:r>
      <w:r w:rsidR="00D36134" w:rsidRPr="00C278D6">
        <w:rPr>
          <w:sz w:val="20"/>
          <w:szCs w:val="20"/>
          <w:lang w:val="es-ES"/>
        </w:rPr>
        <w:t>)</w:t>
      </w:r>
      <w:r w:rsidR="00E83C2F" w:rsidRPr="00C278D6">
        <w:rPr>
          <w:sz w:val="20"/>
          <w:szCs w:val="20"/>
          <w:lang w:val="es-ES"/>
        </w:rPr>
        <w:t>.</w:t>
      </w:r>
    </w:p>
    <w:p w:rsidR="00D36134" w:rsidRPr="00C278D6" w:rsidRDefault="0042486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AC31BB" w:rsidRPr="00C278D6">
        <w:rPr>
          <w:sz w:val="20"/>
          <w:szCs w:val="20"/>
          <w:lang w:val="es-ES"/>
        </w:rPr>
        <w:t xml:space="preserve"> 3.</w:t>
      </w:r>
      <w:r w:rsidR="00E83C2F" w:rsidRPr="00C278D6">
        <w:rPr>
          <w:sz w:val="20"/>
          <w:szCs w:val="20"/>
          <w:lang w:val="es-ES"/>
        </w:rPr>
        <w:t xml:space="preserve"> </w:t>
      </w:r>
      <w:r w:rsidR="00135DB9">
        <w:rPr>
          <w:sz w:val="20"/>
          <w:szCs w:val="20"/>
          <w:lang w:val="es-ES"/>
        </w:rPr>
        <w:t xml:space="preserve">Determinación </w:t>
      </w:r>
      <w:r w:rsidR="001D01F0">
        <w:rPr>
          <w:sz w:val="20"/>
          <w:szCs w:val="20"/>
          <w:lang w:val="es-ES"/>
        </w:rPr>
        <w:t xml:space="preserve">del valor económico </w:t>
      </w:r>
      <w:r w:rsidR="00545478" w:rsidRPr="00C278D6">
        <w:rPr>
          <w:sz w:val="20"/>
          <w:szCs w:val="20"/>
          <w:lang w:val="es-ES"/>
        </w:rPr>
        <w:t xml:space="preserve">de los servicios del ecosistema que </w:t>
      </w:r>
      <w:r w:rsidR="00A64C99">
        <w:rPr>
          <w:sz w:val="20"/>
          <w:szCs w:val="20"/>
          <w:lang w:val="es-ES"/>
        </w:rPr>
        <w:t xml:space="preserve">prestan </w:t>
      </w:r>
      <w:r w:rsidR="00545478" w:rsidRPr="00C278D6">
        <w:rPr>
          <w:sz w:val="20"/>
          <w:szCs w:val="20"/>
          <w:lang w:val="es-ES"/>
        </w:rPr>
        <w:t>las especies migratorias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E9781F" w:rsidRDefault="00E9781F" w:rsidP="003A68E7">
      <w:pPr>
        <w:pStyle w:val="Normalnumber"/>
        <w:numPr>
          <w:ilvl w:val="0"/>
          <w:numId w:val="7"/>
        </w:numPr>
        <w:ind w:left="1276" w:firstLine="567"/>
        <w:rPr>
          <w:sz w:val="20"/>
          <w:szCs w:val="20"/>
          <w:lang w:val="es-ES"/>
        </w:rPr>
      </w:pPr>
      <w:r w:rsidRPr="00E9781F">
        <w:rPr>
          <w:sz w:val="20"/>
          <w:szCs w:val="20"/>
          <w:lang w:val="es-ES"/>
        </w:rPr>
        <w:t>El valor de determinados servicios de aprovisionamiento, apoyo, regulación y culturales de los ecosistemas</w:t>
      </w:r>
      <w:r w:rsidR="00516A5D">
        <w:rPr>
          <w:sz w:val="20"/>
          <w:szCs w:val="20"/>
          <w:lang w:val="es-ES"/>
        </w:rPr>
        <w:t xml:space="preserve"> </w:t>
      </w:r>
      <w:r w:rsidRPr="00E9781F">
        <w:rPr>
          <w:sz w:val="20"/>
          <w:szCs w:val="20"/>
          <w:lang w:val="es-ES"/>
        </w:rPr>
        <w:t xml:space="preserve">que </w:t>
      </w:r>
      <w:r w:rsidR="00A64C99">
        <w:rPr>
          <w:sz w:val="20"/>
          <w:szCs w:val="20"/>
          <w:lang w:val="es-ES"/>
        </w:rPr>
        <w:t>pres</w:t>
      </w:r>
      <w:r w:rsidRPr="00E9781F">
        <w:rPr>
          <w:sz w:val="20"/>
          <w:szCs w:val="20"/>
          <w:lang w:val="es-ES"/>
        </w:rPr>
        <w:t>tan las especies migratorias</w:t>
      </w:r>
      <w:r w:rsidR="00436890" w:rsidRPr="00E9781F">
        <w:rPr>
          <w:sz w:val="20"/>
          <w:szCs w:val="20"/>
          <w:lang w:val="es-ES"/>
        </w:rPr>
        <w:t>;</w:t>
      </w:r>
    </w:p>
    <w:p w:rsidR="00D36134" w:rsidRPr="00C278D6" w:rsidRDefault="008E41D5" w:rsidP="003A68E7">
      <w:pPr>
        <w:pStyle w:val="Normalnumber"/>
        <w:numPr>
          <w:ilvl w:val="0"/>
          <w:numId w:val="7"/>
        </w:numPr>
        <w:ind w:left="1276" w:firstLine="567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Maneras de integrar el valor de las especies migratorias y sus </w:t>
      </w:r>
      <w:r w:rsidR="00C278D6" w:rsidRPr="00C278D6">
        <w:rPr>
          <w:sz w:val="20"/>
          <w:szCs w:val="20"/>
          <w:lang w:val="es-ES"/>
        </w:rPr>
        <w:t>hábitats</w:t>
      </w:r>
      <w:r w:rsidRPr="00C278D6">
        <w:rPr>
          <w:sz w:val="20"/>
          <w:szCs w:val="20"/>
          <w:lang w:val="es-ES"/>
        </w:rPr>
        <w:t xml:space="preserve"> en la elaboración de estrategias de desarrollo y reducción de la pobreza y procesos de planificación a niveles internacional, nacional y local</w:t>
      </w:r>
      <w:r w:rsidR="00436890" w:rsidRPr="00C278D6">
        <w:rPr>
          <w:sz w:val="20"/>
          <w:szCs w:val="20"/>
          <w:lang w:val="es-ES"/>
        </w:rPr>
        <w:t>.</w:t>
      </w:r>
    </w:p>
    <w:p w:rsidR="00D36134" w:rsidRPr="00C278D6" w:rsidRDefault="0042486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AC31BB" w:rsidRPr="00C278D6">
        <w:rPr>
          <w:sz w:val="20"/>
          <w:szCs w:val="20"/>
          <w:lang w:val="es-ES"/>
        </w:rPr>
        <w:t xml:space="preserve"> 4.</w:t>
      </w:r>
      <w:r w:rsidR="00E83C2F" w:rsidRPr="00C278D6">
        <w:rPr>
          <w:sz w:val="20"/>
          <w:szCs w:val="20"/>
          <w:lang w:val="es-ES"/>
        </w:rPr>
        <w:t xml:space="preserve"> </w:t>
      </w:r>
      <w:r w:rsidR="008E41D5" w:rsidRPr="00C278D6">
        <w:rPr>
          <w:sz w:val="20"/>
          <w:szCs w:val="20"/>
          <w:lang w:val="es-ES"/>
        </w:rPr>
        <w:t>Evaluación del impacto del cambio climático en las especies migratorias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C278D6" w:rsidRDefault="008E41D5" w:rsidP="003A68E7">
      <w:pPr>
        <w:pStyle w:val="Normalnumber"/>
        <w:numPr>
          <w:ilvl w:val="0"/>
          <w:numId w:val="8"/>
        </w:numPr>
        <w:ind w:left="2495" w:hanging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Pérdida/alteraciones del hábitat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D36134" w:rsidP="003A68E7">
      <w:pPr>
        <w:pStyle w:val="Normalnumber"/>
        <w:numPr>
          <w:ilvl w:val="0"/>
          <w:numId w:val="8"/>
        </w:numPr>
        <w:ind w:left="2495" w:hanging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</w:t>
      </w:r>
      <w:r w:rsidR="008E41D5" w:rsidRPr="00C278D6">
        <w:rPr>
          <w:sz w:val="20"/>
          <w:szCs w:val="20"/>
          <w:lang w:val="es-ES"/>
        </w:rPr>
        <w:t>ambios en la disponibilidad de recursos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8E41D5" w:rsidP="003A68E7">
      <w:pPr>
        <w:pStyle w:val="Normalnumber"/>
        <w:numPr>
          <w:ilvl w:val="0"/>
          <w:numId w:val="8"/>
        </w:numPr>
        <w:ind w:left="2495" w:hanging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Modificación de la fenología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8E41D5" w:rsidP="003A68E7">
      <w:pPr>
        <w:pStyle w:val="Normalnumber"/>
        <w:numPr>
          <w:ilvl w:val="0"/>
          <w:numId w:val="8"/>
        </w:numPr>
        <w:ind w:left="2495" w:hanging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Freno de las migraciones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8E41D5" w:rsidP="003A68E7">
      <w:pPr>
        <w:pStyle w:val="Normalnumber"/>
        <w:numPr>
          <w:ilvl w:val="0"/>
          <w:numId w:val="8"/>
        </w:numPr>
        <w:ind w:left="2495" w:hanging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Respuestas de índole normativa</w:t>
      </w:r>
      <w:r w:rsidR="00436890" w:rsidRPr="00C278D6">
        <w:rPr>
          <w:sz w:val="20"/>
          <w:szCs w:val="20"/>
          <w:lang w:val="es-ES"/>
        </w:rPr>
        <w:t>.</w:t>
      </w:r>
    </w:p>
    <w:p w:rsidR="00D36134" w:rsidRPr="00C278D6" w:rsidRDefault="00424864" w:rsidP="003A68E7">
      <w:pPr>
        <w:pStyle w:val="Normalnumber"/>
        <w:keepNext/>
        <w:keepLines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AC31BB" w:rsidRPr="00C278D6">
        <w:rPr>
          <w:sz w:val="20"/>
          <w:szCs w:val="20"/>
          <w:lang w:val="es-ES"/>
        </w:rPr>
        <w:t xml:space="preserve"> 5.</w:t>
      </w:r>
      <w:r w:rsidR="00D36134" w:rsidRPr="00C278D6">
        <w:rPr>
          <w:sz w:val="20"/>
          <w:szCs w:val="20"/>
          <w:lang w:val="es-ES"/>
        </w:rPr>
        <w:t xml:space="preserve"> </w:t>
      </w:r>
      <w:r w:rsidR="008E41D5" w:rsidRPr="00C278D6">
        <w:rPr>
          <w:sz w:val="20"/>
          <w:szCs w:val="20"/>
          <w:lang w:val="es-ES"/>
        </w:rPr>
        <w:t xml:space="preserve">Evaluación de los conocimientos tradicionales </w:t>
      </w:r>
      <w:r w:rsidR="001D01F0">
        <w:rPr>
          <w:sz w:val="20"/>
          <w:szCs w:val="20"/>
          <w:lang w:val="es-ES"/>
        </w:rPr>
        <w:t xml:space="preserve">sobre </w:t>
      </w:r>
      <w:r w:rsidR="008E41D5" w:rsidRPr="00C278D6">
        <w:rPr>
          <w:sz w:val="20"/>
          <w:szCs w:val="20"/>
          <w:lang w:val="es-ES"/>
        </w:rPr>
        <w:t>las especies migratorias</w:t>
      </w:r>
      <w:r w:rsidR="00E83C2F" w:rsidRPr="00C278D6">
        <w:rPr>
          <w:sz w:val="20"/>
          <w:szCs w:val="20"/>
          <w:lang w:val="es-ES"/>
        </w:rPr>
        <w:t>:</w:t>
      </w:r>
    </w:p>
    <w:p w:rsidR="0022314C" w:rsidRPr="00C278D6" w:rsidRDefault="008E41D5" w:rsidP="00AA66D0">
      <w:pPr>
        <w:pStyle w:val="Normalnumber"/>
        <w:keepNext/>
        <w:keepLines/>
        <w:numPr>
          <w:ilvl w:val="0"/>
          <w:numId w:val="9"/>
        </w:numPr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La importancia de los conocimientos tradicionales </w:t>
      </w:r>
      <w:r w:rsidR="001D01F0">
        <w:rPr>
          <w:sz w:val="20"/>
          <w:szCs w:val="20"/>
          <w:lang w:val="es-ES"/>
        </w:rPr>
        <w:t xml:space="preserve">sobre </w:t>
      </w:r>
      <w:r w:rsidRPr="00C278D6">
        <w:rPr>
          <w:sz w:val="20"/>
          <w:szCs w:val="20"/>
          <w:lang w:val="es-ES"/>
        </w:rPr>
        <w:t>la</w:t>
      </w:r>
      <w:r w:rsidR="001D01F0">
        <w:rPr>
          <w:sz w:val="20"/>
          <w:szCs w:val="20"/>
          <w:lang w:val="es-ES"/>
        </w:rPr>
        <w:t>s</w:t>
      </w:r>
      <w:r w:rsidRPr="00C278D6">
        <w:rPr>
          <w:sz w:val="20"/>
          <w:szCs w:val="20"/>
          <w:lang w:val="es-ES"/>
        </w:rPr>
        <w:t xml:space="preserve"> especies migratorias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8E41D5" w:rsidP="00AA66D0">
      <w:pPr>
        <w:pStyle w:val="Normalnumber"/>
        <w:numPr>
          <w:ilvl w:val="0"/>
          <w:numId w:val="9"/>
        </w:numPr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Estudios de casos de </w:t>
      </w:r>
      <w:r w:rsidR="001D01F0">
        <w:rPr>
          <w:sz w:val="20"/>
          <w:szCs w:val="20"/>
          <w:lang w:val="es-ES"/>
        </w:rPr>
        <w:t xml:space="preserve">determinadas </w:t>
      </w:r>
      <w:r w:rsidRPr="00C278D6">
        <w:rPr>
          <w:sz w:val="20"/>
          <w:szCs w:val="20"/>
          <w:lang w:val="es-ES"/>
        </w:rPr>
        <w:t xml:space="preserve">especies migratorias marinas, terrestres y </w:t>
      </w:r>
      <w:r w:rsidR="001D01F0" w:rsidRPr="001D01F0">
        <w:rPr>
          <w:sz w:val="20"/>
          <w:szCs w:val="20"/>
          <w:lang w:val="es-ES"/>
        </w:rPr>
        <w:t>aviares</w:t>
      </w:r>
      <w:r w:rsidR="00436890" w:rsidRPr="00C278D6">
        <w:rPr>
          <w:sz w:val="20"/>
          <w:szCs w:val="20"/>
          <w:lang w:val="es-ES"/>
        </w:rPr>
        <w:t>.</w:t>
      </w:r>
    </w:p>
    <w:p w:rsidR="00D36134" w:rsidRPr="00C278D6" w:rsidRDefault="0042486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lastRenderedPageBreak/>
        <w:t>Capítulo</w:t>
      </w:r>
      <w:r w:rsidR="00AC31BB" w:rsidRPr="00C278D6">
        <w:rPr>
          <w:sz w:val="20"/>
          <w:szCs w:val="20"/>
          <w:lang w:val="es-ES"/>
        </w:rPr>
        <w:t xml:space="preserve"> 6.</w:t>
      </w:r>
      <w:r w:rsidR="00E83C2F" w:rsidRPr="00C278D6">
        <w:rPr>
          <w:sz w:val="20"/>
          <w:szCs w:val="20"/>
          <w:lang w:val="es-ES"/>
        </w:rPr>
        <w:t xml:space="preserve"> </w:t>
      </w:r>
      <w:r w:rsidR="0022314C" w:rsidRPr="00C278D6">
        <w:rPr>
          <w:sz w:val="20"/>
          <w:szCs w:val="20"/>
          <w:lang w:val="es-ES"/>
        </w:rPr>
        <w:tab/>
      </w:r>
      <w:r w:rsidR="008E41D5" w:rsidRPr="00C278D6">
        <w:rPr>
          <w:sz w:val="20"/>
          <w:szCs w:val="20"/>
          <w:lang w:val="es-ES"/>
        </w:rPr>
        <w:t>Evaluación de las especies migratorias</w:t>
      </w:r>
      <w:r w:rsidR="0022314C" w:rsidRPr="00C278D6">
        <w:rPr>
          <w:sz w:val="20"/>
          <w:szCs w:val="20"/>
          <w:lang w:val="es-ES"/>
        </w:rPr>
        <w:t xml:space="preserve"> en</w:t>
      </w:r>
      <w:r w:rsidR="008E41D5" w:rsidRPr="00C278D6">
        <w:rPr>
          <w:sz w:val="20"/>
          <w:szCs w:val="20"/>
          <w:lang w:val="es-ES"/>
        </w:rPr>
        <w:t xml:space="preserve"> </w:t>
      </w:r>
      <w:r w:rsidR="0022314C" w:rsidRPr="00C278D6">
        <w:rPr>
          <w:sz w:val="20"/>
          <w:szCs w:val="20"/>
          <w:lang w:val="es-ES"/>
        </w:rPr>
        <w:t>zonas fuera de los límites de la jurisdicción nacional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C278D6" w:rsidRDefault="0022314C" w:rsidP="00AA66D0">
      <w:pPr>
        <w:pStyle w:val="Normalnumber"/>
        <w:numPr>
          <w:ilvl w:val="0"/>
          <w:numId w:val="10"/>
        </w:numPr>
        <w:ind w:left="1247" w:firstLine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La importancia de las zonas fuera de los límites de la jurisdicción nacional para las especies migratorias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22314C" w:rsidP="00AA66D0">
      <w:pPr>
        <w:pStyle w:val="Normalnumber"/>
        <w:numPr>
          <w:ilvl w:val="0"/>
          <w:numId w:val="10"/>
        </w:numPr>
        <w:ind w:left="1247" w:firstLine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La eficacia de las políticas que rigen las zonas fuera de los límites de la jurisdicción nacional en la protección y </w:t>
      </w:r>
      <w:r w:rsidR="00B5693F">
        <w:rPr>
          <w:sz w:val="20"/>
          <w:szCs w:val="20"/>
          <w:lang w:val="es-ES"/>
        </w:rPr>
        <w:t xml:space="preserve">la gestión </w:t>
      </w:r>
      <w:r w:rsidRPr="00C278D6">
        <w:rPr>
          <w:sz w:val="20"/>
          <w:szCs w:val="20"/>
          <w:lang w:val="es-ES"/>
        </w:rPr>
        <w:t xml:space="preserve">de </w:t>
      </w:r>
      <w:r w:rsidR="00B5693F">
        <w:rPr>
          <w:sz w:val="20"/>
          <w:szCs w:val="20"/>
          <w:lang w:val="es-ES"/>
        </w:rPr>
        <w:t xml:space="preserve">las </w:t>
      </w:r>
      <w:r w:rsidRPr="00C278D6">
        <w:rPr>
          <w:sz w:val="20"/>
          <w:szCs w:val="20"/>
          <w:lang w:val="es-ES"/>
        </w:rPr>
        <w:t>especies migratorias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D36134" w:rsidP="00AA66D0">
      <w:pPr>
        <w:pStyle w:val="Normalnumber"/>
        <w:numPr>
          <w:ilvl w:val="0"/>
          <w:numId w:val="10"/>
        </w:numPr>
        <w:ind w:left="1247" w:firstLine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Recomenda</w:t>
      </w:r>
      <w:r w:rsidR="0022314C" w:rsidRPr="00C278D6">
        <w:rPr>
          <w:sz w:val="20"/>
          <w:szCs w:val="20"/>
          <w:lang w:val="es-ES"/>
        </w:rPr>
        <w:t>ci</w:t>
      </w:r>
      <w:r w:rsidR="00B5693F">
        <w:rPr>
          <w:sz w:val="20"/>
          <w:szCs w:val="20"/>
          <w:lang w:val="es-ES"/>
        </w:rPr>
        <w:t>ón</w:t>
      </w:r>
      <w:r w:rsidR="0022314C" w:rsidRPr="00C278D6">
        <w:rPr>
          <w:sz w:val="20"/>
          <w:szCs w:val="20"/>
          <w:lang w:val="es-ES"/>
        </w:rPr>
        <w:t xml:space="preserve"> </w:t>
      </w:r>
      <w:r w:rsidR="00B5693F">
        <w:rPr>
          <w:sz w:val="20"/>
          <w:szCs w:val="20"/>
          <w:lang w:val="es-ES"/>
        </w:rPr>
        <w:t xml:space="preserve">de </w:t>
      </w:r>
      <w:r w:rsidR="0022314C" w:rsidRPr="00C278D6">
        <w:rPr>
          <w:sz w:val="20"/>
          <w:szCs w:val="20"/>
          <w:lang w:val="es-ES"/>
        </w:rPr>
        <w:t xml:space="preserve">políticas </w:t>
      </w:r>
      <w:r w:rsidR="00B5693F">
        <w:rPr>
          <w:sz w:val="20"/>
          <w:szCs w:val="20"/>
          <w:lang w:val="es-ES"/>
        </w:rPr>
        <w:t xml:space="preserve">más </w:t>
      </w:r>
      <w:r w:rsidR="00A8230A" w:rsidRPr="00C278D6">
        <w:rPr>
          <w:sz w:val="20"/>
          <w:szCs w:val="20"/>
          <w:lang w:val="es-ES"/>
        </w:rPr>
        <w:t>eficaces para la conservación y el uso sostenible de especies migratorias en</w:t>
      </w:r>
      <w:r w:rsidRPr="00C278D6">
        <w:rPr>
          <w:sz w:val="20"/>
          <w:szCs w:val="20"/>
          <w:lang w:val="es-ES"/>
        </w:rPr>
        <w:t xml:space="preserve"> </w:t>
      </w:r>
      <w:r w:rsidR="0022314C" w:rsidRPr="00C278D6">
        <w:rPr>
          <w:sz w:val="20"/>
          <w:szCs w:val="20"/>
          <w:lang w:val="es-ES"/>
        </w:rPr>
        <w:t>zonas fuera de los límites de la jurisdicción nacional</w:t>
      </w:r>
      <w:r w:rsidR="00E83C2F" w:rsidRPr="00C278D6">
        <w:rPr>
          <w:sz w:val="20"/>
          <w:szCs w:val="20"/>
          <w:lang w:val="es-ES"/>
        </w:rPr>
        <w:t>.</w:t>
      </w:r>
      <w:r w:rsidRPr="00C278D6">
        <w:rPr>
          <w:sz w:val="20"/>
          <w:szCs w:val="20"/>
          <w:lang w:val="es-ES"/>
        </w:rPr>
        <w:t xml:space="preserve"> </w:t>
      </w:r>
    </w:p>
    <w:p w:rsidR="00D36134" w:rsidRPr="00C278D6" w:rsidRDefault="0042486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AC31BB" w:rsidRPr="00C278D6">
        <w:rPr>
          <w:sz w:val="20"/>
          <w:szCs w:val="20"/>
          <w:lang w:val="es-ES"/>
        </w:rPr>
        <w:t xml:space="preserve"> 7.</w:t>
      </w:r>
      <w:r w:rsidR="00D36134" w:rsidRPr="00C278D6">
        <w:rPr>
          <w:sz w:val="20"/>
          <w:szCs w:val="20"/>
          <w:lang w:val="es-ES"/>
        </w:rPr>
        <w:t xml:space="preserve"> </w:t>
      </w:r>
      <w:r w:rsidR="00A8230A" w:rsidRPr="00C278D6">
        <w:rPr>
          <w:sz w:val="20"/>
          <w:szCs w:val="20"/>
          <w:lang w:val="es-ES"/>
        </w:rPr>
        <w:t>Evaluación de los sistemas de zonas protegidas en función de las necesidades de las</w:t>
      </w:r>
      <w:r w:rsidR="00CA4084" w:rsidRPr="00C278D6">
        <w:rPr>
          <w:sz w:val="20"/>
          <w:szCs w:val="20"/>
          <w:lang w:val="es-ES"/>
        </w:rPr>
        <w:t xml:space="preserve"> </w:t>
      </w:r>
      <w:r w:rsidR="00A8230A" w:rsidRPr="00C278D6">
        <w:rPr>
          <w:sz w:val="20"/>
          <w:szCs w:val="20"/>
          <w:lang w:val="es-ES"/>
        </w:rPr>
        <w:t>especies migratorias</w:t>
      </w:r>
      <w:r w:rsidR="00E83C2F" w:rsidRPr="00C278D6">
        <w:rPr>
          <w:sz w:val="20"/>
          <w:szCs w:val="20"/>
          <w:lang w:val="es-ES"/>
        </w:rPr>
        <w:t>:</w:t>
      </w:r>
    </w:p>
    <w:p w:rsidR="00D36134" w:rsidRPr="00C278D6" w:rsidRDefault="00A8230A" w:rsidP="00AA66D0">
      <w:pPr>
        <w:pStyle w:val="Normalnumber"/>
        <w:numPr>
          <w:ilvl w:val="0"/>
          <w:numId w:val="11"/>
        </w:numPr>
        <w:ind w:left="1247" w:firstLine="624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Hasta qué punto y de qué manera los principales sistemas de zonas protegidas existentes y las iniciativas dirigidas a promover redes ecológicas satisfacen las necesidades de las especies migratorias durante todo su ciclo de vida y </w:t>
      </w:r>
      <w:r w:rsidR="00A64C99">
        <w:rPr>
          <w:sz w:val="20"/>
          <w:szCs w:val="20"/>
          <w:lang w:val="es-ES"/>
        </w:rPr>
        <w:t xml:space="preserve">en sus </w:t>
      </w:r>
      <w:r w:rsidRPr="00C278D6">
        <w:rPr>
          <w:sz w:val="20"/>
          <w:szCs w:val="20"/>
          <w:lang w:val="es-ES"/>
        </w:rPr>
        <w:t>zonas de migración</w:t>
      </w:r>
      <w:r w:rsidR="00E83C2F" w:rsidRPr="00C278D6">
        <w:rPr>
          <w:sz w:val="20"/>
          <w:szCs w:val="20"/>
          <w:lang w:val="es-ES"/>
        </w:rPr>
        <w:t>;</w:t>
      </w:r>
    </w:p>
    <w:p w:rsidR="00D36134" w:rsidRPr="00C278D6" w:rsidRDefault="00AA7A59" w:rsidP="00AA66D0">
      <w:pPr>
        <w:pStyle w:val="Normalnumber"/>
        <w:numPr>
          <w:ilvl w:val="0"/>
          <w:numId w:val="11"/>
        </w:numPr>
        <w:ind w:left="1247" w:firstLine="624"/>
        <w:rPr>
          <w:sz w:val="20"/>
          <w:szCs w:val="20"/>
          <w:lang w:val="es-ES"/>
        </w:rPr>
      </w:pPr>
      <w:r w:rsidRPr="00F157D9">
        <w:rPr>
          <w:sz w:val="20"/>
          <w:szCs w:val="20"/>
          <w:lang w:val="es-ES_tradnl"/>
        </w:rPr>
        <w:t xml:space="preserve">El </w:t>
      </w:r>
      <w:r w:rsidRPr="004C20D7">
        <w:rPr>
          <w:sz w:val="20"/>
          <w:szCs w:val="20"/>
          <w:lang w:val="es-ES"/>
        </w:rPr>
        <w:t>uso</w:t>
      </w:r>
      <w:r w:rsidRPr="00F157D9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actual </w:t>
      </w:r>
      <w:r w:rsidRPr="00082746">
        <w:rPr>
          <w:sz w:val="20"/>
          <w:szCs w:val="20"/>
          <w:lang w:val="es-ES"/>
        </w:rPr>
        <w:t xml:space="preserve">de conceptos y métodos </w:t>
      </w:r>
      <w:r>
        <w:rPr>
          <w:sz w:val="20"/>
          <w:szCs w:val="20"/>
          <w:lang w:val="es-ES"/>
        </w:rPr>
        <w:t xml:space="preserve">relacionados con </w:t>
      </w:r>
      <w:r w:rsidRPr="00082746">
        <w:rPr>
          <w:sz w:val="20"/>
          <w:szCs w:val="20"/>
          <w:lang w:val="es-ES"/>
        </w:rPr>
        <w:t xml:space="preserve">la red ecológica y </w:t>
      </w:r>
      <w:r>
        <w:rPr>
          <w:sz w:val="20"/>
          <w:szCs w:val="20"/>
          <w:lang w:val="es-ES"/>
        </w:rPr>
        <w:t>su posible uso en el futuro</w:t>
      </w:r>
      <w:r w:rsidR="00BF7A98" w:rsidRPr="00C278D6">
        <w:rPr>
          <w:sz w:val="20"/>
          <w:szCs w:val="20"/>
          <w:lang w:val="es-ES"/>
        </w:rPr>
        <w:t>;</w:t>
      </w:r>
    </w:p>
    <w:p w:rsidR="00D36134" w:rsidRPr="00C278D6" w:rsidRDefault="00AA7A59" w:rsidP="00AA66D0">
      <w:pPr>
        <w:pStyle w:val="Normalnumber"/>
        <w:numPr>
          <w:ilvl w:val="0"/>
          <w:numId w:val="11"/>
        </w:numPr>
        <w:ind w:left="1247" w:firstLine="624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Posibilidades de aumentar </w:t>
      </w:r>
      <w:r w:rsidR="00A8230A" w:rsidRPr="00C278D6">
        <w:rPr>
          <w:sz w:val="20"/>
          <w:szCs w:val="20"/>
          <w:lang w:val="es-ES"/>
        </w:rPr>
        <w:t xml:space="preserve">la eficacia </w:t>
      </w:r>
      <w:r w:rsidR="00A8230A" w:rsidRPr="00AA7A59">
        <w:rPr>
          <w:sz w:val="20"/>
          <w:szCs w:val="20"/>
          <w:lang w:val="es-ES"/>
        </w:rPr>
        <w:t>de las iniciativas</w:t>
      </w:r>
      <w:r w:rsidR="00A8230A" w:rsidRPr="00C278D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y los </w:t>
      </w:r>
      <w:r w:rsidR="00A8230A" w:rsidRPr="00C278D6">
        <w:rPr>
          <w:sz w:val="20"/>
          <w:szCs w:val="20"/>
          <w:lang w:val="es-ES"/>
        </w:rPr>
        <w:t xml:space="preserve">programas pertinentes sobre zonas protegidas y redes ecológicas </w:t>
      </w:r>
      <w:r w:rsidR="00CA4084" w:rsidRPr="00C278D6">
        <w:rPr>
          <w:sz w:val="20"/>
          <w:szCs w:val="20"/>
          <w:lang w:val="es-ES"/>
        </w:rPr>
        <w:t>respecto</w:t>
      </w:r>
      <w:r w:rsidR="00A8230A" w:rsidRPr="00C278D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</w:t>
      </w:r>
      <w:r w:rsidR="00A8230A" w:rsidRPr="00C278D6">
        <w:rPr>
          <w:sz w:val="20"/>
          <w:szCs w:val="20"/>
          <w:lang w:val="es-ES"/>
        </w:rPr>
        <w:t xml:space="preserve"> las necesidades de conservación de las especies migratorias, y </w:t>
      </w:r>
      <w:r w:rsidR="00CA4084" w:rsidRPr="00C278D6">
        <w:rPr>
          <w:sz w:val="20"/>
          <w:szCs w:val="20"/>
          <w:lang w:val="es-ES"/>
        </w:rPr>
        <w:t>las sinergias entre ellas</w:t>
      </w:r>
      <w:r w:rsidR="000D57BE" w:rsidRPr="00C278D6">
        <w:rPr>
          <w:sz w:val="20"/>
          <w:szCs w:val="20"/>
          <w:lang w:val="es-ES"/>
        </w:rPr>
        <w:t>.</w:t>
      </w:r>
    </w:p>
    <w:p w:rsidR="000A7BDF" w:rsidRPr="00C278D6" w:rsidRDefault="00A26A4C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Capítulo</w:t>
      </w:r>
      <w:r w:rsidR="00AC31BB" w:rsidRPr="00C278D6">
        <w:rPr>
          <w:sz w:val="20"/>
          <w:szCs w:val="20"/>
          <w:lang w:val="es-ES"/>
        </w:rPr>
        <w:t xml:space="preserve"> 8.</w:t>
      </w:r>
      <w:r w:rsidR="00BF7A98" w:rsidRPr="00C278D6">
        <w:rPr>
          <w:sz w:val="20"/>
          <w:szCs w:val="20"/>
          <w:lang w:val="es-ES"/>
        </w:rPr>
        <w:t xml:space="preserve"> </w:t>
      </w:r>
      <w:r w:rsidR="00D36134" w:rsidRPr="00C278D6">
        <w:rPr>
          <w:sz w:val="20"/>
          <w:szCs w:val="20"/>
          <w:lang w:val="es-ES"/>
        </w:rPr>
        <w:t>Op</w:t>
      </w:r>
      <w:r w:rsidR="00CA4084" w:rsidRPr="00C278D6">
        <w:rPr>
          <w:sz w:val="20"/>
          <w:szCs w:val="20"/>
          <w:lang w:val="es-ES"/>
        </w:rPr>
        <w:t>ciones para una mejor integración de las cuestiones relacionadas con las especies migratorias en los procesos de evaluación, formulación de políticas y adopción de decisiones.</w:t>
      </w:r>
    </w:p>
    <w:p w:rsidR="00D36134" w:rsidRPr="00C278D6" w:rsidRDefault="000A7BDF" w:rsidP="003A68E7">
      <w:pPr>
        <w:pStyle w:val="CH1"/>
        <w:rPr>
          <w:lang w:val="es-ES"/>
        </w:rPr>
      </w:pPr>
      <w:r w:rsidRPr="00C278D6">
        <w:rPr>
          <w:lang w:val="es-ES"/>
        </w:rPr>
        <w:tab/>
      </w:r>
      <w:r w:rsidR="000D57BE" w:rsidRPr="00C278D6">
        <w:rPr>
          <w:lang w:val="es-ES"/>
        </w:rPr>
        <w:t>I</w:t>
      </w:r>
      <w:r w:rsidR="00AB1405" w:rsidRPr="00C278D6">
        <w:rPr>
          <w:lang w:val="es-ES"/>
        </w:rPr>
        <w:t>V</w:t>
      </w:r>
      <w:r w:rsidR="000D57BE" w:rsidRPr="00C278D6">
        <w:rPr>
          <w:lang w:val="es-ES"/>
        </w:rPr>
        <w:t>.</w:t>
      </w:r>
      <w:r w:rsidR="00D36134" w:rsidRPr="00C278D6">
        <w:rPr>
          <w:lang w:val="es-ES"/>
        </w:rPr>
        <w:tab/>
        <w:t>Proces</w:t>
      </w:r>
      <w:r w:rsidR="00A26A4C" w:rsidRPr="00C278D6">
        <w:rPr>
          <w:lang w:val="es-ES"/>
        </w:rPr>
        <w:t>o y calendario</w:t>
      </w:r>
      <w:r w:rsidR="00930484">
        <w:rPr>
          <w:lang w:val="es-ES"/>
        </w:rPr>
        <w:t xml:space="preserve"> de trabajo</w:t>
      </w:r>
    </w:p>
    <w:p w:rsidR="00AB1405" w:rsidRDefault="00CA4084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 xml:space="preserve">En el cuadro </w:t>
      </w:r>
      <w:r w:rsidR="00930484">
        <w:rPr>
          <w:sz w:val="20"/>
          <w:szCs w:val="20"/>
          <w:lang w:val="es-ES"/>
        </w:rPr>
        <w:t>siguiente figura un</w:t>
      </w:r>
      <w:r w:rsidRPr="00C278D6">
        <w:rPr>
          <w:sz w:val="20"/>
          <w:szCs w:val="20"/>
          <w:lang w:val="es-ES"/>
        </w:rPr>
        <w:t xml:space="preserve"> proceso y </w:t>
      </w:r>
      <w:r w:rsidR="00930484">
        <w:rPr>
          <w:sz w:val="20"/>
          <w:szCs w:val="20"/>
          <w:lang w:val="es-ES"/>
        </w:rPr>
        <w:t>un</w:t>
      </w:r>
      <w:r w:rsidRPr="00C278D6">
        <w:rPr>
          <w:sz w:val="20"/>
          <w:szCs w:val="20"/>
          <w:lang w:val="es-ES"/>
        </w:rPr>
        <w:t xml:space="preserve"> calendario </w:t>
      </w:r>
      <w:r w:rsidR="00AD40DA" w:rsidRPr="00C278D6">
        <w:rPr>
          <w:sz w:val="20"/>
          <w:szCs w:val="20"/>
          <w:lang w:val="es-ES"/>
        </w:rPr>
        <w:t xml:space="preserve">de </w:t>
      </w:r>
      <w:r w:rsidR="00930484">
        <w:rPr>
          <w:sz w:val="20"/>
          <w:szCs w:val="20"/>
          <w:lang w:val="es-ES"/>
        </w:rPr>
        <w:t xml:space="preserve">trabajo para llevar a cabo </w:t>
      </w:r>
      <w:r w:rsidR="00AD40DA" w:rsidRPr="00C278D6">
        <w:rPr>
          <w:sz w:val="20"/>
          <w:szCs w:val="20"/>
          <w:lang w:val="es-ES"/>
        </w:rPr>
        <w:t xml:space="preserve">la </w:t>
      </w:r>
      <w:r w:rsidRPr="00C278D6">
        <w:rPr>
          <w:sz w:val="20"/>
          <w:szCs w:val="20"/>
          <w:lang w:val="es-ES"/>
        </w:rPr>
        <w:t>evaluación temática propuesta</w:t>
      </w:r>
      <w:r w:rsidR="00AD40DA" w:rsidRPr="00C278D6">
        <w:rPr>
          <w:sz w:val="20"/>
          <w:szCs w:val="20"/>
          <w:lang w:val="es-ES"/>
        </w:rPr>
        <w:t>.</w:t>
      </w: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6232"/>
      </w:tblGrid>
      <w:tr w:rsidR="00AB1405" w:rsidRPr="00C278D6" w:rsidTr="00CC0998">
        <w:trPr>
          <w:trHeight w:val="584"/>
          <w:tblHeader/>
        </w:trPr>
        <w:tc>
          <w:tcPr>
            <w:tcW w:w="2127" w:type="dxa"/>
            <w:gridSpan w:val="2"/>
            <w:vAlign w:val="center"/>
          </w:tcPr>
          <w:p w:rsidR="00AB1405" w:rsidRPr="00C278D6" w:rsidDel="00AB1405" w:rsidRDefault="00930484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bookmarkStart w:id="1" w:name="OLE_LINK1"/>
            <w:r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Marco temporal</w:t>
            </w:r>
          </w:p>
        </w:tc>
        <w:tc>
          <w:tcPr>
            <w:tcW w:w="6232" w:type="dxa"/>
            <w:vAlign w:val="center"/>
          </w:tcPr>
          <w:p w:rsidR="00AB1405" w:rsidRPr="00C278D6" w:rsidRDefault="00AD40D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Ac</w:t>
            </w:r>
            <w:r w:rsidR="00930484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tividades</w:t>
            </w:r>
          </w:p>
        </w:tc>
      </w:tr>
      <w:tr w:rsidR="00D36134" w:rsidRPr="00C278D6" w:rsidTr="00CC0998">
        <w:trPr>
          <w:trHeight w:val="584"/>
        </w:trPr>
        <w:tc>
          <w:tcPr>
            <w:tcW w:w="709" w:type="dxa"/>
            <w:vMerge w:val="restart"/>
            <w:vAlign w:val="center"/>
          </w:tcPr>
          <w:p w:rsidR="00D36134" w:rsidRPr="00C278D6" w:rsidRDefault="00D36134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2013</w:t>
            </w:r>
          </w:p>
        </w:tc>
        <w:tc>
          <w:tcPr>
            <w:tcW w:w="1418" w:type="dxa"/>
            <w:vAlign w:val="center"/>
          </w:tcPr>
          <w:p w:rsidR="00D36134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Cuarto trimestre</w:t>
            </w:r>
          </w:p>
        </w:tc>
        <w:tc>
          <w:tcPr>
            <w:tcW w:w="6232" w:type="dxa"/>
            <w:vAlign w:val="center"/>
          </w:tcPr>
          <w:p w:rsidR="00D36134" w:rsidRPr="00C278D6" w:rsidRDefault="00AD40D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El 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Plenar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io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examina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y aprueba el ejercicio de análisis </w:t>
            </w:r>
            <w:r w:rsidR="00297EB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inicial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preparado por el Grupo multidisciplinario de expertos y solicita al Grupo y a la Mesa que, </w:t>
            </w:r>
            <w:r w:rsidR="00930484" w:rsidRPr="00A50CE9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en el marco de un conjunto de costos convenidos</w:t>
            </w:r>
            <w:r w:rsidR="009C0C6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proceda a realizar </w:t>
            </w:r>
            <w:r w:rsidR="009C0C6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una evaluación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exhaustiva tras el estudio del </w:t>
            </w:r>
            <w:r w:rsidR="009C0C6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análisis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inicial detallado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</w:t>
            </w:r>
            <w:r w:rsidR="00AB140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14 </w:t>
            </w:r>
            <w:r w:rsidR="009C0C6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 diciembre de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2013)</w:t>
            </w:r>
          </w:p>
        </w:tc>
      </w:tr>
      <w:tr w:rsidR="00D36134" w:rsidRPr="00C278D6" w:rsidTr="00CC0998">
        <w:trPr>
          <w:trHeight w:val="584"/>
        </w:trPr>
        <w:tc>
          <w:tcPr>
            <w:tcW w:w="709" w:type="dxa"/>
            <w:vMerge/>
            <w:vAlign w:val="center"/>
          </w:tcPr>
          <w:p w:rsidR="00D36134" w:rsidRPr="00C278D6" w:rsidRDefault="00D36134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36134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Cuarto trimestre</w:t>
            </w:r>
          </w:p>
        </w:tc>
        <w:tc>
          <w:tcPr>
            <w:tcW w:w="6232" w:type="dxa"/>
            <w:vAlign w:val="center"/>
          </w:tcPr>
          <w:p w:rsidR="00D36134" w:rsidRPr="00C278D6" w:rsidRDefault="009C0C69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El Grupo</w:t>
            </w:r>
            <w:r w:rsidR="00AA7A59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expertos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hace un llamamiento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por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conducto de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la secretaría, a los gobiernos y otros interesados </w:t>
            </w:r>
            <w:r w:rsidR="00EE3729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par</w:t>
            </w:r>
            <w:r w:rsidR="00297EB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a 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que propongan expertos que colaboren en el análisis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</w:t>
            </w:r>
            <w:r w:rsidR="00AB140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16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diciembre de </w:t>
            </w:r>
            <w:r w:rsidR="00AC31BB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2013</w:t>
            </w:r>
            <w:r w:rsidR="00930484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a</w:t>
            </w:r>
            <w:r w:rsidR="00297EB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 </w:t>
            </w:r>
            <w:r w:rsidR="00AB140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31</w:t>
            </w:r>
            <w:r w:rsidR="007823BE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 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 enero de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2014)</w:t>
            </w:r>
          </w:p>
        </w:tc>
      </w:tr>
      <w:tr w:rsidR="00D36134" w:rsidRPr="00C278D6" w:rsidTr="00CC0998">
        <w:trPr>
          <w:trHeight w:val="584"/>
        </w:trPr>
        <w:tc>
          <w:tcPr>
            <w:tcW w:w="709" w:type="dxa"/>
            <w:vMerge w:val="restart"/>
            <w:vAlign w:val="center"/>
          </w:tcPr>
          <w:p w:rsidR="00D36134" w:rsidRPr="00C278D6" w:rsidRDefault="00D36134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2014</w:t>
            </w:r>
          </w:p>
        </w:tc>
        <w:tc>
          <w:tcPr>
            <w:tcW w:w="1418" w:type="dxa"/>
            <w:vAlign w:val="center"/>
          </w:tcPr>
          <w:p w:rsidR="00D36134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Primer trimestre</w:t>
            </w:r>
          </w:p>
        </w:tc>
        <w:tc>
          <w:tcPr>
            <w:tcW w:w="6232" w:type="dxa"/>
            <w:vAlign w:val="center"/>
          </w:tcPr>
          <w:p w:rsidR="00D36134" w:rsidRPr="00C278D6" w:rsidRDefault="009C0C69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El Grupo,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mediante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correos electrónicos y teleconferencias, selecciona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a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los expertos para el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estudio sobre el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análisis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inicial valiéndose de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los criterios de selección aprobados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9677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(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véase </w:t>
            </w:r>
            <w:r w:rsidR="009677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I</w:t>
            </w:r>
            <w:r w:rsidR="0066750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PBES/2/9</w:t>
            </w:r>
            <w:r w:rsidR="009677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  <w:r w:rsidR="00667509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(1</w:t>
            </w:r>
            <w:r w:rsidR="00C12BF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a 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14 </w:t>
            </w:r>
            <w:r w:rsidR="00C12BF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febrero de </w:t>
            </w:r>
            <w:r w:rsidR="00D36134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2014)</w:t>
            </w:r>
          </w:p>
        </w:tc>
      </w:tr>
      <w:tr w:rsidR="00D36134" w:rsidRPr="00174225" w:rsidTr="00CC0998">
        <w:trPr>
          <w:trHeight w:val="584"/>
        </w:trPr>
        <w:tc>
          <w:tcPr>
            <w:tcW w:w="709" w:type="dxa"/>
            <w:vMerge/>
            <w:vAlign w:val="center"/>
          </w:tcPr>
          <w:p w:rsidR="00D36134" w:rsidRPr="00C278D6" w:rsidRDefault="00D36134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36134" w:rsidRPr="00174225" w:rsidRDefault="00AB1405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</w:t>
            </w:r>
            <w:r w:rsidR="00DB72C2"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gundo trimestre</w:t>
            </w:r>
          </w:p>
        </w:tc>
        <w:tc>
          <w:tcPr>
            <w:tcW w:w="6232" w:type="dxa"/>
            <w:vAlign w:val="center"/>
          </w:tcPr>
          <w:p w:rsidR="00D36134" w:rsidRPr="00174225" w:rsidRDefault="00174225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El Grupo y la Mesa supervisan el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análisis inicial detallado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con inclusión del esquema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los 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costos y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la 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viabilidad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(3 meses</w:t>
            </w:r>
            <w:r w:rsidR="00D36134"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). 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A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comienzos 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abril de 2014 se celebra una reunión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sobre el análisis inicial</w:t>
            </w:r>
            <w:r w:rsidRPr="0017422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.</w:t>
            </w:r>
          </w:p>
        </w:tc>
      </w:tr>
      <w:bookmarkEnd w:id="1"/>
      <w:tr w:rsidR="00DB72C2" w:rsidRPr="00C278D6" w:rsidTr="00CC0998">
        <w:trPr>
          <w:trHeight w:val="584"/>
        </w:trPr>
        <w:tc>
          <w:tcPr>
            <w:tcW w:w="709" w:type="dxa"/>
            <w:vMerge/>
            <w:vAlign w:val="center"/>
          </w:tcPr>
          <w:p w:rsidR="00DB72C2" w:rsidRPr="00174225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Segundo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576B4D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 informe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sobre el análisis inicial 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detallado se remite a los miembros de la Plataforma y otros interesados para que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lo examinen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y formulen observaciones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durante dos semanas en la segunda mitad de abril de 2014.</w:t>
            </w:r>
          </w:p>
        </w:tc>
      </w:tr>
      <w:tr w:rsidR="00DB72C2" w:rsidRPr="00C278D6" w:rsidTr="00CC0998">
        <w:trPr>
          <w:trHeight w:val="274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Segundo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576B4D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obre la base de los resultados del ejercicio de análisis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inicial detallado 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y las observaciones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presentadas por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los miembros de la 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Pla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ta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form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a y otros i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nteresados,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El Grupo y 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la Mesa decid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en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si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 procede o no con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la evaluación,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suponiendo que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esta pueda realizarse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en el marco del </w:t>
            </w:r>
            <w:r w:rsidR="00B430E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presupuesto aprobado por el Plenario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, en la primera mitad de mayo de 2014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.</w:t>
            </w:r>
          </w:p>
        </w:tc>
      </w:tr>
      <w:tr w:rsidR="00DB72C2" w:rsidRPr="00C278D6" w:rsidTr="00CC0998">
        <w:trPr>
          <w:trHeight w:val="866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Segundo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576B4D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Por conducto de la secretaría, e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l Grupo solicita a los gobiernos y otros interesados que pr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opongan 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expertos para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preparar 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el informe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. 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Las candidaturas se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deberán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presentar a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ntes de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fin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es</w:t>
            </w:r>
            <w:r w:rsidR="000D4B3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junio de 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2014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(1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mes y medio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.</w:t>
            </w:r>
          </w:p>
        </w:tc>
      </w:tr>
      <w:tr w:rsidR="00DB72C2" w:rsidRPr="00C278D6" w:rsidTr="00CC0998">
        <w:trPr>
          <w:trHeight w:val="584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Tercer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2C3E5C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El Grupo selecciona a los copresidentes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del informe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los autores principales encargados de la coordinación, los autores principales y los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revisores valiéndose de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los criterios de selección a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probados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véase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I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PBES/2/9)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del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1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6E71AF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julio 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al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15 de agosto de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2014 (1</w:t>
            </w:r>
            <w:r w:rsidR="00576B4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mes y medio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.</w:t>
            </w:r>
          </w:p>
        </w:tc>
      </w:tr>
      <w:tr w:rsidR="00DB72C2" w:rsidRPr="00C278D6" w:rsidTr="00CC0998">
        <w:trPr>
          <w:trHeight w:val="584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4C20D7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Tercer, c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uarto trimestres</w:t>
            </w:r>
          </w:p>
        </w:tc>
        <w:tc>
          <w:tcPr>
            <w:tcW w:w="6232" w:type="dxa"/>
            <w:vAlign w:val="center"/>
          </w:tcPr>
          <w:p w:rsidR="00DB72C2" w:rsidRPr="00C278D6" w:rsidRDefault="006D4EC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Antes de mediados de febrero de 2015, l</w:t>
            </w:r>
            <w:r w:rsidR="00AC109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os copresidentes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del informe</w:t>
            </w:r>
            <w:r w:rsidR="00AC109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, los autores principales encargados de la coordinación y los autores principales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preparan el primer </w:t>
            </w:r>
            <w:r w:rsidR="00AC109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proyecto de informe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</w:t>
            </w:r>
            <w:r w:rsidR="00297EB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6 </w:t>
            </w:r>
            <w:r w:rsidR="00AC109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meses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). </w:t>
            </w:r>
            <w:r w:rsidR="00AC1098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En septiembre de 2014 se celebra una primera reunión de autores</w:t>
            </w:r>
          </w:p>
        </w:tc>
      </w:tr>
      <w:tr w:rsidR="00DB72C2" w:rsidRPr="00C278D6" w:rsidTr="00CC0998">
        <w:trPr>
          <w:trHeight w:val="504"/>
        </w:trPr>
        <w:tc>
          <w:tcPr>
            <w:tcW w:w="709" w:type="dxa"/>
            <w:vMerge w:val="restart"/>
            <w:vAlign w:val="center"/>
          </w:tcPr>
          <w:p w:rsidR="00DB72C2" w:rsidRPr="00C278D6" w:rsidRDefault="00DB72C2" w:rsidP="003A68E7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2015</w:t>
            </w: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Primer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8A45EC" w:rsidP="003A68E7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Hasta fines de marzo de 2015, los expertos examinan el primer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proyecto de informe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(1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mes y medio, 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2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meses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</w:p>
        </w:tc>
      </w:tr>
      <w:tr w:rsidR="00DB72C2" w:rsidRPr="00C278D6" w:rsidTr="00CC0998">
        <w:trPr>
          <w:trHeight w:val="567"/>
        </w:trPr>
        <w:tc>
          <w:tcPr>
            <w:tcW w:w="709" w:type="dxa"/>
            <w:vMerge/>
          </w:tcPr>
          <w:p w:rsidR="00DB72C2" w:rsidRPr="00C278D6" w:rsidRDefault="00DB72C2" w:rsidP="003A68E7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Segundo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C21653" w:rsidP="003A68E7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 abril a junio de 2015 (3 meses), los copresidentes, los autores principales encargados de la coordinación y los autores principales preparan el segundo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proyecto de informe y un primer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proyecto de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resumen para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responsables de formular políticas bajo la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orientaci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ón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los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revisores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y el Grupo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.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En junio de 2015 se celebra una segunda reunión de autores</w:t>
            </w:r>
          </w:p>
        </w:tc>
      </w:tr>
      <w:tr w:rsidR="00DB72C2" w:rsidRPr="00C278D6" w:rsidTr="00CC0998">
        <w:trPr>
          <w:trHeight w:val="547"/>
        </w:trPr>
        <w:tc>
          <w:tcPr>
            <w:tcW w:w="709" w:type="dxa"/>
            <w:vMerge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Tercer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6D4EC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</w:t>
            </w:r>
            <w:r w:rsidRP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urante julio y agosto de 2015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, l</w:t>
            </w:r>
            <w:r w:rsidR="00C216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os expertos, los gobiernos y otros interesados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examinan el </w:t>
            </w:r>
            <w:r w:rsidR="00C216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segundo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proyecto de informe y e</w:t>
            </w:r>
            <w:r w:rsidR="00C216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l primer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C216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resumen para los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responsables</w:t>
            </w:r>
            <w:r w:rsidR="00C21653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formular políticas (2 meses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</w:p>
        </w:tc>
      </w:tr>
      <w:tr w:rsidR="00DB72C2" w:rsidRPr="00C278D6" w:rsidTr="00CC0998">
        <w:trPr>
          <w:trHeight w:val="215"/>
        </w:trPr>
        <w:tc>
          <w:tcPr>
            <w:tcW w:w="709" w:type="dxa"/>
            <w:vMerge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4C20D7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Tercer, c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uarto trimestres</w:t>
            </w:r>
          </w:p>
        </w:tc>
        <w:tc>
          <w:tcPr>
            <w:tcW w:w="6232" w:type="dxa"/>
            <w:vAlign w:val="center"/>
          </w:tcPr>
          <w:p w:rsidR="00DB72C2" w:rsidRPr="00C278D6" w:rsidRDefault="00C21653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Durante septiembre y octubre de 2015 (2 meses),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bajo la orientación de los revisores y el Grupo,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l</w:t>
            </w:r>
            <w:r w:rsidR="00DF321C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os copresidentes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del informe</w:t>
            </w:r>
            <w:r w:rsidR="00DF321C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, los autores principale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 encargados de la coordinación y</w:t>
            </w:r>
            <w:r w:rsidR="00DF321C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los autores principales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preparan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la versión final del proyecto de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informe y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la versión final del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proyecto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resumen para los 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responsables. </w:t>
            </w: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En octubre de 2015 se celebra</w:t>
            </w:r>
            <w:r w:rsidR="006D4ECA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una tercera reunión de autores</w:t>
            </w:r>
          </w:p>
        </w:tc>
      </w:tr>
      <w:tr w:rsidR="00DB72C2" w:rsidRPr="00C278D6" w:rsidTr="00CC0998">
        <w:trPr>
          <w:trHeight w:val="479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Cuarto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6D4EC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A más tardar a mediados de diciembre de 2015, e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 resumen para los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responsables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de formular políticas se traduce a todos los idiomas oficiales de las Naciones Unidas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(1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mes y medio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)</w:t>
            </w:r>
          </w:p>
        </w:tc>
      </w:tr>
      <w:tr w:rsidR="00DB72C2" w:rsidRPr="00C278D6" w:rsidTr="00CC0998">
        <w:trPr>
          <w:trHeight w:val="242"/>
        </w:trPr>
        <w:tc>
          <w:tcPr>
            <w:tcW w:w="709" w:type="dxa"/>
            <w:vMerge w:val="restart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2016</w:t>
            </w: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Primer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6D4ECA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Durante enero y febrero de 2016, la versión final del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proyecto de informe y el resumen para los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responsables de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formular políticas se remiten a los gobi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ernos y otros interesados para su examen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final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(1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mes y medio, 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2 m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eses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).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Se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insta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encarecidamente a los gobiernos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a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que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formulen por escrito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observaciones </w:t>
            </w:r>
            <w:r w:rsidR="00871D6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sobre el proyecto de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resumen para los </w:t>
            </w:r>
            <w:r w:rsidR="00871D6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responsables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de formular políticas</w:t>
            </w:r>
            <w:r w:rsidR="00DB72C2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.</w:t>
            </w:r>
            <w:r w:rsidR="00516A5D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Esas observaciones debe</w:t>
            </w:r>
            <w:r w:rsidR="00871D6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rá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n presentarse a la secretaría </w:t>
            </w:r>
            <w:r w:rsidR="00871D6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con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una semana </w:t>
            </w:r>
            <w:r w:rsidR="00871D65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de antelación al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cuarto periodo de sesiones del Plenario</w:t>
            </w:r>
          </w:p>
        </w:tc>
      </w:tr>
      <w:tr w:rsidR="00DB72C2" w:rsidRPr="00C278D6" w:rsidTr="00CC0998">
        <w:trPr>
          <w:trHeight w:val="242"/>
        </w:trPr>
        <w:tc>
          <w:tcPr>
            <w:tcW w:w="709" w:type="dxa"/>
            <w:vMerge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18" w:type="dxa"/>
            <w:vAlign w:val="center"/>
          </w:tcPr>
          <w:p w:rsidR="00DB72C2" w:rsidRPr="00C278D6" w:rsidRDefault="00DB72C2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Primer trimestre</w:t>
            </w:r>
          </w:p>
        </w:tc>
        <w:tc>
          <w:tcPr>
            <w:tcW w:w="6232" w:type="dxa"/>
            <w:vAlign w:val="center"/>
          </w:tcPr>
          <w:p w:rsidR="00DB72C2" w:rsidRPr="00C278D6" w:rsidRDefault="00871D65" w:rsidP="003A68E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</w:pPr>
            <w:r w:rsidRPr="00871D65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En su cuarto período de sesiones, en marzo de 20</w:t>
            </w:r>
            <w:r w:rsidR="00297EB5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1</w:t>
            </w:r>
            <w:r w:rsidRPr="00871D65"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6</w:t>
            </w:r>
            <w:r>
              <w:rPr>
                <w:rFonts w:ascii="Times New Roman" w:eastAsia="SimSun" w:hAnsi="Times New Roman"/>
                <w:sz w:val="19"/>
                <w:szCs w:val="19"/>
                <w:lang w:val="es-ES_tradnl" w:eastAsia="zh-CN"/>
              </w:rPr>
              <w:t>, e</w:t>
            </w:r>
            <w:r w:rsidR="00AD40D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 Plenario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examina</w:t>
            </w:r>
            <w:r w:rsidR="00AD40D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y acepta el informe y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las revisiones </w:t>
            </w:r>
            <w:r w:rsidR="00AD40DA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y aprueba el 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resumen para los </w:t>
            </w:r>
            <w:r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>responsables de</w:t>
            </w:r>
            <w:r w:rsidR="00725E75" w:rsidRPr="00C278D6">
              <w:rPr>
                <w:rFonts w:ascii="Times New Roman" w:eastAsia="SimSun" w:hAnsi="Times New Roman"/>
                <w:sz w:val="19"/>
                <w:szCs w:val="19"/>
                <w:lang w:val="es-ES" w:eastAsia="zh-CN"/>
              </w:rPr>
              <w:t xml:space="preserve"> formular políticas</w:t>
            </w:r>
          </w:p>
        </w:tc>
      </w:tr>
    </w:tbl>
    <w:p w:rsidR="00D36134" w:rsidRPr="00C278D6" w:rsidRDefault="00C91306" w:rsidP="003A68E7">
      <w:pPr>
        <w:pStyle w:val="CH1"/>
        <w:rPr>
          <w:lang w:val="es-ES"/>
        </w:rPr>
      </w:pPr>
      <w:r w:rsidRPr="00C278D6">
        <w:rPr>
          <w:lang w:val="es-ES"/>
        </w:rPr>
        <w:tab/>
      </w:r>
      <w:r w:rsidR="00614485" w:rsidRPr="00C278D6">
        <w:rPr>
          <w:lang w:val="es-ES"/>
        </w:rPr>
        <w:t>V.</w:t>
      </w:r>
      <w:r w:rsidR="00D36134" w:rsidRPr="00C278D6">
        <w:rPr>
          <w:lang w:val="es-ES"/>
        </w:rPr>
        <w:tab/>
      </w:r>
      <w:r w:rsidR="00A26A4C" w:rsidRPr="00C278D6">
        <w:rPr>
          <w:lang w:val="es-ES"/>
        </w:rPr>
        <w:t>Estimación de los costos</w:t>
      </w:r>
    </w:p>
    <w:p w:rsidR="008839C0" w:rsidRPr="00C278D6" w:rsidRDefault="008331D6" w:rsidP="003A68E7">
      <w:pPr>
        <w:pStyle w:val="Normalnumber"/>
        <w:rPr>
          <w:sz w:val="20"/>
          <w:szCs w:val="20"/>
          <w:lang w:val="es-ES"/>
        </w:rPr>
      </w:pPr>
      <w:r w:rsidRPr="00C278D6">
        <w:rPr>
          <w:sz w:val="20"/>
          <w:szCs w:val="20"/>
          <w:lang w:val="es-ES"/>
        </w:rPr>
        <w:t>En el cuadro que fi</w:t>
      </w:r>
      <w:r w:rsidR="00A015CC" w:rsidRPr="00C278D6">
        <w:rPr>
          <w:sz w:val="20"/>
          <w:szCs w:val="20"/>
          <w:lang w:val="es-ES"/>
        </w:rPr>
        <w:t xml:space="preserve">gura a continuación se presenta una estimación de </w:t>
      </w:r>
      <w:r w:rsidRPr="00C278D6">
        <w:rPr>
          <w:sz w:val="20"/>
          <w:szCs w:val="20"/>
          <w:lang w:val="es-ES"/>
        </w:rPr>
        <w:t xml:space="preserve">los costos de realización </w:t>
      </w:r>
      <w:r w:rsidR="00A015CC" w:rsidRPr="00C278D6">
        <w:rPr>
          <w:sz w:val="20"/>
          <w:szCs w:val="20"/>
          <w:lang w:val="es-ES"/>
        </w:rPr>
        <w:t xml:space="preserve">de la evaluación y </w:t>
      </w:r>
      <w:r w:rsidR="00EE3729">
        <w:rPr>
          <w:sz w:val="20"/>
          <w:szCs w:val="20"/>
          <w:lang w:val="es-ES"/>
        </w:rPr>
        <w:t xml:space="preserve">de </w:t>
      </w:r>
      <w:r w:rsidR="00A015CC" w:rsidRPr="00C278D6">
        <w:rPr>
          <w:sz w:val="20"/>
          <w:szCs w:val="20"/>
          <w:lang w:val="es-ES"/>
        </w:rPr>
        <w:t>preparación del informe sobre la evaluación temática.</w:t>
      </w:r>
    </w:p>
    <w:p w:rsidR="008839C0" w:rsidRPr="00C278D6" w:rsidRDefault="008839C0" w:rsidP="003A68E7">
      <w:pPr>
        <w:pStyle w:val="Normalnumber"/>
        <w:numPr>
          <w:ilvl w:val="0"/>
          <w:numId w:val="0"/>
        </w:numPr>
        <w:ind w:left="1247"/>
        <w:rPr>
          <w:sz w:val="18"/>
          <w:szCs w:val="18"/>
          <w:lang w:val="es-ES"/>
        </w:rPr>
      </w:pPr>
      <w:r w:rsidRPr="00C278D6">
        <w:rPr>
          <w:sz w:val="18"/>
          <w:szCs w:val="18"/>
          <w:lang w:val="es-ES"/>
        </w:rPr>
        <w:t>(</w:t>
      </w:r>
      <w:r w:rsidR="0039402D">
        <w:rPr>
          <w:sz w:val="18"/>
          <w:szCs w:val="18"/>
          <w:lang w:val="es-ES"/>
        </w:rPr>
        <w:t>d</w:t>
      </w:r>
      <w:r w:rsidR="00174225" w:rsidRPr="00C278D6">
        <w:rPr>
          <w:sz w:val="18"/>
          <w:szCs w:val="18"/>
          <w:lang w:val="es-ES"/>
        </w:rPr>
        <w:t>ólares</w:t>
      </w:r>
      <w:r w:rsidR="00A26A4C" w:rsidRPr="00C278D6">
        <w:rPr>
          <w:sz w:val="18"/>
          <w:szCs w:val="18"/>
          <w:lang w:val="es-ES"/>
        </w:rPr>
        <w:t xml:space="preserve"> de los Estados Unidos</w:t>
      </w:r>
      <w:r w:rsidRPr="00C278D6">
        <w:rPr>
          <w:sz w:val="18"/>
          <w:szCs w:val="18"/>
          <w:lang w:val="es-ES"/>
        </w:rPr>
        <w:t>)</w:t>
      </w: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011"/>
        <w:gridCol w:w="1760"/>
        <w:gridCol w:w="1127"/>
        <w:gridCol w:w="1818"/>
        <w:gridCol w:w="994"/>
        <w:gridCol w:w="50"/>
      </w:tblGrid>
      <w:tr w:rsidR="00D36134" w:rsidRPr="00C278D6" w:rsidTr="00CC0998">
        <w:trPr>
          <w:gridAfter w:val="1"/>
          <w:wAfter w:w="50" w:type="dxa"/>
          <w:tblHeader/>
        </w:trPr>
        <w:tc>
          <w:tcPr>
            <w:tcW w:w="705" w:type="dxa"/>
          </w:tcPr>
          <w:p w:rsidR="00D36134" w:rsidRPr="00C278D6" w:rsidRDefault="00A26A4C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Año</w:t>
            </w:r>
          </w:p>
        </w:tc>
        <w:tc>
          <w:tcPr>
            <w:tcW w:w="3771" w:type="dxa"/>
            <w:gridSpan w:val="2"/>
          </w:tcPr>
          <w:p w:rsidR="00D36134" w:rsidRPr="00C278D6" w:rsidRDefault="00A26A4C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Partida de gast</w:t>
            </w:r>
            <w:r w:rsidR="00D36134"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os</w:t>
            </w:r>
          </w:p>
        </w:tc>
        <w:tc>
          <w:tcPr>
            <w:tcW w:w="2945" w:type="dxa"/>
            <w:gridSpan w:val="2"/>
          </w:tcPr>
          <w:p w:rsidR="00D36134" w:rsidRPr="00C278D6" w:rsidRDefault="00A26A4C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Supuestos</w:t>
            </w:r>
          </w:p>
        </w:tc>
        <w:tc>
          <w:tcPr>
            <w:tcW w:w="994" w:type="dxa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Cost</w:t>
            </w:r>
            <w:r w:rsidR="00A26A4C" w:rsidRPr="00C278D6">
              <w:rPr>
                <w:rFonts w:ascii="Times New Roman" w:eastAsia="SimSun" w:hAnsi="Times New Roman"/>
                <w:i/>
                <w:sz w:val="20"/>
                <w:szCs w:val="20"/>
                <w:lang w:val="es-ES" w:eastAsia="zh-CN"/>
              </w:rPr>
              <w:t>o</w:t>
            </w:r>
          </w:p>
        </w:tc>
      </w:tr>
      <w:tr w:rsidR="00D36134" w:rsidRPr="00C278D6" w:rsidTr="00CC0998">
        <w:trPr>
          <w:gridAfter w:val="1"/>
          <w:wAfter w:w="50" w:type="dxa"/>
        </w:trPr>
        <w:tc>
          <w:tcPr>
            <w:tcW w:w="705" w:type="dxa"/>
            <w:vMerge w:val="restart"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2014</w:t>
            </w:r>
          </w:p>
        </w:tc>
        <w:tc>
          <w:tcPr>
            <w:tcW w:w="3771" w:type="dxa"/>
            <w:gridSpan w:val="2"/>
            <w:vMerge w:val="restart"/>
            <w:vAlign w:val="center"/>
          </w:tcPr>
          <w:p w:rsidR="00D36134" w:rsidRPr="00C278D6" w:rsidRDefault="00A26A4C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Reunión de análisis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inicial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Grupo multidisciplinario de expertos, miembros de la Mesa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más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expert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o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s)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Costos</w:t>
            </w:r>
            <w:r w:rsidR="00A26A4C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de la reunión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(1 </w:t>
            </w:r>
            <w:r w:rsidR="00A26A4C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semana,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25 participant</w:t>
            </w:r>
            <w:r w:rsidR="00A26A4C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s) (25</w:t>
            </w:r>
            <w:r w:rsidR="00A26A4C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% en especie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7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500</w:t>
            </w:r>
          </w:p>
        </w:tc>
      </w:tr>
      <w:tr w:rsidR="00D36134" w:rsidRPr="00C278D6" w:rsidTr="00CC0998">
        <w:trPr>
          <w:gridAfter w:val="1"/>
          <w:wAfter w:w="50" w:type="dxa"/>
          <w:trHeight w:val="187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945" w:type="dxa"/>
            <w:gridSpan w:val="2"/>
          </w:tcPr>
          <w:p w:rsidR="00D36134" w:rsidRPr="00C278D6" w:rsidRDefault="008331D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Viajes y dietas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(19 x 3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.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dólares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57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 w:val="restart"/>
            <w:vAlign w:val="center"/>
          </w:tcPr>
          <w:p w:rsidR="00D36134" w:rsidRPr="00C278D6" w:rsidRDefault="00874A17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Primera reunión de autores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(65</w:t>
            </w:r>
            <w:r w:rsidR="00021598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 </w:t>
            </w:r>
            <w:r w:rsidR="008839C0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o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presidentes,</w:t>
            </w:r>
            <w:r w:rsidR="00516A5D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autores principales encargados de la coordinación y autores principales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más 4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miembros del Grupo</w:t>
            </w:r>
            <w:r w:rsidR="0079611A" w:rsidRPr="0079611A">
              <w:rPr>
                <w:rFonts w:ascii="Times New Roman" w:eastAsia="SimSun" w:hAnsi="Times New Roman"/>
                <w:sz w:val="18"/>
                <w:szCs w:val="18"/>
                <w:lang w:val="es-ES_tradnl" w:eastAsia="zh-CN"/>
              </w:rPr>
              <w:t xml:space="preserve"> </w:t>
            </w:r>
            <w:r w:rsidR="0079611A" w:rsidRPr="0079611A">
              <w:rPr>
                <w:rFonts w:ascii="Times New Roman" w:eastAsia="SimSun" w:hAnsi="Times New Roman"/>
                <w:sz w:val="20"/>
                <w:szCs w:val="20"/>
                <w:lang w:val="es-ES_tradnl" w:eastAsia="zh-CN"/>
              </w:rPr>
              <w:t>multidisciplinario de expertos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/Mesa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más 1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funcionario de apoyo técnico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Costos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de la reunión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(1 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semana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, 70 participant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s) (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25% en especie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994" w:type="dxa"/>
          </w:tcPr>
          <w:p w:rsidR="00D36134" w:rsidRPr="00C278D6" w:rsidRDefault="00AC31BB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39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D36134" w:rsidRPr="00C278D6" w:rsidRDefault="008331D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Viajes y dietas (53 x 3.000 dólares)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159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61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D36134" w:rsidRPr="00C278D6" w:rsidRDefault="00874A17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Apoyo técnico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CC0998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72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 p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uesto </w:t>
            </w: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equivalente a funcionario del</w:t>
            </w:r>
            <w:r w:rsidR="00516A5D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cuadro orgánico</w:t>
            </w: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a 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tiempo completo (50 % en especie)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75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</w:trPr>
        <w:tc>
          <w:tcPr>
            <w:tcW w:w="705" w:type="dxa"/>
            <w:vMerge w:val="restart"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lastRenderedPageBreak/>
              <w:t>2015</w:t>
            </w:r>
          </w:p>
        </w:tc>
        <w:tc>
          <w:tcPr>
            <w:tcW w:w="3771" w:type="dxa"/>
            <w:gridSpan w:val="2"/>
            <w:vMerge w:val="restart"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Se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gunda reunión de autores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(65</w:t>
            </w:r>
            <w:r w:rsidR="00021598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 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copresidentes,</w:t>
            </w:r>
            <w:r w:rsidR="00516A5D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autores principales encargados de la coordinación y autores principales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más 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16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revisores más 4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miembros del Grupo</w:t>
            </w:r>
            <w:r w:rsidR="00EE3729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multidisciplinario de expertos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/Mesa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más 1 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funcionario de apoyo técnico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Costos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de la reunión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(1 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semana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, 86 participant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s) (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25% en especie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61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D36134" w:rsidRPr="00C278D6" w:rsidRDefault="008331D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Viajes y dietas (65 x 3.000 dólares)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195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 w:val="restart"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T</w:t>
            </w:r>
            <w:r w:rsidR="00874A1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ercera reunión de autores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65 copresidentes,</w:t>
            </w:r>
            <w:r w:rsidR="00516A5D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autores principales encargados de la coordinación y autores principales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más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16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revisores, más 4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miembros del Grupo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multidisciplinario de expertos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/Mesa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más 1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funcionario de apoyo técnico)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Costos </w:t>
            </w:r>
            <w:r w:rsidR="00525A9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de la reunión (1 semana, 86 participantes) (25% en especie)</w:t>
            </w: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39"/>
        </w:trPr>
        <w:tc>
          <w:tcPr>
            <w:tcW w:w="705" w:type="dxa"/>
            <w:vMerge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021598" w:rsidRPr="00C278D6" w:rsidRDefault="008331D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Viajes y dietas (65 x 3.000 dólares)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195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61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D36134" w:rsidRPr="00C278D6" w:rsidRDefault="00525A9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Apoyo técnico</w:t>
            </w:r>
          </w:p>
        </w:tc>
        <w:tc>
          <w:tcPr>
            <w:tcW w:w="2945" w:type="dxa"/>
            <w:gridSpan w:val="2"/>
          </w:tcPr>
          <w:p w:rsidR="00D36134" w:rsidRPr="00C278D6" w:rsidRDefault="0079611A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79611A">
              <w:rPr>
                <w:rFonts w:ascii="Times New Roman" w:eastAsia="SimSun" w:hAnsi="Times New Roman"/>
                <w:sz w:val="20"/>
                <w:szCs w:val="20"/>
                <w:lang w:val="es-ES_tradnl" w:eastAsia="zh-CN"/>
              </w:rPr>
              <w:t xml:space="preserve">1 puesto equivalente a funcionario del cuadro orgánico a tiempo completo 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(50</w:t>
            </w:r>
            <w:r w:rsidR="008839C0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% en especie</w:t>
            </w:r>
            <w:r w:rsidR="00D36134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75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  <w:trHeight w:val="357"/>
        </w:trPr>
        <w:tc>
          <w:tcPr>
            <w:tcW w:w="705" w:type="dxa"/>
            <w:vMerge w:val="restart"/>
            <w:vAlign w:val="center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2016</w:t>
            </w:r>
          </w:p>
        </w:tc>
        <w:tc>
          <w:tcPr>
            <w:tcW w:w="3771" w:type="dxa"/>
            <w:gridSpan w:val="2"/>
            <w:vAlign w:val="center"/>
          </w:tcPr>
          <w:p w:rsidR="00D36134" w:rsidRPr="00C278D6" w:rsidRDefault="00B12E37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Participa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ción de</w:t>
            </w:r>
            <w:r w:rsidR="00516A5D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copresidentes y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autores principales encargados de la coordinación en el cuarto período de sesiones del Plenario</w:t>
            </w:r>
          </w:p>
        </w:tc>
        <w:tc>
          <w:tcPr>
            <w:tcW w:w="2945" w:type="dxa"/>
            <w:gridSpan w:val="2"/>
          </w:tcPr>
          <w:p w:rsidR="00D36134" w:rsidRPr="00C278D6" w:rsidRDefault="008331D6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Viajes y dietas (3 x 3.000 dólares)</w:t>
            </w: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9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Del="001E184E" w:rsidTr="00CC0998">
        <w:trPr>
          <w:gridAfter w:val="1"/>
          <w:wAfter w:w="50" w:type="dxa"/>
          <w:trHeight w:val="560"/>
        </w:trPr>
        <w:tc>
          <w:tcPr>
            <w:tcW w:w="705" w:type="dxa"/>
            <w:vMerge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771" w:type="dxa"/>
            <w:gridSpan w:val="2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Di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fusión y divulgación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(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resumen para responsables de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formular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políticas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(</w:t>
            </w:r>
            <w:r w:rsidR="00FE1E0B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10 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áginas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) 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e informe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(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200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áginas</w:t>
            </w:r>
            <w:r w:rsidR="00B12E37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  <w:r w:rsidR="00FE1E0B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)</w:t>
            </w:r>
          </w:p>
        </w:tc>
        <w:tc>
          <w:tcPr>
            <w:tcW w:w="2945" w:type="dxa"/>
            <w:gridSpan w:val="2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Tra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ducción del resumen para responsables de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formular 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políticas </w:t>
            </w:r>
            <w:r w:rsidR="0079611A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a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todos los idiomas oficiales de las Naciones Unidas,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publica</w:t>
            </w:r>
            <w:r w:rsidR="008331D6"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ción y divulgación</w:t>
            </w:r>
          </w:p>
        </w:tc>
        <w:tc>
          <w:tcPr>
            <w:tcW w:w="994" w:type="dxa"/>
          </w:tcPr>
          <w:p w:rsidR="00D36134" w:rsidRPr="00C278D6" w:rsidDel="001E184E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117</w:t>
            </w:r>
            <w:r w:rsidR="00644D20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  <w:t>000</w:t>
            </w:r>
          </w:p>
        </w:tc>
      </w:tr>
      <w:tr w:rsidR="00D36134" w:rsidRPr="00C278D6" w:rsidTr="00CC0998">
        <w:trPr>
          <w:gridAfter w:val="1"/>
          <w:wAfter w:w="50" w:type="dxa"/>
        </w:trPr>
        <w:tc>
          <w:tcPr>
            <w:tcW w:w="705" w:type="dxa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  <w:t>Total</w:t>
            </w:r>
          </w:p>
        </w:tc>
        <w:tc>
          <w:tcPr>
            <w:tcW w:w="3771" w:type="dxa"/>
            <w:gridSpan w:val="2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945" w:type="dxa"/>
            <w:gridSpan w:val="2"/>
          </w:tcPr>
          <w:p w:rsidR="00D36134" w:rsidRPr="00C278D6" w:rsidRDefault="00D36134" w:rsidP="003A68E7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994" w:type="dxa"/>
          </w:tcPr>
          <w:p w:rsidR="00D36134" w:rsidRPr="00C278D6" w:rsidRDefault="00D36134" w:rsidP="00644D20">
            <w:pPr>
              <w:pStyle w:val="ColorfulList-Accent1"/>
              <w:tabs>
                <w:tab w:val="left" w:pos="426"/>
              </w:tabs>
              <w:autoSpaceDE w:val="0"/>
              <w:autoSpaceDN w:val="0"/>
              <w:adjustRightInd w:val="0"/>
              <w:spacing w:before="20" w:after="2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</w:pPr>
            <w:r w:rsidRPr="00C278D6"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  <w:t>934</w:t>
            </w:r>
            <w:r w:rsidR="00644D20"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  <w:t xml:space="preserve"> </w:t>
            </w:r>
            <w:r w:rsidRPr="00C278D6">
              <w:rPr>
                <w:rFonts w:ascii="Times New Roman" w:eastAsia="SimSun" w:hAnsi="Times New Roman"/>
                <w:b/>
                <w:sz w:val="20"/>
                <w:szCs w:val="20"/>
                <w:lang w:val="es-ES" w:eastAsia="zh-CN"/>
              </w:rPr>
              <w:t>500</w:t>
            </w:r>
          </w:p>
        </w:tc>
      </w:tr>
      <w:tr w:rsidR="00614485" w:rsidRPr="00C278D6" w:rsidTr="00CC0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16" w:type="dxa"/>
            <w:gridSpan w:val="2"/>
          </w:tcPr>
          <w:p w:rsidR="00614485" w:rsidRPr="00C278D6" w:rsidRDefault="00614485" w:rsidP="00644D20">
            <w:pPr>
              <w:pStyle w:val="Normal-pool"/>
              <w:spacing w:before="240" w:after="20"/>
              <w:rPr>
                <w:sz w:val="20"/>
                <w:szCs w:val="20"/>
                <w:lang w:val="es-ES"/>
              </w:rPr>
            </w:pP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614485" w:rsidRPr="00C278D6" w:rsidRDefault="00614485" w:rsidP="003A68E7">
            <w:pPr>
              <w:pStyle w:val="Normal-pool"/>
              <w:spacing w:before="20" w:after="20"/>
              <w:rPr>
                <w:sz w:val="20"/>
                <w:szCs w:val="20"/>
                <w:lang w:val="es-ES"/>
              </w:rPr>
            </w:pPr>
          </w:p>
        </w:tc>
        <w:tc>
          <w:tcPr>
            <w:tcW w:w="2862" w:type="dxa"/>
            <w:gridSpan w:val="3"/>
          </w:tcPr>
          <w:p w:rsidR="00614485" w:rsidRPr="00C278D6" w:rsidRDefault="00614485" w:rsidP="003A68E7">
            <w:pPr>
              <w:pStyle w:val="Normal-pool"/>
              <w:spacing w:before="20" w:after="20"/>
              <w:rPr>
                <w:sz w:val="20"/>
                <w:szCs w:val="20"/>
                <w:lang w:val="es-ES"/>
              </w:rPr>
            </w:pPr>
          </w:p>
        </w:tc>
      </w:tr>
    </w:tbl>
    <w:p w:rsidR="00D36134" w:rsidRPr="00C278D6" w:rsidRDefault="00D36134" w:rsidP="003A68E7">
      <w:pPr>
        <w:pStyle w:val="BBTitle"/>
        <w:spacing w:before="20" w:after="20"/>
        <w:rPr>
          <w:sz w:val="20"/>
          <w:szCs w:val="20"/>
          <w:lang w:val="es-ES"/>
        </w:rPr>
      </w:pPr>
    </w:p>
    <w:sectPr w:rsidR="00D36134" w:rsidRPr="00C278D6" w:rsidSect="00713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A5" w:rsidRDefault="00121FA5">
      <w:r>
        <w:separator/>
      </w:r>
    </w:p>
  </w:endnote>
  <w:endnote w:type="continuationSeparator" w:id="0">
    <w:p w:rsidR="00121FA5" w:rsidRDefault="0012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Default="00E6534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2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Default="00E6534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23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Pr="00864922" w:rsidRDefault="00E65348" w:rsidP="00194D87">
    <w:pPr>
      <w:pStyle w:val="Footer"/>
      <w:tabs>
        <w:tab w:val="clear" w:pos="4320"/>
        <w:tab w:val="clear" w:pos="8640"/>
        <w:tab w:val="left" w:pos="62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K135378</w:t>
    </w:r>
    <w:r w:rsidR="0039402D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ab/>
    </w:r>
    <w:r w:rsidR="00644D20">
      <w:rPr>
        <w:rFonts w:ascii="Times New Roman" w:hAnsi="Times New Roman"/>
        <w:sz w:val="20"/>
        <w:szCs w:val="20"/>
      </w:rPr>
      <w:t>15</w:t>
    </w:r>
    <w:r w:rsidR="0039402D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A5" w:rsidRPr="00A53029" w:rsidRDefault="00121FA5" w:rsidP="00A53029">
      <w:pPr>
        <w:spacing w:after="120" w:line="240" w:lineRule="auto"/>
        <w:ind w:left="624"/>
        <w:rPr>
          <w:rFonts w:ascii="Times New Roman" w:hAnsi="Times New Roman"/>
          <w:sz w:val="20"/>
          <w:szCs w:val="20"/>
        </w:rPr>
      </w:pPr>
      <w:r w:rsidRPr="00A53029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121FA5" w:rsidRDefault="00121FA5">
      <w:r>
        <w:continuationSeparator/>
      </w:r>
    </w:p>
  </w:footnote>
  <w:footnote w:id="1">
    <w:p w:rsidR="00E65348" w:rsidRPr="00722F99" w:rsidRDefault="00E65348" w:rsidP="00D27251">
      <w:pPr>
        <w:pStyle w:val="FootnoteText"/>
        <w:rPr>
          <w:szCs w:val="18"/>
          <w:lang w:val="en-US"/>
        </w:rPr>
      </w:pPr>
      <w:r w:rsidRPr="00722F99">
        <w:rPr>
          <w:rStyle w:val="FootnoteReference"/>
          <w:sz w:val="18"/>
        </w:rPr>
        <w:sym w:font="Symbol" w:char="F02A"/>
      </w:r>
      <w:r w:rsidRPr="00722F99">
        <w:rPr>
          <w:szCs w:val="18"/>
        </w:rPr>
        <w:t xml:space="preserve"> IPBES/</w:t>
      </w:r>
      <w:r w:rsidRPr="00722F99">
        <w:rPr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Pr="00194D87" w:rsidRDefault="00E65348" w:rsidP="00194D87">
    <w:pPr>
      <w:pStyle w:val="Header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</w:t>
    </w:r>
    <w:r>
      <w:rPr>
        <w:rFonts w:ascii="Times New Roman" w:hAnsi="Times New Roman"/>
        <w:szCs w:val="18"/>
        <w:lang w:val="en-US" w:eastAsia="ja-JP"/>
      </w:rPr>
      <w:t>16/Add.8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Pr="00194D87" w:rsidRDefault="00E65348" w:rsidP="00194D87">
    <w:pPr>
      <w:pStyle w:val="Header"/>
      <w:jc w:val="right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2/1</w:t>
    </w:r>
    <w:r>
      <w:rPr>
        <w:rFonts w:ascii="Times New Roman" w:hAnsi="Times New Roman"/>
        <w:szCs w:val="18"/>
        <w:lang w:val="en-US" w:eastAsia="ja-JP"/>
      </w:rPr>
      <w:t>6/Add.8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48" w:rsidRPr="00762016" w:rsidRDefault="00E65348" w:rsidP="00762016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EA"/>
    <w:multiLevelType w:val="hybridMultilevel"/>
    <w:tmpl w:val="79B6AC04"/>
    <w:lvl w:ilvl="0" w:tplc="94ECB778">
      <w:start w:val="1"/>
      <w:numFmt w:val="lowerLetter"/>
      <w:lvlText w:val="%1)"/>
      <w:lvlJc w:val="left"/>
      <w:pPr>
        <w:ind w:left="21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2427F18"/>
    <w:multiLevelType w:val="hybridMultilevel"/>
    <w:tmpl w:val="DEA4FC34"/>
    <w:lvl w:ilvl="0" w:tplc="0A76A888">
      <w:start w:val="1"/>
      <w:numFmt w:val="lowerLetter"/>
      <w:lvlText w:val="%1)"/>
      <w:lvlJc w:val="left"/>
      <w:pPr>
        <w:ind w:left="21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">
    <w:nsid w:val="31ED044C"/>
    <w:multiLevelType w:val="hybridMultilevel"/>
    <w:tmpl w:val="6DF84E8C"/>
    <w:lvl w:ilvl="0" w:tplc="CC24FEBA">
      <w:start w:val="1"/>
      <w:numFmt w:val="lowerLetter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C921F5"/>
    <w:multiLevelType w:val="hybridMultilevel"/>
    <w:tmpl w:val="6DF84E8C"/>
    <w:lvl w:ilvl="0" w:tplc="CC24FEBA">
      <w:start w:val="1"/>
      <w:numFmt w:val="lowerLetter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6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563B5A66"/>
    <w:multiLevelType w:val="hybridMultilevel"/>
    <w:tmpl w:val="6DF84E8C"/>
    <w:lvl w:ilvl="0" w:tplc="CC24FEBA">
      <w:start w:val="1"/>
      <w:numFmt w:val="lowerLetter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">
    <w:nsid w:val="605F702C"/>
    <w:multiLevelType w:val="hybridMultilevel"/>
    <w:tmpl w:val="67FA53DC"/>
    <w:lvl w:ilvl="0" w:tplc="86FAB36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1833CB2"/>
    <w:multiLevelType w:val="hybridMultilevel"/>
    <w:tmpl w:val="6DF84E8C"/>
    <w:lvl w:ilvl="0" w:tplc="CC24FEBA">
      <w:start w:val="1"/>
      <w:numFmt w:val="lowerLetter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">
    <w:nsid w:val="62291BF8"/>
    <w:multiLevelType w:val="multilevel"/>
    <w:tmpl w:val="F4ACF36E"/>
    <w:numStyleLink w:val="Normallist"/>
  </w:abstractNum>
  <w:num w:numId="1">
    <w:abstractNumId w:val="6"/>
  </w:num>
  <w:num w:numId="2">
    <w:abstractNumId w:val="1"/>
  </w:num>
  <w:num w:numId="3">
    <w:abstractNumId w:val="4"/>
  </w:num>
  <w:num w:numId="4">
    <w:abstractNumId w:val="1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activeWritingStyle w:appName="MSWord" w:lang="es-ES_tradnl" w:vendorID="64" w:dllVersion="131078" w:nlCheck="1" w:checkStyle="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7"/>
    <w:rsid w:val="000149E6"/>
    <w:rsid w:val="000179E3"/>
    <w:rsid w:val="00021598"/>
    <w:rsid w:val="000247B0"/>
    <w:rsid w:val="000249A3"/>
    <w:rsid w:val="0002522A"/>
    <w:rsid w:val="00026997"/>
    <w:rsid w:val="00033E0B"/>
    <w:rsid w:val="00035EDE"/>
    <w:rsid w:val="00046CB9"/>
    <w:rsid w:val="000509B4"/>
    <w:rsid w:val="000537AB"/>
    <w:rsid w:val="0006035B"/>
    <w:rsid w:val="00063A84"/>
    <w:rsid w:val="0007166E"/>
    <w:rsid w:val="0007169A"/>
    <w:rsid w:val="00071886"/>
    <w:rsid w:val="000742BC"/>
    <w:rsid w:val="00082A0C"/>
    <w:rsid w:val="00083504"/>
    <w:rsid w:val="0009640C"/>
    <w:rsid w:val="000A7BDF"/>
    <w:rsid w:val="000B199B"/>
    <w:rsid w:val="000B21D5"/>
    <w:rsid w:val="000B22A2"/>
    <w:rsid w:val="000C2A52"/>
    <w:rsid w:val="000D33C0"/>
    <w:rsid w:val="000D4B38"/>
    <w:rsid w:val="000D57BE"/>
    <w:rsid w:val="000D6941"/>
    <w:rsid w:val="000F4B6E"/>
    <w:rsid w:val="00115F01"/>
    <w:rsid w:val="001202E3"/>
    <w:rsid w:val="00121FA5"/>
    <w:rsid w:val="00123699"/>
    <w:rsid w:val="00124914"/>
    <w:rsid w:val="0013059D"/>
    <w:rsid w:val="00135DB9"/>
    <w:rsid w:val="00141A55"/>
    <w:rsid w:val="00142406"/>
    <w:rsid w:val="001446A3"/>
    <w:rsid w:val="00155395"/>
    <w:rsid w:val="00157896"/>
    <w:rsid w:val="00164791"/>
    <w:rsid w:val="00166EBC"/>
    <w:rsid w:val="00170D52"/>
    <w:rsid w:val="00171546"/>
    <w:rsid w:val="00174225"/>
    <w:rsid w:val="00181EC8"/>
    <w:rsid w:val="00184349"/>
    <w:rsid w:val="0018649E"/>
    <w:rsid w:val="001867F5"/>
    <w:rsid w:val="00193420"/>
    <w:rsid w:val="00194D87"/>
    <w:rsid w:val="00195F33"/>
    <w:rsid w:val="0019672D"/>
    <w:rsid w:val="001B0DB9"/>
    <w:rsid w:val="001B1617"/>
    <w:rsid w:val="001B4122"/>
    <w:rsid w:val="001B4912"/>
    <w:rsid w:val="001B504B"/>
    <w:rsid w:val="001D01F0"/>
    <w:rsid w:val="001D0608"/>
    <w:rsid w:val="001D3874"/>
    <w:rsid w:val="001D7E75"/>
    <w:rsid w:val="001E56D2"/>
    <w:rsid w:val="001E7D56"/>
    <w:rsid w:val="001F1737"/>
    <w:rsid w:val="001F60D3"/>
    <w:rsid w:val="001F75DE"/>
    <w:rsid w:val="00200D58"/>
    <w:rsid w:val="002013BE"/>
    <w:rsid w:val="002063A4"/>
    <w:rsid w:val="0021145B"/>
    <w:rsid w:val="00221178"/>
    <w:rsid w:val="0022314C"/>
    <w:rsid w:val="002324CD"/>
    <w:rsid w:val="002417AA"/>
    <w:rsid w:val="00243D36"/>
    <w:rsid w:val="00247707"/>
    <w:rsid w:val="002722B4"/>
    <w:rsid w:val="00276A91"/>
    <w:rsid w:val="002826F5"/>
    <w:rsid w:val="00286740"/>
    <w:rsid w:val="002929D8"/>
    <w:rsid w:val="00293850"/>
    <w:rsid w:val="00297EB5"/>
    <w:rsid w:val="002A237D"/>
    <w:rsid w:val="002A4C53"/>
    <w:rsid w:val="002B0672"/>
    <w:rsid w:val="002B1B4C"/>
    <w:rsid w:val="002B247F"/>
    <w:rsid w:val="002B3767"/>
    <w:rsid w:val="002C145D"/>
    <w:rsid w:val="002C2C3E"/>
    <w:rsid w:val="002C3E5C"/>
    <w:rsid w:val="002C533E"/>
    <w:rsid w:val="002D027F"/>
    <w:rsid w:val="002D1797"/>
    <w:rsid w:val="002D7A85"/>
    <w:rsid w:val="002D7B60"/>
    <w:rsid w:val="002F4761"/>
    <w:rsid w:val="002F5C79"/>
    <w:rsid w:val="003019E2"/>
    <w:rsid w:val="00305EB8"/>
    <w:rsid w:val="00310FD9"/>
    <w:rsid w:val="0031413F"/>
    <w:rsid w:val="003148BB"/>
    <w:rsid w:val="00315D2C"/>
    <w:rsid w:val="00316934"/>
    <w:rsid w:val="00317976"/>
    <w:rsid w:val="00322C62"/>
    <w:rsid w:val="00355EA9"/>
    <w:rsid w:val="003578DE"/>
    <w:rsid w:val="00361489"/>
    <w:rsid w:val="00364DCD"/>
    <w:rsid w:val="0039402D"/>
    <w:rsid w:val="003941D4"/>
    <w:rsid w:val="00396257"/>
    <w:rsid w:val="00397EB8"/>
    <w:rsid w:val="003A086E"/>
    <w:rsid w:val="003A1138"/>
    <w:rsid w:val="003A4FD0"/>
    <w:rsid w:val="003A68E7"/>
    <w:rsid w:val="003A69D1"/>
    <w:rsid w:val="003A7375"/>
    <w:rsid w:val="003A7705"/>
    <w:rsid w:val="003B1545"/>
    <w:rsid w:val="003C409D"/>
    <w:rsid w:val="003C5BA6"/>
    <w:rsid w:val="003F0E85"/>
    <w:rsid w:val="003F3DDC"/>
    <w:rsid w:val="003F523D"/>
    <w:rsid w:val="00405251"/>
    <w:rsid w:val="00410C55"/>
    <w:rsid w:val="00416854"/>
    <w:rsid w:val="00417725"/>
    <w:rsid w:val="00424864"/>
    <w:rsid w:val="0043209E"/>
    <w:rsid w:val="00436890"/>
    <w:rsid w:val="004377BC"/>
    <w:rsid w:val="00437F26"/>
    <w:rsid w:val="00444097"/>
    <w:rsid w:val="00445487"/>
    <w:rsid w:val="0045436D"/>
    <w:rsid w:val="00454769"/>
    <w:rsid w:val="00466991"/>
    <w:rsid w:val="0047064C"/>
    <w:rsid w:val="00485701"/>
    <w:rsid w:val="004863D2"/>
    <w:rsid w:val="004946D3"/>
    <w:rsid w:val="004A42E1"/>
    <w:rsid w:val="004B162C"/>
    <w:rsid w:val="004C20D7"/>
    <w:rsid w:val="004C3DBE"/>
    <w:rsid w:val="004C5C96"/>
    <w:rsid w:val="004D06A4"/>
    <w:rsid w:val="004F00DD"/>
    <w:rsid w:val="004F1A81"/>
    <w:rsid w:val="00500621"/>
    <w:rsid w:val="00507945"/>
    <w:rsid w:val="00510CDD"/>
    <w:rsid w:val="00516A5D"/>
    <w:rsid w:val="005218D9"/>
    <w:rsid w:val="00525A96"/>
    <w:rsid w:val="00535AB5"/>
    <w:rsid w:val="00536186"/>
    <w:rsid w:val="00536907"/>
    <w:rsid w:val="00542442"/>
    <w:rsid w:val="00544CBB"/>
    <w:rsid w:val="00545478"/>
    <w:rsid w:val="00563C44"/>
    <w:rsid w:val="0057315F"/>
    <w:rsid w:val="00576104"/>
    <w:rsid w:val="00576B4D"/>
    <w:rsid w:val="005770B1"/>
    <w:rsid w:val="0057716D"/>
    <w:rsid w:val="0058068F"/>
    <w:rsid w:val="005926C2"/>
    <w:rsid w:val="00594B10"/>
    <w:rsid w:val="005C04E2"/>
    <w:rsid w:val="005C57BB"/>
    <w:rsid w:val="005C67C8"/>
    <w:rsid w:val="005D0249"/>
    <w:rsid w:val="005D6E8C"/>
    <w:rsid w:val="005E1F25"/>
    <w:rsid w:val="005F100C"/>
    <w:rsid w:val="005F68DA"/>
    <w:rsid w:val="0060773B"/>
    <w:rsid w:val="006116FA"/>
    <w:rsid w:val="00614485"/>
    <w:rsid w:val="006157B5"/>
    <w:rsid w:val="00626FC6"/>
    <w:rsid w:val="006303B4"/>
    <w:rsid w:val="00633D3D"/>
    <w:rsid w:val="00633FDE"/>
    <w:rsid w:val="00641703"/>
    <w:rsid w:val="00641714"/>
    <w:rsid w:val="006431A6"/>
    <w:rsid w:val="00644D20"/>
    <w:rsid w:val="006459F6"/>
    <w:rsid w:val="006501AD"/>
    <w:rsid w:val="00651BFA"/>
    <w:rsid w:val="00662CC1"/>
    <w:rsid w:val="00663A51"/>
    <w:rsid w:val="00665A4B"/>
    <w:rsid w:val="00667509"/>
    <w:rsid w:val="00682847"/>
    <w:rsid w:val="00692E2A"/>
    <w:rsid w:val="006A76F2"/>
    <w:rsid w:val="006C5FA6"/>
    <w:rsid w:val="006D4ECA"/>
    <w:rsid w:val="006D7EFB"/>
    <w:rsid w:val="006E6672"/>
    <w:rsid w:val="006E6722"/>
    <w:rsid w:val="006E71AF"/>
    <w:rsid w:val="006E7F64"/>
    <w:rsid w:val="006F21D2"/>
    <w:rsid w:val="007027B9"/>
    <w:rsid w:val="00713D8F"/>
    <w:rsid w:val="00715E88"/>
    <w:rsid w:val="00725E75"/>
    <w:rsid w:val="00734CAA"/>
    <w:rsid w:val="007469A7"/>
    <w:rsid w:val="0075533C"/>
    <w:rsid w:val="00757581"/>
    <w:rsid w:val="007611A0"/>
    <w:rsid w:val="00762016"/>
    <w:rsid w:val="00763B36"/>
    <w:rsid w:val="007726B1"/>
    <w:rsid w:val="007823BE"/>
    <w:rsid w:val="0079611A"/>
    <w:rsid w:val="00796D3F"/>
    <w:rsid w:val="007A1683"/>
    <w:rsid w:val="007A36F8"/>
    <w:rsid w:val="007A5C12"/>
    <w:rsid w:val="007A7CB0"/>
    <w:rsid w:val="007B68A3"/>
    <w:rsid w:val="007C0F3E"/>
    <w:rsid w:val="007C2541"/>
    <w:rsid w:val="007D0B58"/>
    <w:rsid w:val="007D4237"/>
    <w:rsid w:val="007D66A8"/>
    <w:rsid w:val="007E003F"/>
    <w:rsid w:val="00802E72"/>
    <w:rsid w:val="008164F2"/>
    <w:rsid w:val="00817A84"/>
    <w:rsid w:val="00821395"/>
    <w:rsid w:val="00830E26"/>
    <w:rsid w:val="008331D6"/>
    <w:rsid w:val="00842585"/>
    <w:rsid w:val="00843576"/>
    <w:rsid w:val="00843B64"/>
    <w:rsid w:val="008478FC"/>
    <w:rsid w:val="00867BFF"/>
    <w:rsid w:val="00870972"/>
    <w:rsid w:val="00871D65"/>
    <w:rsid w:val="00874A17"/>
    <w:rsid w:val="0088054F"/>
    <w:rsid w:val="008839C0"/>
    <w:rsid w:val="008844E0"/>
    <w:rsid w:val="0088480A"/>
    <w:rsid w:val="0088757A"/>
    <w:rsid w:val="008957DD"/>
    <w:rsid w:val="00897D98"/>
    <w:rsid w:val="008A26B4"/>
    <w:rsid w:val="008A45EC"/>
    <w:rsid w:val="008A5A06"/>
    <w:rsid w:val="008A6DF2"/>
    <w:rsid w:val="008A7807"/>
    <w:rsid w:val="008B4CC9"/>
    <w:rsid w:val="008C0836"/>
    <w:rsid w:val="008C324F"/>
    <w:rsid w:val="008D2BB5"/>
    <w:rsid w:val="008D7C99"/>
    <w:rsid w:val="008E0FCB"/>
    <w:rsid w:val="008E329D"/>
    <w:rsid w:val="008E41D5"/>
    <w:rsid w:val="008F6070"/>
    <w:rsid w:val="00917671"/>
    <w:rsid w:val="0092178C"/>
    <w:rsid w:val="00930484"/>
    <w:rsid w:val="00930B88"/>
    <w:rsid w:val="00940DCC"/>
    <w:rsid w:val="0094179A"/>
    <w:rsid w:val="0094459E"/>
    <w:rsid w:val="00944DBC"/>
    <w:rsid w:val="00945C21"/>
    <w:rsid w:val="00950977"/>
    <w:rsid w:val="0095189F"/>
    <w:rsid w:val="00951A7B"/>
    <w:rsid w:val="009564A6"/>
    <w:rsid w:val="00967621"/>
    <w:rsid w:val="00967753"/>
    <w:rsid w:val="00967E6A"/>
    <w:rsid w:val="009712CD"/>
    <w:rsid w:val="009815A4"/>
    <w:rsid w:val="00985183"/>
    <w:rsid w:val="00990CB9"/>
    <w:rsid w:val="009935AC"/>
    <w:rsid w:val="0099386B"/>
    <w:rsid w:val="009979BF"/>
    <w:rsid w:val="009B19CE"/>
    <w:rsid w:val="009B4A0F"/>
    <w:rsid w:val="009C0C69"/>
    <w:rsid w:val="009C0F13"/>
    <w:rsid w:val="009C11D2"/>
    <w:rsid w:val="009C289F"/>
    <w:rsid w:val="009C6C70"/>
    <w:rsid w:val="009D0B63"/>
    <w:rsid w:val="009D4BA6"/>
    <w:rsid w:val="009D4C74"/>
    <w:rsid w:val="009D5CE0"/>
    <w:rsid w:val="009E307E"/>
    <w:rsid w:val="00A015CC"/>
    <w:rsid w:val="00A05204"/>
    <w:rsid w:val="00A07870"/>
    <w:rsid w:val="00A07F19"/>
    <w:rsid w:val="00A1348D"/>
    <w:rsid w:val="00A232EE"/>
    <w:rsid w:val="00A26A4C"/>
    <w:rsid w:val="00A31DBD"/>
    <w:rsid w:val="00A365CD"/>
    <w:rsid w:val="00A3704C"/>
    <w:rsid w:val="00A4175F"/>
    <w:rsid w:val="00A44411"/>
    <w:rsid w:val="00A469FA"/>
    <w:rsid w:val="00A53029"/>
    <w:rsid w:val="00A55B01"/>
    <w:rsid w:val="00A56B5B"/>
    <w:rsid w:val="00A603FF"/>
    <w:rsid w:val="00A60E3D"/>
    <w:rsid w:val="00A62259"/>
    <w:rsid w:val="00A64C99"/>
    <w:rsid w:val="00A657DD"/>
    <w:rsid w:val="00A666A6"/>
    <w:rsid w:val="00A67480"/>
    <w:rsid w:val="00A675FD"/>
    <w:rsid w:val="00A72437"/>
    <w:rsid w:val="00A75A8E"/>
    <w:rsid w:val="00A76739"/>
    <w:rsid w:val="00A80611"/>
    <w:rsid w:val="00A8230A"/>
    <w:rsid w:val="00A900EC"/>
    <w:rsid w:val="00A93108"/>
    <w:rsid w:val="00AA3073"/>
    <w:rsid w:val="00AA66D0"/>
    <w:rsid w:val="00AA7A59"/>
    <w:rsid w:val="00AB0B0B"/>
    <w:rsid w:val="00AB1405"/>
    <w:rsid w:val="00AB3AF1"/>
    <w:rsid w:val="00AB5340"/>
    <w:rsid w:val="00AC1098"/>
    <w:rsid w:val="00AC31BB"/>
    <w:rsid w:val="00AC5674"/>
    <w:rsid w:val="00AC7C96"/>
    <w:rsid w:val="00AD40DA"/>
    <w:rsid w:val="00AD5F9A"/>
    <w:rsid w:val="00AE237D"/>
    <w:rsid w:val="00AE502A"/>
    <w:rsid w:val="00AF7C07"/>
    <w:rsid w:val="00B03435"/>
    <w:rsid w:val="00B12E37"/>
    <w:rsid w:val="00B141EB"/>
    <w:rsid w:val="00B20DD4"/>
    <w:rsid w:val="00B22C93"/>
    <w:rsid w:val="00B26131"/>
    <w:rsid w:val="00B27589"/>
    <w:rsid w:val="00B27EA9"/>
    <w:rsid w:val="00B36A9F"/>
    <w:rsid w:val="00B405B7"/>
    <w:rsid w:val="00B430EA"/>
    <w:rsid w:val="00B46922"/>
    <w:rsid w:val="00B52222"/>
    <w:rsid w:val="00B54FE7"/>
    <w:rsid w:val="00B5693F"/>
    <w:rsid w:val="00B64938"/>
    <w:rsid w:val="00B658EA"/>
    <w:rsid w:val="00B66901"/>
    <w:rsid w:val="00B71E6D"/>
    <w:rsid w:val="00B72070"/>
    <w:rsid w:val="00B779E1"/>
    <w:rsid w:val="00B91EE1"/>
    <w:rsid w:val="00B94CAD"/>
    <w:rsid w:val="00BA0090"/>
    <w:rsid w:val="00BA1A67"/>
    <w:rsid w:val="00BA3B66"/>
    <w:rsid w:val="00BA4F43"/>
    <w:rsid w:val="00BC0015"/>
    <w:rsid w:val="00BD54EA"/>
    <w:rsid w:val="00BD6CE0"/>
    <w:rsid w:val="00BE5B5F"/>
    <w:rsid w:val="00BE7C8F"/>
    <w:rsid w:val="00BF690D"/>
    <w:rsid w:val="00BF7A98"/>
    <w:rsid w:val="00C115F6"/>
    <w:rsid w:val="00C12BF5"/>
    <w:rsid w:val="00C21653"/>
    <w:rsid w:val="00C26F55"/>
    <w:rsid w:val="00C278D6"/>
    <w:rsid w:val="00C30C63"/>
    <w:rsid w:val="00C36B8B"/>
    <w:rsid w:val="00C46B5E"/>
    <w:rsid w:val="00C47DBF"/>
    <w:rsid w:val="00C552FF"/>
    <w:rsid w:val="00C558DA"/>
    <w:rsid w:val="00C55AF3"/>
    <w:rsid w:val="00C610A0"/>
    <w:rsid w:val="00C84759"/>
    <w:rsid w:val="00C84CF3"/>
    <w:rsid w:val="00C861BD"/>
    <w:rsid w:val="00C91306"/>
    <w:rsid w:val="00CA4084"/>
    <w:rsid w:val="00CA6C7F"/>
    <w:rsid w:val="00CB38B7"/>
    <w:rsid w:val="00CC0998"/>
    <w:rsid w:val="00CC10A6"/>
    <w:rsid w:val="00CC386A"/>
    <w:rsid w:val="00CC4547"/>
    <w:rsid w:val="00CC5BFB"/>
    <w:rsid w:val="00CD5EB8"/>
    <w:rsid w:val="00CD7044"/>
    <w:rsid w:val="00CE08B9"/>
    <w:rsid w:val="00CE524C"/>
    <w:rsid w:val="00CE5293"/>
    <w:rsid w:val="00CF141F"/>
    <w:rsid w:val="00CF4777"/>
    <w:rsid w:val="00D027C2"/>
    <w:rsid w:val="00D067BB"/>
    <w:rsid w:val="00D11D69"/>
    <w:rsid w:val="00D127BC"/>
    <w:rsid w:val="00D1352A"/>
    <w:rsid w:val="00D169AF"/>
    <w:rsid w:val="00D2124E"/>
    <w:rsid w:val="00D22A83"/>
    <w:rsid w:val="00D25249"/>
    <w:rsid w:val="00D27251"/>
    <w:rsid w:val="00D36134"/>
    <w:rsid w:val="00D405A7"/>
    <w:rsid w:val="00D4108C"/>
    <w:rsid w:val="00D43C7E"/>
    <w:rsid w:val="00D44172"/>
    <w:rsid w:val="00D63B8C"/>
    <w:rsid w:val="00D739CC"/>
    <w:rsid w:val="00D8093D"/>
    <w:rsid w:val="00D8108C"/>
    <w:rsid w:val="00D842AE"/>
    <w:rsid w:val="00D90044"/>
    <w:rsid w:val="00D91AB5"/>
    <w:rsid w:val="00D9211C"/>
    <w:rsid w:val="00D92DE0"/>
    <w:rsid w:val="00D92FEF"/>
    <w:rsid w:val="00D93A0F"/>
    <w:rsid w:val="00DA1BCA"/>
    <w:rsid w:val="00DA475F"/>
    <w:rsid w:val="00DB0348"/>
    <w:rsid w:val="00DB3AC1"/>
    <w:rsid w:val="00DB72C2"/>
    <w:rsid w:val="00DC46FF"/>
    <w:rsid w:val="00DC5254"/>
    <w:rsid w:val="00DD1A4F"/>
    <w:rsid w:val="00DD2FF2"/>
    <w:rsid w:val="00DD3107"/>
    <w:rsid w:val="00DD376A"/>
    <w:rsid w:val="00DD6269"/>
    <w:rsid w:val="00DD7C2C"/>
    <w:rsid w:val="00DE0ADE"/>
    <w:rsid w:val="00DF321C"/>
    <w:rsid w:val="00E06797"/>
    <w:rsid w:val="00E10214"/>
    <w:rsid w:val="00E1265B"/>
    <w:rsid w:val="00E13B48"/>
    <w:rsid w:val="00E1404F"/>
    <w:rsid w:val="00E21C83"/>
    <w:rsid w:val="00E24ADA"/>
    <w:rsid w:val="00E31C32"/>
    <w:rsid w:val="00E32F59"/>
    <w:rsid w:val="00E401AF"/>
    <w:rsid w:val="00E40E47"/>
    <w:rsid w:val="00E46D9A"/>
    <w:rsid w:val="00E542AB"/>
    <w:rsid w:val="00E5452D"/>
    <w:rsid w:val="00E565FF"/>
    <w:rsid w:val="00E578CA"/>
    <w:rsid w:val="00E65348"/>
    <w:rsid w:val="00E65388"/>
    <w:rsid w:val="00E65B1B"/>
    <w:rsid w:val="00E83C2F"/>
    <w:rsid w:val="00E85B7D"/>
    <w:rsid w:val="00E9121B"/>
    <w:rsid w:val="00E94F4A"/>
    <w:rsid w:val="00E9595F"/>
    <w:rsid w:val="00E9781F"/>
    <w:rsid w:val="00EA0AE2"/>
    <w:rsid w:val="00EA273F"/>
    <w:rsid w:val="00EA39E5"/>
    <w:rsid w:val="00EC2457"/>
    <w:rsid w:val="00EC52D5"/>
    <w:rsid w:val="00EC5A46"/>
    <w:rsid w:val="00EC63E2"/>
    <w:rsid w:val="00EE3729"/>
    <w:rsid w:val="00EF22B3"/>
    <w:rsid w:val="00EF59A4"/>
    <w:rsid w:val="00F02E62"/>
    <w:rsid w:val="00F03422"/>
    <w:rsid w:val="00F03B69"/>
    <w:rsid w:val="00F07A50"/>
    <w:rsid w:val="00F113DA"/>
    <w:rsid w:val="00F37DC8"/>
    <w:rsid w:val="00F439B3"/>
    <w:rsid w:val="00F62716"/>
    <w:rsid w:val="00F650C3"/>
    <w:rsid w:val="00F65D85"/>
    <w:rsid w:val="00F80746"/>
    <w:rsid w:val="00F8091E"/>
    <w:rsid w:val="00F8615C"/>
    <w:rsid w:val="00F969E5"/>
    <w:rsid w:val="00F96F33"/>
    <w:rsid w:val="00FA30A2"/>
    <w:rsid w:val="00FA406A"/>
    <w:rsid w:val="00FA6BB0"/>
    <w:rsid w:val="00FB4629"/>
    <w:rsid w:val="00FC38A7"/>
    <w:rsid w:val="00FD0CB0"/>
    <w:rsid w:val="00FD2D22"/>
    <w:rsid w:val="00FD4070"/>
    <w:rsid w:val="00FD5860"/>
    <w:rsid w:val="00FE1E0B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semiHidden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sz w:val="24"/>
      <w:szCs w:val="24"/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ColorfulList-Accent1">
    <w:name w:val="Colorful List Accent 1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character" w:styleId="CommentReference">
    <w:name w:val="annotation reference"/>
    <w:rsid w:val="004248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864"/>
    <w:rPr>
      <w:sz w:val="20"/>
      <w:szCs w:val="20"/>
    </w:rPr>
  </w:style>
  <w:style w:type="character" w:customStyle="1" w:styleId="CommentTextChar">
    <w:name w:val="Comment Text Char"/>
    <w:link w:val="CommentText"/>
    <w:rsid w:val="00424864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24864"/>
    <w:rPr>
      <w:b/>
      <w:bCs/>
    </w:rPr>
  </w:style>
  <w:style w:type="character" w:customStyle="1" w:styleId="CommentSubjectChar">
    <w:name w:val="Comment Subject Char"/>
    <w:link w:val="CommentSubject"/>
    <w:rsid w:val="00424864"/>
    <w:rPr>
      <w:rFonts w:ascii="Calibri" w:eastAsia="Calibri" w:hAnsi="Calibri"/>
      <w:b/>
      <w:bCs/>
      <w:lang w:val="en-GB"/>
    </w:rPr>
  </w:style>
  <w:style w:type="paragraph" w:styleId="Revision">
    <w:name w:val="Revision"/>
    <w:hidden/>
    <w:rsid w:val="00424864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semiHidden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sz w:val="24"/>
      <w:szCs w:val="24"/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ColorfulList-Accent1">
    <w:name w:val="Colorful List Accent 1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character" w:styleId="CommentReference">
    <w:name w:val="annotation reference"/>
    <w:rsid w:val="004248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864"/>
    <w:rPr>
      <w:sz w:val="20"/>
      <w:szCs w:val="20"/>
    </w:rPr>
  </w:style>
  <w:style w:type="character" w:customStyle="1" w:styleId="CommentTextChar">
    <w:name w:val="Comment Text Char"/>
    <w:link w:val="CommentText"/>
    <w:rsid w:val="00424864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24864"/>
    <w:rPr>
      <w:b/>
      <w:bCs/>
    </w:rPr>
  </w:style>
  <w:style w:type="character" w:customStyle="1" w:styleId="CommentSubjectChar">
    <w:name w:val="Comment Subject Char"/>
    <w:link w:val="CommentSubject"/>
    <w:rsid w:val="00424864"/>
    <w:rPr>
      <w:rFonts w:ascii="Calibri" w:eastAsia="Calibri" w:hAnsi="Calibri"/>
      <w:b/>
      <w:bCs/>
      <w:lang w:val="en-GB"/>
    </w:rPr>
  </w:style>
  <w:style w:type="paragraph" w:styleId="Revision">
    <w:name w:val="Revision"/>
    <w:hidden/>
    <w:rsid w:val="00424864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9036-E31C-4AF4-8504-218E543C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Hewlett-Packard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English Pool1</dc:creator>
  <cp:lastModifiedBy>Rohan Shanbhag</cp:lastModifiedBy>
  <cp:revision>2</cp:revision>
  <cp:lastPrinted>2013-11-01T09:16:00Z</cp:lastPrinted>
  <dcterms:created xsi:type="dcterms:W3CDTF">2013-11-22T10:40:00Z</dcterms:created>
  <dcterms:modified xsi:type="dcterms:W3CDTF">2013-11-22T10:40:00Z</dcterms:modified>
</cp:coreProperties>
</file>