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5208"/>
        <w:gridCol w:w="3012"/>
      </w:tblGrid>
      <w:tr w:rsidR="00194D87" w:rsidRPr="00582785">
        <w:trPr>
          <w:cantSplit/>
          <w:trHeight w:val="850"/>
        </w:trPr>
        <w:tc>
          <w:tcPr>
            <w:tcW w:w="1560" w:type="dxa"/>
          </w:tcPr>
          <w:p w:rsidR="00194D87" w:rsidRPr="00582785" w:rsidRDefault="00AB149E" w:rsidP="00F32A2A">
            <w:pPr>
              <w:tabs>
                <w:tab w:val="left" w:pos="624"/>
                <w:tab w:val="left" w:pos="1871"/>
                <w:tab w:val="left" w:pos="2495"/>
                <w:tab w:val="left" w:pos="3119"/>
                <w:tab w:val="left" w:pos="3742"/>
              </w:tabs>
              <w:spacing w:line="240" w:lineRule="auto"/>
              <w:rPr>
                <w:rFonts w:ascii="Arial" w:hAnsi="Arial" w:cs="Arial"/>
                <w:b/>
                <w:noProof/>
                <w:sz w:val="27"/>
                <w:szCs w:val="27"/>
                <w:lang w:val="fr-FR"/>
              </w:rPr>
            </w:pPr>
            <w:bookmarkStart w:id="0" w:name="_GoBack"/>
            <w:bookmarkEnd w:id="0"/>
            <w:r w:rsidRPr="00582785">
              <w:rPr>
                <w:rFonts w:ascii="Arial" w:hAnsi="Arial" w:cs="Arial"/>
                <w:b/>
                <w:noProof/>
                <w:sz w:val="27"/>
                <w:szCs w:val="27"/>
                <w:lang w:val="fr-FR"/>
              </w:rPr>
              <w:t>NATIONSUNIES</w:t>
            </w:r>
          </w:p>
        </w:tc>
        <w:tc>
          <w:tcPr>
            <w:tcW w:w="5208" w:type="dxa"/>
          </w:tcPr>
          <w:p w:rsidR="00194D87" w:rsidRPr="00582785" w:rsidRDefault="00194D87" w:rsidP="00F32A2A">
            <w:pPr>
              <w:tabs>
                <w:tab w:val="left" w:pos="624"/>
                <w:tab w:val="left" w:pos="1871"/>
                <w:tab w:val="left" w:pos="2495"/>
                <w:tab w:val="left" w:pos="3119"/>
                <w:tab w:val="left" w:pos="3742"/>
              </w:tabs>
              <w:spacing w:line="240" w:lineRule="auto"/>
              <w:rPr>
                <w:rFonts w:ascii="Univers" w:hAnsi="Univers"/>
                <w:b/>
                <w:sz w:val="27"/>
                <w:szCs w:val="27"/>
                <w:lang w:val="fr-FR"/>
              </w:rPr>
            </w:pPr>
          </w:p>
        </w:tc>
        <w:tc>
          <w:tcPr>
            <w:tcW w:w="3012" w:type="dxa"/>
          </w:tcPr>
          <w:p w:rsidR="00194D87" w:rsidRPr="00582785" w:rsidRDefault="00194D87" w:rsidP="00F32A2A">
            <w:pPr>
              <w:tabs>
                <w:tab w:val="left" w:pos="624"/>
                <w:tab w:val="left" w:pos="1871"/>
                <w:tab w:val="left" w:pos="2495"/>
                <w:tab w:val="left" w:pos="3119"/>
                <w:tab w:val="left" w:pos="3742"/>
              </w:tabs>
              <w:spacing w:line="240" w:lineRule="auto"/>
              <w:jc w:val="right"/>
              <w:rPr>
                <w:rFonts w:ascii="Univers" w:hAnsi="Univers"/>
                <w:b/>
                <w:sz w:val="72"/>
                <w:szCs w:val="72"/>
                <w:lang w:val="fr-FR"/>
              </w:rPr>
            </w:pPr>
            <w:r w:rsidRPr="00582785">
              <w:rPr>
                <w:rFonts w:ascii="Univers" w:hAnsi="Univers"/>
                <w:b/>
                <w:sz w:val="72"/>
                <w:szCs w:val="72"/>
                <w:lang w:val="fr-FR"/>
              </w:rPr>
              <w:t>EP</w:t>
            </w:r>
          </w:p>
        </w:tc>
      </w:tr>
      <w:tr w:rsidR="00194D87" w:rsidRPr="00582785">
        <w:trPr>
          <w:cantSplit/>
          <w:trHeight w:val="281"/>
        </w:trPr>
        <w:tc>
          <w:tcPr>
            <w:tcW w:w="1560" w:type="dxa"/>
            <w:tcBorders>
              <w:bottom w:val="single" w:sz="4" w:space="0" w:color="auto"/>
            </w:tcBorders>
          </w:tcPr>
          <w:p w:rsidR="00194D87" w:rsidRPr="00582785" w:rsidRDefault="00194D87" w:rsidP="00F32A2A">
            <w:pPr>
              <w:tabs>
                <w:tab w:val="left" w:pos="624"/>
                <w:tab w:val="left" w:pos="1871"/>
                <w:tab w:val="left" w:pos="2495"/>
                <w:tab w:val="left" w:pos="3119"/>
                <w:tab w:val="left" w:pos="3742"/>
              </w:tabs>
              <w:spacing w:line="240" w:lineRule="auto"/>
              <w:rPr>
                <w:noProof/>
                <w:sz w:val="18"/>
                <w:szCs w:val="18"/>
                <w:lang w:val="fr-FR"/>
              </w:rPr>
            </w:pPr>
          </w:p>
        </w:tc>
        <w:tc>
          <w:tcPr>
            <w:tcW w:w="5208" w:type="dxa"/>
            <w:tcBorders>
              <w:bottom w:val="single" w:sz="4" w:space="0" w:color="auto"/>
            </w:tcBorders>
          </w:tcPr>
          <w:p w:rsidR="00194D87" w:rsidRPr="00582785" w:rsidRDefault="00194D87" w:rsidP="00F32A2A">
            <w:pPr>
              <w:tabs>
                <w:tab w:val="left" w:pos="624"/>
                <w:tab w:val="left" w:pos="1871"/>
                <w:tab w:val="left" w:pos="2495"/>
                <w:tab w:val="left" w:pos="3119"/>
                <w:tab w:val="left" w:pos="3742"/>
              </w:tabs>
              <w:spacing w:line="240" w:lineRule="auto"/>
              <w:rPr>
                <w:rFonts w:ascii="Univers" w:hAnsi="Univers"/>
                <w:b/>
                <w:sz w:val="18"/>
                <w:szCs w:val="18"/>
                <w:lang w:val="fr-FR"/>
              </w:rPr>
            </w:pPr>
          </w:p>
        </w:tc>
        <w:tc>
          <w:tcPr>
            <w:tcW w:w="3012" w:type="dxa"/>
            <w:tcBorders>
              <w:bottom w:val="single" w:sz="4" w:space="0" w:color="auto"/>
            </w:tcBorders>
          </w:tcPr>
          <w:p w:rsidR="00194D87" w:rsidRPr="00582785" w:rsidRDefault="00194D87" w:rsidP="00F32A2A">
            <w:pPr>
              <w:tabs>
                <w:tab w:val="left" w:pos="624"/>
                <w:tab w:val="left" w:pos="1871"/>
                <w:tab w:val="left" w:pos="2495"/>
                <w:tab w:val="left" w:pos="3119"/>
                <w:tab w:val="left" w:pos="3742"/>
              </w:tabs>
              <w:spacing w:after="0" w:line="240" w:lineRule="auto"/>
              <w:rPr>
                <w:rFonts w:ascii="Times New Roman" w:hAnsi="Times New Roman"/>
                <w:noProof/>
                <w:sz w:val="18"/>
                <w:szCs w:val="18"/>
                <w:lang w:val="fr-FR" w:eastAsia="ja-JP"/>
              </w:rPr>
            </w:pPr>
            <w:r w:rsidRPr="00582785">
              <w:rPr>
                <w:rFonts w:ascii="Times New Roman" w:hAnsi="Times New Roman"/>
                <w:b/>
                <w:sz w:val="24"/>
                <w:szCs w:val="24"/>
                <w:lang w:val="fr-FR"/>
              </w:rPr>
              <w:t>IPBES</w:t>
            </w:r>
            <w:r w:rsidRPr="00582785">
              <w:rPr>
                <w:rFonts w:ascii="Times New Roman" w:hAnsi="Times New Roman"/>
                <w:sz w:val="20"/>
                <w:szCs w:val="20"/>
                <w:lang w:val="fr-FR"/>
              </w:rPr>
              <w:t>/</w:t>
            </w:r>
            <w:r w:rsidRPr="00582785">
              <w:rPr>
                <w:rFonts w:ascii="Times New Roman" w:hAnsi="Times New Roman"/>
                <w:sz w:val="20"/>
                <w:szCs w:val="20"/>
                <w:lang w:val="fr-FR" w:eastAsia="ja-JP"/>
              </w:rPr>
              <w:t>2/1</w:t>
            </w:r>
            <w:r w:rsidR="0058068F" w:rsidRPr="00582785">
              <w:rPr>
                <w:rFonts w:ascii="Times New Roman" w:hAnsi="Times New Roman"/>
                <w:sz w:val="20"/>
                <w:szCs w:val="20"/>
                <w:lang w:val="fr-FR" w:eastAsia="ja-JP"/>
              </w:rPr>
              <w:t>6/Add.7</w:t>
            </w:r>
          </w:p>
        </w:tc>
      </w:tr>
      <w:tr w:rsidR="00194D87" w:rsidRPr="00582785">
        <w:trPr>
          <w:cantSplit/>
          <w:trHeight w:val="2549"/>
        </w:trPr>
        <w:tc>
          <w:tcPr>
            <w:tcW w:w="1560" w:type="dxa"/>
            <w:tcBorders>
              <w:top w:val="single" w:sz="4" w:space="0" w:color="auto"/>
              <w:bottom w:val="single" w:sz="24" w:space="0" w:color="auto"/>
            </w:tcBorders>
          </w:tcPr>
          <w:p w:rsidR="00194D87" w:rsidRPr="00582785" w:rsidRDefault="00194D87" w:rsidP="00F32A2A">
            <w:pPr>
              <w:tabs>
                <w:tab w:val="left" w:pos="624"/>
                <w:tab w:val="left" w:pos="1871"/>
                <w:tab w:val="left" w:pos="2495"/>
                <w:tab w:val="left" w:pos="3119"/>
                <w:tab w:val="left" w:pos="3742"/>
              </w:tabs>
              <w:spacing w:line="240" w:lineRule="auto"/>
              <w:rPr>
                <w:noProof/>
                <w:lang w:val="fr-FR"/>
              </w:rPr>
            </w:pPr>
            <w:r w:rsidRPr="00582785">
              <w:rPr>
                <w:noProof/>
                <w:lang w:val="fr-FR"/>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9" o:title=""/>
                </v:shape>
                <o:OLEObject Type="Embed" ProgID="Word.Picture.8" ShapeID="_x0000_i1025" DrawAspect="Content" ObjectID="_1445152806" r:id="rId10"/>
              </w:object>
            </w:r>
            <w:r w:rsidR="00F94A53">
              <w:rPr>
                <w:noProof/>
                <w:lang w:val="en-US"/>
              </w:rPr>
              <w:drawing>
                <wp:inline distT="0" distB="0" distL="0" distR="0">
                  <wp:extent cx="723900" cy="762000"/>
                  <wp:effectExtent l="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194D87" w:rsidRPr="00582785" w:rsidRDefault="00F6760E" w:rsidP="00F32A2A">
            <w:pPr>
              <w:tabs>
                <w:tab w:val="left" w:pos="624"/>
                <w:tab w:val="left" w:pos="1871"/>
                <w:tab w:val="left" w:pos="2495"/>
                <w:tab w:val="left" w:pos="3119"/>
                <w:tab w:val="left" w:pos="3742"/>
              </w:tabs>
              <w:spacing w:before="1400" w:line="240" w:lineRule="auto"/>
              <w:rPr>
                <w:rFonts w:ascii="Univers" w:hAnsi="Univers"/>
                <w:b/>
                <w:sz w:val="28"/>
                <w:lang w:val="fr-FR"/>
              </w:rPr>
            </w:pPr>
            <w:r w:rsidRPr="00582785">
              <w:rPr>
                <w:rFonts w:ascii="Univers" w:hAnsi="Univers"/>
                <w:b/>
                <w:sz w:val="32"/>
                <w:szCs w:val="32"/>
                <w:lang w:val="fr-FR"/>
              </w:rPr>
              <w:t xml:space="preserve">Programme </w:t>
            </w:r>
            <w:r w:rsidR="00921A8C">
              <w:rPr>
                <w:rFonts w:ascii="Univers" w:hAnsi="Univers"/>
                <w:b/>
                <w:sz w:val="32"/>
                <w:szCs w:val="32"/>
                <w:lang w:val="fr-FR"/>
              </w:rPr>
              <w:br/>
            </w:r>
            <w:r w:rsidRPr="00582785">
              <w:rPr>
                <w:rFonts w:ascii="Univers" w:hAnsi="Univers"/>
                <w:b/>
                <w:sz w:val="32"/>
                <w:szCs w:val="32"/>
                <w:lang w:val="fr-FR"/>
              </w:rPr>
              <w:t>des Nations</w:t>
            </w:r>
            <w:r w:rsidR="00062279">
              <w:rPr>
                <w:rFonts w:ascii="Univers" w:hAnsi="Univers"/>
                <w:b/>
                <w:sz w:val="32"/>
                <w:szCs w:val="32"/>
                <w:lang w:val="fr-FR"/>
              </w:rPr>
              <w:t xml:space="preserve"> </w:t>
            </w:r>
            <w:r w:rsidRPr="00582785">
              <w:rPr>
                <w:rFonts w:ascii="Univers" w:hAnsi="Univers"/>
                <w:b/>
                <w:sz w:val="32"/>
                <w:szCs w:val="32"/>
                <w:lang w:val="fr-FR"/>
              </w:rPr>
              <w:t xml:space="preserve">Unies </w:t>
            </w:r>
            <w:r w:rsidR="00921A8C">
              <w:rPr>
                <w:rFonts w:ascii="Univers" w:hAnsi="Univers"/>
                <w:b/>
                <w:sz w:val="32"/>
                <w:szCs w:val="32"/>
                <w:lang w:val="fr-FR"/>
              </w:rPr>
              <w:br/>
            </w:r>
            <w:r w:rsidRPr="00582785">
              <w:rPr>
                <w:rFonts w:ascii="Univers" w:hAnsi="Univers"/>
                <w:b/>
                <w:sz w:val="32"/>
                <w:szCs w:val="32"/>
                <w:lang w:val="fr-FR"/>
              </w:rPr>
              <w:t>pour l’environnement</w:t>
            </w:r>
          </w:p>
        </w:tc>
        <w:tc>
          <w:tcPr>
            <w:tcW w:w="3012" w:type="dxa"/>
            <w:tcBorders>
              <w:top w:val="single" w:sz="4" w:space="0" w:color="auto"/>
              <w:bottom w:val="single" w:sz="24" w:space="0" w:color="auto"/>
            </w:tcBorders>
          </w:tcPr>
          <w:p w:rsidR="00194D87" w:rsidRPr="00582785" w:rsidRDefault="00194D87" w:rsidP="00F32A2A">
            <w:pPr>
              <w:tabs>
                <w:tab w:val="left" w:pos="624"/>
                <w:tab w:val="left" w:pos="1871"/>
                <w:tab w:val="left" w:pos="2495"/>
                <w:tab w:val="left" w:pos="3119"/>
                <w:tab w:val="left" w:pos="3742"/>
              </w:tabs>
              <w:spacing w:after="0" w:line="240" w:lineRule="auto"/>
              <w:rPr>
                <w:rFonts w:ascii="Times New Roman" w:hAnsi="Times New Roman"/>
                <w:lang w:val="fr-FR"/>
              </w:rPr>
            </w:pPr>
            <w:r w:rsidRPr="00582785">
              <w:rPr>
                <w:rFonts w:ascii="Times New Roman" w:hAnsi="Times New Roman"/>
                <w:lang w:val="fr-FR"/>
              </w:rPr>
              <w:t>Distr.</w:t>
            </w:r>
            <w:r w:rsidR="00AB149E" w:rsidRPr="00582785">
              <w:rPr>
                <w:rFonts w:ascii="Times New Roman" w:hAnsi="Times New Roman"/>
                <w:lang w:val="fr-FR"/>
              </w:rPr>
              <w:t> </w:t>
            </w:r>
            <w:r w:rsidRPr="00582785">
              <w:rPr>
                <w:rFonts w:ascii="Times New Roman" w:hAnsi="Times New Roman"/>
                <w:lang w:val="fr-FR"/>
              </w:rPr>
              <w:t xml:space="preserve">: </w:t>
            </w:r>
            <w:r w:rsidR="00AB149E" w:rsidRPr="00582785">
              <w:rPr>
                <w:rFonts w:ascii="Times New Roman" w:hAnsi="Times New Roman"/>
                <w:lang w:val="fr-FR"/>
              </w:rPr>
              <w:t>générale</w:t>
            </w:r>
            <w:r w:rsidR="00870972" w:rsidRPr="00582785">
              <w:rPr>
                <w:rFonts w:ascii="Times New Roman" w:hAnsi="Times New Roman"/>
                <w:lang w:val="fr-FR"/>
              </w:rPr>
              <w:br/>
            </w:r>
            <w:r w:rsidRPr="00582785">
              <w:rPr>
                <w:rFonts w:ascii="Times New Roman" w:hAnsi="Times New Roman"/>
                <w:lang w:val="fr-FR" w:eastAsia="ja-JP"/>
              </w:rPr>
              <w:t>2</w:t>
            </w:r>
            <w:r w:rsidR="00AB149E" w:rsidRPr="00582785">
              <w:rPr>
                <w:rFonts w:ascii="Times New Roman" w:hAnsi="Times New Roman"/>
                <w:lang w:val="fr-FR" w:eastAsia="ja-JP"/>
              </w:rPr>
              <w:t> o</w:t>
            </w:r>
            <w:r w:rsidR="00D11D69" w:rsidRPr="00582785">
              <w:rPr>
                <w:rFonts w:ascii="Times New Roman" w:hAnsi="Times New Roman"/>
                <w:lang w:val="fr-FR" w:eastAsia="ja-JP"/>
              </w:rPr>
              <w:t>ctob</w:t>
            </w:r>
            <w:r w:rsidR="00AB149E" w:rsidRPr="00582785">
              <w:rPr>
                <w:rFonts w:ascii="Times New Roman" w:hAnsi="Times New Roman"/>
                <w:lang w:val="fr-FR" w:eastAsia="ja-JP"/>
              </w:rPr>
              <w:t>re </w:t>
            </w:r>
            <w:r w:rsidRPr="00582785">
              <w:rPr>
                <w:rFonts w:ascii="Times New Roman" w:hAnsi="Times New Roman"/>
                <w:lang w:val="fr-FR" w:eastAsia="ja-JP"/>
              </w:rPr>
              <w:t>2013</w:t>
            </w:r>
          </w:p>
          <w:p w:rsidR="00194D87" w:rsidRPr="00582785" w:rsidRDefault="00AB149E" w:rsidP="00F32A2A">
            <w:pPr>
              <w:tabs>
                <w:tab w:val="left" w:pos="624"/>
                <w:tab w:val="left" w:pos="1871"/>
                <w:tab w:val="left" w:pos="2495"/>
                <w:tab w:val="left" w:pos="3119"/>
                <w:tab w:val="left" w:pos="3742"/>
              </w:tabs>
              <w:spacing w:before="120" w:after="0" w:line="240" w:lineRule="auto"/>
              <w:rPr>
                <w:lang w:val="fr-FR"/>
              </w:rPr>
            </w:pPr>
            <w:r w:rsidRPr="00582785">
              <w:rPr>
                <w:rFonts w:ascii="Times New Roman" w:hAnsi="Times New Roman"/>
                <w:lang w:val="fr-FR"/>
              </w:rPr>
              <w:t>Français</w:t>
            </w:r>
            <w:r w:rsidR="006A6B25">
              <w:rPr>
                <w:rFonts w:ascii="Times New Roman" w:hAnsi="Times New Roman"/>
                <w:lang w:val="fr-FR"/>
              </w:rPr>
              <w:br/>
            </w:r>
            <w:r w:rsidR="00194D87" w:rsidRPr="00582785">
              <w:rPr>
                <w:rFonts w:ascii="Times New Roman" w:hAnsi="Times New Roman"/>
                <w:lang w:val="fr-FR"/>
              </w:rPr>
              <w:t>Original</w:t>
            </w:r>
            <w:r w:rsidRPr="00582785">
              <w:rPr>
                <w:rFonts w:ascii="Times New Roman" w:hAnsi="Times New Roman"/>
                <w:lang w:val="fr-FR"/>
              </w:rPr>
              <w:t> </w:t>
            </w:r>
            <w:r w:rsidR="00194D87" w:rsidRPr="00582785">
              <w:rPr>
                <w:rFonts w:ascii="Times New Roman" w:hAnsi="Times New Roman"/>
                <w:lang w:val="fr-FR"/>
              </w:rPr>
              <w:t xml:space="preserve">: </w:t>
            </w:r>
            <w:r w:rsidRPr="00582785">
              <w:rPr>
                <w:rFonts w:ascii="Times New Roman" w:hAnsi="Times New Roman"/>
                <w:lang w:val="fr-FR"/>
              </w:rPr>
              <w:t>anglais</w:t>
            </w:r>
            <w:r w:rsidR="00194D87" w:rsidRPr="00582785">
              <w:rPr>
                <w:lang w:val="fr-FR"/>
              </w:rPr>
              <w:t xml:space="preserve"> </w:t>
            </w:r>
          </w:p>
        </w:tc>
      </w:tr>
    </w:tbl>
    <w:p w:rsidR="00F6760E" w:rsidRPr="00582785" w:rsidRDefault="00F6760E" w:rsidP="00F32A2A">
      <w:pPr>
        <w:tabs>
          <w:tab w:val="left" w:pos="1247"/>
          <w:tab w:val="left" w:pos="1814"/>
          <w:tab w:val="left" w:pos="2381"/>
          <w:tab w:val="left" w:pos="2948"/>
          <w:tab w:val="left" w:pos="3515"/>
        </w:tabs>
        <w:suppressAutoHyphens/>
        <w:spacing w:after="0" w:line="240" w:lineRule="auto"/>
        <w:ind w:right="3402"/>
        <w:rPr>
          <w:rFonts w:ascii="Times New Roman" w:eastAsia="Times New Roman" w:hAnsi="Times New Roman"/>
          <w:b/>
          <w:sz w:val="20"/>
          <w:szCs w:val="20"/>
          <w:lang w:val="fr-FR"/>
        </w:rPr>
      </w:pPr>
      <w:r w:rsidRPr="00582785">
        <w:rPr>
          <w:rFonts w:ascii="Times New Roman" w:eastAsia="Times New Roman" w:hAnsi="Times New Roman"/>
          <w:b/>
          <w:sz w:val="20"/>
          <w:szCs w:val="20"/>
          <w:lang w:val="fr-FR"/>
        </w:rPr>
        <w:t>Plénière de la Plateforme scientifique et politique sur la biodiversité et les services écosystémiques</w:t>
      </w:r>
    </w:p>
    <w:p w:rsidR="00F6760E" w:rsidRPr="00582785" w:rsidRDefault="00F6760E" w:rsidP="00F32A2A">
      <w:pPr>
        <w:tabs>
          <w:tab w:val="left" w:pos="1247"/>
          <w:tab w:val="left" w:pos="1814"/>
          <w:tab w:val="left" w:pos="2381"/>
          <w:tab w:val="left" w:pos="2948"/>
          <w:tab w:val="left" w:pos="3515"/>
        </w:tabs>
        <w:suppressAutoHyphens/>
        <w:spacing w:after="0" w:line="240" w:lineRule="auto"/>
        <w:ind w:right="3402"/>
        <w:rPr>
          <w:rFonts w:ascii="Times New Roman" w:eastAsia="Times New Roman" w:hAnsi="Times New Roman"/>
          <w:b/>
          <w:sz w:val="20"/>
          <w:szCs w:val="20"/>
          <w:lang w:val="fr-FR"/>
        </w:rPr>
      </w:pPr>
      <w:r w:rsidRPr="00582785">
        <w:rPr>
          <w:rFonts w:ascii="Times New Roman" w:eastAsia="Times New Roman" w:hAnsi="Times New Roman"/>
          <w:b/>
          <w:sz w:val="20"/>
          <w:szCs w:val="20"/>
          <w:lang w:val="fr-FR"/>
        </w:rPr>
        <w:t>Deuxième session</w:t>
      </w:r>
    </w:p>
    <w:p w:rsidR="00F6760E" w:rsidRPr="00582785" w:rsidRDefault="00F6760E" w:rsidP="00F32A2A">
      <w:pPr>
        <w:tabs>
          <w:tab w:val="left" w:pos="1247"/>
          <w:tab w:val="left" w:pos="1814"/>
          <w:tab w:val="left" w:pos="2381"/>
          <w:tab w:val="left" w:pos="2948"/>
          <w:tab w:val="left" w:pos="3515"/>
        </w:tabs>
        <w:suppressAutoHyphens/>
        <w:spacing w:after="0" w:line="240" w:lineRule="auto"/>
        <w:ind w:right="3402"/>
        <w:rPr>
          <w:rFonts w:ascii="Times New Roman" w:eastAsia="Times New Roman" w:hAnsi="Times New Roman"/>
          <w:sz w:val="20"/>
          <w:szCs w:val="20"/>
          <w:lang w:val="fr-FR" w:eastAsia="ja-JP"/>
        </w:rPr>
      </w:pPr>
      <w:r w:rsidRPr="00582785">
        <w:rPr>
          <w:rFonts w:ascii="Times New Roman" w:eastAsia="Times New Roman" w:hAnsi="Times New Roman"/>
          <w:sz w:val="20"/>
          <w:szCs w:val="20"/>
          <w:lang w:val="fr-FR" w:eastAsia="ja-JP"/>
        </w:rPr>
        <w:t>Antalya (Turquie), 9–14 décembre 2013</w:t>
      </w:r>
    </w:p>
    <w:p w:rsidR="00F6760E" w:rsidRPr="004978F9" w:rsidRDefault="00F6760E" w:rsidP="00F32A2A">
      <w:pPr>
        <w:pStyle w:val="AATitle"/>
        <w:rPr>
          <w:b w:val="0"/>
          <w:sz w:val="20"/>
          <w:szCs w:val="20"/>
          <w:lang w:val="fr-FR"/>
        </w:rPr>
      </w:pPr>
      <w:r w:rsidRPr="004978F9">
        <w:rPr>
          <w:b w:val="0"/>
          <w:sz w:val="20"/>
          <w:szCs w:val="20"/>
          <w:lang w:val="fr-FR" w:eastAsia="ja-JP"/>
        </w:rPr>
        <w:t>Point 4 a) de l’ordre du jour provisoire</w:t>
      </w:r>
      <w:r w:rsidRPr="004978F9">
        <w:rPr>
          <w:rStyle w:val="FootnoteReference"/>
          <w:b w:val="0"/>
          <w:szCs w:val="20"/>
          <w:lang w:val="fr-FR" w:eastAsia="ja-JP"/>
        </w:rPr>
        <w:footnoteReference w:customMarkFollows="1" w:id="1"/>
        <w:sym w:font="Symbol" w:char="F02A"/>
      </w:r>
      <w:r w:rsidRPr="004978F9">
        <w:rPr>
          <w:b w:val="0"/>
          <w:sz w:val="20"/>
          <w:szCs w:val="20"/>
          <w:lang w:val="fr-FR" w:eastAsia="ja-JP"/>
        </w:rPr>
        <w:t> </w:t>
      </w:r>
    </w:p>
    <w:p w:rsidR="00F6760E" w:rsidRPr="004978F9" w:rsidRDefault="00F6760E" w:rsidP="00F32A2A">
      <w:pPr>
        <w:pStyle w:val="AATitle"/>
        <w:keepNext w:val="0"/>
        <w:keepLines w:val="0"/>
        <w:tabs>
          <w:tab w:val="clear" w:pos="4082"/>
          <w:tab w:val="left" w:pos="4395"/>
        </w:tabs>
        <w:ind w:right="4631"/>
        <w:rPr>
          <w:sz w:val="20"/>
          <w:szCs w:val="20"/>
          <w:lang w:val="fr-FR"/>
        </w:rPr>
      </w:pPr>
      <w:r w:rsidRPr="004978F9">
        <w:rPr>
          <w:sz w:val="20"/>
          <w:szCs w:val="20"/>
          <w:lang w:val="fr-FR"/>
        </w:rPr>
        <w:t>Programme de travail initial de la Plateforme </w:t>
      </w:r>
      <w:r w:rsidR="0017727D" w:rsidRPr="004978F9">
        <w:rPr>
          <w:sz w:val="20"/>
          <w:szCs w:val="20"/>
          <w:lang w:val="fr-FR"/>
        </w:rPr>
        <w:t xml:space="preserve">: </w:t>
      </w:r>
      <w:r w:rsidRPr="004978F9">
        <w:rPr>
          <w:sz w:val="20"/>
          <w:szCs w:val="20"/>
          <w:lang w:val="fr-FR"/>
        </w:rPr>
        <w:br/>
        <w:t>programme de travail pour la période 2014</w:t>
      </w:r>
      <w:r w:rsidR="007313A1" w:rsidRPr="004978F9">
        <w:rPr>
          <w:sz w:val="20"/>
          <w:szCs w:val="20"/>
          <w:lang w:val="fr-FR"/>
        </w:rPr>
        <w:t>-</w:t>
      </w:r>
      <w:r w:rsidRPr="004978F9">
        <w:rPr>
          <w:sz w:val="20"/>
          <w:szCs w:val="20"/>
          <w:lang w:val="fr-FR"/>
        </w:rPr>
        <w:t>2018</w:t>
      </w:r>
    </w:p>
    <w:p w:rsidR="00E65B1B" w:rsidRDefault="00582785" w:rsidP="00F32A2A">
      <w:pPr>
        <w:pStyle w:val="BBTitle"/>
        <w:rPr>
          <w:lang w:val="fr-FR"/>
        </w:rPr>
      </w:pPr>
      <w:r w:rsidRPr="00582785">
        <w:rPr>
          <w:lang w:val="fr-FR"/>
        </w:rPr>
        <w:t>Étude</w:t>
      </w:r>
      <w:r w:rsidR="00F6760E" w:rsidRPr="00582785">
        <w:rPr>
          <w:lang w:val="fr-FR"/>
        </w:rPr>
        <w:t xml:space="preserve"> de cadrage initiale </w:t>
      </w:r>
      <w:r w:rsidR="00062279">
        <w:rPr>
          <w:lang w:val="fr-FR"/>
        </w:rPr>
        <w:t>pour</w:t>
      </w:r>
      <w:r w:rsidR="00F6760E" w:rsidRPr="00582785">
        <w:rPr>
          <w:lang w:val="fr-FR"/>
        </w:rPr>
        <w:t xml:space="preserve"> l’évaluation thématique </w:t>
      </w:r>
      <w:r w:rsidR="009B5E20">
        <w:rPr>
          <w:lang w:val="fr-FR"/>
        </w:rPr>
        <w:br/>
      </w:r>
      <w:r w:rsidR="00F6760E" w:rsidRPr="00582785">
        <w:rPr>
          <w:lang w:val="fr-FR"/>
        </w:rPr>
        <w:t>de l’agriculture,</w:t>
      </w:r>
      <w:r w:rsidR="007313A1" w:rsidRPr="00582785">
        <w:rPr>
          <w:lang w:val="fr-FR"/>
        </w:rPr>
        <w:t xml:space="preserve"> </w:t>
      </w:r>
      <w:r w:rsidR="00F6760E" w:rsidRPr="00582785">
        <w:rPr>
          <w:lang w:val="fr-FR"/>
        </w:rPr>
        <w:t xml:space="preserve">de la sécurité alimentaire, de la biodiversité </w:t>
      </w:r>
      <w:r w:rsidR="009B5E20">
        <w:rPr>
          <w:lang w:val="fr-FR"/>
        </w:rPr>
        <w:br/>
      </w:r>
      <w:r w:rsidR="00F6760E" w:rsidRPr="00582785">
        <w:rPr>
          <w:lang w:val="fr-FR"/>
        </w:rPr>
        <w:t>et des services écosystémiques</w:t>
      </w:r>
    </w:p>
    <w:p w:rsidR="009B5E20" w:rsidRPr="009B5E20" w:rsidRDefault="009B5E20" w:rsidP="00F32A2A">
      <w:pPr>
        <w:pStyle w:val="BBTitle"/>
        <w:rPr>
          <w:sz w:val="24"/>
          <w:szCs w:val="24"/>
          <w:lang w:val="fr-FR"/>
        </w:rPr>
      </w:pPr>
      <w:r w:rsidRPr="009B5E20">
        <w:rPr>
          <w:sz w:val="24"/>
          <w:szCs w:val="24"/>
          <w:lang w:val="fr-FR"/>
        </w:rPr>
        <w:t>Note du secrétariat</w:t>
      </w:r>
    </w:p>
    <w:p w:rsidR="009B5E20" w:rsidRPr="00582785" w:rsidRDefault="009B5E20" w:rsidP="00F32A2A">
      <w:pPr>
        <w:pStyle w:val="CH1"/>
        <w:numPr>
          <w:ilvl w:val="0"/>
          <w:numId w:val="36"/>
        </w:numPr>
        <w:rPr>
          <w:lang w:val="fr-FR"/>
        </w:rPr>
      </w:pPr>
      <w:r>
        <w:rPr>
          <w:lang w:val="fr-FR"/>
        </w:rPr>
        <w:t>Introduction</w:t>
      </w:r>
    </w:p>
    <w:p w:rsidR="00DE0ADE" w:rsidRPr="00582785" w:rsidRDefault="00F6760E" w:rsidP="00F32A2A">
      <w:pPr>
        <w:pStyle w:val="Normalnumber"/>
        <w:rPr>
          <w:lang w:val="fr-FR"/>
        </w:rPr>
      </w:pPr>
      <w:r w:rsidRPr="00582785">
        <w:rPr>
          <w:lang w:val="fr-FR"/>
        </w:rPr>
        <w:t xml:space="preserve">Reconnaissant la nécessité de progresser dans l’exécution du programme de travail pour la période 2014–2018 une fois ce programme approuvé par la Plénière de la Plateforme scientifique et politique sur la biodiversité et les services écosystémiques à sa deuxième session, le Bureau et le Groupe d’experts multidisciplinaire sont convenus d’établir pour examen à ladite session plusieurs documents initiaux de cadrage, eu égard à la hiérarchisation des demandes, suggestions et contributions présentées à la Plateforme et aux produits </w:t>
      </w:r>
      <w:r w:rsidR="00062279">
        <w:rPr>
          <w:lang w:val="fr-FR"/>
        </w:rPr>
        <w:t>figurant dans le</w:t>
      </w:r>
      <w:r w:rsidRPr="00582785">
        <w:rPr>
          <w:lang w:val="fr-FR"/>
        </w:rPr>
        <w:t xml:space="preserve"> projet de programme de travail (IPBES/2/2). On trouvera dans la présente note, l’étude initiale de cadrage pour l</w:t>
      </w:r>
      <w:r w:rsidR="007313A1" w:rsidRPr="00582785">
        <w:rPr>
          <w:lang w:val="fr-FR"/>
        </w:rPr>
        <w:t>e projet</w:t>
      </w:r>
      <w:r w:rsidRPr="00582785">
        <w:rPr>
          <w:lang w:val="fr-FR"/>
        </w:rPr>
        <w:t xml:space="preserve"> d’évaluation thématique de l’agriculture, de la sécurité alimentaire, de la biodiversité et des services écosystémiques. Il a été tenu compte pour sa rédaction </w:t>
      </w:r>
      <w:r w:rsidR="00062279">
        <w:rPr>
          <w:lang w:val="fr-FR"/>
        </w:rPr>
        <w:t>du</w:t>
      </w:r>
      <w:r w:rsidRPr="00582785">
        <w:rPr>
          <w:lang w:val="fr-FR"/>
        </w:rPr>
        <w:t xml:space="preserve"> projet de procédures pour l’établissement des produits de la Plateforme (IPBES/2/9).</w:t>
      </w:r>
    </w:p>
    <w:p w:rsidR="00DE0ADE" w:rsidRPr="00582785" w:rsidRDefault="00E65B1B" w:rsidP="00F32A2A">
      <w:pPr>
        <w:pStyle w:val="CH1"/>
        <w:rPr>
          <w:lang w:val="fr-FR"/>
        </w:rPr>
      </w:pPr>
      <w:r w:rsidRPr="00582785">
        <w:rPr>
          <w:lang w:val="fr-FR"/>
        </w:rPr>
        <w:tab/>
      </w:r>
      <w:r w:rsidR="00B658EA" w:rsidRPr="00582785">
        <w:rPr>
          <w:lang w:val="fr-FR"/>
        </w:rPr>
        <w:t>I</w:t>
      </w:r>
      <w:r w:rsidR="00062279">
        <w:rPr>
          <w:lang w:val="fr-FR"/>
        </w:rPr>
        <w:t>I</w:t>
      </w:r>
      <w:r w:rsidRPr="00582785">
        <w:rPr>
          <w:lang w:val="fr-FR"/>
        </w:rPr>
        <w:t>.</w:t>
      </w:r>
      <w:r w:rsidRPr="00582785">
        <w:rPr>
          <w:lang w:val="fr-FR"/>
        </w:rPr>
        <w:tab/>
      </w:r>
      <w:r w:rsidR="00F6760E" w:rsidRPr="00582785">
        <w:rPr>
          <w:lang w:val="fr-FR"/>
        </w:rPr>
        <w:t>Portée, bien-fondé et utilité</w:t>
      </w:r>
    </w:p>
    <w:p w:rsidR="00DE0ADE" w:rsidRPr="00582785" w:rsidRDefault="0057716D" w:rsidP="00F32A2A">
      <w:pPr>
        <w:pStyle w:val="CH2"/>
        <w:rPr>
          <w:lang w:val="fr-FR"/>
        </w:rPr>
      </w:pPr>
      <w:r w:rsidRPr="00582785">
        <w:rPr>
          <w:lang w:val="fr-FR"/>
        </w:rPr>
        <w:tab/>
      </w:r>
      <w:r w:rsidR="00B658EA" w:rsidRPr="00582785">
        <w:rPr>
          <w:lang w:val="fr-FR"/>
        </w:rPr>
        <w:t>A.</w:t>
      </w:r>
      <w:r w:rsidR="00B658EA" w:rsidRPr="00582785">
        <w:rPr>
          <w:lang w:val="fr-FR"/>
        </w:rPr>
        <w:tab/>
      </w:r>
      <w:r w:rsidR="00F6760E" w:rsidRPr="00582785">
        <w:rPr>
          <w:lang w:val="fr-FR"/>
        </w:rPr>
        <w:t>Portée</w:t>
      </w:r>
    </w:p>
    <w:p w:rsidR="00E65B1B" w:rsidRPr="00582785" w:rsidRDefault="007C4CD4" w:rsidP="00F32A2A">
      <w:pPr>
        <w:pStyle w:val="Normalnumber"/>
        <w:rPr>
          <w:lang w:val="fr-FR"/>
        </w:rPr>
      </w:pPr>
      <w:r w:rsidRPr="00582785">
        <w:rPr>
          <w:lang w:val="fr-FR"/>
        </w:rPr>
        <w:t>L’« </w:t>
      </w:r>
      <w:r w:rsidR="00E65B1B" w:rsidRPr="00582785">
        <w:rPr>
          <w:lang w:val="fr-FR"/>
        </w:rPr>
        <w:t>intensification</w:t>
      </w:r>
      <w:r w:rsidRPr="00582785">
        <w:rPr>
          <w:lang w:val="fr-FR"/>
        </w:rPr>
        <w:t xml:space="preserve"> durable » est-elle une option efficace pour répondre aux besoins mondiaux en matière de sécurité alimentaire sans compromettre les services écosystémique</w:t>
      </w:r>
      <w:r w:rsidR="00E65B1B" w:rsidRPr="00582785">
        <w:rPr>
          <w:lang w:val="fr-FR"/>
        </w:rPr>
        <w:t xml:space="preserve">s, </w:t>
      </w:r>
      <w:r w:rsidRPr="00582785">
        <w:rPr>
          <w:lang w:val="fr-FR"/>
        </w:rPr>
        <w:t xml:space="preserve">notamment la </w:t>
      </w:r>
      <w:r w:rsidR="00E65B1B" w:rsidRPr="00582785">
        <w:rPr>
          <w:lang w:val="fr-FR"/>
        </w:rPr>
        <w:t>biodiversit</w:t>
      </w:r>
      <w:r w:rsidRPr="00582785">
        <w:rPr>
          <w:lang w:val="fr-FR"/>
        </w:rPr>
        <w:t>é</w:t>
      </w:r>
      <w:r w:rsidR="00E65B1B" w:rsidRPr="00582785">
        <w:rPr>
          <w:lang w:val="fr-FR"/>
        </w:rPr>
        <w:t>?</w:t>
      </w:r>
    </w:p>
    <w:p w:rsidR="00E37544" w:rsidRDefault="007313A1" w:rsidP="00F32A2A">
      <w:pPr>
        <w:pStyle w:val="Normalnumber"/>
        <w:rPr>
          <w:lang w:val="fr-FR"/>
        </w:rPr>
      </w:pPr>
      <w:r w:rsidRPr="00582785">
        <w:rPr>
          <w:lang w:val="fr-FR"/>
        </w:rPr>
        <w:t>Face aux</w:t>
      </w:r>
      <w:r w:rsidR="007C4CD4" w:rsidRPr="00582785">
        <w:rPr>
          <w:lang w:val="fr-FR"/>
        </w:rPr>
        <w:t xml:space="preserve"> pressions potentielles pesant sur les re</w:t>
      </w:r>
      <w:r w:rsidR="00251DF1" w:rsidRPr="00582785">
        <w:rPr>
          <w:lang w:val="fr-FR"/>
        </w:rPr>
        <w:t>s</w:t>
      </w:r>
      <w:r w:rsidR="007C4CD4" w:rsidRPr="00582785">
        <w:rPr>
          <w:lang w:val="fr-FR"/>
        </w:rPr>
        <w:t xml:space="preserve">sources foncières et hydriques </w:t>
      </w:r>
      <w:r w:rsidR="00251DF1" w:rsidRPr="00582785">
        <w:rPr>
          <w:lang w:val="fr-FR"/>
        </w:rPr>
        <w:t>à mesure que se renforce l’exigence d’un accroissement de la productivité agricole pour nourrir une population mondiale de 9 milliards d’êtres humains</w:t>
      </w:r>
      <w:r w:rsidRPr="00582785">
        <w:rPr>
          <w:lang w:val="fr-FR"/>
        </w:rPr>
        <w:t xml:space="preserve">, des politiques doivent être mises en œuvre pour concilier </w:t>
      </w:r>
      <w:r w:rsidR="00251DF1" w:rsidRPr="00582785">
        <w:rPr>
          <w:lang w:val="fr-FR"/>
        </w:rPr>
        <w:t>la capacité productive de</w:t>
      </w:r>
      <w:r w:rsidR="00D038C1" w:rsidRPr="00582785">
        <w:rPr>
          <w:lang w:val="fr-FR"/>
        </w:rPr>
        <w:t xml:space="preserve"> la terre et de l’eau et leur valeur intrinsèque en tant que fournisseurs de services </w:t>
      </w:r>
    </w:p>
    <w:p w:rsidR="00E65B1B" w:rsidRPr="00582785" w:rsidRDefault="00E37544" w:rsidP="00E37544">
      <w:pPr>
        <w:pStyle w:val="Normalnumber"/>
        <w:numPr>
          <w:ilvl w:val="0"/>
          <w:numId w:val="0"/>
        </w:numPr>
        <w:ind w:left="1247"/>
        <w:rPr>
          <w:lang w:val="fr-FR"/>
        </w:rPr>
      </w:pPr>
      <w:r>
        <w:rPr>
          <w:lang w:val="fr-FR"/>
        </w:rPr>
        <w:br w:type="page"/>
      </w:r>
      <w:r w:rsidR="00D038C1" w:rsidRPr="00582785">
        <w:rPr>
          <w:lang w:val="fr-FR"/>
        </w:rPr>
        <w:lastRenderedPageBreak/>
        <w:t>écosystémiques</w:t>
      </w:r>
      <w:r w:rsidR="00E65B1B" w:rsidRPr="00582785">
        <w:rPr>
          <w:lang w:val="fr-FR"/>
        </w:rPr>
        <w:t xml:space="preserve">. </w:t>
      </w:r>
      <w:r w:rsidR="00D038C1" w:rsidRPr="00582785">
        <w:rPr>
          <w:lang w:val="fr-FR"/>
        </w:rPr>
        <w:t>L’évaluation proposée s’appuiera sur les documents préc</w:t>
      </w:r>
      <w:r w:rsidR="00FD772E" w:rsidRPr="00582785">
        <w:rPr>
          <w:lang w:val="fr-FR"/>
        </w:rPr>
        <w:t>é</w:t>
      </w:r>
      <w:r w:rsidR="00D038C1" w:rsidRPr="00582785">
        <w:rPr>
          <w:lang w:val="fr-FR"/>
        </w:rPr>
        <w:t xml:space="preserve">dents qui ont résumé l’état des connaissances </w:t>
      </w:r>
      <w:r w:rsidR="007313A1" w:rsidRPr="00582785">
        <w:rPr>
          <w:lang w:val="fr-FR"/>
        </w:rPr>
        <w:t>dans le domaine</w:t>
      </w:r>
      <w:r w:rsidR="00D038C1" w:rsidRPr="00582785">
        <w:rPr>
          <w:lang w:val="fr-FR"/>
        </w:rPr>
        <w:t xml:space="preserve"> et portera expressément sur le</w:t>
      </w:r>
      <w:r w:rsidR="00FD772E" w:rsidRPr="00582785">
        <w:rPr>
          <w:lang w:val="fr-FR"/>
        </w:rPr>
        <w:t xml:space="preserve"> contexte général dans lequel s’inscrit cette problématique.</w:t>
      </w:r>
      <w:r w:rsidR="00E65B1B" w:rsidRPr="00582785">
        <w:rPr>
          <w:lang w:val="fr-FR"/>
        </w:rPr>
        <w:t xml:space="preserve"> </w:t>
      </w:r>
    </w:p>
    <w:p w:rsidR="00E65B1B" w:rsidRPr="00582785" w:rsidRDefault="00FD772E" w:rsidP="00F32A2A">
      <w:pPr>
        <w:pStyle w:val="Normalnumber"/>
        <w:rPr>
          <w:lang w:val="fr-FR"/>
        </w:rPr>
      </w:pPr>
      <w:r w:rsidRPr="00582785">
        <w:rPr>
          <w:lang w:val="fr-FR"/>
        </w:rPr>
        <w:t xml:space="preserve">Les possibilités d’action concernant la production agricole durable et la </w:t>
      </w:r>
      <w:r w:rsidR="00E65B1B" w:rsidRPr="00582785">
        <w:rPr>
          <w:lang w:val="fr-FR"/>
        </w:rPr>
        <w:t>biodiversit</w:t>
      </w:r>
      <w:r w:rsidRPr="00582785">
        <w:rPr>
          <w:lang w:val="fr-FR"/>
        </w:rPr>
        <w:t>é</w:t>
      </w:r>
      <w:r w:rsidR="00FD2D22" w:rsidRPr="00582785">
        <w:rPr>
          <w:lang w:val="fr-FR"/>
        </w:rPr>
        <w:t xml:space="preserve"> </w:t>
      </w:r>
      <w:r w:rsidRPr="00582785">
        <w:rPr>
          <w:lang w:val="fr-FR"/>
        </w:rPr>
        <w:t xml:space="preserve">offrent l’occasion de </w:t>
      </w:r>
      <w:r w:rsidR="00820152" w:rsidRPr="00582785">
        <w:rPr>
          <w:lang w:val="fr-FR"/>
        </w:rPr>
        <w:t xml:space="preserve">mettre au point </w:t>
      </w:r>
      <w:r w:rsidRPr="00582785">
        <w:rPr>
          <w:lang w:val="fr-FR"/>
        </w:rPr>
        <w:t>de nouvelles technologies (y compris de nouveaux matériels génétiques) qui pourraient accroître la</w:t>
      </w:r>
      <w:r w:rsidR="00E65B1B" w:rsidRPr="00582785">
        <w:rPr>
          <w:lang w:val="fr-FR"/>
        </w:rPr>
        <w:t xml:space="preserve"> </w:t>
      </w:r>
      <w:r w:rsidR="00820152" w:rsidRPr="00582785">
        <w:rPr>
          <w:lang w:val="fr-FR"/>
        </w:rPr>
        <w:t>capacité de résistance</w:t>
      </w:r>
      <w:r w:rsidR="00E65B1B" w:rsidRPr="00582785">
        <w:rPr>
          <w:lang w:val="fr-FR"/>
        </w:rPr>
        <w:t xml:space="preserve"> </w:t>
      </w:r>
      <w:r w:rsidRPr="00582785">
        <w:rPr>
          <w:lang w:val="fr-FR"/>
        </w:rPr>
        <w:t>des systèmes agricoles, notamment face à la variabilité et à l’évolution du climat</w:t>
      </w:r>
      <w:r w:rsidR="00E65B1B" w:rsidRPr="00582785">
        <w:rPr>
          <w:lang w:val="fr-FR"/>
        </w:rPr>
        <w:t xml:space="preserve">. </w:t>
      </w:r>
      <w:r w:rsidRPr="00582785">
        <w:rPr>
          <w:lang w:val="fr-FR"/>
        </w:rPr>
        <w:t xml:space="preserve">En outre, les pratiques agricoles </w:t>
      </w:r>
      <w:r w:rsidR="00F504C4" w:rsidRPr="00582785">
        <w:rPr>
          <w:lang w:val="fr-FR"/>
        </w:rPr>
        <w:t xml:space="preserve">peuvent avoir une incidence sur la biodiversité et les services écosystémiques qu’elle </w:t>
      </w:r>
      <w:r w:rsidR="00820152" w:rsidRPr="00582785">
        <w:rPr>
          <w:lang w:val="fr-FR"/>
        </w:rPr>
        <w:t>fournit</w:t>
      </w:r>
      <w:r w:rsidR="00E65B1B" w:rsidRPr="00582785">
        <w:rPr>
          <w:lang w:val="fr-FR"/>
        </w:rPr>
        <w:t xml:space="preserve">. </w:t>
      </w:r>
      <w:r w:rsidR="00F504C4" w:rsidRPr="00582785">
        <w:rPr>
          <w:lang w:val="fr-FR"/>
        </w:rPr>
        <w:t>Le projet d’évaluation devrait permettre de tenir compte directement de cette dualité</w:t>
      </w:r>
      <w:r w:rsidR="00E65B1B" w:rsidRPr="00582785">
        <w:rPr>
          <w:lang w:val="fr-FR"/>
        </w:rPr>
        <w:t>.</w:t>
      </w:r>
    </w:p>
    <w:p w:rsidR="00DE0ADE" w:rsidRPr="00582785" w:rsidRDefault="0057716D" w:rsidP="00F32A2A">
      <w:pPr>
        <w:pStyle w:val="CH2"/>
        <w:rPr>
          <w:b w:val="0"/>
          <w:lang w:val="fr-FR"/>
        </w:rPr>
      </w:pPr>
      <w:r w:rsidRPr="00582785">
        <w:rPr>
          <w:lang w:val="fr-FR"/>
        </w:rPr>
        <w:tab/>
      </w:r>
      <w:r w:rsidR="00FD2D22" w:rsidRPr="00582785">
        <w:rPr>
          <w:lang w:val="fr-FR"/>
        </w:rPr>
        <w:t>B.</w:t>
      </w:r>
      <w:r w:rsidR="00FD2D22" w:rsidRPr="00582785">
        <w:rPr>
          <w:lang w:val="fr-FR"/>
        </w:rPr>
        <w:tab/>
      </w:r>
      <w:r w:rsidR="00FD772E" w:rsidRPr="00582785">
        <w:rPr>
          <w:lang w:val="fr-FR"/>
        </w:rPr>
        <w:t>Bien-fondé</w:t>
      </w:r>
    </w:p>
    <w:p w:rsidR="00E65B1B" w:rsidRPr="00582785" w:rsidRDefault="00F504C4" w:rsidP="00F32A2A">
      <w:pPr>
        <w:pStyle w:val="Normalnumber"/>
        <w:rPr>
          <w:lang w:val="fr-FR"/>
        </w:rPr>
      </w:pPr>
      <w:r w:rsidRPr="00582785">
        <w:rPr>
          <w:lang w:val="fr-FR"/>
        </w:rPr>
        <w:t xml:space="preserve">Les pressions exercées sur les écosystèmes aquatiques et terrestres pour produire des denrées alimentaires doivent être contrées par des pratiques propres à préserver et à valoriser les services écosystémiques qui </w:t>
      </w:r>
      <w:r w:rsidR="00820152" w:rsidRPr="00582785">
        <w:rPr>
          <w:lang w:val="fr-FR"/>
        </w:rPr>
        <w:t>sont associés à</w:t>
      </w:r>
      <w:r w:rsidRPr="00582785">
        <w:rPr>
          <w:lang w:val="fr-FR"/>
        </w:rPr>
        <w:t xml:space="preserve"> ces éléments nécessaires à la vie</w:t>
      </w:r>
      <w:r w:rsidR="00E65B1B" w:rsidRPr="00582785">
        <w:rPr>
          <w:lang w:val="fr-FR"/>
        </w:rPr>
        <w:t xml:space="preserve">. </w:t>
      </w:r>
      <w:r w:rsidRPr="00582785">
        <w:rPr>
          <w:lang w:val="fr-FR"/>
        </w:rPr>
        <w:t>Des évaluations et des rapports ont résumé l’état des connaissances dans ce domaine, mais il n’a pas été tiré suffisamment parti de ces connaissances, par exemple pour élaborer des politiques efficaces</w:t>
      </w:r>
      <w:r w:rsidR="00E65B1B" w:rsidRPr="00582785">
        <w:rPr>
          <w:lang w:val="fr-FR"/>
        </w:rPr>
        <w:t xml:space="preserve">. </w:t>
      </w:r>
      <w:r w:rsidRPr="00582785">
        <w:rPr>
          <w:lang w:val="fr-FR"/>
        </w:rPr>
        <w:t xml:space="preserve">Le projet d’évaluation ajouterait de la valeur aux </w:t>
      </w:r>
      <w:r w:rsidR="00820152" w:rsidRPr="00582785">
        <w:rPr>
          <w:lang w:val="fr-FR"/>
        </w:rPr>
        <w:t>analyses</w:t>
      </w:r>
      <w:r w:rsidRPr="00582785">
        <w:rPr>
          <w:lang w:val="fr-FR"/>
        </w:rPr>
        <w:t xml:space="preserve"> existant</w:t>
      </w:r>
      <w:r w:rsidR="00820152" w:rsidRPr="00582785">
        <w:rPr>
          <w:lang w:val="fr-FR"/>
        </w:rPr>
        <w:t>e</w:t>
      </w:r>
      <w:r w:rsidRPr="00582785">
        <w:rPr>
          <w:lang w:val="fr-FR"/>
        </w:rPr>
        <w:t xml:space="preserve">s </w:t>
      </w:r>
      <w:r w:rsidR="005275BE" w:rsidRPr="00582785">
        <w:rPr>
          <w:lang w:val="fr-FR"/>
        </w:rPr>
        <w:t>en s’interrogeant sur l</w:t>
      </w:r>
      <w:r w:rsidR="00EF444F" w:rsidRPr="00582785">
        <w:rPr>
          <w:lang w:val="fr-FR"/>
        </w:rPr>
        <w:t>es déficiences des</w:t>
      </w:r>
      <w:r w:rsidR="005275BE" w:rsidRPr="00582785">
        <w:rPr>
          <w:lang w:val="fr-FR"/>
        </w:rPr>
        <w:t xml:space="preserve"> politiques et, surtout, en élargissant l’examen des services écosystémiques</w:t>
      </w:r>
      <w:r w:rsidR="00EF444F" w:rsidRPr="00582785">
        <w:rPr>
          <w:lang w:val="fr-FR"/>
        </w:rPr>
        <w:t xml:space="preserve"> au delà</w:t>
      </w:r>
      <w:r w:rsidR="005275BE" w:rsidRPr="00582785">
        <w:rPr>
          <w:lang w:val="fr-FR"/>
        </w:rPr>
        <w:t xml:space="preserve"> de la biodiversité</w:t>
      </w:r>
      <w:r w:rsidR="00E65B1B" w:rsidRPr="00582785">
        <w:rPr>
          <w:lang w:val="fr-FR"/>
        </w:rPr>
        <w:t>.</w:t>
      </w:r>
    </w:p>
    <w:p w:rsidR="00DE0ADE" w:rsidRPr="00582785" w:rsidRDefault="0057716D" w:rsidP="00F32A2A">
      <w:pPr>
        <w:pStyle w:val="CH2"/>
        <w:rPr>
          <w:lang w:val="fr-FR"/>
        </w:rPr>
      </w:pPr>
      <w:r w:rsidRPr="00582785">
        <w:rPr>
          <w:lang w:val="fr-FR"/>
        </w:rPr>
        <w:tab/>
      </w:r>
      <w:r w:rsidR="00A93108" w:rsidRPr="00582785">
        <w:rPr>
          <w:lang w:val="fr-FR"/>
        </w:rPr>
        <w:t>C.</w:t>
      </w:r>
      <w:r w:rsidR="00A93108" w:rsidRPr="00582785">
        <w:rPr>
          <w:lang w:val="fr-FR"/>
        </w:rPr>
        <w:tab/>
      </w:r>
      <w:r w:rsidR="00E65B1B" w:rsidRPr="00582785">
        <w:rPr>
          <w:lang w:val="fr-FR"/>
        </w:rPr>
        <w:t>Utilit</w:t>
      </w:r>
      <w:r w:rsidR="00FD772E" w:rsidRPr="00582785">
        <w:rPr>
          <w:lang w:val="fr-FR"/>
        </w:rPr>
        <w:t>é</w:t>
      </w:r>
      <w:r w:rsidR="00364DCD" w:rsidRPr="00582785">
        <w:rPr>
          <w:lang w:val="fr-FR"/>
        </w:rPr>
        <w:t xml:space="preserve"> </w:t>
      </w:r>
    </w:p>
    <w:p w:rsidR="00E65B1B" w:rsidRPr="00582785" w:rsidRDefault="005275BE" w:rsidP="00F32A2A">
      <w:pPr>
        <w:pStyle w:val="Normalnumber"/>
        <w:rPr>
          <w:lang w:val="fr-FR"/>
        </w:rPr>
      </w:pPr>
      <w:r w:rsidRPr="00582785">
        <w:rPr>
          <w:lang w:val="fr-FR"/>
        </w:rPr>
        <w:t xml:space="preserve">Un rapport de </w:t>
      </w:r>
      <w:r w:rsidR="00E65B1B" w:rsidRPr="00582785">
        <w:rPr>
          <w:lang w:val="fr-FR"/>
        </w:rPr>
        <w:t xml:space="preserve">2011 </w:t>
      </w:r>
      <w:r w:rsidRPr="00582785">
        <w:rPr>
          <w:lang w:val="fr-FR"/>
        </w:rPr>
        <w:t>de l’Organisation des Nations Unies pour l’alimentation et l’agriculture, intitul</w:t>
      </w:r>
      <w:r w:rsidR="00820152" w:rsidRPr="00582785">
        <w:rPr>
          <w:lang w:val="fr-FR"/>
        </w:rPr>
        <w:t>é</w:t>
      </w:r>
      <w:r w:rsidRPr="00582785">
        <w:rPr>
          <w:lang w:val="fr-FR"/>
        </w:rPr>
        <w:t xml:space="preserve"> « </w:t>
      </w:r>
      <w:r w:rsidR="00820152" w:rsidRPr="00582785">
        <w:rPr>
          <w:lang w:val="fr-FR"/>
        </w:rPr>
        <w:t>Biodiversity for Food and Agriculture</w:t>
      </w:r>
      <w:r w:rsidRPr="00582785">
        <w:rPr>
          <w:lang w:val="fr-FR"/>
        </w:rPr>
        <w:t> »</w:t>
      </w:r>
      <w:r w:rsidR="00820152" w:rsidRPr="00582785">
        <w:rPr>
          <w:lang w:val="fr-FR"/>
        </w:rPr>
        <w:t>,</w:t>
      </w:r>
      <w:r w:rsidR="00E65B1B" w:rsidRPr="00582785">
        <w:rPr>
          <w:lang w:val="fr-FR"/>
        </w:rPr>
        <w:t xml:space="preserve"> </w:t>
      </w:r>
      <w:r w:rsidR="00062279">
        <w:rPr>
          <w:lang w:val="fr-FR"/>
        </w:rPr>
        <w:t xml:space="preserve">a </w:t>
      </w:r>
      <w:r w:rsidRPr="00582785">
        <w:rPr>
          <w:lang w:val="fr-FR"/>
        </w:rPr>
        <w:t>pass</w:t>
      </w:r>
      <w:r w:rsidR="00062279">
        <w:rPr>
          <w:lang w:val="fr-FR"/>
        </w:rPr>
        <w:t xml:space="preserve">é </w:t>
      </w:r>
      <w:r w:rsidRPr="00582785">
        <w:rPr>
          <w:lang w:val="fr-FR"/>
        </w:rPr>
        <w:t xml:space="preserve">en revue les ouvrages </w:t>
      </w:r>
      <w:r w:rsidR="00820152" w:rsidRPr="00582785">
        <w:rPr>
          <w:lang w:val="fr-FR"/>
        </w:rPr>
        <w:t xml:space="preserve">consacrés à cette question et </w:t>
      </w:r>
      <w:r w:rsidRPr="00582785">
        <w:rPr>
          <w:lang w:val="fr-FR"/>
        </w:rPr>
        <w:t xml:space="preserve">ses complexités dans une </w:t>
      </w:r>
      <w:r w:rsidR="00820152" w:rsidRPr="00582785">
        <w:rPr>
          <w:lang w:val="fr-FR"/>
        </w:rPr>
        <w:t>optique</w:t>
      </w:r>
      <w:r w:rsidRPr="00582785">
        <w:rPr>
          <w:lang w:val="fr-FR"/>
        </w:rPr>
        <w:t xml:space="preserve"> de recherche et m</w:t>
      </w:r>
      <w:r w:rsidR="00062279">
        <w:rPr>
          <w:lang w:val="fr-FR"/>
        </w:rPr>
        <w:t>is</w:t>
      </w:r>
      <w:r w:rsidRPr="00582785">
        <w:rPr>
          <w:lang w:val="fr-FR"/>
        </w:rPr>
        <w:t xml:space="preserve"> en évidence plusieurs </w:t>
      </w:r>
      <w:r w:rsidR="00820152" w:rsidRPr="00582785">
        <w:rPr>
          <w:lang w:val="fr-FR"/>
        </w:rPr>
        <w:t>lacunes dans</w:t>
      </w:r>
      <w:r w:rsidRPr="00582785">
        <w:rPr>
          <w:lang w:val="fr-FR"/>
        </w:rPr>
        <w:t xml:space="preserve"> l</w:t>
      </w:r>
      <w:r w:rsidR="00820152" w:rsidRPr="00582785">
        <w:rPr>
          <w:lang w:val="fr-FR"/>
        </w:rPr>
        <w:t xml:space="preserve">es politiques mises en </w:t>
      </w:r>
      <w:r w:rsidR="00582785" w:rsidRPr="00582785">
        <w:rPr>
          <w:lang w:val="fr-FR"/>
        </w:rPr>
        <w:t>œuvre</w:t>
      </w:r>
      <w:r w:rsidR="00E65B1B" w:rsidRPr="00582785">
        <w:rPr>
          <w:lang w:val="fr-FR"/>
        </w:rPr>
        <w:t xml:space="preserve">. </w:t>
      </w:r>
      <w:r w:rsidRPr="00582785">
        <w:rPr>
          <w:lang w:val="fr-FR"/>
        </w:rPr>
        <w:t xml:space="preserve">Le projet d’évaluation </w:t>
      </w:r>
      <w:r w:rsidR="00EF444F" w:rsidRPr="00582785">
        <w:rPr>
          <w:lang w:val="fr-FR"/>
        </w:rPr>
        <w:t xml:space="preserve">sera axé sur ces </w:t>
      </w:r>
      <w:r w:rsidR="00820152" w:rsidRPr="00582785">
        <w:rPr>
          <w:lang w:val="fr-FR"/>
        </w:rPr>
        <w:t>problèmes</w:t>
      </w:r>
      <w:r w:rsidR="00EF444F" w:rsidRPr="00582785">
        <w:rPr>
          <w:lang w:val="fr-FR"/>
        </w:rPr>
        <w:t xml:space="preserve">, </w:t>
      </w:r>
      <w:r w:rsidR="00561C28" w:rsidRPr="00582785">
        <w:rPr>
          <w:lang w:val="fr-FR"/>
        </w:rPr>
        <w:t xml:space="preserve">présentant en outre </w:t>
      </w:r>
      <w:r w:rsidR="00EF444F" w:rsidRPr="00582785">
        <w:rPr>
          <w:lang w:val="fr-FR"/>
        </w:rPr>
        <w:t xml:space="preserve">un examen des données tirées des systèmes de connaissances autochtones et locales </w:t>
      </w:r>
      <w:r w:rsidR="00561C28" w:rsidRPr="00582785">
        <w:rPr>
          <w:lang w:val="fr-FR"/>
        </w:rPr>
        <w:t>et</w:t>
      </w:r>
      <w:r w:rsidR="00EF444F" w:rsidRPr="00582785">
        <w:rPr>
          <w:lang w:val="fr-FR"/>
        </w:rPr>
        <w:t xml:space="preserve"> une étude plus précise des services écosystémiques, en </w:t>
      </w:r>
      <w:r w:rsidR="00561C28" w:rsidRPr="00582785">
        <w:rPr>
          <w:lang w:val="fr-FR"/>
        </w:rPr>
        <w:t>privilégiant</w:t>
      </w:r>
      <w:r w:rsidR="00EF444F" w:rsidRPr="00582785">
        <w:rPr>
          <w:lang w:val="fr-FR"/>
        </w:rPr>
        <w:t xml:space="preserve"> une approche régionale et </w:t>
      </w:r>
      <w:r w:rsidR="00561C28" w:rsidRPr="00582785">
        <w:rPr>
          <w:lang w:val="fr-FR"/>
        </w:rPr>
        <w:t>en ne perdant pas de vue l</w:t>
      </w:r>
      <w:r w:rsidR="00EF444F" w:rsidRPr="00582785">
        <w:rPr>
          <w:lang w:val="fr-FR"/>
        </w:rPr>
        <w:t>es quatre fonctions de la Plateforme</w:t>
      </w:r>
      <w:r w:rsidR="00062279">
        <w:rPr>
          <w:lang w:val="fr-FR"/>
        </w:rPr>
        <w:t xml:space="preserve"> reliées à l’</w:t>
      </w:r>
      <w:r w:rsidR="00E65B1B" w:rsidRPr="00582785">
        <w:rPr>
          <w:lang w:val="fr-FR"/>
        </w:rPr>
        <w:t xml:space="preserve">identification </w:t>
      </w:r>
      <w:r w:rsidR="00EF444F" w:rsidRPr="00582785">
        <w:rPr>
          <w:lang w:val="fr-FR"/>
        </w:rPr>
        <w:t xml:space="preserve">des </w:t>
      </w:r>
      <w:r w:rsidR="00561C28" w:rsidRPr="00582785">
        <w:rPr>
          <w:lang w:val="fr-FR"/>
        </w:rPr>
        <w:t xml:space="preserve">déficits de </w:t>
      </w:r>
      <w:r w:rsidR="00EF444F" w:rsidRPr="00582785">
        <w:rPr>
          <w:lang w:val="fr-FR"/>
        </w:rPr>
        <w:t xml:space="preserve">connaissances, </w:t>
      </w:r>
      <w:r w:rsidR="00062279">
        <w:rPr>
          <w:lang w:val="fr-FR"/>
        </w:rPr>
        <w:t xml:space="preserve">au </w:t>
      </w:r>
      <w:r w:rsidR="00561C28" w:rsidRPr="00582785">
        <w:rPr>
          <w:lang w:val="fr-FR"/>
        </w:rPr>
        <w:t>renforcement des</w:t>
      </w:r>
      <w:r w:rsidR="00EF444F" w:rsidRPr="00582785">
        <w:rPr>
          <w:lang w:val="fr-FR"/>
        </w:rPr>
        <w:t xml:space="preserve"> capacités</w:t>
      </w:r>
      <w:r w:rsidR="00E65B1B" w:rsidRPr="00582785">
        <w:rPr>
          <w:lang w:val="fr-FR"/>
        </w:rPr>
        <w:t xml:space="preserve">, </w:t>
      </w:r>
      <w:r w:rsidR="00062279">
        <w:rPr>
          <w:lang w:val="fr-FR"/>
        </w:rPr>
        <w:t xml:space="preserve">au </w:t>
      </w:r>
      <w:r w:rsidR="00561C28" w:rsidRPr="00582785">
        <w:rPr>
          <w:lang w:val="fr-FR"/>
        </w:rPr>
        <w:t xml:space="preserve">maintien de </w:t>
      </w:r>
      <w:r w:rsidR="00EF444F" w:rsidRPr="00582785">
        <w:rPr>
          <w:lang w:val="fr-FR"/>
        </w:rPr>
        <w:t xml:space="preserve">liens avec les décideurs et </w:t>
      </w:r>
      <w:r w:rsidR="00062279">
        <w:rPr>
          <w:lang w:val="fr-FR"/>
        </w:rPr>
        <w:t xml:space="preserve">à la </w:t>
      </w:r>
      <w:r w:rsidR="00EF444F" w:rsidRPr="00582785">
        <w:rPr>
          <w:lang w:val="fr-FR"/>
        </w:rPr>
        <w:t>mise au point d’outils</w:t>
      </w:r>
      <w:r w:rsidR="00561C28" w:rsidRPr="00582785">
        <w:rPr>
          <w:lang w:val="fr-FR"/>
        </w:rPr>
        <w:t xml:space="preserve"> </w:t>
      </w:r>
      <w:r w:rsidR="00EF444F" w:rsidRPr="00582785">
        <w:rPr>
          <w:lang w:val="fr-FR"/>
        </w:rPr>
        <w:t>et de directives pour l’élaboration des politiques</w:t>
      </w:r>
      <w:r w:rsidR="00E65B1B" w:rsidRPr="00582785">
        <w:rPr>
          <w:lang w:val="fr-FR"/>
        </w:rPr>
        <w:t xml:space="preserve">. </w:t>
      </w:r>
    </w:p>
    <w:p w:rsidR="00E65B1B" w:rsidRPr="00582785" w:rsidRDefault="00364DCD" w:rsidP="00F32A2A">
      <w:pPr>
        <w:pStyle w:val="CH1"/>
        <w:rPr>
          <w:lang w:val="fr-FR"/>
        </w:rPr>
      </w:pPr>
      <w:r w:rsidRPr="00582785">
        <w:rPr>
          <w:lang w:val="fr-FR"/>
        </w:rPr>
        <w:tab/>
      </w:r>
      <w:r w:rsidR="000179E3" w:rsidRPr="00582785">
        <w:rPr>
          <w:lang w:val="fr-FR"/>
        </w:rPr>
        <w:t>II</w:t>
      </w:r>
      <w:r w:rsidR="00062279">
        <w:rPr>
          <w:lang w:val="fr-FR"/>
        </w:rPr>
        <w:t>I</w:t>
      </w:r>
      <w:r w:rsidR="00DE0ADE" w:rsidRPr="00582785">
        <w:rPr>
          <w:lang w:val="fr-FR"/>
        </w:rPr>
        <w:t>.</w:t>
      </w:r>
      <w:r w:rsidR="00DE0ADE" w:rsidRPr="00582785">
        <w:rPr>
          <w:lang w:val="fr-FR"/>
        </w:rPr>
        <w:tab/>
      </w:r>
      <w:r w:rsidR="00FD772E" w:rsidRPr="00582785">
        <w:rPr>
          <w:lang w:val="fr-FR"/>
        </w:rPr>
        <w:t>Plan des c</w:t>
      </w:r>
      <w:r w:rsidR="00DE0ADE" w:rsidRPr="00582785">
        <w:rPr>
          <w:lang w:val="fr-FR"/>
        </w:rPr>
        <w:t>hap</w:t>
      </w:r>
      <w:r w:rsidR="00FD772E" w:rsidRPr="00582785">
        <w:rPr>
          <w:lang w:val="fr-FR"/>
        </w:rPr>
        <w:t>itres</w:t>
      </w:r>
    </w:p>
    <w:p w:rsidR="00315D2C" w:rsidRPr="00582785" w:rsidRDefault="00EF444F" w:rsidP="00F32A2A">
      <w:pPr>
        <w:pStyle w:val="Normalnumber"/>
        <w:rPr>
          <w:lang w:val="fr-FR"/>
        </w:rPr>
      </w:pPr>
      <w:r w:rsidRPr="00582785">
        <w:rPr>
          <w:lang w:val="fr-FR"/>
        </w:rPr>
        <w:t>On envisage de pr</w:t>
      </w:r>
      <w:r w:rsidR="00AA71A7" w:rsidRPr="00582785">
        <w:rPr>
          <w:lang w:val="fr-FR"/>
        </w:rPr>
        <w:t>é</w:t>
      </w:r>
      <w:r w:rsidRPr="00582785">
        <w:rPr>
          <w:lang w:val="fr-FR"/>
        </w:rPr>
        <w:t xml:space="preserve">senter </w:t>
      </w:r>
      <w:r w:rsidR="00AA71A7" w:rsidRPr="00582785">
        <w:rPr>
          <w:lang w:val="fr-FR"/>
        </w:rPr>
        <w:t>le projet d’évaluation thématique dans</w:t>
      </w:r>
      <w:r w:rsidR="00F32A2A">
        <w:rPr>
          <w:lang w:val="fr-FR"/>
        </w:rPr>
        <w:t xml:space="preserve"> un rapport comportant les neuf </w:t>
      </w:r>
      <w:r w:rsidR="00AA71A7" w:rsidRPr="00582785">
        <w:rPr>
          <w:lang w:val="fr-FR"/>
        </w:rPr>
        <w:t>chapitres suivants</w:t>
      </w:r>
      <w:r w:rsidR="00315D2C" w:rsidRPr="00582785">
        <w:rPr>
          <w:lang w:val="fr-FR"/>
        </w:rPr>
        <w:t>.</w:t>
      </w:r>
    </w:p>
    <w:p w:rsidR="00E65B1B" w:rsidRPr="00582785" w:rsidRDefault="00AA71A7" w:rsidP="00F32A2A">
      <w:pPr>
        <w:pStyle w:val="Normalnumber"/>
        <w:rPr>
          <w:lang w:val="fr-FR"/>
        </w:rPr>
      </w:pPr>
      <w:r w:rsidRPr="00582785">
        <w:rPr>
          <w:lang w:val="fr-FR"/>
        </w:rPr>
        <w:t>Le chapitre 1 présentera les concepts pertinents ainsi qu’une brève vue d’ensemble de</w:t>
      </w:r>
      <w:r w:rsidR="00561C28" w:rsidRPr="00582785">
        <w:rPr>
          <w:lang w:val="fr-FR"/>
        </w:rPr>
        <w:t>s dernières évolutions d</w:t>
      </w:r>
      <w:r w:rsidRPr="00582785">
        <w:rPr>
          <w:lang w:val="fr-FR"/>
        </w:rPr>
        <w:t xml:space="preserve">es divers systèmes de connaissances et </w:t>
      </w:r>
      <w:r w:rsidR="00561C28" w:rsidRPr="00582785">
        <w:rPr>
          <w:lang w:val="fr-FR"/>
        </w:rPr>
        <w:t>d</w:t>
      </w:r>
      <w:r w:rsidRPr="00582785">
        <w:rPr>
          <w:lang w:val="fr-FR"/>
        </w:rPr>
        <w:t xml:space="preserve">es divers systèmes de production utilisés partout dans le monde. Les systèmes </w:t>
      </w:r>
      <w:r w:rsidR="00664226" w:rsidRPr="00582785">
        <w:rPr>
          <w:lang w:val="fr-FR"/>
        </w:rPr>
        <w:t>de production végétale et animale</w:t>
      </w:r>
      <w:r w:rsidR="006D4F00" w:rsidRPr="00582785">
        <w:rPr>
          <w:lang w:val="fr-FR"/>
        </w:rPr>
        <w:t>, y compris l’aquaculture,</w:t>
      </w:r>
      <w:r w:rsidR="00664226" w:rsidRPr="00582785">
        <w:rPr>
          <w:lang w:val="fr-FR"/>
        </w:rPr>
        <w:t xml:space="preserve"> seront examinés.</w:t>
      </w:r>
      <w:r w:rsidR="00E65B1B" w:rsidRPr="00582785">
        <w:rPr>
          <w:lang w:val="fr-FR"/>
        </w:rPr>
        <w:t xml:space="preserve"> </w:t>
      </w:r>
    </w:p>
    <w:p w:rsidR="00E65B1B" w:rsidRPr="00582785" w:rsidRDefault="00664226" w:rsidP="00F32A2A">
      <w:pPr>
        <w:pStyle w:val="Normalnumber"/>
        <w:rPr>
          <w:lang w:val="fr-FR"/>
        </w:rPr>
      </w:pPr>
      <w:r w:rsidRPr="00582785">
        <w:rPr>
          <w:lang w:val="fr-FR"/>
        </w:rPr>
        <w:t>Le chapitre </w:t>
      </w:r>
      <w:r w:rsidR="00E65B1B" w:rsidRPr="00582785">
        <w:rPr>
          <w:lang w:val="fr-FR"/>
        </w:rPr>
        <w:t>2</w:t>
      </w:r>
      <w:r w:rsidR="00164791" w:rsidRPr="00582785">
        <w:rPr>
          <w:lang w:val="fr-FR"/>
        </w:rPr>
        <w:t xml:space="preserve"> </w:t>
      </w:r>
      <w:r w:rsidRPr="00582785">
        <w:rPr>
          <w:lang w:val="fr-FR"/>
        </w:rPr>
        <w:t>examinera les relations entre la production alimentaire et les services écosystémiques</w:t>
      </w:r>
      <w:r w:rsidR="006D4F00" w:rsidRPr="00582785">
        <w:rPr>
          <w:lang w:val="fr-FR"/>
        </w:rPr>
        <w:t>,</w:t>
      </w:r>
      <w:r w:rsidR="00E65B1B" w:rsidRPr="00582785">
        <w:rPr>
          <w:lang w:val="fr-FR"/>
        </w:rPr>
        <w:t xml:space="preserve"> </w:t>
      </w:r>
      <w:r w:rsidRPr="00582785">
        <w:rPr>
          <w:lang w:val="fr-FR"/>
        </w:rPr>
        <w:t>d</w:t>
      </w:r>
      <w:r w:rsidR="006D4F00" w:rsidRPr="00582785">
        <w:rPr>
          <w:lang w:val="fr-FR"/>
        </w:rPr>
        <w:t xml:space="preserve">ans l’optique à </w:t>
      </w:r>
      <w:r w:rsidRPr="00582785">
        <w:rPr>
          <w:lang w:val="fr-FR"/>
        </w:rPr>
        <w:t xml:space="preserve">la fois des </w:t>
      </w:r>
      <w:r w:rsidR="00E65B1B" w:rsidRPr="00582785">
        <w:rPr>
          <w:lang w:val="fr-FR"/>
        </w:rPr>
        <w:t xml:space="preserve">synergies </w:t>
      </w:r>
      <w:r w:rsidRPr="00582785">
        <w:rPr>
          <w:lang w:val="fr-FR"/>
        </w:rPr>
        <w:t>et de l</w:t>
      </w:r>
      <w:r w:rsidR="00E65B1B" w:rsidRPr="00582785">
        <w:rPr>
          <w:lang w:val="fr-FR"/>
        </w:rPr>
        <w:t>a</w:t>
      </w:r>
      <w:r w:rsidRPr="00582785">
        <w:rPr>
          <w:lang w:val="fr-FR"/>
        </w:rPr>
        <w:t xml:space="preserve"> concurrence</w:t>
      </w:r>
      <w:r w:rsidR="006D4F00" w:rsidRPr="00582785">
        <w:rPr>
          <w:lang w:val="fr-FR"/>
        </w:rPr>
        <w:t xml:space="preserve"> entre les deux</w:t>
      </w:r>
      <w:r w:rsidR="00E65B1B" w:rsidRPr="00582785">
        <w:rPr>
          <w:lang w:val="fr-FR"/>
        </w:rPr>
        <w:t xml:space="preserve">. </w:t>
      </w:r>
      <w:r w:rsidRPr="00582785">
        <w:rPr>
          <w:lang w:val="fr-FR"/>
        </w:rPr>
        <w:t xml:space="preserve">Certaines parties de ce chapitre se </w:t>
      </w:r>
      <w:r w:rsidR="006D4F00" w:rsidRPr="00582785">
        <w:rPr>
          <w:lang w:val="fr-FR"/>
        </w:rPr>
        <w:t>recouperont</w:t>
      </w:r>
      <w:r w:rsidRPr="00582785">
        <w:rPr>
          <w:lang w:val="fr-FR"/>
        </w:rPr>
        <w:t xml:space="preserve"> avec l’évaluation thématique proposée sur la </w:t>
      </w:r>
      <w:r w:rsidR="00E65B1B" w:rsidRPr="00582785">
        <w:rPr>
          <w:lang w:val="fr-FR"/>
        </w:rPr>
        <w:t>d</w:t>
      </w:r>
      <w:r w:rsidRPr="00582785">
        <w:rPr>
          <w:lang w:val="fr-FR"/>
        </w:rPr>
        <w:t>é</w:t>
      </w:r>
      <w:r w:rsidR="00E65B1B" w:rsidRPr="00582785">
        <w:rPr>
          <w:lang w:val="fr-FR"/>
        </w:rPr>
        <w:t xml:space="preserve">gradation </w:t>
      </w:r>
      <w:r w:rsidRPr="00582785">
        <w:rPr>
          <w:lang w:val="fr-FR"/>
        </w:rPr>
        <w:t>et la remise en état des terres</w:t>
      </w:r>
      <w:r w:rsidR="00F03422" w:rsidRPr="00582785">
        <w:rPr>
          <w:lang w:val="fr-FR"/>
        </w:rPr>
        <w:t xml:space="preserve"> </w:t>
      </w:r>
      <w:r w:rsidR="00164791" w:rsidRPr="00582785">
        <w:rPr>
          <w:lang w:val="fr-FR"/>
        </w:rPr>
        <w:t>(</w:t>
      </w:r>
      <w:r w:rsidR="00062279">
        <w:rPr>
          <w:lang w:val="fr-FR"/>
        </w:rPr>
        <w:t xml:space="preserve">voir le document </w:t>
      </w:r>
      <w:r w:rsidR="00164791" w:rsidRPr="00582785">
        <w:rPr>
          <w:lang w:val="fr-FR"/>
        </w:rPr>
        <w:t>IPBES/2/16/Add.</w:t>
      </w:r>
      <w:r w:rsidR="00F03422" w:rsidRPr="00582785">
        <w:rPr>
          <w:lang w:val="fr-FR"/>
        </w:rPr>
        <w:t>2</w:t>
      </w:r>
      <w:r w:rsidR="00164791" w:rsidRPr="00582785">
        <w:rPr>
          <w:lang w:val="fr-FR"/>
        </w:rPr>
        <w:t xml:space="preserve">) </w:t>
      </w:r>
      <w:r w:rsidRPr="00582785">
        <w:rPr>
          <w:lang w:val="fr-FR"/>
        </w:rPr>
        <w:t>et le projet d’évaluation accélérée sur la pollinisation et la production alimentaire</w:t>
      </w:r>
      <w:r w:rsidR="00E65B1B" w:rsidRPr="00582785">
        <w:rPr>
          <w:lang w:val="fr-FR"/>
        </w:rPr>
        <w:t xml:space="preserve"> </w:t>
      </w:r>
      <w:r w:rsidR="00164791" w:rsidRPr="00582785">
        <w:rPr>
          <w:lang w:val="fr-FR"/>
        </w:rPr>
        <w:t>(</w:t>
      </w:r>
      <w:r w:rsidR="00062279">
        <w:rPr>
          <w:lang w:val="fr-FR"/>
        </w:rPr>
        <w:t xml:space="preserve">voir le document </w:t>
      </w:r>
      <w:r w:rsidR="00164791" w:rsidRPr="00582785">
        <w:rPr>
          <w:lang w:val="fr-FR"/>
        </w:rPr>
        <w:t>IPBES/2/16/Add.</w:t>
      </w:r>
      <w:r w:rsidR="00F03422" w:rsidRPr="00582785">
        <w:rPr>
          <w:lang w:val="fr-FR"/>
        </w:rPr>
        <w:t>1</w:t>
      </w:r>
      <w:r w:rsidR="00164791" w:rsidRPr="00582785">
        <w:rPr>
          <w:lang w:val="fr-FR"/>
        </w:rPr>
        <w:t>)</w:t>
      </w:r>
      <w:r w:rsidR="00E65B1B" w:rsidRPr="00582785">
        <w:rPr>
          <w:lang w:val="fr-FR"/>
        </w:rPr>
        <w:t>.</w:t>
      </w:r>
    </w:p>
    <w:p w:rsidR="00E65B1B" w:rsidRPr="00582785" w:rsidRDefault="00664226" w:rsidP="00F32A2A">
      <w:pPr>
        <w:pStyle w:val="Normalnumber"/>
        <w:rPr>
          <w:lang w:val="fr-FR"/>
        </w:rPr>
      </w:pPr>
      <w:r w:rsidRPr="00582785">
        <w:rPr>
          <w:lang w:val="fr-FR"/>
        </w:rPr>
        <w:t>Le c</w:t>
      </w:r>
      <w:r w:rsidR="00E65B1B" w:rsidRPr="00582785">
        <w:rPr>
          <w:lang w:val="fr-FR"/>
        </w:rPr>
        <w:t>hap</w:t>
      </w:r>
      <w:r w:rsidRPr="00582785">
        <w:rPr>
          <w:lang w:val="fr-FR"/>
        </w:rPr>
        <w:t>itre </w:t>
      </w:r>
      <w:r w:rsidR="00E65B1B" w:rsidRPr="00582785">
        <w:rPr>
          <w:lang w:val="fr-FR"/>
        </w:rPr>
        <w:t>3</w:t>
      </w:r>
      <w:r w:rsidR="006E7F64" w:rsidRPr="00582785">
        <w:rPr>
          <w:lang w:val="fr-FR"/>
        </w:rPr>
        <w:t xml:space="preserve"> </w:t>
      </w:r>
      <w:r w:rsidRPr="00582785">
        <w:rPr>
          <w:lang w:val="fr-FR"/>
        </w:rPr>
        <w:t>portera sur le rôle de</w:t>
      </w:r>
      <w:r w:rsidR="006D4F00" w:rsidRPr="00582785">
        <w:rPr>
          <w:lang w:val="fr-FR"/>
        </w:rPr>
        <w:t>s</w:t>
      </w:r>
      <w:r w:rsidRPr="00582785">
        <w:rPr>
          <w:lang w:val="fr-FR"/>
        </w:rPr>
        <w:t xml:space="preserve"> services écosystémiques </w:t>
      </w:r>
      <w:r w:rsidR="006571F4" w:rsidRPr="00582785">
        <w:rPr>
          <w:lang w:val="fr-FR"/>
        </w:rPr>
        <w:t xml:space="preserve">régulateurs </w:t>
      </w:r>
      <w:r w:rsidRPr="00582785">
        <w:rPr>
          <w:lang w:val="fr-FR"/>
        </w:rPr>
        <w:t>dans la sécurité alimentaire</w:t>
      </w:r>
      <w:r w:rsidR="006E7F64" w:rsidRPr="00582785">
        <w:rPr>
          <w:lang w:val="fr-FR"/>
        </w:rPr>
        <w:t xml:space="preserve">, </w:t>
      </w:r>
      <w:r w:rsidR="006571F4" w:rsidRPr="00582785">
        <w:rPr>
          <w:lang w:val="fr-FR"/>
        </w:rPr>
        <w:t xml:space="preserve">notamment </w:t>
      </w:r>
      <w:r w:rsidRPr="00582785">
        <w:rPr>
          <w:lang w:val="fr-FR"/>
        </w:rPr>
        <w:t>les liens avec la</w:t>
      </w:r>
      <w:r w:rsidR="00E65B1B" w:rsidRPr="00582785">
        <w:rPr>
          <w:lang w:val="fr-FR"/>
        </w:rPr>
        <w:t xml:space="preserve"> biodiversit</w:t>
      </w:r>
      <w:r w:rsidRPr="00582785">
        <w:rPr>
          <w:lang w:val="fr-FR"/>
        </w:rPr>
        <w:t>é, le contexte</w:t>
      </w:r>
      <w:r w:rsidR="003421C3" w:rsidRPr="00582785">
        <w:rPr>
          <w:lang w:val="fr-FR"/>
        </w:rPr>
        <w:t xml:space="preserve"> de paysage</w:t>
      </w:r>
      <w:r w:rsidR="00E65B1B" w:rsidRPr="00582785">
        <w:rPr>
          <w:lang w:val="fr-FR"/>
        </w:rPr>
        <w:t xml:space="preserve">, </w:t>
      </w:r>
      <w:r w:rsidRPr="00582785">
        <w:rPr>
          <w:lang w:val="fr-FR"/>
        </w:rPr>
        <w:t xml:space="preserve">la qualité </w:t>
      </w:r>
      <w:r w:rsidR="003421C3" w:rsidRPr="00582785">
        <w:rPr>
          <w:lang w:val="fr-FR"/>
        </w:rPr>
        <w:t>et la quantité de</w:t>
      </w:r>
      <w:r w:rsidR="006571F4" w:rsidRPr="00582785">
        <w:rPr>
          <w:lang w:val="fr-FR"/>
        </w:rPr>
        <w:t xml:space="preserve">s ressources en </w:t>
      </w:r>
      <w:r w:rsidRPr="00582785">
        <w:rPr>
          <w:lang w:val="fr-FR"/>
        </w:rPr>
        <w:t>eau</w:t>
      </w:r>
      <w:r w:rsidR="003421C3" w:rsidRPr="00582785">
        <w:rPr>
          <w:lang w:val="fr-FR"/>
        </w:rPr>
        <w:t>, la santé</w:t>
      </w:r>
      <w:r w:rsidR="00062279">
        <w:rPr>
          <w:lang w:val="fr-FR"/>
        </w:rPr>
        <w:t xml:space="preserve"> </w:t>
      </w:r>
      <w:r w:rsidR="003421C3" w:rsidRPr="00582785">
        <w:rPr>
          <w:lang w:val="fr-FR"/>
        </w:rPr>
        <w:t xml:space="preserve">et les dimensions </w:t>
      </w:r>
      <w:r w:rsidR="00062279">
        <w:rPr>
          <w:lang w:val="fr-FR"/>
        </w:rPr>
        <w:t xml:space="preserve">économiques et </w:t>
      </w:r>
      <w:r w:rsidR="003421C3" w:rsidRPr="00582785">
        <w:rPr>
          <w:lang w:val="fr-FR"/>
        </w:rPr>
        <w:t>sociales</w:t>
      </w:r>
      <w:r w:rsidR="00E65B1B" w:rsidRPr="00582785">
        <w:rPr>
          <w:lang w:val="fr-FR"/>
        </w:rPr>
        <w:t xml:space="preserve">. </w:t>
      </w:r>
      <w:r w:rsidR="003421C3" w:rsidRPr="00582785">
        <w:rPr>
          <w:lang w:val="fr-FR"/>
        </w:rPr>
        <w:t xml:space="preserve">Parmi les </w:t>
      </w:r>
      <w:r w:rsidR="006571F4" w:rsidRPr="00582785">
        <w:rPr>
          <w:lang w:val="fr-FR"/>
        </w:rPr>
        <w:t>thèmes</w:t>
      </w:r>
      <w:r w:rsidR="003421C3" w:rsidRPr="00582785">
        <w:rPr>
          <w:lang w:val="fr-FR"/>
        </w:rPr>
        <w:t xml:space="preserve"> examinés figureront la pollinisation (qui sera aussi au centre du projet d’évaluation accélérée sur la pollinisation et la production alimentaire</w:t>
      </w:r>
      <w:r w:rsidR="006E7F64" w:rsidRPr="00582785">
        <w:rPr>
          <w:lang w:val="fr-FR"/>
        </w:rPr>
        <w:t xml:space="preserve"> (</w:t>
      </w:r>
      <w:r w:rsidR="00062279">
        <w:rPr>
          <w:lang w:val="fr-FR"/>
        </w:rPr>
        <w:t xml:space="preserve">voir le document </w:t>
      </w:r>
      <w:r w:rsidR="006E7F64" w:rsidRPr="00582785">
        <w:rPr>
          <w:lang w:val="fr-FR"/>
        </w:rPr>
        <w:t>IPBES/2/16/Add.</w:t>
      </w:r>
      <w:r w:rsidR="00A60E3D" w:rsidRPr="00582785">
        <w:rPr>
          <w:lang w:val="fr-FR"/>
        </w:rPr>
        <w:t>1</w:t>
      </w:r>
      <w:r w:rsidR="006E7F64" w:rsidRPr="00582785">
        <w:rPr>
          <w:lang w:val="fr-FR"/>
        </w:rPr>
        <w:t>)</w:t>
      </w:r>
      <w:r w:rsidR="00E65B1B" w:rsidRPr="00582785">
        <w:rPr>
          <w:lang w:val="fr-FR"/>
        </w:rPr>
        <w:t xml:space="preserve">), </w:t>
      </w:r>
      <w:r w:rsidR="003421C3" w:rsidRPr="00582785">
        <w:rPr>
          <w:lang w:val="fr-FR"/>
        </w:rPr>
        <w:t>l’</w:t>
      </w:r>
      <w:r w:rsidR="00E65B1B" w:rsidRPr="00582785">
        <w:rPr>
          <w:lang w:val="fr-FR"/>
        </w:rPr>
        <w:t>importance</w:t>
      </w:r>
      <w:r w:rsidR="006E7F64" w:rsidRPr="00582785">
        <w:rPr>
          <w:lang w:val="fr-FR"/>
        </w:rPr>
        <w:t xml:space="preserve"> </w:t>
      </w:r>
      <w:r w:rsidR="003421C3" w:rsidRPr="00582785">
        <w:rPr>
          <w:lang w:val="fr-FR"/>
        </w:rPr>
        <w:t>des services écosystémiques, les moteurs de la biodiversité (</w:t>
      </w:r>
      <w:r w:rsidR="006571F4" w:rsidRPr="00582785">
        <w:rPr>
          <w:lang w:val="fr-FR"/>
        </w:rPr>
        <w:t xml:space="preserve">il faut plus </w:t>
      </w:r>
      <w:r w:rsidR="003421C3" w:rsidRPr="00582785">
        <w:rPr>
          <w:lang w:val="fr-FR"/>
        </w:rPr>
        <w:t>d’abeilles sauvages que d’abeilles à miel</w:t>
      </w:r>
      <w:r w:rsidR="00E65B1B" w:rsidRPr="00582785">
        <w:rPr>
          <w:lang w:val="fr-FR"/>
        </w:rPr>
        <w:t xml:space="preserve">), </w:t>
      </w:r>
      <w:r w:rsidR="0090416F" w:rsidRPr="00582785">
        <w:rPr>
          <w:lang w:val="fr-FR"/>
        </w:rPr>
        <w:t>les questions économiques et le rôle de la</w:t>
      </w:r>
      <w:r w:rsidR="00C46B5E" w:rsidRPr="00582785">
        <w:rPr>
          <w:lang w:val="fr-FR"/>
        </w:rPr>
        <w:t xml:space="preserve"> pollin</w:t>
      </w:r>
      <w:r w:rsidR="0090416F" w:rsidRPr="00582785">
        <w:rPr>
          <w:lang w:val="fr-FR"/>
        </w:rPr>
        <w:t>isation dans la société rurale</w:t>
      </w:r>
      <w:r w:rsidR="00E65B1B" w:rsidRPr="00582785">
        <w:rPr>
          <w:lang w:val="fr-FR"/>
        </w:rPr>
        <w:t xml:space="preserve">. </w:t>
      </w:r>
      <w:r w:rsidR="00F32A2A">
        <w:rPr>
          <w:lang w:val="fr-FR"/>
        </w:rPr>
        <w:t>La lutte biologique et la </w:t>
      </w:r>
      <w:r w:rsidR="00E65B1B" w:rsidRPr="00582785">
        <w:rPr>
          <w:lang w:val="fr-FR"/>
        </w:rPr>
        <w:t>d</w:t>
      </w:r>
      <w:r w:rsidR="0090416F" w:rsidRPr="00582785">
        <w:rPr>
          <w:lang w:val="fr-FR"/>
        </w:rPr>
        <w:t>é</w:t>
      </w:r>
      <w:r w:rsidR="00E65B1B" w:rsidRPr="00582785">
        <w:rPr>
          <w:lang w:val="fr-FR"/>
        </w:rPr>
        <w:t xml:space="preserve">composition </w:t>
      </w:r>
      <w:r w:rsidR="0090416F" w:rsidRPr="00582785">
        <w:rPr>
          <w:lang w:val="fr-FR"/>
        </w:rPr>
        <w:t>du sol sont d’autres services importants qui seront analysés.</w:t>
      </w:r>
    </w:p>
    <w:p w:rsidR="00E65B1B" w:rsidRPr="00582785" w:rsidRDefault="0090416F" w:rsidP="00F32A2A">
      <w:pPr>
        <w:pStyle w:val="Normalnumber"/>
        <w:rPr>
          <w:lang w:val="fr-FR"/>
        </w:rPr>
      </w:pPr>
      <w:r w:rsidRPr="00582785">
        <w:rPr>
          <w:lang w:val="fr-FR"/>
        </w:rPr>
        <w:t>Le chapitre 4</w:t>
      </w:r>
      <w:r w:rsidR="00D4108C" w:rsidRPr="00582785">
        <w:rPr>
          <w:lang w:val="fr-FR"/>
        </w:rPr>
        <w:t xml:space="preserve"> </w:t>
      </w:r>
      <w:r w:rsidRPr="00582785">
        <w:rPr>
          <w:lang w:val="fr-FR"/>
        </w:rPr>
        <w:t xml:space="preserve">passera en revue les facteurs à l’origine de l’intensification agricole et de l’utilisation des terres, notamment les interactions entre zones rurales et urbaines, la propriété foncière, l’évolution des </w:t>
      </w:r>
      <w:r w:rsidR="003F379D" w:rsidRPr="00582785">
        <w:rPr>
          <w:lang w:val="fr-FR"/>
        </w:rPr>
        <w:t xml:space="preserve">besoins </w:t>
      </w:r>
      <w:r w:rsidR="006571F4" w:rsidRPr="00582785">
        <w:rPr>
          <w:lang w:val="fr-FR"/>
        </w:rPr>
        <w:t xml:space="preserve">ainsi que </w:t>
      </w:r>
      <w:r w:rsidR="003F379D" w:rsidRPr="00582785">
        <w:rPr>
          <w:lang w:val="fr-FR"/>
        </w:rPr>
        <w:t>le commerce international et ses incidences potentielles sur les services écosystémiques</w:t>
      </w:r>
      <w:r w:rsidR="00E65B1B" w:rsidRPr="00582785">
        <w:rPr>
          <w:lang w:val="fr-FR"/>
        </w:rPr>
        <w:t xml:space="preserve">. </w:t>
      </w:r>
      <w:r w:rsidR="003F379D" w:rsidRPr="00582785">
        <w:rPr>
          <w:lang w:val="fr-FR"/>
        </w:rPr>
        <w:t>Le rôle et l’</w:t>
      </w:r>
      <w:r w:rsidR="00E65B1B" w:rsidRPr="00582785">
        <w:rPr>
          <w:lang w:val="fr-FR"/>
        </w:rPr>
        <w:t xml:space="preserve">importance </w:t>
      </w:r>
      <w:r w:rsidR="003F379D" w:rsidRPr="00582785">
        <w:rPr>
          <w:lang w:val="fr-FR"/>
        </w:rPr>
        <w:t>de l’</w:t>
      </w:r>
      <w:r w:rsidR="00E65B1B" w:rsidRPr="00582785">
        <w:rPr>
          <w:lang w:val="fr-FR"/>
        </w:rPr>
        <w:t xml:space="preserve">aquaculture </w:t>
      </w:r>
      <w:r w:rsidR="003F379D" w:rsidRPr="00582785">
        <w:rPr>
          <w:lang w:val="fr-FR"/>
        </w:rPr>
        <w:t xml:space="preserve">seront </w:t>
      </w:r>
      <w:r w:rsidR="006571F4" w:rsidRPr="00582785">
        <w:rPr>
          <w:lang w:val="fr-FR"/>
        </w:rPr>
        <w:t>abordés</w:t>
      </w:r>
      <w:r w:rsidR="003F379D" w:rsidRPr="00582785">
        <w:rPr>
          <w:lang w:val="fr-FR"/>
        </w:rPr>
        <w:t>, avec une étude des systèmes marins et des systèmes d’eau douce. Ces différents aspects seront examinés dans une optique régionale</w:t>
      </w:r>
      <w:r w:rsidR="00F03422" w:rsidRPr="00582785">
        <w:rPr>
          <w:lang w:val="fr-FR"/>
        </w:rPr>
        <w:t>.</w:t>
      </w:r>
    </w:p>
    <w:p w:rsidR="00E65B1B" w:rsidRPr="00582785" w:rsidRDefault="00E37544" w:rsidP="00F32A2A">
      <w:pPr>
        <w:pStyle w:val="Normalnumber"/>
        <w:rPr>
          <w:lang w:val="fr-FR"/>
        </w:rPr>
      </w:pPr>
      <w:r>
        <w:rPr>
          <w:lang w:val="fr-FR"/>
        </w:rPr>
        <w:br w:type="page"/>
      </w:r>
      <w:r w:rsidR="003F379D" w:rsidRPr="00582785">
        <w:rPr>
          <w:lang w:val="fr-FR"/>
        </w:rPr>
        <w:lastRenderedPageBreak/>
        <w:t>Le chapitre </w:t>
      </w:r>
      <w:r w:rsidR="00E65B1B" w:rsidRPr="00582785">
        <w:rPr>
          <w:lang w:val="fr-FR"/>
        </w:rPr>
        <w:t>5</w:t>
      </w:r>
      <w:r w:rsidR="002417AA" w:rsidRPr="00582785">
        <w:rPr>
          <w:lang w:val="fr-FR"/>
        </w:rPr>
        <w:t xml:space="preserve"> </w:t>
      </w:r>
      <w:r w:rsidR="003F379D" w:rsidRPr="00582785">
        <w:rPr>
          <w:lang w:val="fr-FR"/>
        </w:rPr>
        <w:t xml:space="preserve">sera consacré aux aspects </w:t>
      </w:r>
      <w:r w:rsidR="002417AA" w:rsidRPr="00582785">
        <w:rPr>
          <w:lang w:val="fr-FR"/>
        </w:rPr>
        <w:t>s</w:t>
      </w:r>
      <w:r w:rsidR="00E65B1B" w:rsidRPr="00582785">
        <w:rPr>
          <w:lang w:val="fr-FR"/>
        </w:rPr>
        <w:t>ocio-</w:t>
      </w:r>
      <w:r w:rsidR="003F379D" w:rsidRPr="00582785">
        <w:rPr>
          <w:lang w:val="fr-FR"/>
        </w:rPr>
        <w:t>é</w:t>
      </w:r>
      <w:r w:rsidR="00E65B1B" w:rsidRPr="00582785">
        <w:rPr>
          <w:lang w:val="fr-FR"/>
        </w:rPr>
        <w:t>conomi</w:t>
      </w:r>
      <w:r w:rsidR="003F379D" w:rsidRPr="00582785">
        <w:rPr>
          <w:lang w:val="fr-FR"/>
        </w:rPr>
        <w:t xml:space="preserve">ques des services écosystémiques considérés, </w:t>
      </w:r>
      <w:r w:rsidR="006571F4" w:rsidRPr="00582785">
        <w:rPr>
          <w:lang w:val="fr-FR"/>
        </w:rPr>
        <w:t xml:space="preserve">notamment </w:t>
      </w:r>
      <w:r w:rsidR="003F379D" w:rsidRPr="00582785">
        <w:rPr>
          <w:lang w:val="fr-FR"/>
        </w:rPr>
        <w:t>les moyens de préserver les soci</w:t>
      </w:r>
      <w:r w:rsidR="00564583" w:rsidRPr="00582785">
        <w:rPr>
          <w:lang w:val="fr-FR"/>
        </w:rPr>
        <w:t>é</w:t>
      </w:r>
      <w:r w:rsidR="003F379D" w:rsidRPr="00582785">
        <w:rPr>
          <w:lang w:val="fr-FR"/>
        </w:rPr>
        <w:t>tés rurales et autochtones et leurs connaissances dans l’intérêt des générations futures</w:t>
      </w:r>
      <w:r w:rsidR="002417AA" w:rsidRPr="00582785">
        <w:rPr>
          <w:lang w:val="fr-FR"/>
        </w:rPr>
        <w:t xml:space="preserve"> </w:t>
      </w:r>
      <w:r w:rsidR="003F379D" w:rsidRPr="00582785">
        <w:rPr>
          <w:lang w:val="fr-FR"/>
        </w:rPr>
        <w:t>et la façon dont les services écosystémiques culturels (par exemple l’a</w:t>
      </w:r>
      <w:r w:rsidR="006571F4" w:rsidRPr="00582785">
        <w:rPr>
          <w:lang w:val="fr-FR"/>
        </w:rPr>
        <w:t>ttachement de la population</w:t>
      </w:r>
      <w:r w:rsidR="00A065A7" w:rsidRPr="00582785">
        <w:rPr>
          <w:lang w:val="fr-FR"/>
        </w:rPr>
        <w:t xml:space="preserve"> à la terre et à ses espèces) peu</w:t>
      </w:r>
      <w:r w:rsidR="006571F4" w:rsidRPr="00582785">
        <w:rPr>
          <w:lang w:val="fr-FR"/>
        </w:rPr>
        <w:t>vent</w:t>
      </w:r>
      <w:r w:rsidR="00A065A7" w:rsidRPr="00582785">
        <w:rPr>
          <w:lang w:val="fr-FR"/>
        </w:rPr>
        <w:t xml:space="preserve"> contribuer à des sociétés rurales durables</w:t>
      </w:r>
      <w:r w:rsidR="00CC386A" w:rsidRPr="00582785">
        <w:rPr>
          <w:lang w:val="fr-FR"/>
        </w:rPr>
        <w:t>.</w:t>
      </w:r>
    </w:p>
    <w:p w:rsidR="00E65B1B" w:rsidRPr="00582785" w:rsidRDefault="00A065A7" w:rsidP="00F32A2A">
      <w:pPr>
        <w:pStyle w:val="Normalnumber"/>
        <w:rPr>
          <w:lang w:val="fr-FR"/>
        </w:rPr>
      </w:pPr>
      <w:r w:rsidRPr="00582785">
        <w:rPr>
          <w:lang w:val="fr-FR"/>
        </w:rPr>
        <w:t>Le chapitre </w:t>
      </w:r>
      <w:r w:rsidR="00E65B1B" w:rsidRPr="00582785">
        <w:rPr>
          <w:lang w:val="fr-FR"/>
        </w:rPr>
        <w:t>6</w:t>
      </w:r>
      <w:r w:rsidR="00CC386A" w:rsidRPr="00582785">
        <w:rPr>
          <w:lang w:val="fr-FR"/>
        </w:rPr>
        <w:t xml:space="preserve"> </w:t>
      </w:r>
      <w:r w:rsidRPr="00582785">
        <w:rPr>
          <w:lang w:val="fr-FR"/>
        </w:rPr>
        <w:t>se penchera sur le</w:t>
      </w:r>
      <w:r w:rsidR="00F817E0" w:rsidRPr="00582785">
        <w:rPr>
          <w:lang w:val="fr-FR"/>
        </w:rPr>
        <w:t>s</w:t>
      </w:r>
      <w:r w:rsidRPr="00582785">
        <w:rPr>
          <w:lang w:val="fr-FR"/>
        </w:rPr>
        <w:t xml:space="preserve"> problème</w:t>
      </w:r>
      <w:r w:rsidR="00F817E0" w:rsidRPr="00582785">
        <w:rPr>
          <w:lang w:val="fr-FR"/>
        </w:rPr>
        <w:t>s</w:t>
      </w:r>
      <w:r w:rsidRPr="00582785">
        <w:rPr>
          <w:lang w:val="fr-FR"/>
        </w:rPr>
        <w:t xml:space="preserve"> que pose</w:t>
      </w:r>
      <w:r w:rsidR="00F817E0" w:rsidRPr="00582785">
        <w:rPr>
          <w:lang w:val="fr-FR"/>
        </w:rPr>
        <w:t>nt dans</w:t>
      </w:r>
      <w:r w:rsidRPr="00582785">
        <w:rPr>
          <w:lang w:val="fr-FR"/>
        </w:rPr>
        <w:t xml:space="preserve"> la vie d</w:t>
      </w:r>
      <w:r w:rsidR="00F817E0" w:rsidRPr="00582785">
        <w:rPr>
          <w:lang w:val="fr-FR"/>
        </w:rPr>
        <w:t>e tous les jours les i</w:t>
      </w:r>
      <w:r w:rsidRPr="00582785">
        <w:rPr>
          <w:lang w:val="fr-FR"/>
        </w:rPr>
        <w:t>ncertitude</w:t>
      </w:r>
      <w:r w:rsidR="00F817E0" w:rsidRPr="00582785">
        <w:rPr>
          <w:lang w:val="fr-FR"/>
        </w:rPr>
        <w:t>s associées aux</w:t>
      </w:r>
      <w:r w:rsidRPr="00582785">
        <w:rPr>
          <w:lang w:val="fr-FR"/>
        </w:rPr>
        <w:t xml:space="preserve"> </w:t>
      </w:r>
      <w:r w:rsidR="00DB74CC" w:rsidRPr="00582785">
        <w:rPr>
          <w:lang w:val="fr-FR"/>
        </w:rPr>
        <w:t xml:space="preserve">changements climatiques mondiaux et </w:t>
      </w:r>
      <w:r w:rsidR="00F817E0" w:rsidRPr="00582785">
        <w:rPr>
          <w:lang w:val="fr-FR"/>
        </w:rPr>
        <w:t xml:space="preserve">à la nécessité de mettre en œuvre </w:t>
      </w:r>
      <w:r w:rsidR="00DB74CC" w:rsidRPr="00582785">
        <w:rPr>
          <w:lang w:val="fr-FR"/>
        </w:rPr>
        <w:t>des mesures d’adaptation aux risques</w:t>
      </w:r>
      <w:r w:rsidR="00F817E0" w:rsidRPr="00582785">
        <w:rPr>
          <w:lang w:val="fr-FR"/>
        </w:rPr>
        <w:t xml:space="preserve"> et d’atténuation de ces risques</w:t>
      </w:r>
      <w:r w:rsidR="00DB74CC" w:rsidRPr="00582785">
        <w:rPr>
          <w:lang w:val="fr-FR"/>
        </w:rPr>
        <w:t xml:space="preserve"> dans les systèmes agricoles.</w:t>
      </w:r>
    </w:p>
    <w:p w:rsidR="00E65B1B" w:rsidRPr="00582785" w:rsidRDefault="00DB74CC" w:rsidP="00F32A2A">
      <w:pPr>
        <w:pStyle w:val="Normalnumber"/>
        <w:keepNext/>
        <w:keepLines/>
        <w:rPr>
          <w:lang w:val="fr-FR"/>
        </w:rPr>
      </w:pPr>
      <w:r w:rsidRPr="00582785">
        <w:rPr>
          <w:lang w:val="fr-FR"/>
        </w:rPr>
        <w:t xml:space="preserve">Dans le chapitre 7, on réfléchira </w:t>
      </w:r>
      <w:r w:rsidR="00F817E0" w:rsidRPr="00582785">
        <w:rPr>
          <w:lang w:val="fr-FR"/>
        </w:rPr>
        <w:t>aux attentes suscitées par l</w:t>
      </w:r>
      <w:r w:rsidRPr="00582785">
        <w:rPr>
          <w:lang w:val="fr-FR"/>
        </w:rPr>
        <w:t xml:space="preserve">es nouvelles approches, </w:t>
      </w:r>
      <w:r w:rsidR="00F817E0" w:rsidRPr="00582785">
        <w:rPr>
          <w:lang w:val="fr-FR"/>
        </w:rPr>
        <w:t>entre autres l</w:t>
      </w:r>
      <w:r w:rsidR="00564583" w:rsidRPr="00582785">
        <w:rPr>
          <w:lang w:val="fr-FR"/>
        </w:rPr>
        <w:t xml:space="preserve">’agriculture </w:t>
      </w:r>
      <w:r w:rsidR="00BC55BF" w:rsidRPr="00582785">
        <w:rPr>
          <w:lang w:val="fr-FR"/>
        </w:rPr>
        <w:t xml:space="preserve">pérenne </w:t>
      </w:r>
      <w:r w:rsidR="00564583" w:rsidRPr="00582785">
        <w:rPr>
          <w:lang w:val="fr-FR"/>
        </w:rPr>
        <w:t>et l</w:t>
      </w:r>
      <w:r w:rsidR="00BC55BF" w:rsidRPr="00582785">
        <w:rPr>
          <w:lang w:val="fr-FR"/>
        </w:rPr>
        <w:t>e renforcement de l</w:t>
      </w:r>
      <w:r w:rsidR="00564583" w:rsidRPr="00582785">
        <w:rPr>
          <w:lang w:val="fr-FR"/>
        </w:rPr>
        <w:t>a fixation de l’azote</w:t>
      </w:r>
      <w:r w:rsidR="00E65B1B" w:rsidRPr="00582785">
        <w:rPr>
          <w:lang w:val="fr-FR"/>
        </w:rPr>
        <w:t xml:space="preserve">. </w:t>
      </w:r>
      <w:r w:rsidR="00564583" w:rsidRPr="00582785">
        <w:rPr>
          <w:lang w:val="fr-FR"/>
        </w:rPr>
        <w:t>On p</w:t>
      </w:r>
      <w:r w:rsidR="00BC55BF" w:rsidRPr="00582785">
        <w:rPr>
          <w:lang w:val="fr-FR"/>
        </w:rPr>
        <w:t>eut aussi</w:t>
      </w:r>
      <w:r w:rsidR="00564583" w:rsidRPr="00582785">
        <w:rPr>
          <w:lang w:val="fr-FR"/>
        </w:rPr>
        <w:t xml:space="preserve"> envisager </w:t>
      </w:r>
      <w:r w:rsidR="00BC55BF" w:rsidRPr="00582785">
        <w:rPr>
          <w:lang w:val="fr-FR"/>
        </w:rPr>
        <w:t>le développement d’</w:t>
      </w:r>
      <w:r w:rsidR="00564583" w:rsidRPr="00582785">
        <w:rPr>
          <w:lang w:val="fr-FR"/>
        </w:rPr>
        <w:t>un marché des services écosystémiques</w:t>
      </w:r>
      <w:r w:rsidR="00BC55BF" w:rsidRPr="00582785">
        <w:rPr>
          <w:lang w:val="fr-FR"/>
        </w:rPr>
        <w:t>,</w:t>
      </w:r>
      <w:r w:rsidR="00564583" w:rsidRPr="00582785">
        <w:rPr>
          <w:lang w:val="fr-FR"/>
        </w:rPr>
        <w:t xml:space="preserve"> auquel pourrait avoir accès un propriétaire terrien/un agriculteur pour accroître la valeur de ses activités</w:t>
      </w:r>
      <w:r w:rsidR="00E65B1B" w:rsidRPr="00582785">
        <w:rPr>
          <w:lang w:val="fr-FR"/>
        </w:rPr>
        <w:t xml:space="preserve">. </w:t>
      </w:r>
      <w:r w:rsidR="00564583" w:rsidRPr="00582785">
        <w:rPr>
          <w:lang w:val="fr-FR"/>
        </w:rPr>
        <w:t xml:space="preserve">D’autres instruments sont </w:t>
      </w:r>
      <w:r w:rsidR="00BC55BF" w:rsidRPr="00582785">
        <w:rPr>
          <w:lang w:val="fr-FR"/>
        </w:rPr>
        <w:t xml:space="preserve">également </w:t>
      </w:r>
      <w:r w:rsidR="00564583" w:rsidRPr="00582785">
        <w:rPr>
          <w:lang w:val="fr-FR"/>
        </w:rPr>
        <w:t>nécessaires, comme des s</w:t>
      </w:r>
      <w:r w:rsidR="002C45EE" w:rsidRPr="00582785">
        <w:rPr>
          <w:lang w:val="fr-FR"/>
        </w:rPr>
        <w:t>ys</w:t>
      </w:r>
      <w:r w:rsidR="00564583" w:rsidRPr="00582785">
        <w:rPr>
          <w:lang w:val="fr-FR"/>
        </w:rPr>
        <w:t xml:space="preserve">tèmes de contrôle, de </w:t>
      </w:r>
      <w:r w:rsidR="002C45EE" w:rsidRPr="00582785">
        <w:rPr>
          <w:lang w:val="fr-FR"/>
        </w:rPr>
        <w:t>réglementation, d</w:t>
      </w:r>
      <w:r w:rsidR="00BC55BF" w:rsidRPr="00582785">
        <w:rPr>
          <w:lang w:val="fr-FR"/>
        </w:rPr>
        <w:t>’</w:t>
      </w:r>
      <w:r w:rsidR="002C45EE" w:rsidRPr="00582785">
        <w:rPr>
          <w:lang w:val="fr-FR"/>
        </w:rPr>
        <w:t xml:space="preserve">incitation et de </w:t>
      </w:r>
      <w:r w:rsidR="00AE6DD2" w:rsidRPr="00582785">
        <w:rPr>
          <w:lang w:val="fr-FR"/>
        </w:rPr>
        <w:t>désincitation</w:t>
      </w:r>
      <w:r w:rsidR="00BC55BF" w:rsidRPr="00582785">
        <w:rPr>
          <w:lang w:val="fr-FR"/>
        </w:rPr>
        <w:t xml:space="preserve"> plus performant</w:t>
      </w:r>
      <w:r w:rsidR="00AE6DD2" w:rsidRPr="00582785">
        <w:rPr>
          <w:lang w:val="fr-FR"/>
        </w:rPr>
        <w:t>s, ainsi qu’</w:t>
      </w:r>
      <w:r w:rsidR="00BC55BF" w:rsidRPr="00582785">
        <w:rPr>
          <w:lang w:val="fr-FR"/>
        </w:rPr>
        <w:t xml:space="preserve">une meilleure </w:t>
      </w:r>
      <w:r w:rsidR="002C45EE" w:rsidRPr="00582785">
        <w:rPr>
          <w:lang w:val="fr-FR"/>
        </w:rPr>
        <w:t>gouvernance</w:t>
      </w:r>
      <w:r w:rsidR="00E65B1B" w:rsidRPr="00582785">
        <w:rPr>
          <w:lang w:val="fr-FR"/>
        </w:rPr>
        <w:t xml:space="preserve">. </w:t>
      </w:r>
      <w:r w:rsidR="002C45EE" w:rsidRPr="00582785">
        <w:rPr>
          <w:lang w:val="fr-FR"/>
        </w:rPr>
        <w:t xml:space="preserve">Ce chapitre serait illustré par des études de cas nationales sur des questions comme la gestion de l’eau au </w:t>
      </w:r>
      <w:r w:rsidR="00D91AB5" w:rsidRPr="00582785">
        <w:rPr>
          <w:lang w:val="fr-FR"/>
        </w:rPr>
        <w:t>Costa Rica</w:t>
      </w:r>
      <w:r w:rsidR="00E65B1B" w:rsidRPr="00582785">
        <w:rPr>
          <w:lang w:val="fr-FR"/>
        </w:rPr>
        <w:t xml:space="preserve">, </w:t>
      </w:r>
      <w:r w:rsidR="002C45EE" w:rsidRPr="00582785">
        <w:rPr>
          <w:lang w:val="fr-FR"/>
        </w:rPr>
        <w:t xml:space="preserve">les forêts communales au Mexique et les marchés de l’eau aux </w:t>
      </w:r>
      <w:r w:rsidR="00582785" w:rsidRPr="00582785">
        <w:rPr>
          <w:lang w:val="fr-FR"/>
        </w:rPr>
        <w:t>États-Unis</w:t>
      </w:r>
      <w:r w:rsidR="003A52AB">
        <w:rPr>
          <w:lang w:val="fr-FR"/>
        </w:rPr>
        <w:t xml:space="preserve"> d’Amérique</w:t>
      </w:r>
      <w:r w:rsidR="00E65B1B" w:rsidRPr="00582785">
        <w:rPr>
          <w:lang w:val="fr-FR"/>
        </w:rPr>
        <w:t>.</w:t>
      </w:r>
    </w:p>
    <w:p w:rsidR="00E65B1B" w:rsidRPr="00582785" w:rsidRDefault="002C45EE" w:rsidP="00F32A2A">
      <w:pPr>
        <w:pStyle w:val="Normalnumber"/>
        <w:rPr>
          <w:lang w:val="fr-FR"/>
        </w:rPr>
      </w:pPr>
      <w:r w:rsidRPr="00582785">
        <w:rPr>
          <w:lang w:val="fr-FR"/>
        </w:rPr>
        <w:t>Le chapitre 8 identifiera les besoins dans les domaines de la science, de la technologie et de l’</w:t>
      </w:r>
      <w:r w:rsidR="00E65B1B" w:rsidRPr="00582785">
        <w:rPr>
          <w:lang w:val="fr-FR"/>
        </w:rPr>
        <w:t xml:space="preserve">information </w:t>
      </w:r>
      <w:r w:rsidRPr="00582785">
        <w:rPr>
          <w:lang w:val="fr-FR"/>
        </w:rPr>
        <w:t>sur la base des lacunes identifiées dans les chapitres précédents.</w:t>
      </w:r>
      <w:r w:rsidR="00E65B1B" w:rsidRPr="00582785">
        <w:rPr>
          <w:lang w:val="fr-FR"/>
        </w:rPr>
        <w:t xml:space="preserve"> </w:t>
      </w:r>
    </w:p>
    <w:p w:rsidR="00E65B1B" w:rsidRPr="00582785" w:rsidRDefault="002C45EE" w:rsidP="00F32A2A">
      <w:pPr>
        <w:pStyle w:val="Normalnumber"/>
        <w:rPr>
          <w:lang w:val="fr-FR"/>
        </w:rPr>
      </w:pPr>
      <w:r w:rsidRPr="00582785">
        <w:rPr>
          <w:lang w:val="fr-FR"/>
        </w:rPr>
        <w:t>Le chapitre </w:t>
      </w:r>
      <w:r w:rsidR="00E65B1B" w:rsidRPr="00582785">
        <w:rPr>
          <w:lang w:val="fr-FR"/>
        </w:rPr>
        <w:t>9</w:t>
      </w:r>
      <w:r w:rsidR="000179E3" w:rsidRPr="00582785">
        <w:rPr>
          <w:lang w:val="fr-FR"/>
        </w:rPr>
        <w:t xml:space="preserve"> </w:t>
      </w:r>
      <w:r w:rsidRPr="00582785">
        <w:rPr>
          <w:lang w:val="fr-FR"/>
        </w:rPr>
        <w:t xml:space="preserve">se penchera sur la question de la création d’un cadre </w:t>
      </w:r>
      <w:r w:rsidR="00FB1D91" w:rsidRPr="00582785">
        <w:rPr>
          <w:lang w:val="fr-FR"/>
        </w:rPr>
        <w:t>pour une intensification agricole durable qui tienne activement compte des services écosystémiques, y compris la</w:t>
      </w:r>
      <w:r w:rsidR="00E65B1B" w:rsidRPr="00582785">
        <w:rPr>
          <w:lang w:val="fr-FR"/>
        </w:rPr>
        <w:t xml:space="preserve"> biodiversit</w:t>
      </w:r>
      <w:r w:rsidR="00FB1D91" w:rsidRPr="00582785">
        <w:rPr>
          <w:lang w:val="fr-FR"/>
        </w:rPr>
        <w:t>é et l’eau. Les possibilités d’action et les outils d’aide à la décision seront examinés dans ce c</w:t>
      </w:r>
      <w:r w:rsidR="00AE6DD2" w:rsidRPr="00582785">
        <w:rPr>
          <w:lang w:val="fr-FR"/>
        </w:rPr>
        <w:t>ontexte</w:t>
      </w:r>
      <w:r w:rsidR="00FB1D91" w:rsidRPr="00582785">
        <w:rPr>
          <w:lang w:val="fr-FR"/>
        </w:rPr>
        <w:t>.</w:t>
      </w:r>
      <w:r w:rsidR="00E65B1B" w:rsidRPr="00582785">
        <w:rPr>
          <w:lang w:val="fr-FR"/>
        </w:rPr>
        <w:t xml:space="preserve"> </w:t>
      </w:r>
    </w:p>
    <w:p w:rsidR="00E65B1B" w:rsidRPr="00582785" w:rsidRDefault="00FA30A2" w:rsidP="00F32A2A">
      <w:pPr>
        <w:pStyle w:val="CH1"/>
        <w:rPr>
          <w:lang w:val="fr-FR"/>
        </w:rPr>
      </w:pPr>
      <w:r w:rsidRPr="00582785">
        <w:rPr>
          <w:lang w:val="fr-FR"/>
        </w:rPr>
        <w:tab/>
      </w:r>
      <w:r w:rsidR="000179E3" w:rsidRPr="00582785">
        <w:rPr>
          <w:lang w:val="fr-FR"/>
        </w:rPr>
        <w:t>I</w:t>
      </w:r>
      <w:r w:rsidR="003A52AB">
        <w:rPr>
          <w:lang w:val="fr-FR"/>
        </w:rPr>
        <w:t>V</w:t>
      </w:r>
      <w:r w:rsidRPr="00582785">
        <w:rPr>
          <w:lang w:val="fr-FR"/>
        </w:rPr>
        <w:t>.</w:t>
      </w:r>
      <w:r w:rsidR="00E65B1B" w:rsidRPr="00582785">
        <w:rPr>
          <w:lang w:val="fr-FR"/>
        </w:rPr>
        <w:tab/>
      </w:r>
      <w:r w:rsidR="00FB1D91" w:rsidRPr="00582785">
        <w:rPr>
          <w:lang w:val="fr-FR"/>
        </w:rPr>
        <w:t xml:space="preserve">Déroulement et calendrier des travaux </w:t>
      </w:r>
    </w:p>
    <w:p w:rsidR="00C115F6" w:rsidRPr="00582785" w:rsidRDefault="00FB1D91" w:rsidP="00F32A2A">
      <w:pPr>
        <w:pStyle w:val="Normalnumber"/>
        <w:rPr>
          <w:lang w:val="fr-FR"/>
        </w:rPr>
      </w:pPr>
      <w:r w:rsidRPr="00582785">
        <w:rPr>
          <w:lang w:val="fr-FR"/>
        </w:rPr>
        <w:t>Le déroulement et le calendrier des travaux envisagés pour la réalisation de l’évaluation thématique proposée sont indiqués dans le tableau ci-après.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799"/>
        <w:gridCol w:w="5839"/>
      </w:tblGrid>
      <w:tr w:rsidR="003A52AB" w:rsidRPr="00582785" w:rsidTr="000E3446">
        <w:trPr>
          <w:trHeight w:val="584"/>
        </w:trPr>
        <w:tc>
          <w:tcPr>
            <w:tcW w:w="1559" w:type="dxa"/>
            <w:gridSpan w:val="2"/>
            <w:shd w:val="clear" w:color="auto" w:fill="auto"/>
            <w:vAlign w:val="center"/>
          </w:tcPr>
          <w:p w:rsidR="003A52AB" w:rsidRPr="003A52AB" w:rsidRDefault="003A52AB" w:rsidP="00F32A2A">
            <w:pPr>
              <w:keepLines/>
              <w:tabs>
                <w:tab w:val="left" w:pos="426"/>
                <w:tab w:val="num" w:pos="1353"/>
              </w:tabs>
              <w:autoSpaceDE w:val="0"/>
              <w:autoSpaceDN w:val="0"/>
              <w:adjustRightInd w:val="0"/>
              <w:spacing w:after="120" w:line="240" w:lineRule="auto"/>
              <w:rPr>
                <w:rFonts w:ascii="Times New Roman" w:eastAsia="SimSun" w:hAnsi="Times New Roman"/>
                <w:i/>
                <w:sz w:val="19"/>
                <w:szCs w:val="19"/>
                <w:lang w:val="fr-FR" w:eastAsia="zh-CN"/>
              </w:rPr>
            </w:pPr>
            <w:r w:rsidRPr="003A52AB">
              <w:rPr>
                <w:rFonts w:ascii="Times New Roman" w:eastAsia="SimSun" w:hAnsi="Times New Roman"/>
                <w:i/>
                <w:sz w:val="19"/>
                <w:szCs w:val="19"/>
                <w:lang w:val="fr-FR" w:eastAsia="zh-CN"/>
              </w:rPr>
              <w:t>Calendrier</w:t>
            </w:r>
          </w:p>
        </w:tc>
        <w:tc>
          <w:tcPr>
            <w:tcW w:w="6663" w:type="dxa"/>
            <w:shd w:val="clear" w:color="auto" w:fill="auto"/>
            <w:vAlign w:val="center"/>
          </w:tcPr>
          <w:p w:rsidR="003A52AB" w:rsidRPr="003A52AB" w:rsidRDefault="003A52AB" w:rsidP="00F32A2A">
            <w:pPr>
              <w:keepLines/>
              <w:tabs>
                <w:tab w:val="left" w:pos="426"/>
                <w:tab w:val="num" w:pos="1353"/>
              </w:tabs>
              <w:autoSpaceDE w:val="0"/>
              <w:autoSpaceDN w:val="0"/>
              <w:adjustRightInd w:val="0"/>
              <w:spacing w:before="20" w:after="20" w:line="240" w:lineRule="auto"/>
              <w:rPr>
                <w:rFonts w:ascii="Times New Roman" w:hAnsi="Times New Roman"/>
                <w:i/>
                <w:sz w:val="18"/>
                <w:szCs w:val="18"/>
                <w:lang w:val="fr-FR"/>
              </w:rPr>
            </w:pPr>
            <w:r w:rsidRPr="003A52AB">
              <w:rPr>
                <w:rFonts w:ascii="Times New Roman" w:hAnsi="Times New Roman"/>
                <w:i/>
                <w:sz w:val="18"/>
                <w:szCs w:val="18"/>
                <w:lang w:val="fr-FR"/>
              </w:rPr>
              <w:t>Activités</w:t>
            </w:r>
          </w:p>
        </w:tc>
      </w:tr>
      <w:tr w:rsidR="00E65B1B" w:rsidRPr="00582785" w:rsidTr="001B4912">
        <w:trPr>
          <w:trHeight w:val="584"/>
        </w:trPr>
        <w:tc>
          <w:tcPr>
            <w:tcW w:w="709" w:type="dxa"/>
            <w:vMerge w:val="restart"/>
            <w:shd w:val="clear" w:color="auto" w:fill="auto"/>
            <w:vAlign w:val="center"/>
          </w:tcPr>
          <w:p w:rsidR="00E65B1B" w:rsidRPr="00582785" w:rsidRDefault="00E65B1B" w:rsidP="00F32A2A">
            <w:pPr>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2013</w:t>
            </w:r>
          </w:p>
        </w:tc>
        <w:tc>
          <w:tcPr>
            <w:tcW w:w="850" w:type="dxa"/>
            <w:shd w:val="clear" w:color="auto" w:fill="auto"/>
            <w:vAlign w:val="center"/>
          </w:tcPr>
          <w:p w:rsidR="00E65B1B" w:rsidRPr="00582785" w:rsidRDefault="00D37E95" w:rsidP="00F32A2A">
            <w:pPr>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Quatrième trimestre</w:t>
            </w:r>
          </w:p>
        </w:tc>
        <w:tc>
          <w:tcPr>
            <w:tcW w:w="6663" w:type="dxa"/>
            <w:shd w:val="clear" w:color="auto" w:fill="auto"/>
            <w:vAlign w:val="center"/>
          </w:tcPr>
          <w:p w:rsidR="00E65B1B" w:rsidRPr="00582785" w:rsidRDefault="001E6B62" w:rsidP="00F32A2A">
            <w:pPr>
              <w:keepLines/>
              <w:tabs>
                <w:tab w:val="left" w:pos="426"/>
                <w:tab w:val="num" w:pos="1353"/>
              </w:tabs>
              <w:autoSpaceDE w:val="0"/>
              <w:autoSpaceDN w:val="0"/>
              <w:adjustRightInd w:val="0"/>
              <w:spacing w:before="20" w:after="20" w:line="240" w:lineRule="auto"/>
              <w:rPr>
                <w:rFonts w:ascii="Times New Roman" w:eastAsia="SimSun" w:hAnsi="Times New Roman"/>
                <w:sz w:val="18"/>
                <w:szCs w:val="18"/>
                <w:lang w:val="fr-FR" w:eastAsia="zh-CN"/>
              </w:rPr>
            </w:pPr>
            <w:r w:rsidRPr="00582785">
              <w:rPr>
                <w:rFonts w:ascii="Times New Roman" w:hAnsi="Times New Roman"/>
                <w:sz w:val="18"/>
                <w:szCs w:val="18"/>
                <w:lang w:val="fr-FR"/>
              </w:rPr>
              <w:t>La Plénière examine et approuve l’étude de cadrage initiale établie par le Groupe d’experts multidisciplinaire</w:t>
            </w:r>
            <w:r w:rsidRPr="00582785">
              <w:rPr>
                <w:rFonts w:ascii="Times New Roman" w:eastAsia="SimSun" w:hAnsi="Times New Roman"/>
                <w:sz w:val="18"/>
                <w:szCs w:val="18"/>
                <w:lang w:val="fr-FR" w:eastAsia="zh-CN"/>
              </w:rPr>
              <w:t xml:space="preserve"> et demande au Groupe et au </w:t>
            </w:r>
            <w:r w:rsidR="00E65B1B" w:rsidRPr="00582785">
              <w:rPr>
                <w:rFonts w:ascii="Times New Roman" w:eastAsia="SimSun" w:hAnsi="Times New Roman"/>
                <w:sz w:val="18"/>
                <w:szCs w:val="18"/>
                <w:lang w:val="fr-FR" w:eastAsia="zh-CN"/>
              </w:rPr>
              <w:t>Bureau</w:t>
            </w:r>
            <w:r w:rsidRPr="00582785">
              <w:rPr>
                <w:rFonts w:ascii="Times New Roman" w:eastAsia="SimSun" w:hAnsi="Times New Roman"/>
                <w:sz w:val="18"/>
                <w:szCs w:val="18"/>
                <w:lang w:val="fr-FR" w:eastAsia="zh-CN"/>
              </w:rPr>
              <w:t xml:space="preserve"> de procéder à une évaluation complète suite à l’étude de cadrage détaillée, </w:t>
            </w:r>
            <w:r w:rsidR="00AE6DD2" w:rsidRPr="00582785">
              <w:rPr>
                <w:rFonts w:ascii="Times New Roman" w:eastAsia="SimSun" w:hAnsi="Times New Roman"/>
                <w:sz w:val="18"/>
                <w:szCs w:val="18"/>
                <w:lang w:val="fr-FR" w:eastAsia="zh-CN"/>
              </w:rPr>
              <w:t>compte tenu d’</w:t>
            </w:r>
            <w:r w:rsidRPr="00582785">
              <w:rPr>
                <w:rFonts w:ascii="Times New Roman" w:eastAsia="SimSun" w:hAnsi="Times New Roman"/>
                <w:sz w:val="18"/>
                <w:szCs w:val="18"/>
                <w:lang w:val="fr-FR" w:eastAsia="zh-CN"/>
              </w:rPr>
              <w:t>une enveloppe budgétaire donnée</w:t>
            </w:r>
            <w:r w:rsidR="00E65B1B" w:rsidRPr="00582785">
              <w:rPr>
                <w:rFonts w:ascii="Times New Roman" w:eastAsia="SimSun" w:hAnsi="Times New Roman"/>
                <w:sz w:val="18"/>
                <w:szCs w:val="18"/>
                <w:lang w:val="fr-FR" w:eastAsia="zh-CN"/>
              </w:rPr>
              <w:t xml:space="preserve"> (</w:t>
            </w:r>
            <w:r w:rsidR="00C115F6" w:rsidRPr="00582785">
              <w:rPr>
                <w:rFonts w:ascii="Times New Roman" w:eastAsia="SimSun" w:hAnsi="Times New Roman"/>
                <w:sz w:val="18"/>
                <w:szCs w:val="18"/>
                <w:lang w:val="fr-FR" w:eastAsia="zh-CN"/>
              </w:rPr>
              <w:t>14</w:t>
            </w:r>
            <w:r w:rsidR="00762016" w:rsidRPr="00582785">
              <w:rPr>
                <w:rFonts w:ascii="Times New Roman" w:eastAsia="SimSun" w:hAnsi="Times New Roman"/>
                <w:sz w:val="18"/>
                <w:szCs w:val="18"/>
                <w:lang w:val="fr-FR" w:eastAsia="zh-CN"/>
              </w:rPr>
              <w:t> </w:t>
            </w:r>
            <w:r w:rsidRPr="00582785">
              <w:rPr>
                <w:rFonts w:ascii="Times New Roman" w:eastAsia="SimSun" w:hAnsi="Times New Roman"/>
                <w:sz w:val="18"/>
                <w:szCs w:val="18"/>
                <w:lang w:val="fr-FR" w:eastAsia="zh-CN"/>
              </w:rPr>
              <w:t>décembre </w:t>
            </w:r>
            <w:r w:rsidR="00E65B1B" w:rsidRPr="00582785">
              <w:rPr>
                <w:rFonts w:ascii="Times New Roman" w:eastAsia="SimSun" w:hAnsi="Times New Roman"/>
                <w:sz w:val="18"/>
                <w:szCs w:val="18"/>
                <w:lang w:val="fr-FR" w:eastAsia="zh-CN"/>
              </w:rPr>
              <w:t>2013)</w:t>
            </w:r>
            <w:r w:rsidR="006C5FA6" w:rsidRPr="00582785">
              <w:rPr>
                <w:rFonts w:ascii="Times New Roman" w:eastAsia="SimSun" w:hAnsi="Times New Roman"/>
                <w:sz w:val="18"/>
                <w:szCs w:val="18"/>
                <w:lang w:val="fr-FR" w:eastAsia="zh-CN"/>
              </w:rPr>
              <w:t>.</w:t>
            </w:r>
          </w:p>
        </w:tc>
      </w:tr>
      <w:tr w:rsidR="00E65B1B" w:rsidRPr="00582785" w:rsidTr="001B4912">
        <w:trPr>
          <w:trHeight w:val="584"/>
        </w:trPr>
        <w:tc>
          <w:tcPr>
            <w:tcW w:w="709" w:type="dxa"/>
            <w:vMerge/>
            <w:shd w:val="clear" w:color="auto" w:fill="auto"/>
            <w:vAlign w:val="center"/>
          </w:tcPr>
          <w:p w:rsidR="00E65B1B" w:rsidRPr="00582785" w:rsidRDefault="00E65B1B" w:rsidP="00F32A2A">
            <w:pPr>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p>
        </w:tc>
        <w:tc>
          <w:tcPr>
            <w:tcW w:w="850" w:type="dxa"/>
            <w:shd w:val="clear" w:color="auto" w:fill="auto"/>
            <w:vAlign w:val="center"/>
          </w:tcPr>
          <w:p w:rsidR="00E65B1B" w:rsidRPr="00582785" w:rsidRDefault="00D37E95" w:rsidP="00F32A2A">
            <w:pPr>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Quatrième trimestre</w:t>
            </w:r>
          </w:p>
        </w:tc>
        <w:tc>
          <w:tcPr>
            <w:tcW w:w="6663" w:type="dxa"/>
            <w:shd w:val="clear" w:color="auto" w:fill="auto"/>
            <w:vAlign w:val="center"/>
          </w:tcPr>
          <w:p w:rsidR="00E65B1B" w:rsidRPr="00582785" w:rsidRDefault="00786888" w:rsidP="00F32A2A">
            <w:pPr>
              <w:keepLines/>
              <w:tabs>
                <w:tab w:val="left" w:pos="426"/>
                <w:tab w:val="num" w:pos="1353"/>
              </w:tabs>
              <w:autoSpaceDE w:val="0"/>
              <w:autoSpaceDN w:val="0"/>
              <w:adjustRightInd w:val="0"/>
              <w:spacing w:before="20" w:after="20" w:line="240" w:lineRule="auto"/>
              <w:rPr>
                <w:rFonts w:ascii="Times New Roman" w:eastAsia="SimSun" w:hAnsi="Times New Roman"/>
                <w:sz w:val="18"/>
                <w:szCs w:val="18"/>
                <w:lang w:val="fr-FR" w:eastAsia="zh-CN"/>
              </w:rPr>
            </w:pPr>
            <w:r w:rsidRPr="00582785">
              <w:rPr>
                <w:rFonts w:ascii="Times New Roman" w:hAnsi="Times New Roman"/>
                <w:sz w:val="18"/>
                <w:szCs w:val="18"/>
                <w:lang w:val="fr-FR"/>
              </w:rPr>
              <w:t>Le Groupe d’experts multidisciplinaire, par la voie du secrétariat, demande aux gouvernements et aux autres parties prenantes de désigner des experts pour contribuer à l’étude de cadrage</w:t>
            </w:r>
            <w:r w:rsidR="00E65B1B" w:rsidRPr="00582785">
              <w:rPr>
                <w:rFonts w:ascii="Times New Roman" w:eastAsia="SimSun" w:hAnsi="Times New Roman"/>
                <w:sz w:val="18"/>
                <w:szCs w:val="18"/>
                <w:lang w:val="fr-FR" w:eastAsia="zh-CN"/>
              </w:rPr>
              <w:t xml:space="preserve"> (</w:t>
            </w:r>
            <w:r w:rsidR="00BD54EA" w:rsidRPr="00582785">
              <w:rPr>
                <w:rFonts w:ascii="Times New Roman" w:eastAsia="SimSun" w:hAnsi="Times New Roman"/>
                <w:sz w:val="18"/>
                <w:szCs w:val="18"/>
                <w:lang w:val="fr-FR" w:eastAsia="zh-CN"/>
              </w:rPr>
              <w:t>16</w:t>
            </w:r>
            <w:r w:rsidR="00A53029" w:rsidRPr="00582785">
              <w:rPr>
                <w:rFonts w:ascii="Times New Roman" w:eastAsia="SimSun" w:hAnsi="Times New Roman"/>
                <w:sz w:val="18"/>
                <w:szCs w:val="18"/>
                <w:lang w:val="fr-FR" w:eastAsia="zh-CN"/>
              </w:rPr>
              <w:t> </w:t>
            </w:r>
            <w:r w:rsidRPr="00582785">
              <w:rPr>
                <w:rFonts w:ascii="Times New Roman" w:eastAsia="SimSun" w:hAnsi="Times New Roman"/>
                <w:sz w:val="18"/>
                <w:szCs w:val="18"/>
                <w:lang w:val="fr-FR" w:eastAsia="zh-CN"/>
              </w:rPr>
              <w:t>décembre-</w:t>
            </w:r>
            <w:r w:rsidR="00BD54EA" w:rsidRPr="00582785">
              <w:rPr>
                <w:rFonts w:ascii="Times New Roman" w:eastAsia="SimSun" w:hAnsi="Times New Roman"/>
                <w:sz w:val="18"/>
                <w:szCs w:val="18"/>
                <w:lang w:val="fr-FR" w:eastAsia="zh-CN"/>
              </w:rPr>
              <w:t>31</w:t>
            </w:r>
            <w:r w:rsidR="00A53029" w:rsidRPr="00582785">
              <w:rPr>
                <w:rFonts w:ascii="Times New Roman" w:eastAsia="SimSun" w:hAnsi="Times New Roman"/>
                <w:sz w:val="18"/>
                <w:szCs w:val="18"/>
                <w:lang w:val="fr-FR" w:eastAsia="zh-CN"/>
              </w:rPr>
              <w:t> </w:t>
            </w:r>
            <w:r w:rsidRPr="00582785">
              <w:rPr>
                <w:rFonts w:ascii="Times New Roman" w:eastAsia="SimSun" w:hAnsi="Times New Roman"/>
                <w:sz w:val="18"/>
                <w:szCs w:val="18"/>
                <w:lang w:val="fr-FR" w:eastAsia="zh-CN"/>
              </w:rPr>
              <w:t>janvier </w:t>
            </w:r>
            <w:r w:rsidR="00E65B1B" w:rsidRPr="00582785">
              <w:rPr>
                <w:rFonts w:ascii="Times New Roman" w:eastAsia="SimSun" w:hAnsi="Times New Roman"/>
                <w:sz w:val="18"/>
                <w:szCs w:val="18"/>
                <w:lang w:val="fr-FR" w:eastAsia="zh-CN"/>
              </w:rPr>
              <w:t>2014)</w:t>
            </w:r>
            <w:r w:rsidR="006C5FA6" w:rsidRPr="00582785">
              <w:rPr>
                <w:rFonts w:ascii="Times New Roman" w:eastAsia="SimSun" w:hAnsi="Times New Roman"/>
                <w:sz w:val="18"/>
                <w:szCs w:val="18"/>
                <w:lang w:val="fr-FR" w:eastAsia="zh-CN"/>
              </w:rPr>
              <w:t>.</w:t>
            </w:r>
          </w:p>
        </w:tc>
      </w:tr>
      <w:tr w:rsidR="00E65B1B" w:rsidRPr="00582785" w:rsidTr="001B4912">
        <w:trPr>
          <w:trHeight w:val="584"/>
        </w:trPr>
        <w:tc>
          <w:tcPr>
            <w:tcW w:w="709" w:type="dxa"/>
            <w:vMerge w:val="restart"/>
            <w:shd w:val="clear" w:color="auto" w:fill="auto"/>
            <w:vAlign w:val="center"/>
          </w:tcPr>
          <w:p w:rsidR="00E65B1B" w:rsidRPr="00582785" w:rsidRDefault="00E65B1B" w:rsidP="00F32A2A">
            <w:pPr>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2014</w:t>
            </w:r>
          </w:p>
        </w:tc>
        <w:tc>
          <w:tcPr>
            <w:tcW w:w="850" w:type="dxa"/>
            <w:shd w:val="clear" w:color="auto" w:fill="auto"/>
            <w:vAlign w:val="center"/>
          </w:tcPr>
          <w:p w:rsidR="00E65B1B" w:rsidRPr="00582785" w:rsidRDefault="00D37E95" w:rsidP="00F32A2A">
            <w:pPr>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Premier trimestre</w:t>
            </w:r>
          </w:p>
        </w:tc>
        <w:tc>
          <w:tcPr>
            <w:tcW w:w="6663" w:type="dxa"/>
            <w:shd w:val="clear" w:color="auto" w:fill="auto"/>
            <w:vAlign w:val="center"/>
          </w:tcPr>
          <w:p w:rsidR="00E65B1B" w:rsidRPr="00582785" w:rsidRDefault="00786888" w:rsidP="008F4C39">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fr-FR" w:eastAsia="zh-CN"/>
              </w:rPr>
            </w:pPr>
            <w:r w:rsidRPr="00582785">
              <w:rPr>
                <w:rFonts w:ascii="Times New Roman" w:hAnsi="Times New Roman"/>
                <w:sz w:val="18"/>
                <w:szCs w:val="18"/>
                <w:lang w:val="fr-FR"/>
              </w:rPr>
              <w:t xml:space="preserve">Le Groupe d’experts multidisciplinaire, par courriel et par téléconférences, choisit les experts pour l’étude de cadrage en appliquant les critères approuvés à cet effet </w:t>
            </w:r>
            <w:r w:rsidR="00D37E95">
              <w:rPr>
                <w:rFonts w:ascii="Times New Roman" w:hAnsi="Times New Roman"/>
                <w:sz w:val="18"/>
                <w:szCs w:val="18"/>
                <w:lang w:val="fr-FR"/>
              </w:rPr>
              <w:t xml:space="preserve">(voir </w:t>
            </w:r>
            <w:r w:rsidRPr="00582785">
              <w:rPr>
                <w:rFonts w:ascii="Times New Roman" w:hAnsi="Times New Roman"/>
                <w:sz w:val="18"/>
                <w:szCs w:val="18"/>
                <w:lang w:val="fr-FR"/>
              </w:rPr>
              <w:t>le document IPBES/2/9</w:t>
            </w:r>
            <w:r w:rsidR="00D37E95">
              <w:rPr>
                <w:rFonts w:ascii="Times New Roman" w:eastAsia="SimSun" w:hAnsi="Times New Roman"/>
                <w:sz w:val="19"/>
                <w:szCs w:val="19"/>
                <w:lang w:val="fr-FR" w:eastAsia="zh-CN"/>
              </w:rPr>
              <w:t>) (</w:t>
            </w:r>
            <w:r w:rsidR="00E65B1B" w:rsidRPr="00582785">
              <w:rPr>
                <w:rFonts w:ascii="Times New Roman" w:eastAsia="SimSun" w:hAnsi="Times New Roman"/>
                <w:sz w:val="19"/>
                <w:szCs w:val="19"/>
                <w:lang w:val="fr-FR" w:eastAsia="zh-CN"/>
              </w:rPr>
              <w:t>1</w:t>
            </w:r>
            <w:r w:rsidR="00A53029" w:rsidRPr="00582785">
              <w:rPr>
                <w:rFonts w:ascii="Times New Roman" w:eastAsia="SimSun" w:hAnsi="Times New Roman"/>
                <w:sz w:val="19"/>
                <w:szCs w:val="19"/>
                <w:lang w:val="fr-FR" w:eastAsia="zh-CN"/>
              </w:rPr>
              <w:t> </w:t>
            </w:r>
            <w:r w:rsidR="00A53029" w:rsidRPr="00582785">
              <w:rPr>
                <w:rFonts w:ascii="Times New Roman" w:eastAsia="SimSun" w:hAnsi="Times New Roman"/>
                <w:sz w:val="19"/>
                <w:szCs w:val="19"/>
                <w:lang w:val="fr-FR" w:eastAsia="zh-CN"/>
              </w:rPr>
              <w:noBreakHyphen/>
            </w:r>
            <w:r w:rsidR="00E65B1B" w:rsidRPr="00582785">
              <w:rPr>
                <w:rFonts w:ascii="Times New Roman" w:eastAsia="SimSun" w:hAnsi="Times New Roman"/>
                <w:sz w:val="19"/>
                <w:szCs w:val="19"/>
                <w:lang w:val="fr-FR" w:eastAsia="zh-CN"/>
              </w:rPr>
              <w:t>14</w:t>
            </w:r>
            <w:r w:rsidR="00A53029" w:rsidRPr="00582785">
              <w:rPr>
                <w:rFonts w:ascii="Times New Roman" w:eastAsia="SimSun" w:hAnsi="Times New Roman"/>
                <w:sz w:val="19"/>
                <w:szCs w:val="19"/>
                <w:lang w:val="fr-FR" w:eastAsia="zh-CN"/>
              </w:rPr>
              <w:t> </w:t>
            </w:r>
            <w:r w:rsidRPr="00582785">
              <w:rPr>
                <w:rFonts w:ascii="Times New Roman" w:eastAsia="SimSun" w:hAnsi="Times New Roman"/>
                <w:sz w:val="19"/>
                <w:szCs w:val="19"/>
                <w:lang w:val="fr-FR" w:eastAsia="zh-CN"/>
              </w:rPr>
              <w:t>février </w:t>
            </w:r>
            <w:r w:rsidR="00E65B1B" w:rsidRPr="00582785">
              <w:rPr>
                <w:rFonts w:ascii="Times New Roman" w:eastAsia="SimSun" w:hAnsi="Times New Roman"/>
                <w:sz w:val="19"/>
                <w:szCs w:val="19"/>
                <w:lang w:val="fr-FR" w:eastAsia="zh-CN"/>
              </w:rPr>
              <w:t>2014)</w:t>
            </w:r>
            <w:r w:rsidR="002324CD" w:rsidRPr="00582785">
              <w:rPr>
                <w:rFonts w:ascii="Times New Roman" w:eastAsia="SimSun" w:hAnsi="Times New Roman"/>
                <w:sz w:val="19"/>
                <w:szCs w:val="19"/>
                <w:lang w:val="fr-FR" w:eastAsia="zh-CN"/>
              </w:rPr>
              <w:t>.</w:t>
            </w:r>
          </w:p>
        </w:tc>
      </w:tr>
      <w:tr w:rsidR="00E65B1B" w:rsidRPr="00582785" w:rsidTr="001B4912">
        <w:trPr>
          <w:trHeight w:val="584"/>
        </w:trPr>
        <w:tc>
          <w:tcPr>
            <w:tcW w:w="709" w:type="dxa"/>
            <w:vMerge/>
            <w:shd w:val="clear" w:color="auto" w:fill="auto"/>
            <w:vAlign w:val="center"/>
          </w:tcPr>
          <w:p w:rsidR="00E65B1B" w:rsidRPr="00582785" w:rsidRDefault="00E65B1B" w:rsidP="00F32A2A">
            <w:pPr>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p>
        </w:tc>
        <w:tc>
          <w:tcPr>
            <w:tcW w:w="850" w:type="dxa"/>
            <w:shd w:val="clear" w:color="auto" w:fill="auto"/>
            <w:vAlign w:val="center"/>
          </w:tcPr>
          <w:p w:rsidR="00E65B1B" w:rsidRPr="00582785" w:rsidRDefault="00D37E95" w:rsidP="00F32A2A">
            <w:pPr>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Deuxième trimestre</w:t>
            </w:r>
          </w:p>
        </w:tc>
        <w:tc>
          <w:tcPr>
            <w:tcW w:w="6663" w:type="dxa"/>
            <w:shd w:val="clear" w:color="auto" w:fill="auto"/>
            <w:vAlign w:val="center"/>
          </w:tcPr>
          <w:p w:rsidR="00E65B1B" w:rsidRPr="00582785" w:rsidRDefault="00786888" w:rsidP="00F32A2A">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fr-FR" w:eastAsia="zh-CN"/>
              </w:rPr>
            </w:pPr>
            <w:r w:rsidRPr="00582785">
              <w:rPr>
                <w:rFonts w:ascii="Times New Roman" w:hAnsi="Times New Roman"/>
                <w:sz w:val="18"/>
                <w:szCs w:val="18"/>
                <w:lang w:val="fr-FR"/>
              </w:rPr>
              <w:t>Le Groupe d’experts multidisciplinaire</w:t>
            </w:r>
            <w:r w:rsidRPr="00582785">
              <w:rPr>
                <w:rFonts w:ascii="Times New Roman" w:eastAsia="SimSun" w:hAnsi="Times New Roman"/>
                <w:sz w:val="19"/>
                <w:szCs w:val="19"/>
                <w:lang w:val="fr-FR" w:eastAsia="zh-CN"/>
              </w:rPr>
              <w:t xml:space="preserve"> et le Bureau su</w:t>
            </w:r>
            <w:r w:rsidR="00582785" w:rsidRPr="00582785">
              <w:rPr>
                <w:rFonts w:ascii="Times New Roman" w:eastAsia="SimSun" w:hAnsi="Times New Roman"/>
                <w:sz w:val="19"/>
                <w:szCs w:val="19"/>
                <w:lang w:val="fr-FR" w:eastAsia="zh-CN"/>
              </w:rPr>
              <w:t>pervisent</w:t>
            </w:r>
            <w:r w:rsidRPr="00582785">
              <w:rPr>
                <w:rFonts w:ascii="Times New Roman" w:eastAsia="SimSun" w:hAnsi="Times New Roman"/>
                <w:sz w:val="19"/>
                <w:szCs w:val="19"/>
                <w:lang w:val="fr-FR" w:eastAsia="zh-CN"/>
              </w:rPr>
              <w:t xml:space="preserve"> l’étude de cadrage détaillée, y compris le plan, les coûts et la faisabilité</w:t>
            </w:r>
            <w:r w:rsidR="00E65B1B" w:rsidRPr="00582785">
              <w:rPr>
                <w:rFonts w:ascii="Times New Roman" w:eastAsia="SimSun" w:hAnsi="Times New Roman"/>
                <w:sz w:val="19"/>
                <w:szCs w:val="19"/>
                <w:lang w:val="fr-FR" w:eastAsia="zh-CN"/>
              </w:rPr>
              <w:t xml:space="preserve"> (</w:t>
            </w:r>
            <w:r w:rsidR="00D37E95">
              <w:rPr>
                <w:rFonts w:ascii="Times New Roman" w:eastAsia="SimSun" w:hAnsi="Times New Roman"/>
                <w:sz w:val="19"/>
                <w:szCs w:val="19"/>
                <w:lang w:val="fr-FR" w:eastAsia="zh-CN"/>
              </w:rPr>
              <w:t>3</w:t>
            </w:r>
            <w:r w:rsidRPr="00582785">
              <w:rPr>
                <w:rFonts w:ascii="Times New Roman" w:eastAsia="SimSun" w:hAnsi="Times New Roman"/>
                <w:sz w:val="19"/>
                <w:szCs w:val="19"/>
                <w:lang w:val="fr-FR" w:eastAsia="zh-CN"/>
              </w:rPr>
              <w:t xml:space="preserve"> mois</w:t>
            </w:r>
            <w:r w:rsidR="00E65B1B" w:rsidRPr="00582785">
              <w:rPr>
                <w:rFonts w:ascii="Times New Roman" w:eastAsia="SimSun" w:hAnsi="Times New Roman"/>
                <w:sz w:val="19"/>
                <w:szCs w:val="19"/>
                <w:lang w:val="fr-FR" w:eastAsia="zh-CN"/>
              </w:rPr>
              <w:t xml:space="preserve">). </w:t>
            </w:r>
            <w:r w:rsidRPr="00582785">
              <w:rPr>
                <w:rFonts w:ascii="Times New Roman" w:eastAsia="SimSun" w:hAnsi="Times New Roman"/>
                <w:sz w:val="19"/>
                <w:szCs w:val="19"/>
                <w:lang w:val="fr-FR" w:eastAsia="zh-CN"/>
              </w:rPr>
              <w:t>Une réunion de cadrage est organisée au début d’avril</w:t>
            </w:r>
            <w:r w:rsidR="00E65B1B" w:rsidRPr="00582785">
              <w:rPr>
                <w:rFonts w:ascii="Times New Roman" w:eastAsia="SimSun" w:hAnsi="Times New Roman"/>
                <w:sz w:val="19"/>
                <w:szCs w:val="19"/>
                <w:lang w:val="fr-FR" w:eastAsia="zh-CN"/>
              </w:rPr>
              <w:t xml:space="preserve"> 2014.</w:t>
            </w:r>
          </w:p>
        </w:tc>
      </w:tr>
      <w:tr w:rsidR="00E65B1B" w:rsidRPr="00582785" w:rsidTr="001B4912">
        <w:trPr>
          <w:trHeight w:val="584"/>
        </w:trPr>
        <w:tc>
          <w:tcPr>
            <w:tcW w:w="709" w:type="dxa"/>
            <w:vMerge/>
            <w:shd w:val="clear" w:color="auto" w:fill="auto"/>
            <w:vAlign w:val="center"/>
          </w:tcPr>
          <w:p w:rsidR="00E65B1B" w:rsidRPr="00582785" w:rsidRDefault="00E65B1B" w:rsidP="00F32A2A">
            <w:pPr>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p>
        </w:tc>
        <w:tc>
          <w:tcPr>
            <w:tcW w:w="850" w:type="dxa"/>
            <w:shd w:val="clear" w:color="auto" w:fill="auto"/>
            <w:vAlign w:val="center"/>
          </w:tcPr>
          <w:p w:rsidR="00E65B1B" w:rsidRPr="00582785" w:rsidRDefault="00D37E95" w:rsidP="00F32A2A">
            <w:pPr>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Deuxième trimestre</w:t>
            </w:r>
          </w:p>
        </w:tc>
        <w:tc>
          <w:tcPr>
            <w:tcW w:w="6663" w:type="dxa"/>
            <w:shd w:val="clear" w:color="auto" w:fill="auto"/>
            <w:vAlign w:val="center"/>
          </w:tcPr>
          <w:p w:rsidR="00E65B1B" w:rsidRPr="00582785" w:rsidRDefault="00CC4633" w:rsidP="00F32A2A">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Le rapport de cadrage détaillé est envoyé aux membres de la Plateforme et aux autres parties prenantes pour examen et commentaires pendant deux semaines au cours de la deuxième moitié d’avril </w:t>
            </w:r>
            <w:r w:rsidR="00E65B1B" w:rsidRPr="00582785">
              <w:rPr>
                <w:rFonts w:ascii="Times New Roman" w:eastAsia="SimSun" w:hAnsi="Times New Roman"/>
                <w:sz w:val="19"/>
                <w:szCs w:val="19"/>
                <w:lang w:val="fr-FR" w:eastAsia="zh-CN"/>
              </w:rPr>
              <w:t>2014</w:t>
            </w:r>
            <w:r w:rsidR="00A31DBD" w:rsidRPr="00582785">
              <w:rPr>
                <w:rFonts w:ascii="Times New Roman" w:eastAsia="SimSun" w:hAnsi="Times New Roman"/>
                <w:sz w:val="19"/>
                <w:szCs w:val="19"/>
                <w:lang w:val="fr-FR" w:eastAsia="zh-CN"/>
              </w:rPr>
              <w:t>.</w:t>
            </w:r>
          </w:p>
        </w:tc>
      </w:tr>
      <w:tr w:rsidR="00E65B1B" w:rsidRPr="00582785" w:rsidTr="001B4912">
        <w:trPr>
          <w:trHeight w:val="274"/>
        </w:trPr>
        <w:tc>
          <w:tcPr>
            <w:tcW w:w="709" w:type="dxa"/>
            <w:vMerge/>
            <w:shd w:val="clear" w:color="auto" w:fill="auto"/>
            <w:vAlign w:val="center"/>
          </w:tcPr>
          <w:p w:rsidR="00E65B1B" w:rsidRPr="00582785" w:rsidRDefault="00E65B1B" w:rsidP="00F32A2A">
            <w:pPr>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p>
        </w:tc>
        <w:tc>
          <w:tcPr>
            <w:tcW w:w="850" w:type="dxa"/>
            <w:shd w:val="clear" w:color="auto" w:fill="auto"/>
            <w:vAlign w:val="center"/>
          </w:tcPr>
          <w:p w:rsidR="00E65B1B" w:rsidRPr="00582785" w:rsidRDefault="00D37E95" w:rsidP="00F32A2A">
            <w:pPr>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Deuxième trimestre</w:t>
            </w:r>
          </w:p>
        </w:tc>
        <w:tc>
          <w:tcPr>
            <w:tcW w:w="6663" w:type="dxa"/>
            <w:shd w:val="clear" w:color="auto" w:fill="auto"/>
            <w:vAlign w:val="center"/>
          </w:tcPr>
          <w:p w:rsidR="00E65B1B" w:rsidRPr="00582785" w:rsidRDefault="00CC4633" w:rsidP="00F32A2A">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Sur la base des résultats de l’exercice de cadrage détaillé et des commentaires reçus des membres de la Plateforme et des autres parties prenantes</w:t>
            </w:r>
            <w:r w:rsidR="00E65B1B" w:rsidRPr="00582785">
              <w:rPr>
                <w:rFonts w:ascii="Times New Roman" w:eastAsia="SimSun" w:hAnsi="Times New Roman"/>
                <w:sz w:val="19"/>
                <w:szCs w:val="19"/>
                <w:lang w:val="fr-FR" w:eastAsia="zh-CN"/>
              </w:rPr>
              <w:t xml:space="preserve">, </w:t>
            </w:r>
            <w:r w:rsidRPr="00582785">
              <w:rPr>
                <w:rFonts w:ascii="Times New Roman" w:eastAsia="SimSun" w:hAnsi="Times New Roman"/>
                <w:sz w:val="19"/>
                <w:szCs w:val="19"/>
                <w:lang w:val="fr-FR" w:eastAsia="zh-CN"/>
              </w:rPr>
              <w:t xml:space="preserve">le </w:t>
            </w:r>
            <w:r w:rsidRPr="00582785">
              <w:rPr>
                <w:rFonts w:ascii="Times New Roman" w:hAnsi="Times New Roman"/>
                <w:sz w:val="18"/>
                <w:szCs w:val="18"/>
                <w:lang w:val="fr-FR"/>
              </w:rPr>
              <w:t>Groupe d’experts multidisciplinaire</w:t>
            </w:r>
            <w:r w:rsidRPr="00582785">
              <w:rPr>
                <w:rFonts w:ascii="Times New Roman" w:eastAsia="SimSun" w:hAnsi="Times New Roman"/>
                <w:sz w:val="19"/>
                <w:szCs w:val="19"/>
                <w:lang w:val="fr-FR" w:eastAsia="zh-CN"/>
              </w:rPr>
              <w:t xml:space="preserve"> et le Bureau </w:t>
            </w:r>
            <w:r w:rsidR="00E65B1B" w:rsidRPr="00582785">
              <w:rPr>
                <w:rFonts w:ascii="Times New Roman" w:eastAsia="SimSun" w:hAnsi="Times New Roman"/>
                <w:sz w:val="19"/>
                <w:szCs w:val="19"/>
                <w:lang w:val="fr-FR" w:eastAsia="zh-CN"/>
              </w:rPr>
              <w:t>d</w:t>
            </w:r>
            <w:r w:rsidRPr="00582785">
              <w:rPr>
                <w:rFonts w:ascii="Times New Roman" w:eastAsia="SimSun" w:hAnsi="Times New Roman"/>
                <w:sz w:val="19"/>
                <w:szCs w:val="19"/>
                <w:lang w:val="fr-FR" w:eastAsia="zh-CN"/>
              </w:rPr>
              <w:t>é</w:t>
            </w:r>
            <w:r w:rsidR="00E65B1B" w:rsidRPr="00582785">
              <w:rPr>
                <w:rFonts w:ascii="Times New Roman" w:eastAsia="SimSun" w:hAnsi="Times New Roman"/>
                <w:sz w:val="19"/>
                <w:szCs w:val="19"/>
                <w:lang w:val="fr-FR" w:eastAsia="zh-CN"/>
              </w:rPr>
              <w:t>cide</w:t>
            </w:r>
            <w:r w:rsidRPr="00582785">
              <w:rPr>
                <w:rFonts w:ascii="Times New Roman" w:eastAsia="SimSun" w:hAnsi="Times New Roman"/>
                <w:sz w:val="19"/>
                <w:szCs w:val="19"/>
                <w:lang w:val="fr-FR" w:eastAsia="zh-CN"/>
              </w:rPr>
              <w:t>nt s’il convient de passer à l’évaluation, en supposant qu’elle p</w:t>
            </w:r>
            <w:r w:rsidR="00582785" w:rsidRPr="00582785">
              <w:rPr>
                <w:rFonts w:ascii="Times New Roman" w:eastAsia="SimSun" w:hAnsi="Times New Roman"/>
                <w:sz w:val="19"/>
                <w:szCs w:val="19"/>
                <w:lang w:val="fr-FR" w:eastAsia="zh-CN"/>
              </w:rPr>
              <w:t xml:space="preserve">uisse </w:t>
            </w:r>
            <w:r w:rsidRPr="00582785">
              <w:rPr>
                <w:rFonts w:ascii="Times New Roman" w:eastAsia="SimSun" w:hAnsi="Times New Roman"/>
                <w:sz w:val="19"/>
                <w:szCs w:val="19"/>
                <w:lang w:val="fr-FR" w:eastAsia="zh-CN"/>
              </w:rPr>
              <w:t>être menée dans l’enveloppe budgétaire approuvée par la Plénière,</w:t>
            </w:r>
            <w:r w:rsidR="00E65B1B" w:rsidRPr="00582785">
              <w:rPr>
                <w:rFonts w:ascii="Times New Roman" w:eastAsia="SimSun" w:hAnsi="Times New Roman"/>
                <w:sz w:val="19"/>
                <w:szCs w:val="19"/>
                <w:lang w:val="fr-FR" w:eastAsia="zh-CN"/>
              </w:rPr>
              <w:t xml:space="preserve"> </w:t>
            </w:r>
            <w:r w:rsidRPr="00582785">
              <w:rPr>
                <w:rFonts w:ascii="Times New Roman" w:eastAsia="SimSun" w:hAnsi="Times New Roman"/>
                <w:sz w:val="19"/>
                <w:szCs w:val="19"/>
                <w:lang w:val="fr-FR" w:eastAsia="zh-CN"/>
              </w:rPr>
              <w:t>dans la première moitié de mai </w:t>
            </w:r>
            <w:r w:rsidR="00E65B1B" w:rsidRPr="00582785">
              <w:rPr>
                <w:rFonts w:ascii="Times New Roman" w:eastAsia="SimSun" w:hAnsi="Times New Roman"/>
                <w:sz w:val="19"/>
                <w:szCs w:val="19"/>
                <w:lang w:val="fr-FR" w:eastAsia="zh-CN"/>
              </w:rPr>
              <w:t>2014</w:t>
            </w:r>
            <w:r w:rsidR="00A31DBD" w:rsidRPr="00582785">
              <w:rPr>
                <w:rFonts w:ascii="Times New Roman" w:eastAsia="SimSun" w:hAnsi="Times New Roman"/>
                <w:sz w:val="19"/>
                <w:szCs w:val="19"/>
                <w:lang w:val="fr-FR" w:eastAsia="zh-CN"/>
              </w:rPr>
              <w:t>.</w:t>
            </w:r>
          </w:p>
        </w:tc>
      </w:tr>
      <w:tr w:rsidR="00E65B1B" w:rsidRPr="00582785" w:rsidTr="001B4912">
        <w:trPr>
          <w:trHeight w:val="584"/>
        </w:trPr>
        <w:tc>
          <w:tcPr>
            <w:tcW w:w="709" w:type="dxa"/>
            <w:vMerge w:val="restart"/>
            <w:shd w:val="clear" w:color="auto" w:fill="auto"/>
            <w:vAlign w:val="center"/>
          </w:tcPr>
          <w:p w:rsidR="00E65B1B" w:rsidRPr="00582785" w:rsidRDefault="00E65B1B" w:rsidP="00F32A2A">
            <w:pPr>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p>
        </w:tc>
        <w:tc>
          <w:tcPr>
            <w:tcW w:w="850" w:type="dxa"/>
            <w:shd w:val="clear" w:color="auto" w:fill="auto"/>
            <w:vAlign w:val="center"/>
          </w:tcPr>
          <w:p w:rsidR="00E65B1B" w:rsidRPr="00582785" w:rsidRDefault="00D37E95" w:rsidP="00F32A2A">
            <w:pPr>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Deuxième trimestre</w:t>
            </w:r>
          </w:p>
        </w:tc>
        <w:tc>
          <w:tcPr>
            <w:tcW w:w="6663" w:type="dxa"/>
            <w:shd w:val="clear" w:color="auto" w:fill="auto"/>
            <w:vAlign w:val="center"/>
          </w:tcPr>
          <w:p w:rsidR="00E65B1B" w:rsidRPr="00582785" w:rsidRDefault="00CC4633" w:rsidP="00F32A2A">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fr-FR" w:eastAsia="zh-CN"/>
              </w:rPr>
            </w:pPr>
            <w:r w:rsidRPr="00582785">
              <w:rPr>
                <w:rFonts w:ascii="Times New Roman" w:hAnsi="Times New Roman"/>
                <w:sz w:val="18"/>
                <w:szCs w:val="18"/>
                <w:lang w:val="fr-FR"/>
              </w:rPr>
              <w:t>Le Groupe d’experts multidisciplinaire, par la voie du secrétariat, demande aux gouvernements et aux autres parties prenantes de désigner des experts pour établir le rapport</w:t>
            </w:r>
            <w:r w:rsidR="00E40E47" w:rsidRPr="00582785">
              <w:rPr>
                <w:rFonts w:ascii="Times New Roman" w:eastAsia="SimSun" w:hAnsi="Times New Roman"/>
                <w:sz w:val="19"/>
                <w:szCs w:val="19"/>
                <w:lang w:val="fr-FR" w:eastAsia="zh-CN"/>
              </w:rPr>
              <w:t xml:space="preserve">. </w:t>
            </w:r>
            <w:r w:rsidRPr="00582785">
              <w:rPr>
                <w:rFonts w:ascii="Times New Roman" w:eastAsia="SimSun" w:hAnsi="Times New Roman"/>
                <w:sz w:val="19"/>
                <w:szCs w:val="19"/>
                <w:lang w:val="fr-FR" w:eastAsia="zh-CN"/>
              </w:rPr>
              <w:t>Les candidatures doivent être soumis</w:t>
            </w:r>
            <w:r w:rsidR="00586F6E" w:rsidRPr="00582785">
              <w:rPr>
                <w:rFonts w:ascii="Times New Roman" w:eastAsia="SimSun" w:hAnsi="Times New Roman"/>
                <w:sz w:val="19"/>
                <w:szCs w:val="19"/>
                <w:lang w:val="fr-FR" w:eastAsia="zh-CN"/>
              </w:rPr>
              <w:t>es</w:t>
            </w:r>
            <w:r w:rsidRPr="00582785">
              <w:rPr>
                <w:rFonts w:ascii="Times New Roman" w:eastAsia="SimSun" w:hAnsi="Times New Roman"/>
                <w:sz w:val="19"/>
                <w:szCs w:val="19"/>
                <w:lang w:val="fr-FR" w:eastAsia="zh-CN"/>
              </w:rPr>
              <w:t xml:space="preserve"> d’ici à la fin </w:t>
            </w:r>
            <w:r w:rsidR="00586F6E" w:rsidRPr="00582785">
              <w:rPr>
                <w:rFonts w:ascii="Times New Roman" w:eastAsia="SimSun" w:hAnsi="Times New Roman"/>
                <w:sz w:val="19"/>
                <w:szCs w:val="19"/>
                <w:lang w:val="fr-FR" w:eastAsia="zh-CN"/>
              </w:rPr>
              <w:t>juin </w:t>
            </w:r>
            <w:r w:rsidR="00E65B1B" w:rsidRPr="00582785">
              <w:rPr>
                <w:rFonts w:ascii="Times New Roman" w:eastAsia="SimSun" w:hAnsi="Times New Roman"/>
                <w:sz w:val="19"/>
                <w:szCs w:val="19"/>
                <w:lang w:val="fr-FR" w:eastAsia="zh-CN"/>
              </w:rPr>
              <w:t>2014 (1</w:t>
            </w:r>
            <w:r w:rsidR="00586F6E" w:rsidRPr="00582785">
              <w:rPr>
                <w:rFonts w:ascii="Times New Roman" w:eastAsia="SimSun" w:hAnsi="Times New Roman"/>
                <w:sz w:val="19"/>
                <w:szCs w:val="19"/>
                <w:lang w:val="fr-FR" w:eastAsia="zh-CN"/>
              </w:rPr>
              <w:t>,</w:t>
            </w:r>
            <w:r w:rsidR="00E65B1B" w:rsidRPr="00582785">
              <w:rPr>
                <w:rFonts w:ascii="Times New Roman" w:eastAsia="SimSun" w:hAnsi="Times New Roman"/>
                <w:sz w:val="19"/>
                <w:szCs w:val="19"/>
                <w:lang w:val="fr-FR" w:eastAsia="zh-CN"/>
              </w:rPr>
              <w:t>5 mo</w:t>
            </w:r>
            <w:r w:rsidR="00586F6E" w:rsidRPr="00582785">
              <w:rPr>
                <w:rFonts w:ascii="Times New Roman" w:eastAsia="SimSun" w:hAnsi="Times New Roman"/>
                <w:sz w:val="19"/>
                <w:szCs w:val="19"/>
                <w:lang w:val="fr-FR" w:eastAsia="zh-CN"/>
              </w:rPr>
              <w:t>is</w:t>
            </w:r>
            <w:r w:rsidR="00E65B1B" w:rsidRPr="00582785">
              <w:rPr>
                <w:rFonts w:ascii="Times New Roman" w:eastAsia="SimSun" w:hAnsi="Times New Roman"/>
                <w:sz w:val="19"/>
                <w:szCs w:val="19"/>
                <w:lang w:val="fr-FR" w:eastAsia="zh-CN"/>
              </w:rPr>
              <w:t>)</w:t>
            </w:r>
            <w:r w:rsidR="001867F5" w:rsidRPr="00582785">
              <w:rPr>
                <w:rFonts w:ascii="Times New Roman" w:eastAsia="SimSun" w:hAnsi="Times New Roman"/>
                <w:sz w:val="19"/>
                <w:szCs w:val="19"/>
                <w:lang w:val="fr-FR" w:eastAsia="zh-CN"/>
              </w:rPr>
              <w:t>.</w:t>
            </w:r>
          </w:p>
        </w:tc>
      </w:tr>
      <w:tr w:rsidR="00E65B1B" w:rsidRPr="00582785" w:rsidTr="001B4912">
        <w:trPr>
          <w:trHeight w:val="584"/>
        </w:trPr>
        <w:tc>
          <w:tcPr>
            <w:tcW w:w="709" w:type="dxa"/>
            <w:vMerge/>
            <w:shd w:val="clear" w:color="auto" w:fill="auto"/>
            <w:vAlign w:val="center"/>
          </w:tcPr>
          <w:p w:rsidR="00E65B1B" w:rsidRPr="00582785" w:rsidRDefault="00E65B1B" w:rsidP="00F32A2A">
            <w:pPr>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p>
        </w:tc>
        <w:tc>
          <w:tcPr>
            <w:tcW w:w="850" w:type="dxa"/>
            <w:shd w:val="clear" w:color="auto" w:fill="auto"/>
            <w:vAlign w:val="center"/>
          </w:tcPr>
          <w:p w:rsidR="00E65B1B" w:rsidRPr="00582785" w:rsidRDefault="00D37E95" w:rsidP="00F32A2A">
            <w:pPr>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Troisième trimestre</w:t>
            </w:r>
          </w:p>
        </w:tc>
        <w:tc>
          <w:tcPr>
            <w:tcW w:w="6663" w:type="dxa"/>
            <w:shd w:val="clear" w:color="auto" w:fill="auto"/>
            <w:vAlign w:val="center"/>
          </w:tcPr>
          <w:p w:rsidR="00E65B1B" w:rsidRPr="00582785" w:rsidRDefault="00586F6E" w:rsidP="00F32A2A">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fr-FR" w:eastAsia="zh-CN"/>
              </w:rPr>
            </w:pPr>
            <w:r w:rsidRPr="00582785">
              <w:rPr>
                <w:rFonts w:ascii="Times New Roman" w:hAnsi="Times New Roman"/>
                <w:sz w:val="18"/>
                <w:szCs w:val="18"/>
                <w:lang w:val="fr-FR"/>
              </w:rPr>
              <w:t xml:space="preserve">Le Groupe d’experts multidisciplinaire choisit les coprésidents pour les rapports, les auteurs coordonnateurs principaux, les auteurs principaux et les éditeurs-réviseurs, en appliquant les critères approuvés à cet effet </w:t>
            </w:r>
            <w:r w:rsidR="00D37E95">
              <w:rPr>
                <w:rFonts w:ascii="Times New Roman" w:hAnsi="Times New Roman"/>
                <w:sz w:val="18"/>
                <w:szCs w:val="18"/>
                <w:lang w:val="fr-FR"/>
              </w:rPr>
              <w:t xml:space="preserve">(voir </w:t>
            </w:r>
            <w:r w:rsidRPr="00582785">
              <w:rPr>
                <w:rFonts w:ascii="Times New Roman" w:hAnsi="Times New Roman"/>
                <w:sz w:val="18"/>
                <w:szCs w:val="18"/>
                <w:lang w:val="fr-FR"/>
              </w:rPr>
              <w:t>le document IPBES/2/9</w:t>
            </w:r>
            <w:r w:rsidR="00D37E95">
              <w:rPr>
                <w:rFonts w:ascii="Times New Roman" w:hAnsi="Times New Roman"/>
                <w:sz w:val="18"/>
                <w:szCs w:val="18"/>
                <w:lang w:val="fr-FR"/>
              </w:rPr>
              <w:t>)</w:t>
            </w:r>
            <w:r w:rsidR="00E65B1B" w:rsidRPr="00582785">
              <w:rPr>
                <w:rFonts w:ascii="Times New Roman" w:eastAsia="SimSun" w:hAnsi="Times New Roman"/>
                <w:sz w:val="19"/>
                <w:szCs w:val="19"/>
                <w:lang w:val="fr-FR" w:eastAsia="zh-CN"/>
              </w:rPr>
              <w:t xml:space="preserve"> </w:t>
            </w:r>
            <w:r w:rsidR="001867F5" w:rsidRPr="00582785">
              <w:rPr>
                <w:rFonts w:ascii="Times New Roman" w:eastAsia="SimSun" w:hAnsi="Times New Roman"/>
                <w:sz w:val="19"/>
                <w:szCs w:val="19"/>
                <w:lang w:val="fr-FR" w:eastAsia="zh-CN"/>
              </w:rPr>
              <w:t>(</w:t>
            </w:r>
            <w:r w:rsidR="00E65B1B" w:rsidRPr="00582785">
              <w:rPr>
                <w:rFonts w:ascii="Times New Roman" w:eastAsia="SimSun" w:hAnsi="Times New Roman"/>
                <w:sz w:val="19"/>
                <w:szCs w:val="19"/>
                <w:lang w:val="fr-FR" w:eastAsia="zh-CN"/>
              </w:rPr>
              <w:t>1</w:t>
            </w:r>
            <w:r w:rsidRPr="00582785">
              <w:rPr>
                <w:rFonts w:ascii="Times New Roman" w:eastAsia="SimSun" w:hAnsi="Times New Roman"/>
                <w:sz w:val="19"/>
                <w:szCs w:val="19"/>
                <w:vertAlign w:val="superscript"/>
                <w:lang w:val="fr-FR" w:eastAsia="zh-CN"/>
              </w:rPr>
              <w:t>er</w:t>
            </w:r>
            <w:r w:rsidRPr="00582785">
              <w:rPr>
                <w:rFonts w:ascii="Times New Roman" w:eastAsia="SimSun" w:hAnsi="Times New Roman"/>
                <w:sz w:val="19"/>
                <w:szCs w:val="19"/>
                <w:lang w:val="fr-FR" w:eastAsia="zh-CN"/>
              </w:rPr>
              <w:t> juillet</w:t>
            </w:r>
            <w:r w:rsidR="00E65B1B" w:rsidRPr="00582785">
              <w:rPr>
                <w:rFonts w:ascii="Times New Roman" w:eastAsia="SimSun" w:hAnsi="Times New Roman"/>
                <w:sz w:val="19"/>
                <w:szCs w:val="19"/>
                <w:lang w:val="fr-FR" w:eastAsia="zh-CN"/>
              </w:rPr>
              <w:t>–15</w:t>
            </w:r>
            <w:r w:rsidRPr="00582785">
              <w:rPr>
                <w:rFonts w:ascii="Times New Roman" w:eastAsia="SimSun" w:hAnsi="Times New Roman"/>
                <w:sz w:val="19"/>
                <w:szCs w:val="19"/>
                <w:lang w:val="fr-FR" w:eastAsia="zh-CN"/>
              </w:rPr>
              <w:t> août </w:t>
            </w:r>
            <w:r w:rsidR="00E65B1B" w:rsidRPr="00582785">
              <w:rPr>
                <w:rFonts w:ascii="Times New Roman" w:eastAsia="SimSun" w:hAnsi="Times New Roman"/>
                <w:sz w:val="19"/>
                <w:szCs w:val="19"/>
                <w:lang w:val="fr-FR" w:eastAsia="zh-CN"/>
              </w:rPr>
              <w:t>2014 (1</w:t>
            </w:r>
            <w:r w:rsidRPr="00582785">
              <w:rPr>
                <w:rFonts w:ascii="Times New Roman" w:eastAsia="SimSun" w:hAnsi="Times New Roman"/>
                <w:sz w:val="19"/>
                <w:szCs w:val="19"/>
                <w:lang w:val="fr-FR" w:eastAsia="zh-CN"/>
              </w:rPr>
              <w:t>,</w:t>
            </w:r>
            <w:r w:rsidR="00E65B1B" w:rsidRPr="00582785">
              <w:rPr>
                <w:rFonts w:ascii="Times New Roman" w:eastAsia="SimSun" w:hAnsi="Times New Roman"/>
                <w:sz w:val="19"/>
                <w:szCs w:val="19"/>
                <w:lang w:val="fr-FR" w:eastAsia="zh-CN"/>
              </w:rPr>
              <w:t>5 mo</w:t>
            </w:r>
            <w:r w:rsidRPr="00582785">
              <w:rPr>
                <w:rFonts w:ascii="Times New Roman" w:eastAsia="SimSun" w:hAnsi="Times New Roman"/>
                <w:sz w:val="19"/>
                <w:szCs w:val="19"/>
                <w:lang w:val="fr-FR" w:eastAsia="zh-CN"/>
              </w:rPr>
              <w:t>is</w:t>
            </w:r>
            <w:r w:rsidR="00E65B1B" w:rsidRPr="00582785">
              <w:rPr>
                <w:rFonts w:ascii="Times New Roman" w:eastAsia="SimSun" w:hAnsi="Times New Roman"/>
                <w:sz w:val="19"/>
                <w:szCs w:val="19"/>
                <w:lang w:val="fr-FR" w:eastAsia="zh-CN"/>
              </w:rPr>
              <w:t>)</w:t>
            </w:r>
            <w:r w:rsidR="001867F5" w:rsidRPr="00582785">
              <w:rPr>
                <w:rFonts w:ascii="Times New Roman" w:eastAsia="SimSun" w:hAnsi="Times New Roman"/>
                <w:sz w:val="19"/>
                <w:szCs w:val="19"/>
                <w:lang w:val="fr-FR" w:eastAsia="zh-CN"/>
              </w:rPr>
              <w:t>).</w:t>
            </w:r>
          </w:p>
        </w:tc>
      </w:tr>
      <w:tr w:rsidR="00E65B1B" w:rsidRPr="00582785" w:rsidTr="00762016">
        <w:trPr>
          <w:trHeight w:val="584"/>
        </w:trPr>
        <w:tc>
          <w:tcPr>
            <w:tcW w:w="709" w:type="dxa"/>
            <w:vMerge/>
            <w:tcBorders>
              <w:bottom w:val="single" w:sz="4" w:space="0" w:color="auto"/>
            </w:tcBorders>
            <w:shd w:val="clear" w:color="auto" w:fill="auto"/>
            <w:vAlign w:val="center"/>
          </w:tcPr>
          <w:p w:rsidR="00E65B1B" w:rsidRPr="00582785" w:rsidRDefault="00E65B1B" w:rsidP="00F32A2A">
            <w:pPr>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p>
        </w:tc>
        <w:tc>
          <w:tcPr>
            <w:tcW w:w="850" w:type="dxa"/>
            <w:tcBorders>
              <w:bottom w:val="single" w:sz="4" w:space="0" w:color="auto"/>
            </w:tcBorders>
            <w:shd w:val="clear" w:color="auto" w:fill="auto"/>
            <w:vAlign w:val="center"/>
          </w:tcPr>
          <w:p w:rsidR="00E65B1B" w:rsidRPr="00582785" w:rsidRDefault="00D37E95" w:rsidP="008F4C39">
            <w:pPr>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Troisième</w:t>
            </w:r>
            <w:r w:rsidR="008F4C39">
              <w:rPr>
                <w:rFonts w:ascii="Times New Roman" w:eastAsia="SimSun" w:hAnsi="Times New Roman"/>
                <w:sz w:val="19"/>
                <w:szCs w:val="19"/>
                <w:lang w:val="fr-FR" w:eastAsia="zh-CN"/>
              </w:rPr>
              <w:t>/</w:t>
            </w:r>
            <w:r>
              <w:rPr>
                <w:rFonts w:ascii="Times New Roman" w:eastAsia="SimSun" w:hAnsi="Times New Roman"/>
                <w:sz w:val="19"/>
                <w:szCs w:val="19"/>
                <w:lang w:val="fr-FR" w:eastAsia="zh-CN"/>
              </w:rPr>
              <w:t>quatrième trimestres</w:t>
            </w:r>
          </w:p>
        </w:tc>
        <w:tc>
          <w:tcPr>
            <w:tcW w:w="6663" w:type="dxa"/>
            <w:tcBorders>
              <w:bottom w:val="single" w:sz="4" w:space="0" w:color="auto"/>
            </w:tcBorders>
            <w:shd w:val="clear" w:color="auto" w:fill="auto"/>
            <w:vAlign w:val="center"/>
          </w:tcPr>
          <w:p w:rsidR="00E65B1B" w:rsidRPr="00582785" w:rsidRDefault="00586F6E" w:rsidP="00F32A2A">
            <w:pPr>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fr-FR" w:eastAsia="zh-CN"/>
              </w:rPr>
            </w:pPr>
            <w:r w:rsidRPr="00582785">
              <w:rPr>
                <w:rFonts w:ascii="Times New Roman" w:hAnsi="Times New Roman"/>
                <w:sz w:val="18"/>
                <w:szCs w:val="18"/>
                <w:lang w:val="fr-FR"/>
              </w:rPr>
              <w:t>Les coprésidents, les auteurs coordonnateurs principaux et les auteurs principaux</w:t>
            </w:r>
            <w:r w:rsidRPr="00582785">
              <w:rPr>
                <w:rFonts w:ascii="Times New Roman" w:eastAsia="SimSun" w:hAnsi="Times New Roman"/>
                <w:sz w:val="19"/>
                <w:szCs w:val="19"/>
                <w:lang w:val="fr-FR" w:eastAsia="zh-CN"/>
              </w:rPr>
              <w:t xml:space="preserve">  établissent l’avant-projet de rapport d’ici à la mi-février </w:t>
            </w:r>
            <w:r w:rsidR="00E65B1B" w:rsidRPr="00582785">
              <w:rPr>
                <w:rFonts w:ascii="Times New Roman" w:eastAsia="SimSun" w:hAnsi="Times New Roman"/>
                <w:sz w:val="19"/>
                <w:szCs w:val="19"/>
                <w:lang w:val="fr-FR" w:eastAsia="zh-CN"/>
              </w:rPr>
              <w:t>2015 (</w:t>
            </w:r>
            <w:r w:rsidR="00D37E95">
              <w:rPr>
                <w:rFonts w:ascii="Times New Roman" w:eastAsia="SimSun" w:hAnsi="Times New Roman"/>
                <w:sz w:val="19"/>
                <w:szCs w:val="19"/>
                <w:lang w:val="fr-FR" w:eastAsia="zh-CN"/>
              </w:rPr>
              <w:t>6</w:t>
            </w:r>
            <w:r w:rsidR="00E65B1B" w:rsidRPr="00582785">
              <w:rPr>
                <w:rFonts w:ascii="Times New Roman" w:eastAsia="SimSun" w:hAnsi="Times New Roman"/>
                <w:sz w:val="19"/>
                <w:szCs w:val="19"/>
                <w:lang w:val="fr-FR" w:eastAsia="zh-CN"/>
              </w:rPr>
              <w:t xml:space="preserve"> mo</w:t>
            </w:r>
            <w:r w:rsidRPr="00582785">
              <w:rPr>
                <w:rFonts w:ascii="Times New Roman" w:eastAsia="SimSun" w:hAnsi="Times New Roman"/>
                <w:sz w:val="19"/>
                <w:szCs w:val="19"/>
                <w:lang w:val="fr-FR" w:eastAsia="zh-CN"/>
              </w:rPr>
              <w:t>is</w:t>
            </w:r>
            <w:r w:rsidR="00E65B1B" w:rsidRPr="00582785">
              <w:rPr>
                <w:rFonts w:ascii="Times New Roman" w:eastAsia="SimSun" w:hAnsi="Times New Roman"/>
                <w:sz w:val="19"/>
                <w:szCs w:val="19"/>
                <w:lang w:val="fr-FR" w:eastAsia="zh-CN"/>
              </w:rPr>
              <w:t xml:space="preserve">). </w:t>
            </w:r>
            <w:r w:rsidRPr="00582785">
              <w:rPr>
                <w:rFonts w:ascii="Times New Roman" w:eastAsia="SimSun" w:hAnsi="Times New Roman"/>
                <w:sz w:val="19"/>
                <w:szCs w:val="19"/>
                <w:lang w:val="fr-FR" w:eastAsia="zh-CN"/>
              </w:rPr>
              <w:t>Une première réunion des auteurs se tiendra en septembre </w:t>
            </w:r>
            <w:r w:rsidR="00E65B1B" w:rsidRPr="00582785">
              <w:rPr>
                <w:rFonts w:ascii="Times New Roman" w:eastAsia="SimSun" w:hAnsi="Times New Roman"/>
                <w:sz w:val="19"/>
                <w:szCs w:val="19"/>
                <w:lang w:val="fr-FR" w:eastAsia="zh-CN"/>
              </w:rPr>
              <w:t>2014.</w:t>
            </w:r>
          </w:p>
        </w:tc>
      </w:tr>
      <w:tr w:rsidR="00E65B1B" w:rsidRPr="00582785" w:rsidTr="001B4912">
        <w:trPr>
          <w:trHeight w:val="504"/>
        </w:trPr>
        <w:tc>
          <w:tcPr>
            <w:tcW w:w="709" w:type="dxa"/>
            <w:vMerge w:val="restart"/>
            <w:shd w:val="clear" w:color="auto" w:fill="auto"/>
            <w:vAlign w:val="center"/>
          </w:tcPr>
          <w:p w:rsidR="00E65B1B" w:rsidRPr="00582785" w:rsidRDefault="00E65B1B" w:rsidP="00F32A2A">
            <w:pPr>
              <w:keepNext/>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2015</w:t>
            </w:r>
          </w:p>
        </w:tc>
        <w:tc>
          <w:tcPr>
            <w:tcW w:w="850" w:type="dxa"/>
            <w:shd w:val="clear" w:color="auto" w:fill="auto"/>
            <w:vAlign w:val="center"/>
          </w:tcPr>
          <w:p w:rsidR="00E65B1B" w:rsidRPr="00582785" w:rsidRDefault="00D37E95" w:rsidP="00F32A2A">
            <w:pPr>
              <w:keepNext/>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Premier trimestre</w:t>
            </w:r>
          </w:p>
        </w:tc>
        <w:tc>
          <w:tcPr>
            <w:tcW w:w="6663" w:type="dxa"/>
            <w:shd w:val="clear" w:color="auto" w:fill="auto"/>
            <w:vAlign w:val="center"/>
          </w:tcPr>
          <w:p w:rsidR="00E65B1B" w:rsidRPr="00582785" w:rsidRDefault="00586F6E" w:rsidP="00F32A2A">
            <w:pPr>
              <w:keepNext/>
              <w:keepLines/>
              <w:tabs>
                <w:tab w:val="left" w:pos="426"/>
                <w:tab w:val="num" w:pos="1353"/>
              </w:tabs>
              <w:autoSpaceDE w:val="0"/>
              <w:autoSpaceDN w:val="0"/>
              <w:adjustRightInd w:val="0"/>
              <w:spacing w:before="20" w:after="20" w:line="240" w:lineRule="auto"/>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L’avant-projet de rapport est examiné par des experts jusqu’à la fin mars </w:t>
            </w:r>
            <w:r w:rsidR="00E65B1B" w:rsidRPr="00582785">
              <w:rPr>
                <w:rFonts w:ascii="Times New Roman" w:eastAsia="SimSun" w:hAnsi="Times New Roman"/>
                <w:sz w:val="19"/>
                <w:szCs w:val="19"/>
                <w:lang w:val="fr-FR" w:eastAsia="zh-CN"/>
              </w:rPr>
              <w:t>2015 (1</w:t>
            </w:r>
            <w:r w:rsidRPr="00582785">
              <w:rPr>
                <w:rFonts w:ascii="Times New Roman" w:eastAsia="SimSun" w:hAnsi="Times New Roman"/>
                <w:sz w:val="19"/>
                <w:szCs w:val="19"/>
                <w:lang w:val="fr-FR" w:eastAsia="zh-CN"/>
              </w:rPr>
              <w:t>,</w:t>
            </w:r>
            <w:r w:rsidR="00E65B1B" w:rsidRPr="00582785">
              <w:rPr>
                <w:rFonts w:ascii="Times New Roman" w:eastAsia="SimSun" w:hAnsi="Times New Roman"/>
                <w:sz w:val="19"/>
                <w:szCs w:val="19"/>
                <w:lang w:val="fr-FR" w:eastAsia="zh-CN"/>
              </w:rPr>
              <w:t>5</w:t>
            </w:r>
            <w:r w:rsidR="00762016" w:rsidRPr="00582785">
              <w:rPr>
                <w:rFonts w:ascii="Times New Roman" w:eastAsia="SimSun" w:hAnsi="Times New Roman"/>
                <w:sz w:val="19"/>
                <w:szCs w:val="19"/>
                <w:lang w:val="fr-FR" w:eastAsia="zh-CN"/>
              </w:rPr>
              <w:noBreakHyphen/>
            </w:r>
            <w:r w:rsidR="00E65B1B" w:rsidRPr="00582785">
              <w:rPr>
                <w:rFonts w:ascii="Times New Roman" w:eastAsia="SimSun" w:hAnsi="Times New Roman"/>
                <w:sz w:val="19"/>
                <w:szCs w:val="19"/>
                <w:lang w:val="fr-FR" w:eastAsia="zh-CN"/>
              </w:rPr>
              <w:t>2</w:t>
            </w:r>
            <w:r w:rsidR="00762016" w:rsidRPr="00582785">
              <w:rPr>
                <w:rFonts w:ascii="Times New Roman" w:eastAsia="SimSun" w:hAnsi="Times New Roman"/>
                <w:sz w:val="19"/>
                <w:szCs w:val="19"/>
                <w:lang w:val="fr-FR" w:eastAsia="zh-CN"/>
              </w:rPr>
              <w:t> </w:t>
            </w:r>
            <w:r w:rsidR="00E65B1B" w:rsidRPr="00582785">
              <w:rPr>
                <w:rFonts w:ascii="Times New Roman" w:eastAsia="SimSun" w:hAnsi="Times New Roman"/>
                <w:sz w:val="19"/>
                <w:szCs w:val="19"/>
                <w:lang w:val="fr-FR" w:eastAsia="zh-CN"/>
              </w:rPr>
              <w:t>mo</w:t>
            </w:r>
            <w:r w:rsidRPr="00582785">
              <w:rPr>
                <w:rFonts w:ascii="Times New Roman" w:eastAsia="SimSun" w:hAnsi="Times New Roman"/>
                <w:sz w:val="19"/>
                <w:szCs w:val="19"/>
                <w:lang w:val="fr-FR" w:eastAsia="zh-CN"/>
              </w:rPr>
              <w:t>is</w:t>
            </w:r>
            <w:r w:rsidR="00E65B1B" w:rsidRPr="00582785">
              <w:rPr>
                <w:rFonts w:ascii="Times New Roman" w:eastAsia="SimSun" w:hAnsi="Times New Roman"/>
                <w:sz w:val="19"/>
                <w:szCs w:val="19"/>
                <w:lang w:val="fr-FR" w:eastAsia="zh-CN"/>
              </w:rPr>
              <w:t>)</w:t>
            </w:r>
            <w:r w:rsidR="006F21D2" w:rsidRPr="00582785">
              <w:rPr>
                <w:rFonts w:ascii="Times New Roman" w:eastAsia="SimSun" w:hAnsi="Times New Roman"/>
                <w:sz w:val="19"/>
                <w:szCs w:val="19"/>
                <w:lang w:val="fr-FR" w:eastAsia="zh-CN"/>
              </w:rPr>
              <w:t>.</w:t>
            </w:r>
          </w:p>
        </w:tc>
      </w:tr>
      <w:tr w:rsidR="00E65B1B" w:rsidRPr="00582785" w:rsidTr="001B4912">
        <w:trPr>
          <w:trHeight w:val="567"/>
        </w:trPr>
        <w:tc>
          <w:tcPr>
            <w:tcW w:w="709" w:type="dxa"/>
            <w:vMerge/>
            <w:shd w:val="clear" w:color="auto" w:fill="auto"/>
          </w:tcPr>
          <w:p w:rsidR="00E65B1B" w:rsidRPr="00582785" w:rsidRDefault="00E65B1B" w:rsidP="00F32A2A">
            <w:pPr>
              <w:keepNext/>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p>
        </w:tc>
        <w:tc>
          <w:tcPr>
            <w:tcW w:w="850" w:type="dxa"/>
            <w:shd w:val="clear" w:color="auto" w:fill="auto"/>
            <w:vAlign w:val="center"/>
          </w:tcPr>
          <w:p w:rsidR="00E65B1B" w:rsidRPr="00582785" w:rsidRDefault="00D37E95" w:rsidP="00F32A2A">
            <w:pPr>
              <w:keepNext/>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Deuxième trimestre</w:t>
            </w:r>
          </w:p>
        </w:tc>
        <w:tc>
          <w:tcPr>
            <w:tcW w:w="6663" w:type="dxa"/>
            <w:shd w:val="clear" w:color="auto" w:fill="auto"/>
            <w:vAlign w:val="center"/>
          </w:tcPr>
          <w:p w:rsidR="00E65B1B" w:rsidRPr="00582785" w:rsidRDefault="00586F6E" w:rsidP="00F32A2A">
            <w:pPr>
              <w:keepNext/>
              <w:keepLines/>
              <w:tabs>
                <w:tab w:val="left" w:pos="426"/>
                <w:tab w:val="num" w:pos="1353"/>
              </w:tabs>
              <w:autoSpaceDE w:val="0"/>
              <w:autoSpaceDN w:val="0"/>
              <w:adjustRightInd w:val="0"/>
              <w:spacing w:before="20" w:after="20" w:line="240" w:lineRule="auto"/>
              <w:rPr>
                <w:rFonts w:ascii="Times New Roman" w:eastAsia="SimSun" w:hAnsi="Times New Roman"/>
                <w:sz w:val="18"/>
                <w:szCs w:val="18"/>
                <w:lang w:val="fr-FR" w:eastAsia="zh-CN"/>
              </w:rPr>
            </w:pPr>
            <w:r w:rsidRPr="00582785">
              <w:rPr>
                <w:rFonts w:ascii="Times New Roman" w:hAnsi="Times New Roman"/>
                <w:sz w:val="18"/>
                <w:szCs w:val="18"/>
                <w:lang w:val="fr-FR"/>
              </w:rPr>
              <w:t>Les coprésidents, les auteurs coordonnateurs principaux et les auteurs principaux</w:t>
            </w:r>
            <w:r w:rsidRPr="00582785">
              <w:rPr>
                <w:rFonts w:ascii="Times New Roman" w:eastAsia="SimSun" w:hAnsi="Times New Roman"/>
                <w:sz w:val="18"/>
                <w:szCs w:val="18"/>
                <w:lang w:val="fr-FR" w:eastAsia="zh-CN"/>
              </w:rPr>
              <w:t xml:space="preserve"> établissent le deuxième projet de rapport</w:t>
            </w:r>
            <w:r w:rsidR="00E65B1B" w:rsidRPr="00582785">
              <w:rPr>
                <w:rFonts w:ascii="Times New Roman" w:eastAsia="SimSun" w:hAnsi="Times New Roman"/>
                <w:sz w:val="18"/>
                <w:szCs w:val="18"/>
                <w:lang w:val="fr-FR" w:eastAsia="zh-CN"/>
              </w:rPr>
              <w:t xml:space="preserve"> </w:t>
            </w:r>
            <w:r w:rsidRPr="00582785">
              <w:rPr>
                <w:rFonts w:ascii="Times New Roman" w:eastAsia="SimSun" w:hAnsi="Times New Roman"/>
                <w:sz w:val="18"/>
                <w:szCs w:val="18"/>
                <w:lang w:val="fr-FR" w:eastAsia="zh-CN"/>
              </w:rPr>
              <w:t xml:space="preserve">et </w:t>
            </w:r>
            <w:r w:rsidR="008837CB" w:rsidRPr="00582785">
              <w:rPr>
                <w:rFonts w:ascii="Times New Roman" w:eastAsia="SimSun" w:hAnsi="Times New Roman"/>
                <w:sz w:val="18"/>
                <w:szCs w:val="18"/>
                <w:lang w:val="fr-FR" w:eastAsia="zh-CN"/>
              </w:rPr>
              <w:t xml:space="preserve">un </w:t>
            </w:r>
            <w:r w:rsidR="008837CB" w:rsidRPr="00582785">
              <w:rPr>
                <w:rFonts w:ascii="Times New Roman" w:hAnsi="Times New Roman"/>
                <w:sz w:val="18"/>
                <w:szCs w:val="18"/>
                <w:lang w:val="fr-FR"/>
              </w:rPr>
              <w:t>avant-projet de résumé à l’intention des décideurs</w:t>
            </w:r>
            <w:r w:rsidR="008837CB" w:rsidRPr="00582785">
              <w:rPr>
                <w:rFonts w:ascii="Times New Roman" w:eastAsia="SimSun" w:hAnsi="Times New Roman"/>
                <w:sz w:val="18"/>
                <w:szCs w:val="18"/>
                <w:lang w:val="fr-FR" w:eastAsia="zh-CN"/>
              </w:rPr>
              <w:t xml:space="preserve"> sous la direction des éditeurs-réviseurs et du Groupe</w:t>
            </w:r>
            <w:r w:rsidR="00582785" w:rsidRPr="00582785">
              <w:rPr>
                <w:rFonts w:ascii="Times New Roman" w:eastAsia="SimSun" w:hAnsi="Times New Roman"/>
                <w:sz w:val="18"/>
                <w:szCs w:val="18"/>
                <w:lang w:val="fr-FR" w:eastAsia="zh-CN"/>
              </w:rPr>
              <w:t xml:space="preserve"> </w:t>
            </w:r>
            <w:r w:rsidR="00582785" w:rsidRPr="00582785">
              <w:rPr>
                <w:rFonts w:ascii="Times New Roman" w:hAnsi="Times New Roman"/>
                <w:sz w:val="18"/>
                <w:szCs w:val="18"/>
                <w:lang w:val="fr-FR"/>
              </w:rPr>
              <w:t>d’experts multidisciplinaire</w:t>
            </w:r>
            <w:r w:rsidR="006F21D2" w:rsidRPr="00582785">
              <w:rPr>
                <w:rFonts w:ascii="Times New Roman" w:eastAsia="SimSun" w:hAnsi="Times New Roman"/>
                <w:sz w:val="18"/>
                <w:szCs w:val="18"/>
                <w:lang w:val="fr-FR" w:eastAsia="zh-CN"/>
              </w:rPr>
              <w:t xml:space="preserve"> (</w:t>
            </w:r>
            <w:r w:rsidR="008837CB" w:rsidRPr="00582785">
              <w:rPr>
                <w:rFonts w:ascii="Times New Roman" w:eastAsia="SimSun" w:hAnsi="Times New Roman"/>
                <w:sz w:val="18"/>
                <w:szCs w:val="18"/>
                <w:lang w:val="fr-FR" w:eastAsia="zh-CN"/>
              </w:rPr>
              <w:t>avril</w:t>
            </w:r>
            <w:r w:rsidR="006F21D2" w:rsidRPr="00582785">
              <w:rPr>
                <w:rFonts w:ascii="Times New Roman" w:eastAsia="SimSun" w:hAnsi="Times New Roman"/>
                <w:sz w:val="18"/>
                <w:szCs w:val="18"/>
                <w:lang w:val="fr-FR" w:eastAsia="zh-CN"/>
              </w:rPr>
              <w:t>–</w:t>
            </w:r>
            <w:r w:rsidR="008837CB" w:rsidRPr="00582785">
              <w:rPr>
                <w:rFonts w:ascii="Times New Roman" w:eastAsia="SimSun" w:hAnsi="Times New Roman"/>
                <w:sz w:val="18"/>
                <w:szCs w:val="18"/>
                <w:lang w:val="fr-FR" w:eastAsia="zh-CN"/>
              </w:rPr>
              <w:t>juin </w:t>
            </w:r>
            <w:r w:rsidR="00E65B1B" w:rsidRPr="00582785">
              <w:rPr>
                <w:rFonts w:ascii="Times New Roman" w:eastAsia="SimSun" w:hAnsi="Times New Roman"/>
                <w:sz w:val="18"/>
                <w:szCs w:val="18"/>
                <w:lang w:val="fr-FR" w:eastAsia="zh-CN"/>
              </w:rPr>
              <w:t>2015 (</w:t>
            </w:r>
            <w:r w:rsidR="00D37E95">
              <w:rPr>
                <w:rFonts w:ascii="Times New Roman" w:eastAsia="SimSun" w:hAnsi="Times New Roman"/>
                <w:sz w:val="18"/>
                <w:szCs w:val="18"/>
                <w:lang w:val="fr-FR" w:eastAsia="zh-CN"/>
              </w:rPr>
              <w:t>3</w:t>
            </w:r>
            <w:r w:rsidR="008837CB" w:rsidRPr="00582785">
              <w:rPr>
                <w:rFonts w:ascii="Times New Roman" w:eastAsia="SimSun" w:hAnsi="Times New Roman"/>
                <w:sz w:val="18"/>
                <w:szCs w:val="18"/>
                <w:lang w:val="fr-FR" w:eastAsia="zh-CN"/>
              </w:rPr>
              <w:t xml:space="preserve"> mois</w:t>
            </w:r>
            <w:r w:rsidR="00E65B1B" w:rsidRPr="00582785">
              <w:rPr>
                <w:rFonts w:ascii="Times New Roman" w:eastAsia="SimSun" w:hAnsi="Times New Roman"/>
                <w:sz w:val="18"/>
                <w:szCs w:val="18"/>
                <w:lang w:val="fr-FR" w:eastAsia="zh-CN"/>
              </w:rPr>
              <w:t xml:space="preserve">). </w:t>
            </w:r>
            <w:r w:rsidR="008837CB" w:rsidRPr="00582785">
              <w:rPr>
                <w:rFonts w:ascii="Times New Roman" w:eastAsia="SimSun" w:hAnsi="Times New Roman"/>
                <w:sz w:val="18"/>
                <w:szCs w:val="18"/>
                <w:lang w:val="fr-FR" w:eastAsia="zh-CN"/>
              </w:rPr>
              <w:t>Une deuxième réunion des auteurs se tiendra en juin </w:t>
            </w:r>
            <w:r w:rsidR="00E65B1B" w:rsidRPr="00582785">
              <w:rPr>
                <w:rFonts w:ascii="Times New Roman" w:eastAsia="SimSun" w:hAnsi="Times New Roman"/>
                <w:sz w:val="18"/>
                <w:szCs w:val="18"/>
                <w:lang w:val="fr-FR" w:eastAsia="zh-CN"/>
              </w:rPr>
              <w:t>2015.</w:t>
            </w:r>
          </w:p>
        </w:tc>
      </w:tr>
      <w:tr w:rsidR="00E65B1B" w:rsidRPr="00582785" w:rsidTr="001B4912">
        <w:trPr>
          <w:trHeight w:val="547"/>
        </w:trPr>
        <w:tc>
          <w:tcPr>
            <w:tcW w:w="709" w:type="dxa"/>
            <w:vMerge/>
            <w:shd w:val="clear" w:color="auto" w:fill="auto"/>
          </w:tcPr>
          <w:p w:rsidR="00E65B1B" w:rsidRPr="00582785" w:rsidRDefault="00E65B1B" w:rsidP="00F32A2A">
            <w:pPr>
              <w:keepNext/>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p>
        </w:tc>
        <w:tc>
          <w:tcPr>
            <w:tcW w:w="850" w:type="dxa"/>
            <w:shd w:val="clear" w:color="auto" w:fill="auto"/>
            <w:vAlign w:val="center"/>
          </w:tcPr>
          <w:p w:rsidR="00E65B1B" w:rsidRPr="00582785" w:rsidRDefault="00D37E95" w:rsidP="00F32A2A">
            <w:pPr>
              <w:keepNext/>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Troisième trimestre</w:t>
            </w:r>
          </w:p>
        </w:tc>
        <w:tc>
          <w:tcPr>
            <w:tcW w:w="6663" w:type="dxa"/>
            <w:shd w:val="clear" w:color="auto" w:fill="auto"/>
            <w:vAlign w:val="center"/>
          </w:tcPr>
          <w:p w:rsidR="00E65B1B" w:rsidRPr="00582785" w:rsidRDefault="008837CB" w:rsidP="00F32A2A">
            <w:pPr>
              <w:keepNext/>
              <w:keepLines/>
              <w:tabs>
                <w:tab w:val="left" w:pos="426"/>
                <w:tab w:val="num" w:pos="1353"/>
              </w:tabs>
              <w:autoSpaceDE w:val="0"/>
              <w:autoSpaceDN w:val="0"/>
              <w:adjustRightInd w:val="0"/>
              <w:spacing w:before="20" w:after="20" w:line="240" w:lineRule="auto"/>
              <w:rPr>
                <w:rFonts w:ascii="Times New Roman" w:eastAsia="SimSun" w:hAnsi="Times New Roman"/>
                <w:sz w:val="18"/>
                <w:szCs w:val="18"/>
                <w:lang w:val="fr-FR" w:eastAsia="zh-CN"/>
              </w:rPr>
            </w:pPr>
            <w:r w:rsidRPr="00582785">
              <w:rPr>
                <w:rFonts w:ascii="Times New Roman" w:hAnsi="Times New Roman"/>
                <w:sz w:val="18"/>
                <w:szCs w:val="18"/>
                <w:lang w:val="fr-FR"/>
              </w:rPr>
              <w:t>Le deuxième projet de rapport et l’avant-projet de résumé à l’intention des décideurs sont examinés par les experts, les gouvernements et les autres parties prenantes en juillet et en août </w:t>
            </w:r>
            <w:r w:rsidR="00E65B1B" w:rsidRPr="00582785">
              <w:rPr>
                <w:rFonts w:ascii="Times New Roman" w:eastAsia="SimSun" w:hAnsi="Times New Roman"/>
                <w:sz w:val="18"/>
                <w:szCs w:val="18"/>
                <w:lang w:val="fr-FR" w:eastAsia="zh-CN"/>
              </w:rPr>
              <w:t>2015 (</w:t>
            </w:r>
            <w:r w:rsidR="00D37E95">
              <w:rPr>
                <w:rFonts w:ascii="Times New Roman" w:eastAsia="SimSun" w:hAnsi="Times New Roman"/>
                <w:sz w:val="18"/>
                <w:szCs w:val="18"/>
                <w:lang w:val="fr-FR" w:eastAsia="zh-CN"/>
              </w:rPr>
              <w:t>2</w:t>
            </w:r>
            <w:r w:rsidRPr="00582785">
              <w:rPr>
                <w:rFonts w:ascii="Times New Roman" w:eastAsia="SimSun" w:hAnsi="Times New Roman"/>
                <w:sz w:val="18"/>
                <w:szCs w:val="18"/>
                <w:lang w:val="fr-FR" w:eastAsia="zh-CN"/>
              </w:rPr>
              <w:t xml:space="preserve"> mois</w:t>
            </w:r>
            <w:r w:rsidR="00E65B1B" w:rsidRPr="00582785">
              <w:rPr>
                <w:rFonts w:ascii="Times New Roman" w:eastAsia="SimSun" w:hAnsi="Times New Roman"/>
                <w:sz w:val="18"/>
                <w:szCs w:val="18"/>
                <w:lang w:val="fr-FR" w:eastAsia="zh-CN"/>
              </w:rPr>
              <w:t>)</w:t>
            </w:r>
            <w:r w:rsidR="004863D2" w:rsidRPr="00582785">
              <w:rPr>
                <w:rFonts w:ascii="Times New Roman" w:eastAsia="SimSun" w:hAnsi="Times New Roman"/>
                <w:sz w:val="18"/>
                <w:szCs w:val="18"/>
                <w:lang w:val="fr-FR" w:eastAsia="zh-CN"/>
              </w:rPr>
              <w:t>.</w:t>
            </w:r>
          </w:p>
        </w:tc>
      </w:tr>
      <w:tr w:rsidR="00E65B1B" w:rsidRPr="00582785" w:rsidTr="001B4912">
        <w:trPr>
          <w:trHeight w:val="215"/>
        </w:trPr>
        <w:tc>
          <w:tcPr>
            <w:tcW w:w="709" w:type="dxa"/>
            <w:vMerge/>
            <w:shd w:val="clear" w:color="auto" w:fill="auto"/>
          </w:tcPr>
          <w:p w:rsidR="00E65B1B" w:rsidRPr="00582785" w:rsidRDefault="00E65B1B" w:rsidP="00F32A2A">
            <w:pPr>
              <w:keepNext/>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p>
        </w:tc>
        <w:tc>
          <w:tcPr>
            <w:tcW w:w="850" w:type="dxa"/>
            <w:shd w:val="clear" w:color="auto" w:fill="auto"/>
            <w:vAlign w:val="center"/>
          </w:tcPr>
          <w:p w:rsidR="00E65B1B" w:rsidRPr="00582785" w:rsidRDefault="00D37E95" w:rsidP="008F4C39">
            <w:pPr>
              <w:keepNext/>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Troisième</w:t>
            </w:r>
            <w:r w:rsidR="008F4C39">
              <w:rPr>
                <w:rFonts w:ascii="Times New Roman" w:eastAsia="SimSun" w:hAnsi="Times New Roman"/>
                <w:sz w:val="19"/>
                <w:szCs w:val="19"/>
                <w:lang w:val="fr-FR" w:eastAsia="zh-CN"/>
              </w:rPr>
              <w:t>/</w:t>
            </w:r>
            <w:r>
              <w:rPr>
                <w:rFonts w:ascii="Times New Roman" w:eastAsia="SimSun" w:hAnsi="Times New Roman"/>
                <w:sz w:val="19"/>
                <w:szCs w:val="19"/>
                <w:lang w:val="fr-FR" w:eastAsia="zh-CN"/>
              </w:rPr>
              <w:t>quatrième trimestres</w:t>
            </w:r>
          </w:p>
        </w:tc>
        <w:tc>
          <w:tcPr>
            <w:tcW w:w="6663" w:type="dxa"/>
            <w:shd w:val="clear" w:color="auto" w:fill="auto"/>
            <w:vAlign w:val="center"/>
          </w:tcPr>
          <w:p w:rsidR="00E65B1B" w:rsidRPr="00582785" w:rsidRDefault="008837CB" w:rsidP="00F32A2A">
            <w:pPr>
              <w:keepNext/>
              <w:keepLines/>
              <w:tabs>
                <w:tab w:val="left" w:pos="426"/>
                <w:tab w:val="num" w:pos="1353"/>
              </w:tabs>
              <w:autoSpaceDE w:val="0"/>
              <w:autoSpaceDN w:val="0"/>
              <w:adjustRightInd w:val="0"/>
              <w:spacing w:before="20" w:after="20" w:line="240" w:lineRule="auto"/>
              <w:rPr>
                <w:rFonts w:ascii="Times New Roman" w:eastAsia="SimSun" w:hAnsi="Times New Roman"/>
                <w:sz w:val="18"/>
                <w:szCs w:val="18"/>
                <w:lang w:val="fr-FR" w:eastAsia="zh-CN"/>
              </w:rPr>
            </w:pPr>
            <w:r w:rsidRPr="00582785">
              <w:rPr>
                <w:rFonts w:ascii="Times New Roman" w:hAnsi="Times New Roman"/>
                <w:sz w:val="18"/>
                <w:szCs w:val="18"/>
                <w:lang w:val="fr-FR"/>
              </w:rPr>
              <w:t>Les coprésidents, les auteurs coordonnateurs principaux et les auteurs principaux</w:t>
            </w:r>
            <w:r w:rsidRPr="00582785">
              <w:rPr>
                <w:rFonts w:ascii="Times New Roman" w:eastAsia="SimSun" w:hAnsi="Times New Roman"/>
                <w:sz w:val="18"/>
                <w:szCs w:val="18"/>
                <w:lang w:val="fr-FR" w:eastAsia="zh-CN"/>
              </w:rPr>
              <w:t xml:space="preserve"> établissent le projet final de rapport et le projet final </w:t>
            </w:r>
            <w:r w:rsidRPr="00582785">
              <w:rPr>
                <w:rFonts w:ascii="Times New Roman" w:hAnsi="Times New Roman"/>
                <w:sz w:val="18"/>
                <w:szCs w:val="18"/>
                <w:lang w:val="fr-FR"/>
              </w:rPr>
              <w:t>de résumé à l’intention des décideurs</w:t>
            </w:r>
            <w:r w:rsidRPr="00582785">
              <w:rPr>
                <w:rFonts w:ascii="Times New Roman" w:eastAsia="SimSun" w:hAnsi="Times New Roman"/>
                <w:sz w:val="18"/>
                <w:szCs w:val="18"/>
                <w:lang w:val="fr-FR" w:eastAsia="zh-CN"/>
              </w:rPr>
              <w:t xml:space="preserve"> sous la direction des éditeurs-réviseurs et du Groupe</w:t>
            </w:r>
            <w:r w:rsidR="00582785" w:rsidRPr="00582785">
              <w:rPr>
                <w:rFonts w:ascii="Times New Roman" w:hAnsi="Times New Roman"/>
                <w:sz w:val="18"/>
                <w:szCs w:val="18"/>
                <w:lang w:val="fr-FR"/>
              </w:rPr>
              <w:t xml:space="preserve"> d’experts multidisciplinaire</w:t>
            </w:r>
            <w:r w:rsidR="00582785" w:rsidRPr="00582785">
              <w:rPr>
                <w:rFonts w:ascii="Times New Roman" w:eastAsia="SimSun" w:hAnsi="Times New Roman"/>
                <w:sz w:val="18"/>
                <w:szCs w:val="18"/>
                <w:lang w:val="fr-FR" w:eastAsia="zh-CN"/>
              </w:rPr>
              <w:t xml:space="preserve"> </w:t>
            </w:r>
            <w:r w:rsidRPr="00582785">
              <w:rPr>
                <w:rFonts w:ascii="Times New Roman" w:eastAsia="SimSun" w:hAnsi="Times New Roman"/>
                <w:sz w:val="18"/>
                <w:szCs w:val="18"/>
                <w:lang w:val="fr-FR" w:eastAsia="zh-CN"/>
              </w:rPr>
              <w:t>en septembre et en octobre </w:t>
            </w:r>
            <w:r w:rsidR="00E65B1B" w:rsidRPr="00582785">
              <w:rPr>
                <w:rFonts w:ascii="Times New Roman" w:eastAsia="SimSun" w:hAnsi="Times New Roman"/>
                <w:sz w:val="18"/>
                <w:szCs w:val="18"/>
                <w:lang w:val="fr-FR" w:eastAsia="zh-CN"/>
              </w:rPr>
              <w:t>2015 (</w:t>
            </w:r>
            <w:r w:rsidR="00D37E95">
              <w:rPr>
                <w:rFonts w:ascii="Times New Roman" w:eastAsia="SimSun" w:hAnsi="Times New Roman"/>
                <w:sz w:val="18"/>
                <w:szCs w:val="18"/>
                <w:lang w:val="fr-FR" w:eastAsia="zh-CN"/>
              </w:rPr>
              <w:t>2</w:t>
            </w:r>
            <w:r w:rsidRPr="00582785">
              <w:rPr>
                <w:rFonts w:ascii="Times New Roman" w:eastAsia="SimSun" w:hAnsi="Times New Roman"/>
                <w:sz w:val="18"/>
                <w:szCs w:val="18"/>
                <w:lang w:val="fr-FR" w:eastAsia="zh-CN"/>
              </w:rPr>
              <w:t xml:space="preserve"> mois</w:t>
            </w:r>
            <w:r w:rsidR="00E65B1B" w:rsidRPr="00582785">
              <w:rPr>
                <w:rFonts w:ascii="Times New Roman" w:eastAsia="SimSun" w:hAnsi="Times New Roman"/>
                <w:sz w:val="18"/>
                <w:szCs w:val="18"/>
                <w:lang w:val="fr-FR" w:eastAsia="zh-CN"/>
              </w:rPr>
              <w:t xml:space="preserve">). </w:t>
            </w:r>
            <w:r w:rsidRPr="00582785">
              <w:rPr>
                <w:rFonts w:ascii="Times New Roman" w:eastAsia="SimSun" w:hAnsi="Times New Roman"/>
                <w:sz w:val="18"/>
                <w:szCs w:val="18"/>
                <w:lang w:val="fr-FR" w:eastAsia="zh-CN"/>
              </w:rPr>
              <w:t>Une troisième réunion des auteurs aura lieu en octobre </w:t>
            </w:r>
            <w:r w:rsidR="00E65B1B" w:rsidRPr="00582785">
              <w:rPr>
                <w:rFonts w:ascii="Times New Roman" w:eastAsia="SimSun" w:hAnsi="Times New Roman"/>
                <w:sz w:val="18"/>
                <w:szCs w:val="18"/>
                <w:lang w:val="fr-FR" w:eastAsia="zh-CN"/>
              </w:rPr>
              <w:t>2015.</w:t>
            </w:r>
          </w:p>
        </w:tc>
      </w:tr>
      <w:tr w:rsidR="00E65B1B" w:rsidRPr="00582785" w:rsidTr="001B4912">
        <w:trPr>
          <w:trHeight w:val="479"/>
        </w:trPr>
        <w:tc>
          <w:tcPr>
            <w:tcW w:w="709" w:type="dxa"/>
            <w:vMerge/>
            <w:shd w:val="clear" w:color="auto" w:fill="auto"/>
            <w:vAlign w:val="center"/>
          </w:tcPr>
          <w:p w:rsidR="00E65B1B" w:rsidRPr="00582785" w:rsidRDefault="00E65B1B" w:rsidP="00F32A2A">
            <w:pPr>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p>
        </w:tc>
        <w:tc>
          <w:tcPr>
            <w:tcW w:w="850" w:type="dxa"/>
            <w:shd w:val="clear" w:color="auto" w:fill="auto"/>
            <w:vAlign w:val="center"/>
          </w:tcPr>
          <w:p w:rsidR="00E65B1B" w:rsidRPr="00582785" w:rsidRDefault="00D37E95" w:rsidP="00F32A2A">
            <w:pPr>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Quatrième trimestre</w:t>
            </w:r>
          </w:p>
        </w:tc>
        <w:tc>
          <w:tcPr>
            <w:tcW w:w="6663" w:type="dxa"/>
            <w:shd w:val="clear" w:color="auto" w:fill="auto"/>
            <w:vAlign w:val="center"/>
          </w:tcPr>
          <w:p w:rsidR="00E65B1B" w:rsidRPr="00582785" w:rsidRDefault="008837CB" w:rsidP="00F32A2A">
            <w:pPr>
              <w:keepLines/>
              <w:tabs>
                <w:tab w:val="left" w:pos="426"/>
                <w:tab w:val="num" w:pos="1353"/>
              </w:tabs>
              <w:autoSpaceDE w:val="0"/>
              <w:autoSpaceDN w:val="0"/>
              <w:adjustRightInd w:val="0"/>
              <w:spacing w:before="20" w:after="20" w:line="240" w:lineRule="auto"/>
              <w:rPr>
                <w:rFonts w:ascii="Times New Roman" w:eastAsia="SimSun" w:hAnsi="Times New Roman"/>
                <w:sz w:val="18"/>
                <w:szCs w:val="18"/>
                <w:lang w:val="fr-FR" w:eastAsia="zh-CN"/>
              </w:rPr>
            </w:pPr>
            <w:r w:rsidRPr="00582785">
              <w:rPr>
                <w:rFonts w:ascii="Times New Roman" w:hAnsi="Times New Roman"/>
                <w:sz w:val="18"/>
                <w:szCs w:val="18"/>
                <w:lang w:val="fr-FR"/>
              </w:rPr>
              <w:t xml:space="preserve">Le résumé à l’intention des décideurs est traduit de l’anglais dans </w:t>
            </w:r>
            <w:r w:rsidR="00D37E95">
              <w:rPr>
                <w:rFonts w:ascii="Times New Roman" w:hAnsi="Times New Roman"/>
                <w:sz w:val="18"/>
                <w:szCs w:val="18"/>
                <w:lang w:val="fr-FR"/>
              </w:rPr>
              <w:t>toutes les</w:t>
            </w:r>
            <w:r w:rsidRPr="00582785">
              <w:rPr>
                <w:rFonts w:ascii="Times New Roman" w:hAnsi="Times New Roman"/>
                <w:sz w:val="18"/>
                <w:szCs w:val="18"/>
                <w:lang w:val="fr-FR"/>
              </w:rPr>
              <w:t xml:space="preserve"> langues officielles de l’ONU d’ici à la mi-décembre </w:t>
            </w:r>
            <w:r w:rsidR="00E65B1B" w:rsidRPr="00582785">
              <w:rPr>
                <w:rFonts w:ascii="Times New Roman" w:eastAsia="SimSun" w:hAnsi="Times New Roman"/>
                <w:sz w:val="18"/>
                <w:szCs w:val="18"/>
                <w:lang w:val="fr-FR" w:eastAsia="zh-CN"/>
              </w:rPr>
              <w:t xml:space="preserve">2015 </w:t>
            </w:r>
            <w:r w:rsidR="0095189F" w:rsidRPr="00582785">
              <w:rPr>
                <w:rFonts w:ascii="Times New Roman" w:eastAsia="SimSun" w:hAnsi="Times New Roman"/>
                <w:sz w:val="18"/>
                <w:szCs w:val="18"/>
                <w:lang w:val="fr-FR" w:eastAsia="zh-CN"/>
              </w:rPr>
              <w:t>a</w:t>
            </w:r>
            <w:r w:rsidRPr="00582785">
              <w:rPr>
                <w:rFonts w:ascii="Times New Roman" w:eastAsia="SimSun" w:hAnsi="Times New Roman"/>
                <w:sz w:val="18"/>
                <w:szCs w:val="18"/>
                <w:lang w:val="fr-FR" w:eastAsia="zh-CN"/>
              </w:rPr>
              <w:t>u plus tard</w:t>
            </w:r>
            <w:r w:rsidR="0095189F" w:rsidRPr="00582785">
              <w:rPr>
                <w:rFonts w:ascii="Times New Roman" w:eastAsia="SimSun" w:hAnsi="Times New Roman"/>
                <w:sz w:val="18"/>
                <w:szCs w:val="18"/>
                <w:lang w:val="fr-FR" w:eastAsia="zh-CN"/>
              </w:rPr>
              <w:t xml:space="preserve"> </w:t>
            </w:r>
            <w:r w:rsidR="00E65B1B" w:rsidRPr="00582785">
              <w:rPr>
                <w:rFonts w:ascii="Times New Roman" w:eastAsia="SimSun" w:hAnsi="Times New Roman"/>
                <w:sz w:val="18"/>
                <w:szCs w:val="18"/>
                <w:lang w:val="fr-FR" w:eastAsia="zh-CN"/>
              </w:rPr>
              <w:t>(1</w:t>
            </w:r>
            <w:r w:rsidRPr="00582785">
              <w:rPr>
                <w:rFonts w:ascii="Times New Roman" w:eastAsia="SimSun" w:hAnsi="Times New Roman"/>
                <w:sz w:val="18"/>
                <w:szCs w:val="18"/>
                <w:lang w:val="fr-FR" w:eastAsia="zh-CN"/>
              </w:rPr>
              <w:t>,</w:t>
            </w:r>
            <w:r w:rsidR="00E65B1B" w:rsidRPr="00582785">
              <w:rPr>
                <w:rFonts w:ascii="Times New Roman" w:eastAsia="SimSun" w:hAnsi="Times New Roman"/>
                <w:sz w:val="18"/>
                <w:szCs w:val="18"/>
                <w:lang w:val="fr-FR" w:eastAsia="zh-CN"/>
              </w:rPr>
              <w:t>5</w:t>
            </w:r>
            <w:r w:rsidRPr="00582785">
              <w:rPr>
                <w:rFonts w:ascii="Times New Roman" w:eastAsia="SimSun" w:hAnsi="Times New Roman"/>
                <w:sz w:val="18"/>
                <w:szCs w:val="18"/>
                <w:lang w:val="fr-FR" w:eastAsia="zh-CN"/>
              </w:rPr>
              <w:t> mois</w:t>
            </w:r>
            <w:r w:rsidR="00E65B1B" w:rsidRPr="00582785">
              <w:rPr>
                <w:rFonts w:ascii="Times New Roman" w:eastAsia="SimSun" w:hAnsi="Times New Roman"/>
                <w:sz w:val="18"/>
                <w:szCs w:val="18"/>
                <w:lang w:val="fr-FR" w:eastAsia="zh-CN"/>
              </w:rPr>
              <w:t>)</w:t>
            </w:r>
            <w:r w:rsidR="0095189F" w:rsidRPr="00582785">
              <w:rPr>
                <w:rFonts w:ascii="Times New Roman" w:eastAsia="SimSun" w:hAnsi="Times New Roman"/>
                <w:sz w:val="18"/>
                <w:szCs w:val="18"/>
                <w:lang w:val="fr-FR" w:eastAsia="zh-CN"/>
              </w:rPr>
              <w:t>.</w:t>
            </w:r>
          </w:p>
        </w:tc>
      </w:tr>
      <w:tr w:rsidR="00E65B1B" w:rsidRPr="00582785" w:rsidTr="00762016">
        <w:trPr>
          <w:trHeight w:val="242"/>
        </w:trPr>
        <w:tc>
          <w:tcPr>
            <w:tcW w:w="709" w:type="dxa"/>
            <w:vMerge w:val="restart"/>
            <w:tcBorders>
              <w:bottom w:val="single" w:sz="4" w:space="0" w:color="auto"/>
            </w:tcBorders>
            <w:shd w:val="clear" w:color="auto" w:fill="auto"/>
            <w:vAlign w:val="center"/>
          </w:tcPr>
          <w:p w:rsidR="00E65B1B" w:rsidRPr="00582785" w:rsidRDefault="00E65B1B" w:rsidP="00F32A2A">
            <w:pPr>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2016</w:t>
            </w:r>
          </w:p>
        </w:tc>
        <w:tc>
          <w:tcPr>
            <w:tcW w:w="850" w:type="dxa"/>
            <w:tcBorders>
              <w:bottom w:val="single" w:sz="4" w:space="0" w:color="auto"/>
            </w:tcBorders>
            <w:shd w:val="clear" w:color="auto" w:fill="auto"/>
            <w:vAlign w:val="center"/>
          </w:tcPr>
          <w:p w:rsidR="00E65B1B" w:rsidRPr="00582785" w:rsidRDefault="00D37E95" w:rsidP="00F32A2A">
            <w:pPr>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Premier trimestre</w:t>
            </w:r>
          </w:p>
        </w:tc>
        <w:tc>
          <w:tcPr>
            <w:tcW w:w="6663" w:type="dxa"/>
            <w:tcBorders>
              <w:bottom w:val="single" w:sz="4" w:space="0" w:color="auto"/>
            </w:tcBorders>
            <w:shd w:val="clear" w:color="auto" w:fill="auto"/>
            <w:vAlign w:val="center"/>
          </w:tcPr>
          <w:p w:rsidR="00E65B1B" w:rsidRPr="00582785" w:rsidRDefault="00E71CBA" w:rsidP="00F32A2A">
            <w:pPr>
              <w:keepLines/>
              <w:tabs>
                <w:tab w:val="left" w:pos="426"/>
                <w:tab w:val="num" w:pos="1353"/>
              </w:tabs>
              <w:autoSpaceDE w:val="0"/>
              <w:autoSpaceDN w:val="0"/>
              <w:adjustRightInd w:val="0"/>
              <w:spacing w:before="20" w:after="20" w:line="240" w:lineRule="auto"/>
              <w:rPr>
                <w:rFonts w:ascii="Times New Roman" w:eastAsia="SimSun" w:hAnsi="Times New Roman"/>
                <w:sz w:val="18"/>
                <w:szCs w:val="18"/>
                <w:lang w:val="fr-FR" w:eastAsia="zh-CN"/>
              </w:rPr>
            </w:pPr>
            <w:r w:rsidRPr="00582785">
              <w:rPr>
                <w:rFonts w:ascii="Times New Roman" w:hAnsi="Times New Roman"/>
                <w:sz w:val="18"/>
                <w:szCs w:val="18"/>
                <w:lang w:val="fr-FR"/>
              </w:rPr>
              <w:t>Le projet final de rapport et le résumé à l’intention des décideurs sont adressés aux gouvernements et aux autres parties prenantes pour examen final en janvier et en février </w:t>
            </w:r>
            <w:r w:rsidR="00E65B1B" w:rsidRPr="00582785">
              <w:rPr>
                <w:rFonts w:ascii="Times New Roman" w:eastAsia="SimSun" w:hAnsi="Times New Roman"/>
                <w:sz w:val="18"/>
                <w:szCs w:val="18"/>
                <w:lang w:val="fr-FR" w:eastAsia="zh-CN"/>
              </w:rPr>
              <w:t>2016 (1</w:t>
            </w:r>
            <w:r w:rsidRPr="00582785">
              <w:rPr>
                <w:rFonts w:ascii="Times New Roman" w:eastAsia="SimSun" w:hAnsi="Times New Roman"/>
                <w:sz w:val="18"/>
                <w:szCs w:val="18"/>
                <w:lang w:val="fr-FR" w:eastAsia="zh-CN"/>
              </w:rPr>
              <w:t>,</w:t>
            </w:r>
            <w:r w:rsidR="00E65B1B" w:rsidRPr="00582785">
              <w:rPr>
                <w:rFonts w:ascii="Times New Roman" w:eastAsia="SimSun" w:hAnsi="Times New Roman"/>
                <w:sz w:val="18"/>
                <w:szCs w:val="18"/>
                <w:lang w:val="fr-FR" w:eastAsia="zh-CN"/>
              </w:rPr>
              <w:t>5</w:t>
            </w:r>
            <w:r w:rsidR="00A53029" w:rsidRPr="00582785">
              <w:rPr>
                <w:rFonts w:ascii="Times New Roman" w:eastAsia="SimSun" w:hAnsi="Times New Roman"/>
                <w:sz w:val="18"/>
                <w:szCs w:val="18"/>
                <w:lang w:val="fr-FR" w:eastAsia="zh-CN"/>
              </w:rPr>
              <w:noBreakHyphen/>
            </w:r>
            <w:r w:rsidR="00E65B1B" w:rsidRPr="00582785">
              <w:rPr>
                <w:rFonts w:ascii="Times New Roman" w:eastAsia="SimSun" w:hAnsi="Times New Roman"/>
                <w:sz w:val="18"/>
                <w:szCs w:val="18"/>
                <w:lang w:val="fr-FR" w:eastAsia="zh-CN"/>
              </w:rPr>
              <w:t>2</w:t>
            </w:r>
            <w:r w:rsidR="00A53029" w:rsidRPr="00582785">
              <w:rPr>
                <w:rFonts w:ascii="Times New Roman" w:eastAsia="SimSun" w:hAnsi="Times New Roman"/>
                <w:sz w:val="18"/>
                <w:szCs w:val="18"/>
                <w:lang w:val="fr-FR" w:eastAsia="zh-CN"/>
              </w:rPr>
              <w:t> </w:t>
            </w:r>
            <w:r w:rsidR="00E65B1B" w:rsidRPr="00582785">
              <w:rPr>
                <w:rFonts w:ascii="Times New Roman" w:eastAsia="SimSun" w:hAnsi="Times New Roman"/>
                <w:sz w:val="18"/>
                <w:szCs w:val="18"/>
                <w:lang w:val="fr-FR" w:eastAsia="zh-CN"/>
              </w:rPr>
              <w:t>mo</w:t>
            </w:r>
            <w:r w:rsidRPr="00582785">
              <w:rPr>
                <w:rFonts w:ascii="Times New Roman" w:eastAsia="SimSun" w:hAnsi="Times New Roman"/>
                <w:sz w:val="18"/>
                <w:szCs w:val="18"/>
                <w:lang w:val="fr-FR" w:eastAsia="zh-CN"/>
              </w:rPr>
              <w:t>is</w:t>
            </w:r>
            <w:r w:rsidR="00E65B1B" w:rsidRPr="00582785">
              <w:rPr>
                <w:rFonts w:ascii="Times New Roman" w:eastAsia="SimSun" w:hAnsi="Times New Roman"/>
                <w:sz w:val="18"/>
                <w:szCs w:val="18"/>
                <w:lang w:val="fr-FR" w:eastAsia="zh-CN"/>
              </w:rPr>
              <w:t xml:space="preserve">). </w:t>
            </w:r>
            <w:r w:rsidRPr="00582785">
              <w:rPr>
                <w:rFonts w:ascii="Times New Roman" w:eastAsia="SimSun" w:hAnsi="Times New Roman"/>
                <w:sz w:val="18"/>
                <w:szCs w:val="18"/>
                <w:lang w:val="fr-FR" w:eastAsia="zh-CN"/>
              </w:rPr>
              <w:t>Des observations écrites des gou</w:t>
            </w:r>
            <w:r w:rsidR="00E65B1B" w:rsidRPr="00582785">
              <w:rPr>
                <w:rFonts w:ascii="Times New Roman" w:eastAsia="SimSun" w:hAnsi="Times New Roman"/>
                <w:sz w:val="18"/>
                <w:szCs w:val="18"/>
                <w:lang w:val="fr-FR" w:eastAsia="zh-CN"/>
              </w:rPr>
              <w:t>vern</w:t>
            </w:r>
            <w:r w:rsidRPr="00582785">
              <w:rPr>
                <w:rFonts w:ascii="Times New Roman" w:eastAsia="SimSun" w:hAnsi="Times New Roman"/>
                <w:sz w:val="18"/>
                <w:szCs w:val="18"/>
                <w:lang w:val="fr-FR" w:eastAsia="zh-CN"/>
              </w:rPr>
              <w:t>e</w:t>
            </w:r>
            <w:r w:rsidR="00E65B1B" w:rsidRPr="00582785">
              <w:rPr>
                <w:rFonts w:ascii="Times New Roman" w:eastAsia="SimSun" w:hAnsi="Times New Roman"/>
                <w:sz w:val="18"/>
                <w:szCs w:val="18"/>
                <w:lang w:val="fr-FR" w:eastAsia="zh-CN"/>
              </w:rPr>
              <w:t xml:space="preserve">ments </w:t>
            </w:r>
            <w:r w:rsidRPr="00582785">
              <w:rPr>
                <w:rFonts w:ascii="Times New Roman" w:eastAsia="SimSun" w:hAnsi="Times New Roman"/>
                <w:sz w:val="18"/>
                <w:szCs w:val="18"/>
                <w:lang w:val="fr-FR" w:eastAsia="zh-CN"/>
              </w:rPr>
              <w:t>sur le projet de</w:t>
            </w:r>
            <w:r w:rsidRPr="00582785">
              <w:rPr>
                <w:rFonts w:ascii="Times New Roman" w:hAnsi="Times New Roman"/>
                <w:sz w:val="18"/>
                <w:szCs w:val="18"/>
                <w:lang w:val="fr-FR"/>
              </w:rPr>
              <w:t xml:space="preserve"> résumé à l’intention des décideurs</w:t>
            </w:r>
            <w:r w:rsidR="00E65B1B" w:rsidRPr="00582785">
              <w:rPr>
                <w:rFonts w:ascii="Times New Roman" w:eastAsia="SimSun" w:hAnsi="Times New Roman"/>
                <w:sz w:val="18"/>
                <w:szCs w:val="18"/>
                <w:lang w:val="fr-FR" w:eastAsia="zh-CN"/>
              </w:rPr>
              <w:t xml:space="preserve"> </w:t>
            </w:r>
            <w:r w:rsidR="005926C2" w:rsidRPr="00582785">
              <w:rPr>
                <w:rFonts w:ascii="Times New Roman" w:eastAsia="SimSun" w:hAnsi="Times New Roman"/>
                <w:sz w:val="18"/>
                <w:szCs w:val="18"/>
                <w:lang w:val="fr-FR" w:eastAsia="zh-CN"/>
              </w:rPr>
              <w:t>s</w:t>
            </w:r>
            <w:r w:rsidRPr="00582785">
              <w:rPr>
                <w:rFonts w:ascii="Times New Roman" w:eastAsia="SimSun" w:hAnsi="Times New Roman"/>
                <w:sz w:val="18"/>
                <w:szCs w:val="18"/>
                <w:lang w:val="fr-FR" w:eastAsia="zh-CN"/>
              </w:rPr>
              <w:t>ont fortement encouragées. Ces observations doivent être soumises au se</w:t>
            </w:r>
            <w:r w:rsidR="00E65B1B" w:rsidRPr="00582785">
              <w:rPr>
                <w:rFonts w:ascii="Times New Roman" w:eastAsia="SimSun" w:hAnsi="Times New Roman"/>
                <w:sz w:val="18"/>
                <w:szCs w:val="18"/>
                <w:lang w:val="fr-FR" w:eastAsia="zh-CN"/>
              </w:rPr>
              <w:t>cr</w:t>
            </w:r>
            <w:r w:rsidRPr="00582785">
              <w:rPr>
                <w:rFonts w:ascii="Times New Roman" w:eastAsia="SimSun" w:hAnsi="Times New Roman"/>
                <w:sz w:val="18"/>
                <w:szCs w:val="18"/>
                <w:lang w:val="fr-FR" w:eastAsia="zh-CN"/>
              </w:rPr>
              <w:t>é</w:t>
            </w:r>
            <w:r w:rsidR="00E65B1B" w:rsidRPr="00582785">
              <w:rPr>
                <w:rFonts w:ascii="Times New Roman" w:eastAsia="SimSun" w:hAnsi="Times New Roman"/>
                <w:sz w:val="18"/>
                <w:szCs w:val="18"/>
                <w:lang w:val="fr-FR" w:eastAsia="zh-CN"/>
              </w:rPr>
              <w:t xml:space="preserve">tariat </w:t>
            </w:r>
            <w:r w:rsidRPr="00582785">
              <w:rPr>
                <w:rFonts w:ascii="Times New Roman" w:eastAsia="SimSun" w:hAnsi="Times New Roman"/>
                <w:sz w:val="18"/>
                <w:szCs w:val="18"/>
                <w:lang w:val="fr-FR" w:eastAsia="zh-CN"/>
              </w:rPr>
              <w:t>une semaine avant la quatrième session de la Plénière</w:t>
            </w:r>
            <w:r w:rsidR="00E65B1B" w:rsidRPr="00582785">
              <w:rPr>
                <w:rFonts w:ascii="Times New Roman" w:eastAsia="SimSun" w:hAnsi="Times New Roman"/>
                <w:sz w:val="18"/>
                <w:szCs w:val="18"/>
                <w:lang w:val="fr-FR" w:eastAsia="zh-CN"/>
              </w:rPr>
              <w:t>.</w:t>
            </w:r>
          </w:p>
        </w:tc>
      </w:tr>
      <w:tr w:rsidR="00E65B1B" w:rsidRPr="00582785" w:rsidTr="00762016">
        <w:trPr>
          <w:trHeight w:val="24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5B1B" w:rsidRPr="00582785" w:rsidRDefault="00E65B1B" w:rsidP="00F32A2A">
            <w:pPr>
              <w:keepLines/>
              <w:tabs>
                <w:tab w:val="left" w:pos="426"/>
                <w:tab w:val="num" w:pos="1353"/>
              </w:tabs>
              <w:autoSpaceDE w:val="0"/>
              <w:autoSpaceDN w:val="0"/>
              <w:adjustRightInd w:val="0"/>
              <w:spacing w:after="120" w:line="240" w:lineRule="auto"/>
              <w:jc w:val="center"/>
              <w:rPr>
                <w:rFonts w:ascii="Times New Roman" w:eastAsia="SimSun" w:hAnsi="Times New Roman"/>
                <w:sz w:val="19"/>
                <w:szCs w:val="19"/>
                <w:lang w:val="fr-FR"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5B1B" w:rsidRPr="00582785" w:rsidRDefault="00D37E95" w:rsidP="00F32A2A">
            <w:pPr>
              <w:keepLines/>
              <w:tabs>
                <w:tab w:val="left" w:pos="426"/>
                <w:tab w:val="num" w:pos="1353"/>
              </w:tabs>
              <w:autoSpaceDE w:val="0"/>
              <w:autoSpaceDN w:val="0"/>
              <w:adjustRightInd w:val="0"/>
              <w:spacing w:after="120" w:line="240" w:lineRule="auto"/>
              <w:rPr>
                <w:rFonts w:ascii="Times New Roman" w:eastAsia="SimSun" w:hAnsi="Times New Roman"/>
                <w:sz w:val="19"/>
                <w:szCs w:val="19"/>
                <w:lang w:val="fr-FR" w:eastAsia="zh-CN"/>
              </w:rPr>
            </w:pPr>
            <w:r>
              <w:rPr>
                <w:rFonts w:ascii="Times New Roman" w:eastAsia="SimSun" w:hAnsi="Times New Roman"/>
                <w:sz w:val="19"/>
                <w:szCs w:val="19"/>
                <w:lang w:val="fr-FR" w:eastAsia="zh-CN"/>
              </w:rPr>
              <w:t>Premier trimestre</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E65B1B" w:rsidRPr="00582785" w:rsidRDefault="00E71CBA" w:rsidP="00F32A2A">
            <w:pPr>
              <w:keepLines/>
              <w:tabs>
                <w:tab w:val="left" w:pos="426"/>
                <w:tab w:val="num" w:pos="1353"/>
              </w:tabs>
              <w:autoSpaceDE w:val="0"/>
              <w:autoSpaceDN w:val="0"/>
              <w:adjustRightInd w:val="0"/>
              <w:spacing w:before="20" w:after="20" w:line="240" w:lineRule="auto"/>
              <w:rPr>
                <w:rFonts w:ascii="Times New Roman" w:eastAsia="SimSun" w:hAnsi="Times New Roman"/>
                <w:sz w:val="18"/>
                <w:szCs w:val="18"/>
                <w:lang w:val="fr-FR" w:eastAsia="zh-CN"/>
              </w:rPr>
            </w:pPr>
            <w:r w:rsidRPr="00582785">
              <w:rPr>
                <w:rFonts w:ascii="Times New Roman" w:eastAsia="SimSun" w:hAnsi="Times New Roman"/>
                <w:sz w:val="18"/>
                <w:szCs w:val="18"/>
                <w:lang w:val="fr-FR" w:eastAsia="zh-CN"/>
              </w:rPr>
              <w:t xml:space="preserve">La Plénière examine et accepte le rapport et examine et approuve le </w:t>
            </w:r>
            <w:r w:rsidRPr="00582785">
              <w:rPr>
                <w:rFonts w:ascii="Times New Roman" w:hAnsi="Times New Roman"/>
                <w:sz w:val="18"/>
                <w:szCs w:val="18"/>
                <w:lang w:val="fr-FR"/>
              </w:rPr>
              <w:t>résumé à l’intention des décideurs</w:t>
            </w:r>
            <w:r w:rsidRPr="00582785">
              <w:rPr>
                <w:rFonts w:ascii="Times New Roman" w:eastAsia="SimSun" w:hAnsi="Times New Roman"/>
                <w:sz w:val="18"/>
                <w:szCs w:val="18"/>
                <w:lang w:val="fr-FR" w:eastAsia="zh-CN"/>
              </w:rPr>
              <w:t xml:space="preserve"> à sa quatrième session, en mars </w:t>
            </w:r>
            <w:r w:rsidR="00E65B1B" w:rsidRPr="00582785">
              <w:rPr>
                <w:rFonts w:ascii="Times New Roman" w:eastAsia="SimSun" w:hAnsi="Times New Roman"/>
                <w:sz w:val="18"/>
                <w:szCs w:val="18"/>
                <w:lang w:val="fr-FR" w:eastAsia="zh-CN"/>
              </w:rPr>
              <w:t>2016.</w:t>
            </w:r>
          </w:p>
        </w:tc>
      </w:tr>
    </w:tbl>
    <w:p w:rsidR="00E65B1B" w:rsidRPr="00582785" w:rsidRDefault="00D11D69" w:rsidP="00F32A2A">
      <w:pPr>
        <w:pStyle w:val="CH1"/>
        <w:rPr>
          <w:lang w:val="fr-FR"/>
        </w:rPr>
      </w:pPr>
      <w:r w:rsidRPr="00582785">
        <w:rPr>
          <w:lang w:val="fr-FR"/>
        </w:rPr>
        <w:tab/>
      </w:r>
      <w:r w:rsidR="00CC5BFB" w:rsidRPr="00582785">
        <w:rPr>
          <w:lang w:val="fr-FR"/>
        </w:rPr>
        <w:t>V</w:t>
      </w:r>
      <w:r w:rsidR="00171546" w:rsidRPr="00582785">
        <w:rPr>
          <w:lang w:val="fr-FR"/>
        </w:rPr>
        <w:t>.</w:t>
      </w:r>
      <w:r w:rsidR="00E65B1B" w:rsidRPr="00582785">
        <w:rPr>
          <w:lang w:val="fr-FR"/>
        </w:rPr>
        <w:tab/>
      </w:r>
      <w:r w:rsidR="00E71CBA" w:rsidRPr="00582785">
        <w:rPr>
          <w:lang w:val="fr-FR"/>
        </w:rPr>
        <w:t>Prévisions de coûts</w:t>
      </w:r>
    </w:p>
    <w:p w:rsidR="008F4C39" w:rsidRDefault="000E3446" w:rsidP="00F32A2A">
      <w:pPr>
        <w:pStyle w:val="Normalnumber"/>
        <w:keepNext/>
        <w:keepLines/>
        <w:widowControl w:val="0"/>
        <w:rPr>
          <w:lang w:val="fr-FR"/>
        </w:rPr>
      </w:pPr>
      <w:r>
        <w:rPr>
          <w:lang w:val="fr-FR"/>
        </w:rPr>
        <w:t>Le tableau ci-après indique</w:t>
      </w:r>
      <w:r w:rsidR="00E71CBA" w:rsidRPr="00582785">
        <w:rPr>
          <w:lang w:val="fr-FR"/>
        </w:rPr>
        <w:t xml:space="preserve"> les coûts prévus de la réalisation de l’évaluation thématique et de l’établissement du rapport correspondant</w:t>
      </w:r>
    </w:p>
    <w:p w:rsidR="000249A3" w:rsidRPr="00582785" w:rsidRDefault="008F4C39" w:rsidP="008F4C39">
      <w:pPr>
        <w:pStyle w:val="Normalnumber"/>
        <w:keepNext/>
        <w:keepLines/>
        <w:widowControl w:val="0"/>
        <w:numPr>
          <w:ilvl w:val="0"/>
          <w:numId w:val="0"/>
        </w:numPr>
        <w:ind w:left="1247"/>
        <w:rPr>
          <w:lang w:val="fr-FR"/>
        </w:rPr>
      </w:pPr>
      <w:r>
        <w:rPr>
          <w:lang w:val="fr-FR"/>
        </w:rPr>
        <w:tab/>
      </w:r>
      <w:r w:rsidR="000E3446">
        <w:rPr>
          <w:lang w:val="fr-FR"/>
        </w:rPr>
        <w:t>(en dollars)</w:t>
      </w:r>
      <w:r w:rsidR="00E71CBA" w:rsidRPr="00582785">
        <w:rPr>
          <w:lang w:val="fr-FR"/>
        </w:rPr>
        <w:t>.</w:t>
      </w:r>
    </w:p>
    <w:tbl>
      <w:tblPr>
        <w:tblW w:w="808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3969"/>
        <w:gridCol w:w="993"/>
      </w:tblGrid>
      <w:tr w:rsidR="00E65B1B" w:rsidRPr="00582785" w:rsidTr="000E3446">
        <w:tc>
          <w:tcPr>
            <w:tcW w:w="851" w:type="dxa"/>
          </w:tcPr>
          <w:p w:rsidR="00E65B1B" w:rsidRPr="00582785" w:rsidRDefault="00E71CBA" w:rsidP="00F32A2A">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b/>
                <w:sz w:val="19"/>
                <w:szCs w:val="19"/>
                <w:lang w:val="fr-FR" w:eastAsia="zh-CN"/>
              </w:rPr>
            </w:pPr>
            <w:r w:rsidRPr="00582785">
              <w:rPr>
                <w:rFonts w:ascii="Times New Roman" w:eastAsia="SimSun" w:hAnsi="Times New Roman"/>
                <w:b/>
                <w:sz w:val="19"/>
                <w:szCs w:val="19"/>
                <w:lang w:val="fr-FR" w:eastAsia="zh-CN"/>
              </w:rPr>
              <w:t>Année</w:t>
            </w:r>
          </w:p>
        </w:tc>
        <w:tc>
          <w:tcPr>
            <w:tcW w:w="2268" w:type="dxa"/>
          </w:tcPr>
          <w:p w:rsidR="00E65B1B" w:rsidRPr="00582785" w:rsidRDefault="00E71CBA" w:rsidP="00F32A2A">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b/>
                <w:sz w:val="19"/>
                <w:szCs w:val="19"/>
                <w:lang w:val="fr-FR" w:eastAsia="zh-CN"/>
              </w:rPr>
              <w:t>Poste de dépenses</w:t>
            </w:r>
          </w:p>
        </w:tc>
        <w:tc>
          <w:tcPr>
            <w:tcW w:w="3969" w:type="dxa"/>
          </w:tcPr>
          <w:p w:rsidR="00E65B1B" w:rsidRPr="00582785" w:rsidRDefault="00E71CBA" w:rsidP="00F32A2A">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b/>
                <w:sz w:val="19"/>
                <w:szCs w:val="19"/>
                <w:lang w:val="fr-FR" w:eastAsia="zh-CN"/>
              </w:rPr>
              <w:t>Hypothèses</w:t>
            </w:r>
          </w:p>
        </w:tc>
        <w:tc>
          <w:tcPr>
            <w:tcW w:w="993" w:type="dxa"/>
          </w:tcPr>
          <w:p w:rsidR="00E65B1B" w:rsidRPr="00582785" w:rsidRDefault="00E65B1B" w:rsidP="00F32A2A">
            <w:pPr>
              <w:pStyle w:val="ListParagraph"/>
              <w:keepNext/>
              <w:keepLines/>
              <w:tabs>
                <w:tab w:val="left" w:pos="426"/>
              </w:tabs>
              <w:autoSpaceDE w:val="0"/>
              <w:autoSpaceDN w:val="0"/>
              <w:adjustRightInd w:val="0"/>
              <w:spacing w:before="60" w:after="60" w:line="240" w:lineRule="auto"/>
              <w:ind w:left="0"/>
              <w:contextualSpacing w:val="0"/>
              <w:jc w:val="right"/>
              <w:rPr>
                <w:rFonts w:ascii="Times New Roman" w:eastAsia="SimSun" w:hAnsi="Times New Roman"/>
                <w:sz w:val="19"/>
                <w:szCs w:val="19"/>
                <w:lang w:val="fr-FR" w:eastAsia="zh-CN"/>
              </w:rPr>
            </w:pPr>
            <w:r w:rsidRPr="00582785">
              <w:rPr>
                <w:rFonts w:ascii="Times New Roman" w:eastAsia="SimSun" w:hAnsi="Times New Roman"/>
                <w:b/>
                <w:sz w:val="19"/>
                <w:szCs w:val="19"/>
                <w:lang w:val="fr-FR" w:eastAsia="zh-CN"/>
              </w:rPr>
              <w:t>Co</w:t>
            </w:r>
            <w:r w:rsidR="00E71CBA" w:rsidRPr="00582785">
              <w:rPr>
                <w:rFonts w:ascii="Times New Roman" w:eastAsia="SimSun" w:hAnsi="Times New Roman"/>
                <w:b/>
                <w:sz w:val="19"/>
                <w:szCs w:val="19"/>
                <w:lang w:val="fr-FR" w:eastAsia="zh-CN"/>
              </w:rPr>
              <w:t>ût</w:t>
            </w:r>
          </w:p>
        </w:tc>
      </w:tr>
      <w:tr w:rsidR="00E65B1B" w:rsidRPr="00582785" w:rsidTr="000E3446">
        <w:tc>
          <w:tcPr>
            <w:tcW w:w="851" w:type="dxa"/>
            <w:vMerge w:val="restart"/>
            <w:vAlign w:val="center"/>
          </w:tcPr>
          <w:p w:rsidR="00E65B1B" w:rsidRPr="00582785" w:rsidRDefault="00E65B1B" w:rsidP="00F32A2A">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2014</w:t>
            </w:r>
          </w:p>
        </w:tc>
        <w:tc>
          <w:tcPr>
            <w:tcW w:w="2268" w:type="dxa"/>
            <w:vMerge w:val="restart"/>
            <w:vAlign w:val="center"/>
          </w:tcPr>
          <w:p w:rsidR="00E65B1B" w:rsidRPr="00582785" w:rsidRDefault="002E0F07" w:rsidP="00F32A2A">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r w:rsidRPr="00582785">
              <w:rPr>
                <w:rFonts w:ascii="Times New Roman" w:eastAsia="SimSun" w:hAnsi="Times New Roman"/>
                <w:sz w:val="18"/>
                <w:szCs w:val="18"/>
                <w:lang w:val="fr-FR" w:eastAsia="zh-CN"/>
              </w:rPr>
              <w:t>Réunion de cadrage</w:t>
            </w:r>
            <w:r w:rsidR="00E65B1B" w:rsidRPr="00582785">
              <w:rPr>
                <w:rFonts w:ascii="Times New Roman" w:eastAsia="SimSun" w:hAnsi="Times New Roman"/>
                <w:sz w:val="18"/>
                <w:szCs w:val="18"/>
                <w:lang w:val="fr-FR" w:eastAsia="zh-CN"/>
              </w:rPr>
              <w:t xml:space="preserve"> (40 participants</w:t>
            </w:r>
            <w:r w:rsidRPr="00582785">
              <w:rPr>
                <w:rFonts w:ascii="Times New Roman" w:eastAsia="SimSun" w:hAnsi="Times New Roman"/>
                <w:sz w:val="18"/>
                <w:szCs w:val="18"/>
                <w:lang w:val="fr-FR" w:eastAsia="zh-CN"/>
              </w:rPr>
              <w:t> </w:t>
            </w:r>
            <w:r w:rsidR="00E65B1B" w:rsidRPr="00582785">
              <w:rPr>
                <w:rFonts w:ascii="Times New Roman" w:eastAsia="SimSun" w:hAnsi="Times New Roman"/>
                <w:sz w:val="18"/>
                <w:szCs w:val="18"/>
                <w:lang w:val="fr-FR" w:eastAsia="zh-CN"/>
              </w:rPr>
              <w:t xml:space="preserve">: </w:t>
            </w:r>
            <w:r w:rsidRPr="00582785">
              <w:rPr>
                <w:rFonts w:ascii="Times New Roman" w:eastAsia="SimSun" w:hAnsi="Times New Roman"/>
                <w:sz w:val="18"/>
                <w:szCs w:val="18"/>
                <w:lang w:val="fr-FR" w:eastAsia="zh-CN"/>
              </w:rPr>
              <w:t>Groupe d’experts multidisciplinaire</w:t>
            </w:r>
            <w:r w:rsidR="00E65B1B" w:rsidRPr="00582785">
              <w:rPr>
                <w:rFonts w:ascii="Times New Roman" w:eastAsia="SimSun" w:hAnsi="Times New Roman"/>
                <w:sz w:val="18"/>
                <w:szCs w:val="18"/>
                <w:lang w:val="fr-FR" w:eastAsia="zh-CN"/>
              </w:rPr>
              <w:t>/</w:t>
            </w:r>
            <w:r w:rsidR="000E3446">
              <w:rPr>
                <w:rFonts w:ascii="Times New Roman" w:eastAsia="SimSun" w:hAnsi="Times New Roman"/>
                <w:sz w:val="18"/>
                <w:szCs w:val="18"/>
                <w:lang w:val="fr-FR" w:eastAsia="zh-CN"/>
              </w:rPr>
              <w:t xml:space="preserve">membres du </w:t>
            </w:r>
            <w:r w:rsidR="00E65B1B" w:rsidRPr="00582785">
              <w:rPr>
                <w:rFonts w:ascii="Times New Roman" w:eastAsia="SimSun" w:hAnsi="Times New Roman"/>
                <w:sz w:val="18"/>
                <w:szCs w:val="18"/>
                <w:lang w:val="fr-FR" w:eastAsia="zh-CN"/>
              </w:rPr>
              <w:t>Bureau + experts)</w:t>
            </w:r>
          </w:p>
        </w:tc>
        <w:tc>
          <w:tcPr>
            <w:tcW w:w="3969" w:type="dxa"/>
          </w:tcPr>
          <w:p w:rsidR="00E65B1B" w:rsidRPr="00582785" w:rsidRDefault="002E0F07" w:rsidP="00F32A2A">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r w:rsidRPr="00582785">
              <w:rPr>
                <w:rFonts w:ascii="Times New Roman" w:eastAsia="SimSun" w:hAnsi="Times New Roman"/>
                <w:sz w:val="18"/>
                <w:szCs w:val="18"/>
                <w:lang w:val="fr-FR" w:eastAsia="zh-CN"/>
              </w:rPr>
              <w:t>Coûts de la réunion</w:t>
            </w:r>
            <w:r w:rsidR="00E65B1B" w:rsidRPr="00582785">
              <w:rPr>
                <w:rFonts w:ascii="Times New Roman" w:eastAsia="SimSun" w:hAnsi="Times New Roman"/>
                <w:sz w:val="18"/>
                <w:szCs w:val="18"/>
                <w:lang w:val="fr-FR" w:eastAsia="zh-CN"/>
              </w:rPr>
              <w:t xml:space="preserve"> (1</w:t>
            </w:r>
            <w:r w:rsidRPr="00582785">
              <w:rPr>
                <w:rFonts w:ascii="Times New Roman" w:eastAsia="SimSun" w:hAnsi="Times New Roman"/>
                <w:sz w:val="18"/>
                <w:szCs w:val="18"/>
                <w:lang w:val="fr-FR" w:eastAsia="zh-CN"/>
              </w:rPr>
              <w:t> semaine</w:t>
            </w:r>
            <w:r w:rsidR="00E65B1B" w:rsidRPr="00582785">
              <w:rPr>
                <w:rFonts w:ascii="Times New Roman" w:eastAsia="SimSun" w:hAnsi="Times New Roman"/>
                <w:sz w:val="18"/>
                <w:szCs w:val="18"/>
                <w:lang w:val="fr-FR" w:eastAsia="zh-CN"/>
              </w:rPr>
              <w:t>, 40</w:t>
            </w:r>
            <w:r w:rsidRPr="00582785">
              <w:rPr>
                <w:rFonts w:ascii="Times New Roman" w:eastAsia="SimSun" w:hAnsi="Times New Roman"/>
                <w:sz w:val="18"/>
                <w:szCs w:val="18"/>
                <w:lang w:val="fr-FR" w:eastAsia="zh-CN"/>
              </w:rPr>
              <w:t> </w:t>
            </w:r>
            <w:r w:rsidR="00E65B1B" w:rsidRPr="00582785">
              <w:rPr>
                <w:rFonts w:ascii="Times New Roman" w:eastAsia="SimSun" w:hAnsi="Times New Roman"/>
                <w:sz w:val="18"/>
                <w:szCs w:val="18"/>
                <w:lang w:val="fr-FR" w:eastAsia="zh-CN"/>
              </w:rPr>
              <w:t>participants) (25</w:t>
            </w:r>
            <w:r w:rsidRPr="00582785">
              <w:rPr>
                <w:rFonts w:ascii="Times New Roman" w:eastAsia="SimSun" w:hAnsi="Times New Roman"/>
                <w:sz w:val="18"/>
                <w:szCs w:val="18"/>
                <w:lang w:val="fr-FR" w:eastAsia="zh-CN"/>
              </w:rPr>
              <w:t> % en nature)</w:t>
            </w:r>
          </w:p>
        </w:tc>
        <w:tc>
          <w:tcPr>
            <w:tcW w:w="993" w:type="dxa"/>
          </w:tcPr>
          <w:p w:rsidR="00E65B1B" w:rsidRPr="00582785" w:rsidRDefault="00E65B1B" w:rsidP="00F32A2A">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11</w:t>
            </w:r>
            <w:r w:rsidR="002E0F07" w:rsidRPr="00582785">
              <w:rPr>
                <w:rFonts w:ascii="Times New Roman" w:eastAsia="SimSun" w:hAnsi="Times New Roman"/>
                <w:sz w:val="19"/>
                <w:szCs w:val="19"/>
                <w:lang w:val="fr-FR" w:eastAsia="zh-CN"/>
              </w:rPr>
              <w:t> </w:t>
            </w:r>
            <w:r w:rsidRPr="00582785">
              <w:rPr>
                <w:rFonts w:ascii="Times New Roman" w:eastAsia="SimSun" w:hAnsi="Times New Roman"/>
                <w:sz w:val="19"/>
                <w:szCs w:val="19"/>
                <w:lang w:val="fr-FR" w:eastAsia="zh-CN"/>
              </w:rPr>
              <w:t>250</w:t>
            </w:r>
          </w:p>
        </w:tc>
      </w:tr>
      <w:tr w:rsidR="00E65B1B" w:rsidRPr="00582785" w:rsidTr="000E3446">
        <w:trPr>
          <w:trHeight w:val="187"/>
        </w:trPr>
        <w:tc>
          <w:tcPr>
            <w:tcW w:w="851" w:type="dxa"/>
            <w:vMerge/>
            <w:vAlign w:val="center"/>
          </w:tcPr>
          <w:p w:rsidR="00E65B1B" w:rsidRPr="00582785" w:rsidRDefault="00E65B1B" w:rsidP="00F32A2A">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p>
        </w:tc>
        <w:tc>
          <w:tcPr>
            <w:tcW w:w="2268" w:type="dxa"/>
            <w:vMerge/>
            <w:vAlign w:val="center"/>
          </w:tcPr>
          <w:p w:rsidR="00E65B1B" w:rsidRPr="00582785" w:rsidRDefault="00E65B1B" w:rsidP="00F32A2A">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p>
        </w:tc>
        <w:tc>
          <w:tcPr>
            <w:tcW w:w="3969" w:type="dxa"/>
          </w:tcPr>
          <w:p w:rsidR="00E65B1B" w:rsidRPr="00582785" w:rsidRDefault="002E0F07" w:rsidP="00F32A2A">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r w:rsidRPr="00582785">
              <w:rPr>
                <w:rFonts w:ascii="Times New Roman" w:eastAsia="SimSun" w:hAnsi="Times New Roman"/>
                <w:sz w:val="18"/>
                <w:szCs w:val="18"/>
                <w:lang w:val="fr-FR" w:eastAsia="zh-CN"/>
              </w:rPr>
              <w:t xml:space="preserve">Voyage et indemnité journalière de subsistance </w:t>
            </w:r>
            <w:r w:rsidR="000E3446">
              <w:rPr>
                <w:rFonts w:ascii="Times New Roman" w:eastAsia="SimSun" w:hAnsi="Times New Roman"/>
                <w:sz w:val="18"/>
                <w:szCs w:val="18"/>
                <w:lang w:val="fr-FR" w:eastAsia="zh-CN"/>
              </w:rPr>
              <w:t>(30 </w:t>
            </w:r>
            <w:r w:rsidR="00E65B1B" w:rsidRPr="00582785">
              <w:rPr>
                <w:rFonts w:ascii="Times New Roman" w:eastAsia="SimSun" w:hAnsi="Times New Roman"/>
                <w:sz w:val="18"/>
                <w:szCs w:val="18"/>
                <w:lang w:val="fr-FR" w:eastAsia="zh-CN"/>
              </w:rPr>
              <w:t>x 3</w:t>
            </w:r>
            <w:r w:rsidRPr="00582785">
              <w:rPr>
                <w:rFonts w:ascii="Times New Roman" w:eastAsia="SimSun" w:hAnsi="Times New Roman"/>
                <w:sz w:val="18"/>
                <w:szCs w:val="18"/>
                <w:lang w:val="fr-FR" w:eastAsia="zh-CN"/>
              </w:rPr>
              <w:t> </w:t>
            </w:r>
            <w:r w:rsidR="00E65B1B" w:rsidRPr="00582785">
              <w:rPr>
                <w:rFonts w:ascii="Times New Roman" w:eastAsia="SimSun" w:hAnsi="Times New Roman"/>
                <w:sz w:val="18"/>
                <w:szCs w:val="18"/>
                <w:lang w:val="fr-FR" w:eastAsia="zh-CN"/>
              </w:rPr>
              <w:t>000</w:t>
            </w:r>
            <w:r w:rsidRPr="00582785">
              <w:rPr>
                <w:rFonts w:ascii="Times New Roman" w:eastAsia="SimSun" w:hAnsi="Times New Roman"/>
                <w:sz w:val="18"/>
                <w:szCs w:val="18"/>
                <w:lang w:val="fr-FR" w:eastAsia="zh-CN"/>
              </w:rPr>
              <w:t xml:space="preserve"> dollars</w:t>
            </w:r>
            <w:r w:rsidR="00E65B1B" w:rsidRPr="00582785">
              <w:rPr>
                <w:rFonts w:ascii="Times New Roman" w:eastAsia="SimSun" w:hAnsi="Times New Roman"/>
                <w:sz w:val="18"/>
                <w:szCs w:val="18"/>
                <w:lang w:val="fr-FR" w:eastAsia="zh-CN"/>
              </w:rPr>
              <w:t>)</w:t>
            </w:r>
          </w:p>
        </w:tc>
        <w:tc>
          <w:tcPr>
            <w:tcW w:w="993" w:type="dxa"/>
          </w:tcPr>
          <w:p w:rsidR="00E65B1B" w:rsidRPr="00582785" w:rsidRDefault="00E65B1B" w:rsidP="00F32A2A">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90</w:t>
            </w:r>
            <w:r w:rsidR="002E0F07" w:rsidRPr="00582785">
              <w:rPr>
                <w:rFonts w:ascii="Times New Roman" w:eastAsia="SimSun" w:hAnsi="Times New Roman"/>
                <w:sz w:val="19"/>
                <w:szCs w:val="19"/>
                <w:lang w:val="fr-FR" w:eastAsia="zh-CN"/>
              </w:rPr>
              <w:t> </w:t>
            </w:r>
            <w:r w:rsidRPr="00582785">
              <w:rPr>
                <w:rFonts w:ascii="Times New Roman" w:eastAsia="SimSun" w:hAnsi="Times New Roman"/>
                <w:sz w:val="19"/>
                <w:szCs w:val="19"/>
                <w:lang w:val="fr-FR" w:eastAsia="zh-CN"/>
              </w:rPr>
              <w:t>000</w:t>
            </w:r>
          </w:p>
        </w:tc>
      </w:tr>
      <w:tr w:rsidR="00E65B1B" w:rsidRPr="00582785" w:rsidTr="000E3446">
        <w:tc>
          <w:tcPr>
            <w:tcW w:w="851" w:type="dxa"/>
            <w:vMerge/>
            <w:vAlign w:val="center"/>
          </w:tcPr>
          <w:p w:rsidR="00E65B1B" w:rsidRPr="00582785" w:rsidRDefault="00E65B1B" w:rsidP="00F32A2A">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p>
        </w:tc>
        <w:tc>
          <w:tcPr>
            <w:tcW w:w="2268" w:type="dxa"/>
            <w:vMerge w:val="restart"/>
            <w:vAlign w:val="center"/>
          </w:tcPr>
          <w:p w:rsidR="00E65B1B" w:rsidRPr="00582785" w:rsidRDefault="002E0F07" w:rsidP="00F32A2A">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r w:rsidRPr="00582785">
              <w:rPr>
                <w:rFonts w:ascii="Times New Roman" w:eastAsia="SimSun" w:hAnsi="Times New Roman"/>
                <w:sz w:val="18"/>
                <w:szCs w:val="18"/>
                <w:lang w:val="fr-FR" w:eastAsia="zh-CN"/>
              </w:rPr>
              <w:t>Première réunion des auteurs (90 coprésidents, auteurs coordonnateurs principaux et auteurs principaux + 4 membres du Groupe d’experts multidisciplinaire/</w:t>
            </w:r>
            <w:r w:rsidR="000E3446">
              <w:rPr>
                <w:rFonts w:ascii="Times New Roman" w:eastAsia="SimSun" w:hAnsi="Times New Roman"/>
                <w:sz w:val="18"/>
                <w:szCs w:val="18"/>
                <w:lang w:val="fr-FR" w:eastAsia="zh-CN"/>
              </w:rPr>
              <w:t xml:space="preserve">membres du </w:t>
            </w:r>
            <w:r w:rsidRPr="00582785">
              <w:rPr>
                <w:rFonts w:ascii="Times New Roman" w:eastAsia="SimSun" w:hAnsi="Times New Roman"/>
                <w:sz w:val="18"/>
                <w:szCs w:val="18"/>
                <w:lang w:val="fr-FR" w:eastAsia="zh-CN"/>
              </w:rPr>
              <w:t>Bureau +1 agent des services d’appui technique)</w:t>
            </w:r>
          </w:p>
        </w:tc>
        <w:tc>
          <w:tcPr>
            <w:tcW w:w="3969" w:type="dxa"/>
          </w:tcPr>
          <w:p w:rsidR="00E65B1B" w:rsidRPr="00582785" w:rsidRDefault="002E0F07" w:rsidP="00F32A2A">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r w:rsidRPr="00582785">
              <w:rPr>
                <w:rFonts w:ascii="Times New Roman" w:eastAsia="SimSun" w:hAnsi="Times New Roman"/>
                <w:sz w:val="18"/>
                <w:szCs w:val="18"/>
                <w:lang w:val="fr-FR" w:eastAsia="zh-CN"/>
              </w:rPr>
              <w:t>Coûts de la réunion (1 semaine, 95 participants) (25 % en nature)</w:t>
            </w:r>
          </w:p>
        </w:tc>
        <w:tc>
          <w:tcPr>
            <w:tcW w:w="993" w:type="dxa"/>
          </w:tcPr>
          <w:p w:rsidR="00E65B1B" w:rsidRPr="00582785" w:rsidRDefault="00E65B1B" w:rsidP="00F32A2A">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18</w:t>
            </w:r>
            <w:r w:rsidR="002E0F07" w:rsidRPr="00582785">
              <w:rPr>
                <w:rFonts w:ascii="Times New Roman" w:eastAsia="SimSun" w:hAnsi="Times New Roman"/>
                <w:sz w:val="19"/>
                <w:szCs w:val="19"/>
                <w:lang w:val="fr-FR" w:eastAsia="zh-CN"/>
              </w:rPr>
              <w:t> </w:t>
            </w:r>
            <w:r w:rsidRPr="00582785">
              <w:rPr>
                <w:rFonts w:ascii="Times New Roman" w:eastAsia="SimSun" w:hAnsi="Times New Roman"/>
                <w:sz w:val="19"/>
                <w:szCs w:val="19"/>
                <w:lang w:val="fr-FR" w:eastAsia="zh-CN"/>
              </w:rPr>
              <w:t>750</w:t>
            </w:r>
          </w:p>
        </w:tc>
      </w:tr>
      <w:tr w:rsidR="00E65B1B" w:rsidRPr="00582785" w:rsidTr="000E3446">
        <w:trPr>
          <w:trHeight w:val="339"/>
        </w:trPr>
        <w:tc>
          <w:tcPr>
            <w:tcW w:w="851" w:type="dxa"/>
            <w:vMerge/>
            <w:vAlign w:val="center"/>
          </w:tcPr>
          <w:p w:rsidR="00E65B1B" w:rsidRPr="00582785" w:rsidRDefault="00E65B1B" w:rsidP="00F32A2A">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p>
        </w:tc>
        <w:tc>
          <w:tcPr>
            <w:tcW w:w="2268" w:type="dxa"/>
            <w:vMerge/>
            <w:tcBorders>
              <w:bottom w:val="single" w:sz="4" w:space="0" w:color="auto"/>
            </w:tcBorders>
            <w:vAlign w:val="center"/>
          </w:tcPr>
          <w:p w:rsidR="00E65B1B" w:rsidRPr="00582785" w:rsidRDefault="00E65B1B" w:rsidP="00F32A2A">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p>
        </w:tc>
        <w:tc>
          <w:tcPr>
            <w:tcW w:w="3969" w:type="dxa"/>
            <w:tcBorders>
              <w:bottom w:val="single" w:sz="4" w:space="0" w:color="auto"/>
            </w:tcBorders>
          </w:tcPr>
          <w:p w:rsidR="00E65B1B" w:rsidRPr="00582785" w:rsidRDefault="002E0F07" w:rsidP="00F32A2A">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8"/>
                <w:szCs w:val="18"/>
                <w:lang w:val="fr-FR" w:eastAsia="zh-CN"/>
              </w:rPr>
            </w:pPr>
            <w:r w:rsidRPr="00582785">
              <w:rPr>
                <w:rFonts w:ascii="Times New Roman" w:eastAsia="SimSun" w:hAnsi="Times New Roman"/>
                <w:sz w:val="18"/>
                <w:szCs w:val="18"/>
                <w:lang w:val="fr-FR" w:eastAsia="zh-CN"/>
              </w:rPr>
              <w:t xml:space="preserve">Voyage et indemnité journalière de subsistance </w:t>
            </w:r>
            <w:r w:rsidR="000E3446">
              <w:rPr>
                <w:rFonts w:ascii="Times New Roman" w:eastAsia="SimSun" w:hAnsi="Times New Roman"/>
                <w:sz w:val="18"/>
                <w:szCs w:val="18"/>
                <w:lang w:val="fr-FR" w:eastAsia="zh-CN"/>
              </w:rPr>
              <w:t>(71 </w:t>
            </w:r>
            <w:r w:rsidR="00E65B1B" w:rsidRPr="00582785">
              <w:rPr>
                <w:rFonts w:ascii="Times New Roman" w:eastAsia="SimSun" w:hAnsi="Times New Roman"/>
                <w:sz w:val="18"/>
                <w:szCs w:val="18"/>
                <w:lang w:val="fr-FR" w:eastAsia="zh-CN"/>
              </w:rPr>
              <w:t>x 3</w:t>
            </w:r>
            <w:r w:rsidRPr="00582785">
              <w:rPr>
                <w:rFonts w:ascii="Times New Roman" w:eastAsia="SimSun" w:hAnsi="Times New Roman"/>
                <w:sz w:val="18"/>
                <w:szCs w:val="18"/>
                <w:lang w:val="fr-FR" w:eastAsia="zh-CN"/>
              </w:rPr>
              <w:t> </w:t>
            </w:r>
            <w:r w:rsidR="00E65B1B" w:rsidRPr="00582785">
              <w:rPr>
                <w:rFonts w:ascii="Times New Roman" w:eastAsia="SimSun" w:hAnsi="Times New Roman"/>
                <w:sz w:val="18"/>
                <w:szCs w:val="18"/>
                <w:lang w:val="fr-FR" w:eastAsia="zh-CN"/>
              </w:rPr>
              <w:t>000</w:t>
            </w:r>
            <w:r w:rsidRPr="00582785">
              <w:rPr>
                <w:rFonts w:ascii="Times New Roman" w:eastAsia="SimSun" w:hAnsi="Times New Roman"/>
                <w:sz w:val="18"/>
                <w:szCs w:val="18"/>
                <w:lang w:val="fr-FR" w:eastAsia="zh-CN"/>
              </w:rPr>
              <w:t> dollars</w:t>
            </w:r>
            <w:r w:rsidR="00E65B1B" w:rsidRPr="00582785">
              <w:rPr>
                <w:rFonts w:ascii="Times New Roman" w:eastAsia="SimSun" w:hAnsi="Times New Roman"/>
                <w:sz w:val="18"/>
                <w:szCs w:val="18"/>
                <w:lang w:val="fr-FR" w:eastAsia="zh-CN"/>
              </w:rPr>
              <w:t>)</w:t>
            </w:r>
          </w:p>
        </w:tc>
        <w:tc>
          <w:tcPr>
            <w:tcW w:w="993" w:type="dxa"/>
            <w:tcBorders>
              <w:bottom w:val="single" w:sz="4" w:space="0" w:color="auto"/>
            </w:tcBorders>
          </w:tcPr>
          <w:p w:rsidR="00E65B1B" w:rsidRPr="00582785" w:rsidRDefault="00E65B1B" w:rsidP="00F32A2A">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180</w:t>
            </w:r>
            <w:r w:rsidR="002E0F07" w:rsidRPr="00582785">
              <w:rPr>
                <w:rFonts w:ascii="Times New Roman" w:eastAsia="SimSun" w:hAnsi="Times New Roman"/>
                <w:sz w:val="19"/>
                <w:szCs w:val="19"/>
                <w:lang w:val="fr-FR" w:eastAsia="zh-CN"/>
              </w:rPr>
              <w:t> </w:t>
            </w:r>
            <w:r w:rsidRPr="00582785">
              <w:rPr>
                <w:rFonts w:ascii="Times New Roman" w:eastAsia="SimSun" w:hAnsi="Times New Roman"/>
                <w:sz w:val="19"/>
                <w:szCs w:val="19"/>
                <w:lang w:val="fr-FR" w:eastAsia="zh-CN"/>
              </w:rPr>
              <w:t>000</w:t>
            </w:r>
          </w:p>
        </w:tc>
      </w:tr>
      <w:tr w:rsidR="00E65B1B" w:rsidRPr="00582785" w:rsidTr="000E3446">
        <w:trPr>
          <w:trHeight w:val="361"/>
        </w:trPr>
        <w:tc>
          <w:tcPr>
            <w:tcW w:w="851" w:type="dxa"/>
            <w:vMerge/>
            <w:tcBorders>
              <w:bottom w:val="single" w:sz="4" w:space="0" w:color="auto"/>
            </w:tcBorders>
            <w:vAlign w:val="center"/>
          </w:tcPr>
          <w:p w:rsidR="00E65B1B" w:rsidRPr="00582785" w:rsidRDefault="00E65B1B" w:rsidP="00F32A2A">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p>
        </w:tc>
        <w:tc>
          <w:tcPr>
            <w:tcW w:w="2268" w:type="dxa"/>
            <w:vAlign w:val="center"/>
          </w:tcPr>
          <w:p w:rsidR="00E65B1B" w:rsidRPr="00582785" w:rsidRDefault="002E0F07" w:rsidP="00F32A2A">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Appui technique</w:t>
            </w:r>
          </w:p>
        </w:tc>
        <w:tc>
          <w:tcPr>
            <w:tcW w:w="3969" w:type="dxa"/>
          </w:tcPr>
          <w:p w:rsidR="00E65B1B" w:rsidRPr="00582785" w:rsidRDefault="002E0F07" w:rsidP="00F32A2A">
            <w:pPr>
              <w:pStyle w:val="ListParagraph"/>
              <w:keepNext/>
              <w:keepLines/>
              <w:tabs>
                <w:tab w:val="left" w:pos="426"/>
              </w:tabs>
              <w:autoSpaceDE w:val="0"/>
              <w:autoSpaceDN w:val="0"/>
              <w:adjustRightInd w:val="0"/>
              <w:spacing w:before="40" w:after="40" w:line="240" w:lineRule="auto"/>
              <w:ind w:left="0"/>
              <w:rPr>
                <w:rFonts w:ascii="Times New Roman" w:eastAsia="SimSun" w:hAnsi="Times New Roman"/>
                <w:sz w:val="18"/>
                <w:szCs w:val="18"/>
                <w:lang w:val="fr-FR" w:eastAsia="zh-CN"/>
              </w:rPr>
            </w:pPr>
            <w:r w:rsidRPr="00582785">
              <w:rPr>
                <w:rFonts w:ascii="Times New Roman" w:eastAsia="SimSun" w:hAnsi="Times New Roman"/>
                <w:sz w:val="18"/>
                <w:szCs w:val="18"/>
                <w:lang w:val="fr-FR" w:eastAsia="zh-CN"/>
              </w:rPr>
              <w:t>1 poste d’administrateur équivalent plein temps (50 % en nature)</w:t>
            </w:r>
          </w:p>
        </w:tc>
        <w:tc>
          <w:tcPr>
            <w:tcW w:w="993" w:type="dxa"/>
            <w:tcBorders>
              <w:bottom w:val="single" w:sz="4" w:space="0" w:color="auto"/>
            </w:tcBorders>
          </w:tcPr>
          <w:p w:rsidR="00E65B1B" w:rsidRPr="00582785" w:rsidRDefault="00E65B1B" w:rsidP="00F32A2A">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75</w:t>
            </w:r>
            <w:r w:rsidR="002E0F07" w:rsidRPr="00582785">
              <w:rPr>
                <w:rFonts w:ascii="Times New Roman" w:eastAsia="SimSun" w:hAnsi="Times New Roman"/>
                <w:sz w:val="19"/>
                <w:szCs w:val="19"/>
                <w:lang w:val="fr-FR" w:eastAsia="zh-CN"/>
              </w:rPr>
              <w:t> </w:t>
            </w:r>
            <w:r w:rsidRPr="00582785">
              <w:rPr>
                <w:rFonts w:ascii="Times New Roman" w:eastAsia="SimSun" w:hAnsi="Times New Roman"/>
                <w:sz w:val="19"/>
                <w:szCs w:val="19"/>
                <w:lang w:val="fr-FR" w:eastAsia="zh-CN"/>
              </w:rPr>
              <w:t>000</w:t>
            </w:r>
          </w:p>
        </w:tc>
      </w:tr>
      <w:tr w:rsidR="00E65B1B" w:rsidRPr="00582785" w:rsidTr="000E3446">
        <w:tc>
          <w:tcPr>
            <w:tcW w:w="851" w:type="dxa"/>
            <w:vMerge w:val="restart"/>
            <w:vAlign w:val="center"/>
          </w:tcPr>
          <w:p w:rsidR="00E65B1B" w:rsidRPr="00582785" w:rsidRDefault="00E65B1B" w:rsidP="00F32A2A">
            <w:pPr>
              <w:pStyle w:val="ListParagraph"/>
              <w:tabs>
                <w:tab w:val="left" w:pos="426"/>
              </w:tabs>
              <w:autoSpaceDE w:val="0"/>
              <w:autoSpaceDN w:val="0"/>
              <w:adjustRightInd w:val="0"/>
              <w:spacing w:before="60" w:after="60" w:line="240" w:lineRule="auto"/>
              <w:ind w:left="0"/>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2015</w:t>
            </w:r>
          </w:p>
        </w:tc>
        <w:tc>
          <w:tcPr>
            <w:tcW w:w="2268" w:type="dxa"/>
            <w:vMerge w:val="restart"/>
            <w:vAlign w:val="center"/>
          </w:tcPr>
          <w:p w:rsidR="00E65B1B" w:rsidRPr="00582785" w:rsidRDefault="00C677EA" w:rsidP="00F32A2A">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sz w:val="18"/>
                <w:szCs w:val="18"/>
                <w:lang w:val="fr-FR" w:eastAsia="zh-CN"/>
              </w:rPr>
              <w:t>Deuxième réunion des auteurs (90 coprésidents, auteurs coordonnateurs principaux et auteurs principaux+ 14 réviseurs-éditeurs + 4 membres du Groupe d’experts multidisciplinaire/</w:t>
            </w:r>
            <w:r w:rsidR="000E3446">
              <w:rPr>
                <w:rFonts w:ascii="Times New Roman" w:eastAsia="SimSun" w:hAnsi="Times New Roman"/>
                <w:sz w:val="18"/>
                <w:szCs w:val="18"/>
                <w:lang w:val="fr-FR" w:eastAsia="zh-CN"/>
              </w:rPr>
              <w:t xml:space="preserve">membres du </w:t>
            </w:r>
            <w:r w:rsidRPr="00582785">
              <w:rPr>
                <w:rFonts w:ascii="Times New Roman" w:eastAsia="SimSun" w:hAnsi="Times New Roman"/>
                <w:sz w:val="18"/>
                <w:szCs w:val="18"/>
                <w:lang w:val="fr-FR" w:eastAsia="zh-CN"/>
              </w:rPr>
              <w:t>Bureau +1 agent des services d’appui technique)</w:t>
            </w:r>
          </w:p>
        </w:tc>
        <w:tc>
          <w:tcPr>
            <w:tcW w:w="3969" w:type="dxa"/>
          </w:tcPr>
          <w:p w:rsidR="00E65B1B" w:rsidRPr="00582785" w:rsidRDefault="00C677EA" w:rsidP="00F32A2A">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sz w:val="18"/>
                <w:szCs w:val="18"/>
                <w:lang w:val="fr-FR" w:eastAsia="zh-CN"/>
              </w:rPr>
              <w:t>Coûts de la réunion (1 semaine, 109 participants) (25 % en nature)</w:t>
            </w:r>
          </w:p>
        </w:tc>
        <w:tc>
          <w:tcPr>
            <w:tcW w:w="993" w:type="dxa"/>
          </w:tcPr>
          <w:p w:rsidR="00E65B1B" w:rsidRPr="00582785" w:rsidRDefault="00E65B1B" w:rsidP="00F32A2A">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18</w:t>
            </w:r>
            <w:r w:rsidR="002E0F07" w:rsidRPr="00582785">
              <w:rPr>
                <w:rFonts w:ascii="Times New Roman" w:eastAsia="SimSun" w:hAnsi="Times New Roman"/>
                <w:sz w:val="19"/>
                <w:szCs w:val="19"/>
                <w:lang w:val="fr-FR" w:eastAsia="zh-CN"/>
              </w:rPr>
              <w:t> </w:t>
            </w:r>
            <w:r w:rsidRPr="00582785">
              <w:rPr>
                <w:rFonts w:ascii="Times New Roman" w:eastAsia="SimSun" w:hAnsi="Times New Roman"/>
                <w:sz w:val="19"/>
                <w:szCs w:val="19"/>
                <w:lang w:val="fr-FR" w:eastAsia="zh-CN"/>
              </w:rPr>
              <w:t>750</w:t>
            </w:r>
          </w:p>
        </w:tc>
      </w:tr>
      <w:tr w:rsidR="00E65B1B" w:rsidRPr="00582785" w:rsidTr="000E3446">
        <w:trPr>
          <w:trHeight w:val="361"/>
        </w:trPr>
        <w:tc>
          <w:tcPr>
            <w:tcW w:w="851" w:type="dxa"/>
            <w:vMerge/>
            <w:vAlign w:val="center"/>
          </w:tcPr>
          <w:p w:rsidR="00E65B1B" w:rsidRPr="00582785" w:rsidRDefault="00E65B1B" w:rsidP="00F32A2A">
            <w:pPr>
              <w:pStyle w:val="ListParagraph"/>
              <w:tabs>
                <w:tab w:val="left" w:pos="426"/>
              </w:tabs>
              <w:autoSpaceDE w:val="0"/>
              <w:autoSpaceDN w:val="0"/>
              <w:adjustRightInd w:val="0"/>
              <w:spacing w:before="60" w:after="60" w:line="240" w:lineRule="auto"/>
              <w:ind w:left="0"/>
              <w:rPr>
                <w:rFonts w:ascii="Times New Roman" w:eastAsia="SimSun" w:hAnsi="Times New Roman"/>
                <w:sz w:val="19"/>
                <w:szCs w:val="19"/>
                <w:lang w:val="fr-FR" w:eastAsia="zh-CN"/>
              </w:rPr>
            </w:pPr>
          </w:p>
        </w:tc>
        <w:tc>
          <w:tcPr>
            <w:tcW w:w="2268" w:type="dxa"/>
            <w:vMerge/>
            <w:tcBorders>
              <w:bottom w:val="single" w:sz="4" w:space="0" w:color="auto"/>
            </w:tcBorders>
            <w:vAlign w:val="center"/>
          </w:tcPr>
          <w:p w:rsidR="00E65B1B" w:rsidRPr="00582785" w:rsidRDefault="00E65B1B" w:rsidP="00F32A2A">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p>
        </w:tc>
        <w:tc>
          <w:tcPr>
            <w:tcW w:w="3969" w:type="dxa"/>
            <w:tcBorders>
              <w:bottom w:val="single" w:sz="4" w:space="0" w:color="auto"/>
            </w:tcBorders>
          </w:tcPr>
          <w:p w:rsidR="00E65B1B" w:rsidRPr="00582785" w:rsidRDefault="00C677EA" w:rsidP="00F32A2A">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sz w:val="18"/>
                <w:szCs w:val="18"/>
                <w:lang w:val="fr-FR" w:eastAsia="zh-CN"/>
              </w:rPr>
              <w:t>Voyage et indemnité</w:t>
            </w:r>
            <w:r w:rsidR="000E3446">
              <w:rPr>
                <w:rFonts w:ascii="Times New Roman" w:eastAsia="SimSun" w:hAnsi="Times New Roman"/>
                <w:sz w:val="18"/>
                <w:szCs w:val="18"/>
                <w:lang w:val="fr-FR" w:eastAsia="zh-CN"/>
              </w:rPr>
              <w:t xml:space="preserve"> journalière de subsistance (82 </w:t>
            </w:r>
            <w:r w:rsidRPr="00582785">
              <w:rPr>
                <w:rFonts w:ascii="Times New Roman" w:eastAsia="SimSun" w:hAnsi="Times New Roman"/>
                <w:sz w:val="18"/>
                <w:szCs w:val="18"/>
                <w:lang w:val="fr-FR" w:eastAsia="zh-CN"/>
              </w:rPr>
              <w:t>x 3 000 dollars)</w:t>
            </w:r>
          </w:p>
        </w:tc>
        <w:tc>
          <w:tcPr>
            <w:tcW w:w="993" w:type="dxa"/>
            <w:tcBorders>
              <w:bottom w:val="single" w:sz="4" w:space="0" w:color="auto"/>
            </w:tcBorders>
          </w:tcPr>
          <w:p w:rsidR="00E65B1B" w:rsidRPr="00582785" w:rsidRDefault="00E65B1B" w:rsidP="00F32A2A">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264</w:t>
            </w:r>
            <w:r w:rsidR="002E0F07" w:rsidRPr="00582785">
              <w:rPr>
                <w:rFonts w:ascii="Times New Roman" w:eastAsia="SimSun" w:hAnsi="Times New Roman"/>
                <w:sz w:val="19"/>
                <w:szCs w:val="19"/>
                <w:lang w:val="fr-FR" w:eastAsia="zh-CN"/>
              </w:rPr>
              <w:t> </w:t>
            </w:r>
            <w:r w:rsidRPr="00582785">
              <w:rPr>
                <w:rFonts w:ascii="Times New Roman" w:eastAsia="SimSun" w:hAnsi="Times New Roman"/>
                <w:sz w:val="19"/>
                <w:szCs w:val="19"/>
                <w:lang w:val="fr-FR" w:eastAsia="zh-CN"/>
              </w:rPr>
              <w:t>000</w:t>
            </w:r>
          </w:p>
        </w:tc>
      </w:tr>
      <w:tr w:rsidR="00E65B1B" w:rsidRPr="00582785" w:rsidTr="000E3446">
        <w:tc>
          <w:tcPr>
            <w:tcW w:w="851" w:type="dxa"/>
            <w:vMerge/>
            <w:vAlign w:val="center"/>
          </w:tcPr>
          <w:p w:rsidR="00E65B1B" w:rsidRPr="00582785" w:rsidRDefault="00E65B1B" w:rsidP="00F32A2A">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p>
        </w:tc>
        <w:tc>
          <w:tcPr>
            <w:tcW w:w="2268" w:type="dxa"/>
            <w:vMerge w:val="restart"/>
            <w:vAlign w:val="center"/>
          </w:tcPr>
          <w:p w:rsidR="00E65B1B" w:rsidRPr="00582785" w:rsidRDefault="00C677EA" w:rsidP="00F32A2A">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sz w:val="18"/>
                <w:szCs w:val="18"/>
                <w:lang w:val="fr-FR" w:eastAsia="zh-CN"/>
              </w:rPr>
              <w:t>Troisième réunion des auteurs (90 coprésidents, auteurs coordonnateurs principaux et auteurs principaux+14 éditeurs-réviseurs + 4 membres du Groupe d’experts multidisciplinaire/</w:t>
            </w:r>
            <w:r w:rsidR="000E3446">
              <w:rPr>
                <w:rFonts w:ascii="Times New Roman" w:eastAsia="SimSun" w:hAnsi="Times New Roman"/>
                <w:sz w:val="18"/>
                <w:szCs w:val="18"/>
                <w:lang w:val="fr-FR" w:eastAsia="zh-CN"/>
              </w:rPr>
              <w:t xml:space="preserve">membres du </w:t>
            </w:r>
            <w:r w:rsidRPr="00582785">
              <w:rPr>
                <w:rFonts w:ascii="Times New Roman" w:eastAsia="SimSun" w:hAnsi="Times New Roman"/>
                <w:sz w:val="18"/>
                <w:szCs w:val="18"/>
                <w:lang w:val="fr-FR" w:eastAsia="zh-CN"/>
              </w:rPr>
              <w:t>Bureau +1 agent des services d’appui technique)</w:t>
            </w:r>
          </w:p>
        </w:tc>
        <w:tc>
          <w:tcPr>
            <w:tcW w:w="3969" w:type="dxa"/>
          </w:tcPr>
          <w:p w:rsidR="00E65B1B" w:rsidRPr="00582785" w:rsidRDefault="00C677EA" w:rsidP="00F32A2A">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sz w:val="18"/>
                <w:szCs w:val="18"/>
                <w:lang w:val="fr-FR" w:eastAsia="zh-CN"/>
              </w:rPr>
              <w:t>Coûts de la réunion (1 semaine, 109 participants) (25 % en nature)</w:t>
            </w:r>
          </w:p>
        </w:tc>
        <w:tc>
          <w:tcPr>
            <w:tcW w:w="993" w:type="dxa"/>
          </w:tcPr>
          <w:p w:rsidR="00E65B1B" w:rsidRPr="00582785" w:rsidRDefault="00E65B1B" w:rsidP="00F32A2A">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18</w:t>
            </w:r>
            <w:r w:rsidR="002E0F07" w:rsidRPr="00582785">
              <w:rPr>
                <w:rFonts w:ascii="Times New Roman" w:eastAsia="SimSun" w:hAnsi="Times New Roman"/>
                <w:sz w:val="19"/>
                <w:szCs w:val="19"/>
                <w:lang w:val="fr-FR" w:eastAsia="zh-CN"/>
              </w:rPr>
              <w:t> </w:t>
            </w:r>
            <w:r w:rsidRPr="00582785">
              <w:rPr>
                <w:rFonts w:ascii="Times New Roman" w:eastAsia="SimSun" w:hAnsi="Times New Roman"/>
                <w:sz w:val="19"/>
                <w:szCs w:val="19"/>
                <w:lang w:val="fr-FR" w:eastAsia="zh-CN"/>
              </w:rPr>
              <w:t>750</w:t>
            </w:r>
          </w:p>
        </w:tc>
      </w:tr>
      <w:tr w:rsidR="00E65B1B" w:rsidRPr="00582785" w:rsidTr="000E3446">
        <w:trPr>
          <w:trHeight w:val="339"/>
        </w:trPr>
        <w:tc>
          <w:tcPr>
            <w:tcW w:w="851" w:type="dxa"/>
            <w:vMerge/>
            <w:vAlign w:val="center"/>
          </w:tcPr>
          <w:p w:rsidR="00E65B1B" w:rsidRPr="00582785" w:rsidRDefault="00E65B1B" w:rsidP="00F32A2A">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p>
        </w:tc>
        <w:tc>
          <w:tcPr>
            <w:tcW w:w="2268" w:type="dxa"/>
            <w:vMerge/>
            <w:tcBorders>
              <w:bottom w:val="single" w:sz="4" w:space="0" w:color="auto"/>
            </w:tcBorders>
            <w:vAlign w:val="center"/>
          </w:tcPr>
          <w:p w:rsidR="00E65B1B" w:rsidRPr="00582785" w:rsidRDefault="00E65B1B" w:rsidP="00F32A2A">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p>
        </w:tc>
        <w:tc>
          <w:tcPr>
            <w:tcW w:w="3969" w:type="dxa"/>
            <w:tcBorders>
              <w:bottom w:val="single" w:sz="4" w:space="0" w:color="auto"/>
            </w:tcBorders>
          </w:tcPr>
          <w:p w:rsidR="00E65B1B" w:rsidRPr="00582785" w:rsidRDefault="00C677EA" w:rsidP="00F32A2A">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sz w:val="18"/>
                <w:szCs w:val="18"/>
                <w:lang w:val="fr-FR" w:eastAsia="zh-CN"/>
              </w:rPr>
              <w:t>Voyage et indemnité</w:t>
            </w:r>
            <w:r w:rsidR="000E3446">
              <w:rPr>
                <w:rFonts w:ascii="Times New Roman" w:eastAsia="SimSun" w:hAnsi="Times New Roman"/>
                <w:sz w:val="18"/>
                <w:szCs w:val="18"/>
                <w:lang w:val="fr-FR" w:eastAsia="zh-CN"/>
              </w:rPr>
              <w:t xml:space="preserve"> journalière de subsistance (82 </w:t>
            </w:r>
            <w:r w:rsidRPr="00582785">
              <w:rPr>
                <w:rFonts w:ascii="Times New Roman" w:eastAsia="SimSun" w:hAnsi="Times New Roman"/>
                <w:sz w:val="18"/>
                <w:szCs w:val="18"/>
                <w:lang w:val="fr-FR" w:eastAsia="zh-CN"/>
              </w:rPr>
              <w:t>x 3 000 dollars)</w:t>
            </w:r>
          </w:p>
        </w:tc>
        <w:tc>
          <w:tcPr>
            <w:tcW w:w="993" w:type="dxa"/>
            <w:tcBorders>
              <w:bottom w:val="single" w:sz="4" w:space="0" w:color="auto"/>
            </w:tcBorders>
          </w:tcPr>
          <w:p w:rsidR="00E65B1B" w:rsidRPr="00582785" w:rsidRDefault="00E65B1B" w:rsidP="00F32A2A">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264</w:t>
            </w:r>
            <w:r w:rsidR="002E0F07" w:rsidRPr="00582785">
              <w:rPr>
                <w:rFonts w:ascii="Times New Roman" w:eastAsia="SimSun" w:hAnsi="Times New Roman"/>
                <w:sz w:val="19"/>
                <w:szCs w:val="19"/>
                <w:lang w:val="fr-FR" w:eastAsia="zh-CN"/>
              </w:rPr>
              <w:t> </w:t>
            </w:r>
            <w:r w:rsidRPr="00582785">
              <w:rPr>
                <w:rFonts w:ascii="Times New Roman" w:eastAsia="SimSun" w:hAnsi="Times New Roman"/>
                <w:sz w:val="19"/>
                <w:szCs w:val="19"/>
                <w:lang w:val="fr-FR" w:eastAsia="zh-CN"/>
              </w:rPr>
              <w:t>000</w:t>
            </w:r>
          </w:p>
        </w:tc>
      </w:tr>
      <w:tr w:rsidR="00E65B1B" w:rsidRPr="00582785" w:rsidTr="000E3446">
        <w:trPr>
          <w:trHeight w:val="361"/>
        </w:trPr>
        <w:tc>
          <w:tcPr>
            <w:tcW w:w="851" w:type="dxa"/>
            <w:vMerge/>
            <w:tcBorders>
              <w:bottom w:val="single" w:sz="4" w:space="0" w:color="auto"/>
            </w:tcBorders>
            <w:vAlign w:val="center"/>
          </w:tcPr>
          <w:p w:rsidR="00E65B1B" w:rsidRPr="00582785" w:rsidRDefault="00E65B1B" w:rsidP="00F32A2A">
            <w:pPr>
              <w:pStyle w:val="ListParagraph"/>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p>
        </w:tc>
        <w:tc>
          <w:tcPr>
            <w:tcW w:w="2268" w:type="dxa"/>
            <w:vAlign w:val="center"/>
          </w:tcPr>
          <w:p w:rsidR="00E65B1B" w:rsidRPr="00582785" w:rsidRDefault="00C677EA" w:rsidP="00F32A2A">
            <w:pPr>
              <w:pStyle w:val="ListParagraph"/>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Appui technique</w:t>
            </w:r>
          </w:p>
        </w:tc>
        <w:tc>
          <w:tcPr>
            <w:tcW w:w="3969" w:type="dxa"/>
          </w:tcPr>
          <w:p w:rsidR="00E65B1B" w:rsidRPr="00582785" w:rsidRDefault="00C677EA" w:rsidP="00F32A2A">
            <w:pPr>
              <w:pStyle w:val="ListParagraph"/>
              <w:tabs>
                <w:tab w:val="left" w:pos="426"/>
              </w:tabs>
              <w:autoSpaceDE w:val="0"/>
              <w:autoSpaceDN w:val="0"/>
              <w:adjustRightInd w:val="0"/>
              <w:spacing w:before="40" w:after="40" w:line="240" w:lineRule="auto"/>
              <w:ind w:left="0"/>
              <w:rPr>
                <w:rFonts w:ascii="Times New Roman" w:eastAsia="SimSun" w:hAnsi="Times New Roman"/>
                <w:sz w:val="19"/>
                <w:szCs w:val="19"/>
                <w:lang w:val="fr-FR" w:eastAsia="zh-CN"/>
              </w:rPr>
            </w:pPr>
            <w:r w:rsidRPr="00582785">
              <w:rPr>
                <w:rFonts w:ascii="Times New Roman" w:eastAsia="SimSun" w:hAnsi="Times New Roman"/>
                <w:sz w:val="18"/>
                <w:szCs w:val="18"/>
                <w:lang w:val="fr-FR" w:eastAsia="zh-CN"/>
              </w:rPr>
              <w:t>1 poste d’administrateur équivalent plein temps (50 % en nature)</w:t>
            </w:r>
          </w:p>
        </w:tc>
        <w:tc>
          <w:tcPr>
            <w:tcW w:w="993" w:type="dxa"/>
            <w:tcBorders>
              <w:bottom w:val="single" w:sz="4" w:space="0" w:color="auto"/>
            </w:tcBorders>
          </w:tcPr>
          <w:p w:rsidR="00E65B1B" w:rsidRPr="00582785" w:rsidRDefault="00E65B1B" w:rsidP="00F32A2A">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75</w:t>
            </w:r>
            <w:r w:rsidR="002E0F07" w:rsidRPr="00582785">
              <w:rPr>
                <w:rFonts w:ascii="Times New Roman" w:eastAsia="SimSun" w:hAnsi="Times New Roman"/>
                <w:sz w:val="19"/>
                <w:szCs w:val="19"/>
                <w:lang w:val="fr-FR" w:eastAsia="zh-CN"/>
              </w:rPr>
              <w:t> </w:t>
            </w:r>
            <w:r w:rsidRPr="00582785">
              <w:rPr>
                <w:rFonts w:ascii="Times New Roman" w:eastAsia="SimSun" w:hAnsi="Times New Roman"/>
                <w:sz w:val="19"/>
                <w:szCs w:val="19"/>
                <w:lang w:val="fr-FR" w:eastAsia="zh-CN"/>
              </w:rPr>
              <w:t>000</w:t>
            </w:r>
          </w:p>
        </w:tc>
      </w:tr>
      <w:tr w:rsidR="00E65B1B" w:rsidRPr="00582785" w:rsidTr="000E3446">
        <w:trPr>
          <w:trHeight w:val="357"/>
        </w:trPr>
        <w:tc>
          <w:tcPr>
            <w:tcW w:w="851" w:type="dxa"/>
            <w:vMerge w:val="restart"/>
            <w:vAlign w:val="center"/>
          </w:tcPr>
          <w:p w:rsidR="00E65B1B" w:rsidRPr="00582785" w:rsidRDefault="00E65B1B" w:rsidP="00F32A2A">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2016</w:t>
            </w:r>
          </w:p>
        </w:tc>
        <w:tc>
          <w:tcPr>
            <w:tcW w:w="2268" w:type="dxa"/>
            <w:vAlign w:val="center"/>
          </w:tcPr>
          <w:p w:rsidR="00E65B1B" w:rsidRPr="00582785" w:rsidRDefault="00361489" w:rsidP="008F4C39">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 xml:space="preserve">Participation </w:t>
            </w:r>
            <w:r w:rsidR="000E3446" w:rsidRPr="00582785">
              <w:rPr>
                <w:rFonts w:ascii="Times New Roman" w:eastAsia="SimSun" w:hAnsi="Times New Roman"/>
                <w:sz w:val="19"/>
                <w:szCs w:val="19"/>
                <w:lang w:val="fr-FR" w:eastAsia="zh-CN"/>
              </w:rPr>
              <w:t>de deux</w:t>
            </w:r>
            <w:r w:rsidR="008F4C39">
              <w:rPr>
                <w:rFonts w:ascii="Times New Roman" w:eastAsia="SimSun" w:hAnsi="Times New Roman"/>
                <w:sz w:val="19"/>
                <w:szCs w:val="19"/>
                <w:lang w:val="fr-FR" w:eastAsia="zh-CN"/>
              </w:rPr>
              <w:t xml:space="preserve"> </w:t>
            </w:r>
            <w:r w:rsidR="000E3446" w:rsidRPr="00582785">
              <w:rPr>
                <w:rFonts w:ascii="Times New Roman" w:eastAsia="SimSun" w:hAnsi="Times New Roman"/>
                <w:sz w:val="19"/>
                <w:szCs w:val="19"/>
                <w:lang w:val="fr-FR" w:eastAsia="zh-CN"/>
              </w:rPr>
              <w:t xml:space="preserve">coprésidents et de deux auteurs </w:t>
            </w:r>
            <w:r w:rsidR="008F4C39">
              <w:rPr>
                <w:rFonts w:ascii="Times New Roman" w:eastAsia="SimSun" w:hAnsi="Times New Roman"/>
                <w:sz w:val="19"/>
                <w:szCs w:val="19"/>
                <w:lang w:val="fr-FR" w:eastAsia="zh-CN"/>
              </w:rPr>
              <w:t>c</w:t>
            </w:r>
            <w:r w:rsidR="000E3446">
              <w:rPr>
                <w:rFonts w:ascii="Times New Roman" w:eastAsia="SimSun" w:hAnsi="Times New Roman"/>
                <w:sz w:val="19"/>
                <w:szCs w:val="19"/>
                <w:lang w:val="fr-FR" w:eastAsia="zh-CN"/>
              </w:rPr>
              <w:t>oordonnateurs</w:t>
            </w:r>
            <w:r w:rsidR="008F4C39">
              <w:rPr>
                <w:rFonts w:ascii="Times New Roman" w:eastAsia="SimSun" w:hAnsi="Times New Roman"/>
                <w:sz w:val="19"/>
                <w:szCs w:val="19"/>
                <w:lang w:val="fr-FR" w:eastAsia="zh-CN"/>
              </w:rPr>
              <w:t xml:space="preserve"> principaux à la quatrième </w:t>
            </w:r>
            <w:r w:rsidRPr="00582785">
              <w:rPr>
                <w:rFonts w:ascii="Times New Roman" w:eastAsia="SimSun" w:hAnsi="Times New Roman"/>
                <w:sz w:val="19"/>
                <w:szCs w:val="19"/>
                <w:lang w:val="fr-FR" w:eastAsia="zh-CN"/>
              </w:rPr>
              <w:t xml:space="preserve">session </w:t>
            </w:r>
            <w:r w:rsidR="008F4C39">
              <w:rPr>
                <w:rFonts w:ascii="Times New Roman" w:eastAsia="SimSun" w:hAnsi="Times New Roman"/>
                <w:sz w:val="19"/>
                <w:szCs w:val="19"/>
                <w:lang w:val="fr-FR" w:eastAsia="zh-CN"/>
              </w:rPr>
              <w:t>de la </w:t>
            </w:r>
            <w:r w:rsidR="00C677EA" w:rsidRPr="00582785">
              <w:rPr>
                <w:rFonts w:ascii="Times New Roman" w:eastAsia="SimSun" w:hAnsi="Times New Roman"/>
                <w:sz w:val="19"/>
                <w:szCs w:val="19"/>
                <w:lang w:val="fr-FR" w:eastAsia="zh-CN"/>
              </w:rPr>
              <w:t xml:space="preserve">Plénière </w:t>
            </w:r>
          </w:p>
        </w:tc>
        <w:tc>
          <w:tcPr>
            <w:tcW w:w="3969" w:type="dxa"/>
          </w:tcPr>
          <w:p w:rsidR="00E65B1B" w:rsidRPr="00582785" w:rsidRDefault="00C677EA" w:rsidP="00F32A2A">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sz w:val="18"/>
                <w:szCs w:val="18"/>
                <w:lang w:val="fr-FR" w:eastAsia="zh-CN"/>
              </w:rPr>
              <w:t xml:space="preserve">Voyage et indemnité </w:t>
            </w:r>
            <w:r w:rsidR="00A34977">
              <w:rPr>
                <w:rFonts w:ascii="Times New Roman" w:eastAsia="SimSun" w:hAnsi="Times New Roman"/>
                <w:sz w:val="18"/>
                <w:szCs w:val="18"/>
                <w:lang w:val="fr-FR" w:eastAsia="zh-CN"/>
              </w:rPr>
              <w:t>journalière de subsistance (3 x </w:t>
            </w:r>
            <w:r w:rsidRPr="00582785">
              <w:rPr>
                <w:rFonts w:ascii="Times New Roman" w:eastAsia="SimSun" w:hAnsi="Times New Roman"/>
                <w:sz w:val="18"/>
                <w:szCs w:val="18"/>
                <w:lang w:val="fr-FR" w:eastAsia="zh-CN"/>
              </w:rPr>
              <w:t>3 000 dollars)</w:t>
            </w:r>
          </w:p>
        </w:tc>
        <w:tc>
          <w:tcPr>
            <w:tcW w:w="993" w:type="dxa"/>
          </w:tcPr>
          <w:p w:rsidR="00E65B1B" w:rsidRPr="00582785" w:rsidRDefault="00E65B1B" w:rsidP="00F32A2A">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9</w:t>
            </w:r>
            <w:r w:rsidR="002E0F07" w:rsidRPr="00582785">
              <w:rPr>
                <w:rFonts w:ascii="Times New Roman" w:eastAsia="SimSun" w:hAnsi="Times New Roman"/>
                <w:sz w:val="19"/>
                <w:szCs w:val="19"/>
                <w:lang w:val="fr-FR" w:eastAsia="zh-CN"/>
              </w:rPr>
              <w:t> </w:t>
            </w:r>
            <w:r w:rsidRPr="00582785">
              <w:rPr>
                <w:rFonts w:ascii="Times New Roman" w:eastAsia="SimSun" w:hAnsi="Times New Roman"/>
                <w:sz w:val="19"/>
                <w:szCs w:val="19"/>
                <w:lang w:val="fr-FR" w:eastAsia="zh-CN"/>
              </w:rPr>
              <w:t>000</w:t>
            </w:r>
          </w:p>
        </w:tc>
      </w:tr>
      <w:tr w:rsidR="00E65B1B" w:rsidRPr="00582785" w:rsidDel="001E184E" w:rsidTr="000E3446">
        <w:trPr>
          <w:trHeight w:val="560"/>
        </w:trPr>
        <w:tc>
          <w:tcPr>
            <w:tcW w:w="851" w:type="dxa"/>
            <w:vMerge/>
          </w:tcPr>
          <w:p w:rsidR="00E65B1B" w:rsidRPr="00582785" w:rsidRDefault="00E65B1B" w:rsidP="00F32A2A">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p>
        </w:tc>
        <w:tc>
          <w:tcPr>
            <w:tcW w:w="2268" w:type="dxa"/>
          </w:tcPr>
          <w:p w:rsidR="00E65B1B" w:rsidRPr="00582785" w:rsidRDefault="00E65B1B" w:rsidP="00F32A2A">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Di</w:t>
            </w:r>
            <w:r w:rsidR="00C677EA" w:rsidRPr="00582785">
              <w:rPr>
                <w:rFonts w:ascii="Times New Roman" w:eastAsia="SimSun" w:hAnsi="Times New Roman"/>
                <w:sz w:val="19"/>
                <w:szCs w:val="19"/>
                <w:lang w:val="fr-FR" w:eastAsia="zh-CN"/>
              </w:rPr>
              <w:t>ffusion</w:t>
            </w:r>
            <w:r w:rsidR="000E3446">
              <w:rPr>
                <w:rFonts w:ascii="Times New Roman" w:eastAsia="SimSun" w:hAnsi="Times New Roman"/>
                <w:sz w:val="19"/>
                <w:szCs w:val="19"/>
                <w:lang w:val="fr-FR" w:eastAsia="zh-CN"/>
              </w:rPr>
              <w:t xml:space="preserve"> et activités de sensibilisation</w:t>
            </w:r>
            <w:r w:rsidRPr="00582785">
              <w:rPr>
                <w:rFonts w:ascii="Times New Roman" w:eastAsia="SimSun" w:hAnsi="Times New Roman"/>
                <w:sz w:val="19"/>
                <w:szCs w:val="19"/>
                <w:lang w:val="fr-FR" w:eastAsia="zh-CN"/>
              </w:rPr>
              <w:t xml:space="preserve"> (</w:t>
            </w:r>
            <w:r w:rsidR="00C677EA" w:rsidRPr="00582785">
              <w:rPr>
                <w:rFonts w:ascii="Times New Roman" w:eastAsia="SimSun" w:hAnsi="Times New Roman"/>
                <w:sz w:val="19"/>
                <w:szCs w:val="19"/>
                <w:lang w:val="fr-FR" w:eastAsia="zh-CN"/>
              </w:rPr>
              <w:t xml:space="preserve">résumé à l’intention des décideurs </w:t>
            </w:r>
            <w:r w:rsidR="000E3446">
              <w:rPr>
                <w:rFonts w:ascii="Times New Roman" w:eastAsia="SimSun" w:hAnsi="Times New Roman"/>
                <w:sz w:val="19"/>
                <w:szCs w:val="19"/>
                <w:lang w:val="fr-FR" w:eastAsia="zh-CN"/>
              </w:rPr>
              <w:t>(</w:t>
            </w:r>
            <w:r w:rsidRPr="00582785">
              <w:rPr>
                <w:rFonts w:ascii="Times New Roman" w:eastAsia="SimSun" w:hAnsi="Times New Roman"/>
                <w:sz w:val="19"/>
                <w:szCs w:val="19"/>
                <w:lang w:val="fr-FR" w:eastAsia="zh-CN"/>
              </w:rPr>
              <w:t>10</w:t>
            </w:r>
            <w:r w:rsidR="00C677EA" w:rsidRPr="00582785">
              <w:rPr>
                <w:rFonts w:ascii="Times New Roman" w:eastAsia="SimSun" w:hAnsi="Times New Roman"/>
                <w:sz w:val="19"/>
                <w:szCs w:val="19"/>
                <w:lang w:val="fr-FR" w:eastAsia="zh-CN"/>
              </w:rPr>
              <w:t> pages</w:t>
            </w:r>
            <w:r w:rsidR="000E3446">
              <w:rPr>
                <w:rFonts w:ascii="Times New Roman" w:eastAsia="SimSun" w:hAnsi="Times New Roman"/>
                <w:sz w:val="19"/>
                <w:szCs w:val="19"/>
                <w:lang w:val="fr-FR" w:eastAsia="zh-CN"/>
              </w:rPr>
              <w:t>)</w:t>
            </w:r>
            <w:r w:rsidR="00361489" w:rsidRPr="00582785">
              <w:rPr>
                <w:rFonts w:ascii="Times New Roman" w:eastAsia="SimSun" w:hAnsi="Times New Roman"/>
                <w:sz w:val="19"/>
                <w:szCs w:val="19"/>
                <w:lang w:val="fr-FR" w:eastAsia="zh-CN"/>
              </w:rPr>
              <w:t xml:space="preserve"> </w:t>
            </w:r>
            <w:r w:rsidRPr="00582785">
              <w:rPr>
                <w:rFonts w:ascii="Times New Roman" w:eastAsia="SimSun" w:hAnsi="Times New Roman"/>
                <w:sz w:val="19"/>
                <w:szCs w:val="19"/>
                <w:lang w:val="fr-FR" w:eastAsia="zh-CN"/>
              </w:rPr>
              <w:t xml:space="preserve">+ </w:t>
            </w:r>
            <w:r w:rsidR="00C677EA" w:rsidRPr="00582785">
              <w:rPr>
                <w:rFonts w:ascii="Times New Roman" w:eastAsia="SimSun" w:hAnsi="Times New Roman"/>
                <w:sz w:val="19"/>
                <w:szCs w:val="19"/>
                <w:lang w:val="fr-FR" w:eastAsia="zh-CN"/>
              </w:rPr>
              <w:t xml:space="preserve">rapport </w:t>
            </w:r>
            <w:r w:rsidR="000E3446">
              <w:rPr>
                <w:rFonts w:ascii="Times New Roman" w:eastAsia="SimSun" w:hAnsi="Times New Roman"/>
                <w:sz w:val="19"/>
                <w:szCs w:val="19"/>
                <w:lang w:val="fr-FR" w:eastAsia="zh-CN"/>
              </w:rPr>
              <w:t>(</w:t>
            </w:r>
            <w:r w:rsidRPr="00582785">
              <w:rPr>
                <w:rFonts w:ascii="Times New Roman" w:eastAsia="SimSun" w:hAnsi="Times New Roman"/>
                <w:sz w:val="19"/>
                <w:szCs w:val="19"/>
                <w:lang w:val="fr-FR" w:eastAsia="zh-CN"/>
              </w:rPr>
              <w:t>200</w:t>
            </w:r>
            <w:r w:rsidR="00C677EA" w:rsidRPr="00582785">
              <w:rPr>
                <w:rFonts w:ascii="Times New Roman" w:eastAsia="SimSun" w:hAnsi="Times New Roman"/>
                <w:sz w:val="19"/>
                <w:szCs w:val="19"/>
                <w:lang w:val="fr-FR" w:eastAsia="zh-CN"/>
              </w:rPr>
              <w:t> pages</w:t>
            </w:r>
            <w:r w:rsidR="000E3446">
              <w:rPr>
                <w:rFonts w:ascii="Times New Roman" w:eastAsia="SimSun" w:hAnsi="Times New Roman"/>
                <w:sz w:val="19"/>
                <w:szCs w:val="19"/>
                <w:lang w:val="fr-FR" w:eastAsia="zh-CN"/>
              </w:rPr>
              <w:t>)</w:t>
            </w:r>
            <w:r w:rsidRPr="00582785">
              <w:rPr>
                <w:rFonts w:ascii="Times New Roman" w:eastAsia="SimSun" w:hAnsi="Times New Roman"/>
                <w:sz w:val="19"/>
                <w:szCs w:val="19"/>
                <w:lang w:val="fr-FR" w:eastAsia="zh-CN"/>
              </w:rPr>
              <w:t xml:space="preserve"> </w:t>
            </w:r>
          </w:p>
        </w:tc>
        <w:tc>
          <w:tcPr>
            <w:tcW w:w="3969" w:type="dxa"/>
          </w:tcPr>
          <w:p w:rsidR="00AC5674" w:rsidRPr="00582785" w:rsidDel="00AC5674" w:rsidRDefault="000E3446" w:rsidP="00F32A2A">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b/>
                <w:sz w:val="19"/>
                <w:szCs w:val="19"/>
                <w:lang w:val="fr-FR" w:eastAsia="zh-CN"/>
              </w:rPr>
            </w:pPr>
            <w:r>
              <w:rPr>
                <w:rFonts w:ascii="Times New Roman" w:eastAsia="SimSun" w:hAnsi="Times New Roman"/>
                <w:sz w:val="19"/>
                <w:szCs w:val="19"/>
                <w:lang w:val="fr-FR" w:eastAsia="zh-CN"/>
              </w:rPr>
              <w:t xml:space="preserve">Traduction </w:t>
            </w:r>
            <w:r w:rsidR="00C677EA" w:rsidRPr="00582785">
              <w:rPr>
                <w:rFonts w:ascii="Times New Roman" w:eastAsia="SimSun" w:hAnsi="Times New Roman"/>
                <w:sz w:val="19"/>
                <w:szCs w:val="19"/>
                <w:lang w:val="fr-FR" w:eastAsia="zh-CN"/>
              </w:rPr>
              <w:t xml:space="preserve">du résumé à l’intention des décideurs dans </w:t>
            </w:r>
            <w:r w:rsidR="008F4C39">
              <w:rPr>
                <w:rFonts w:ascii="Times New Roman" w:eastAsia="SimSun" w:hAnsi="Times New Roman"/>
                <w:sz w:val="19"/>
                <w:szCs w:val="19"/>
                <w:lang w:val="fr-FR" w:eastAsia="zh-CN"/>
              </w:rPr>
              <w:t xml:space="preserve">toutes </w:t>
            </w:r>
            <w:r w:rsidR="00C677EA" w:rsidRPr="00582785">
              <w:rPr>
                <w:rFonts w:ascii="Times New Roman" w:eastAsia="SimSun" w:hAnsi="Times New Roman"/>
                <w:sz w:val="19"/>
                <w:szCs w:val="19"/>
                <w:lang w:val="fr-FR" w:eastAsia="zh-CN"/>
              </w:rPr>
              <w:t xml:space="preserve">les langues officielles de l’ONU, </w:t>
            </w:r>
            <w:r>
              <w:rPr>
                <w:rFonts w:ascii="Times New Roman" w:eastAsia="SimSun" w:hAnsi="Times New Roman"/>
                <w:sz w:val="19"/>
                <w:szCs w:val="19"/>
                <w:lang w:val="fr-FR" w:eastAsia="zh-CN"/>
              </w:rPr>
              <w:t xml:space="preserve">publication et </w:t>
            </w:r>
            <w:r w:rsidR="00C677EA" w:rsidRPr="00582785">
              <w:rPr>
                <w:rFonts w:ascii="Times New Roman" w:eastAsia="SimSun" w:hAnsi="Times New Roman"/>
                <w:sz w:val="19"/>
                <w:szCs w:val="19"/>
                <w:lang w:val="fr-FR" w:eastAsia="zh-CN"/>
              </w:rPr>
              <w:t>activités de sensibilisation</w:t>
            </w:r>
          </w:p>
          <w:p w:rsidR="0002522A" w:rsidRPr="00582785" w:rsidRDefault="0002522A" w:rsidP="00F32A2A">
            <w:pPr>
              <w:pStyle w:val="ListParagraph"/>
              <w:keepNext/>
              <w:keepLines/>
              <w:tabs>
                <w:tab w:val="left" w:pos="426"/>
              </w:tabs>
              <w:autoSpaceDE w:val="0"/>
              <w:autoSpaceDN w:val="0"/>
              <w:adjustRightInd w:val="0"/>
              <w:spacing w:before="40" w:after="40" w:line="240" w:lineRule="auto"/>
              <w:ind w:left="0"/>
              <w:contextualSpacing w:val="0"/>
              <w:rPr>
                <w:rFonts w:ascii="Times New Roman" w:eastAsia="SimSun" w:hAnsi="Times New Roman"/>
                <w:b/>
                <w:sz w:val="19"/>
                <w:szCs w:val="19"/>
                <w:lang w:val="fr-FR" w:eastAsia="zh-CN"/>
              </w:rPr>
            </w:pPr>
          </w:p>
        </w:tc>
        <w:tc>
          <w:tcPr>
            <w:tcW w:w="993" w:type="dxa"/>
          </w:tcPr>
          <w:p w:rsidR="00E65B1B" w:rsidRPr="00582785" w:rsidDel="001E184E" w:rsidRDefault="00E65B1B" w:rsidP="00F32A2A">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19"/>
                <w:szCs w:val="19"/>
                <w:lang w:val="fr-FR" w:eastAsia="zh-CN"/>
              </w:rPr>
            </w:pPr>
            <w:r w:rsidRPr="00582785">
              <w:rPr>
                <w:rFonts w:ascii="Times New Roman" w:eastAsia="SimSun" w:hAnsi="Times New Roman"/>
                <w:sz w:val="19"/>
                <w:szCs w:val="19"/>
                <w:lang w:val="fr-FR" w:eastAsia="zh-CN"/>
              </w:rPr>
              <w:t>117</w:t>
            </w:r>
            <w:r w:rsidR="002E0F07" w:rsidRPr="00582785">
              <w:rPr>
                <w:rFonts w:ascii="Times New Roman" w:eastAsia="SimSun" w:hAnsi="Times New Roman"/>
                <w:sz w:val="19"/>
                <w:szCs w:val="19"/>
                <w:lang w:val="fr-FR" w:eastAsia="zh-CN"/>
              </w:rPr>
              <w:t> </w:t>
            </w:r>
            <w:r w:rsidRPr="00582785">
              <w:rPr>
                <w:rFonts w:ascii="Times New Roman" w:eastAsia="SimSun" w:hAnsi="Times New Roman"/>
                <w:sz w:val="19"/>
                <w:szCs w:val="19"/>
                <w:lang w:val="fr-FR" w:eastAsia="zh-CN"/>
              </w:rPr>
              <w:t>000</w:t>
            </w:r>
          </w:p>
        </w:tc>
      </w:tr>
      <w:tr w:rsidR="00E65B1B" w:rsidRPr="00582785" w:rsidTr="000E3446">
        <w:tc>
          <w:tcPr>
            <w:tcW w:w="851" w:type="dxa"/>
          </w:tcPr>
          <w:p w:rsidR="00E65B1B" w:rsidRPr="00582785" w:rsidRDefault="00E65B1B" w:rsidP="00F32A2A">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b/>
                <w:sz w:val="19"/>
                <w:szCs w:val="19"/>
                <w:lang w:val="fr-FR" w:eastAsia="zh-CN"/>
              </w:rPr>
            </w:pPr>
            <w:r w:rsidRPr="00582785">
              <w:rPr>
                <w:rFonts w:ascii="Times New Roman" w:eastAsia="SimSun" w:hAnsi="Times New Roman"/>
                <w:b/>
                <w:sz w:val="19"/>
                <w:szCs w:val="19"/>
                <w:lang w:val="fr-FR" w:eastAsia="zh-CN"/>
              </w:rPr>
              <w:t>Total</w:t>
            </w:r>
          </w:p>
        </w:tc>
        <w:tc>
          <w:tcPr>
            <w:tcW w:w="2268" w:type="dxa"/>
          </w:tcPr>
          <w:p w:rsidR="00E65B1B" w:rsidRPr="00582785" w:rsidRDefault="00E65B1B" w:rsidP="00F32A2A">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p>
        </w:tc>
        <w:tc>
          <w:tcPr>
            <w:tcW w:w="3969" w:type="dxa"/>
          </w:tcPr>
          <w:p w:rsidR="00E65B1B" w:rsidRPr="00582785" w:rsidRDefault="00E65B1B" w:rsidP="00F32A2A">
            <w:pPr>
              <w:pStyle w:val="ListParagraph"/>
              <w:keepNext/>
              <w:keepLines/>
              <w:tabs>
                <w:tab w:val="left" w:pos="426"/>
              </w:tabs>
              <w:autoSpaceDE w:val="0"/>
              <w:autoSpaceDN w:val="0"/>
              <w:adjustRightInd w:val="0"/>
              <w:spacing w:before="60" w:after="60" w:line="240" w:lineRule="auto"/>
              <w:ind w:left="0"/>
              <w:contextualSpacing w:val="0"/>
              <w:rPr>
                <w:rFonts w:ascii="Times New Roman" w:eastAsia="SimSun" w:hAnsi="Times New Roman"/>
                <w:sz w:val="19"/>
                <w:szCs w:val="19"/>
                <w:lang w:val="fr-FR" w:eastAsia="zh-CN"/>
              </w:rPr>
            </w:pPr>
          </w:p>
        </w:tc>
        <w:tc>
          <w:tcPr>
            <w:tcW w:w="993" w:type="dxa"/>
          </w:tcPr>
          <w:p w:rsidR="00E65B1B" w:rsidRPr="00582785" w:rsidRDefault="00E65B1B" w:rsidP="00F32A2A">
            <w:pPr>
              <w:pStyle w:val="ListParagraph"/>
              <w:keepNext/>
              <w:keepLines/>
              <w:tabs>
                <w:tab w:val="left" w:pos="426"/>
              </w:tabs>
              <w:autoSpaceDE w:val="0"/>
              <w:autoSpaceDN w:val="0"/>
              <w:adjustRightInd w:val="0"/>
              <w:spacing w:before="60" w:after="60" w:line="240" w:lineRule="auto"/>
              <w:ind w:left="0"/>
              <w:contextualSpacing w:val="0"/>
              <w:jc w:val="right"/>
              <w:rPr>
                <w:rFonts w:ascii="Times New Roman" w:eastAsia="SimSun" w:hAnsi="Times New Roman"/>
                <w:b/>
                <w:sz w:val="19"/>
                <w:szCs w:val="19"/>
                <w:lang w:val="fr-FR" w:eastAsia="zh-CN"/>
              </w:rPr>
            </w:pPr>
            <w:r w:rsidRPr="00582785">
              <w:rPr>
                <w:rFonts w:ascii="Times New Roman" w:eastAsia="SimSun" w:hAnsi="Times New Roman"/>
                <w:b/>
                <w:sz w:val="19"/>
                <w:szCs w:val="19"/>
                <w:lang w:val="fr-FR" w:eastAsia="zh-CN"/>
              </w:rPr>
              <w:t>1</w:t>
            </w:r>
            <w:r w:rsidR="002E0F07" w:rsidRPr="00582785">
              <w:rPr>
                <w:rFonts w:ascii="Times New Roman" w:eastAsia="SimSun" w:hAnsi="Times New Roman"/>
                <w:b/>
                <w:sz w:val="19"/>
                <w:szCs w:val="19"/>
                <w:lang w:val="fr-FR" w:eastAsia="zh-CN"/>
              </w:rPr>
              <w:t> </w:t>
            </w:r>
            <w:r w:rsidRPr="00582785">
              <w:rPr>
                <w:rFonts w:ascii="Times New Roman" w:eastAsia="SimSun" w:hAnsi="Times New Roman"/>
                <w:b/>
                <w:sz w:val="19"/>
                <w:szCs w:val="19"/>
                <w:lang w:val="fr-FR" w:eastAsia="zh-CN"/>
              </w:rPr>
              <w:t>141</w:t>
            </w:r>
            <w:r w:rsidR="002E0F07" w:rsidRPr="00582785">
              <w:rPr>
                <w:rFonts w:ascii="Times New Roman" w:eastAsia="SimSun" w:hAnsi="Times New Roman"/>
                <w:b/>
                <w:sz w:val="19"/>
                <w:szCs w:val="19"/>
                <w:lang w:val="fr-FR" w:eastAsia="zh-CN"/>
              </w:rPr>
              <w:t> </w:t>
            </w:r>
            <w:r w:rsidRPr="00582785">
              <w:rPr>
                <w:rFonts w:ascii="Times New Roman" w:eastAsia="SimSun" w:hAnsi="Times New Roman"/>
                <w:b/>
                <w:sz w:val="19"/>
                <w:szCs w:val="19"/>
                <w:lang w:val="fr-FR" w:eastAsia="zh-CN"/>
              </w:rPr>
              <w:t>500</w:t>
            </w:r>
          </w:p>
        </w:tc>
      </w:tr>
    </w:tbl>
    <w:p w:rsidR="000E3446" w:rsidRDefault="00D11D69" w:rsidP="00F32A2A">
      <w:pPr>
        <w:pStyle w:val="CH3"/>
        <w:keepLines w:val="0"/>
        <w:spacing w:before="120"/>
        <w:rPr>
          <w:sz w:val="20"/>
          <w:szCs w:val="20"/>
          <w:lang w:val="fr-FR"/>
        </w:rPr>
      </w:pPr>
      <w:r w:rsidRPr="00582785">
        <w:rPr>
          <w:sz w:val="20"/>
          <w:szCs w:val="20"/>
          <w:lang w:val="fr-FR"/>
        </w:rPr>
        <w:tab/>
      </w:r>
      <w:r w:rsidRPr="00582785">
        <w:rPr>
          <w:sz w:val="20"/>
          <w:szCs w:val="20"/>
          <w:lang w:val="fr-FR"/>
        </w:rPr>
        <w:tab/>
      </w:r>
    </w:p>
    <w:p w:rsidR="00E65B1B" w:rsidRPr="00963E62" w:rsidRDefault="000E3446" w:rsidP="00F32A2A">
      <w:pPr>
        <w:pStyle w:val="CH3"/>
        <w:keepLines w:val="0"/>
        <w:spacing w:before="120"/>
        <w:rPr>
          <w:lang w:val="fr-FR"/>
        </w:rPr>
      </w:pPr>
      <w:r>
        <w:rPr>
          <w:sz w:val="20"/>
          <w:szCs w:val="20"/>
          <w:lang w:val="fr-FR"/>
        </w:rPr>
        <w:br w:type="page"/>
      </w:r>
      <w:r w:rsidR="00E65B1B" w:rsidRPr="00963E62">
        <w:rPr>
          <w:lang w:val="fr-FR"/>
        </w:rPr>
        <w:lastRenderedPageBreak/>
        <w:t>R</w:t>
      </w:r>
      <w:r w:rsidR="002E0F07" w:rsidRPr="00963E62">
        <w:rPr>
          <w:lang w:val="fr-FR"/>
        </w:rPr>
        <w:t>é</w:t>
      </w:r>
      <w:r w:rsidR="00E65B1B" w:rsidRPr="00963E62">
        <w:rPr>
          <w:lang w:val="fr-FR"/>
        </w:rPr>
        <w:t>f</w:t>
      </w:r>
      <w:r w:rsidR="002E0F07" w:rsidRPr="00963E62">
        <w:rPr>
          <w:lang w:val="fr-FR"/>
        </w:rPr>
        <w:t>é</w:t>
      </w:r>
      <w:r w:rsidR="00E65B1B" w:rsidRPr="00963E62">
        <w:rPr>
          <w:lang w:val="fr-FR"/>
        </w:rPr>
        <w:t>rences</w:t>
      </w:r>
    </w:p>
    <w:p w:rsidR="00E65B1B" w:rsidRPr="000E3446" w:rsidRDefault="002E0F07" w:rsidP="00F32A2A">
      <w:pPr>
        <w:pStyle w:val="NormalNonumber"/>
        <w:keepNext/>
        <w:rPr>
          <w:sz w:val="20"/>
          <w:szCs w:val="20"/>
          <w:lang w:val="en-US"/>
        </w:rPr>
      </w:pPr>
      <w:r w:rsidRPr="000E3446">
        <w:rPr>
          <w:sz w:val="20"/>
          <w:szCs w:val="20"/>
          <w:lang w:val="en-US"/>
        </w:rPr>
        <w:t>Organisation des Nations Unies pour l’alimentation et l’agriculture</w:t>
      </w:r>
      <w:r w:rsidR="009D4BA6" w:rsidRPr="000E3446">
        <w:rPr>
          <w:sz w:val="20"/>
          <w:szCs w:val="20"/>
          <w:lang w:val="en-US"/>
        </w:rPr>
        <w:t xml:space="preserve">, </w:t>
      </w:r>
      <w:r w:rsidRPr="000E3446">
        <w:rPr>
          <w:i/>
          <w:sz w:val="20"/>
          <w:szCs w:val="20"/>
          <w:lang w:val="en-US"/>
        </w:rPr>
        <w:t>Biodiversity</w:t>
      </w:r>
      <w:r w:rsidR="00E65B1B" w:rsidRPr="000E3446">
        <w:rPr>
          <w:i/>
          <w:sz w:val="20"/>
          <w:szCs w:val="20"/>
          <w:lang w:val="en-US"/>
        </w:rPr>
        <w:t xml:space="preserve"> for Food an</w:t>
      </w:r>
      <w:r w:rsidR="000E3446" w:rsidRPr="000E3446">
        <w:rPr>
          <w:i/>
          <w:sz w:val="20"/>
          <w:szCs w:val="20"/>
          <w:lang w:val="en-US"/>
        </w:rPr>
        <w:t>d Agriculture; Contributing to F</w:t>
      </w:r>
      <w:r w:rsidR="000E3446">
        <w:rPr>
          <w:i/>
          <w:sz w:val="20"/>
          <w:szCs w:val="20"/>
          <w:lang w:val="en-US"/>
        </w:rPr>
        <w:t>ood Security and Sustainability in a Changing W</w:t>
      </w:r>
      <w:r w:rsidR="00E65B1B" w:rsidRPr="000E3446">
        <w:rPr>
          <w:i/>
          <w:sz w:val="20"/>
          <w:szCs w:val="20"/>
          <w:lang w:val="en-US"/>
        </w:rPr>
        <w:t>orld</w:t>
      </w:r>
      <w:r w:rsidR="009D4BA6" w:rsidRPr="000E3446">
        <w:rPr>
          <w:sz w:val="20"/>
          <w:szCs w:val="20"/>
          <w:lang w:val="en-US"/>
        </w:rPr>
        <w:t xml:space="preserve"> (2011)</w:t>
      </w:r>
      <w:r w:rsidR="00E65B1B" w:rsidRPr="000E3446">
        <w:rPr>
          <w:sz w:val="20"/>
          <w:szCs w:val="20"/>
          <w:lang w:val="en-US"/>
        </w:rPr>
        <w:t xml:space="preserve">. </w:t>
      </w:r>
    </w:p>
    <w:p w:rsidR="00E65B1B" w:rsidRPr="00582785" w:rsidRDefault="009D4BA6" w:rsidP="00F32A2A">
      <w:pPr>
        <w:pStyle w:val="NormalNonumber"/>
        <w:rPr>
          <w:sz w:val="20"/>
          <w:szCs w:val="20"/>
          <w:lang w:val="fr-FR"/>
        </w:rPr>
      </w:pPr>
      <w:r w:rsidRPr="00582785">
        <w:rPr>
          <w:sz w:val="20"/>
          <w:szCs w:val="20"/>
          <w:lang w:val="fr-FR"/>
        </w:rPr>
        <w:t xml:space="preserve">T. </w:t>
      </w:r>
      <w:r w:rsidR="00E65B1B" w:rsidRPr="00582785">
        <w:rPr>
          <w:sz w:val="20"/>
          <w:szCs w:val="20"/>
          <w:lang w:val="fr-FR"/>
        </w:rPr>
        <w:t>Garnett</w:t>
      </w:r>
      <w:r w:rsidRPr="00582785">
        <w:rPr>
          <w:sz w:val="20"/>
          <w:szCs w:val="20"/>
          <w:lang w:val="fr-FR"/>
        </w:rPr>
        <w:t xml:space="preserve"> </w:t>
      </w:r>
      <w:r w:rsidR="002E0F07" w:rsidRPr="00582785">
        <w:rPr>
          <w:sz w:val="20"/>
          <w:szCs w:val="20"/>
          <w:lang w:val="fr-FR"/>
        </w:rPr>
        <w:t>et autres « </w:t>
      </w:r>
      <w:r w:rsidR="000E3446">
        <w:rPr>
          <w:sz w:val="20"/>
          <w:szCs w:val="20"/>
          <w:lang w:val="fr-FR"/>
        </w:rPr>
        <w:t>Sustainable intensification in agriculture: p</w:t>
      </w:r>
      <w:r w:rsidR="00E65B1B" w:rsidRPr="00582785">
        <w:rPr>
          <w:sz w:val="20"/>
          <w:szCs w:val="20"/>
          <w:lang w:val="fr-FR"/>
        </w:rPr>
        <w:t>remises an</w:t>
      </w:r>
      <w:r w:rsidR="000E3446">
        <w:rPr>
          <w:sz w:val="20"/>
          <w:szCs w:val="20"/>
          <w:lang w:val="fr-FR"/>
        </w:rPr>
        <w:t>d p</w:t>
      </w:r>
      <w:r w:rsidR="00E65B1B" w:rsidRPr="00582785">
        <w:rPr>
          <w:sz w:val="20"/>
          <w:szCs w:val="20"/>
          <w:lang w:val="fr-FR"/>
        </w:rPr>
        <w:t>olicies</w:t>
      </w:r>
      <w:r w:rsidR="002E0F07" w:rsidRPr="00582785">
        <w:rPr>
          <w:sz w:val="20"/>
          <w:szCs w:val="20"/>
          <w:lang w:val="fr-FR"/>
        </w:rPr>
        <w:t> »</w:t>
      </w:r>
      <w:r w:rsidR="0045436D" w:rsidRPr="00582785">
        <w:rPr>
          <w:sz w:val="20"/>
          <w:szCs w:val="20"/>
          <w:lang w:val="fr-FR"/>
        </w:rPr>
        <w:t xml:space="preserve">, </w:t>
      </w:r>
      <w:r w:rsidR="00E65B1B" w:rsidRPr="00582785">
        <w:rPr>
          <w:i/>
          <w:sz w:val="20"/>
          <w:szCs w:val="20"/>
          <w:lang w:val="fr-FR"/>
        </w:rPr>
        <w:t>Science</w:t>
      </w:r>
      <w:r w:rsidR="0045436D" w:rsidRPr="00582785">
        <w:rPr>
          <w:sz w:val="20"/>
          <w:szCs w:val="20"/>
          <w:lang w:val="fr-FR"/>
        </w:rPr>
        <w:t>, vol.</w:t>
      </w:r>
      <w:r w:rsidR="00A53029" w:rsidRPr="00582785">
        <w:rPr>
          <w:sz w:val="20"/>
          <w:szCs w:val="20"/>
          <w:lang w:val="fr-FR"/>
        </w:rPr>
        <w:t> </w:t>
      </w:r>
      <w:r w:rsidR="00E65B1B" w:rsidRPr="00582785">
        <w:rPr>
          <w:sz w:val="20"/>
          <w:szCs w:val="20"/>
          <w:lang w:val="fr-FR"/>
        </w:rPr>
        <w:t>341</w:t>
      </w:r>
      <w:r w:rsidR="0045436D" w:rsidRPr="00582785">
        <w:rPr>
          <w:sz w:val="20"/>
          <w:szCs w:val="20"/>
          <w:lang w:val="fr-FR"/>
        </w:rPr>
        <w:t>, pp.</w:t>
      </w:r>
      <w:r w:rsidR="00E65B1B" w:rsidRPr="00582785">
        <w:rPr>
          <w:sz w:val="20"/>
          <w:szCs w:val="20"/>
          <w:lang w:val="fr-FR"/>
        </w:rPr>
        <w:t xml:space="preserve"> 33</w:t>
      </w:r>
      <w:r w:rsidR="000E3446">
        <w:rPr>
          <w:sz w:val="20"/>
          <w:szCs w:val="20"/>
          <w:lang w:val="fr-FR"/>
        </w:rPr>
        <w:t xml:space="preserve"> et</w:t>
      </w:r>
      <w:r w:rsidR="00E65B1B" w:rsidRPr="00582785">
        <w:rPr>
          <w:sz w:val="20"/>
          <w:szCs w:val="20"/>
          <w:lang w:val="fr-FR"/>
        </w:rPr>
        <w:t xml:space="preserve"> 34</w:t>
      </w:r>
      <w:r w:rsidR="0045436D" w:rsidRPr="00582785">
        <w:rPr>
          <w:sz w:val="20"/>
          <w:szCs w:val="20"/>
          <w:lang w:val="fr-FR"/>
        </w:rPr>
        <w:t xml:space="preserve"> (2013)</w:t>
      </w:r>
      <w:r w:rsidR="00E65B1B" w:rsidRPr="00582785">
        <w:rPr>
          <w:sz w:val="20"/>
          <w:szCs w:val="20"/>
          <w:lang w:val="fr-FR"/>
        </w:rPr>
        <w:t xml:space="preserve">. </w:t>
      </w:r>
    </w:p>
    <w:tbl>
      <w:tblPr>
        <w:tblW w:w="0" w:type="auto"/>
        <w:tblLook w:val="01E0" w:firstRow="1" w:lastRow="1" w:firstColumn="1" w:lastColumn="1" w:noHBand="0" w:noVBand="0"/>
      </w:tblPr>
      <w:tblGrid>
        <w:gridCol w:w="3237"/>
        <w:gridCol w:w="3237"/>
        <w:gridCol w:w="3238"/>
      </w:tblGrid>
      <w:tr w:rsidR="001F1737" w:rsidRPr="00582785">
        <w:tc>
          <w:tcPr>
            <w:tcW w:w="3237" w:type="dxa"/>
          </w:tcPr>
          <w:p w:rsidR="001F1737" w:rsidRPr="00582785" w:rsidRDefault="001F1737" w:rsidP="00062279">
            <w:pPr>
              <w:pStyle w:val="Normal-pool"/>
              <w:spacing w:line="360" w:lineRule="auto"/>
              <w:rPr>
                <w:lang w:val="fr-FR"/>
              </w:rPr>
            </w:pPr>
          </w:p>
        </w:tc>
        <w:tc>
          <w:tcPr>
            <w:tcW w:w="3237" w:type="dxa"/>
            <w:tcBorders>
              <w:bottom w:val="single" w:sz="4" w:space="0" w:color="auto"/>
            </w:tcBorders>
          </w:tcPr>
          <w:p w:rsidR="001F1737" w:rsidRPr="00582785" w:rsidRDefault="001F1737" w:rsidP="00062279">
            <w:pPr>
              <w:pStyle w:val="Normal-pool"/>
              <w:spacing w:line="360" w:lineRule="auto"/>
              <w:rPr>
                <w:lang w:val="fr-FR"/>
              </w:rPr>
            </w:pPr>
          </w:p>
        </w:tc>
        <w:tc>
          <w:tcPr>
            <w:tcW w:w="3238" w:type="dxa"/>
          </w:tcPr>
          <w:p w:rsidR="001F1737" w:rsidRPr="00582785" w:rsidRDefault="001F1737" w:rsidP="00062279">
            <w:pPr>
              <w:pStyle w:val="Normal-pool"/>
              <w:spacing w:line="360" w:lineRule="auto"/>
              <w:rPr>
                <w:lang w:val="fr-FR"/>
              </w:rPr>
            </w:pPr>
          </w:p>
        </w:tc>
      </w:tr>
    </w:tbl>
    <w:p w:rsidR="00D11D69" w:rsidRPr="00582785" w:rsidRDefault="00D11D69" w:rsidP="00E37544">
      <w:pPr>
        <w:pStyle w:val="Normal-pool"/>
        <w:spacing w:line="360" w:lineRule="auto"/>
        <w:rPr>
          <w:lang w:val="fr-FR"/>
        </w:rPr>
      </w:pPr>
    </w:p>
    <w:sectPr w:rsidR="00D11D69" w:rsidRPr="00582785" w:rsidSect="00713D8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FB" w:rsidRDefault="00E153FB">
      <w:r>
        <w:separator/>
      </w:r>
    </w:p>
  </w:endnote>
  <w:endnote w:type="continuationSeparator" w:id="0">
    <w:p w:rsidR="00E153FB" w:rsidRDefault="00E1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46" w:rsidRDefault="000E3446">
    <w:pPr>
      <w:pStyle w:val="Footer"/>
    </w:pPr>
    <w:r>
      <w:rPr>
        <w:rStyle w:val="PageNumber"/>
      </w:rPr>
      <w:fldChar w:fldCharType="begin"/>
    </w:r>
    <w:r>
      <w:rPr>
        <w:rStyle w:val="PageNumber"/>
      </w:rPr>
      <w:instrText xml:space="preserve"> PAGE </w:instrText>
    </w:r>
    <w:r>
      <w:rPr>
        <w:rStyle w:val="PageNumber"/>
      </w:rPr>
      <w:fldChar w:fldCharType="separate"/>
    </w:r>
    <w:r w:rsidR="00F94A53">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46" w:rsidRDefault="000E3446"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F94A53">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46" w:rsidRPr="00864922" w:rsidRDefault="000E3446" w:rsidP="00194D87">
    <w:pPr>
      <w:pStyle w:val="Footer"/>
      <w:tabs>
        <w:tab w:val="clear" w:pos="4320"/>
        <w:tab w:val="clear" w:pos="8640"/>
        <w:tab w:val="left" w:pos="624"/>
      </w:tabs>
      <w:rPr>
        <w:rFonts w:ascii="Times New Roman" w:hAnsi="Times New Roman"/>
        <w:sz w:val="20"/>
        <w:szCs w:val="20"/>
      </w:rPr>
    </w:pPr>
    <w:r>
      <w:rPr>
        <w:rFonts w:ascii="Times New Roman" w:hAnsi="Times New Roman"/>
        <w:sz w:val="20"/>
        <w:szCs w:val="20"/>
      </w:rPr>
      <w:t>K1353347</w:t>
    </w:r>
    <w:r>
      <w:rPr>
        <w:rFonts w:ascii="Times New Roman" w:hAnsi="Times New Roman"/>
        <w:sz w:val="20"/>
        <w:szCs w:val="20"/>
      </w:rPr>
      <w:tab/>
      <w:t>311013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FB" w:rsidRPr="00A53029" w:rsidRDefault="00E153FB" w:rsidP="00A53029">
      <w:pPr>
        <w:spacing w:after="120" w:line="240" w:lineRule="auto"/>
        <w:ind w:left="624"/>
        <w:rPr>
          <w:rFonts w:ascii="Times New Roman" w:hAnsi="Times New Roman"/>
          <w:sz w:val="20"/>
          <w:szCs w:val="20"/>
        </w:rPr>
      </w:pPr>
      <w:r w:rsidRPr="00A53029">
        <w:rPr>
          <w:rFonts w:ascii="Times New Roman" w:hAnsi="Times New Roman"/>
          <w:sz w:val="20"/>
          <w:szCs w:val="20"/>
        </w:rPr>
        <w:separator/>
      </w:r>
    </w:p>
  </w:footnote>
  <w:footnote w:type="continuationSeparator" w:id="0">
    <w:p w:rsidR="00E153FB" w:rsidRDefault="00E153FB">
      <w:r>
        <w:continuationSeparator/>
      </w:r>
    </w:p>
  </w:footnote>
  <w:footnote w:id="1">
    <w:p w:rsidR="000E3446" w:rsidRPr="00775FC8" w:rsidRDefault="000E3446" w:rsidP="00F6760E">
      <w:pPr>
        <w:pStyle w:val="FootnoteText"/>
        <w:tabs>
          <w:tab w:val="clear" w:pos="1247"/>
          <w:tab w:val="clear" w:pos="1814"/>
          <w:tab w:val="clear" w:pos="2381"/>
          <w:tab w:val="clear" w:pos="2948"/>
          <w:tab w:val="clear" w:pos="3515"/>
          <w:tab w:val="left" w:pos="624"/>
        </w:tabs>
        <w:rPr>
          <w:szCs w:val="18"/>
          <w:lang w:val="en-US"/>
        </w:rPr>
      </w:pPr>
      <w:r w:rsidRPr="00775FC8">
        <w:rPr>
          <w:rStyle w:val="FootnoteReference"/>
          <w:sz w:val="18"/>
        </w:rPr>
        <w:sym w:font="Symbol" w:char="F02A"/>
      </w:r>
      <w:r w:rsidRPr="00775FC8">
        <w:rPr>
          <w:szCs w:val="18"/>
        </w:rPr>
        <w:t xml:space="preserve"> IPBES/</w:t>
      </w:r>
      <w:r w:rsidRPr="00775FC8">
        <w:rPr>
          <w:szCs w:val="18"/>
          <w:lang w:eastAsia="ja-JP"/>
        </w:rPr>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46" w:rsidRPr="00194D87" w:rsidRDefault="000E3446" w:rsidP="00194D87">
    <w:pPr>
      <w:pStyle w:val="Header"/>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w:t>
    </w:r>
    <w:r>
      <w:rPr>
        <w:rFonts w:ascii="Times New Roman" w:hAnsi="Times New Roman"/>
        <w:szCs w:val="18"/>
        <w:lang w:val="en-US" w:eastAsia="ja-JP"/>
      </w:rPr>
      <w:t>16/Add.7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46" w:rsidRPr="00194D87" w:rsidRDefault="000E3446" w:rsidP="00194D87">
    <w:pPr>
      <w:pStyle w:val="Header"/>
      <w:jc w:val="right"/>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2/1</w:t>
    </w:r>
    <w:r>
      <w:rPr>
        <w:rFonts w:ascii="Times New Roman" w:hAnsi="Times New Roman"/>
        <w:szCs w:val="18"/>
        <w:lang w:val="en-US" w:eastAsia="ja-JP"/>
      </w:rPr>
      <w:t>6/Add.7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46" w:rsidRPr="00762016" w:rsidRDefault="000E3446" w:rsidP="00762016">
    <w:pPr>
      <w:pStyle w:val="Header"/>
      <w:pBdr>
        <w:bottom w:val="none" w:sz="0" w:space="0"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FB6"/>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6E86"/>
    <w:multiLevelType w:val="hybridMultilevel"/>
    <w:tmpl w:val="C772EAEC"/>
    <w:lvl w:ilvl="0" w:tplc="04EAF5F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253FB"/>
    <w:multiLevelType w:val="hybridMultilevel"/>
    <w:tmpl w:val="35BA8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96E1B87"/>
    <w:multiLevelType w:val="hybridMultilevel"/>
    <w:tmpl w:val="7FD0E58E"/>
    <w:lvl w:ilvl="0" w:tplc="7062EF0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nsid w:val="403A4541"/>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712A5"/>
    <w:multiLevelType w:val="hybridMultilevel"/>
    <w:tmpl w:val="E8B29EF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Arial"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Arial"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Arial"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2291BF8"/>
    <w:multiLevelType w:val="multilevel"/>
    <w:tmpl w:val="F4ACF36E"/>
    <w:numStyleLink w:val="Normallist"/>
  </w:abstractNum>
  <w:abstractNum w:abstractNumId="10">
    <w:nsid w:val="6B653E91"/>
    <w:multiLevelType w:val="hybridMultilevel"/>
    <w:tmpl w:val="F1D044B6"/>
    <w:lvl w:ilvl="0" w:tplc="30F22B6A">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num w:numId="1">
    <w:abstractNumId w:val="8"/>
  </w:num>
  <w:num w:numId="2">
    <w:abstractNumId w:val="3"/>
  </w:num>
  <w:num w:numId="3">
    <w:abstractNumId w:val="5"/>
  </w:num>
  <w:num w:numId="4">
    <w:abstractNumId w:val="9"/>
  </w:num>
  <w:num w:numId="5">
    <w:abstractNumId w:val="1"/>
  </w:num>
  <w:num w:numId="6">
    <w:abstractNumId w:val="4"/>
  </w:num>
  <w:num w:numId="7">
    <w:abstractNumId w:val="6"/>
  </w:num>
  <w:num w:numId="8">
    <w:abstractNumId w:val="0"/>
  </w:num>
  <w:num w:numId="9">
    <w:abstractNumId w:val="2"/>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7"/>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87"/>
    <w:rsid w:val="000149E6"/>
    <w:rsid w:val="000179E3"/>
    <w:rsid w:val="000247B0"/>
    <w:rsid w:val="000249A3"/>
    <w:rsid w:val="0002522A"/>
    <w:rsid w:val="00026997"/>
    <w:rsid w:val="0003198C"/>
    <w:rsid w:val="00033E0B"/>
    <w:rsid w:val="00035EDE"/>
    <w:rsid w:val="00046CB9"/>
    <w:rsid w:val="000509B4"/>
    <w:rsid w:val="000537AB"/>
    <w:rsid w:val="0006035B"/>
    <w:rsid w:val="00062279"/>
    <w:rsid w:val="0007166E"/>
    <w:rsid w:val="0007169A"/>
    <w:rsid w:val="00071886"/>
    <w:rsid w:val="000742BC"/>
    <w:rsid w:val="00082A0C"/>
    <w:rsid w:val="00083504"/>
    <w:rsid w:val="0009640C"/>
    <w:rsid w:val="000B153E"/>
    <w:rsid w:val="000B199B"/>
    <w:rsid w:val="000B21D5"/>
    <w:rsid w:val="000B22A2"/>
    <w:rsid w:val="000C2A52"/>
    <w:rsid w:val="000D33C0"/>
    <w:rsid w:val="000D6941"/>
    <w:rsid w:val="000E3446"/>
    <w:rsid w:val="000F4B6E"/>
    <w:rsid w:val="00115F01"/>
    <w:rsid w:val="001202E3"/>
    <w:rsid w:val="00123699"/>
    <w:rsid w:val="0013059D"/>
    <w:rsid w:val="00141A55"/>
    <w:rsid w:val="001446A3"/>
    <w:rsid w:val="00155395"/>
    <w:rsid w:val="0016456C"/>
    <w:rsid w:val="00164791"/>
    <w:rsid w:val="00166EBC"/>
    <w:rsid w:val="00170D52"/>
    <w:rsid w:val="00171546"/>
    <w:rsid w:val="0017727D"/>
    <w:rsid w:val="00181EC8"/>
    <w:rsid w:val="00184349"/>
    <w:rsid w:val="001867F5"/>
    <w:rsid w:val="00194D87"/>
    <w:rsid w:val="00195F33"/>
    <w:rsid w:val="001B1617"/>
    <w:rsid w:val="001B4912"/>
    <w:rsid w:val="001B504B"/>
    <w:rsid w:val="001D3874"/>
    <w:rsid w:val="001D7E75"/>
    <w:rsid w:val="001E56D2"/>
    <w:rsid w:val="001E6B62"/>
    <w:rsid w:val="001E7D56"/>
    <w:rsid w:val="001F1737"/>
    <w:rsid w:val="001F60D3"/>
    <w:rsid w:val="001F75DE"/>
    <w:rsid w:val="00200D58"/>
    <w:rsid w:val="002013BE"/>
    <w:rsid w:val="002063A4"/>
    <w:rsid w:val="0021145B"/>
    <w:rsid w:val="00221178"/>
    <w:rsid w:val="002324CD"/>
    <w:rsid w:val="002417AA"/>
    <w:rsid w:val="00242A6D"/>
    <w:rsid w:val="002434EB"/>
    <w:rsid w:val="00243D36"/>
    <w:rsid w:val="00247707"/>
    <w:rsid w:val="00251DF1"/>
    <w:rsid w:val="002826F5"/>
    <w:rsid w:val="00286740"/>
    <w:rsid w:val="002929D8"/>
    <w:rsid w:val="00293850"/>
    <w:rsid w:val="002A237D"/>
    <w:rsid w:val="002A4C53"/>
    <w:rsid w:val="002B0672"/>
    <w:rsid w:val="002B1B4C"/>
    <w:rsid w:val="002B247F"/>
    <w:rsid w:val="002B3767"/>
    <w:rsid w:val="002C145D"/>
    <w:rsid w:val="002C2C3E"/>
    <w:rsid w:val="002C45EE"/>
    <w:rsid w:val="002C533E"/>
    <w:rsid w:val="002D027F"/>
    <w:rsid w:val="002D7A85"/>
    <w:rsid w:val="002D7B60"/>
    <w:rsid w:val="002E0F07"/>
    <w:rsid w:val="002F4761"/>
    <w:rsid w:val="002F5C79"/>
    <w:rsid w:val="003019E2"/>
    <w:rsid w:val="00305EB8"/>
    <w:rsid w:val="00310FD9"/>
    <w:rsid w:val="0031413F"/>
    <w:rsid w:val="003148BB"/>
    <w:rsid w:val="00315D2C"/>
    <w:rsid w:val="00316934"/>
    <w:rsid w:val="00317976"/>
    <w:rsid w:val="003421C3"/>
    <w:rsid w:val="00355EA9"/>
    <w:rsid w:val="003578DE"/>
    <w:rsid w:val="00361489"/>
    <w:rsid w:val="00364DCD"/>
    <w:rsid w:val="00396257"/>
    <w:rsid w:val="00397EB8"/>
    <w:rsid w:val="003A086E"/>
    <w:rsid w:val="003A4FD0"/>
    <w:rsid w:val="003A52AB"/>
    <w:rsid w:val="003A69D1"/>
    <w:rsid w:val="003A7375"/>
    <w:rsid w:val="003A7705"/>
    <w:rsid w:val="003B1545"/>
    <w:rsid w:val="003C409D"/>
    <w:rsid w:val="003C5BA6"/>
    <w:rsid w:val="003E2AF8"/>
    <w:rsid w:val="003F0E85"/>
    <w:rsid w:val="003F379D"/>
    <w:rsid w:val="003F3DDC"/>
    <w:rsid w:val="003F523D"/>
    <w:rsid w:val="00405251"/>
    <w:rsid w:val="00410C55"/>
    <w:rsid w:val="00416854"/>
    <w:rsid w:val="00417725"/>
    <w:rsid w:val="00437F26"/>
    <w:rsid w:val="00444097"/>
    <w:rsid w:val="00445487"/>
    <w:rsid w:val="0045436D"/>
    <w:rsid w:val="00454769"/>
    <w:rsid w:val="00466991"/>
    <w:rsid w:val="0047064C"/>
    <w:rsid w:val="004863D2"/>
    <w:rsid w:val="004978F9"/>
    <w:rsid w:val="004A42E1"/>
    <w:rsid w:val="004B162C"/>
    <w:rsid w:val="004C3DBE"/>
    <w:rsid w:val="004C5C96"/>
    <w:rsid w:val="004D06A4"/>
    <w:rsid w:val="004F00DD"/>
    <w:rsid w:val="004F1A81"/>
    <w:rsid w:val="00500621"/>
    <w:rsid w:val="005218D9"/>
    <w:rsid w:val="005275BE"/>
    <w:rsid w:val="00535AB5"/>
    <w:rsid w:val="00536186"/>
    <w:rsid w:val="00536446"/>
    <w:rsid w:val="00536907"/>
    <w:rsid w:val="00544CBB"/>
    <w:rsid w:val="00561C28"/>
    <w:rsid w:val="00564583"/>
    <w:rsid w:val="0057315F"/>
    <w:rsid w:val="00576104"/>
    <w:rsid w:val="0057716D"/>
    <w:rsid w:val="0058068F"/>
    <w:rsid w:val="00582785"/>
    <w:rsid w:val="00586F6E"/>
    <w:rsid w:val="005926C2"/>
    <w:rsid w:val="005C04E2"/>
    <w:rsid w:val="005C0CF8"/>
    <w:rsid w:val="005C67C8"/>
    <w:rsid w:val="005D0249"/>
    <w:rsid w:val="005D5E20"/>
    <w:rsid w:val="005D6E8C"/>
    <w:rsid w:val="005F100C"/>
    <w:rsid w:val="005F68DA"/>
    <w:rsid w:val="0060773B"/>
    <w:rsid w:val="006116FA"/>
    <w:rsid w:val="006157B5"/>
    <w:rsid w:val="00626FC6"/>
    <w:rsid w:val="006303B4"/>
    <w:rsid w:val="00633D3D"/>
    <w:rsid w:val="00633FDE"/>
    <w:rsid w:val="00641703"/>
    <w:rsid w:val="006431A6"/>
    <w:rsid w:val="006459F6"/>
    <w:rsid w:val="006501AD"/>
    <w:rsid w:val="00651BFA"/>
    <w:rsid w:val="006571F4"/>
    <w:rsid w:val="00663A51"/>
    <w:rsid w:val="00664226"/>
    <w:rsid w:val="00665A4B"/>
    <w:rsid w:val="00692E2A"/>
    <w:rsid w:val="006A6B25"/>
    <w:rsid w:val="006A76F2"/>
    <w:rsid w:val="006C5FA6"/>
    <w:rsid w:val="006D4F00"/>
    <w:rsid w:val="006D7EFB"/>
    <w:rsid w:val="006E1C4A"/>
    <w:rsid w:val="006E6672"/>
    <w:rsid w:val="006E6722"/>
    <w:rsid w:val="006E7F64"/>
    <w:rsid w:val="006F21D2"/>
    <w:rsid w:val="007027B9"/>
    <w:rsid w:val="00713D8F"/>
    <w:rsid w:val="00715E88"/>
    <w:rsid w:val="007313A1"/>
    <w:rsid w:val="00734CAA"/>
    <w:rsid w:val="007469A7"/>
    <w:rsid w:val="0075533C"/>
    <w:rsid w:val="00757581"/>
    <w:rsid w:val="007611A0"/>
    <w:rsid w:val="00762016"/>
    <w:rsid w:val="00765703"/>
    <w:rsid w:val="00786888"/>
    <w:rsid w:val="00796D3F"/>
    <w:rsid w:val="007A1683"/>
    <w:rsid w:val="007A1BA5"/>
    <w:rsid w:val="007A36F8"/>
    <w:rsid w:val="007A5C12"/>
    <w:rsid w:val="007A7CB0"/>
    <w:rsid w:val="007B68A3"/>
    <w:rsid w:val="007C0F3E"/>
    <w:rsid w:val="007C2541"/>
    <w:rsid w:val="007C4CD4"/>
    <w:rsid w:val="007D66A8"/>
    <w:rsid w:val="007E003F"/>
    <w:rsid w:val="00802E72"/>
    <w:rsid w:val="008164F2"/>
    <w:rsid w:val="00820152"/>
    <w:rsid w:val="00821395"/>
    <w:rsid w:val="00830E26"/>
    <w:rsid w:val="00842585"/>
    <w:rsid w:val="00843576"/>
    <w:rsid w:val="00843B64"/>
    <w:rsid w:val="008478FC"/>
    <w:rsid w:val="00867BFF"/>
    <w:rsid w:val="00870972"/>
    <w:rsid w:val="008837CB"/>
    <w:rsid w:val="0088480A"/>
    <w:rsid w:val="0088757A"/>
    <w:rsid w:val="008957DD"/>
    <w:rsid w:val="00897D98"/>
    <w:rsid w:val="008A26B4"/>
    <w:rsid w:val="008A5A06"/>
    <w:rsid w:val="008A6DF2"/>
    <w:rsid w:val="008A7807"/>
    <w:rsid w:val="008B4CC9"/>
    <w:rsid w:val="008D2BB5"/>
    <w:rsid w:val="008D7C99"/>
    <w:rsid w:val="008E0FCB"/>
    <w:rsid w:val="008E329D"/>
    <w:rsid w:val="008F4C39"/>
    <w:rsid w:val="008F6070"/>
    <w:rsid w:val="0090416F"/>
    <w:rsid w:val="0092178C"/>
    <w:rsid w:val="00921A8C"/>
    <w:rsid w:val="00930B88"/>
    <w:rsid w:val="00940DCC"/>
    <w:rsid w:val="0094179A"/>
    <w:rsid w:val="0094459E"/>
    <w:rsid w:val="00944DBC"/>
    <w:rsid w:val="00950977"/>
    <w:rsid w:val="0095189F"/>
    <w:rsid w:val="00951A7B"/>
    <w:rsid w:val="009564A6"/>
    <w:rsid w:val="00963E62"/>
    <w:rsid w:val="00967621"/>
    <w:rsid w:val="00967E6A"/>
    <w:rsid w:val="009815A4"/>
    <w:rsid w:val="00985183"/>
    <w:rsid w:val="009935AC"/>
    <w:rsid w:val="00995DF2"/>
    <w:rsid w:val="009979BF"/>
    <w:rsid w:val="009B4A0F"/>
    <w:rsid w:val="009B5E20"/>
    <w:rsid w:val="009C11D2"/>
    <w:rsid w:val="009C289F"/>
    <w:rsid w:val="009C6C70"/>
    <w:rsid w:val="009D0B63"/>
    <w:rsid w:val="009D4BA6"/>
    <w:rsid w:val="009D4C74"/>
    <w:rsid w:val="009E307E"/>
    <w:rsid w:val="00A065A7"/>
    <w:rsid w:val="00A07870"/>
    <w:rsid w:val="00A07F19"/>
    <w:rsid w:val="00A1348D"/>
    <w:rsid w:val="00A232EE"/>
    <w:rsid w:val="00A31DBD"/>
    <w:rsid w:val="00A34977"/>
    <w:rsid w:val="00A365CD"/>
    <w:rsid w:val="00A3704C"/>
    <w:rsid w:val="00A4175F"/>
    <w:rsid w:val="00A44411"/>
    <w:rsid w:val="00A469FA"/>
    <w:rsid w:val="00A53029"/>
    <w:rsid w:val="00A55B01"/>
    <w:rsid w:val="00A56B5B"/>
    <w:rsid w:val="00A603FF"/>
    <w:rsid w:val="00A60E3D"/>
    <w:rsid w:val="00A62259"/>
    <w:rsid w:val="00A657DD"/>
    <w:rsid w:val="00A666A6"/>
    <w:rsid w:val="00A67480"/>
    <w:rsid w:val="00A675FD"/>
    <w:rsid w:val="00A72437"/>
    <w:rsid w:val="00A80611"/>
    <w:rsid w:val="00A900EC"/>
    <w:rsid w:val="00A93108"/>
    <w:rsid w:val="00AA3073"/>
    <w:rsid w:val="00AA71A7"/>
    <w:rsid w:val="00AB149E"/>
    <w:rsid w:val="00AB3AF1"/>
    <w:rsid w:val="00AB5340"/>
    <w:rsid w:val="00AC425A"/>
    <w:rsid w:val="00AC5674"/>
    <w:rsid w:val="00AC7C96"/>
    <w:rsid w:val="00AD5F9A"/>
    <w:rsid w:val="00AE237D"/>
    <w:rsid w:val="00AE502A"/>
    <w:rsid w:val="00AE6DD2"/>
    <w:rsid w:val="00AF7C07"/>
    <w:rsid w:val="00B141EB"/>
    <w:rsid w:val="00B20DD4"/>
    <w:rsid w:val="00B22C93"/>
    <w:rsid w:val="00B26131"/>
    <w:rsid w:val="00B27589"/>
    <w:rsid w:val="00B27EA9"/>
    <w:rsid w:val="00B405B7"/>
    <w:rsid w:val="00B46922"/>
    <w:rsid w:val="00B52222"/>
    <w:rsid w:val="00B54FE7"/>
    <w:rsid w:val="00B64938"/>
    <w:rsid w:val="00B658EA"/>
    <w:rsid w:val="00B66901"/>
    <w:rsid w:val="00B71E6D"/>
    <w:rsid w:val="00B72070"/>
    <w:rsid w:val="00B779E1"/>
    <w:rsid w:val="00B91EE1"/>
    <w:rsid w:val="00B94CAD"/>
    <w:rsid w:val="00BA0090"/>
    <w:rsid w:val="00BA1A67"/>
    <w:rsid w:val="00BA3B66"/>
    <w:rsid w:val="00BA5887"/>
    <w:rsid w:val="00BC55BF"/>
    <w:rsid w:val="00BD54EA"/>
    <w:rsid w:val="00BD6CE0"/>
    <w:rsid w:val="00BE5B5F"/>
    <w:rsid w:val="00C115F6"/>
    <w:rsid w:val="00C26F55"/>
    <w:rsid w:val="00C30C63"/>
    <w:rsid w:val="00C36B8B"/>
    <w:rsid w:val="00C46B5E"/>
    <w:rsid w:val="00C47DBF"/>
    <w:rsid w:val="00C552FF"/>
    <w:rsid w:val="00C558DA"/>
    <w:rsid w:val="00C55AF3"/>
    <w:rsid w:val="00C610A0"/>
    <w:rsid w:val="00C677EA"/>
    <w:rsid w:val="00C84759"/>
    <w:rsid w:val="00C861BD"/>
    <w:rsid w:val="00CA10FC"/>
    <w:rsid w:val="00CA6C7F"/>
    <w:rsid w:val="00CB38B7"/>
    <w:rsid w:val="00CC10A6"/>
    <w:rsid w:val="00CC386A"/>
    <w:rsid w:val="00CC4547"/>
    <w:rsid w:val="00CC4633"/>
    <w:rsid w:val="00CC5BFB"/>
    <w:rsid w:val="00CD5EB8"/>
    <w:rsid w:val="00CD7044"/>
    <w:rsid w:val="00CE08B9"/>
    <w:rsid w:val="00CE524C"/>
    <w:rsid w:val="00CE5293"/>
    <w:rsid w:val="00CF141F"/>
    <w:rsid w:val="00CF4777"/>
    <w:rsid w:val="00D038C1"/>
    <w:rsid w:val="00D067BB"/>
    <w:rsid w:val="00D11D69"/>
    <w:rsid w:val="00D127BC"/>
    <w:rsid w:val="00D1352A"/>
    <w:rsid w:val="00D169AF"/>
    <w:rsid w:val="00D25249"/>
    <w:rsid w:val="00D37E95"/>
    <w:rsid w:val="00D405A7"/>
    <w:rsid w:val="00D4108C"/>
    <w:rsid w:val="00D41254"/>
    <w:rsid w:val="00D44172"/>
    <w:rsid w:val="00D63B8C"/>
    <w:rsid w:val="00D739CC"/>
    <w:rsid w:val="00D8093D"/>
    <w:rsid w:val="00D8108C"/>
    <w:rsid w:val="00D842AE"/>
    <w:rsid w:val="00D90044"/>
    <w:rsid w:val="00D91AB5"/>
    <w:rsid w:val="00D9211C"/>
    <w:rsid w:val="00D92DE0"/>
    <w:rsid w:val="00D92FEF"/>
    <w:rsid w:val="00D93A0F"/>
    <w:rsid w:val="00DA1BCA"/>
    <w:rsid w:val="00DB0348"/>
    <w:rsid w:val="00DB74CC"/>
    <w:rsid w:val="00DC46FF"/>
    <w:rsid w:val="00DC5254"/>
    <w:rsid w:val="00DD1A4F"/>
    <w:rsid w:val="00DD3107"/>
    <w:rsid w:val="00DD376A"/>
    <w:rsid w:val="00DD7C2C"/>
    <w:rsid w:val="00DE0ADE"/>
    <w:rsid w:val="00DF6697"/>
    <w:rsid w:val="00E06797"/>
    <w:rsid w:val="00E10214"/>
    <w:rsid w:val="00E1265B"/>
    <w:rsid w:val="00E13B48"/>
    <w:rsid w:val="00E1404F"/>
    <w:rsid w:val="00E153FB"/>
    <w:rsid w:val="00E21C83"/>
    <w:rsid w:val="00E24ADA"/>
    <w:rsid w:val="00E31C32"/>
    <w:rsid w:val="00E32F59"/>
    <w:rsid w:val="00E37544"/>
    <w:rsid w:val="00E401AF"/>
    <w:rsid w:val="00E40E47"/>
    <w:rsid w:val="00E46D9A"/>
    <w:rsid w:val="00E542AB"/>
    <w:rsid w:val="00E565FF"/>
    <w:rsid w:val="00E578CA"/>
    <w:rsid w:val="00E65388"/>
    <w:rsid w:val="00E65B1B"/>
    <w:rsid w:val="00E71CBA"/>
    <w:rsid w:val="00E85B7D"/>
    <w:rsid w:val="00E9121B"/>
    <w:rsid w:val="00E9595F"/>
    <w:rsid w:val="00EA0AE2"/>
    <w:rsid w:val="00EA39E5"/>
    <w:rsid w:val="00EC2457"/>
    <w:rsid w:val="00EC52D5"/>
    <w:rsid w:val="00EC5A46"/>
    <w:rsid w:val="00EC63E2"/>
    <w:rsid w:val="00EE6334"/>
    <w:rsid w:val="00EF22B3"/>
    <w:rsid w:val="00EF444F"/>
    <w:rsid w:val="00F03422"/>
    <w:rsid w:val="00F03B69"/>
    <w:rsid w:val="00F07A50"/>
    <w:rsid w:val="00F113DA"/>
    <w:rsid w:val="00F32A2A"/>
    <w:rsid w:val="00F37DC8"/>
    <w:rsid w:val="00F439B3"/>
    <w:rsid w:val="00F504C4"/>
    <w:rsid w:val="00F650C3"/>
    <w:rsid w:val="00F65D85"/>
    <w:rsid w:val="00F6760E"/>
    <w:rsid w:val="00F8091E"/>
    <w:rsid w:val="00F817E0"/>
    <w:rsid w:val="00F8615C"/>
    <w:rsid w:val="00F94A53"/>
    <w:rsid w:val="00F969E5"/>
    <w:rsid w:val="00FA30A2"/>
    <w:rsid w:val="00FA406A"/>
    <w:rsid w:val="00FA66F8"/>
    <w:rsid w:val="00FA6BB0"/>
    <w:rsid w:val="00FB1D91"/>
    <w:rsid w:val="00FB52B6"/>
    <w:rsid w:val="00FD0CB0"/>
    <w:rsid w:val="00FD2D22"/>
    <w:rsid w:val="00FD4070"/>
    <w:rsid w:val="00FD5860"/>
    <w:rsid w:val="00FD772E"/>
    <w:rsid w:val="00FE352D"/>
    <w:rsid w:val="00FE40EB"/>
    <w:rsid w:val="00FE4D02"/>
    <w:rsid w:val="00FE7D62"/>
    <w:rsid w:val="00FF3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sz w:val="24"/>
      <w:szCs w:val="24"/>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szCs w:val="20"/>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DD3107"/>
    <w:pPr>
      <w:numPr>
        <w:numId w:val="4"/>
      </w:numPr>
      <w:spacing w:after="120"/>
    </w:pPr>
    <w:rPr>
      <w:sz w:val="20"/>
      <w:szCs w:val="20"/>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uiPriority w:val="99"/>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szCs w:val="24"/>
    </w:rPr>
  </w:style>
  <w:style w:type="character" w:customStyle="1" w:styleId="NormalnumberChar">
    <w:name w:val="Normal_number Char"/>
    <w:link w:val="Normalnumber"/>
    <w:rsid w:val="00194D87"/>
    <w:rPr>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bidi="ar-SA"/>
    </w:rPr>
  </w:style>
  <w:style w:type="paragraph" w:styleId="ListParagraph">
    <w:name w:val="List Paragraph"/>
    <w:basedOn w:val="Normal"/>
    <w:uiPriority w:val="34"/>
    <w:qFormat/>
    <w:rsid w:val="00E65B1B"/>
    <w:pPr>
      <w:ind w:left="720"/>
      <w:contextualSpacing/>
    </w:pPr>
  </w:style>
  <w:style w:type="table" w:styleId="TableGrid">
    <w:name w:val="Table Grid"/>
    <w:basedOn w:val="TableNormal"/>
    <w:uiPriority w:val="59"/>
    <w:rsid w:val="00E65B1B"/>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E65B1B"/>
    <w:pPr>
      <w:autoSpaceDE w:val="0"/>
      <w:autoSpaceDN w:val="0"/>
      <w:adjustRightInd w:val="0"/>
      <w:spacing w:after="0" w:line="216" w:lineRule="atLeast"/>
    </w:pPr>
    <w:rPr>
      <w:rFonts w:ascii="Whitman" w:hAnsi="Whitman"/>
      <w:sz w:val="24"/>
      <w:szCs w:val="24"/>
      <w:lang w:val="en-US"/>
    </w:rPr>
  </w:style>
  <w:style w:type="character" w:customStyle="1" w:styleId="A13">
    <w:name w:val="A13"/>
    <w:uiPriority w:val="99"/>
    <w:rsid w:val="00E65B1B"/>
    <w:rPr>
      <w:rFonts w:ascii="Symbol" w:hAnsi="Symbol" w:cs="Symbol"/>
      <w:color w:val="221E1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footnote text" w:uiPriority="99"/>
    <w:lsdException w:name="footnote reference" w:uiPriority="99"/>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sz w:val="24"/>
      <w:szCs w:val="24"/>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szCs w:val="20"/>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DD3107"/>
    <w:pPr>
      <w:numPr>
        <w:numId w:val="4"/>
      </w:numPr>
      <w:spacing w:after="120"/>
    </w:pPr>
    <w:rPr>
      <w:sz w:val="20"/>
      <w:szCs w:val="20"/>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uiPriority w:val="99"/>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szCs w:val="24"/>
    </w:rPr>
  </w:style>
  <w:style w:type="character" w:customStyle="1" w:styleId="NormalnumberChar">
    <w:name w:val="Normal_number Char"/>
    <w:link w:val="Normalnumber"/>
    <w:rsid w:val="00194D87"/>
    <w:rPr>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bidi="ar-SA"/>
    </w:rPr>
  </w:style>
  <w:style w:type="paragraph" w:styleId="ListParagraph">
    <w:name w:val="List Paragraph"/>
    <w:basedOn w:val="Normal"/>
    <w:uiPriority w:val="34"/>
    <w:qFormat/>
    <w:rsid w:val="00E65B1B"/>
    <w:pPr>
      <w:ind w:left="720"/>
      <w:contextualSpacing/>
    </w:pPr>
  </w:style>
  <w:style w:type="table" w:styleId="TableGrid">
    <w:name w:val="Table Grid"/>
    <w:basedOn w:val="TableNormal"/>
    <w:uiPriority w:val="59"/>
    <w:rsid w:val="00E65B1B"/>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E65B1B"/>
    <w:pPr>
      <w:autoSpaceDE w:val="0"/>
      <w:autoSpaceDN w:val="0"/>
      <w:adjustRightInd w:val="0"/>
      <w:spacing w:after="0" w:line="216" w:lineRule="atLeast"/>
    </w:pPr>
    <w:rPr>
      <w:rFonts w:ascii="Whitman" w:hAnsi="Whitman"/>
      <w:sz w:val="24"/>
      <w:szCs w:val="24"/>
      <w:lang w:val="en-US"/>
    </w:rPr>
  </w:style>
  <w:style w:type="character" w:customStyle="1" w:styleId="A13">
    <w:name w:val="A13"/>
    <w:uiPriority w:val="99"/>
    <w:rsid w:val="00E65B1B"/>
    <w:rPr>
      <w:rFonts w:ascii="Symbol" w:hAnsi="Symbol" w:cs="Symbol"/>
      <w:color w:val="221E1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EFB0-F0B8-4997-929F-0BAF5072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13569</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Hewlett-Packard Company</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Scholastica Matheka</dc:creator>
  <cp:lastModifiedBy>Rohan Shanbhag</cp:lastModifiedBy>
  <cp:revision>2</cp:revision>
  <cp:lastPrinted>2013-10-31T12:39:00Z</cp:lastPrinted>
  <dcterms:created xsi:type="dcterms:W3CDTF">2013-11-05T07:34:00Z</dcterms:created>
  <dcterms:modified xsi:type="dcterms:W3CDTF">2013-11-05T07:34:00Z</dcterms:modified>
</cp:coreProperties>
</file>