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87" w:rsidRPr="00C062F0" w:rsidRDefault="00194D87" w:rsidP="00163DB4">
      <w:pPr>
        <w:pStyle w:val="Normal-pool"/>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194D87" w:rsidRPr="00C062F0" w:rsidTr="00293850">
        <w:trPr>
          <w:cantSplit/>
          <w:trHeight w:val="850"/>
        </w:trPr>
        <w:tc>
          <w:tcPr>
            <w:tcW w:w="1560" w:type="dxa"/>
          </w:tcPr>
          <w:p w:rsidR="00194D87" w:rsidRPr="00C062F0" w:rsidRDefault="00194D87" w:rsidP="00293850">
            <w:pPr>
              <w:tabs>
                <w:tab w:val="left" w:pos="624"/>
                <w:tab w:val="left" w:pos="1871"/>
                <w:tab w:val="left" w:pos="2495"/>
                <w:tab w:val="left" w:pos="3119"/>
                <w:tab w:val="left" w:pos="3742"/>
              </w:tabs>
              <w:spacing w:line="240" w:lineRule="auto"/>
              <w:rPr>
                <w:rFonts w:ascii="Arial" w:hAnsi="Arial" w:cs="Arial"/>
                <w:b/>
                <w:noProof/>
                <w:sz w:val="27"/>
                <w:szCs w:val="27"/>
              </w:rPr>
            </w:pPr>
            <w:r w:rsidRPr="00C062F0">
              <w:rPr>
                <w:rFonts w:ascii="Arial" w:hAnsi="Arial" w:cs="Arial"/>
                <w:b/>
                <w:noProof/>
                <w:sz w:val="27"/>
                <w:szCs w:val="27"/>
              </w:rPr>
              <w:t>UNITED</w:t>
            </w:r>
            <w:r w:rsidRPr="00C062F0">
              <w:rPr>
                <w:rFonts w:ascii="Arial" w:hAnsi="Arial" w:cs="Arial"/>
                <w:b/>
                <w:noProof/>
                <w:sz w:val="27"/>
                <w:szCs w:val="27"/>
              </w:rPr>
              <w:br/>
              <w:t>NATIONS</w:t>
            </w:r>
          </w:p>
        </w:tc>
        <w:tc>
          <w:tcPr>
            <w:tcW w:w="5208" w:type="dxa"/>
          </w:tcPr>
          <w:p w:rsidR="00194D87" w:rsidRPr="00C062F0" w:rsidRDefault="00194D87" w:rsidP="00293850">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194D87" w:rsidRPr="00C062F0" w:rsidRDefault="00194D87" w:rsidP="00293850">
            <w:pPr>
              <w:tabs>
                <w:tab w:val="left" w:pos="624"/>
                <w:tab w:val="left" w:pos="1871"/>
                <w:tab w:val="left" w:pos="2495"/>
                <w:tab w:val="left" w:pos="3119"/>
                <w:tab w:val="left" w:pos="3742"/>
              </w:tabs>
              <w:spacing w:line="240" w:lineRule="auto"/>
              <w:jc w:val="right"/>
              <w:rPr>
                <w:rFonts w:ascii="Univers" w:hAnsi="Univers"/>
                <w:b/>
                <w:sz w:val="72"/>
                <w:szCs w:val="72"/>
              </w:rPr>
            </w:pPr>
            <w:r w:rsidRPr="00C062F0">
              <w:rPr>
                <w:rFonts w:ascii="Univers" w:hAnsi="Univers"/>
                <w:b/>
                <w:sz w:val="72"/>
                <w:szCs w:val="72"/>
              </w:rPr>
              <w:t>EP</w:t>
            </w:r>
          </w:p>
        </w:tc>
      </w:tr>
      <w:tr w:rsidR="00194D87" w:rsidRPr="00C062F0" w:rsidTr="00293850">
        <w:trPr>
          <w:cantSplit/>
          <w:trHeight w:val="281"/>
        </w:trPr>
        <w:tc>
          <w:tcPr>
            <w:tcW w:w="1560" w:type="dxa"/>
            <w:tcBorders>
              <w:bottom w:val="single" w:sz="4" w:space="0" w:color="auto"/>
            </w:tcBorders>
          </w:tcPr>
          <w:p w:rsidR="00194D87" w:rsidRPr="00C062F0" w:rsidRDefault="00194D87" w:rsidP="00F11BA2">
            <w:pPr>
              <w:spacing w:after="0" w:line="240" w:lineRule="auto"/>
              <w:rPr>
                <w:rFonts w:ascii="Times New Roman" w:eastAsia="MS Mincho" w:hAnsi="Times New Roman"/>
                <w:noProof/>
                <w:sz w:val="18"/>
                <w:szCs w:val="18"/>
              </w:rPr>
            </w:pPr>
          </w:p>
        </w:tc>
        <w:tc>
          <w:tcPr>
            <w:tcW w:w="5208" w:type="dxa"/>
            <w:tcBorders>
              <w:bottom w:val="single" w:sz="4" w:space="0" w:color="auto"/>
            </w:tcBorders>
          </w:tcPr>
          <w:p w:rsidR="00194D87" w:rsidRPr="00C062F0" w:rsidRDefault="00194D87" w:rsidP="00F11BA2">
            <w:pPr>
              <w:spacing w:after="0" w:line="240" w:lineRule="auto"/>
              <w:rPr>
                <w:rFonts w:ascii="Times New Roman" w:eastAsia="MS Mincho" w:hAnsi="Times New Roman"/>
                <w:noProof/>
                <w:sz w:val="18"/>
                <w:szCs w:val="18"/>
              </w:rPr>
            </w:pPr>
          </w:p>
        </w:tc>
        <w:tc>
          <w:tcPr>
            <w:tcW w:w="3012" w:type="dxa"/>
            <w:tcBorders>
              <w:bottom w:val="single" w:sz="4" w:space="0" w:color="auto"/>
            </w:tcBorders>
          </w:tcPr>
          <w:p w:rsidR="00194D87" w:rsidRPr="00C062F0" w:rsidRDefault="00194D87" w:rsidP="00F11BA2">
            <w:pPr>
              <w:spacing w:after="0" w:line="240" w:lineRule="auto"/>
              <w:rPr>
                <w:rFonts w:ascii="Times New Roman" w:eastAsia="MS Mincho" w:hAnsi="Times New Roman"/>
                <w:noProof/>
                <w:sz w:val="18"/>
                <w:szCs w:val="18"/>
              </w:rPr>
            </w:pPr>
            <w:r w:rsidRPr="00C062F0">
              <w:rPr>
                <w:rFonts w:ascii="Times New Roman" w:eastAsia="MS Mincho" w:hAnsi="Times New Roman"/>
                <w:b/>
                <w:noProof/>
                <w:sz w:val="24"/>
                <w:szCs w:val="24"/>
              </w:rPr>
              <w:t>IPBES</w:t>
            </w:r>
            <w:r w:rsidRPr="002D0E89">
              <w:rPr>
                <w:rFonts w:ascii="Times New Roman" w:eastAsia="MS Mincho" w:hAnsi="Times New Roman"/>
                <w:noProof/>
                <w:sz w:val="20"/>
                <w:szCs w:val="20"/>
              </w:rPr>
              <w:t>/</w:t>
            </w:r>
            <w:r w:rsidR="00D6075D" w:rsidRPr="002D0E89">
              <w:rPr>
                <w:rFonts w:ascii="Times New Roman" w:eastAsia="MS Mincho" w:hAnsi="Times New Roman"/>
                <w:noProof/>
                <w:sz w:val="20"/>
                <w:szCs w:val="20"/>
              </w:rPr>
              <w:t>2/16/Add.6</w:t>
            </w:r>
          </w:p>
        </w:tc>
      </w:tr>
      <w:tr w:rsidR="00194D87" w:rsidRPr="00C062F0" w:rsidTr="00293850">
        <w:trPr>
          <w:cantSplit/>
          <w:trHeight w:val="2549"/>
        </w:trPr>
        <w:tc>
          <w:tcPr>
            <w:tcW w:w="1560" w:type="dxa"/>
            <w:tcBorders>
              <w:top w:val="single" w:sz="4" w:space="0" w:color="auto"/>
              <w:bottom w:val="single" w:sz="24" w:space="0" w:color="auto"/>
            </w:tcBorders>
          </w:tcPr>
          <w:p w:rsidR="00194D87" w:rsidRPr="00C062F0" w:rsidRDefault="00194D87" w:rsidP="00293850">
            <w:pPr>
              <w:tabs>
                <w:tab w:val="left" w:pos="624"/>
                <w:tab w:val="left" w:pos="1871"/>
                <w:tab w:val="left" w:pos="2495"/>
                <w:tab w:val="left" w:pos="3119"/>
                <w:tab w:val="left" w:pos="3742"/>
              </w:tabs>
              <w:spacing w:line="240" w:lineRule="auto"/>
              <w:rPr>
                <w:noProof/>
              </w:rPr>
            </w:pPr>
            <w:r w:rsidRPr="00C062F0">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9" o:title=""/>
                </v:shape>
                <o:OLEObject Type="Embed" ProgID="Word.Picture.8" ShapeID="_x0000_i1025" DrawAspect="Content" ObjectID="_1445240440" r:id="rId10"/>
              </w:object>
            </w:r>
            <w:r w:rsidR="00243CA0">
              <w:rPr>
                <w:noProof/>
                <w:lang w:val="en-US"/>
              </w:rPr>
              <w:drawing>
                <wp:inline distT="0" distB="0" distL="0" distR="0">
                  <wp:extent cx="723265" cy="765810"/>
                  <wp:effectExtent l="0" t="0" r="635"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6581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C062F0" w:rsidRDefault="00194D87" w:rsidP="00293850">
            <w:pPr>
              <w:tabs>
                <w:tab w:val="left" w:pos="624"/>
                <w:tab w:val="left" w:pos="1871"/>
                <w:tab w:val="left" w:pos="2495"/>
                <w:tab w:val="left" w:pos="3119"/>
                <w:tab w:val="left" w:pos="3742"/>
              </w:tabs>
              <w:spacing w:before="1400" w:line="240" w:lineRule="auto"/>
              <w:rPr>
                <w:rFonts w:ascii="Univers" w:hAnsi="Univers"/>
                <w:b/>
                <w:sz w:val="28"/>
              </w:rPr>
            </w:pPr>
            <w:r w:rsidRPr="00C062F0">
              <w:rPr>
                <w:rFonts w:ascii="Univers" w:hAnsi="Univers"/>
                <w:b/>
                <w:sz w:val="32"/>
                <w:szCs w:val="32"/>
              </w:rPr>
              <w:t>United Nations</w:t>
            </w:r>
            <w:r w:rsidRPr="00C062F0">
              <w:rPr>
                <w:rFonts w:ascii="Univers" w:hAnsi="Univers"/>
                <w:b/>
                <w:sz w:val="32"/>
                <w:szCs w:val="32"/>
              </w:rPr>
              <w:br/>
              <w:t xml:space="preserve">Environment </w:t>
            </w:r>
            <w:r w:rsidRPr="00C062F0">
              <w:rPr>
                <w:rFonts w:ascii="Univers" w:hAnsi="Univers"/>
                <w:b/>
                <w:sz w:val="32"/>
                <w:szCs w:val="32"/>
              </w:rPr>
              <w:br/>
              <w:t>Programme</w:t>
            </w:r>
          </w:p>
        </w:tc>
        <w:tc>
          <w:tcPr>
            <w:tcW w:w="3012" w:type="dxa"/>
            <w:tcBorders>
              <w:top w:val="single" w:sz="4" w:space="0" w:color="auto"/>
              <w:bottom w:val="single" w:sz="24" w:space="0" w:color="auto"/>
            </w:tcBorders>
          </w:tcPr>
          <w:p w:rsidR="00194D87" w:rsidRPr="002D0E89" w:rsidRDefault="00194D87" w:rsidP="00B032CE">
            <w:pPr>
              <w:tabs>
                <w:tab w:val="left" w:pos="624"/>
                <w:tab w:val="left" w:pos="1871"/>
                <w:tab w:val="left" w:pos="2495"/>
                <w:tab w:val="left" w:pos="3119"/>
                <w:tab w:val="left" w:pos="3742"/>
              </w:tabs>
              <w:spacing w:before="120" w:after="0" w:line="240" w:lineRule="auto"/>
              <w:rPr>
                <w:rFonts w:ascii="Times New Roman" w:hAnsi="Times New Roman"/>
                <w:sz w:val="20"/>
                <w:szCs w:val="20"/>
              </w:rPr>
            </w:pPr>
            <w:r w:rsidRPr="002D0E89">
              <w:rPr>
                <w:rFonts w:ascii="Times New Roman" w:hAnsi="Times New Roman"/>
                <w:sz w:val="20"/>
                <w:szCs w:val="20"/>
              </w:rPr>
              <w:t>Distr.: General</w:t>
            </w:r>
            <w:r w:rsidR="00870972" w:rsidRPr="002D0E89">
              <w:rPr>
                <w:rFonts w:ascii="Times New Roman" w:hAnsi="Times New Roman"/>
                <w:sz w:val="20"/>
                <w:szCs w:val="20"/>
              </w:rPr>
              <w:br/>
            </w:r>
            <w:r w:rsidR="00D6075D" w:rsidRPr="002D0E89">
              <w:rPr>
                <w:rFonts w:ascii="Times New Roman" w:hAnsi="Times New Roman"/>
                <w:sz w:val="20"/>
                <w:szCs w:val="20"/>
                <w:lang w:eastAsia="ja-JP"/>
              </w:rPr>
              <w:t>2 October</w:t>
            </w:r>
            <w:r w:rsidRPr="002D0E89">
              <w:rPr>
                <w:rFonts w:ascii="Times New Roman" w:hAnsi="Times New Roman"/>
                <w:sz w:val="20"/>
                <w:szCs w:val="20"/>
                <w:lang w:eastAsia="ja-JP"/>
              </w:rPr>
              <w:t xml:space="preserve"> 2013</w:t>
            </w:r>
          </w:p>
          <w:p w:rsidR="00194D87" w:rsidRPr="00C062F0" w:rsidRDefault="00194D87" w:rsidP="002D0E89">
            <w:pPr>
              <w:tabs>
                <w:tab w:val="left" w:pos="624"/>
                <w:tab w:val="left" w:pos="1871"/>
                <w:tab w:val="left" w:pos="2495"/>
                <w:tab w:val="left" w:pos="3119"/>
                <w:tab w:val="left" w:pos="3742"/>
              </w:tabs>
              <w:spacing w:before="120" w:after="0" w:line="240" w:lineRule="auto"/>
            </w:pPr>
            <w:r w:rsidRPr="002D0E89">
              <w:rPr>
                <w:rFonts w:ascii="Times New Roman" w:hAnsi="Times New Roman"/>
                <w:sz w:val="20"/>
                <w:szCs w:val="20"/>
              </w:rPr>
              <w:t>Original: English</w:t>
            </w:r>
            <w:r w:rsidRPr="00C062F0">
              <w:t xml:space="preserve"> </w:t>
            </w:r>
          </w:p>
        </w:tc>
      </w:tr>
    </w:tbl>
    <w:p w:rsidR="00194D87" w:rsidRPr="00C062F0" w:rsidRDefault="00194D87" w:rsidP="00194D87">
      <w:pPr>
        <w:pStyle w:val="AATitle"/>
        <w:keepNext w:val="0"/>
        <w:keepLines w:val="0"/>
        <w:tabs>
          <w:tab w:val="clear" w:pos="4082"/>
          <w:tab w:val="left" w:pos="4395"/>
        </w:tabs>
        <w:ind w:right="4631"/>
        <w:rPr>
          <w:lang w:val="en-GB"/>
        </w:rPr>
      </w:pPr>
      <w:r w:rsidRPr="00C062F0">
        <w:rPr>
          <w:lang w:val="en-GB"/>
        </w:rPr>
        <w:t xml:space="preserve">Plenary of the Intergovernmental Science-Policy </w:t>
      </w:r>
      <w:r w:rsidRPr="00C062F0">
        <w:rPr>
          <w:lang w:val="en-GB"/>
        </w:rPr>
        <w:br/>
        <w:t>Platform on Biodiversity and Ecosystem Services</w:t>
      </w:r>
    </w:p>
    <w:p w:rsidR="00194D87" w:rsidRPr="00C062F0" w:rsidRDefault="00194D87" w:rsidP="00194D87">
      <w:pPr>
        <w:pStyle w:val="AATitle"/>
        <w:keepNext w:val="0"/>
        <w:keepLines w:val="0"/>
        <w:rPr>
          <w:lang w:val="en-GB"/>
        </w:rPr>
      </w:pPr>
      <w:r w:rsidRPr="00C062F0">
        <w:rPr>
          <w:lang w:val="en-GB"/>
        </w:rPr>
        <w:t>Second session</w:t>
      </w:r>
    </w:p>
    <w:p w:rsidR="00194D87" w:rsidRPr="00C062F0" w:rsidRDefault="00194D87" w:rsidP="00194D87">
      <w:pPr>
        <w:pStyle w:val="AATitle"/>
        <w:rPr>
          <w:b w:val="0"/>
          <w:lang w:val="en-GB"/>
        </w:rPr>
      </w:pPr>
      <w:r w:rsidRPr="00C062F0">
        <w:rPr>
          <w:b w:val="0"/>
          <w:lang w:val="en-GB"/>
        </w:rPr>
        <w:t>Antalya, Turkey, 9–14 December 2013</w:t>
      </w:r>
    </w:p>
    <w:p w:rsidR="00194D87" w:rsidRPr="00C062F0" w:rsidRDefault="00194D87" w:rsidP="00194D87">
      <w:pPr>
        <w:pStyle w:val="AATitle"/>
        <w:rPr>
          <w:b w:val="0"/>
          <w:lang w:val="en-GB"/>
        </w:rPr>
      </w:pPr>
      <w:r w:rsidRPr="00C062F0">
        <w:rPr>
          <w:b w:val="0"/>
          <w:lang w:val="en-GB"/>
        </w:rPr>
        <w:t xml:space="preserve">Item </w:t>
      </w:r>
      <w:r w:rsidR="00D6075D" w:rsidRPr="00C062F0">
        <w:rPr>
          <w:b w:val="0"/>
          <w:lang w:val="en-GB"/>
        </w:rPr>
        <w:t>4 (a)</w:t>
      </w:r>
      <w:r w:rsidRPr="00C062F0">
        <w:rPr>
          <w:b w:val="0"/>
          <w:lang w:val="en-GB"/>
        </w:rPr>
        <w:t xml:space="preserve"> of the provisional agenda</w:t>
      </w:r>
      <w:r w:rsidRPr="00C062F0">
        <w:rPr>
          <w:rStyle w:val="FootnoteReference"/>
          <w:b w:val="0"/>
          <w:lang w:val="en-GB"/>
        </w:rPr>
        <w:footnoteReference w:customMarkFollows="1" w:id="1"/>
        <w:sym w:font="Symbol" w:char="F02A"/>
      </w:r>
      <w:r w:rsidRPr="00C062F0">
        <w:rPr>
          <w:b w:val="0"/>
          <w:lang w:val="en-GB"/>
        </w:rPr>
        <w:t> </w:t>
      </w:r>
    </w:p>
    <w:p w:rsidR="00D6075D" w:rsidRPr="00C062F0" w:rsidRDefault="00D6075D" w:rsidP="002D0E89">
      <w:pPr>
        <w:pStyle w:val="AATitle2"/>
        <w:spacing w:before="60"/>
        <w:rPr>
          <w:lang w:val="en-GB" w:eastAsia="ja-JP"/>
        </w:rPr>
      </w:pPr>
      <w:r w:rsidRPr="00C062F0">
        <w:rPr>
          <w:lang w:val="en-GB"/>
        </w:rPr>
        <w:t>Initial work programme of the Platform:</w:t>
      </w:r>
      <w:r w:rsidRPr="00C062F0">
        <w:rPr>
          <w:lang w:val="en-GB"/>
        </w:rPr>
        <w:br/>
      </w:r>
      <w:r w:rsidR="005E4E43" w:rsidRPr="00C062F0">
        <w:rPr>
          <w:lang w:val="en-GB"/>
        </w:rPr>
        <w:t xml:space="preserve">work </w:t>
      </w:r>
      <w:r w:rsidRPr="00C062F0">
        <w:rPr>
          <w:lang w:val="en-GB"/>
        </w:rPr>
        <w:t>programme 2014–2018</w:t>
      </w:r>
    </w:p>
    <w:p w:rsidR="00D6075D" w:rsidRPr="00C062F0" w:rsidRDefault="00D6075D" w:rsidP="00D6075D">
      <w:pPr>
        <w:pStyle w:val="BBTitle"/>
        <w:rPr>
          <w:lang w:val="en-GB"/>
        </w:rPr>
      </w:pPr>
      <w:r w:rsidRPr="00C062F0">
        <w:rPr>
          <w:lang w:val="en-GB"/>
        </w:rPr>
        <w:t>Initial scoping for the thematic assessment o</w:t>
      </w:r>
      <w:r w:rsidR="00224F14" w:rsidRPr="00C062F0">
        <w:rPr>
          <w:lang w:val="en-GB"/>
        </w:rPr>
        <w:t>f s</w:t>
      </w:r>
      <w:r w:rsidRPr="00C062F0">
        <w:rPr>
          <w:lang w:val="en-GB"/>
        </w:rPr>
        <w:t xml:space="preserve">ustainable </w:t>
      </w:r>
      <w:r w:rsidR="00224F14" w:rsidRPr="00C062F0">
        <w:rPr>
          <w:lang w:val="en-GB"/>
        </w:rPr>
        <w:t>u</w:t>
      </w:r>
      <w:r w:rsidRPr="00C062F0">
        <w:rPr>
          <w:lang w:val="en-GB"/>
        </w:rPr>
        <w:t xml:space="preserve">se and </w:t>
      </w:r>
      <w:r w:rsidR="00224F14" w:rsidRPr="00C062F0">
        <w:rPr>
          <w:lang w:val="en-GB"/>
        </w:rPr>
        <w:t>c</w:t>
      </w:r>
      <w:r w:rsidRPr="00C062F0">
        <w:rPr>
          <w:lang w:val="en-GB"/>
        </w:rPr>
        <w:t xml:space="preserve">onservation of </w:t>
      </w:r>
      <w:r w:rsidR="00224F14" w:rsidRPr="00C062F0">
        <w:rPr>
          <w:lang w:val="en-GB"/>
        </w:rPr>
        <w:t>b</w:t>
      </w:r>
      <w:r w:rsidRPr="00C062F0">
        <w:rPr>
          <w:lang w:val="en-GB"/>
        </w:rPr>
        <w:t xml:space="preserve">iodiversity and </w:t>
      </w:r>
      <w:r w:rsidR="00224F14" w:rsidRPr="00C062F0">
        <w:rPr>
          <w:lang w:val="en-GB"/>
        </w:rPr>
        <w:t>s</w:t>
      </w:r>
      <w:r w:rsidRPr="00C062F0">
        <w:rPr>
          <w:lang w:val="en-GB"/>
        </w:rPr>
        <w:t xml:space="preserve">trengthening </w:t>
      </w:r>
      <w:r w:rsidR="00224F14" w:rsidRPr="00C062F0">
        <w:rPr>
          <w:lang w:val="en-GB"/>
        </w:rPr>
        <w:t>c</w:t>
      </w:r>
      <w:r w:rsidRPr="00C062F0">
        <w:rPr>
          <w:lang w:val="en-GB"/>
        </w:rPr>
        <w:t xml:space="preserve">apacities and </w:t>
      </w:r>
      <w:r w:rsidR="00224F14" w:rsidRPr="00C062F0">
        <w:rPr>
          <w:lang w:val="en-GB"/>
        </w:rPr>
        <w:t>t</w:t>
      </w:r>
      <w:r w:rsidRPr="00C062F0">
        <w:rPr>
          <w:lang w:val="en-GB"/>
        </w:rPr>
        <w:t>ools</w:t>
      </w:r>
    </w:p>
    <w:p w:rsidR="00A550BF" w:rsidRPr="00C062F0" w:rsidRDefault="00B032CE" w:rsidP="00B032CE">
      <w:pPr>
        <w:pStyle w:val="CH2"/>
        <w:rPr>
          <w:lang w:val="en-GB"/>
        </w:rPr>
      </w:pPr>
      <w:r w:rsidRPr="00C062F0">
        <w:rPr>
          <w:lang w:val="en-GB"/>
        </w:rPr>
        <w:tab/>
      </w:r>
      <w:r w:rsidRPr="00C062F0">
        <w:rPr>
          <w:lang w:val="en-GB"/>
        </w:rPr>
        <w:tab/>
      </w:r>
      <w:r w:rsidR="00A550BF" w:rsidRPr="00C062F0">
        <w:rPr>
          <w:lang w:val="en-GB"/>
        </w:rPr>
        <w:t>Note by the Secretariat</w:t>
      </w:r>
    </w:p>
    <w:p w:rsidR="0055774D" w:rsidRPr="00C062F0" w:rsidRDefault="00AC5456" w:rsidP="00F11BA2">
      <w:pPr>
        <w:pStyle w:val="CH1"/>
        <w:rPr>
          <w:lang w:val="en-GB"/>
        </w:rPr>
      </w:pPr>
      <w:r w:rsidRPr="00C062F0">
        <w:rPr>
          <w:lang w:val="en-GB"/>
        </w:rPr>
        <w:tab/>
        <w:t>I.</w:t>
      </w:r>
      <w:r w:rsidRPr="00C062F0">
        <w:rPr>
          <w:lang w:val="en-GB"/>
        </w:rPr>
        <w:tab/>
      </w:r>
      <w:r w:rsidR="0055774D" w:rsidRPr="00C062F0">
        <w:rPr>
          <w:lang w:val="en-GB"/>
        </w:rPr>
        <w:t xml:space="preserve">Introduction </w:t>
      </w:r>
    </w:p>
    <w:p w:rsidR="00C62B2F" w:rsidRPr="00C062F0" w:rsidRDefault="00C62B2F" w:rsidP="00B032CE">
      <w:pPr>
        <w:pStyle w:val="Normalnumber"/>
        <w:tabs>
          <w:tab w:val="clear" w:pos="40"/>
          <w:tab w:val="num" w:pos="624"/>
        </w:tabs>
        <w:ind w:left="1247"/>
        <w:rPr>
          <w:lang w:val="en-GB"/>
        </w:rPr>
      </w:pPr>
      <w:r w:rsidRPr="00C062F0">
        <w:rPr>
          <w:lang w:val="en-GB"/>
        </w:rPr>
        <w:t xml:space="preserve">Recognizing that it would be necessary to </w:t>
      </w:r>
      <w:r w:rsidR="009A4901" w:rsidRPr="00C062F0">
        <w:rPr>
          <w:lang w:val="en-GB"/>
        </w:rPr>
        <w:t>move forward</w:t>
      </w:r>
      <w:r w:rsidRPr="00C062F0">
        <w:rPr>
          <w:lang w:val="en-GB"/>
        </w:rPr>
        <w:t xml:space="preserve"> with the work programme for 2014</w:t>
      </w:r>
      <w:r w:rsidR="00C062F0" w:rsidRPr="00C062F0">
        <w:rPr>
          <w:lang w:val="en-GB"/>
        </w:rPr>
        <w:t>−</w:t>
      </w:r>
      <w:r w:rsidRPr="00C062F0">
        <w:rPr>
          <w:lang w:val="en-GB"/>
        </w:rPr>
        <w:t xml:space="preserve">2018 </w:t>
      </w:r>
      <w:r w:rsidR="0055774D" w:rsidRPr="00C062F0">
        <w:rPr>
          <w:lang w:val="en-GB"/>
        </w:rPr>
        <w:t>following its</w:t>
      </w:r>
      <w:r w:rsidRPr="00C062F0">
        <w:rPr>
          <w:lang w:val="en-GB"/>
        </w:rPr>
        <w:t xml:space="preserve"> </w:t>
      </w:r>
      <w:r w:rsidR="0055774D" w:rsidRPr="00C062F0">
        <w:rPr>
          <w:lang w:val="en-GB"/>
        </w:rPr>
        <w:t xml:space="preserve">approval </w:t>
      </w:r>
      <w:r w:rsidRPr="00C062F0">
        <w:rPr>
          <w:lang w:val="en-GB"/>
        </w:rPr>
        <w:t>by the Plenary of the Intergovernmental Science-Policy Platform for Biodiversity and Ecosystem Services at its second session, the Bureau and the Multidisciplinary Expert Panel agreed to prepare</w:t>
      </w:r>
      <w:r w:rsidR="009A4901" w:rsidRPr="00C062F0">
        <w:rPr>
          <w:lang w:val="en-GB"/>
        </w:rPr>
        <w:t>,</w:t>
      </w:r>
      <w:r w:rsidRPr="00C062F0">
        <w:rPr>
          <w:lang w:val="en-GB"/>
        </w:rPr>
        <w:t xml:space="preserve"> for consideration by the Plenary at that session</w:t>
      </w:r>
      <w:r w:rsidR="009A4901" w:rsidRPr="00C062F0">
        <w:rPr>
          <w:lang w:val="en-GB"/>
        </w:rPr>
        <w:t>,</w:t>
      </w:r>
      <w:r w:rsidRPr="00C062F0">
        <w:rPr>
          <w:lang w:val="en-GB"/>
        </w:rPr>
        <w:t xml:space="preserve"> a number of initial scoping documents based on the prioritization of requests, suggestions and inputs put to the Platform and the deliverables</w:t>
      </w:r>
      <w:r w:rsidR="00CC1778" w:rsidRPr="00C062F0">
        <w:rPr>
          <w:lang w:val="en-GB"/>
        </w:rPr>
        <w:t xml:space="preserve"> set out</w:t>
      </w:r>
      <w:r w:rsidRPr="00C062F0">
        <w:rPr>
          <w:lang w:val="en-GB"/>
        </w:rPr>
        <w:t xml:space="preserve"> in the draft work programme (IPBES/2/2).</w:t>
      </w:r>
      <w:r w:rsidR="009A4901" w:rsidRPr="00C062F0">
        <w:rPr>
          <w:lang w:val="en-GB"/>
        </w:rPr>
        <w:t>T</w:t>
      </w:r>
      <w:r w:rsidRPr="00C062F0">
        <w:rPr>
          <w:lang w:val="en-GB"/>
        </w:rPr>
        <w:t>he present note</w:t>
      </w:r>
      <w:r w:rsidR="009A4901" w:rsidRPr="00C062F0">
        <w:rPr>
          <w:lang w:val="en-GB"/>
        </w:rPr>
        <w:t xml:space="preserve"> </w:t>
      </w:r>
      <w:r w:rsidRPr="00C062F0">
        <w:rPr>
          <w:lang w:val="en-GB"/>
        </w:rPr>
        <w:t>sets out the initial scoping for a proposed thematic assessment of sustainable use and conservation of biodiversity and strengthening capacities and tools. It has been developed in accordance with the draft procedures for the preparation of the Platform’s deliverables (IPBES/2/9).</w:t>
      </w:r>
    </w:p>
    <w:p w:rsidR="00D6075D" w:rsidRPr="00C062F0" w:rsidRDefault="00D6075D" w:rsidP="00670A55">
      <w:pPr>
        <w:pStyle w:val="CH1"/>
        <w:rPr>
          <w:lang w:val="en-GB"/>
        </w:rPr>
      </w:pPr>
      <w:r w:rsidRPr="00C062F0">
        <w:rPr>
          <w:lang w:val="en-GB"/>
        </w:rPr>
        <w:tab/>
      </w:r>
      <w:r w:rsidR="0055774D" w:rsidRPr="00C062F0">
        <w:rPr>
          <w:lang w:val="en-GB"/>
        </w:rPr>
        <w:t>I</w:t>
      </w:r>
      <w:r w:rsidR="00C62B2F" w:rsidRPr="00C062F0">
        <w:rPr>
          <w:lang w:val="en-GB"/>
        </w:rPr>
        <w:t>I</w:t>
      </w:r>
      <w:r w:rsidRPr="00C062F0">
        <w:rPr>
          <w:lang w:val="en-GB"/>
        </w:rPr>
        <w:t>.</w:t>
      </w:r>
      <w:r w:rsidRPr="00C062F0">
        <w:rPr>
          <w:lang w:val="en-GB"/>
        </w:rPr>
        <w:tab/>
      </w:r>
      <w:r w:rsidR="00C62B2F" w:rsidRPr="00C062F0">
        <w:rPr>
          <w:lang w:val="en-GB"/>
        </w:rPr>
        <w:t>S</w:t>
      </w:r>
      <w:r w:rsidRPr="00C062F0">
        <w:rPr>
          <w:lang w:val="en-GB"/>
        </w:rPr>
        <w:t xml:space="preserve">cope, </w:t>
      </w:r>
      <w:r w:rsidR="00563355" w:rsidRPr="00C062F0">
        <w:rPr>
          <w:lang w:val="en-GB"/>
        </w:rPr>
        <w:t>rationale</w:t>
      </w:r>
      <w:r w:rsidR="00F806E3">
        <w:rPr>
          <w:lang w:val="en-GB"/>
        </w:rPr>
        <w:t>,</w:t>
      </w:r>
      <w:r w:rsidRPr="00C062F0">
        <w:rPr>
          <w:lang w:val="en-GB"/>
        </w:rPr>
        <w:t xml:space="preserve"> utility</w:t>
      </w:r>
      <w:r w:rsidR="006C60F7" w:rsidRPr="00C062F0">
        <w:rPr>
          <w:lang w:val="en-GB"/>
        </w:rPr>
        <w:t xml:space="preserve"> and assumptions</w:t>
      </w:r>
    </w:p>
    <w:p w:rsidR="00C62B2F" w:rsidRPr="00C062F0" w:rsidRDefault="00C62B2F">
      <w:pPr>
        <w:pStyle w:val="CH2"/>
        <w:rPr>
          <w:lang w:val="en-GB"/>
        </w:rPr>
      </w:pPr>
      <w:r w:rsidRPr="00C062F0">
        <w:rPr>
          <w:lang w:val="en-GB"/>
        </w:rPr>
        <w:tab/>
        <w:t>A.</w:t>
      </w:r>
      <w:r w:rsidRPr="00C062F0">
        <w:rPr>
          <w:lang w:val="en-GB"/>
        </w:rPr>
        <w:tab/>
        <w:t>Scope</w:t>
      </w:r>
    </w:p>
    <w:p w:rsidR="00D6075D" w:rsidRPr="00C062F0" w:rsidRDefault="00E908E6" w:rsidP="00B032CE">
      <w:pPr>
        <w:pStyle w:val="Normalnumber"/>
        <w:tabs>
          <w:tab w:val="clear" w:pos="40"/>
          <w:tab w:val="num" w:pos="624"/>
        </w:tabs>
        <w:ind w:left="1247"/>
        <w:rPr>
          <w:lang w:val="en-GB"/>
        </w:rPr>
      </w:pPr>
      <w:r w:rsidRPr="00C062F0">
        <w:rPr>
          <w:lang w:val="en-GB"/>
        </w:rPr>
        <w:t>The objective of the proposed thematic assessment</w:t>
      </w:r>
      <w:r w:rsidRPr="00C062F0" w:rsidDel="00E908E6">
        <w:rPr>
          <w:lang w:val="en-GB"/>
        </w:rPr>
        <w:t xml:space="preserve"> </w:t>
      </w:r>
      <w:r w:rsidRPr="00C062F0">
        <w:rPr>
          <w:lang w:val="en-GB"/>
        </w:rPr>
        <w:t>is to a</w:t>
      </w:r>
      <w:r w:rsidR="00D6075D" w:rsidRPr="00C062F0">
        <w:rPr>
          <w:lang w:val="en-GB"/>
        </w:rPr>
        <w:t>ssess the ecological, economic, social and cultural</w:t>
      </w:r>
      <w:r w:rsidRPr="00C062F0">
        <w:rPr>
          <w:lang w:val="en-GB"/>
        </w:rPr>
        <w:t xml:space="preserve"> importance</w:t>
      </w:r>
      <w:r w:rsidR="00D6075D" w:rsidRPr="00C062F0">
        <w:rPr>
          <w:lang w:val="en-GB"/>
        </w:rPr>
        <w:t xml:space="preserve">, conservation status, drivers of change, and </w:t>
      </w:r>
      <w:r w:rsidR="002E3D8B" w:rsidRPr="00C062F0">
        <w:rPr>
          <w:lang w:val="en-GB"/>
        </w:rPr>
        <w:t>related</w:t>
      </w:r>
      <w:r w:rsidR="00D6075D" w:rsidRPr="00C062F0">
        <w:rPr>
          <w:lang w:val="en-GB"/>
        </w:rPr>
        <w:t xml:space="preserve"> livelihoods and values for local communities and indigenous people, of mainly harvested and traded wild species in order to identify and promote best practices and tools</w:t>
      </w:r>
      <w:r w:rsidR="00F34760" w:rsidRPr="00C062F0">
        <w:rPr>
          <w:lang w:val="en-GB"/>
        </w:rPr>
        <w:t>, including both</w:t>
      </w:r>
      <w:r w:rsidR="00D6075D" w:rsidRPr="00C062F0">
        <w:rPr>
          <w:lang w:val="en-GB"/>
        </w:rPr>
        <w:t xml:space="preserve"> modern </w:t>
      </w:r>
      <w:r w:rsidR="00D6075D" w:rsidRPr="00C062F0">
        <w:rPr>
          <w:rFonts w:eastAsia="MS Mincho"/>
          <w:lang w:val="en-GB" w:eastAsia="ja-JP"/>
        </w:rPr>
        <w:t>technologies</w:t>
      </w:r>
      <w:r w:rsidR="00D6075D" w:rsidRPr="00C062F0">
        <w:rPr>
          <w:lang w:val="en-GB"/>
        </w:rPr>
        <w:t xml:space="preserve"> and indigenous and local knowledge </w:t>
      </w:r>
      <w:r w:rsidR="00F34760" w:rsidRPr="00C062F0">
        <w:rPr>
          <w:lang w:val="en-GB"/>
        </w:rPr>
        <w:t>and methods,</w:t>
      </w:r>
      <w:r w:rsidR="00D6075D" w:rsidRPr="00C062F0">
        <w:rPr>
          <w:lang w:val="en-GB"/>
        </w:rPr>
        <w:t xml:space="preserve"> </w:t>
      </w:r>
      <w:r w:rsidR="00F34760" w:rsidRPr="00C062F0">
        <w:rPr>
          <w:lang w:val="en-GB"/>
        </w:rPr>
        <w:t xml:space="preserve">for </w:t>
      </w:r>
      <w:r w:rsidR="00D6075D" w:rsidRPr="00C062F0">
        <w:rPr>
          <w:lang w:val="en-GB"/>
        </w:rPr>
        <w:t>sustainable management and harvesting.</w:t>
      </w:r>
    </w:p>
    <w:p w:rsidR="00282AFE" w:rsidRPr="00C062F0" w:rsidRDefault="00282AFE" w:rsidP="00E42DC1">
      <w:pPr>
        <w:pStyle w:val="CH2"/>
        <w:rPr>
          <w:lang w:val="en-GB"/>
        </w:rPr>
      </w:pPr>
      <w:r w:rsidRPr="00C062F0">
        <w:rPr>
          <w:lang w:val="en-GB"/>
        </w:rPr>
        <w:lastRenderedPageBreak/>
        <w:tab/>
        <w:t>B.</w:t>
      </w:r>
      <w:r w:rsidRPr="00C062F0">
        <w:rPr>
          <w:lang w:val="en-GB"/>
        </w:rPr>
        <w:tab/>
      </w:r>
      <w:r w:rsidR="00D6075D" w:rsidRPr="00C062F0">
        <w:rPr>
          <w:lang w:val="en-GB"/>
        </w:rPr>
        <w:t>Rationale</w:t>
      </w:r>
    </w:p>
    <w:p w:rsidR="00D6075D" w:rsidRPr="00C062F0" w:rsidRDefault="00D6075D" w:rsidP="00E42DC1">
      <w:pPr>
        <w:pStyle w:val="Normalnumber"/>
        <w:keepNext/>
        <w:keepLines/>
        <w:tabs>
          <w:tab w:val="clear" w:pos="40"/>
          <w:tab w:val="num" w:pos="624"/>
        </w:tabs>
        <w:ind w:left="1247"/>
        <w:rPr>
          <w:lang w:val="en-GB"/>
        </w:rPr>
      </w:pPr>
      <w:r w:rsidRPr="00C062F0">
        <w:rPr>
          <w:lang w:val="en-GB"/>
        </w:rPr>
        <w:t xml:space="preserve">Sustainable use of biodiversity represents a way to promote </w:t>
      </w:r>
      <w:r w:rsidR="0051475E" w:rsidRPr="00C062F0">
        <w:rPr>
          <w:lang w:val="en-GB"/>
        </w:rPr>
        <w:t>the</w:t>
      </w:r>
      <w:r w:rsidRPr="00C062F0">
        <w:rPr>
          <w:lang w:val="en-GB"/>
        </w:rPr>
        <w:t xml:space="preserve"> conservation</w:t>
      </w:r>
      <w:r w:rsidR="0051475E" w:rsidRPr="00C062F0">
        <w:rPr>
          <w:lang w:val="en-GB"/>
        </w:rPr>
        <w:t xml:space="preserve"> of biodiversity</w:t>
      </w:r>
      <w:r w:rsidRPr="00C062F0">
        <w:rPr>
          <w:lang w:val="en-GB"/>
        </w:rPr>
        <w:t xml:space="preserve">, the maintenance of ecosystem services and human socioeconomic development, as well as </w:t>
      </w:r>
      <w:r w:rsidR="0051475E" w:rsidRPr="00C062F0">
        <w:rPr>
          <w:lang w:val="en-GB"/>
        </w:rPr>
        <w:t xml:space="preserve">a way </w:t>
      </w:r>
      <w:r w:rsidRPr="00C062F0">
        <w:rPr>
          <w:lang w:val="en-GB"/>
        </w:rPr>
        <w:t xml:space="preserve">to tackle threats such as overexploitation and habitat loss among other direct and indirect drivers of biodiversity and cultural loss worldwide. Its benefits apply at </w:t>
      </w:r>
      <w:r w:rsidR="0051475E" w:rsidRPr="00C062F0">
        <w:rPr>
          <w:lang w:val="en-GB"/>
        </w:rPr>
        <w:t xml:space="preserve">the </w:t>
      </w:r>
      <w:r w:rsidRPr="00C062F0">
        <w:rPr>
          <w:lang w:val="en-GB"/>
        </w:rPr>
        <w:t>local, national, regional and international levels.</w:t>
      </w:r>
    </w:p>
    <w:p w:rsidR="00D6075D" w:rsidRPr="00C062F0" w:rsidRDefault="00D6075D" w:rsidP="00B032CE">
      <w:pPr>
        <w:pStyle w:val="Normalnumber"/>
        <w:tabs>
          <w:tab w:val="clear" w:pos="40"/>
          <w:tab w:val="num" w:pos="624"/>
        </w:tabs>
        <w:ind w:left="1247"/>
        <w:rPr>
          <w:lang w:val="en-GB"/>
        </w:rPr>
      </w:pPr>
      <w:r w:rsidRPr="00C062F0">
        <w:rPr>
          <w:lang w:val="en-GB"/>
        </w:rPr>
        <w:t xml:space="preserve">In order to aid the sustainable use of biodiversity, basic biological and socioeconomic information </w:t>
      </w:r>
      <w:r w:rsidR="0051475E" w:rsidRPr="00C062F0">
        <w:rPr>
          <w:lang w:val="en-GB"/>
        </w:rPr>
        <w:t xml:space="preserve">is needed </w:t>
      </w:r>
      <w:r w:rsidRPr="00C062F0">
        <w:rPr>
          <w:lang w:val="en-GB"/>
        </w:rPr>
        <w:t>on species (i.e.</w:t>
      </w:r>
      <w:r w:rsidR="0019451C" w:rsidRPr="00C062F0">
        <w:rPr>
          <w:lang w:val="en-GB"/>
        </w:rPr>
        <w:t>,</w:t>
      </w:r>
      <w:r w:rsidRPr="00C062F0">
        <w:rPr>
          <w:i/>
          <w:lang w:val="en-GB"/>
        </w:rPr>
        <w:t xml:space="preserve"> </w:t>
      </w:r>
      <w:r w:rsidRPr="00C062F0">
        <w:rPr>
          <w:lang w:val="en-GB"/>
        </w:rPr>
        <w:t xml:space="preserve">population, conservation and ecological status, markets, prices, demand and value chain), tools </w:t>
      </w:r>
      <w:r w:rsidR="0051475E" w:rsidRPr="00C062F0">
        <w:rPr>
          <w:lang w:val="en-GB"/>
        </w:rPr>
        <w:t>for</w:t>
      </w:r>
      <w:r w:rsidRPr="00C062F0">
        <w:rPr>
          <w:lang w:val="en-GB"/>
        </w:rPr>
        <w:t xml:space="preserve"> assess</w:t>
      </w:r>
      <w:r w:rsidR="0051475E" w:rsidRPr="00C062F0">
        <w:rPr>
          <w:lang w:val="en-GB"/>
        </w:rPr>
        <w:t>ing</w:t>
      </w:r>
      <w:r w:rsidRPr="00C062F0">
        <w:rPr>
          <w:lang w:val="en-GB"/>
        </w:rPr>
        <w:t xml:space="preserve"> sustainable levels of harvest, adequate technologies, </w:t>
      </w:r>
      <w:r w:rsidR="0051475E" w:rsidRPr="00C062F0">
        <w:rPr>
          <w:lang w:val="en-GB"/>
        </w:rPr>
        <w:t>indigenous and local knowledge</w:t>
      </w:r>
      <w:r w:rsidRPr="00C062F0">
        <w:rPr>
          <w:lang w:val="en-GB"/>
        </w:rPr>
        <w:t xml:space="preserve">, organizational processes and </w:t>
      </w:r>
      <w:r w:rsidR="00F06D55" w:rsidRPr="00C062F0">
        <w:rPr>
          <w:lang w:val="en-GB"/>
        </w:rPr>
        <w:t xml:space="preserve">the capacities of </w:t>
      </w:r>
      <w:r w:rsidRPr="00C062F0">
        <w:rPr>
          <w:lang w:val="en-GB"/>
        </w:rPr>
        <w:t>users</w:t>
      </w:r>
      <w:r w:rsidR="0051475E" w:rsidRPr="00C062F0">
        <w:rPr>
          <w:lang w:val="en-GB"/>
        </w:rPr>
        <w:t xml:space="preserve"> and </w:t>
      </w:r>
      <w:r w:rsidRPr="00C062F0">
        <w:rPr>
          <w:lang w:val="en-GB"/>
        </w:rPr>
        <w:t xml:space="preserve">authorities to </w:t>
      </w:r>
      <w:r w:rsidR="00F06D55" w:rsidRPr="00C062F0">
        <w:rPr>
          <w:lang w:val="en-GB"/>
        </w:rPr>
        <w:t>ensure</w:t>
      </w:r>
      <w:r w:rsidR="002E3D8B" w:rsidRPr="00C062F0">
        <w:rPr>
          <w:lang w:val="en-GB"/>
        </w:rPr>
        <w:t xml:space="preserve"> </w:t>
      </w:r>
      <w:r w:rsidRPr="00C062F0">
        <w:rPr>
          <w:lang w:val="en-GB"/>
        </w:rPr>
        <w:t>appropriate resource management.</w:t>
      </w:r>
      <w:r w:rsidR="006C7DEE" w:rsidRPr="00C062F0">
        <w:rPr>
          <w:lang w:val="en-GB"/>
        </w:rPr>
        <w:t xml:space="preserve"> </w:t>
      </w:r>
    </w:p>
    <w:p w:rsidR="006C7DEE" w:rsidRPr="00C062F0" w:rsidRDefault="006C7DEE" w:rsidP="00B032CE">
      <w:pPr>
        <w:pStyle w:val="CH2"/>
        <w:rPr>
          <w:lang w:val="en-GB"/>
        </w:rPr>
      </w:pPr>
      <w:r w:rsidRPr="00C062F0">
        <w:rPr>
          <w:lang w:val="en-GB"/>
        </w:rPr>
        <w:tab/>
        <w:t>C.</w:t>
      </w:r>
      <w:r w:rsidRPr="00C062F0">
        <w:rPr>
          <w:lang w:val="en-GB"/>
        </w:rPr>
        <w:tab/>
      </w:r>
      <w:r w:rsidR="00D6075D" w:rsidRPr="00C062F0">
        <w:rPr>
          <w:lang w:val="en-GB"/>
        </w:rPr>
        <w:t>Utility</w:t>
      </w:r>
    </w:p>
    <w:p w:rsidR="00D6075D" w:rsidRPr="00C062F0" w:rsidRDefault="00D6075D" w:rsidP="00B032CE">
      <w:pPr>
        <w:pStyle w:val="Normalnumber"/>
        <w:tabs>
          <w:tab w:val="clear" w:pos="40"/>
          <w:tab w:val="num" w:pos="624"/>
        </w:tabs>
        <w:ind w:left="1247"/>
        <w:rPr>
          <w:lang w:val="en-GB"/>
        </w:rPr>
      </w:pPr>
      <w:r w:rsidRPr="00C062F0">
        <w:rPr>
          <w:lang w:val="en-GB"/>
        </w:rPr>
        <w:t>The assessment will contribute to the sustainable harvest and trade of wild species and further identification of related knowledge gaps and better technologies</w:t>
      </w:r>
      <w:r w:rsidR="005A43A7" w:rsidRPr="00C062F0">
        <w:rPr>
          <w:lang w:val="en-GB"/>
        </w:rPr>
        <w:t>,</w:t>
      </w:r>
      <w:r w:rsidRPr="00C062F0">
        <w:rPr>
          <w:lang w:val="en-GB"/>
        </w:rPr>
        <w:t xml:space="preserve"> including </w:t>
      </w:r>
      <w:r w:rsidR="005A43A7" w:rsidRPr="00C062F0">
        <w:rPr>
          <w:lang w:val="en-GB"/>
        </w:rPr>
        <w:t>in respect of indigenous and local knowledge</w:t>
      </w:r>
      <w:r w:rsidRPr="00C062F0">
        <w:rPr>
          <w:lang w:val="en-GB"/>
        </w:rPr>
        <w:t>. It will also contribute to the development of policy support tools and methodologies, to enhanc</w:t>
      </w:r>
      <w:r w:rsidR="00136BB3" w:rsidRPr="00C062F0">
        <w:rPr>
          <w:lang w:val="en-GB"/>
        </w:rPr>
        <w:t xml:space="preserve">ing </w:t>
      </w:r>
      <w:r w:rsidRPr="00C062F0">
        <w:rPr>
          <w:lang w:val="en-GB"/>
        </w:rPr>
        <w:t>sustainable management schemes (including the establishment and management of harvest quotas), to aid</w:t>
      </w:r>
      <w:r w:rsidR="00136BB3" w:rsidRPr="00C062F0">
        <w:rPr>
          <w:lang w:val="en-GB"/>
        </w:rPr>
        <w:t>ing</w:t>
      </w:r>
      <w:r w:rsidRPr="00C062F0">
        <w:rPr>
          <w:lang w:val="en-GB"/>
        </w:rPr>
        <w:t xml:space="preserve"> compliance and enforcement measures, and to address</w:t>
      </w:r>
      <w:r w:rsidR="00136BB3" w:rsidRPr="00C062F0">
        <w:rPr>
          <w:lang w:val="en-GB"/>
        </w:rPr>
        <w:t>ing</w:t>
      </w:r>
      <w:r w:rsidRPr="00C062F0">
        <w:rPr>
          <w:lang w:val="en-GB"/>
        </w:rPr>
        <w:t xml:space="preserve"> capacity</w:t>
      </w:r>
      <w:r w:rsidR="00AB6E0D" w:rsidRPr="00C062F0">
        <w:rPr>
          <w:lang w:val="en-GB"/>
        </w:rPr>
        <w:t>-</w:t>
      </w:r>
      <w:r w:rsidRPr="00C062F0">
        <w:rPr>
          <w:lang w:val="en-GB"/>
        </w:rPr>
        <w:t>building needs in countries of origin.</w:t>
      </w:r>
    </w:p>
    <w:p w:rsidR="00770B4E" w:rsidRPr="00C062F0" w:rsidRDefault="00770B4E" w:rsidP="00F11BA2">
      <w:pPr>
        <w:pStyle w:val="CH2"/>
        <w:rPr>
          <w:lang w:val="en-GB"/>
        </w:rPr>
      </w:pPr>
      <w:r w:rsidRPr="00C062F0">
        <w:rPr>
          <w:lang w:val="en-GB"/>
        </w:rPr>
        <w:tab/>
        <w:t>D.</w:t>
      </w:r>
      <w:r w:rsidRPr="00C062F0">
        <w:rPr>
          <w:lang w:val="en-GB"/>
        </w:rPr>
        <w:tab/>
      </w:r>
      <w:r w:rsidR="00D6075D" w:rsidRPr="00C062F0">
        <w:rPr>
          <w:lang w:val="en-GB"/>
        </w:rPr>
        <w:t>Assumptions</w:t>
      </w:r>
    </w:p>
    <w:p w:rsidR="00D6075D" w:rsidRPr="00C062F0" w:rsidRDefault="00D6075D" w:rsidP="00B032CE">
      <w:pPr>
        <w:pStyle w:val="Normalnumber"/>
        <w:tabs>
          <w:tab w:val="clear" w:pos="40"/>
          <w:tab w:val="num" w:pos="624"/>
        </w:tabs>
        <w:ind w:left="1247"/>
        <w:rPr>
          <w:lang w:val="en-GB"/>
        </w:rPr>
      </w:pPr>
      <w:r w:rsidRPr="00C062F0">
        <w:rPr>
          <w:lang w:val="en-GB"/>
        </w:rPr>
        <w:t xml:space="preserve">The </w:t>
      </w:r>
      <w:r w:rsidR="000003DC" w:rsidRPr="00C062F0">
        <w:rPr>
          <w:lang w:val="en-GB"/>
        </w:rPr>
        <w:t xml:space="preserve">proposed </w:t>
      </w:r>
      <w:r w:rsidRPr="00C062F0">
        <w:rPr>
          <w:lang w:val="en-GB"/>
        </w:rPr>
        <w:t xml:space="preserve">assessment </w:t>
      </w:r>
      <w:r w:rsidR="000003DC" w:rsidRPr="00C062F0">
        <w:rPr>
          <w:lang w:val="en-GB"/>
        </w:rPr>
        <w:t>would</w:t>
      </w:r>
      <w:r w:rsidRPr="00C062F0">
        <w:rPr>
          <w:lang w:val="en-GB"/>
        </w:rPr>
        <w:t xml:space="preserve"> be based on the current scientific literature, drawing on work </w:t>
      </w:r>
      <w:r w:rsidR="001B6B18" w:rsidRPr="00C062F0">
        <w:rPr>
          <w:lang w:val="en-GB"/>
        </w:rPr>
        <w:t xml:space="preserve">done </w:t>
      </w:r>
      <w:r w:rsidR="000003DC" w:rsidRPr="00C062F0">
        <w:rPr>
          <w:lang w:val="en-GB"/>
        </w:rPr>
        <w:t xml:space="preserve">under the aegis </w:t>
      </w:r>
      <w:r w:rsidRPr="00C062F0">
        <w:rPr>
          <w:lang w:val="en-GB"/>
        </w:rPr>
        <w:t>of institutions such as</w:t>
      </w:r>
      <w:r w:rsidR="000003DC" w:rsidRPr="00C062F0">
        <w:rPr>
          <w:lang w:val="en-GB"/>
        </w:rPr>
        <w:t xml:space="preserve"> the Convention on Biological Diversity, the Convention on the International Trade in Wild Species of Flora and Fauna</w:t>
      </w:r>
      <w:r w:rsidR="001F513C" w:rsidRPr="00C062F0">
        <w:rPr>
          <w:lang w:val="en-GB"/>
        </w:rPr>
        <w:t xml:space="preserve"> </w:t>
      </w:r>
      <w:r w:rsidR="000003DC" w:rsidRPr="00C062F0">
        <w:rPr>
          <w:lang w:val="en-GB"/>
        </w:rPr>
        <w:t>(</w:t>
      </w:r>
      <w:r w:rsidRPr="00C062F0">
        <w:rPr>
          <w:lang w:val="en-GB"/>
        </w:rPr>
        <w:t>CITES</w:t>
      </w:r>
      <w:r w:rsidR="000003DC" w:rsidRPr="00C062F0">
        <w:rPr>
          <w:lang w:val="en-GB"/>
        </w:rPr>
        <w:t>)</w:t>
      </w:r>
      <w:r w:rsidRPr="00C062F0">
        <w:rPr>
          <w:lang w:val="en-GB"/>
        </w:rPr>
        <w:t xml:space="preserve">, </w:t>
      </w:r>
      <w:r w:rsidR="000003DC" w:rsidRPr="00C062F0">
        <w:rPr>
          <w:lang w:val="en-GB"/>
        </w:rPr>
        <w:t>the Convention on the Conservation of Migratory Species of Wild Animals</w:t>
      </w:r>
      <w:r w:rsidRPr="00C062F0">
        <w:rPr>
          <w:lang w:val="en-GB"/>
        </w:rPr>
        <w:t xml:space="preserve">, </w:t>
      </w:r>
      <w:r w:rsidR="000003DC" w:rsidRPr="00C062F0">
        <w:rPr>
          <w:lang w:val="en-GB"/>
        </w:rPr>
        <w:t>the Food and Agriculture Organization of the United Nations</w:t>
      </w:r>
      <w:r w:rsidRPr="00C062F0">
        <w:rPr>
          <w:lang w:val="en-GB"/>
        </w:rPr>
        <w:t xml:space="preserve">, </w:t>
      </w:r>
      <w:r w:rsidR="000003DC" w:rsidRPr="00C062F0">
        <w:rPr>
          <w:lang w:val="en-GB"/>
        </w:rPr>
        <w:t>the International Tropical Timber Organization</w:t>
      </w:r>
      <w:r w:rsidRPr="00C062F0">
        <w:rPr>
          <w:lang w:val="en-GB"/>
        </w:rPr>
        <w:t xml:space="preserve">, </w:t>
      </w:r>
      <w:r w:rsidR="000003DC" w:rsidRPr="00C062F0">
        <w:rPr>
          <w:lang w:val="en-GB"/>
        </w:rPr>
        <w:t>the United Nations Environment Programme World Conservation Monitoring Centre</w:t>
      </w:r>
      <w:r w:rsidRPr="00C062F0">
        <w:rPr>
          <w:lang w:val="en-GB"/>
        </w:rPr>
        <w:t xml:space="preserve"> and </w:t>
      </w:r>
      <w:r w:rsidR="000003DC" w:rsidRPr="00C062F0">
        <w:rPr>
          <w:lang w:val="en-GB"/>
        </w:rPr>
        <w:t>the International Union for the Conservation of Nature</w:t>
      </w:r>
      <w:r w:rsidRPr="00C062F0">
        <w:rPr>
          <w:lang w:val="en-GB"/>
        </w:rPr>
        <w:t xml:space="preserve">, among other relevant institutions. </w:t>
      </w:r>
      <w:r w:rsidR="005C5E05" w:rsidRPr="00C062F0">
        <w:rPr>
          <w:lang w:val="en-GB"/>
        </w:rPr>
        <w:t xml:space="preserve">Work under CITES and the Convention on Biological Diversity is of particular interest given </w:t>
      </w:r>
      <w:r w:rsidRPr="00C062F0">
        <w:rPr>
          <w:lang w:val="en-GB"/>
        </w:rPr>
        <w:t xml:space="preserve">that the aim of CITES is to ensure that trade in species </w:t>
      </w:r>
      <w:r w:rsidR="000003DC" w:rsidRPr="00C062F0">
        <w:rPr>
          <w:lang w:val="en-GB"/>
        </w:rPr>
        <w:t xml:space="preserve">covered by the Convention </w:t>
      </w:r>
      <w:r w:rsidRPr="00C062F0">
        <w:rPr>
          <w:lang w:val="en-GB"/>
        </w:rPr>
        <w:t>is legal</w:t>
      </w:r>
      <w:r w:rsidR="000003DC" w:rsidRPr="00C062F0">
        <w:rPr>
          <w:lang w:val="en-GB"/>
        </w:rPr>
        <w:t>,</w:t>
      </w:r>
      <w:r w:rsidRPr="00C062F0">
        <w:rPr>
          <w:lang w:val="en-GB"/>
        </w:rPr>
        <w:t xml:space="preserve"> traceable a</w:t>
      </w:r>
      <w:r w:rsidR="000003DC" w:rsidRPr="00C062F0">
        <w:rPr>
          <w:lang w:val="en-GB"/>
        </w:rPr>
        <w:t>nd</w:t>
      </w:r>
      <w:r w:rsidRPr="00C062F0">
        <w:rPr>
          <w:lang w:val="en-GB"/>
        </w:rPr>
        <w:t xml:space="preserve"> sustainable</w:t>
      </w:r>
      <w:r w:rsidR="00045410" w:rsidRPr="00C062F0">
        <w:rPr>
          <w:lang w:val="en-GB"/>
        </w:rPr>
        <w:t>,</w:t>
      </w:r>
      <w:r w:rsidR="005C5E05" w:rsidRPr="00C062F0">
        <w:rPr>
          <w:lang w:val="en-GB"/>
        </w:rPr>
        <w:t xml:space="preserve"> and that </w:t>
      </w:r>
      <w:r w:rsidR="0010198A" w:rsidRPr="00C062F0">
        <w:rPr>
          <w:lang w:val="en-GB"/>
        </w:rPr>
        <w:t>s</w:t>
      </w:r>
      <w:r w:rsidRPr="00C062F0">
        <w:rPr>
          <w:lang w:val="en-GB"/>
        </w:rPr>
        <w:t xml:space="preserve">ustainable </w:t>
      </w:r>
      <w:r w:rsidR="0010198A" w:rsidRPr="00C062F0">
        <w:rPr>
          <w:lang w:val="en-GB"/>
        </w:rPr>
        <w:t>u</w:t>
      </w:r>
      <w:r w:rsidRPr="00C062F0">
        <w:rPr>
          <w:lang w:val="en-GB"/>
        </w:rPr>
        <w:t xml:space="preserve">se of </w:t>
      </w:r>
      <w:r w:rsidR="0010198A" w:rsidRPr="00C062F0">
        <w:rPr>
          <w:lang w:val="en-GB"/>
        </w:rPr>
        <w:t>b</w:t>
      </w:r>
      <w:r w:rsidRPr="00C062F0">
        <w:rPr>
          <w:lang w:val="en-GB"/>
        </w:rPr>
        <w:t xml:space="preserve">iodiversity is the </w:t>
      </w:r>
      <w:r w:rsidR="0010198A" w:rsidRPr="00C062F0">
        <w:rPr>
          <w:lang w:val="en-GB"/>
        </w:rPr>
        <w:t>s</w:t>
      </w:r>
      <w:r w:rsidRPr="00C062F0">
        <w:rPr>
          <w:lang w:val="en-GB"/>
        </w:rPr>
        <w:t xml:space="preserve">econd </w:t>
      </w:r>
      <w:r w:rsidR="0010198A" w:rsidRPr="00C062F0">
        <w:rPr>
          <w:lang w:val="en-GB"/>
        </w:rPr>
        <w:t>o</w:t>
      </w:r>
      <w:r w:rsidRPr="00C062F0">
        <w:rPr>
          <w:lang w:val="en-GB"/>
        </w:rPr>
        <w:t xml:space="preserve">bjective of </w:t>
      </w:r>
      <w:r w:rsidR="0010198A" w:rsidRPr="00C062F0">
        <w:rPr>
          <w:lang w:val="en-GB"/>
        </w:rPr>
        <w:t>the Convention on Biological Diversity</w:t>
      </w:r>
      <w:r w:rsidR="005C5E05" w:rsidRPr="00C062F0">
        <w:rPr>
          <w:lang w:val="en-GB"/>
        </w:rPr>
        <w:t xml:space="preserve"> and is explicitly referred to in </w:t>
      </w:r>
      <w:r w:rsidR="0010198A" w:rsidRPr="00C062F0">
        <w:rPr>
          <w:lang w:val="en-GB"/>
        </w:rPr>
        <w:t>th</w:t>
      </w:r>
      <w:r w:rsidR="005C5E05" w:rsidRPr="00C062F0">
        <w:rPr>
          <w:lang w:val="en-GB"/>
        </w:rPr>
        <w:t>e Convention’s</w:t>
      </w:r>
      <w:r w:rsidRPr="00C062F0">
        <w:rPr>
          <w:lang w:val="en-GB"/>
        </w:rPr>
        <w:t xml:space="preserve"> Aichi Biodiversity </w:t>
      </w:r>
      <w:r w:rsidR="005C5E05" w:rsidRPr="00C062F0">
        <w:rPr>
          <w:lang w:val="en-GB"/>
        </w:rPr>
        <w:t>T</w:t>
      </w:r>
      <w:r w:rsidRPr="00C062F0">
        <w:rPr>
          <w:lang w:val="en-GB"/>
        </w:rPr>
        <w:t>argets 3, 4, 6, 7 and 18.</w:t>
      </w:r>
    </w:p>
    <w:p w:rsidR="00D6075D" w:rsidRPr="00C062F0" w:rsidRDefault="00DA6028" w:rsidP="00B032CE">
      <w:pPr>
        <w:pStyle w:val="Normalnumber"/>
        <w:tabs>
          <w:tab w:val="clear" w:pos="40"/>
          <w:tab w:val="num" w:pos="624"/>
        </w:tabs>
        <w:ind w:left="1247"/>
        <w:rPr>
          <w:lang w:val="en-GB"/>
        </w:rPr>
      </w:pPr>
      <w:r w:rsidRPr="00C062F0">
        <w:rPr>
          <w:lang w:val="en-GB"/>
        </w:rPr>
        <w:t xml:space="preserve">The assessment of </w:t>
      </w:r>
      <w:r w:rsidR="00D6075D" w:rsidRPr="00C062F0">
        <w:rPr>
          <w:lang w:val="en-GB"/>
        </w:rPr>
        <w:t xml:space="preserve">thematic groups (such as precious wood species; non-timber plants, including medicinal </w:t>
      </w:r>
      <w:r w:rsidR="005C5E05" w:rsidRPr="00C062F0">
        <w:rPr>
          <w:lang w:val="en-GB"/>
        </w:rPr>
        <w:t>plants</w:t>
      </w:r>
      <w:r w:rsidR="00D6075D" w:rsidRPr="00C062F0">
        <w:rPr>
          <w:lang w:val="en-GB"/>
        </w:rPr>
        <w:t>; commercially harvested marine species, including shark species; or terrestrial vertebrates, including reptile skins; from all U</w:t>
      </w:r>
      <w:r w:rsidRPr="00C062F0">
        <w:rPr>
          <w:lang w:val="en-GB"/>
        </w:rPr>
        <w:t xml:space="preserve">nited </w:t>
      </w:r>
      <w:r w:rsidR="00D6075D" w:rsidRPr="00C062F0">
        <w:rPr>
          <w:lang w:val="en-GB"/>
        </w:rPr>
        <w:t>N</w:t>
      </w:r>
      <w:r w:rsidRPr="00C062F0">
        <w:rPr>
          <w:lang w:val="en-GB"/>
        </w:rPr>
        <w:t>ations</w:t>
      </w:r>
      <w:r w:rsidR="00D6075D" w:rsidRPr="00C062F0">
        <w:rPr>
          <w:lang w:val="en-GB"/>
        </w:rPr>
        <w:t xml:space="preserve"> regions) </w:t>
      </w:r>
      <w:r w:rsidRPr="00C062F0">
        <w:rPr>
          <w:lang w:val="en-GB"/>
        </w:rPr>
        <w:t xml:space="preserve">for which </w:t>
      </w:r>
      <w:r w:rsidR="00D6075D" w:rsidRPr="00C062F0">
        <w:rPr>
          <w:lang w:val="en-GB"/>
        </w:rPr>
        <w:t xml:space="preserve">there </w:t>
      </w:r>
      <w:r w:rsidRPr="00C062F0">
        <w:rPr>
          <w:lang w:val="en-GB"/>
        </w:rPr>
        <w:t>are</w:t>
      </w:r>
      <w:r w:rsidR="00D6075D" w:rsidRPr="00C062F0">
        <w:rPr>
          <w:lang w:val="en-GB"/>
        </w:rPr>
        <w:t xml:space="preserve"> relatively good data could provide an objective account of the ecological, commercial and social factors that affect whether harvest and trade have positive or negative impacts on wild populations, ecosystem services and other socioeconomic and cultural </w:t>
      </w:r>
      <w:r w:rsidRPr="00C062F0">
        <w:rPr>
          <w:lang w:val="en-GB"/>
        </w:rPr>
        <w:t>assets</w:t>
      </w:r>
      <w:r w:rsidR="00D6075D" w:rsidRPr="00C062F0">
        <w:rPr>
          <w:lang w:val="en-GB"/>
        </w:rPr>
        <w:t>. The knowledge generated from such assessments c</w:t>
      </w:r>
      <w:r w:rsidRPr="00C062F0">
        <w:rPr>
          <w:lang w:val="en-GB"/>
        </w:rPr>
        <w:t>ould</w:t>
      </w:r>
      <w:r w:rsidR="00D6075D" w:rsidRPr="00C062F0">
        <w:rPr>
          <w:lang w:val="en-GB"/>
        </w:rPr>
        <w:t xml:space="preserve"> then be coupled with necessary capacity</w:t>
      </w:r>
      <w:r w:rsidRPr="00C062F0">
        <w:rPr>
          <w:lang w:val="en-GB"/>
        </w:rPr>
        <w:t>-</w:t>
      </w:r>
      <w:r w:rsidR="00D6075D" w:rsidRPr="00C062F0">
        <w:rPr>
          <w:lang w:val="en-GB"/>
        </w:rPr>
        <w:t>building and tools.</w:t>
      </w:r>
    </w:p>
    <w:p w:rsidR="00D6075D" w:rsidRPr="00C062F0" w:rsidRDefault="00D6075D" w:rsidP="00F11BA2">
      <w:pPr>
        <w:pStyle w:val="CH1"/>
        <w:rPr>
          <w:lang w:val="en-GB"/>
        </w:rPr>
      </w:pPr>
      <w:r w:rsidRPr="00C062F0">
        <w:rPr>
          <w:lang w:val="en-GB"/>
        </w:rPr>
        <w:tab/>
      </w:r>
      <w:r w:rsidR="006C60F7" w:rsidRPr="00C062F0">
        <w:rPr>
          <w:lang w:val="en-GB"/>
        </w:rPr>
        <w:t>III</w:t>
      </w:r>
      <w:r w:rsidRPr="00C062F0">
        <w:rPr>
          <w:lang w:val="en-GB"/>
        </w:rPr>
        <w:t>.</w:t>
      </w:r>
      <w:r w:rsidRPr="00C062F0">
        <w:rPr>
          <w:lang w:val="en-GB"/>
        </w:rPr>
        <w:tab/>
        <w:t xml:space="preserve">Chapter </w:t>
      </w:r>
      <w:r w:rsidR="00DA6028" w:rsidRPr="00C062F0">
        <w:rPr>
          <w:lang w:val="en-GB"/>
        </w:rPr>
        <w:t>o</w:t>
      </w:r>
      <w:r w:rsidRPr="00C062F0">
        <w:rPr>
          <w:lang w:val="en-GB"/>
        </w:rPr>
        <w:t>utline</w:t>
      </w:r>
    </w:p>
    <w:p w:rsidR="00DA6028" w:rsidRPr="00C062F0" w:rsidRDefault="00DA6028" w:rsidP="00B032CE">
      <w:pPr>
        <w:pStyle w:val="Normalnumber"/>
        <w:tabs>
          <w:tab w:val="clear" w:pos="40"/>
          <w:tab w:val="num" w:pos="624"/>
        </w:tabs>
        <w:ind w:left="1247"/>
        <w:rPr>
          <w:lang w:val="en-GB"/>
        </w:rPr>
      </w:pPr>
      <w:r w:rsidRPr="00C062F0">
        <w:rPr>
          <w:lang w:val="en-GB"/>
        </w:rPr>
        <w:t xml:space="preserve">It is contemplated that the </w:t>
      </w:r>
      <w:r w:rsidR="002E3D8B" w:rsidRPr="00C062F0">
        <w:rPr>
          <w:lang w:val="en-GB"/>
        </w:rPr>
        <w:t>thematic</w:t>
      </w:r>
      <w:r w:rsidRPr="00C062F0">
        <w:rPr>
          <w:lang w:val="en-GB"/>
        </w:rPr>
        <w:t xml:space="preserve"> assessment will be presented in a </w:t>
      </w:r>
      <w:r w:rsidR="006C60F7" w:rsidRPr="00C062F0">
        <w:rPr>
          <w:lang w:val="en-GB"/>
        </w:rPr>
        <w:t xml:space="preserve">six-chapter </w:t>
      </w:r>
      <w:r w:rsidRPr="00C062F0">
        <w:rPr>
          <w:lang w:val="en-GB"/>
        </w:rPr>
        <w:t>report</w:t>
      </w:r>
      <w:r w:rsidR="00CC3231" w:rsidRPr="00C062F0">
        <w:rPr>
          <w:lang w:val="en-GB"/>
        </w:rPr>
        <w:t>, as</w:t>
      </w:r>
      <w:r w:rsidR="006C60F7" w:rsidRPr="00C062F0">
        <w:rPr>
          <w:lang w:val="en-GB"/>
        </w:rPr>
        <w:t xml:space="preserve"> set out below</w:t>
      </w:r>
      <w:r w:rsidR="00CC3231" w:rsidRPr="00C062F0">
        <w:rPr>
          <w:lang w:val="en-GB"/>
        </w:rPr>
        <w:t>:</w:t>
      </w:r>
    </w:p>
    <w:p w:rsidR="00F806E3" w:rsidRDefault="00D6075D" w:rsidP="00B032CE">
      <w:pPr>
        <w:pStyle w:val="Normalnumber"/>
        <w:tabs>
          <w:tab w:val="clear" w:pos="40"/>
          <w:tab w:val="num" w:pos="624"/>
        </w:tabs>
        <w:ind w:left="1247"/>
        <w:rPr>
          <w:lang w:val="en-GB"/>
        </w:rPr>
      </w:pPr>
      <w:r w:rsidRPr="00C062F0">
        <w:rPr>
          <w:lang w:val="en-GB"/>
        </w:rPr>
        <w:t>Chapter 1</w:t>
      </w:r>
      <w:r w:rsidR="003E6482" w:rsidRPr="00C062F0">
        <w:rPr>
          <w:lang w:val="en-GB"/>
        </w:rPr>
        <w:t xml:space="preserve"> will provide b</w:t>
      </w:r>
      <w:r w:rsidRPr="00C062F0">
        <w:rPr>
          <w:lang w:val="en-GB"/>
        </w:rPr>
        <w:t xml:space="preserve">ackground on </w:t>
      </w:r>
      <w:r w:rsidR="003E6482" w:rsidRPr="00C062F0">
        <w:rPr>
          <w:lang w:val="en-GB"/>
        </w:rPr>
        <w:t>s</w:t>
      </w:r>
      <w:r w:rsidRPr="00C062F0">
        <w:rPr>
          <w:lang w:val="en-GB"/>
        </w:rPr>
        <w:t xml:space="preserve">ustainable use </w:t>
      </w:r>
      <w:r w:rsidR="003E6482" w:rsidRPr="00C062F0">
        <w:rPr>
          <w:lang w:val="en-GB"/>
        </w:rPr>
        <w:t>p</w:t>
      </w:r>
      <w:r w:rsidRPr="00C062F0">
        <w:rPr>
          <w:lang w:val="en-GB"/>
        </w:rPr>
        <w:t>rinciples</w:t>
      </w:r>
      <w:r w:rsidR="00F806E3">
        <w:rPr>
          <w:lang w:val="en-GB"/>
        </w:rPr>
        <w:t>,</w:t>
      </w:r>
      <w:r w:rsidR="003E6482" w:rsidRPr="00C062F0">
        <w:rPr>
          <w:lang w:val="en-GB"/>
        </w:rPr>
        <w:t xml:space="preserve"> including </w:t>
      </w:r>
      <w:r w:rsidRPr="00C062F0">
        <w:rPr>
          <w:lang w:val="en-GB"/>
        </w:rPr>
        <w:t xml:space="preserve">recognized standards on sustainable use of biodiversity; </w:t>
      </w:r>
      <w:r w:rsidR="001D1655" w:rsidRPr="00C062F0">
        <w:rPr>
          <w:lang w:val="en-GB"/>
        </w:rPr>
        <w:t>the p</w:t>
      </w:r>
      <w:r w:rsidRPr="00C062F0">
        <w:rPr>
          <w:lang w:val="en-GB"/>
        </w:rPr>
        <w:t xml:space="preserve">recautionary </w:t>
      </w:r>
      <w:r w:rsidR="001D1655" w:rsidRPr="00C062F0">
        <w:rPr>
          <w:lang w:val="en-GB"/>
        </w:rPr>
        <w:t>a</w:t>
      </w:r>
      <w:r w:rsidRPr="00C062F0">
        <w:rPr>
          <w:lang w:val="en-GB"/>
        </w:rPr>
        <w:t xml:space="preserve">pproach; </w:t>
      </w:r>
      <w:r w:rsidR="001D1655" w:rsidRPr="00C062F0">
        <w:rPr>
          <w:lang w:val="en-GB"/>
        </w:rPr>
        <w:t>m</w:t>
      </w:r>
      <w:r w:rsidRPr="00C062F0">
        <w:rPr>
          <w:lang w:val="en-GB"/>
        </w:rPr>
        <w:t xml:space="preserve">aximum </w:t>
      </w:r>
      <w:r w:rsidR="001D1655" w:rsidRPr="00C062F0">
        <w:rPr>
          <w:lang w:val="en-GB"/>
        </w:rPr>
        <w:t>s</w:t>
      </w:r>
      <w:r w:rsidRPr="00C062F0">
        <w:rPr>
          <w:lang w:val="en-GB"/>
        </w:rPr>
        <w:t xml:space="preserve">ustainable </w:t>
      </w:r>
      <w:r w:rsidR="00C12A4F" w:rsidRPr="00C062F0">
        <w:rPr>
          <w:lang w:val="en-GB"/>
        </w:rPr>
        <w:t xml:space="preserve">yield </w:t>
      </w:r>
      <w:r w:rsidRPr="00C062F0">
        <w:rPr>
          <w:lang w:val="en-GB"/>
        </w:rPr>
        <w:t xml:space="preserve">theory; </w:t>
      </w:r>
      <w:r w:rsidR="001D1655" w:rsidRPr="00C062F0">
        <w:rPr>
          <w:lang w:val="en-GB"/>
        </w:rPr>
        <w:t xml:space="preserve">the </w:t>
      </w:r>
      <w:r w:rsidRPr="00C062F0">
        <w:rPr>
          <w:lang w:val="en-GB"/>
        </w:rPr>
        <w:t xml:space="preserve">importance of harvesting wild species to local communities and livelihoods; </w:t>
      </w:r>
      <w:r w:rsidR="001D1655" w:rsidRPr="00C062F0">
        <w:rPr>
          <w:lang w:val="en-GB"/>
        </w:rPr>
        <w:t xml:space="preserve">the </w:t>
      </w:r>
      <w:r w:rsidRPr="00C062F0">
        <w:rPr>
          <w:lang w:val="en-GB"/>
        </w:rPr>
        <w:t xml:space="preserve">contribution of sustainable harvesting to habitat and biodiversity conservation; and synergy with </w:t>
      </w:r>
      <w:r w:rsidR="001D1655" w:rsidRPr="00C062F0">
        <w:rPr>
          <w:lang w:val="en-GB"/>
        </w:rPr>
        <w:t>b</w:t>
      </w:r>
      <w:r w:rsidRPr="00C062F0">
        <w:rPr>
          <w:lang w:val="en-GB"/>
        </w:rPr>
        <w:t>iodiversity</w:t>
      </w:r>
      <w:r w:rsidR="001D1655" w:rsidRPr="00C062F0">
        <w:rPr>
          <w:lang w:val="en-GB"/>
        </w:rPr>
        <w:t>-r</w:t>
      </w:r>
      <w:r w:rsidRPr="00C062F0">
        <w:rPr>
          <w:lang w:val="en-GB"/>
        </w:rPr>
        <w:t xml:space="preserve">elated </w:t>
      </w:r>
      <w:r w:rsidR="001D1655" w:rsidRPr="00C062F0">
        <w:rPr>
          <w:lang w:val="en-GB"/>
        </w:rPr>
        <w:t>c</w:t>
      </w:r>
      <w:r w:rsidRPr="00C062F0">
        <w:rPr>
          <w:lang w:val="en-GB"/>
        </w:rPr>
        <w:t xml:space="preserve">onventions, specialized agencies and </w:t>
      </w:r>
      <w:r w:rsidR="001D1655" w:rsidRPr="00C062F0">
        <w:rPr>
          <w:lang w:val="en-GB"/>
        </w:rPr>
        <w:t xml:space="preserve">other </w:t>
      </w:r>
      <w:r w:rsidRPr="00C062F0">
        <w:rPr>
          <w:lang w:val="en-GB"/>
        </w:rPr>
        <w:t>stakeholders</w:t>
      </w:r>
      <w:r w:rsidR="00F806E3">
        <w:rPr>
          <w:lang w:val="en-GB"/>
        </w:rPr>
        <w:t>.</w:t>
      </w:r>
    </w:p>
    <w:p w:rsidR="00D6075D" w:rsidRPr="00C062F0" w:rsidRDefault="00CC3231" w:rsidP="00B032CE">
      <w:pPr>
        <w:pStyle w:val="Normalnumber"/>
        <w:tabs>
          <w:tab w:val="clear" w:pos="40"/>
          <w:tab w:val="num" w:pos="624"/>
        </w:tabs>
        <w:ind w:left="1247"/>
        <w:rPr>
          <w:lang w:val="en-GB"/>
        </w:rPr>
      </w:pPr>
      <w:r w:rsidRPr="00C062F0">
        <w:rPr>
          <w:lang w:val="en-GB"/>
        </w:rPr>
        <w:t xml:space="preserve"> </w:t>
      </w:r>
      <w:r w:rsidR="00D6075D" w:rsidRPr="00C062F0">
        <w:rPr>
          <w:lang w:val="en-GB"/>
        </w:rPr>
        <w:t>Chapter 2</w:t>
      </w:r>
      <w:r w:rsidR="001D1655" w:rsidRPr="00C062F0">
        <w:rPr>
          <w:lang w:val="en-GB"/>
        </w:rPr>
        <w:t xml:space="preserve"> will i</w:t>
      </w:r>
      <w:r w:rsidR="00D6075D" w:rsidRPr="00C062F0">
        <w:rPr>
          <w:lang w:val="en-GB"/>
        </w:rPr>
        <w:t>dentif</w:t>
      </w:r>
      <w:r w:rsidR="001D1655" w:rsidRPr="00C062F0">
        <w:rPr>
          <w:lang w:val="en-GB"/>
        </w:rPr>
        <w:t>y the</w:t>
      </w:r>
      <w:r w:rsidR="00D6075D" w:rsidRPr="00C062F0">
        <w:rPr>
          <w:lang w:val="en-GB"/>
        </w:rPr>
        <w:t xml:space="preserve"> taxa </w:t>
      </w:r>
      <w:r w:rsidR="001D1655" w:rsidRPr="00C062F0">
        <w:rPr>
          <w:lang w:val="en-GB"/>
        </w:rPr>
        <w:t>to be studied</w:t>
      </w:r>
      <w:r w:rsidR="00D6075D" w:rsidRPr="00C062F0">
        <w:rPr>
          <w:lang w:val="en-GB"/>
        </w:rPr>
        <w:t>, preferably groups of mainly harvested and commercially valuable wild species with similar management schemes or life forms representative of all regions (e.g., marine and fresh water fishes, birds, mammals, reptiles, timber and non</w:t>
      </w:r>
      <w:r w:rsidR="001D1655" w:rsidRPr="00C062F0">
        <w:rPr>
          <w:lang w:val="en-GB"/>
        </w:rPr>
        <w:t>-</w:t>
      </w:r>
      <w:r w:rsidR="00D6075D" w:rsidRPr="00C062F0">
        <w:rPr>
          <w:lang w:val="en-GB"/>
        </w:rPr>
        <w:t>timber plants)</w:t>
      </w:r>
      <w:r w:rsidR="001D1655" w:rsidRPr="00C062F0">
        <w:rPr>
          <w:lang w:val="en-GB"/>
        </w:rPr>
        <w:t xml:space="preserve">, and </w:t>
      </w:r>
      <w:r w:rsidR="009B23D0" w:rsidRPr="00C062F0">
        <w:rPr>
          <w:lang w:val="en-GB"/>
        </w:rPr>
        <w:t xml:space="preserve">will outline </w:t>
      </w:r>
      <w:r w:rsidR="001D1655" w:rsidRPr="00C062F0">
        <w:rPr>
          <w:lang w:val="en-GB"/>
        </w:rPr>
        <w:t>their conservation status</w:t>
      </w:r>
      <w:r w:rsidR="006C60F7" w:rsidRPr="00C062F0">
        <w:rPr>
          <w:lang w:val="en-GB"/>
        </w:rPr>
        <w:t>.</w:t>
      </w:r>
    </w:p>
    <w:p w:rsidR="00D6075D" w:rsidRPr="00C062F0" w:rsidRDefault="00D6075D" w:rsidP="00B032CE">
      <w:pPr>
        <w:pStyle w:val="Normalnumber"/>
        <w:tabs>
          <w:tab w:val="clear" w:pos="40"/>
          <w:tab w:val="num" w:pos="624"/>
        </w:tabs>
        <w:ind w:left="1247"/>
        <w:rPr>
          <w:lang w:val="en-GB"/>
        </w:rPr>
      </w:pPr>
      <w:r w:rsidRPr="00C062F0">
        <w:rPr>
          <w:lang w:val="en-GB"/>
        </w:rPr>
        <w:t>Chapter 3</w:t>
      </w:r>
      <w:r w:rsidR="009B23D0" w:rsidRPr="00C062F0">
        <w:rPr>
          <w:lang w:val="en-GB"/>
        </w:rPr>
        <w:t xml:space="preserve"> will feature an a</w:t>
      </w:r>
      <w:r w:rsidRPr="00C062F0">
        <w:rPr>
          <w:lang w:val="en-GB"/>
        </w:rPr>
        <w:t>ssessment of the ecological, economic, social and cultural importance of selected taxa</w:t>
      </w:r>
      <w:r w:rsidR="006C60F7" w:rsidRPr="00C062F0">
        <w:rPr>
          <w:lang w:val="en-GB"/>
        </w:rPr>
        <w:t>.</w:t>
      </w:r>
    </w:p>
    <w:p w:rsidR="00D6075D" w:rsidRPr="00C062F0" w:rsidRDefault="00CC3231" w:rsidP="00B032CE">
      <w:pPr>
        <w:pStyle w:val="Normalnumber"/>
        <w:tabs>
          <w:tab w:val="clear" w:pos="40"/>
          <w:tab w:val="num" w:pos="624"/>
        </w:tabs>
        <w:ind w:left="1247"/>
        <w:rPr>
          <w:lang w:val="en-GB"/>
        </w:rPr>
      </w:pPr>
      <w:r w:rsidRPr="00C062F0">
        <w:rPr>
          <w:lang w:val="en-GB"/>
        </w:rPr>
        <w:t xml:space="preserve"> </w:t>
      </w:r>
      <w:r w:rsidR="00D6075D" w:rsidRPr="00C062F0">
        <w:rPr>
          <w:lang w:val="en-GB"/>
        </w:rPr>
        <w:t>Chapter 4</w:t>
      </w:r>
      <w:r w:rsidR="009B23D0" w:rsidRPr="00C062F0">
        <w:rPr>
          <w:lang w:val="en-GB"/>
        </w:rPr>
        <w:t xml:space="preserve"> will present an a</w:t>
      </w:r>
      <w:r w:rsidR="00D6075D" w:rsidRPr="00C062F0">
        <w:rPr>
          <w:lang w:val="en-GB"/>
        </w:rPr>
        <w:t>ssessment of the impacts of socio-economic drivers of mainly harvested taxa in markets and local communities under different management regimes</w:t>
      </w:r>
      <w:r w:rsidR="006C60F7" w:rsidRPr="00C062F0">
        <w:rPr>
          <w:lang w:val="en-GB"/>
        </w:rPr>
        <w:t>.</w:t>
      </w:r>
    </w:p>
    <w:p w:rsidR="00D6075D" w:rsidRPr="00C062F0" w:rsidRDefault="00D6075D" w:rsidP="00B032CE">
      <w:pPr>
        <w:pStyle w:val="Normalnumber"/>
        <w:tabs>
          <w:tab w:val="clear" w:pos="40"/>
          <w:tab w:val="num" w:pos="624"/>
        </w:tabs>
        <w:ind w:left="1247"/>
        <w:rPr>
          <w:lang w:val="en-GB"/>
        </w:rPr>
      </w:pPr>
      <w:r w:rsidRPr="00C062F0">
        <w:rPr>
          <w:lang w:val="en-GB"/>
        </w:rPr>
        <w:lastRenderedPageBreak/>
        <w:t>Chapter 5</w:t>
      </w:r>
      <w:r w:rsidR="009B23D0" w:rsidRPr="00C062F0">
        <w:rPr>
          <w:lang w:val="en-GB"/>
        </w:rPr>
        <w:t xml:space="preserve"> will a</w:t>
      </w:r>
      <w:r w:rsidRPr="00C062F0">
        <w:rPr>
          <w:lang w:val="en-GB"/>
        </w:rPr>
        <w:t>ssess the effect of harvest or exploitation on the conservation status of selected taxa, ecosystems, ecosystem services and other value systems under different management regimes</w:t>
      </w:r>
      <w:r w:rsidR="006C60F7" w:rsidRPr="00C062F0">
        <w:rPr>
          <w:lang w:val="en-GB"/>
        </w:rPr>
        <w:t>.</w:t>
      </w:r>
    </w:p>
    <w:p w:rsidR="00D6075D" w:rsidRPr="00C062F0" w:rsidRDefault="00D6075D" w:rsidP="00B032CE">
      <w:pPr>
        <w:pStyle w:val="Normalnumber"/>
        <w:tabs>
          <w:tab w:val="clear" w:pos="40"/>
          <w:tab w:val="num" w:pos="624"/>
        </w:tabs>
        <w:ind w:left="1247"/>
        <w:rPr>
          <w:lang w:val="en-GB"/>
        </w:rPr>
      </w:pPr>
      <w:r w:rsidRPr="00C062F0">
        <w:rPr>
          <w:lang w:val="en-GB"/>
        </w:rPr>
        <w:t>Chapter 6</w:t>
      </w:r>
      <w:r w:rsidR="009B23D0" w:rsidRPr="00C062F0">
        <w:rPr>
          <w:lang w:val="en-GB"/>
        </w:rPr>
        <w:t xml:space="preserve"> will present a c</w:t>
      </w:r>
      <w:r w:rsidRPr="00C062F0">
        <w:rPr>
          <w:lang w:val="en-GB"/>
        </w:rPr>
        <w:t xml:space="preserve">ompilation of management guidelines and tools (including best practices, procedures, lessons learned and recommendations) on sustainable use </w:t>
      </w:r>
      <w:r w:rsidR="009B23D0" w:rsidRPr="00C062F0">
        <w:rPr>
          <w:lang w:val="en-GB"/>
        </w:rPr>
        <w:t xml:space="preserve">for </w:t>
      </w:r>
      <w:r w:rsidRPr="00C062F0">
        <w:rPr>
          <w:lang w:val="en-GB"/>
        </w:rPr>
        <w:t xml:space="preserve">selected taxa with potential application </w:t>
      </w:r>
      <w:r w:rsidR="009B23D0" w:rsidRPr="00C062F0">
        <w:rPr>
          <w:lang w:val="en-GB"/>
        </w:rPr>
        <w:t xml:space="preserve">for </w:t>
      </w:r>
      <w:r w:rsidRPr="00C062F0">
        <w:rPr>
          <w:lang w:val="en-GB"/>
        </w:rPr>
        <w:t>other species under similar management regimes.</w:t>
      </w:r>
    </w:p>
    <w:p w:rsidR="00D6075D" w:rsidRPr="00C062F0" w:rsidRDefault="00D6075D" w:rsidP="00F11BA2">
      <w:pPr>
        <w:pStyle w:val="CH1"/>
        <w:rPr>
          <w:lang w:val="en-GB"/>
        </w:rPr>
      </w:pPr>
      <w:r w:rsidRPr="00C062F0">
        <w:rPr>
          <w:lang w:val="en-GB"/>
        </w:rPr>
        <w:tab/>
      </w:r>
      <w:r w:rsidR="006C60F7" w:rsidRPr="00C062F0">
        <w:rPr>
          <w:lang w:val="en-GB"/>
        </w:rPr>
        <w:t>I</w:t>
      </w:r>
      <w:r w:rsidR="006F66BC" w:rsidRPr="00C062F0">
        <w:rPr>
          <w:lang w:val="en-GB"/>
        </w:rPr>
        <w:t>V</w:t>
      </w:r>
      <w:r w:rsidRPr="00C062F0">
        <w:rPr>
          <w:lang w:val="en-GB"/>
        </w:rPr>
        <w:t>.</w:t>
      </w:r>
      <w:r w:rsidRPr="00C062F0">
        <w:rPr>
          <w:lang w:val="en-GB"/>
        </w:rPr>
        <w:tab/>
        <w:t>Process and timetable</w:t>
      </w:r>
    </w:p>
    <w:p w:rsidR="009B23D0" w:rsidRPr="00C062F0" w:rsidRDefault="009B23D0" w:rsidP="00A6187A">
      <w:pPr>
        <w:pStyle w:val="Normalnumber"/>
        <w:tabs>
          <w:tab w:val="clear" w:pos="40"/>
          <w:tab w:val="num" w:pos="624"/>
        </w:tabs>
        <w:spacing w:after="240"/>
        <w:ind w:left="1247"/>
        <w:rPr>
          <w:lang w:val="en-GB"/>
        </w:rPr>
      </w:pPr>
      <w:r w:rsidRPr="00C062F0">
        <w:rPr>
          <w:lang w:val="en-GB"/>
        </w:rPr>
        <w:t xml:space="preserve">The proposed process for undertaking the proposed </w:t>
      </w:r>
      <w:r w:rsidR="002E3D8B" w:rsidRPr="00C062F0">
        <w:rPr>
          <w:lang w:val="en-GB"/>
        </w:rPr>
        <w:t xml:space="preserve">thematic </w:t>
      </w:r>
      <w:r w:rsidRPr="00C062F0">
        <w:rPr>
          <w:lang w:val="en-GB"/>
        </w:rPr>
        <w:t>assessment and the timetable for carrying it out are outlined in the following table</w:t>
      </w:r>
      <w:r w:rsidR="00805D4D" w:rsidRPr="00C062F0">
        <w:rPr>
          <w:lang w:val="en-GB"/>
        </w:rPr>
        <w:t>:</w:t>
      </w:r>
    </w:p>
    <w:tbl>
      <w:tblPr>
        <w:tblW w:w="850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437"/>
        <w:gridCol w:w="6452"/>
      </w:tblGrid>
      <w:tr w:rsidR="00805D4D" w:rsidRPr="00C062F0" w:rsidTr="002D0E89">
        <w:tc>
          <w:tcPr>
            <w:tcW w:w="2053" w:type="dxa"/>
            <w:gridSpan w:val="2"/>
            <w:vAlign w:val="center"/>
          </w:tcPr>
          <w:p w:rsidR="00805D4D" w:rsidRPr="00C062F0" w:rsidRDefault="00805D4D" w:rsidP="00F17041">
            <w:pPr>
              <w:pStyle w:val="Normal-pool"/>
              <w:spacing w:before="6" w:after="6"/>
              <w:rPr>
                <w:rFonts w:eastAsia="SimSun"/>
                <w:i/>
                <w:sz w:val="19"/>
                <w:szCs w:val="19"/>
                <w:lang w:eastAsia="zh-CN"/>
              </w:rPr>
            </w:pPr>
            <w:r w:rsidRPr="00C062F0">
              <w:rPr>
                <w:rFonts w:eastAsia="SimSun"/>
                <w:i/>
                <w:sz w:val="19"/>
                <w:szCs w:val="19"/>
                <w:lang w:eastAsia="zh-CN"/>
              </w:rPr>
              <w:t>Time frame</w:t>
            </w:r>
          </w:p>
        </w:tc>
        <w:tc>
          <w:tcPr>
            <w:tcW w:w="6452" w:type="dxa"/>
            <w:shd w:val="clear" w:color="auto" w:fill="auto"/>
            <w:vAlign w:val="center"/>
          </w:tcPr>
          <w:p w:rsidR="00805D4D" w:rsidRPr="00C062F0" w:rsidRDefault="00805D4D" w:rsidP="00F17041">
            <w:pPr>
              <w:pStyle w:val="Normal-pool"/>
              <w:spacing w:before="40" w:after="40"/>
              <w:rPr>
                <w:i/>
              </w:rPr>
            </w:pPr>
            <w:r w:rsidRPr="00C062F0">
              <w:rPr>
                <w:i/>
              </w:rPr>
              <w:t>Actions</w:t>
            </w:r>
          </w:p>
        </w:tc>
      </w:tr>
      <w:tr w:rsidR="00747083" w:rsidRPr="00C062F0" w:rsidTr="002D0E89">
        <w:tc>
          <w:tcPr>
            <w:tcW w:w="616" w:type="dxa"/>
            <w:vMerge w:val="restart"/>
            <w:vAlign w:val="center"/>
          </w:tcPr>
          <w:p w:rsidR="00747083" w:rsidRPr="00C062F0" w:rsidRDefault="00747083" w:rsidP="00F17041">
            <w:pPr>
              <w:pStyle w:val="Normal-pool"/>
              <w:spacing w:before="6" w:after="6"/>
            </w:pPr>
            <w:r w:rsidRPr="00C062F0">
              <w:t>2013</w:t>
            </w:r>
          </w:p>
        </w:tc>
        <w:tc>
          <w:tcPr>
            <w:tcW w:w="1437" w:type="dxa"/>
            <w:vAlign w:val="center"/>
          </w:tcPr>
          <w:p w:rsidR="00747083" w:rsidRPr="00C062F0" w:rsidRDefault="00747083" w:rsidP="00F11BA2">
            <w:pPr>
              <w:pStyle w:val="Normal-pool"/>
              <w:spacing w:before="6" w:after="6"/>
            </w:pPr>
            <w:r w:rsidRPr="00C062F0">
              <w:rPr>
                <w:rFonts w:eastAsia="SimSun"/>
                <w:sz w:val="19"/>
                <w:szCs w:val="19"/>
                <w:lang w:eastAsia="zh-CN"/>
              </w:rPr>
              <w:t>Fourth quarter</w:t>
            </w:r>
          </w:p>
          <w:p w:rsidR="00747083" w:rsidRPr="00C062F0" w:rsidRDefault="00747083" w:rsidP="00F11BA2">
            <w:pPr>
              <w:pStyle w:val="Normal-pool"/>
              <w:spacing w:before="6" w:after="6"/>
            </w:pPr>
          </w:p>
        </w:tc>
        <w:tc>
          <w:tcPr>
            <w:tcW w:w="6452" w:type="dxa"/>
            <w:shd w:val="clear" w:color="auto" w:fill="auto"/>
            <w:vAlign w:val="center"/>
          </w:tcPr>
          <w:p w:rsidR="00747083" w:rsidRPr="00C062F0" w:rsidRDefault="00747083" w:rsidP="00F11BA2">
            <w:pPr>
              <w:pStyle w:val="Normal-pool"/>
              <w:spacing w:before="40" w:after="40"/>
            </w:pPr>
            <w:r w:rsidRPr="00C062F0">
              <w:t>The Plenary reviews and approves the initial scoping exercise prepared by the Multidisciplinary Expert Panel and requests the Panel and the Bureau, within an agreed cost envelope, to proceed with a full assessment after the detailed scoping study (14 December 2013)</w:t>
            </w:r>
          </w:p>
        </w:tc>
      </w:tr>
      <w:tr w:rsidR="00747083" w:rsidRPr="00C062F0" w:rsidTr="002D0E89">
        <w:tc>
          <w:tcPr>
            <w:tcW w:w="616" w:type="dxa"/>
            <w:vMerge/>
            <w:vAlign w:val="center"/>
          </w:tcPr>
          <w:p w:rsidR="00747083" w:rsidRPr="00C062F0" w:rsidRDefault="00747083" w:rsidP="00F17041">
            <w:pPr>
              <w:pStyle w:val="Normal-pool"/>
              <w:spacing w:before="6" w:after="6"/>
            </w:pPr>
          </w:p>
        </w:tc>
        <w:tc>
          <w:tcPr>
            <w:tcW w:w="1437" w:type="dxa"/>
            <w:vAlign w:val="center"/>
          </w:tcPr>
          <w:p w:rsidR="00747083" w:rsidRPr="00C062F0" w:rsidRDefault="00747083" w:rsidP="00F11BA2">
            <w:pPr>
              <w:pStyle w:val="Normal-pool"/>
              <w:spacing w:before="6" w:after="6"/>
            </w:pPr>
            <w:r w:rsidRPr="00C062F0">
              <w:rPr>
                <w:rFonts w:eastAsia="SimSun"/>
                <w:sz w:val="19"/>
                <w:szCs w:val="19"/>
                <w:lang w:eastAsia="zh-CN"/>
              </w:rPr>
              <w:t>Fourth quarter</w:t>
            </w:r>
          </w:p>
        </w:tc>
        <w:tc>
          <w:tcPr>
            <w:tcW w:w="6452" w:type="dxa"/>
            <w:shd w:val="clear" w:color="auto" w:fill="auto"/>
            <w:vAlign w:val="center"/>
          </w:tcPr>
          <w:p w:rsidR="00747083" w:rsidRPr="00C062F0" w:rsidRDefault="00747083" w:rsidP="00F11BA2">
            <w:pPr>
              <w:pStyle w:val="Normal-pool"/>
              <w:spacing w:before="40" w:after="40"/>
            </w:pPr>
            <w:r w:rsidRPr="00C062F0">
              <w:t xml:space="preserve">The Panel, through the secretariat, requests nominations from Governments and other stakeholders </w:t>
            </w:r>
            <w:r w:rsidR="006C60F7" w:rsidRPr="00C062F0">
              <w:t>for</w:t>
            </w:r>
            <w:r w:rsidRPr="00C062F0">
              <w:t xml:space="preserve"> experts to assist with the scoping process (16</w:t>
            </w:r>
            <w:r w:rsidR="008F1EE8">
              <w:t> </w:t>
            </w:r>
            <w:r w:rsidRPr="00C062F0">
              <w:t>December 2013–31 January 2014)</w:t>
            </w:r>
          </w:p>
        </w:tc>
      </w:tr>
      <w:tr w:rsidR="00747083" w:rsidRPr="00C062F0" w:rsidTr="002D0E89">
        <w:tc>
          <w:tcPr>
            <w:tcW w:w="616" w:type="dxa"/>
            <w:vMerge w:val="restart"/>
            <w:vAlign w:val="center"/>
          </w:tcPr>
          <w:p w:rsidR="00747083" w:rsidRPr="00C062F0" w:rsidRDefault="00747083" w:rsidP="00F17041">
            <w:pPr>
              <w:pStyle w:val="Normal-pool"/>
              <w:spacing w:before="6" w:after="6"/>
              <w:jc w:val="right"/>
            </w:pPr>
            <w:r w:rsidRPr="00C062F0">
              <w:t>2014</w:t>
            </w:r>
          </w:p>
        </w:tc>
        <w:tc>
          <w:tcPr>
            <w:tcW w:w="1437" w:type="dxa"/>
            <w:vAlign w:val="center"/>
          </w:tcPr>
          <w:p w:rsidR="00747083" w:rsidRPr="00C062F0" w:rsidRDefault="00747083" w:rsidP="00F11BA2">
            <w:pPr>
              <w:pStyle w:val="Normal-pool"/>
              <w:spacing w:before="6" w:after="6"/>
            </w:pPr>
            <w:r w:rsidRPr="00C062F0">
              <w:rPr>
                <w:rFonts w:eastAsia="SimSun"/>
                <w:sz w:val="19"/>
                <w:szCs w:val="19"/>
                <w:lang w:eastAsia="zh-CN"/>
              </w:rPr>
              <w:t>First quarter</w:t>
            </w:r>
          </w:p>
        </w:tc>
        <w:tc>
          <w:tcPr>
            <w:tcW w:w="6452" w:type="dxa"/>
            <w:vAlign w:val="center"/>
          </w:tcPr>
          <w:p w:rsidR="00747083" w:rsidRPr="00C062F0" w:rsidRDefault="00747083" w:rsidP="00F11BA2">
            <w:pPr>
              <w:pStyle w:val="Normal-pool"/>
              <w:spacing w:before="40" w:after="40"/>
            </w:pPr>
            <w:r w:rsidRPr="00C062F0">
              <w:t>The Panel, via e-mail and teleconferences, selects experts (two leading authors for each of seven thematic groups) for the scoping study using the approved selection criteria</w:t>
            </w:r>
            <w:r w:rsidR="006257C5">
              <w:t xml:space="preserve"> (see IBPES/2/9)</w:t>
            </w:r>
            <w:r w:rsidRPr="00C062F0">
              <w:t xml:space="preserve"> (1–14 February 2014)</w:t>
            </w:r>
          </w:p>
        </w:tc>
      </w:tr>
      <w:tr w:rsidR="00747083" w:rsidRPr="00C062F0" w:rsidTr="002D0E89">
        <w:trPr>
          <w:trHeight w:val="491"/>
        </w:trPr>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747083" w:rsidP="00F11BA2">
            <w:pPr>
              <w:pStyle w:val="Normal-pool"/>
              <w:spacing w:before="6" w:after="6"/>
            </w:pPr>
            <w:r w:rsidRPr="00C062F0">
              <w:rPr>
                <w:rFonts w:eastAsia="SimSun"/>
                <w:sz w:val="19"/>
                <w:szCs w:val="19"/>
                <w:lang w:eastAsia="zh-CN"/>
              </w:rPr>
              <w:t>Second quarter</w:t>
            </w:r>
          </w:p>
        </w:tc>
        <w:tc>
          <w:tcPr>
            <w:tcW w:w="6452" w:type="dxa"/>
            <w:vAlign w:val="center"/>
          </w:tcPr>
          <w:p w:rsidR="00747083" w:rsidRPr="00C062F0" w:rsidRDefault="00747083" w:rsidP="00F11BA2">
            <w:pPr>
              <w:pStyle w:val="Normal-pool"/>
              <w:spacing w:before="40" w:after="40"/>
            </w:pPr>
            <w:r w:rsidRPr="00C062F0">
              <w:t>The Panel and the Bureau oversee the detailed scoping exercise, including outline, costs and feasibility (3 months). A scoping meeting is held at the beginning of April 2014</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747083" w:rsidP="00F11BA2">
            <w:pPr>
              <w:pStyle w:val="Normal-pool"/>
              <w:spacing w:before="6" w:after="6"/>
            </w:pPr>
            <w:r w:rsidRPr="00C062F0">
              <w:rPr>
                <w:rFonts w:eastAsia="SimSun"/>
                <w:sz w:val="19"/>
                <w:szCs w:val="19"/>
                <w:lang w:eastAsia="zh-CN"/>
              </w:rPr>
              <w:t>Second quarter</w:t>
            </w:r>
          </w:p>
        </w:tc>
        <w:tc>
          <w:tcPr>
            <w:tcW w:w="6452" w:type="dxa"/>
            <w:vAlign w:val="center"/>
          </w:tcPr>
          <w:p w:rsidR="00747083" w:rsidRPr="00C062F0" w:rsidRDefault="00747083" w:rsidP="00F11BA2">
            <w:pPr>
              <w:pStyle w:val="Normal-pool"/>
              <w:spacing w:before="40" w:after="40"/>
            </w:pPr>
            <w:r w:rsidRPr="00C062F0">
              <w:t>The detailed scoping report is sent to members of the Platform and other stakeholders for review and comment for two weeks in the second half of April 2014</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F43C4B" w:rsidP="00F11BA2">
            <w:pPr>
              <w:pStyle w:val="Normal-pool"/>
              <w:spacing w:before="6" w:after="6"/>
            </w:pPr>
            <w:r w:rsidRPr="00C062F0">
              <w:rPr>
                <w:rFonts w:eastAsia="SimSun"/>
                <w:sz w:val="19"/>
                <w:szCs w:val="19"/>
                <w:lang w:eastAsia="zh-CN"/>
              </w:rPr>
              <w:t>Second quarter</w:t>
            </w:r>
          </w:p>
        </w:tc>
        <w:tc>
          <w:tcPr>
            <w:tcW w:w="6452" w:type="dxa"/>
            <w:vAlign w:val="center"/>
          </w:tcPr>
          <w:p w:rsidR="00747083" w:rsidRPr="00C062F0" w:rsidRDefault="00F43C4B" w:rsidP="00F11BA2">
            <w:pPr>
              <w:pStyle w:val="Normal-pool"/>
              <w:spacing w:before="40" w:after="40"/>
            </w:pPr>
            <w:r w:rsidRPr="00C062F0">
              <w:t>On the basis of</w:t>
            </w:r>
            <w:r w:rsidR="00747083" w:rsidRPr="00C062F0">
              <w:t xml:space="preserve"> the results of the detailed scoping exercise and comments received from members of the Platform and other stakeholders, the Panel and </w:t>
            </w:r>
            <w:r w:rsidRPr="00C062F0">
              <w:t xml:space="preserve">the </w:t>
            </w:r>
            <w:r w:rsidR="00747083" w:rsidRPr="00C062F0">
              <w:t>Bureau decide whether to proceed with the assessment, assuming that it can be conducted within the budget envelope approved by the Plenary, in the first half of May 2014</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F43C4B" w:rsidP="00F11BA2">
            <w:pPr>
              <w:pStyle w:val="Normal-pool"/>
              <w:spacing w:before="6" w:after="6"/>
            </w:pPr>
            <w:r w:rsidRPr="00C062F0">
              <w:rPr>
                <w:rFonts w:eastAsia="SimSun"/>
                <w:sz w:val="19"/>
                <w:szCs w:val="19"/>
                <w:lang w:eastAsia="zh-CN"/>
              </w:rPr>
              <w:t>Second quarter</w:t>
            </w:r>
          </w:p>
        </w:tc>
        <w:tc>
          <w:tcPr>
            <w:tcW w:w="6452" w:type="dxa"/>
            <w:vAlign w:val="center"/>
          </w:tcPr>
          <w:p w:rsidR="00747083" w:rsidRPr="00C062F0" w:rsidDel="00B16166" w:rsidRDefault="00747083" w:rsidP="00F11BA2">
            <w:pPr>
              <w:pStyle w:val="Normal-pool"/>
              <w:spacing w:before="40" w:after="40"/>
            </w:pPr>
            <w:r w:rsidRPr="00C062F0">
              <w:t>The Panel, through the secretariat, requests nominations from Governments and other stakeholders of experts to prepare the report. Nominations are to be submitted by the end of June 2014 (1.5 months)</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F43C4B" w:rsidP="00F11BA2">
            <w:pPr>
              <w:pStyle w:val="Normal-pool"/>
              <w:spacing w:before="6" w:after="6"/>
            </w:pPr>
            <w:r w:rsidRPr="00C062F0">
              <w:rPr>
                <w:rFonts w:eastAsia="SimSun"/>
                <w:sz w:val="19"/>
                <w:szCs w:val="19"/>
                <w:lang w:eastAsia="zh-CN"/>
              </w:rPr>
              <w:t>Third quarter</w:t>
            </w:r>
          </w:p>
        </w:tc>
        <w:tc>
          <w:tcPr>
            <w:tcW w:w="6452" w:type="dxa"/>
            <w:vAlign w:val="center"/>
          </w:tcPr>
          <w:p w:rsidR="00747083" w:rsidRPr="00C062F0" w:rsidRDefault="00747083" w:rsidP="00F11BA2">
            <w:pPr>
              <w:pStyle w:val="Normal-pool"/>
              <w:spacing w:before="40" w:after="40"/>
            </w:pPr>
            <w:r w:rsidRPr="00C062F0">
              <w:t>The Panel selects the report co-chairs, coordinating lead authors, lead authors and review editors using the approved selection criteria</w:t>
            </w:r>
            <w:r w:rsidR="006257C5">
              <w:t xml:space="preserve"> (see IPBES/2/9)</w:t>
            </w:r>
            <w:r w:rsidRPr="00C062F0">
              <w:t xml:space="preserve"> (1</w:t>
            </w:r>
            <w:r w:rsidR="008F1EE8">
              <w:t> </w:t>
            </w:r>
            <w:r w:rsidRPr="00C062F0">
              <w:t>July–15 August 2014</w:t>
            </w:r>
            <w:r w:rsidR="006C60F7" w:rsidRPr="00C062F0">
              <w:t>)</w:t>
            </w:r>
            <w:r w:rsidRPr="00C062F0">
              <w:t xml:space="preserve"> (1.5 months)</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F43C4B" w:rsidP="00F11BA2">
            <w:pPr>
              <w:pStyle w:val="Normal-pool"/>
              <w:spacing w:before="6" w:after="6"/>
            </w:pPr>
            <w:r w:rsidRPr="00C062F0">
              <w:rPr>
                <w:rFonts w:eastAsia="SimSun"/>
                <w:sz w:val="19"/>
                <w:szCs w:val="19"/>
                <w:lang w:eastAsia="zh-CN"/>
              </w:rPr>
              <w:t>Third/fourth quarters</w:t>
            </w:r>
          </w:p>
        </w:tc>
        <w:tc>
          <w:tcPr>
            <w:tcW w:w="6452" w:type="dxa"/>
            <w:vAlign w:val="center"/>
          </w:tcPr>
          <w:p w:rsidR="00747083" w:rsidRPr="00C062F0" w:rsidRDefault="00747083" w:rsidP="00012B6E">
            <w:pPr>
              <w:pStyle w:val="Normal-pool"/>
              <w:spacing w:before="40" w:after="40"/>
            </w:pPr>
            <w:r w:rsidRPr="00C062F0">
              <w:t xml:space="preserve">The report co-chairs, </w:t>
            </w:r>
            <w:r w:rsidR="00F43C4B" w:rsidRPr="00C062F0">
              <w:t>coordinating lead authors</w:t>
            </w:r>
            <w:r w:rsidRPr="00C062F0">
              <w:t xml:space="preserve"> and </w:t>
            </w:r>
            <w:r w:rsidR="00F43C4B" w:rsidRPr="00C062F0">
              <w:t>lead authors</w:t>
            </w:r>
            <w:r w:rsidRPr="00C062F0">
              <w:t xml:space="preserve"> prepare the first draft report by mid-February 2015 (6 months). A first author meeting</w:t>
            </w:r>
            <w:r w:rsidR="00C34A34" w:rsidRPr="00C062F0">
              <w:t xml:space="preserve"> </w:t>
            </w:r>
            <w:r w:rsidR="00805D4D" w:rsidRPr="00C062F0">
              <w:t>is</w:t>
            </w:r>
            <w:r w:rsidRPr="00C062F0">
              <w:t xml:space="preserve"> held in September 2014</w:t>
            </w:r>
            <w:r w:rsidR="00012B6E" w:rsidRPr="00C062F0">
              <w:rPr>
                <w:vertAlign w:val="superscript"/>
              </w:rPr>
              <w:t>a</w:t>
            </w:r>
            <w:r w:rsidR="00C34A34" w:rsidRPr="00C062F0">
              <w:rPr>
                <w:vertAlign w:val="superscript"/>
              </w:rPr>
              <w:t xml:space="preserve"> </w:t>
            </w:r>
          </w:p>
        </w:tc>
      </w:tr>
      <w:tr w:rsidR="00747083" w:rsidRPr="00C062F0" w:rsidTr="002D0E89">
        <w:tc>
          <w:tcPr>
            <w:tcW w:w="616" w:type="dxa"/>
            <w:vMerge w:val="restart"/>
            <w:vAlign w:val="center"/>
          </w:tcPr>
          <w:p w:rsidR="00747083" w:rsidRPr="00C062F0" w:rsidRDefault="00747083" w:rsidP="00F17041">
            <w:pPr>
              <w:pStyle w:val="Normal-pool"/>
              <w:spacing w:before="6" w:after="6"/>
              <w:jc w:val="right"/>
            </w:pPr>
            <w:r w:rsidRPr="00C062F0">
              <w:t>2015</w:t>
            </w:r>
          </w:p>
        </w:tc>
        <w:tc>
          <w:tcPr>
            <w:tcW w:w="1437" w:type="dxa"/>
            <w:vAlign w:val="center"/>
          </w:tcPr>
          <w:p w:rsidR="00747083" w:rsidRPr="00C062F0" w:rsidRDefault="00BA41B8" w:rsidP="00F11BA2">
            <w:pPr>
              <w:pStyle w:val="Normal-pool"/>
              <w:spacing w:before="6" w:after="6"/>
            </w:pPr>
            <w:r w:rsidRPr="00C062F0">
              <w:t>First quarter</w:t>
            </w:r>
          </w:p>
        </w:tc>
        <w:tc>
          <w:tcPr>
            <w:tcW w:w="6452" w:type="dxa"/>
            <w:vAlign w:val="center"/>
          </w:tcPr>
          <w:p w:rsidR="00747083" w:rsidRPr="00C062F0" w:rsidRDefault="00747083" w:rsidP="00F17041">
            <w:pPr>
              <w:pStyle w:val="Normal-pool"/>
              <w:spacing w:before="40" w:after="40"/>
            </w:pPr>
            <w:r w:rsidRPr="00C062F0">
              <w:t>The first draft report is reviewed by experts until the end of March 2015 </w:t>
            </w:r>
          </w:p>
          <w:p w:rsidR="00747083" w:rsidRPr="00C062F0" w:rsidRDefault="00747083" w:rsidP="00F11BA2">
            <w:pPr>
              <w:pStyle w:val="Normal-pool"/>
              <w:spacing w:before="40" w:after="40"/>
            </w:pPr>
            <w:r w:rsidRPr="00C062F0">
              <w:t>(1.5–2 months)</w:t>
            </w:r>
            <w:r w:rsidR="00BA41B8" w:rsidRPr="00C062F0">
              <w:t xml:space="preserve"> </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BA41B8" w:rsidP="00F11BA2">
            <w:pPr>
              <w:pStyle w:val="Normal-pool"/>
              <w:spacing w:before="6" w:after="6"/>
            </w:pPr>
            <w:r w:rsidRPr="00C062F0">
              <w:t>Second quarter</w:t>
            </w:r>
          </w:p>
        </w:tc>
        <w:tc>
          <w:tcPr>
            <w:tcW w:w="6452" w:type="dxa"/>
            <w:vAlign w:val="center"/>
          </w:tcPr>
          <w:p w:rsidR="00747083" w:rsidRPr="00C062F0" w:rsidRDefault="00747083" w:rsidP="00F11BA2">
            <w:pPr>
              <w:pStyle w:val="Normal-pool"/>
              <w:spacing w:before="40" w:after="40"/>
            </w:pPr>
            <w:r w:rsidRPr="00C062F0">
              <w:t xml:space="preserve">The report co-chairs, </w:t>
            </w:r>
            <w:r w:rsidR="00BA41B8" w:rsidRPr="00C062F0">
              <w:t>coordinating lead authors</w:t>
            </w:r>
            <w:r w:rsidRPr="00C062F0">
              <w:t xml:space="preserve"> and </w:t>
            </w:r>
            <w:r w:rsidR="00BA41B8" w:rsidRPr="00C062F0">
              <w:t>lead authors</w:t>
            </w:r>
            <w:r w:rsidRPr="00C062F0">
              <w:t xml:space="preserve"> prepare the second draft report and a first draft summary for policymakers under the guidance of </w:t>
            </w:r>
            <w:r w:rsidR="00BA41B8" w:rsidRPr="00C062F0">
              <w:t xml:space="preserve">the review editors </w:t>
            </w:r>
            <w:r w:rsidRPr="00C062F0">
              <w:t>and the Panel (April–June 2015 (3 months)). A second author meeting is held in June 2015</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BA41B8" w:rsidP="00F11BA2">
            <w:pPr>
              <w:pStyle w:val="Normal-pool"/>
              <w:keepNext/>
              <w:keepLines/>
              <w:spacing w:before="6" w:after="6"/>
            </w:pPr>
            <w:r w:rsidRPr="00C062F0">
              <w:t>Third quarter</w:t>
            </w:r>
          </w:p>
        </w:tc>
        <w:tc>
          <w:tcPr>
            <w:tcW w:w="6452" w:type="dxa"/>
            <w:vAlign w:val="center"/>
          </w:tcPr>
          <w:p w:rsidR="00747083" w:rsidRPr="00C062F0" w:rsidRDefault="00747083" w:rsidP="00F11BA2">
            <w:pPr>
              <w:pStyle w:val="Normal-pool"/>
              <w:keepNext/>
              <w:keepLines/>
              <w:spacing w:before="100" w:after="40"/>
            </w:pPr>
            <w:r w:rsidRPr="00C062F0">
              <w:t>The second draft report and the first summary for policymakers are reviewed by experts, Governments and other stakeholders during July and August 2015 (2 months)</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BA41B8" w:rsidP="00F11BA2">
            <w:pPr>
              <w:pStyle w:val="Normal-pool"/>
              <w:keepNext/>
              <w:keepLines/>
              <w:spacing w:before="6" w:after="6"/>
            </w:pPr>
            <w:r w:rsidRPr="00C062F0">
              <w:rPr>
                <w:rFonts w:eastAsia="SimSun"/>
                <w:sz w:val="19"/>
                <w:szCs w:val="19"/>
                <w:lang w:eastAsia="zh-CN"/>
              </w:rPr>
              <w:t>Third/fourth quarters</w:t>
            </w:r>
          </w:p>
        </w:tc>
        <w:tc>
          <w:tcPr>
            <w:tcW w:w="6452" w:type="dxa"/>
            <w:vAlign w:val="center"/>
          </w:tcPr>
          <w:p w:rsidR="00747083" w:rsidRPr="00C062F0" w:rsidRDefault="00747083" w:rsidP="00F11BA2">
            <w:pPr>
              <w:pStyle w:val="Normal-pool"/>
              <w:keepNext/>
              <w:keepLines/>
              <w:spacing w:before="40" w:after="40"/>
            </w:pPr>
            <w:r w:rsidRPr="00C062F0">
              <w:t xml:space="preserve">The report co-chairs, </w:t>
            </w:r>
            <w:r w:rsidR="00BA41B8" w:rsidRPr="00C062F0">
              <w:t>coordinating lead authors</w:t>
            </w:r>
            <w:r w:rsidRPr="00C062F0">
              <w:t xml:space="preserve"> and </w:t>
            </w:r>
            <w:r w:rsidR="00BA41B8" w:rsidRPr="00C062F0">
              <w:t>lead authors</w:t>
            </w:r>
            <w:r w:rsidRPr="00C062F0">
              <w:t xml:space="preserve"> prepare the final draft report and the final draft summary for policymakers under the guidance of </w:t>
            </w:r>
            <w:r w:rsidR="00BA41B8" w:rsidRPr="00C062F0">
              <w:t xml:space="preserve">the review editors </w:t>
            </w:r>
            <w:r w:rsidRPr="00C062F0">
              <w:t xml:space="preserve">and the Panel during September and October 2015 (2 months). A third author meeting is held in October 2015 </w:t>
            </w:r>
          </w:p>
        </w:tc>
      </w:tr>
      <w:tr w:rsidR="00747083" w:rsidRPr="00C062F0" w:rsidTr="002D0E89">
        <w:tc>
          <w:tcPr>
            <w:tcW w:w="616" w:type="dxa"/>
            <w:vMerge/>
            <w:vAlign w:val="center"/>
          </w:tcPr>
          <w:p w:rsidR="00747083" w:rsidRPr="00C062F0" w:rsidRDefault="00747083" w:rsidP="00F17041">
            <w:pPr>
              <w:pStyle w:val="Normal-pool"/>
              <w:spacing w:before="6" w:after="6"/>
              <w:jc w:val="right"/>
            </w:pPr>
          </w:p>
        </w:tc>
        <w:tc>
          <w:tcPr>
            <w:tcW w:w="1437" w:type="dxa"/>
            <w:vAlign w:val="center"/>
          </w:tcPr>
          <w:p w:rsidR="00747083" w:rsidRPr="00C062F0" w:rsidRDefault="00BA41B8" w:rsidP="00F11BA2">
            <w:pPr>
              <w:pStyle w:val="Normal-pool"/>
              <w:keepNext/>
              <w:keepLines/>
              <w:spacing w:before="6" w:after="6"/>
            </w:pPr>
            <w:r w:rsidRPr="00C062F0">
              <w:t>Fourth quarter</w:t>
            </w:r>
          </w:p>
        </w:tc>
        <w:tc>
          <w:tcPr>
            <w:tcW w:w="6452" w:type="dxa"/>
            <w:vAlign w:val="center"/>
          </w:tcPr>
          <w:p w:rsidR="00747083" w:rsidRPr="00C062F0" w:rsidRDefault="00747083" w:rsidP="00F11BA2">
            <w:pPr>
              <w:pStyle w:val="Normal-pool"/>
              <w:keepNext/>
              <w:keepLines/>
              <w:spacing w:before="120" w:after="40"/>
            </w:pPr>
            <w:r w:rsidRPr="00C062F0">
              <w:t>The summary for policymakers is translated</w:t>
            </w:r>
            <w:r w:rsidR="00805D4D" w:rsidRPr="00C062F0">
              <w:t xml:space="preserve"> into all of the official languages of the </w:t>
            </w:r>
            <w:r w:rsidRPr="00C062F0">
              <w:t>United Nations languages by mid-December 2015</w:t>
            </w:r>
            <w:r w:rsidR="00805D4D" w:rsidRPr="00C062F0">
              <w:t>.</w:t>
            </w:r>
            <w:r w:rsidRPr="00C062F0">
              <w:t xml:space="preserve"> at the latest (1.5</w:t>
            </w:r>
            <w:r w:rsidR="00BA41B8" w:rsidRPr="00C062F0">
              <w:t> </w:t>
            </w:r>
            <w:r w:rsidRPr="00C062F0">
              <w:t xml:space="preserve">months) </w:t>
            </w:r>
          </w:p>
        </w:tc>
      </w:tr>
      <w:tr w:rsidR="00BA41B8" w:rsidRPr="00C062F0" w:rsidTr="002D0E89">
        <w:tc>
          <w:tcPr>
            <w:tcW w:w="616" w:type="dxa"/>
            <w:vMerge w:val="restart"/>
            <w:vAlign w:val="center"/>
          </w:tcPr>
          <w:p w:rsidR="00BA41B8" w:rsidRPr="00C062F0" w:rsidRDefault="00BA41B8" w:rsidP="00F17041">
            <w:pPr>
              <w:pStyle w:val="Normal-pool"/>
              <w:spacing w:before="6" w:after="6"/>
              <w:jc w:val="right"/>
            </w:pPr>
            <w:r w:rsidRPr="00C062F0">
              <w:t>2016</w:t>
            </w:r>
          </w:p>
        </w:tc>
        <w:tc>
          <w:tcPr>
            <w:tcW w:w="1437" w:type="dxa"/>
            <w:vAlign w:val="center"/>
          </w:tcPr>
          <w:p w:rsidR="00BA41B8" w:rsidRPr="00C062F0" w:rsidRDefault="00BA41B8" w:rsidP="00F11BA2">
            <w:pPr>
              <w:pStyle w:val="Normal-pool"/>
              <w:keepNext/>
              <w:keepLines/>
              <w:spacing w:before="6" w:after="6"/>
            </w:pPr>
            <w:r w:rsidRPr="00C062F0">
              <w:rPr>
                <w:rFonts w:eastAsia="SimSun"/>
                <w:sz w:val="19"/>
                <w:szCs w:val="19"/>
                <w:lang w:eastAsia="zh-CN"/>
              </w:rPr>
              <w:t>First quarter</w:t>
            </w:r>
          </w:p>
        </w:tc>
        <w:tc>
          <w:tcPr>
            <w:tcW w:w="6452" w:type="dxa"/>
            <w:vAlign w:val="center"/>
          </w:tcPr>
          <w:p w:rsidR="00BA41B8" w:rsidRPr="00C062F0" w:rsidRDefault="00BA41B8" w:rsidP="00F11BA2">
            <w:pPr>
              <w:pStyle w:val="Normal-pool"/>
              <w:keepNext/>
              <w:keepLines/>
              <w:spacing w:before="120" w:after="40"/>
            </w:pPr>
            <w:r w:rsidRPr="00C062F0">
              <w:t>The final report and summary for policymakers are sent to Governments and other stakeholders for final review during January and February 2016</w:t>
            </w:r>
          </w:p>
          <w:p w:rsidR="00BA41B8" w:rsidRPr="00C062F0" w:rsidRDefault="00BA41B8" w:rsidP="00F11BA2">
            <w:pPr>
              <w:pStyle w:val="Normal-pool"/>
              <w:keepNext/>
              <w:keepLines/>
              <w:spacing w:before="40" w:after="40"/>
            </w:pPr>
            <w:r w:rsidRPr="00C062F0">
              <w:t>(1.5–2months). Written comments from Governments on the draft summary for policymakers are strongly encouraged. Such comments must be submitted to the secretariat one week prior to the fourth session of the Plenary</w:t>
            </w:r>
          </w:p>
        </w:tc>
      </w:tr>
      <w:tr w:rsidR="00BA41B8" w:rsidRPr="00C062F0" w:rsidTr="002D0E89">
        <w:tc>
          <w:tcPr>
            <w:tcW w:w="616" w:type="dxa"/>
            <w:vMerge/>
            <w:vAlign w:val="center"/>
          </w:tcPr>
          <w:p w:rsidR="00BA41B8" w:rsidRPr="00C062F0" w:rsidRDefault="00BA41B8" w:rsidP="00F17041">
            <w:pPr>
              <w:pStyle w:val="Normal-pool"/>
              <w:spacing w:before="6" w:after="6"/>
              <w:jc w:val="right"/>
            </w:pPr>
          </w:p>
        </w:tc>
        <w:tc>
          <w:tcPr>
            <w:tcW w:w="1437" w:type="dxa"/>
            <w:vAlign w:val="center"/>
          </w:tcPr>
          <w:p w:rsidR="00BA41B8" w:rsidRPr="00C062F0" w:rsidRDefault="00BA41B8" w:rsidP="00F11BA2">
            <w:pPr>
              <w:pStyle w:val="Normal-pool"/>
              <w:keepNext/>
              <w:keepLines/>
              <w:spacing w:before="6" w:after="6" w:line="276" w:lineRule="auto"/>
            </w:pPr>
            <w:r w:rsidRPr="00C062F0">
              <w:rPr>
                <w:rFonts w:eastAsia="SimSun"/>
                <w:sz w:val="19"/>
                <w:szCs w:val="19"/>
                <w:lang w:eastAsia="zh-CN"/>
              </w:rPr>
              <w:t>First quarter</w:t>
            </w:r>
          </w:p>
        </w:tc>
        <w:tc>
          <w:tcPr>
            <w:tcW w:w="6452" w:type="dxa"/>
            <w:vAlign w:val="center"/>
          </w:tcPr>
          <w:p w:rsidR="00BA41B8" w:rsidRPr="00C062F0" w:rsidRDefault="00BA41B8" w:rsidP="00F11BA2">
            <w:pPr>
              <w:pStyle w:val="Normal-pool"/>
              <w:keepNext/>
              <w:keepLines/>
              <w:spacing w:before="40" w:after="40"/>
            </w:pPr>
            <w:r w:rsidRPr="00C062F0">
              <w:t xml:space="preserve">The Plenary reviews and accepts the report and reviews and approves the summary for policymakers at its fourth session, in March 2016 </w:t>
            </w:r>
          </w:p>
        </w:tc>
      </w:tr>
    </w:tbl>
    <w:p w:rsidR="00D6075D" w:rsidRPr="00C062F0" w:rsidRDefault="009A4901" w:rsidP="00012B6E">
      <w:pPr>
        <w:pStyle w:val="Normal-pool"/>
        <w:ind w:left="1247"/>
        <w:rPr>
          <w:szCs w:val="18"/>
        </w:rPr>
      </w:pPr>
      <w:r w:rsidRPr="00C062F0">
        <w:rPr>
          <w:szCs w:val="18"/>
          <w:vertAlign w:val="superscript"/>
        </w:rPr>
        <w:t>a</w:t>
      </w:r>
      <w:r w:rsidR="00D6075D" w:rsidRPr="00C062F0">
        <w:rPr>
          <w:szCs w:val="18"/>
          <w:vertAlign w:val="superscript"/>
        </w:rPr>
        <w:t xml:space="preserve"> </w:t>
      </w:r>
      <w:r w:rsidR="00212066" w:rsidRPr="00C062F0">
        <w:rPr>
          <w:szCs w:val="18"/>
        </w:rPr>
        <w:t>E</w:t>
      </w:r>
      <w:r w:rsidR="002E3D8B" w:rsidRPr="00C062F0">
        <w:rPr>
          <w:szCs w:val="18"/>
        </w:rPr>
        <w:t xml:space="preserve">ach </w:t>
      </w:r>
      <w:r w:rsidR="00D6075D" w:rsidRPr="00C062F0">
        <w:rPr>
          <w:szCs w:val="18"/>
        </w:rPr>
        <w:t xml:space="preserve">meeting will </w:t>
      </w:r>
      <w:r w:rsidR="00212066" w:rsidRPr="00C062F0">
        <w:rPr>
          <w:szCs w:val="18"/>
        </w:rPr>
        <w:t xml:space="preserve">feature </w:t>
      </w:r>
      <w:r w:rsidR="00D6075D" w:rsidRPr="00C062F0">
        <w:rPr>
          <w:szCs w:val="18"/>
        </w:rPr>
        <w:t xml:space="preserve">balanced participation </w:t>
      </w:r>
      <w:r w:rsidR="00212066" w:rsidRPr="00C062F0">
        <w:rPr>
          <w:szCs w:val="18"/>
        </w:rPr>
        <w:t xml:space="preserve">by </w:t>
      </w:r>
      <w:r w:rsidR="00D6075D" w:rsidRPr="00C062F0">
        <w:rPr>
          <w:szCs w:val="18"/>
        </w:rPr>
        <w:t>representatives</w:t>
      </w:r>
      <w:r w:rsidR="00212066" w:rsidRPr="00C062F0">
        <w:rPr>
          <w:szCs w:val="18"/>
        </w:rPr>
        <w:t xml:space="preserve"> with indigenous and local knowledge.</w:t>
      </w:r>
      <w:r w:rsidR="00D6075D" w:rsidRPr="00C062F0">
        <w:rPr>
          <w:szCs w:val="18"/>
        </w:rPr>
        <w:t xml:space="preserve"> </w:t>
      </w:r>
    </w:p>
    <w:p w:rsidR="00D6075D" w:rsidRPr="00C062F0" w:rsidRDefault="007B17A8" w:rsidP="00B032CE">
      <w:pPr>
        <w:pStyle w:val="CH1"/>
        <w:rPr>
          <w:lang w:val="en-GB"/>
        </w:rPr>
      </w:pPr>
      <w:r w:rsidRPr="00C062F0">
        <w:rPr>
          <w:lang w:val="en-GB"/>
        </w:rPr>
        <w:tab/>
      </w:r>
      <w:r w:rsidR="00F970B3" w:rsidRPr="00C062F0">
        <w:rPr>
          <w:lang w:val="en-GB"/>
        </w:rPr>
        <w:t>V</w:t>
      </w:r>
      <w:r w:rsidRPr="00C062F0">
        <w:rPr>
          <w:lang w:val="en-GB"/>
        </w:rPr>
        <w:t>.</w:t>
      </w:r>
      <w:r w:rsidRPr="00C062F0">
        <w:rPr>
          <w:lang w:val="en-GB"/>
        </w:rPr>
        <w:tab/>
      </w:r>
      <w:r w:rsidR="00F970B3" w:rsidRPr="00C062F0">
        <w:rPr>
          <w:lang w:val="en-GB"/>
        </w:rPr>
        <w:t>Cost estimate</w:t>
      </w:r>
    </w:p>
    <w:p w:rsidR="00F970B3" w:rsidRPr="00C062F0" w:rsidRDefault="00F970B3" w:rsidP="00B032CE">
      <w:pPr>
        <w:pStyle w:val="Normalnumber"/>
        <w:tabs>
          <w:tab w:val="clear" w:pos="40"/>
          <w:tab w:val="num" w:pos="624"/>
        </w:tabs>
        <w:ind w:left="1247"/>
        <w:rPr>
          <w:lang w:val="en-GB"/>
        </w:rPr>
      </w:pPr>
      <w:r w:rsidRPr="00C062F0">
        <w:rPr>
          <w:lang w:val="en-GB"/>
        </w:rPr>
        <w:t xml:space="preserve">The table below shows the estimated cost of conducting the </w:t>
      </w:r>
      <w:r w:rsidR="002E3D8B" w:rsidRPr="00C062F0">
        <w:rPr>
          <w:lang w:val="en-GB"/>
        </w:rPr>
        <w:t xml:space="preserve">thematic </w:t>
      </w:r>
      <w:r w:rsidRPr="00C062F0">
        <w:rPr>
          <w:lang w:val="en-GB"/>
        </w:rPr>
        <w:t>assessment and preparing the</w:t>
      </w:r>
      <w:r w:rsidR="002E3D8B" w:rsidRPr="00C062F0">
        <w:rPr>
          <w:lang w:val="en-GB"/>
        </w:rPr>
        <w:t xml:space="preserve"> thematic </w:t>
      </w:r>
      <w:r w:rsidRPr="00C062F0">
        <w:rPr>
          <w:lang w:val="en-GB"/>
        </w:rPr>
        <w:t>assessment report.</w:t>
      </w:r>
    </w:p>
    <w:p w:rsidR="00F06D55" w:rsidRPr="00C062F0" w:rsidRDefault="00F06D55" w:rsidP="00F11BA2">
      <w:pPr>
        <w:pStyle w:val="Normalnumber"/>
        <w:numPr>
          <w:ilvl w:val="0"/>
          <w:numId w:val="0"/>
        </w:numPr>
        <w:ind w:left="1247"/>
        <w:rPr>
          <w:sz w:val="18"/>
          <w:szCs w:val="18"/>
          <w:lang w:val="en-GB"/>
        </w:rPr>
      </w:pPr>
      <w:r w:rsidRPr="00C062F0">
        <w:rPr>
          <w:sz w:val="18"/>
          <w:szCs w:val="18"/>
          <w:lang w:val="en-GB"/>
        </w:rPr>
        <w:t>(United States dollars)</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29"/>
        <w:gridCol w:w="3402"/>
        <w:gridCol w:w="1276"/>
      </w:tblGrid>
      <w:tr w:rsidR="00D6075D" w:rsidRPr="00C062F0" w:rsidTr="00163DB4">
        <w:tc>
          <w:tcPr>
            <w:tcW w:w="672" w:type="dxa"/>
          </w:tcPr>
          <w:p w:rsidR="00D6075D" w:rsidRPr="00C062F0" w:rsidRDefault="00D6075D" w:rsidP="00163DB4">
            <w:pPr>
              <w:pStyle w:val="Normal-pool"/>
              <w:spacing w:before="40" w:after="40"/>
              <w:rPr>
                <w:rFonts w:eastAsia="SimSun"/>
                <w:i/>
                <w:lang w:eastAsia="zh-CN"/>
              </w:rPr>
            </w:pPr>
            <w:r w:rsidRPr="00C062F0">
              <w:rPr>
                <w:rFonts w:eastAsia="SimSun"/>
                <w:i/>
                <w:lang w:eastAsia="zh-CN"/>
              </w:rPr>
              <w:t>Year</w:t>
            </w:r>
          </w:p>
        </w:tc>
        <w:tc>
          <w:tcPr>
            <w:tcW w:w="2929" w:type="dxa"/>
          </w:tcPr>
          <w:p w:rsidR="00D6075D" w:rsidRPr="00C062F0" w:rsidRDefault="00D6075D" w:rsidP="00163DB4">
            <w:pPr>
              <w:pStyle w:val="Normal-pool"/>
              <w:spacing w:before="40" w:after="40"/>
              <w:rPr>
                <w:rFonts w:eastAsia="SimSun"/>
                <w:i/>
                <w:lang w:eastAsia="zh-CN"/>
              </w:rPr>
            </w:pPr>
            <w:r w:rsidRPr="00C062F0">
              <w:rPr>
                <w:rFonts w:eastAsia="SimSun"/>
                <w:i/>
                <w:lang w:eastAsia="zh-CN"/>
              </w:rPr>
              <w:t xml:space="preserve">Cost </w:t>
            </w:r>
            <w:r w:rsidR="00F970B3" w:rsidRPr="00C062F0">
              <w:rPr>
                <w:rFonts w:eastAsia="SimSun"/>
                <w:i/>
                <w:lang w:eastAsia="zh-CN"/>
              </w:rPr>
              <w:t>i</w:t>
            </w:r>
            <w:r w:rsidRPr="00C062F0">
              <w:rPr>
                <w:rFonts w:eastAsia="SimSun"/>
                <w:i/>
                <w:lang w:eastAsia="zh-CN"/>
              </w:rPr>
              <w:t>tem</w:t>
            </w:r>
          </w:p>
        </w:tc>
        <w:tc>
          <w:tcPr>
            <w:tcW w:w="3402" w:type="dxa"/>
          </w:tcPr>
          <w:p w:rsidR="00D6075D" w:rsidRPr="00C062F0" w:rsidRDefault="00D6075D" w:rsidP="00163DB4">
            <w:pPr>
              <w:pStyle w:val="Normal-pool"/>
              <w:spacing w:before="40" w:after="40"/>
              <w:rPr>
                <w:rFonts w:eastAsia="SimSun"/>
                <w:i/>
                <w:lang w:eastAsia="zh-CN"/>
              </w:rPr>
            </w:pPr>
            <w:r w:rsidRPr="00C062F0">
              <w:rPr>
                <w:rFonts w:eastAsia="SimSun"/>
                <w:i/>
                <w:lang w:eastAsia="zh-CN"/>
              </w:rPr>
              <w:t>Assumptions</w:t>
            </w:r>
          </w:p>
        </w:tc>
        <w:tc>
          <w:tcPr>
            <w:tcW w:w="1276" w:type="dxa"/>
          </w:tcPr>
          <w:p w:rsidR="00D6075D" w:rsidRPr="00C062F0" w:rsidRDefault="00D6075D" w:rsidP="00F11BA2">
            <w:pPr>
              <w:pStyle w:val="Normal-pool"/>
              <w:spacing w:before="40" w:after="40"/>
              <w:jc w:val="right"/>
              <w:rPr>
                <w:rFonts w:eastAsia="SimSun"/>
                <w:i/>
                <w:lang w:eastAsia="zh-CN"/>
              </w:rPr>
            </w:pPr>
            <w:r w:rsidRPr="00C062F0">
              <w:rPr>
                <w:rFonts w:eastAsia="SimSun"/>
                <w:i/>
                <w:lang w:eastAsia="zh-CN"/>
              </w:rPr>
              <w:t>Cost</w:t>
            </w:r>
          </w:p>
        </w:tc>
      </w:tr>
      <w:tr w:rsidR="00D6075D" w:rsidRPr="00C062F0" w:rsidTr="00163DB4">
        <w:tc>
          <w:tcPr>
            <w:tcW w:w="672" w:type="dxa"/>
            <w:vMerge w:val="restart"/>
            <w:vAlign w:val="center"/>
          </w:tcPr>
          <w:p w:rsidR="00D6075D" w:rsidRPr="00C062F0" w:rsidRDefault="00D6075D" w:rsidP="00163DB4">
            <w:pPr>
              <w:pStyle w:val="Normal-pool"/>
              <w:spacing w:before="40" w:after="40"/>
              <w:rPr>
                <w:rFonts w:eastAsia="SimSun"/>
                <w:lang w:eastAsia="zh-CN"/>
              </w:rPr>
            </w:pPr>
            <w:r w:rsidRPr="00C062F0">
              <w:rPr>
                <w:rFonts w:eastAsia="SimSun"/>
                <w:lang w:eastAsia="zh-CN"/>
              </w:rPr>
              <w:t>2014</w:t>
            </w:r>
          </w:p>
        </w:tc>
        <w:tc>
          <w:tcPr>
            <w:tcW w:w="2929" w:type="dxa"/>
            <w:vMerge w:val="restart"/>
            <w:vAlign w:val="center"/>
          </w:tcPr>
          <w:p w:rsidR="00D6075D" w:rsidRPr="00C062F0" w:rsidRDefault="00D6075D" w:rsidP="00F11BA2">
            <w:pPr>
              <w:pStyle w:val="Normal-pool"/>
              <w:spacing w:before="40" w:after="40"/>
              <w:rPr>
                <w:rFonts w:eastAsia="SimSun"/>
                <w:lang w:eastAsia="zh-CN"/>
              </w:rPr>
            </w:pPr>
            <w:r w:rsidRPr="00C062F0">
              <w:rPr>
                <w:rFonts w:eastAsia="SimSun"/>
                <w:lang w:eastAsia="zh-CN"/>
              </w:rPr>
              <w:t xml:space="preserve">Scoping meeting (40 participants: </w:t>
            </w:r>
            <w:r w:rsidR="00F842EF" w:rsidRPr="00C062F0">
              <w:rPr>
                <w:rFonts w:eastAsia="SimSun"/>
                <w:lang w:eastAsia="zh-CN"/>
              </w:rPr>
              <w:t>Multidisciplinary Expert Panel</w:t>
            </w:r>
            <w:r w:rsidR="00805D4D" w:rsidRPr="00C062F0">
              <w:rPr>
                <w:rFonts w:eastAsia="SimSun"/>
                <w:lang w:eastAsia="zh-CN"/>
              </w:rPr>
              <w:t>/</w:t>
            </w:r>
            <w:r w:rsidRPr="00C062F0">
              <w:rPr>
                <w:rFonts w:eastAsia="SimSun"/>
                <w:lang w:eastAsia="zh-CN"/>
              </w:rPr>
              <w:t>Bureau</w:t>
            </w:r>
            <w:r w:rsidR="00805D4D" w:rsidRPr="00C062F0">
              <w:rPr>
                <w:rFonts w:eastAsia="SimSun"/>
                <w:lang w:eastAsia="zh-CN"/>
              </w:rPr>
              <w:t xml:space="preserve"> members</w:t>
            </w:r>
            <w:r w:rsidR="00F842EF" w:rsidRPr="00C062F0">
              <w:rPr>
                <w:rFonts w:eastAsia="SimSun"/>
                <w:lang w:eastAsia="zh-CN"/>
              </w:rPr>
              <w:t>,</w:t>
            </w:r>
            <w:r w:rsidRPr="00C062F0">
              <w:rPr>
                <w:rFonts w:eastAsia="SimSun"/>
                <w:lang w:eastAsia="zh-CN"/>
              </w:rPr>
              <w:t xml:space="preserve"> experts)</w:t>
            </w:r>
          </w:p>
        </w:tc>
        <w:tc>
          <w:tcPr>
            <w:tcW w:w="3402" w:type="dxa"/>
          </w:tcPr>
          <w:p w:rsidR="00D6075D" w:rsidRPr="00C062F0" w:rsidRDefault="00D6075D">
            <w:pPr>
              <w:pStyle w:val="Normal-pool"/>
              <w:spacing w:before="40" w:after="40"/>
              <w:rPr>
                <w:rFonts w:eastAsia="SimSun"/>
                <w:lang w:eastAsia="zh-CN"/>
              </w:rPr>
            </w:pPr>
            <w:r w:rsidRPr="00C062F0">
              <w:rPr>
                <w:rFonts w:eastAsia="SimSun"/>
                <w:lang w:eastAsia="zh-CN"/>
              </w:rPr>
              <w:t>Meeting costs (1 week, 40 participants) (25</w:t>
            </w:r>
            <w:r w:rsidR="00D474F8" w:rsidRPr="00C062F0">
              <w:rPr>
                <w:rFonts w:eastAsia="SimSun"/>
                <w:lang w:eastAsia="zh-CN"/>
              </w:rPr>
              <w:t xml:space="preserve"> per cent</w:t>
            </w:r>
            <w:r w:rsidRPr="00C062F0">
              <w:rPr>
                <w:rFonts w:eastAsia="SimSun"/>
                <w:lang w:eastAsia="zh-CN"/>
              </w:rPr>
              <w:t xml:space="preserve"> in</w:t>
            </w:r>
            <w:r w:rsidR="00D474F8" w:rsidRPr="00C062F0">
              <w:rPr>
                <w:rFonts w:eastAsia="SimSun"/>
                <w:lang w:eastAsia="zh-CN"/>
              </w:rPr>
              <w:t xml:space="preserve"> </w:t>
            </w:r>
            <w:r w:rsidRPr="00C062F0">
              <w:rPr>
                <w:rFonts w:eastAsia="SimSun"/>
                <w:lang w:eastAsia="zh-CN"/>
              </w:rPr>
              <w:t>kind)</w:t>
            </w:r>
          </w:p>
        </w:tc>
        <w:tc>
          <w:tcPr>
            <w:tcW w:w="1276" w:type="dxa"/>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11</w:t>
            </w:r>
            <w:r w:rsidR="00F970B3" w:rsidRPr="00C062F0">
              <w:rPr>
                <w:rFonts w:eastAsia="SimSun"/>
                <w:lang w:eastAsia="zh-CN"/>
              </w:rPr>
              <w:t xml:space="preserve"> </w:t>
            </w:r>
            <w:r w:rsidRPr="00C062F0">
              <w:rPr>
                <w:rFonts w:eastAsia="SimSun"/>
                <w:lang w:eastAsia="zh-CN"/>
              </w:rPr>
              <w:t>250</w:t>
            </w:r>
          </w:p>
        </w:tc>
      </w:tr>
      <w:tr w:rsidR="00D6075D" w:rsidRPr="00C062F0" w:rsidTr="00163DB4">
        <w:trPr>
          <w:trHeight w:val="187"/>
        </w:trPr>
        <w:tc>
          <w:tcPr>
            <w:tcW w:w="672" w:type="dxa"/>
            <w:vMerge/>
            <w:vAlign w:val="center"/>
          </w:tcPr>
          <w:p w:rsidR="00D6075D" w:rsidRPr="00C062F0" w:rsidRDefault="00D6075D" w:rsidP="00163DB4">
            <w:pPr>
              <w:pStyle w:val="Normal-pool"/>
              <w:spacing w:before="40" w:after="40"/>
              <w:rPr>
                <w:rFonts w:eastAsia="SimSun"/>
                <w:lang w:eastAsia="zh-CN"/>
              </w:rPr>
            </w:pPr>
          </w:p>
        </w:tc>
        <w:tc>
          <w:tcPr>
            <w:tcW w:w="2929" w:type="dxa"/>
            <w:vMerge/>
            <w:vAlign w:val="center"/>
          </w:tcPr>
          <w:p w:rsidR="00D6075D" w:rsidRPr="00C062F0" w:rsidRDefault="00D6075D" w:rsidP="00163DB4">
            <w:pPr>
              <w:pStyle w:val="Normal-pool"/>
              <w:spacing w:before="40" w:after="40"/>
              <w:rPr>
                <w:rFonts w:eastAsia="SimSun"/>
                <w:lang w:eastAsia="zh-CN"/>
              </w:rPr>
            </w:pPr>
          </w:p>
        </w:tc>
        <w:tc>
          <w:tcPr>
            <w:tcW w:w="3402" w:type="dxa"/>
          </w:tcPr>
          <w:p w:rsidR="00D6075D" w:rsidRPr="00C062F0" w:rsidRDefault="00D6075D">
            <w:pPr>
              <w:pStyle w:val="Normal-pool"/>
              <w:spacing w:before="40" w:after="40"/>
              <w:rPr>
                <w:rFonts w:eastAsia="SimSun"/>
                <w:lang w:eastAsia="zh-CN"/>
              </w:rPr>
            </w:pPr>
            <w:r w:rsidRPr="00C062F0">
              <w:rPr>
                <w:rFonts w:eastAsia="SimSun"/>
                <w:lang w:eastAsia="zh-CN"/>
              </w:rPr>
              <w:t xml:space="preserve">Travel and DSA (30 x </w:t>
            </w:r>
            <w:r w:rsidR="00D474F8" w:rsidRPr="00C062F0">
              <w:rPr>
                <w:rFonts w:eastAsia="SimSun"/>
                <w:lang w:eastAsia="zh-CN"/>
              </w:rPr>
              <w:t>$</w:t>
            </w:r>
            <w:r w:rsidRPr="00C062F0">
              <w:rPr>
                <w:rFonts w:eastAsia="SimSun"/>
                <w:lang w:eastAsia="zh-CN"/>
              </w:rPr>
              <w:t>3</w:t>
            </w:r>
            <w:r w:rsidR="00D474F8" w:rsidRPr="00C062F0">
              <w:rPr>
                <w:rFonts w:eastAsia="SimSun"/>
                <w:lang w:eastAsia="zh-CN"/>
              </w:rPr>
              <w:t>,</w:t>
            </w:r>
            <w:r w:rsidRPr="00C062F0">
              <w:rPr>
                <w:rFonts w:eastAsia="SimSun"/>
                <w:lang w:eastAsia="zh-CN"/>
              </w:rPr>
              <w:t>000)</w:t>
            </w:r>
          </w:p>
        </w:tc>
        <w:tc>
          <w:tcPr>
            <w:tcW w:w="1276" w:type="dxa"/>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90</w:t>
            </w:r>
            <w:r w:rsidR="00F970B3" w:rsidRPr="00C062F0">
              <w:rPr>
                <w:rFonts w:eastAsia="SimSun"/>
                <w:lang w:eastAsia="zh-CN"/>
              </w:rPr>
              <w:t xml:space="preserve"> </w:t>
            </w:r>
            <w:r w:rsidRPr="00C062F0">
              <w:rPr>
                <w:rFonts w:eastAsia="SimSun"/>
                <w:lang w:eastAsia="zh-CN"/>
              </w:rPr>
              <w:t>000</w:t>
            </w:r>
          </w:p>
        </w:tc>
      </w:tr>
      <w:tr w:rsidR="00D6075D" w:rsidRPr="00C062F0" w:rsidTr="00163DB4">
        <w:tc>
          <w:tcPr>
            <w:tcW w:w="672" w:type="dxa"/>
            <w:vMerge/>
            <w:vAlign w:val="center"/>
          </w:tcPr>
          <w:p w:rsidR="00D6075D" w:rsidRPr="00C062F0" w:rsidRDefault="00D6075D" w:rsidP="00163DB4">
            <w:pPr>
              <w:pStyle w:val="Normal-pool"/>
              <w:spacing w:before="40" w:after="40"/>
              <w:rPr>
                <w:rFonts w:eastAsia="SimSun"/>
                <w:lang w:eastAsia="zh-CN"/>
              </w:rPr>
            </w:pPr>
          </w:p>
        </w:tc>
        <w:tc>
          <w:tcPr>
            <w:tcW w:w="2929" w:type="dxa"/>
            <w:vMerge w:val="restart"/>
            <w:vAlign w:val="center"/>
          </w:tcPr>
          <w:p w:rsidR="00D6075D" w:rsidRPr="00C062F0" w:rsidRDefault="00D6075D" w:rsidP="00F11BA2">
            <w:pPr>
              <w:pStyle w:val="Normal-pool"/>
              <w:spacing w:before="40" w:after="40"/>
              <w:rPr>
                <w:rFonts w:eastAsia="SimSun"/>
                <w:lang w:eastAsia="zh-CN"/>
              </w:rPr>
            </w:pPr>
            <w:r w:rsidRPr="00C062F0">
              <w:rPr>
                <w:rFonts w:eastAsia="SimSun"/>
                <w:lang w:eastAsia="zh-CN"/>
              </w:rPr>
              <w:t xml:space="preserve">First author meetings (70 </w:t>
            </w:r>
            <w:r w:rsidR="000D6074" w:rsidRPr="00C062F0">
              <w:rPr>
                <w:rFonts w:eastAsia="SimSun"/>
                <w:lang w:eastAsia="zh-CN"/>
              </w:rPr>
              <w:t>c</w:t>
            </w:r>
            <w:r w:rsidRPr="00C062F0">
              <w:rPr>
                <w:rFonts w:eastAsia="SimSun"/>
                <w:lang w:eastAsia="zh-CN"/>
              </w:rPr>
              <w:t>o</w:t>
            </w:r>
            <w:r w:rsidR="000D6074" w:rsidRPr="00C062F0">
              <w:rPr>
                <w:rFonts w:eastAsia="SimSun"/>
                <w:lang w:eastAsia="zh-CN"/>
              </w:rPr>
              <w:noBreakHyphen/>
              <w:t>c</w:t>
            </w:r>
            <w:r w:rsidRPr="00C062F0">
              <w:rPr>
                <w:rFonts w:eastAsia="SimSun"/>
                <w:lang w:eastAsia="zh-CN"/>
              </w:rPr>
              <w:t xml:space="preserve">hairs, </w:t>
            </w:r>
            <w:r w:rsidR="000D6074" w:rsidRPr="00C062F0">
              <w:rPr>
                <w:rFonts w:eastAsia="SimSun"/>
                <w:lang w:eastAsia="zh-CN"/>
              </w:rPr>
              <w:t>coordinating lead authors</w:t>
            </w:r>
            <w:r w:rsidR="00F842EF" w:rsidRPr="00C062F0">
              <w:rPr>
                <w:rFonts w:eastAsia="SimSun"/>
                <w:lang w:eastAsia="zh-CN"/>
              </w:rPr>
              <w:t xml:space="preserve"> and</w:t>
            </w:r>
            <w:r w:rsidRPr="00C062F0">
              <w:rPr>
                <w:rFonts w:eastAsia="SimSun"/>
                <w:lang w:eastAsia="zh-CN"/>
              </w:rPr>
              <w:t xml:space="preserve"> </w:t>
            </w:r>
            <w:r w:rsidR="000D6074" w:rsidRPr="00C062F0">
              <w:rPr>
                <w:rFonts w:eastAsia="SimSun"/>
                <w:lang w:eastAsia="zh-CN"/>
              </w:rPr>
              <w:t>lead authors</w:t>
            </w:r>
            <w:r w:rsidR="00F842EF" w:rsidRPr="00C062F0">
              <w:rPr>
                <w:rFonts w:eastAsia="SimSun"/>
                <w:lang w:eastAsia="zh-CN"/>
              </w:rPr>
              <w:t>,</w:t>
            </w:r>
            <w:r w:rsidR="000D6074" w:rsidRPr="00C062F0">
              <w:rPr>
                <w:rFonts w:eastAsia="SimSun"/>
                <w:lang w:eastAsia="zh-CN"/>
              </w:rPr>
              <w:t xml:space="preserve"> </w:t>
            </w:r>
            <w:r w:rsidRPr="00C062F0">
              <w:rPr>
                <w:rFonts w:eastAsia="SimSun"/>
                <w:lang w:eastAsia="zh-CN"/>
              </w:rPr>
              <w:t xml:space="preserve"> </w:t>
            </w:r>
            <w:r w:rsidR="00F842EF" w:rsidRPr="00C062F0">
              <w:rPr>
                <w:rFonts w:eastAsia="SimSun"/>
                <w:lang w:eastAsia="zh-CN"/>
              </w:rPr>
              <w:t xml:space="preserve">plus </w:t>
            </w:r>
            <w:r w:rsidRPr="00C062F0">
              <w:rPr>
                <w:rFonts w:eastAsia="SimSun"/>
                <w:lang w:eastAsia="zh-CN"/>
              </w:rPr>
              <w:t>4</w:t>
            </w:r>
            <w:r w:rsidR="00F842EF" w:rsidRPr="00C062F0">
              <w:rPr>
                <w:rFonts w:eastAsia="SimSun"/>
                <w:lang w:eastAsia="zh-CN"/>
              </w:rPr>
              <w:t> Panel</w:t>
            </w:r>
            <w:r w:rsidRPr="00C062F0">
              <w:rPr>
                <w:rFonts w:eastAsia="SimSun"/>
                <w:lang w:eastAsia="zh-CN"/>
              </w:rPr>
              <w:t>/Bureau</w:t>
            </w:r>
            <w:r w:rsidR="00F842EF" w:rsidRPr="00C062F0">
              <w:rPr>
                <w:rFonts w:eastAsia="SimSun"/>
                <w:lang w:eastAsia="zh-CN"/>
              </w:rPr>
              <w:t xml:space="preserve"> members</w:t>
            </w:r>
            <w:r w:rsidR="00805D4D" w:rsidRPr="00C062F0">
              <w:rPr>
                <w:rFonts w:eastAsia="SimSun"/>
                <w:lang w:eastAsia="zh-CN"/>
              </w:rPr>
              <w:t>,</w:t>
            </w:r>
            <w:r w:rsidRPr="00C062F0">
              <w:rPr>
                <w:rFonts w:eastAsia="SimSun"/>
                <w:lang w:eastAsia="zh-CN"/>
              </w:rPr>
              <w:t xml:space="preserve"> </w:t>
            </w:r>
            <w:r w:rsidR="00F842EF" w:rsidRPr="00C062F0">
              <w:rPr>
                <w:rFonts w:eastAsia="SimSun"/>
                <w:lang w:eastAsia="zh-CN"/>
              </w:rPr>
              <w:t xml:space="preserve">plus </w:t>
            </w:r>
            <w:r w:rsidRPr="00C062F0">
              <w:rPr>
                <w:rFonts w:eastAsia="SimSun"/>
                <w:lang w:eastAsia="zh-CN"/>
              </w:rPr>
              <w:t>1</w:t>
            </w:r>
            <w:r w:rsidR="00F842EF" w:rsidRPr="00C062F0">
              <w:rPr>
                <w:rFonts w:eastAsia="SimSun"/>
                <w:lang w:eastAsia="zh-CN"/>
              </w:rPr>
              <w:t> </w:t>
            </w:r>
            <w:r w:rsidRPr="00C062F0">
              <w:rPr>
                <w:rFonts w:eastAsia="SimSun"/>
                <w:lang w:eastAsia="zh-CN"/>
              </w:rPr>
              <w:t>technical support staff</w:t>
            </w:r>
            <w:r w:rsidR="00F842EF" w:rsidRPr="00C062F0">
              <w:rPr>
                <w:rFonts w:eastAsia="SimSun"/>
                <w:lang w:eastAsia="zh-CN"/>
              </w:rPr>
              <w:t xml:space="preserve"> member</w:t>
            </w:r>
            <w:r w:rsidRPr="00C062F0">
              <w:rPr>
                <w:rFonts w:eastAsia="SimSun"/>
                <w:lang w:eastAsia="zh-CN"/>
              </w:rPr>
              <w:t>)</w:t>
            </w:r>
          </w:p>
        </w:tc>
        <w:tc>
          <w:tcPr>
            <w:tcW w:w="3402" w:type="dxa"/>
          </w:tcPr>
          <w:p w:rsidR="00D6075D" w:rsidRPr="00C062F0" w:rsidRDefault="00D6075D">
            <w:pPr>
              <w:pStyle w:val="Normal-pool"/>
              <w:spacing w:before="40" w:after="40"/>
              <w:rPr>
                <w:rFonts w:eastAsia="SimSun"/>
                <w:lang w:eastAsia="zh-CN"/>
              </w:rPr>
            </w:pPr>
            <w:r w:rsidRPr="00C062F0">
              <w:rPr>
                <w:rFonts w:eastAsia="SimSun"/>
                <w:lang w:eastAsia="zh-CN"/>
              </w:rPr>
              <w:t>Meeting costs (1 week, 75 participants) (25</w:t>
            </w:r>
            <w:r w:rsidR="00D474F8" w:rsidRPr="00C062F0">
              <w:rPr>
                <w:rFonts w:eastAsia="SimSun"/>
                <w:lang w:eastAsia="zh-CN"/>
              </w:rPr>
              <w:t xml:space="preserve"> per cent</w:t>
            </w:r>
            <w:r w:rsidRPr="00C062F0">
              <w:rPr>
                <w:rFonts w:eastAsia="SimSun"/>
                <w:lang w:eastAsia="zh-CN"/>
              </w:rPr>
              <w:t xml:space="preserve"> in</w:t>
            </w:r>
            <w:r w:rsidR="00D474F8" w:rsidRPr="00C062F0">
              <w:rPr>
                <w:rFonts w:eastAsia="SimSun"/>
                <w:lang w:eastAsia="zh-CN"/>
              </w:rPr>
              <w:t xml:space="preserve"> </w:t>
            </w:r>
            <w:r w:rsidRPr="00C062F0">
              <w:rPr>
                <w:rFonts w:eastAsia="SimSun"/>
                <w:lang w:eastAsia="zh-CN"/>
              </w:rPr>
              <w:t>kind)</w:t>
            </w:r>
          </w:p>
        </w:tc>
        <w:tc>
          <w:tcPr>
            <w:tcW w:w="1276" w:type="dxa"/>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15</w:t>
            </w:r>
            <w:r w:rsidR="00F970B3" w:rsidRPr="00C062F0">
              <w:rPr>
                <w:rFonts w:eastAsia="SimSun"/>
                <w:lang w:eastAsia="zh-CN"/>
              </w:rPr>
              <w:t xml:space="preserve"> </w:t>
            </w:r>
            <w:r w:rsidRPr="00C062F0">
              <w:rPr>
                <w:rFonts w:eastAsia="SimSun"/>
                <w:lang w:eastAsia="zh-CN"/>
              </w:rPr>
              <w:t>000</w:t>
            </w:r>
          </w:p>
        </w:tc>
      </w:tr>
      <w:tr w:rsidR="00D6075D" w:rsidRPr="00C062F0" w:rsidTr="00163DB4">
        <w:trPr>
          <w:trHeight w:val="339"/>
        </w:trPr>
        <w:tc>
          <w:tcPr>
            <w:tcW w:w="672" w:type="dxa"/>
            <w:vMerge/>
            <w:vAlign w:val="center"/>
          </w:tcPr>
          <w:p w:rsidR="00D6075D" w:rsidRPr="00C062F0" w:rsidRDefault="00D6075D" w:rsidP="00163DB4">
            <w:pPr>
              <w:pStyle w:val="Normal-pool"/>
              <w:spacing w:before="40" w:after="40"/>
              <w:rPr>
                <w:rFonts w:eastAsia="SimSun"/>
                <w:lang w:eastAsia="zh-CN"/>
              </w:rPr>
            </w:pPr>
          </w:p>
        </w:tc>
        <w:tc>
          <w:tcPr>
            <w:tcW w:w="2929" w:type="dxa"/>
            <w:vMerge/>
            <w:tcBorders>
              <w:bottom w:val="single" w:sz="4" w:space="0" w:color="auto"/>
            </w:tcBorders>
            <w:vAlign w:val="center"/>
          </w:tcPr>
          <w:p w:rsidR="00D6075D" w:rsidRPr="00C062F0" w:rsidRDefault="00D6075D" w:rsidP="00163DB4">
            <w:pPr>
              <w:pStyle w:val="Normal-pool"/>
              <w:spacing w:before="40" w:after="40"/>
              <w:rPr>
                <w:rFonts w:eastAsia="SimSun"/>
                <w:lang w:eastAsia="zh-CN"/>
              </w:rPr>
            </w:pPr>
          </w:p>
        </w:tc>
        <w:tc>
          <w:tcPr>
            <w:tcW w:w="3402" w:type="dxa"/>
            <w:tcBorders>
              <w:bottom w:val="single" w:sz="4" w:space="0" w:color="auto"/>
            </w:tcBorders>
          </w:tcPr>
          <w:p w:rsidR="00D6075D" w:rsidRPr="00C062F0" w:rsidRDefault="00D6075D">
            <w:pPr>
              <w:pStyle w:val="Normal-pool"/>
              <w:spacing w:before="40" w:after="40"/>
              <w:rPr>
                <w:rFonts w:eastAsia="SimSun"/>
                <w:lang w:eastAsia="zh-CN"/>
              </w:rPr>
            </w:pPr>
            <w:r w:rsidRPr="00C062F0">
              <w:rPr>
                <w:rFonts w:eastAsia="SimSun"/>
                <w:lang w:eastAsia="zh-CN"/>
              </w:rPr>
              <w:t xml:space="preserve">Travel and DSA (56 x </w:t>
            </w:r>
            <w:r w:rsidR="00D474F8" w:rsidRPr="00C062F0">
              <w:rPr>
                <w:rFonts w:eastAsia="SimSun"/>
                <w:lang w:eastAsia="zh-CN"/>
              </w:rPr>
              <w:t>$</w:t>
            </w:r>
            <w:r w:rsidRPr="00C062F0">
              <w:rPr>
                <w:rFonts w:eastAsia="SimSun"/>
                <w:lang w:eastAsia="zh-CN"/>
              </w:rPr>
              <w:t>3</w:t>
            </w:r>
            <w:r w:rsidR="00D474F8" w:rsidRPr="00C062F0">
              <w:rPr>
                <w:rFonts w:eastAsia="SimSun"/>
                <w:lang w:eastAsia="zh-CN"/>
              </w:rPr>
              <w:t>,</w:t>
            </w:r>
            <w:r w:rsidRPr="00C062F0">
              <w:rPr>
                <w:rFonts w:eastAsia="SimSun"/>
                <w:lang w:eastAsia="zh-CN"/>
              </w:rPr>
              <w:t>000)</w:t>
            </w:r>
          </w:p>
        </w:tc>
        <w:tc>
          <w:tcPr>
            <w:tcW w:w="1276" w:type="dxa"/>
            <w:tcBorders>
              <w:bottom w:val="single" w:sz="4" w:space="0" w:color="auto"/>
            </w:tcBorders>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168</w:t>
            </w:r>
            <w:r w:rsidR="00F970B3" w:rsidRPr="00C062F0">
              <w:rPr>
                <w:rFonts w:eastAsia="SimSun"/>
                <w:lang w:eastAsia="zh-CN"/>
              </w:rPr>
              <w:t xml:space="preserve"> </w:t>
            </w:r>
            <w:r w:rsidRPr="00C062F0">
              <w:rPr>
                <w:rFonts w:eastAsia="SimSun"/>
                <w:lang w:eastAsia="zh-CN"/>
              </w:rPr>
              <w:t>000</w:t>
            </w:r>
          </w:p>
        </w:tc>
      </w:tr>
      <w:tr w:rsidR="00D6075D" w:rsidRPr="00C062F0" w:rsidTr="00163DB4">
        <w:trPr>
          <w:trHeight w:val="361"/>
        </w:trPr>
        <w:tc>
          <w:tcPr>
            <w:tcW w:w="672" w:type="dxa"/>
            <w:vMerge/>
            <w:tcBorders>
              <w:bottom w:val="single" w:sz="4" w:space="0" w:color="auto"/>
            </w:tcBorders>
            <w:vAlign w:val="center"/>
          </w:tcPr>
          <w:p w:rsidR="00D6075D" w:rsidRPr="00C062F0" w:rsidRDefault="00D6075D" w:rsidP="00163DB4">
            <w:pPr>
              <w:pStyle w:val="Normal-pool"/>
              <w:spacing w:before="40" w:after="40"/>
              <w:rPr>
                <w:rFonts w:eastAsia="SimSun"/>
                <w:lang w:eastAsia="zh-CN"/>
              </w:rPr>
            </w:pPr>
          </w:p>
        </w:tc>
        <w:tc>
          <w:tcPr>
            <w:tcW w:w="2929" w:type="dxa"/>
            <w:vAlign w:val="center"/>
          </w:tcPr>
          <w:p w:rsidR="00D6075D" w:rsidRPr="00C062F0" w:rsidRDefault="00D6075D" w:rsidP="00163DB4">
            <w:pPr>
              <w:pStyle w:val="Normal-pool"/>
              <w:spacing w:before="40" w:after="40"/>
              <w:rPr>
                <w:rFonts w:eastAsia="SimSun"/>
                <w:lang w:eastAsia="zh-CN"/>
              </w:rPr>
            </w:pPr>
            <w:r w:rsidRPr="00C062F0">
              <w:rPr>
                <w:rFonts w:eastAsia="SimSun"/>
                <w:lang w:eastAsia="zh-CN"/>
              </w:rPr>
              <w:t>Technical support</w:t>
            </w:r>
          </w:p>
        </w:tc>
        <w:tc>
          <w:tcPr>
            <w:tcW w:w="3402" w:type="dxa"/>
          </w:tcPr>
          <w:p w:rsidR="00D6075D" w:rsidRPr="00C062F0" w:rsidRDefault="00D6075D">
            <w:pPr>
              <w:pStyle w:val="Normal-pool"/>
              <w:spacing w:before="40" w:after="40"/>
              <w:rPr>
                <w:rFonts w:eastAsia="SimSun"/>
                <w:lang w:eastAsia="zh-CN"/>
              </w:rPr>
            </w:pPr>
            <w:r w:rsidRPr="00C062F0">
              <w:rPr>
                <w:rFonts w:eastAsia="SimSun"/>
                <w:lang w:eastAsia="zh-CN"/>
              </w:rPr>
              <w:t xml:space="preserve">1 </w:t>
            </w:r>
            <w:r w:rsidR="00D474F8" w:rsidRPr="00C062F0">
              <w:rPr>
                <w:rFonts w:eastAsia="SimSun"/>
                <w:lang w:eastAsia="zh-CN"/>
              </w:rPr>
              <w:t>full-time equivalent</w:t>
            </w:r>
            <w:r w:rsidRPr="00C062F0">
              <w:rPr>
                <w:rFonts w:eastAsia="SimSun"/>
                <w:lang w:eastAsia="zh-CN"/>
              </w:rPr>
              <w:t xml:space="preserve"> professional position (50</w:t>
            </w:r>
            <w:r w:rsidR="00D474F8" w:rsidRPr="00C062F0">
              <w:rPr>
                <w:rFonts w:eastAsia="SimSun"/>
                <w:lang w:eastAsia="zh-CN"/>
              </w:rPr>
              <w:t xml:space="preserve"> per cent</w:t>
            </w:r>
            <w:r w:rsidRPr="00C062F0">
              <w:rPr>
                <w:rFonts w:eastAsia="SimSun"/>
                <w:lang w:eastAsia="zh-CN"/>
              </w:rPr>
              <w:t xml:space="preserve"> be in</w:t>
            </w:r>
            <w:r w:rsidR="00D474F8" w:rsidRPr="00C062F0">
              <w:rPr>
                <w:rFonts w:eastAsia="SimSun"/>
                <w:lang w:eastAsia="zh-CN"/>
              </w:rPr>
              <w:t xml:space="preserve"> </w:t>
            </w:r>
            <w:r w:rsidRPr="00C062F0">
              <w:rPr>
                <w:rFonts w:eastAsia="SimSun"/>
                <w:lang w:eastAsia="zh-CN"/>
              </w:rPr>
              <w:t>kind)</w:t>
            </w:r>
          </w:p>
        </w:tc>
        <w:tc>
          <w:tcPr>
            <w:tcW w:w="1276" w:type="dxa"/>
            <w:tcBorders>
              <w:bottom w:val="single" w:sz="4" w:space="0" w:color="auto"/>
            </w:tcBorders>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75</w:t>
            </w:r>
            <w:r w:rsidR="00F970B3" w:rsidRPr="00C062F0">
              <w:rPr>
                <w:rFonts w:eastAsia="SimSun"/>
                <w:lang w:eastAsia="zh-CN"/>
              </w:rPr>
              <w:t xml:space="preserve"> </w:t>
            </w:r>
            <w:r w:rsidRPr="00C062F0">
              <w:rPr>
                <w:rFonts w:eastAsia="SimSun"/>
                <w:lang w:eastAsia="zh-CN"/>
              </w:rPr>
              <w:t>000</w:t>
            </w:r>
          </w:p>
        </w:tc>
      </w:tr>
      <w:tr w:rsidR="00D6075D" w:rsidRPr="00C062F0" w:rsidTr="00163DB4">
        <w:tc>
          <w:tcPr>
            <w:tcW w:w="672" w:type="dxa"/>
            <w:vMerge w:val="restart"/>
            <w:vAlign w:val="center"/>
          </w:tcPr>
          <w:p w:rsidR="00D6075D" w:rsidRPr="00C062F0" w:rsidRDefault="00D6075D" w:rsidP="00163DB4">
            <w:pPr>
              <w:pStyle w:val="Normal-pool"/>
              <w:spacing w:before="40" w:after="40"/>
              <w:rPr>
                <w:rFonts w:eastAsia="SimSun"/>
                <w:lang w:eastAsia="zh-CN"/>
              </w:rPr>
            </w:pPr>
            <w:r w:rsidRPr="00C062F0">
              <w:rPr>
                <w:rFonts w:eastAsia="SimSun"/>
                <w:lang w:eastAsia="zh-CN"/>
              </w:rPr>
              <w:t>2015</w:t>
            </w:r>
          </w:p>
        </w:tc>
        <w:tc>
          <w:tcPr>
            <w:tcW w:w="2929" w:type="dxa"/>
            <w:vMerge w:val="restart"/>
            <w:vAlign w:val="center"/>
          </w:tcPr>
          <w:p w:rsidR="00D6075D" w:rsidRPr="00C062F0" w:rsidRDefault="00D6075D" w:rsidP="00F11BA2">
            <w:pPr>
              <w:pStyle w:val="Normal-pool"/>
              <w:spacing w:before="40" w:after="40"/>
              <w:rPr>
                <w:rFonts w:eastAsia="SimSun"/>
                <w:lang w:eastAsia="zh-CN"/>
              </w:rPr>
            </w:pPr>
            <w:r w:rsidRPr="00C062F0">
              <w:rPr>
                <w:rFonts w:eastAsia="SimSun"/>
                <w:lang w:eastAsia="zh-CN"/>
              </w:rPr>
              <w:t xml:space="preserve">Second author meeting (70 </w:t>
            </w:r>
            <w:r w:rsidR="00D474F8" w:rsidRPr="00C062F0">
              <w:rPr>
                <w:rFonts w:eastAsia="SimSun"/>
                <w:lang w:eastAsia="zh-CN"/>
              </w:rPr>
              <w:t>c</w:t>
            </w:r>
            <w:r w:rsidRPr="00C062F0">
              <w:rPr>
                <w:rFonts w:eastAsia="SimSun"/>
                <w:lang w:eastAsia="zh-CN"/>
              </w:rPr>
              <w:t>o</w:t>
            </w:r>
            <w:r w:rsidR="00D474F8" w:rsidRPr="00C062F0">
              <w:rPr>
                <w:rFonts w:eastAsia="SimSun"/>
                <w:lang w:eastAsia="zh-CN"/>
              </w:rPr>
              <w:noBreakHyphen/>
              <w:t>c</w:t>
            </w:r>
            <w:r w:rsidRPr="00C062F0">
              <w:rPr>
                <w:rFonts w:eastAsia="SimSun"/>
                <w:lang w:eastAsia="zh-CN"/>
              </w:rPr>
              <w:t xml:space="preserve">hairs, </w:t>
            </w:r>
            <w:r w:rsidR="00F842EF" w:rsidRPr="00C062F0">
              <w:rPr>
                <w:rFonts w:eastAsia="SimSun"/>
                <w:lang w:eastAsia="zh-CN"/>
              </w:rPr>
              <w:t>coordinating lead authors and lead authors, plus</w:t>
            </w:r>
            <w:r w:rsidR="00B9615F" w:rsidRPr="00C062F0">
              <w:rPr>
                <w:rFonts w:eastAsia="SimSun"/>
                <w:lang w:eastAsia="zh-CN"/>
              </w:rPr>
              <w:t xml:space="preserve"> </w:t>
            </w:r>
            <w:r w:rsidRPr="00C062F0">
              <w:rPr>
                <w:rFonts w:eastAsia="SimSun"/>
                <w:lang w:eastAsia="zh-CN"/>
              </w:rPr>
              <w:t>14</w:t>
            </w:r>
            <w:r w:rsidR="00F842EF" w:rsidRPr="00C062F0">
              <w:rPr>
                <w:rFonts w:eastAsia="SimSun"/>
                <w:lang w:eastAsia="zh-CN"/>
              </w:rPr>
              <w:t> review editors, plus</w:t>
            </w:r>
            <w:r w:rsidRPr="00C062F0">
              <w:rPr>
                <w:rFonts w:eastAsia="SimSun"/>
                <w:lang w:eastAsia="zh-CN"/>
              </w:rPr>
              <w:t xml:space="preserve"> 4</w:t>
            </w:r>
            <w:r w:rsidR="00F842EF" w:rsidRPr="00C062F0">
              <w:rPr>
                <w:rFonts w:eastAsia="SimSun"/>
                <w:lang w:eastAsia="zh-CN"/>
              </w:rPr>
              <w:t> Panel</w:t>
            </w:r>
            <w:r w:rsidRPr="00C062F0">
              <w:rPr>
                <w:rFonts w:eastAsia="SimSun"/>
                <w:lang w:eastAsia="zh-CN"/>
              </w:rPr>
              <w:t>/Bureau</w:t>
            </w:r>
            <w:r w:rsidR="00F842EF" w:rsidRPr="00C062F0">
              <w:rPr>
                <w:rFonts w:eastAsia="SimSun"/>
                <w:lang w:eastAsia="zh-CN"/>
              </w:rPr>
              <w:t xml:space="preserve"> members, plus</w:t>
            </w:r>
            <w:r w:rsidRPr="00C062F0">
              <w:rPr>
                <w:rFonts w:eastAsia="SimSun"/>
                <w:lang w:eastAsia="zh-CN"/>
              </w:rPr>
              <w:t xml:space="preserve"> 1</w:t>
            </w:r>
            <w:r w:rsidR="00F842EF" w:rsidRPr="00C062F0">
              <w:rPr>
                <w:rFonts w:eastAsia="SimSun"/>
                <w:lang w:eastAsia="zh-CN"/>
              </w:rPr>
              <w:t> </w:t>
            </w:r>
            <w:r w:rsidRPr="00C062F0">
              <w:rPr>
                <w:rFonts w:eastAsia="SimSun"/>
                <w:lang w:eastAsia="zh-CN"/>
              </w:rPr>
              <w:t>technical support staff</w:t>
            </w:r>
            <w:r w:rsidR="00F842EF" w:rsidRPr="00C062F0">
              <w:rPr>
                <w:rFonts w:eastAsia="SimSun"/>
                <w:lang w:eastAsia="zh-CN"/>
              </w:rPr>
              <w:t xml:space="preserve"> member</w:t>
            </w:r>
            <w:r w:rsidRPr="00C062F0">
              <w:rPr>
                <w:rFonts w:eastAsia="SimSun"/>
                <w:lang w:eastAsia="zh-CN"/>
              </w:rPr>
              <w:t>)</w:t>
            </w:r>
          </w:p>
        </w:tc>
        <w:tc>
          <w:tcPr>
            <w:tcW w:w="3402" w:type="dxa"/>
          </w:tcPr>
          <w:p w:rsidR="00D6075D" w:rsidRPr="00C062F0" w:rsidRDefault="00D6075D">
            <w:pPr>
              <w:pStyle w:val="Normal-pool"/>
              <w:spacing w:before="40" w:after="40"/>
              <w:rPr>
                <w:rFonts w:eastAsia="SimSun"/>
                <w:lang w:eastAsia="zh-CN"/>
              </w:rPr>
            </w:pPr>
            <w:r w:rsidRPr="00C062F0">
              <w:rPr>
                <w:rFonts w:eastAsia="SimSun"/>
                <w:lang w:eastAsia="zh-CN"/>
              </w:rPr>
              <w:t>Meeting costs (1 week, 89 participants) (25</w:t>
            </w:r>
            <w:r w:rsidR="00D474F8" w:rsidRPr="00C062F0">
              <w:rPr>
                <w:rFonts w:eastAsia="SimSun"/>
                <w:lang w:eastAsia="zh-CN"/>
              </w:rPr>
              <w:t xml:space="preserve"> per cent</w:t>
            </w:r>
            <w:r w:rsidRPr="00C062F0">
              <w:rPr>
                <w:rFonts w:eastAsia="SimSun"/>
                <w:lang w:eastAsia="zh-CN"/>
              </w:rPr>
              <w:t xml:space="preserve"> in</w:t>
            </w:r>
            <w:r w:rsidR="00D474F8" w:rsidRPr="00C062F0">
              <w:rPr>
                <w:rFonts w:eastAsia="SimSun"/>
                <w:lang w:eastAsia="zh-CN"/>
              </w:rPr>
              <w:t xml:space="preserve"> </w:t>
            </w:r>
            <w:r w:rsidRPr="00C062F0">
              <w:rPr>
                <w:rFonts w:eastAsia="SimSun"/>
                <w:lang w:eastAsia="zh-CN"/>
              </w:rPr>
              <w:t>kind)</w:t>
            </w:r>
          </w:p>
        </w:tc>
        <w:tc>
          <w:tcPr>
            <w:tcW w:w="1276" w:type="dxa"/>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18</w:t>
            </w:r>
            <w:r w:rsidR="00F970B3" w:rsidRPr="00C062F0">
              <w:rPr>
                <w:rFonts w:eastAsia="SimSun"/>
                <w:lang w:eastAsia="zh-CN"/>
              </w:rPr>
              <w:t xml:space="preserve"> </w:t>
            </w:r>
            <w:r w:rsidRPr="00C062F0">
              <w:rPr>
                <w:rFonts w:eastAsia="SimSun"/>
                <w:lang w:eastAsia="zh-CN"/>
              </w:rPr>
              <w:t>750</w:t>
            </w:r>
          </w:p>
        </w:tc>
      </w:tr>
      <w:tr w:rsidR="00D6075D" w:rsidRPr="00C062F0" w:rsidTr="00163DB4">
        <w:trPr>
          <w:trHeight w:val="361"/>
        </w:trPr>
        <w:tc>
          <w:tcPr>
            <w:tcW w:w="672" w:type="dxa"/>
            <w:vMerge/>
            <w:vAlign w:val="center"/>
          </w:tcPr>
          <w:p w:rsidR="00D6075D" w:rsidRPr="00C062F0" w:rsidRDefault="00D6075D" w:rsidP="00163DB4">
            <w:pPr>
              <w:pStyle w:val="Normal-pool"/>
              <w:spacing w:before="40" w:after="40"/>
              <w:rPr>
                <w:rFonts w:eastAsia="SimSun"/>
                <w:lang w:eastAsia="zh-CN"/>
              </w:rPr>
            </w:pPr>
          </w:p>
        </w:tc>
        <w:tc>
          <w:tcPr>
            <w:tcW w:w="2929" w:type="dxa"/>
            <w:vMerge/>
            <w:tcBorders>
              <w:bottom w:val="single" w:sz="4" w:space="0" w:color="auto"/>
            </w:tcBorders>
            <w:vAlign w:val="center"/>
          </w:tcPr>
          <w:p w:rsidR="00D6075D" w:rsidRPr="00C062F0" w:rsidRDefault="00D6075D" w:rsidP="00163DB4">
            <w:pPr>
              <w:pStyle w:val="Normal-pool"/>
              <w:spacing w:before="40" w:after="40"/>
              <w:rPr>
                <w:rFonts w:eastAsia="SimSun"/>
                <w:lang w:eastAsia="zh-CN"/>
              </w:rPr>
            </w:pPr>
          </w:p>
        </w:tc>
        <w:tc>
          <w:tcPr>
            <w:tcW w:w="3402" w:type="dxa"/>
            <w:tcBorders>
              <w:bottom w:val="single" w:sz="4" w:space="0" w:color="auto"/>
            </w:tcBorders>
          </w:tcPr>
          <w:p w:rsidR="00D6075D" w:rsidRPr="00C062F0" w:rsidRDefault="00D6075D" w:rsidP="00CC2D90">
            <w:pPr>
              <w:pStyle w:val="Normal-pool"/>
              <w:spacing w:before="40" w:after="40"/>
              <w:rPr>
                <w:rFonts w:eastAsia="SimSun"/>
                <w:lang w:eastAsia="zh-CN"/>
              </w:rPr>
            </w:pPr>
            <w:r w:rsidRPr="00C062F0">
              <w:rPr>
                <w:rFonts w:eastAsia="SimSun"/>
                <w:lang w:eastAsia="zh-CN"/>
              </w:rPr>
              <w:t xml:space="preserve">Travel and DSA (67 x </w:t>
            </w:r>
            <w:r w:rsidR="00531EF7" w:rsidRPr="00C062F0">
              <w:rPr>
                <w:rFonts w:eastAsia="SimSun"/>
                <w:lang w:eastAsia="zh-CN"/>
              </w:rPr>
              <w:t>$</w:t>
            </w:r>
            <w:r w:rsidRPr="00C062F0">
              <w:rPr>
                <w:rFonts w:eastAsia="SimSun"/>
                <w:lang w:eastAsia="zh-CN"/>
              </w:rPr>
              <w:t>3</w:t>
            </w:r>
            <w:r w:rsidR="00531EF7" w:rsidRPr="00C062F0">
              <w:rPr>
                <w:rFonts w:eastAsia="SimSun"/>
                <w:lang w:eastAsia="zh-CN"/>
              </w:rPr>
              <w:t>,</w:t>
            </w:r>
            <w:r w:rsidRPr="00C062F0">
              <w:rPr>
                <w:rFonts w:eastAsia="SimSun"/>
                <w:lang w:eastAsia="zh-CN"/>
              </w:rPr>
              <w:t>000)</w:t>
            </w:r>
          </w:p>
        </w:tc>
        <w:tc>
          <w:tcPr>
            <w:tcW w:w="1276" w:type="dxa"/>
            <w:tcBorders>
              <w:bottom w:val="single" w:sz="4" w:space="0" w:color="auto"/>
            </w:tcBorders>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201</w:t>
            </w:r>
            <w:r w:rsidR="00F970B3" w:rsidRPr="00C062F0">
              <w:rPr>
                <w:rFonts w:eastAsia="SimSun"/>
                <w:lang w:eastAsia="zh-CN"/>
              </w:rPr>
              <w:t xml:space="preserve"> </w:t>
            </w:r>
            <w:r w:rsidRPr="00C062F0">
              <w:rPr>
                <w:rFonts w:eastAsia="SimSun"/>
                <w:lang w:eastAsia="zh-CN"/>
              </w:rPr>
              <w:t>000</w:t>
            </w:r>
          </w:p>
        </w:tc>
      </w:tr>
      <w:tr w:rsidR="00D6075D" w:rsidRPr="00C062F0" w:rsidTr="00163DB4">
        <w:tc>
          <w:tcPr>
            <w:tcW w:w="672" w:type="dxa"/>
            <w:vMerge/>
            <w:vAlign w:val="center"/>
          </w:tcPr>
          <w:p w:rsidR="00D6075D" w:rsidRPr="00C062F0" w:rsidRDefault="00D6075D" w:rsidP="00163DB4">
            <w:pPr>
              <w:pStyle w:val="Normal-pool"/>
              <w:spacing w:before="40" w:after="40"/>
              <w:rPr>
                <w:rFonts w:eastAsia="SimSun"/>
                <w:lang w:eastAsia="zh-CN"/>
              </w:rPr>
            </w:pPr>
          </w:p>
        </w:tc>
        <w:tc>
          <w:tcPr>
            <w:tcW w:w="2929" w:type="dxa"/>
            <w:vMerge w:val="restart"/>
            <w:vAlign w:val="center"/>
          </w:tcPr>
          <w:p w:rsidR="00D6075D" w:rsidRPr="00C062F0" w:rsidRDefault="00D6075D" w:rsidP="00F11BA2">
            <w:pPr>
              <w:pStyle w:val="Normal-pool"/>
              <w:spacing w:before="40" w:after="40"/>
              <w:rPr>
                <w:rFonts w:eastAsia="SimSun"/>
                <w:lang w:eastAsia="zh-CN"/>
              </w:rPr>
            </w:pPr>
            <w:r w:rsidRPr="00C062F0">
              <w:rPr>
                <w:rFonts w:eastAsia="SimSun"/>
                <w:lang w:eastAsia="zh-CN"/>
              </w:rPr>
              <w:t xml:space="preserve">Third author meeting (70 </w:t>
            </w:r>
            <w:r w:rsidR="00D474F8" w:rsidRPr="00C062F0">
              <w:rPr>
                <w:rFonts w:eastAsia="SimSun"/>
                <w:lang w:eastAsia="zh-CN"/>
              </w:rPr>
              <w:t>c</w:t>
            </w:r>
            <w:r w:rsidRPr="00C062F0">
              <w:rPr>
                <w:rFonts w:eastAsia="SimSun"/>
                <w:lang w:eastAsia="zh-CN"/>
              </w:rPr>
              <w:t>o</w:t>
            </w:r>
            <w:r w:rsidR="00D474F8" w:rsidRPr="00C062F0">
              <w:rPr>
                <w:rFonts w:eastAsia="SimSun"/>
                <w:lang w:eastAsia="zh-CN"/>
              </w:rPr>
              <w:noBreakHyphen/>
              <w:t>c</w:t>
            </w:r>
            <w:r w:rsidRPr="00C062F0">
              <w:rPr>
                <w:rFonts w:eastAsia="SimSun"/>
                <w:lang w:eastAsia="zh-CN"/>
              </w:rPr>
              <w:t xml:space="preserve">hairs, </w:t>
            </w:r>
            <w:r w:rsidR="00F842EF" w:rsidRPr="00C062F0">
              <w:rPr>
                <w:rFonts w:eastAsia="SimSun"/>
                <w:lang w:eastAsia="zh-CN"/>
              </w:rPr>
              <w:t xml:space="preserve">coordinating lead authors and lead authors, plus </w:t>
            </w:r>
            <w:r w:rsidRPr="00C062F0">
              <w:rPr>
                <w:rFonts w:eastAsia="SimSun"/>
                <w:lang w:eastAsia="zh-CN"/>
              </w:rPr>
              <w:t>14</w:t>
            </w:r>
            <w:r w:rsidR="00F842EF" w:rsidRPr="00C062F0">
              <w:rPr>
                <w:rFonts w:eastAsia="SimSun"/>
                <w:lang w:eastAsia="zh-CN"/>
              </w:rPr>
              <w:t> review editors, plus</w:t>
            </w:r>
            <w:r w:rsidRPr="00C062F0">
              <w:rPr>
                <w:rFonts w:eastAsia="SimSun"/>
                <w:lang w:eastAsia="zh-CN"/>
              </w:rPr>
              <w:t xml:space="preserve"> 4</w:t>
            </w:r>
            <w:r w:rsidR="00F842EF" w:rsidRPr="00C062F0">
              <w:rPr>
                <w:rFonts w:eastAsia="SimSun"/>
                <w:lang w:eastAsia="zh-CN"/>
              </w:rPr>
              <w:t> Panel</w:t>
            </w:r>
            <w:r w:rsidRPr="00C062F0">
              <w:rPr>
                <w:rFonts w:eastAsia="SimSun"/>
                <w:lang w:eastAsia="zh-CN"/>
              </w:rPr>
              <w:t>/Bureau</w:t>
            </w:r>
            <w:r w:rsidR="00F842EF" w:rsidRPr="00C062F0">
              <w:rPr>
                <w:rFonts w:eastAsia="SimSun"/>
                <w:lang w:eastAsia="zh-CN"/>
              </w:rPr>
              <w:t xml:space="preserve"> members,</w:t>
            </w:r>
            <w:r w:rsidRPr="00C062F0">
              <w:rPr>
                <w:rFonts w:eastAsia="SimSun"/>
                <w:lang w:eastAsia="zh-CN"/>
              </w:rPr>
              <w:t xml:space="preserve"> </w:t>
            </w:r>
            <w:r w:rsidR="00F842EF" w:rsidRPr="00C062F0">
              <w:rPr>
                <w:rFonts w:eastAsia="SimSun"/>
                <w:lang w:eastAsia="zh-CN"/>
              </w:rPr>
              <w:t xml:space="preserve">plus </w:t>
            </w:r>
            <w:r w:rsidRPr="00C062F0">
              <w:rPr>
                <w:rFonts w:eastAsia="SimSun"/>
                <w:lang w:eastAsia="zh-CN"/>
              </w:rPr>
              <w:t>1</w:t>
            </w:r>
            <w:r w:rsidR="00F842EF" w:rsidRPr="00C062F0">
              <w:rPr>
                <w:rFonts w:eastAsia="SimSun"/>
                <w:lang w:eastAsia="zh-CN"/>
              </w:rPr>
              <w:t> </w:t>
            </w:r>
            <w:r w:rsidRPr="00C062F0">
              <w:rPr>
                <w:rFonts w:eastAsia="SimSun"/>
                <w:lang w:eastAsia="zh-CN"/>
              </w:rPr>
              <w:t>technical support staff</w:t>
            </w:r>
            <w:r w:rsidR="00F842EF" w:rsidRPr="00C062F0">
              <w:rPr>
                <w:rFonts w:eastAsia="SimSun"/>
                <w:lang w:eastAsia="zh-CN"/>
              </w:rPr>
              <w:t xml:space="preserve"> member</w:t>
            </w:r>
            <w:r w:rsidRPr="00C062F0">
              <w:rPr>
                <w:rFonts w:eastAsia="SimSun"/>
                <w:lang w:eastAsia="zh-CN"/>
              </w:rPr>
              <w:t>)</w:t>
            </w:r>
          </w:p>
        </w:tc>
        <w:tc>
          <w:tcPr>
            <w:tcW w:w="3402" w:type="dxa"/>
          </w:tcPr>
          <w:p w:rsidR="00D6075D" w:rsidRPr="00C062F0" w:rsidRDefault="00D6075D">
            <w:pPr>
              <w:pStyle w:val="Normal-pool"/>
              <w:spacing w:before="40" w:after="40"/>
              <w:rPr>
                <w:rFonts w:eastAsia="SimSun"/>
                <w:lang w:eastAsia="zh-CN"/>
              </w:rPr>
            </w:pPr>
            <w:r w:rsidRPr="00C062F0">
              <w:rPr>
                <w:rFonts w:eastAsia="SimSun"/>
                <w:lang w:eastAsia="zh-CN"/>
              </w:rPr>
              <w:t>Meeting costs (1 week, 89 participants) (25</w:t>
            </w:r>
            <w:r w:rsidR="00D474F8" w:rsidRPr="00C062F0">
              <w:rPr>
                <w:rFonts w:eastAsia="SimSun"/>
                <w:lang w:eastAsia="zh-CN"/>
              </w:rPr>
              <w:t xml:space="preserve"> per cent</w:t>
            </w:r>
            <w:r w:rsidRPr="00C062F0">
              <w:rPr>
                <w:rFonts w:eastAsia="SimSun"/>
                <w:lang w:eastAsia="zh-CN"/>
              </w:rPr>
              <w:t xml:space="preserve"> in</w:t>
            </w:r>
            <w:r w:rsidR="00D474F8" w:rsidRPr="00C062F0">
              <w:rPr>
                <w:rFonts w:eastAsia="SimSun"/>
                <w:lang w:eastAsia="zh-CN"/>
              </w:rPr>
              <w:t xml:space="preserve"> </w:t>
            </w:r>
            <w:r w:rsidRPr="00C062F0">
              <w:rPr>
                <w:rFonts w:eastAsia="SimSun"/>
                <w:lang w:eastAsia="zh-CN"/>
              </w:rPr>
              <w:t>kind)</w:t>
            </w:r>
          </w:p>
        </w:tc>
        <w:tc>
          <w:tcPr>
            <w:tcW w:w="1276" w:type="dxa"/>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15</w:t>
            </w:r>
            <w:r w:rsidR="00F970B3" w:rsidRPr="00C062F0">
              <w:rPr>
                <w:rFonts w:eastAsia="SimSun"/>
                <w:lang w:eastAsia="zh-CN"/>
              </w:rPr>
              <w:t xml:space="preserve"> </w:t>
            </w:r>
            <w:r w:rsidRPr="00C062F0">
              <w:rPr>
                <w:rFonts w:eastAsia="SimSun"/>
                <w:lang w:eastAsia="zh-CN"/>
              </w:rPr>
              <w:t>000</w:t>
            </w:r>
          </w:p>
        </w:tc>
      </w:tr>
      <w:tr w:rsidR="00D6075D" w:rsidRPr="00C062F0" w:rsidTr="00163DB4">
        <w:trPr>
          <w:trHeight w:val="339"/>
        </w:trPr>
        <w:tc>
          <w:tcPr>
            <w:tcW w:w="672" w:type="dxa"/>
            <w:vMerge/>
            <w:vAlign w:val="center"/>
          </w:tcPr>
          <w:p w:rsidR="00D6075D" w:rsidRPr="00C062F0" w:rsidRDefault="00D6075D" w:rsidP="00163DB4">
            <w:pPr>
              <w:pStyle w:val="Normal-pool"/>
              <w:spacing w:before="40" w:after="40"/>
              <w:rPr>
                <w:rFonts w:eastAsia="SimSun"/>
                <w:lang w:eastAsia="zh-CN"/>
              </w:rPr>
            </w:pPr>
          </w:p>
        </w:tc>
        <w:tc>
          <w:tcPr>
            <w:tcW w:w="2929" w:type="dxa"/>
            <w:vMerge/>
            <w:tcBorders>
              <w:bottom w:val="single" w:sz="4" w:space="0" w:color="auto"/>
            </w:tcBorders>
            <w:vAlign w:val="center"/>
          </w:tcPr>
          <w:p w:rsidR="00D6075D" w:rsidRPr="00C062F0" w:rsidRDefault="00D6075D" w:rsidP="00163DB4">
            <w:pPr>
              <w:pStyle w:val="Normal-pool"/>
              <w:spacing w:before="40" w:after="40"/>
              <w:rPr>
                <w:rFonts w:eastAsia="SimSun"/>
                <w:lang w:eastAsia="zh-CN"/>
              </w:rPr>
            </w:pPr>
          </w:p>
        </w:tc>
        <w:tc>
          <w:tcPr>
            <w:tcW w:w="3402" w:type="dxa"/>
            <w:tcBorders>
              <w:bottom w:val="single" w:sz="4" w:space="0" w:color="auto"/>
            </w:tcBorders>
          </w:tcPr>
          <w:p w:rsidR="00D6075D" w:rsidRPr="00C062F0" w:rsidRDefault="00D6075D">
            <w:pPr>
              <w:pStyle w:val="Normal-pool"/>
              <w:spacing w:before="40" w:after="40"/>
              <w:rPr>
                <w:rFonts w:eastAsia="SimSun"/>
                <w:lang w:eastAsia="zh-CN"/>
              </w:rPr>
            </w:pPr>
            <w:r w:rsidRPr="00C062F0">
              <w:rPr>
                <w:rFonts w:eastAsia="SimSun"/>
                <w:lang w:eastAsia="zh-CN"/>
              </w:rPr>
              <w:t xml:space="preserve">Travel and DSA (67 x </w:t>
            </w:r>
            <w:r w:rsidR="00D474F8" w:rsidRPr="00C062F0">
              <w:rPr>
                <w:rFonts w:eastAsia="SimSun"/>
                <w:lang w:eastAsia="zh-CN"/>
              </w:rPr>
              <w:t>$</w:t>
            </w:r>
            <w:r w:rsidRPr="00C062F0">
              <w:rPr>
                <w:rFonts w:eastAsia="SimSun"/>
                <w:lang w:eastAsia="zh-CN"/>
              </w:rPr>
              <w:t>3</w:t>
            </w:r>
            <w:r w:rsidR="00D474F8" w:rsidRPr="00C062F0">
              <w:rPr>
                <w:rFonts w:eastAsia="SimSun"/>
                <w:lang w:eastAsia="zh-CN"/>
              </w:rPr>
              <w:t>,</w:t>
            </w:r>
            <w:r w:rsidRPr="00C062F0">
              <w:rPr>
                <w:rFonts w:eastAsia="SimSun"/>
                <w:lang w:eastAsia="zh-CN"/>
              </w:rPr>
              <w:t>000)</w:t>
            </w:r>
          </w:p>
        </w:tc>
        <w:tc>
          <w:tcPr>
            <w:tcW w:w="1276" w:type="dxa"/>
            <w:tcBorders>
              <w:bottom w:val="single" w:sz="4" w:space="0" w:color="auto"/>
            </w:tcBorders>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201</w:t>
            </w:r>
            <w:r w:rsidR="00F970B3" w:rsidRPr="00C062F0">
              <w:rPr>
                <w:rFonts w:eastAsia="SimSun"/>
                <w:lang w:eastAsia="zh-CN"/>
              </w:rPr>
              <w:t xml:space="preserve"> </w:t>
            </w:r>
            <w:r w:rsidRPr="00C062F0">
              <w:rPr>
                <w:rFonts w:eastAsia="SimSun"/>
                <w:lang w:eastAsia="zh-CN"/>
              </w:rPr>
              <w:t>000</w:t>
            </w:r>
          </w:p>
        </w:tc>
      </w:tr>
      <w:tr w:rsidR="00D6075D" w:rsidRPr="00C062F0" w:rsidTr="00163DB4">
        <w:trPr>
          <w:trHeight w:val="361"/>
        </w:trPr>
        <w:tc>
          <w:tcPr>
            <w:tcW w:w="672" w:type="dxa"/>
            <w:vMerge/>
            <w:tcBorders>
              <w:bottom w:val="single" w:sz="4" w:space="0" w:color="auto"/>
            </w:tcBorders>
            <w:vAlign w:val="center"/>
          </w:tcPr>
          <w:p w:rsidR="00D6075D" w:rsidRPr="00C062F0" w:rsidRDefault="00D6075D" w:rsidP="00163DB4">
            <w:pPr>
              <w:pStyle w:val="Normal-pool"/>
              <w:spacing w:before="40" w:after="40"/>
              <w:rPr>
                <w:rFonts w:eastAsia="SimSun"/>
                <w:lang w:eastAsia="zh-CN"/>
              </w:rPr>
            </w:pPr>
          </w:p>
        </w:tc>
        <w:tc>
          <w:tcPr>
            <w:tcW w:w="2929" w:type="dxa"/>
            <w:vAlign w:val="center"/>
          </w:tcPr>
          <w:p w:rsidR="00D6075D" w:rsidRPr="00C062F0" w:rsidRDefault="00D6075D" w:rsidP="00163DB4">
            <w:pPr>
              <w:pStyle w:val="Normal-pool"/>
              <w:spacing w:before="40" w:after="40"/>
              <w:rPr>
                <w:rFonts w:eastAsia="SimSun"/>
                <w:lang w:eastAsia="zh-CN"/>
              </w:rPr>
            </w:pPr>
            <w:r w:rsidRPr="00C062F0">
              <w:rPr>
                <w:rFonts w:eastAsia="SimSun"/>
                <w:lang w:eastAsia="zh-CN"/>
              </w:rPr>
              <w:t>Technical support</w:t>
            </w:r>
          </w:p>
        </w:tc>
        <w:tc>
          <w:tcPr>
            <w:tcW w:w="3402" w:type="dxa"/>
          </w:tcPr>
          <w:p w:rsidR="00D6075D" w:rsidRPr="00C062F0" w:rsidRDefault="00D6075D">
            <w:pPr>
              <w:pStyle w:val="Normal-pool"/>
              <w:spacing w:before="40" w:after="40"/>
              <w:rPr>
                <w:rFonts w:eastAsia="SimSun"/>
                <w:lang w:eastAsia="zh-CN"/>
              </w:rPr>
            </w:pPr>
            <w:r w:rsidRPr="00C062F0">
              <w:rPr>
                <w:rFonts w:eastAsia="SimSun"/>
                <w:lang w:eastAsia="zh-CN"/>
              </w:rPr>
              <w:t xml:space="preserve">1 </w:t>
            </w:r>
            <w:r w:rsidR="00D474F8" w:rsidRPr="00C062F0">
              <w:rPr>
                <w:rFonts w:eastAsia="SimSun"/>
                <w:lang w:eastAsia="zh-CN"/>
              </w:rPr>
              <w:t xml:space="preserve">full-time equivalent </w:t>
            </w:r>
            <w:r w:rsidRPr="00C062F0">
              <w:rPr>
                <w:rFonts w:eastAsia="SimSun"/>
                <w:lang w:eastAsia="zh-CN"/>
              </w:rPr>
              <w:t>professional position (50</w:t>
            </w:r>
            <w:r w:rsidR="00D474F8" w:rsidRPr="00C062F0">
              <w:rPr>
                <w:rFonts w:eastAsia="SimSun"/>
                <w:lang w:eastAsia="zh-CN"/>
              </w:rPr>
              <w:t xml:space="preserve"> per cent</w:t>
            </w:r>
            <w:r w:rsidRPr="00C062F0">
              <w:rPr>
                <w:rFonts w:eastAsia="SimSun"/>
                <w:lang w:eastAsia="zh-CN"/>
              </w:rPr>
              <w:t xml:space="preserve"> in</w:t>
            </w:r>
            <w:r w:rsidR="00D474F8" w:rsidRPr="00C062F0">
              <w:rPr>
                <w:rFonts w:eastAsia="SimSun"/>
                <w:lang w:eastAsia="zh-CN"/>
              </w:rPr>
              <w:t xml:space="preserve"> </w:t>
            </w:r>
            <w:r w:rsidRPr="00C062F0">
              <w:rPr>
                <w:rFonts w:eastAsia="SimSun"/>
                <w:lang w:eastAsia="zh-CN"/>
              </w:rPr>
              <w:t>kind)</w:t>
            </w:r>
          </w:p>
        </w:tc>
        <w:tc>
          <w:tcPr>
            <w:tcW w:w="1276" w:type="dxa"/>
            <w:tcBorders>
              <w:bottom w:val="single" w:sz="4" w:space="0" w:color="auto"/>
            </w:tcBorders>
          </w:tcPr>
          <w:p w:rsidR="00D6075D" w:rsidRPr="00C062F0" w:rsidRDefault="00D6075D" w:rsidP="00F11BA2">
            <w:pPr>
              <w:pStyle w:val="Normal-pool"/>
              <w:spacing w:before="40" w:after="40"/>
              <w:jc w:val="right"/>
              <w:rPr>
                <w:rFonts w:eastAsia="SimSun"/>
                <w:lang w:eastAsia="zh-CN"/>
              </w:rPr>
            </w:pPr>
            <w:r w:rsidRPr="00C062F0">
              <w:rPr>
                <w:rFonts w:eastAsia="SimSun"/>
                <w:lang w:eastAsia="zh-CN"/>
              </w:rPr>
              <w:t>75</w:t>
            </w:r>
            <w:r w:rsidR="00F970B3" w:rsidRPr="00C062F0">
              <w:rPr>
                <w:rFonts w:eastAsia="SimSun"/>
                <w:lang w:eastAsia="zh-CN"/>
              </w:rPr>
              <w:t xml:space="preserve"> </w:t>
            </w:r>
            <w:r w:rsidRPr="00C062F0">
              <w:rPr>
                <w:rFonts w:eastAsia="SimSun"/>
                <w:lang w:eastAsia="zh-CN"/>
              </w:rPr>
              <w:t>000</w:t>
            </w:r>
          </w:p>
        </w:tc>
      </w:tr>
      <w:tr w:rsidR="00D6075D" w:rsidRPr="00C062F0" w:rsidTr="00163DB4">
        <w:trPr>
          <w:trHeight w:val="357"/>
        </w:trPr>
        <w:tc>
          <w:tcPr>
            <w:tcW w:w="672" w:type="dxa"/>
            <w:vMerge w:val="restart"/>
            <w:vAlign w:val="center"/>
          </w:tcPr>
          <w:p w:rsidR="00D6075D" w:rsidRPr="00C062F0" w:rsidRDefault="00D6075D" w:rsidP="00163DB4">
            <w:pPr>
              <w:pStyle w:val="Normal-pool"/>
              <w:rPr>
                <w:rFonts w:eastAsia="SimSun"/>
                <w:lang w:eastAsia="zh-CN"/>
              </w:rPr>
            </w:pPr>
            <w:r w:rsidRPr="00C062F0">
              <w:rPr>
                <w:rFonts w:eastAsia="SimSun"/>
                <w:lang w:eastAsia="zh-CN"/>
              </w:rPr>
              <w:t>2016</w:t>
            </w:r>
          </w:p>
        </w:tc>
        <w:tc>
          <w:tcPr>
            <w:tcW w:w="2929" w:type="dxa"/>
            <w:vAlign w:val="center"/>
          </w:tcPr>
          <w:p w:rsidR="00D6075D" w:rsidRPr="00C062F0" w:rsidRDefault="00D474F8" w:rsidP="002D0E89">
            <w:pPr>
              <w:pStyle w:val="Normal-pool"/>
              <w:rPr>
                <w:rFonts w:eastAsia="SimSun"/>
                <w:lang w:eastAsia="zh-CN"/>
              </w:rPr>
            </w:pPr>
            <w:r w:rsidRPr="00C062F0">
              <w:rPr>
                <w:rFonts w:eastAsia="SimSun"/>
                <w:lang w:eastAsia="zh-CN"/>
              </w:rPr>
              <w:t xml:space="preserve">Participation </w:t>
            </w:r>
            <w:r w:rsidR="00F806E3" w:rsidRPr="00C062F0">
              <w:rPr>
                <w:rFonts w:eastAsia="SimSun"/>
                <w:lang w:eastAsia="zh-CN"/>
              </w:rPr>
              <w:t xml:space="preserve">by </w:t>
            </w:r>
            <w:r w:rsidR="00F806E3">
              <w:rPr>
                <w:rFonts w:eastAsia="SimSun"/>
                <w:lang w:eastAsia="zh-CN"/>
              </w:rPr>
              <w:t>2</w:t>
            </w:r>
            <w:r w:rsidR="00F806E3" w:rsidRPr="00C062F0">
              <w:rPr>
                <w:rFonts w:eastAsia="SimSun"/>
                <w:lang w:eastAsia="zh-CN"/>
              </w:rPr>
              <w:t xml:space="preserve"> co-chairs and </w:t>
            </w:r>
            <w:r w:rsidR="00F806E3">
              <w:rPr>
                <w:rFonts w:eastAsia="SimSun"/>
                <w:lang w:eastAsia="zh-CN"/>
              </w:rPr>
              <w:t>2</w:t>
            </w:r>
            <w:r w:rsidR="00F806E3" w:rsidRPr="00C062F0">
              <w:rPr>
                <w:rFonts w:eastAsia="SimSun"/>
                <w:lang w:eastAsia="zh-CN"/>
              </w:rPr>
              <w:t xml:space="preserve"> coordinating lead authors </w:t>
            </w:r>
            <w:r w:rsidRPr="00C062F0">
              <w:rPr>
                <w:rFonts w:eastAsia="SimSun"/>
                <w:lang w:eastAsia="zh-CN"/>
              </w:rPr>
              <w:t xml:space="preserve">in the fourth session of the Plenary </w:t>
            </w:r>
          </w:p>
        </w:tc>
        <w:tc>
          <w:tcPr>
            <w:tcW w:w="3402" w:type="dxa"/>
          </w:tcPr>
          <w:p w:rsidR="00D6075D" w:rsidRPr="00C062F0" w:rsidRDefault="00D6075D">
            <w:pPr>
              <w:pStyle w:val="Normal-pool"/>
              <w:rPr>
                <w:rFonts w:eastAsia="SimSun"/>
                <w:lang w:eastAsia="zh-CN"/>
              </w:rPr>
            </w:pPr>
            <w:r w:rsidRPr="00C062F0">
              <w:rPr>
                <w:rFonts w:eastAsia="SimSun"/>
                <w:lang w:eastAsia="zh-CN"/>
              </w:rPr>
              <w:t xml:space="preserve">Travel and DSA (3 x </w:t>
            </w:r>
            <w:r w:rsidR="00D474F8" w:rsidRPr="00C062F0">
              <w:rPr>
                <w:rFonts w:eastAsia="SimSun"/>
                <w:lang w:eastAsia="zh-CN"/>
              </w:rPr>
              <w:t>$</w:t>
            </w:r>
            <w:r w:rsidRPr="00C062F0">
              <w:rPr>
                <w:rFonts w:eastAsia="SimSun"/>
                <w:lang w:eastAsia="zh-CN"/>
              </w:rPr>
              <w:t>3</w:t>
            </w:r>
            <w:r w:rsidR="00D474F8" w:rsidRPr="00C062F0">
              <w:rPr>
                <w:rFonts w:eastAsia="SimSun"/>
                <w:lang w:eastAsia="zh-CN"/>
              </w:rPr>
              <w:t>,</w:t>
            </w:r>
            <w:r w:rsidRPr="00C062F0">
              <w:rPr>
                <w:rFonts w:eastAsia="SimSun"/>
                <w:lang w:eastAsia="zh-CN"/>
              </w:rPr>
              <w:t>000)</w:t>
            </w:r>
          </w:p>
        </w:tc>
        <w:tc>
          <w:tcPr>
            <w:tcW w:w="1276" w:type="dxa"/>
          </w:tcPr>
          <w:p w:rsidR="00D6075D" w:rsidRPr="00C062F0" w:rsidRDefault="00D6075D" w:rsidP="00F11BA2">
            <w:pPr>
              <w:pStyle w:val="Normal-pool"/>
              <w:jc w:val="right"/>
              <w:rPr>
                <w:rFonts w:eastAsia="SimSun"/>
                <w:lang w:eastAsia="zh-CN"/>
              </w:rPr>
            </w:pPr>
            <w:r w:rsidRPr="00C062F0">
              <w:rPr>
                <w:rFonts w:eastAsia="SimSun"/>
                <w:lang w:eastAsia="zh-CN"/>
              </w:rPr>
              <w:t>9</w:t>
            </w:r>
            <w:r w:rsidR="00F970B3" w:rsidRPr="00C062F0">
              <w:rPr>
                <w:rFonts w:eastAsia="SimSun"/>
                <w:lang w:eastAsia="zh-CN"/>
              </w:rPr>
              <w:t xml:space="preserve"> </w:t>
            </w:r>
            <w:r w:rsidRPr="00C062F0">
              <w:rPr>
                <w:rFonts w:eastAsia="SimSun"/>
                <w:lang w:eastAsia="zh-CN"/>
              </w:rPr>
              <w:t>000</w:t>
            </w:r>
          </w:p>
        </w:tc>
      </w:tr>
      <w:tr w:rsidR="00D6075D" w:rsidRPr="00C062F0" w:rsidDel="001E184E" w:rsidTr="00163DB4">
        <w:trPr>
          <w:trHeight w:val="560"/>
        </w:trPr>
        <w:tc>
          <w:tcPr>
            <w:tcW w:w="672" w:type="dxa"/>
            <w:vMerge/>
          </w:tcPr>
          <w:p w:rsidR="00D6075D" w:rsidRPr="00C062F0" w:rsidRDefault="00D6075D" w:rsidP="00163DB4">
            <w:pPr>
              <w:pStyle w:val="Normal-pool"/>
              <w:rPr>
                <w:rFonts w:eastAsia="SimSun"/>
                <w:lang w:eastAsia="zh-CN"/>
              </w:rPr>
            </w:pPr>
          </w:p>
        </w:tc>
        <w:tc>
          <w:tcPr>
            <w:tcW w:w="2929" w:type="dxa"/>
          </w:tcPr>
          <w:p w:rsidR="00D6075D" w:rsidRPr="00C062F0" w:rsidRDefault="00D6075D" w:rsidP="00F11BA2">
            <w:pPr>
              <w:pStyle w:val="Normal-pool"/>
              <w:rPr>
                <w:rFonts w:eastAsia="SimSun"/>
                <w:lang w:eastAsia="zh-CN"/>
              </w:rPr>
            </w:pPr>
            <w:r w:rsidRPr="00C062F0">
              <w:rPr>
                <w:rFonts w:eastAsia="SimSun"/>
                <w:lang w:eastAsia="zh-CN"/>
              </w:rPr>
              <w:t>Dissemination</w:t>
            </w:r>
            <w:r w:rsidR="00946D35" w:rsidRPr="00C062F0">
              <w:rPr>
                <w:rFonts w:eastAsia="SimSun"/>
                <w:lang w:eastAsia="zh-CN"/>
              </w:rPr>
              <w:t xml:space="preserve"> and outreach</w:t>
            </w:r>
            <w:r w:rsidRPr="00C062F0">
              <w:rPr>
                <w:rFonts w:eastAsia="SimSun"/>
                <w:lang w:eastAsia="zh-CN"/>
              </w:rPr>
              <w:t xml:space="preserve"> </w:t>
            </w:r>
            <w:r w:rsidR="00946D35" w:rsidRPr="00C062F0">
              <w:rPr>
                <w:rFonts w:eastAsia="SimSun"/>
                <w:lang w:eastAsia="zh-CN"/>
              </w:rPr>
              <w:t>(</w:t>
            </w:r>
            <w:r w:rsidR="00D474F8" w:rsidRPr="00C062F0">
              <w:rPr>
                <w:rFonts w:eastAsia="SimSun"/>
                <w:lang w:eastAsia="zh-CN"/>
              </w:rPr>
              <w:t>summary for policymakers</w:t>
            </w:r>
            <w:r w:rsidR="00946D35" w:rsidRPr="00C062F0">
              <w:rPr>
                <w:rFonts w:eastAsia="SimSun"/>
                <w:lang w:eastAsia="zh-CN"/>
              </w:rPr>
              <w:t xml:space="preserve"> (10 pages) and report</w:t>
            </w:r>
            <w:r w:rsidRPr="00C062F0">
              <w:rPr>
                <w:rFonts w:eastAsia="SimSun"/>
                <w:lang w:eastAsia="zh-CN"/>
              </w:rPr>
              <w:t xml:space="preserve"> </w:t>
            </w:r>
            <w:r w:rsidR="00946D35" w:rsidRPr="00C062F0">
              <w:rPr>
                <w:rFonts w:eastAsia="SimSun"/>
                <w:lang w:eastAsia="zh-CN"/>
              </w:rPr>
              <w:t>(</w:t>
            </w:r>
            <w:r w:rsidRPr="00C062F0">
              <w:rPr>
                <w:rFonts w:eastAsia="SimSun"/>
                <w:lang w:eastAsia="zh-CN"/>
              </w:rPr>
              <w:t>200</w:t>
            </w:r>
            <w:r w:rsidR="00946D35" w:rsidRPr="00C062F0">
              <w:rPr>
                <w:rFonts w:eastAsia="SimSun"/>
                <w:lang w:eastAsia="zh-CN"/>
              </w:rPr>
              <w:t xml:space="preserve"> </w:t>
            </w:r>
            <w:r w:rsidRPr="00C062F0">
              <w:rPr>
                <w:rFonts w:eastAsia="SimSun"/>
                <w:lang w:eastAsia="zh-CN"/>
              </w:rPr>
              <w:t>p</w:t>
            </w:r>
            <w:r w:rsidR="00D474F8" w:rsidRPr="00C062F0">
              <w:rPr>
                <w:rFonts w:eastAsia="SimSun"/>
                <w:lang w:eastAsia="zh-CN"/>
              </w:rPr>
              <w:t>age</w:t>
            </w:r>
            <w:r w:rsidR="00946D35" w:rsidRPr="00C062F0">
              <w:rPr>
                <w:rFonts w:eastAsia="SimSun"/>
                <w:lang w:eastAsia="zh-CN"/>
              </w:rPr>
              <w:t>s)</w:t>
            </w:r>
            <w:r w:rsidRPr="00C062F0">
              <w:rPr>
                <w:rFonts w:eastAsia="SimSun"/>
                <w:lang w:eastAsia="zh-CN"/>
              </w:rPr>
              <w:t>)</w:t>
            </w:r>
          </w:p>
        </w:tc>
        <w:tc>
          <w:tcPr>
            <w:tcW w:w="3402" w:type="dxa"/>
          </w:tcPr>
          <w:p w:rsidR="00D6075D" w:rsidRPr="00C062F0" w:rsidRDefault="00F806E3" w:rsidP="002D0E89">
            <w:pPr>
              <w:pStyle w:val="Normal-pool"/>
              <w:rPr>
                <w:rFonts w:eastAsia="SimSun"/>
                <w:lang w:eastAsia="zh-CN"/>
              </w:rPr>
            </w:pPr>
            <w:r>
              <w:rPr>
                <w:rFonts w:eastAsia="SimSun"/>
                <w:lang w:eastAsia="zh-CN"/>
              </w:rPr>
              <w:t>Translation</w:t>
            </w:r>
            <w:r w:rsidR="00554038" w:rsidRPr="00C062F0">
              <w:rPr>
                <w:rFonts w:eastAsia="SimSun"/>
                <w:lang w:eastAsia="zh-CN"/>
              </w:rPr>
              <w:t xml:space="preserve"> </w:t>
            </w:r>
            <w:r w:rsidR="00D6075D" w:rsidRPr="00C062F0">
              <w:rPr>
                <w:rFonts w:eastAsia="SimSun"/>
                <w:lang w:eastAsia="zh-CN"/>
              </w:rPr>
              <w:t xml:space="preserve">of </w:t>
            </w:r>
            <w:r>
              <w:rPr>
                <w:rFonts w:eastAsia="SimSun"/>
                <w:lang w:eastAsia="zh-CN"/>
              </w:rPr>
              <w:t xml:space="preserve">the </w:t>
            </w:r>
            <w:r w:rsidR="00D9227C" w:rsidRPr="00C062F0">
              <w:rPr>
                <w:rFonts w:eastAsia="SimSun"/>
                <w:lang w:eastAsia="zh-CN"/>
              </w:rPr>
              <w:t>summary for policy</w:t>
            </w:r>
            <w:r w:rsidR="0032407B" w:rsidRPr="00C062F0">
              <w:rPr>
                <w:rFonts w:eastAsia="SimSun"/>
                <w:lang w:eastAsia="zh-CN"/>
              </w:rPr>
              <w:t>makers i</w:t>
            </w:r>
            <w:r w:rsidR="00D6075D" w:rsidRPr="00C062F0">
              <w:rPr>
                <w:rFonts w:eastAsia="SimSun"/>
                <w:lang w:eastAsia="zh-CN"/>
              </w:rPr>
              <w:t>n</w:t>
            </w:r>
            <w:r>
              <w:rPr>
                <w:rFonts w:eastAsia="SimSun"/>
                <w:lang w:eastAsia="zh-CN"/>
              </w:rPr>
              <w:t>to</w:t>
            </w:r>
            <w:r w:rsidR="00D6075D" w:rsidRPr="00C062F0">
              <w:rPr>
                <w:rFonts w:eastAsia="SimSun"/>
                <w:lang w:eastAsia="zh-CN"/>
              </w:rPr>
              <w:t xml:space="preserve"> </w:t>
            </w:r>
            <w:r w:rsidR="00805D4D" w:rsidRPr="00C062F0">
              <w:rPr>
                <w:rFonts w:eastAsia="SimSun"/>
                <w:lang w:eastAsia="zh-CN"/>
              </w:rPr>
              <w:t>all</w:t>
            </w:r>
            <w:r>
              <w:rPr>
                <w:rFonts w:eastAsia="SimSun"/>
                <w:lang w:eastAsia="zh-CN"/>
              </w:rPr>
              <w:t xml:space="preserve"> the</w:t>
            </w:r>
            <w:r w:rsidR="0032407B" w:rsidRPr="00C062F0">
              <w:rPr>
                <w:rFonts w:eastAsia="SimSun"/>
                <w:lang w:eastAsia="zh-CN"/>
              </w:rPr>
              <w:t xml:space="preserve"> official</w:t>
            </w:r>
            <w:r w:rsidR="00805D4D" w:rsidRPr="00C062F0">
              <w:rPr>
                <w:rFonts w:eastAsia="SimSun"/>
                <w:lang w:eastAsia="zh-CN"/>
              </w:rPr>
              <w:t xml:space="preserve"> languages of the</w:t>
            </w:r>
            <w:r w:rsidR="0032407B" w:rsidRPr="00C062F0">
              <w:rPr>
                <w:rFonts w:eastAsia="SimSun"/>
                <w:lang w:eastAsia="zh-CN"/>
              </w:rPr>
              <w:t xml:space="preserve"> United Nations</w:t>
            </w:r>
            <w:r w:rsidR="00D6075D" w:rsidRPr="00C062F0">
              <w:rPr>
                <w:rFonts w:eastAsia="SimSun"/>
                <w:lang w:eastAsia="zh-CN"/>
              </w:rPr>
              <w:t>,</w:t>
            </w:r>
            <w:r w:rsidR="00805D4D" w:rsidRPr="00C062F0">
              <w:rPr>
                <w:rFonts w:eastAsia="SimSun"/>
                <w:lang w:eastAsia="zh-CN"/>
              </w:rPr>
              <w:t xml:space="preserve"> publication and</w:t>
            </w:r>
            <w:r w:rsidR="00D6075D" w:rsidRPr="00C062F0">
              <w:rPr>
                <w:rFonts w:eastAsia="SimSun"/>
                <w:lang w:eastAsia="zh-CN"/>
              </w:rPr>
              <w:t xml:space="preserve"> outreach</w:t>
            </w:r>
          </w:p>
        </w:tc>
        <w:tc>
          <w:tcPr>
            <w:tcW w:w="1276" w:type="dxa"/>
          </w:tcPr>
          <w:p w:rsidR="00D6075D" w:rsidRPr="00C062F0" w:rsidDel="001E184E" w:rsidRDefault="00D6075D" w:rsidP="00F11BA2">
            <w:pPr>
              <w:pStyle w:val="Normal-pool"/>
              <w:jc w:val="right"/>
              <w:rPr>
                <w:rFonts w:eastAsia="SimSun"/>
                <w:lang w:eastAsia="zh-CN"/>
              </w:rPr>
            </w:pPr>
            <w:r w:rsidRPr="00C062F0">
              <w:rPr>
                <w:rFonts w:eastAsia="SimSun"/>
                <w:lang w:eastAsia="zh-CN"/>
              </w:rPr>
              <w:t>117</w:t>
            </w:r>
            <w:r w:rsidR="00F970B3" w:rsidRPr="00C062F0">
              <w:rPr>
                <w:rFonts w:eastAsia="SimSun"/>
                <w:lang w:eastAsia="zh-CN"/>
              </w:rPr>
              <w:t xml:space="preserve"> </w:t>
            </w:r>
            <w:r w:rsidRPr="00C062F0">
              <w:rPr>
                <w:rFonts w:eastAsia="SimSun"/>
                <w:lang w:eastAsia="zh-CN"/>
              </w:rPr>
              <w:t>000</w:t>
            </w:r>
          </w:p>
        </w:tc>
      </w:tr>
      <w:tr w:rsidR="00D6075D" w:rsidRPr="00C062F0" w:rsidTr="00163DB4">
        <w:tc>
          <w:tcPr>
            <w:tcW w:w="672" w:type="dxa"/>
          </w:tcPr>
          <w:p w:rsidR="00D6075D" w:rsidRPr="00C062F0" w:rsidRDefault="00D6075D" w:rsidP="00163DB4">
            <w:pPr>
              <w:pStyle w:val="Normal-pool"/>
              <w:rPr>
                <w:rFonts w:eastAsia="SimSun"/>
                <w:b/>
                <w:lang w:eastAsia="zh-CN"/>
              </w:rPr>
            </w:pPr>
            <w:r w:rsidRPr="00C062F0">
              <w:rPr>
                <w:rFonts w:eastAsia="SimSun"/>
                <w:b/>
                <w:lang w:eastAsia="zh-CN"/>
              </w:rPr>
              <w:t>Total</w:t>
            </w:r>
          </w:p>
        </w:tc>
        <w:tc>
          <w:tcPr>
            <w:tcW w:w="2929" w:type="dxa"/>
          </w:tcPr>
          <w:p w:rsidR="00D6075D" w:rsidRPr="00C062F0" w:rsidRDefault="00D6075D" w:rsidP="00163DB4">
            <w:pPr>
              <w:pStyle w:val="Normal-pool"/>
              <w:rPr>
                <w:rFonts w:eastAsia="SimSun"/>
                <w:lang w:eastAsia="zh-CN"/>
              </w:rPr>
            </w:pPr>
          </w:p>
        </w:tc>
        <w:tc>
          <w:tcPr>
            <w:tcW w:w="3402" w:type="dxa"/>
          </w:tcPr>
          <w:p w:rsidR="00D6075D" w:rsidRPr="00C062F0" w:rsidRDefault="00D6075D" w:rsidP="00163DB4">
            <w:pPr>
              <w:pStyle w:val="Normal-pool"/>
              <w:rPr>
                <w:rFonts w:eastAsia="SimSun"/>
                <w:lang w:eastAsia="zh-CN"/>
              </w:rPr>
            </w:pPr>
          </w:p>
        </w:tc>
        <w:tc>
          <w:tcPr>
            <w:tcW w:w="1276" w:type="dxa"/>
          </w:tcPr>
          <w:p w:rsidR="00D6075D" w:rsidRPr="00C062F0" w:rsidRDefault="00D6075D" w:rsidP="00F11BA2">
            <w:pPr>
              <w:pStyle w:val="Normal-pool"/>
              <w:jc w:val="right"/>
              <w:rPr>
                <w:rFonts w:eastAsia="SimSun"/>
                <w:b/>
                <w:lang w:eastAsia="zh-CN"/>
              </w:rPr>
            </w:pPr>
            <w:r w:rsidRPr="00C062F0">
              <w:rPr>
                <w:rFonts w:eastAsia="SimSun"/>
                <w:b/>
                <w:lang w:eastAsia="zh-CN"/>
              </w:rPr>
              <w:t>996</w:t>
            </w:r>
            <w:r w:rsidR="00F970B3" w:rsidRPr="00C062F0">
              <w:rPr>
                <w:rFonts w:eastAsia="SimSun"/>
                <w:b/>
                <w:lang w:eastAsia="zh-CN"/>
              </w:rPr>
              <w:t xml:space="preserve"> </w:t>
            </w:r>
            <w:r w:rsidRPr="00C062F0">
              <w:rPr>
                <w:rFonts w:eastAsia="SimSun"/>
                <w:b/>
                <w:lang w:eastAsia="zh-CN"/>
              </w:rPr>
              <w:t>000</w:t>
            </w:r>
          </w:p>
        </w:tc>
      </w:tr>
    </w:tbl>
    <w:p w:rsidR="00D6075D" w:rsidRPr="00C062F0" w:rsidRDefault="00CE2FFE" w:rsidP="00B032CE">
      <w:pPr>
        <w:pStyle w:val="ZZAnxheader"/>
        <w:rPr>
          <w:sz w:val="24"/>
          <w:szCs w:val="24"/>
          <w:lang w:val="en-GB"/>
        </w:rPr>
      </w:pPr>
      <w:r w:rsidRPr="00C062F0">
        <w:rPr>
          <w:sz w:val="24"/>
          <w:szCs w:val="24"/>
          <w:lang w:val="en-GB"/>
        </w:rPr>
        <w:br w:type="page"/>
      </w:r>
      <w:r w:rsidR="0055774D" w:rsidRPr="00C062F0">
        <w:rPr>
          <w:sz w:val="24"/>
          <w:szCs w:val="24"/>
          <w:lang w:val="en-GB"/>
        </w:rPr>
        <w:lastRenderedPageBreak/>
        <w:t>References</w:t>
      </w:r>
      <w:r w:rsidR="00D76DB2" w:rsidRPr="00C062F0">
        <w:rPr>
          <w:sz w:val="24"/>
          <w:szCs w:val="24"/>
          <w:lang w:val="en-GB"/>
        </w:rPr>
        <w:t xml:space="preserve"> </w:t>
      </w:r>
    </w:p>
    <w:p w:rsidR="004E029E" w:rsidRPr="00C062F0" w:rsidRDefault="004E029E" w:rsidP="002D0E89">
      <w:pPr>
        <w:pStyle w:val="NormalNonumber"/>
        <w:spacing w:before="360"/>
        <w:rPr>
          <w:lang w:val="en-GB"/>
        </w:rPr>
      </w:pPr>
      <w:r w:rsidRPr="00C062F0">
        <w:rPr>
          <w:lang w:val="en-GB"/>
        </w:rPr>
        <w:t xml:space="preserve">Liaison Group of Biodiversity-related Conventions. Addis Ababa Principles and Guidelines (AAPG), interactive CD-ROM. Available at: </w:t>
      </w:r>
      <w:hyperlink r:id="rId12" w:history="1">
        <w:r w:rsidRPr="00C062F0">
          <w:rPr>
            <w:lang w:val="en-GB"/>
          </w:rPr>
          <w:t>https://www.cbd.int/doc/programmes/socio-eco/use/aagp/AAGP.zip</w:t>
        </w:r>
      </w:hyperlink>
      <w:r w:rsidRPr="00C062F0">
        <w:rPr>
          <w:lang w:val="en-GB"/>
        </w:rPr>
        <w:t xml:space="preserve">. </w:t>
      </w:r>
    </w:p>
    <w:p w:rsidR="00D6075D" w:rsidRPr="00C062F0" w:rsidRDefault="00D6075D" w:rsidP="00670A55">
      <w:pPr>
        <w:pStyle w:val="NormalNonumber"/>
        <w:rPr>
          <w:i/>
          <w:iCs/>
          <w:lang w:val="en-GB"/>
        </w:rPr>
      </w:pPr>
      <w:r w:rsidRPr="00C062F0">
        <w:rPr>
          <w:lang w:val="en-GB"/>
        </w:rPr>
        <w:t xml:space="preserve">CITES document CoP16 Doc. 33 (Rev. 1). Draft guidance on the making of non-detriment findings, Annex 3: http://www.cites.org/eng/cop/16/doc/E-CoP16-33.pdf. </w:t>
      </w:r>
    </w:p>
    <w:p w:rsidR="00D6075D" w:rsidRPr="00C062F0" w:rsidRDefault="00D6075D" w:rsidP="00670A55">
      <w:pPr>
        <w:pStyle w:val="NormalNonumber"/>
        <w:rPr>
          <w:lang w:val="en-GB"/>
        </w:rPr>
      </w:pPr>
      <w:r w:rsidRPr="00C062F0">
        <w:rPr>
          <w:lang w:val="en-GB"/>
        </w:rPr>
        <w:t xml:space="preserve">CITES Appendices: </w:t>
      </w:r>
      <w:hyperlink r:id="rId13" w:history="1">
        <w:r w:rsidRPr="00C062F0">
          <w:rPr>
            <w:lang w:val="en-GB"/>
          </w:rPr>
          <w:t>http://www.cites.org/eng/app/appendices.php</w:t>
        </w:r>
      </w:hyperlink>
      <w:r w:rsidR="004E029E" w:rsidRPr="00C062F0">
        <w:rPr>
          <w:lang w:val="en-GB"/>
        </w:rPr>
        <w:t>.</w:t>
      </w:r>
    </w:p>
    <w:p w:rsidR="00D6075D" w:rsidRPr="00C062F0" w:rsidRDefault="00D6075D" w:rsidP="00670A55">
      <w:pPr>
        <w:pStyle w:val="NormalNonumber"/>
        <w:rPr>
          <w:lang w:val="en-GB"/>
        </w:rPr>
      </w:pPr>
      <w:r w:rsidRPr="00C062F0">
        <w:rPr>
          <w:lang w:val="en-GB"/>
        </w:rPr>
        <w:t xml:space="preserve">CITES Resolution Conf. 16.6. CITES and livelihoods. </w:t>
      </w:r>
      <w:hyperlink r:id="rId14" w:history="1">
        <w:r w:rsidRPr="00C062F0">
          <w:rPr>
            <w:lang w:val="en-GB"/>
          </w:rPr>
          <w:t>http://www.cites.org/eng/res/16/16-06.php</w:t>
        </w:r>
      </w:hyperlink>
      <w:r w:rsidR="004E029E" w:rsidRPr="00C062F0">
        <w:rPr>
          <w:lang w:val="en-GB"/>
        </w:rPr>
        <w:t>.</w:t>
      </w:r>
    </w:p>
    <w:p w:rsidR="00D6075D" w:rsidRPr="00C062F0" w:rsidRDefault="00D6075D" w:rsidP="00670A55">
      <w:pPr>
        <w:pStyle w:val="NormalNonumber"/>
        <w:rPr>
          <w:lang w:val="en-GB"/>
        </w:rPr>
      </w:pPr>
      <w:r w:rsidRPr="00C062F0">
        <w:rPr>
          <w:lang w:val="en-GB"/>
        </w:rPr>
        <w:t xml:space="preserve">CITES Resolution Conf. 16.7. Non-detriment findings. </w:t>
      </w:r>
      <w:hyperlink r:id="rId15" w:history="1">
        <w:r w:rsidRPr="00C062F0">
          <w:rPr>
            <w:rStyle w:val="Hyperlink"/>
            <w:lang w:val="en-GB"/>
          </w:rPr>
          <w:t>http://www.cites.org/eng/res/16/16-07.php</w:t>
        </w:r>
      </w:hyperlink>
      <w:r w:rsidR="004E029E" w:rsidRPr="00C062F0">
        <w:rPr>
          <w:rStyle w:val="Hyperlink"/>
          <w:lang w:val="en-GB"/>
        </w:rPr>
        <w:t>.</w:t>
      </w:r>
    </w:p>
    <w:p w:rsidR="00D6075D" w:rsidRPr="00C062F0" w:rsidRDefault="007E72E8" w:rsidP="00670A55">
      <w:pPr>
        <w:pStyle w:val="NormalNonumber"/>
        <w:rPr>
          <w:i/>
          <w:iCs/>
          <w:lang w:val="en-GB"/>
        </w:rPr>
      </w:pPr>
      <w:r w:rsidRPr="00C062F0">
        <w:rPr>
          <w:lang w:val="en-GB"/>
        </w:rPr>
        <w:t xml:space="preserve">Matthew J. </w:t>
      </w:r>
      <w:r w:rsidR="00D6075D" w:rsidRPr="00C062F0">
        <w:rPr>
          <w:lang w:val="en-GB"/>
        </w:rPr>
        <w:t xml:space="preserve">Smith </w:t>
      </w:r>
      <w:r w:rsidR="00D9227C" w:rsidRPr="00C062F0">
        <w:rPr>
          <w:lang w:val="en-GB"/>
        </w:rPr>
        <w:t>and others,</w:t>
      </w:r>
      <w:r w:rsidR="00D6075D" w:rsidRPr="00C062F0">
        <w:rPr>
          <w:lang w:val="en-GB"/>
        </w:rPr>
        <w:t xml:space="preserve"> </w:t>
      </w:r>
      <w:r w:rsidR="00D9227C" w:rsidRPr="00C062F0">
        <w:rPr>
          <w:lang w:val="en-GB"/>
        </w:rPr>
        <w:t>“</w:t>
      </w:r>
      <w:r w:rsidR="00D6075D" w:rsidRPr="00C062F0">
        <w:rPr>
          <w:lang w:val="en-GB"/>
        </w:rPr>
        <w:t>Assessing the impacts of international trade on CITES-listed species: Current practices and opportunities for scientific research</w:t>
      </w:r>
      <w:r w:rsidR="00D9227C" w:rsidRPr="00C062F0">
        <w:rPr>
          <w:lang w:val="en-GB"/>
        </w:rPr>
        <w:t>”,</w:t>
      </w:r>
      <w:r w:rsidR="00D6075D" w:rsidRPr="00C062F0">
        <w:rPr>
          <w:lang w:val="en-GB"/>
        </w:rPr>
        <w:t xml:space="preserve"> </w:t>
      </w:r>
      <w:r w:rsidR="00D6075D" w:rsidRPr="00C062F0">
        <w:rPr>
          <w:i/>
          <w:lang w:val="en-GB"/>
        </w:rPr>
        <w:t xml:space="preserve">Biological Conservation, </w:t>
      </w:r>
      <w:r w:rsidR="00D9227C" w:rsidRPr="00C062F0">
        <w:rPr>
          <w:lang w:val="en-GB"/>
        </w:rPr>
        <w:t xml:space="preserve">vol. </w:t>
      </w:r>
      <w:r w:rsidR="00D6075D" w:rsidRPr="00C062F0">
        <w:rPr>
          <w:lang w:val="en-GB"/>
        </w:rPr>
        <w:t>144</w:t>
      </w:r>
      <w:r w:rsidR="00D9227C" w:rsidRPr="00C062F0">
        <w:rPr>
          <w:lang w:val="en-GB"/>
        </w:rPr>
        <w:t>, no.1 (2011</w:t>
      </w:r>
      <w:r w:rsidR="00D6075D" w:rsidRPr="00C062F0">
        <w:rPr>
          <w:lang w:val="en-GB"/>
        </w:rPr>
        <w:t>)</w:t>
      </w:r>
      <w:r w:rsidR="00D9227C" w:rsidRPr="00C062F0">
        <w:rPr>
          <w:lang w:val="en-GB"/>
        </w:rPr>
        <w:t xml:space="preserve">, pp. </w:t>
      </w:r>
      <w:r w:rsidR="00D6075D" w:rsidRPr="00C062F0">
        <w:rPr>
          <w:lang w:val="en-GB"/>
        </w:rPr>
        <w:t>82</w:t>
      </w:r>
      <w:r w:rsidR="00D9227C" w:rsidRPr="00C062F0">
        <w:rPr>
          <w:lang w:val="en-GB"/>
        </w:rPr>
        <w:t>–</w:t>
      </w:r>
      <w:r w:rsidR="00D6075D" w:rsidRPr="00C062F0">
        <w:rPr>
          <w:lang w:val="en-GB"/>
        </w:rPr>
        <w:t>91.</w:t>
      </w:r>
    </w:p>
    <w:p w:rsidR="00D6075D" w:rsidRPr="00C062F0" w:rsidRDefault="00D6075D" w:rsidP="00670A55">
      <w:pPr>
        <w:pStyle w:val="NormalNonumber"/>
        <w:rPr>
          <w:rStyle w:val="Hyperlink"/>
          <w:lang w:val="en-GB"/>
        </w:rPr>
      </w:pPr>
      <w:r w:rsidRPr="00C062F0">
        <w:rPr>
          <w:lang w:val="en-GB"/>
        </w:rPr>
        <w:t xml:space="preserve">Cancun international expert workshop on CITES non-detriment findings (2008) website: </w:t>
      </w:r>
      <w:hyperlink r:id="rId16" w:history="1">
        <w:r w:rsidR="00AD6F8C" w:rsidRPr="00C062F0">
          <w:rPr>
            <w:rStyle w:val="Hyperlink"/>
            <w:lang w:val="en-GB"/>
          </w:rPr>
          <w:t>http://www.conabio.gob.mx/institucion/cooperacion_internacional/TallerNDF/taller_ndf.html</w:t>
        </w:r>
      </w:hyperlink>
      <w:r w:rsidR="004E029E" w:rsidRPr="00C062F0">
        <w:rPr>
          <w:rStyle w:val="Hyperlink"/>
          <w:lang w:val="en-GB"/>
        </w:rPr>
        <w:t>.</w:t>
      </w:r>
    </w:p>
    <w:p w:rsidR="004E029E" w:rsidRPr="00C062F0" w:rsidRDefault="004E029E" w:rsidP="00670A55">
      <w:pPr>
        <w:pStyle w:val="NormalNonumber"/>
        <w:rPr>
          <w:lang w:val="en-GB"/>
        </w:rPr>
      </w:pPr>
      <w:r w:rsidRPr="00C062F0">
        <w:rPr>
          <w:lang w:val="en-GB"/>
        </w:rPr>
        <w:t xml:space="preserve">Updates of “non-detriment findings” section of the CITES website: </w:t>
      </w:r>
      <w:hyperlink r:id="rId17" w:history="1">
        <w:r w:rsidRPr="00C062F0">
          <w:rPr>
            <w:lang w:val="en-GB"/>
          </w:rPr>
          <w:t>http://www.cites.org/eng/prog/ndf/index.php</w:t>
        </w:r>
      </w:hyperlink>
      <w:r w:rsidRPr="00C062F0">
        <w:rPr>
          <w:lang w:val="en-GB"/>
        </w:rPr>
        <w:t xml:space="preserve">. </w:t>
      </w:r>
    </w:p>
    <w:p w:rsidR="00D6075D" w:rsidRPr="00C062F0" w:rsidRDefault="00D6075D" w:rsidP="00670A55">
      <w:pPr>
        <w:pStyle w:val="NormalNonumber"/>
        <w:rPr>
          <w:lang w:val="en-GB"/>
        </w:rPr>
      </w:pPr>
      <w:r w:rsidRPr="00C062F0">
        <w:rPr>
          <w:lang w:val="en-GB"/>
        </w:rPr>
        <w:t>International Consortium on Combating Wildlife Crime (ICCWC)</w:t>
      </w:r>
      <w:r w:rsidR="00137487" w:rsidRPr="00C062F0">
        <w:rPr>
          <w:lang w:val="en-GB"/>
        </w:rPr>
        <w:t>,</w:t>
      </w:r>
      <w:r w:rsidRPr="00C062F0">
        <w:rPr>
          <w:lang w:val="en-GB"/>
        </w:rPr>
        <w:t xml:space="preserve"> “Wildlife and forest crime analytic toolkit”, available from the CITES website at: </w:t>
      </w:r>
      <w:hyperlink r:id="rId18" w:history="1">
        <w:r w:rsidRPr="00C062F0">
          <w:rPr>
            <w:lang w:val="en-GB"/>
          </w:rPr>
          <w:t>www.cites.org/common/resources/pub/ICCWC_Toolkit_v2_english.pdf</w:t>
        </w:r>
      </w:hyperlink>
      <w:r w:rsidR="004E029E" w:rsidRPr="00C062F0">
        <w:rPr>
          <w:lang w:val="en-GB"/>
        </w:rPr>
        <w:t>.</w:t>
      </w:r>
    </w:p>
    <w:p w:rsidR="00D6075D" w:rsidRPr="00C062F0" w:rsidRDefault="00D6075D" w:rsidP="00670A55">
      <w:pPr>
        <w:pStyle w:val="NormalNonumber"/>
        <w:keepNext/>
        <w:keepLines/>
        <w:rPr>
          <w:lang w:val="en-GB"/>
        </w:rPr>
      </w:pPr>
      <w:r w:rsidRPr="00C062F0">
        <w:rPr>
          <w:lang w:val="en-GB"/>
        </w:rPr>
        <w:t>Rio Declaration on Environment and Development. Rio de Janeiro</w:t>
      </w:r>
      <w:r w:rsidR="00137487" w:rsidRPr="00C062F0">
        <w:rPr>
          <w:lang w:val="en-GB"/>
        </w:rPr>
        <w:t xml:space="preserve">, </w:t>
      </w:r>
      <w:r w:rsidR="00137487" w:rsidRPr="00C062F0">
        <w:rPr>
          <w:i/>
          <w:iCs/>
          <w:color w:val="000000"/>
          <w:lang w:val="en-GB"/>
        </w:rPr>
        <w:t>Report of the United Nations Conference on Environment and Development, Rio de Janeiro, 3–14 June 1992</w:t>
      </w:r>
      <w:r w:rsidR="00137487" w:rsidRPr="00C062F0">
        <w:rPr>
          <w:color w:val="000000"/>
          <w:lang w:val="en-GB"/>
        </w:rPr>
        <w:t xml:space="preserve">, vol. I, </w:t>
      </w:r>
      <w:r w:rsidR="00137487" w:rsidRPr="00C062F0">
        <w:rPr>
          <w:i/>
          <w:iCs/>
          <w:color w:val="000000"/>
          <w:lang w:val="en-GB"/>
        </w:rPr>
        <w:t xml:space="preserve">Resolutions Adopted by the Conference </w:t>
      </w:r>
      <w:r w:rsidR="00137487" w:rsidRPr="00C062F0">
        <w:rPr>
          <w:color w:val="000000"/>
          <w:lang w:val="en-GB"/>
        </w:rPr>
        <w:t>(United Nations publication, Sales No. E.93.I.8 and corrigendum), resolution 1, annex I.</w:t>
      </w:r>
    </w:p>
    <w:p w:rsidR="00D6075D" w:rsidRPr="00C062F0" w:rsidRDefault="00D6075D" w:rsidP="00163DB4">
      <w:pPr>
        <w:pStyle w:val="Normal-pool"/>
        <w:rPr>
          <w:rFonts w:eastAsia="MS Mincho"/>
        </w:rPr>
      </w:pPr>
    </w:p>
    <w:tbl>
      <w:tblPr>
        <w:tblW w:w="0" w:type="auto"/>
        <w:tblLook w:val="01E0" w:firstRow="1" w:lastRow="1" w:firstColumn="1" w:lastColumn="1" w:noHBand="0" w:noVBand="0"/>
      </w:tblPr>
      <w:tblGrid>
        <w:gridCol w:w="3237"/>
        <w:gridCol w:w="3237"/>
        <w:gridCol w:w="3238"/>
      </w:tblGrid>
      <w:tr w:rsidR="00D405A7" w:rsidRPr="00C062F0" w:rsidTr="00870972">
        <w:tc>
          <w:tcPr>
            <w:tcW w:w="3237" w:type="dxa"/>
          </w:tcPr>
          <w:p w:rsidR="00D405A7" w:rsidRPr="00C062F0" w:rsidRDefault="00D405A7" w:rsidP="00163DB4">
            <w:pPr>
              <w:pStyle w:val="Normal-pool"/>
            </w:pPr>
          </w:p>
        </w:tc>
        <w:tc>
          <w:tcPr>
            <w:tcW w:w="3237" w:type="dxa"/>
            <w:tcBorders>
              <w:bottom w:val="single" w:sz="4" w:space="0" w:color="auto"/>
            </w:tcBorders>
          </w:tcPr>
          <w:p w:rsidR="00D405A7" w:rsidRPr="00C062F0" w:rsidRDefault="00D405A7" w:rsidP="00163DB4">
            <w:pPr>
              <w:pStyle w:val="Normal-pool"/>
            </w:pPr>
          </w:p>
        </w:tc>
        <w:tc>
          <w:tcPr>
            <w:tcW w:w="3238" w:type="dxa"/>
          </w:tcPr>
          <w:p w:rsidR="00D405A7" w:rsidRPr="00C062F0" w:rsidRDefault="00D405A7" w:rsidP="00163DB4">
            <w:pPr>
              <w:pStyle w:val="Normal-pool"/>
            </w:pPr>
          </w:p>
        </w:tc>
      </w:tr>
    </w:tbl>
    <w:p w:rsidR="00D405A7" w:rsidRPr="00C062F0" w:rsidRDefault="00D405A7" w:rsidP="00163DB4">
      <w:pPr>
        <w:pStyle w:val="Normal-pool"/>
      </w:pPr>
    </w:p>
    <w:sectPr w:rsidR="00D405A7" w:rsidRPr="00C062F0" w:rsidSect="00F17041">
      <w:headerReference w:type="even" r:id="rId19"/>
      <w:headerReference w:type="default" r:id="rId20"/>
      <w:footerReference w:type="even" r:id="rId21"/>
      <w:footerReference w:type="default" r:id="rId22"/>
      <w:headerReference w:type="first" r:id="rId23"/>
      <w:footerReference w:type="first" r:id="rId24"/>
      <w:footnotePr>
        <w:numFmt w:val="lowerLetter"/>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EE" w:rsidRDefault="006526EE">
      <w:r>
        <w:separator/>
      </w:r>
    </w:p>
  </w:endnote>
  <w:endnote w:type="continuationSeparator" w:id="0">
    <w:p w:rsidR="006526EE" w:rsidRDefault="0065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E" w:rsidRPr="00163DB4" w:rsidRDefault="00B032CE">
    <w:pPr>
      <w:pStyle w:val="Footer"/>
      <w:rPr>
        <w:rFonts w:ascii="Times New Roman" w:hAnsi="Times New Roman"/>
      </w:rPr>
    </w:pPr>
    <w:r w:rsidRPr="00163DB4">
      <w:rPr>
        <w:rStyle w:val="PageNumber"/>
      </w:rPr>
      <w:fldChar w:fldCharType="begin"/>
    </w:r>
    <w:r w:rsidRPr="00163DB4">
      <w:rPr>
        <w:rStyle w:val="PageNumber"/>
      </w:rPr>
      <w:instrText xml:space="preserve"> PAGE </w:instrText>
    </w:r>
    <w:r w:rsidRPr="00163DB4">
      <w:rPr>
        <w:rStyle w:val="PageNumber"/>
      </w:rPr>
      <w:fldChar w:fldCharType="separate"/>
    </w:r>
    <w:r w:rsidR="00243CA0">
      <w:rPr>
        <w:rStyle w:val="PageNumber"/>
        <w:noProof/>
      </w:rPr>
      <w:t>2</w:t>
    </w:r>
    <w:r w:rsidRPr="00163D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E" w:rsidRPr="00163DB4" w:rsidRDefault="00B032CE" w:rsidP="00035EDE">
    <w:pPr>
      <w:pStyle w:val="Footer"/>
      <w:jc w:val="right"/>
      <w:rPr>
        <w:rFonts w:ascii="Times New Roman" w:hAnsi="Times New Roman"/>
      </w:rPr>
    </w:pPr>
    <w:r w:rsidRPr="00163DB4">
      <w:rPr>
        <w:rStyle w:val="PageNumber"/>
      </w:rPr>
      <w:fldChar w:fldCharType="begin"/>
    </w:r>
    <w:r w:rsidRPr="00163DB4">
      <w:rPr>
        <w:rStyle w:val="PageNumber"/>
      </w:rPr>
      <w:instrText xml:space="preserve"> PAGE </w:instrText>
    </w:r>
    <w:r w:rsidRPr="00163DB4">
      <w:rPr>
        <w:rStyle w:val="PageNumber"/>
      </w:rPr>
      <w:fldChar w:fldCharType="separate"/>
    </w:r>
    <w:r w:rsidR="00243CA0">
      <w:rPr>
        <w:rStyle w:val="PageNumber"/>
        <w:noProof/>
      </w:rPr>
      <w:t>5</w:t>
    </w:r>
    <w:r w:rsidRPr="00163DB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E" w:rsidRPr="00864922" w:rsidRDefault="00B032CE"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K1353334</w:t>
    </w:r>
    <w:r>
      <w:rPr>
        <w:rFonts w:ascii="Times New Roman" w:hAnsi="Times New Roman"/>
        <w:sz w:val="20"/>
        <w:szCs w:val="20"/>
      </w:rPr>
      <w:tab/>
    </w:r>
    <w:r w:rsidR="008F1EE8">
      <w:rPr>
        <w:rFonts w:ascii="Times New Roman" w:hAnsi="Times New Roman"/>
        <w:sz w:val="20"/>
        <w:szCs w:val="20"/>
      </w:rPr>
      <w:t>291013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EE" w:rsidRPr="00163DB4" w:rsidRDefault="006526EE" w:rsidP="00163DB4">
      <w:pPr>
        <w:spacing w:after="120" w:line="240" w:lineRule="auto"/>
        <w:ind w:left="624"/>
        <w:rPr>
          <w:rFonts w:ascii="Times New Roman" w:hAnsi="Times New Roman"/>
          <w:sz w:val="20"/>
          <w:szCs w:val="20"/>
        </w:rPr>
      </w:pPr>
      <w:r w:rsidRPr="00163DB4">
        <w:rPr>
          <w:rFonts w:ascii="Times New Roman" w:hAnsi="Times New Roman"/>
          <w:sz w:val="20"/>
          <w:szCs w:val="20"/>
        </w:rPr>
        <w:separator/>
      </w:r>
    </w:p>
  </w:footnote>
  <w:footnote w:type="continuationSeparator" w:id="0">
    <w:p w:rsidR="006526EE" w:rsidRDefault="006526EE">
      <w:r>
        <w:continuationSeparator/>
      </w:r>
    </w:p>
  </w:footnote>
  <w:footnote w:id="1">
    <w:p w:rsidR="00B032CE" w:rsidRPr="00EB2672" w:rsidRDefault="00B032CE" w:rsidP="00163DB4">
      <w:pPr>
        <w:pStyle w:val="FootnoteText"/>
        <w:rPr>
          <w:szCs w:val="18"/>
          <w:lang w:val="en-US"/>
        </w:rPr>
      </w:pPr>
      <w:r w:rsidRPr="00EB2672">
        <w:rPr>
          <w:rStyle w:val="FootnoteReference"/>
          <w:sz w:val="18"/>
        </w:rPr>
        <w:sym w:font="Symbol" w:char="F02A"/>
      </w:r>
      <w:r w:rsidRPr="00EB2672">
        <w:rPr>
          <w:szCs w:val="18"/>
        </w:rPr>
        <w:t xml:space="preserve"> IPBES/</w:t>
      </w:r>
      <w:r w:rsidRPr="00EB2672">
        <w:rPr>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E" w:rsidRPr="00D6075D" w:rsidRDefault="00B032CE" w:rsidP="00194D87">
    <w:pPr>
      <w:pStyle w:val="Header"/>
      <w:rPr>
        <w:rFonts w:ascii="Times New Roman" w:hAnsi="Times New Roman"/>
        <w:szCs w:val="18"/>
      </w:rPr>
    </w:pPr>
    <w:r w:rsidRPr="00D6075D">
      <w:rPr>
        <w:rFonts w:ascii="Times New Roman" w:hAnsi="Times New Roman"/>
        <w:szCs w:val="18"/>
      </w:rPr>
      <w:t>IPBES/</w:t>
    </w:r>
    <w:r w:rsidRPr="00D6075D">
      <w:rPr>
        <w:rFonts w:ascii="Times New Roman" w:hAnsi="Times New Roman"/>
        <w:szCs w:val="18"/>
        <w:lang w:eastAsia="ja-JP"/>
      </w:rPr>
      <w:t>2/16/Add.6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E" w:rsidRPr="00D6075D" w:rsidRDefault="00B032CE" w:rsidP="00194D87">
    <w:pPr>
      <w:pStyle w:val="Header"/>
      <w:jc w:val="right"/>
      <w:rPr>
        <w:rFonts w:ascii="Times New Roman" w:hAnsi="Times New Roman"/>
        <w:szCs w:val="18"/>
      </w:rPr>
    </w:pPr>
    <w:r w:rsidRPr="00D6075D">
      <w:rPr>
        <w:rFonts w:ascii="Times New Roman" w:hAnsi="Times New Roman"/>
        <w:szCs w:val="18"/>
      </w:rPr>
      <w:t>IPBES/</w:t>
    </w:r>
    <w:r w:rsidRPr="00D6075D">
      <w:rPr>
        <w:rFonts w:ascii="Times New Roman" w:hAnsi="Times New Roman"/>
        <w:szCs w:val="18"/>
        <w:lang w:eastAsia="ja-JP"/>
      </w:rPr>
      <w:t>2/16/Add.6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E" w:rsidRDefault="00B032CE" w:rsidP="00670A5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AE"/>
    <w:multiLevelType w:val="hybridMultilevel"/>
    <w:tmpl w:val="9C9EF846"/>
    <w:lvl w:ilvl="0" w:tplc="4888EDBC">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31141A7B"/>
    <w:multiLevelType w:val="hybridMultilevel"/>
    <w:tmpl w:val="A97C796A"/>
    <w:lvl w:ilvl="0" w:tplc="6D90A440">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F4ACF36E"/>
    <w:numStyleLink w:val="Normallist"/>
  </w:abstractNum>
  <w:abstractNum w:abstractNumId="10">
    <w:nsid w:val="7E68334F"/>
    <w:multiLevelType w:val="hybridMultilevel"/>
    <w:tmpl w:val="95346F74"/>
    <w:lvl w:ilvl="0" w:tplc="F7787EBC">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3"/>
  </w:num>
  <w:num w:numId="3">
    <w:abstractNumId w:val="6"/>
  </w:num>
  <w:num w:numId="4">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5">
    <w:abstractNumId w:val="2"/>
  </w:num>
  <w:num w:numId="6">
    <w:abstractNumId w:val="4"/>
  </w:num>
  <w:num w:numId="7">
    <w:abstractNumId w:val="7"/>
  </w:num>
  <w:num w:numId="8">
    <w:abstractNumId w:val="1"/>
  </w:num>
  <w:num w:numId="9">
    <w:abstractNumId w:val="0"/>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9"/>
    <w:lvlOverride w:ilvl="0">
      <w:lvl w:ilvl="0">
        <w:start w:val="1"/>
        <w:numFmt w:val="decimal"/>
        <w:pStyle w:val="Normalnumber"/>
        <w:lvlText w:val="%1."/>
        <w:lvlJc w:val="left"/>
        <w:pPr>
          <w:tabs>
            <w:tab w:val="num" w:pos="567"/>
          </w:tabs>
          <w:ind w:left="1247" w:firstLine="0"/>
        </w:pPr>
        <w:rPr>
          <w:rFonts w:hint="default"/>
          <w:b w:val="0"/>
        </w:rPr>
      </w:lvl>
    </w:lvlOverride>
  </w:num>
  <w:num w:numId="22">
    <w:abstractNumId w:val="9"/>
    <w:lvlOverride w:ilvl="0">
      <w:lvl w:ilvl="0">
        <w:start w:val="1"/>
        <w:numFmt w:val="decimal"/>
        <w:pStyle w:val="Normalnumber"/>
        <w:lvlText w:val="%1."/>
        <w:lvlJc w:val="left"/>
        <w:pPr>
          <w:tabs>
            <w:tab w:val="num" w:pos="567"/>
          </w:tabs>
          <w:ind w:left="1247" w:firstLine="0"/>
        </w:pPr>
        <w:rPr>
          <w:rFonts w:hint="default"/>
          <w:b w:val="0"/>
        </w:rPr>
      </w:lvl>
    </w:lvlOverride>
  </w:num>
  <w:num w:numId="23">
    <w:abstractNumId w:val="5"/>
  </w:num>
  <w:num w:numId="24">
    <w:abstractNumId w:val="10"/>
  </w:num>
  <w:num w:numId="25">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26">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27">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28">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29">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0">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1">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2">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3">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4">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5">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6">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7">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8">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39">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40">
    <w:abstractNumId w:val="9"/>
    <w:lvlOverride w:ilvl="0">
      <w:lvl w:ilvl="0">
        <w:start w:val="1"/>
        <w:numFmt w:val="decimal"/>
        <w:pStyle w:val="Normalnumber"/>
        <w:lvlText w:val="%1."/>
        <w:lvlJc w:val="left"/>
        <w:pPr>
          <w:tabs>
            <w:tab w:val="num" w:pos="40"/>
          </w:tabs>
          <w:ind w:left="720" w:firstLine="0"/>
        </w:pPr>
        <w:rPr>
          <w:rFonts w:hint="default"/>
          <w:b w:val="0"/>
        </w:rPr>
      </w:lvl>
    </w:lvlOverride>
  </w:num>
  <w:num w:numId="41">
    <w:abstractNumId w:val="9"/>
    <w:lvlOverride w:ilvl="0">
      <w:lvl w:ilvl="0">
        <w:start w:val="1"/>
        <w:numFmt w:val="decimal"/>
        <w:pStyle w:val="Normalnumber"/>
        <w:lvlText w:val="%1."/>
        <w:lvlJc w:val="left"/>
        <w:pPr>
          <w:tabs>
            <w:tab w:val="num" w:pos="40"/>
          </w:tabs>
          <w:ind w:left="720" w:firstLine="0"/>
        </w:pPr>
        <w:rPr>
          <w:rFonts w:hint="default"/>
          <w:b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s-MX"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lowerLette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003DC"/>
    <w:rsid w:val="00005661"/>
    <w:rsid w:val="00012B6E"/>
    <w:rsid w:val="000149E6"/>
    <w:rsid w:val="000247B0"/>
    <w:rsid w:val="00026997"/>
    <w:rsid w:val="00033E0B"/>
    <w:rsid w:val="00035EDE"/>
    <w:rsid w:val="00040B30"/>
    <w:rsid w:val="00045410"/>
    <w:rsid w:val="000509B4"/>
    <w:rsid w:val="0006035B"/>
    <w:rsid w:val="00066611"/>
    <w:rsid w:val="0007166E"/>
    <w:rsid w:val="00071886"/>
    <w:rsid w:val="000742BC"/>
    <w:rsid w:val="00082A0C"/>
    <w:rsid w:val="00083504"/>
    <w:rsid w:val="0009640C"/>
    <w:rsid w:val="000B21D5"/>
    <w:rsid w:val="000B22A2"/>
    <w:rsid w:val="000B47BB"/>
    <w:rsid w:val="000C2A52"/>
    <w:rsid w:val="000D33C0"/>
    <w:rsid w:val="000D6074"/>
    <w:rsid w:val="000D6941"/>
    <w:rsid w:val="0010198A"/>
    <w:rsid w:val="001202E3"/>
    <w:rsid w:val="00123699"/>
    <w:rsid w:val="00123B86"/>
    <w:rsid w:val="00125E32"/>
    <w:rsid w:val="0013059D"/>
    <w:rsid w:val="00136BB3"/>
    <w:rsid w:val="00137487"/>
    <w:rsid w:val="00141A55"/>
    <w:rsid w:val="001446A3"/>
    <w:rsid w:val="00146BA5"/>
    <w:rsid w:val="00155395"/>
    <w:rsid w:val="00163DB4"/>
    <w:rsid w:val="00166EBC"/>
    <w:rsid w:val="00181EC8"/>
    <w:rsid w:val="00183FBA"/>
    <w:rsid w:val="00184349"/>
    <w:rsid w:val="0019451C"/>
    <w:rsid w:val="00194D87"/>
    <w:rsid w:val="001954ED"/>
    <w:rsid w:val="00195F33"/>
    <w:rsid w:val="001B1617"/>
    <w:rsid w:val="001B4B38"/>
    <w:rsid w:val="001B504B"/>
    <w:rsid w:val="001B6B18"/>
    <w:rsid w:val="001D1655"/>
    <w:rsid w:val="001D3874"/>
    <w:rsid w:val="001D7E75"/>
    <w:rsid w:val="001E56D2"/>
    <w:rsid w:val="001E7D56"/>
    <w:rsid w:val="001F513C"/>
    <w:rsid w:val="001F60D3"/>
    <w:rsid w:val="001F75DE"/>
    <w:rsid w:val="00200D58"/>
    <w:rsid w:val="002013BE"/>
    <w:rsid w:val="002063A4"/>
    <w:rsid w:val="0021145B"/>
    <w:rsid w:val="00212066"/>
    <w:rsid w:val="00221178"/>
    <w:rsid w:val="0022361D"/>
    <w:rsid w:val="00224F14"/>
    <w:rsid w:val="00232120"/>
    <w:rsid w:val="0024248B"/>
    <w:rsid w:val="00243CA0"/>
    <w:rsid w:val="00243D36"/>
    <w:rsid w:val="00247707"/>
    <w:rsid w:val="00251B39"/>
    <w:rsid w:val="002541DC"/>
    <w:rsid w:val="00255D1C"/>
    <w:rsid w:val="00261583"/>
    <w:rsid w:val="00282AFE"/>
    <w:rsid w:val="00286740"/>
    <w:rsid w:val="002926D8"/>
    <w:rsid w:val="002929D8"/>
    <w:rsid w:val="00293850"/>
    <w:rsid w:val="002A237D"/>
    <w:rsid w:val="002A4C53"/>
    <w:rsid w:val="002B0672"/>
    <w:rsid w:val="002B1B4C"/>
    <w:rsid w:val="002B247F"/>
    <w:rsid w:val="002B3767"/>
    <w:rsid w:val="002C145D"/>
    <w:rsid w:val="002C2C3E"/>
    <w:rsid w:val="002C533E"/>
    <w:rsid w:val="002C61A7"/>
    <w:rsid w:val="002D027F"/>
    <w:rsid w:val="002D0E89"/>
    <w:rsid w:val="002D7A85"/>
    <w:rsid w:val="002D7B60"/>
    <w:rsid w:val="002D7EDB"/>
    <w:rsid w:val="002E3D8B"/>
    <w:rsid w:val="002F4761"/>
    <w:rsid w:val="002F5C79"/>
    <w:rsid w:val="00300678"/>
    <w:rsid w:val="003019E2"/>
    <w:rsid w:val="0031413F"/>
    <w:rsid w:val="003148BB"/>
    <w:rsid w:val="00317976"/>
    <w:rsid w:val="0032407B"/>
    <w:rsid w:val="00324193"/>
    <w:rsid w:val="0033275E"/>
    <w:rsid w:val="00334585"/>
    <w:rsid w:val="003442FB"/>
    <w:rsid w:val="0035024E"/>
    <w:rsid w:val="00355EA9"/>
    <w:rsid w:val="003578DE"/>
    <w:rsid w:val="00364A4D"/>
    <w:rsid w:val="00381A36"/>
    <w:rsid w:val="00381D14"/>
    <w:rsid w:val="00396257"/>
    <w:rsid w:val="00397EB8"/>
    <w:rsid w:val="003A086E"/>
    <w:rsid w:val="003A4FD0"/>
    <w:rsid w:val="003A69D1"/>
    <w:rsid w:val="003A7375"/>
    <w:rsid w:val="003A7705"/>
    <w:rsid w:val="003B1061"/>
    <w:rsid w:val="003B1545"/>
    <w:rsid w:val="003C409D"/>
    <w:rsid w:val="003C5BA6"/>
    <w:rsid w:val="003E6482"/>
    <w:rsid w:val="003F0E85"/>
    <w:rsid w:val="003F3DDC"/>
    <w:rsid w:val="00405251"/>
    <w:rsid w:val="004103EB"/>
    <w:rsid w:val="00410C55"/>
    <w:rsid w:val="00416854"/>
    <w:rsid w:val="00417725"/>
    <w:rsid w:val="00437F26"/>
    <w:rsid w:val="00444097"/>
    <w:rsid w:val="00445487"/>
    <w:rsid w:val="00454769"/>
    <w:rsid w:val="004573BB"/>
    <w:rsid w:val="00466991"/>
    <w:rsid w:val="0047064C"/>
    <w:rsid w:val="004A2695"/>
    <w:rsid w:val="004A42E1"/>
    <w:rsid w:val="004A738C"/>
    <w:rsid w:val="004B0DC5"/>
    <w:rsid w:val="004B162C"/>
    <w:rsid w:val="004C3DBE"/>
    <w:rsid w:val="004C5B94"/>
    <w:rsid w:val="004C5C96"/>
    <w:rsid w:val="004D06A4"/>
    <w:rsid w:val="004D4130"/>
    <w:rsid w:val="004D79F7"/>
    <w:rsid w:val="004E029E"/>
    <w:rsid w:val="004F00DD"/>
    <w:rsid w:val="004F1A81"/>
    <w:rsid w:val="004F5622"/>
    <w:rsid w:val="005119B0"/>
    <w:rsid w:val="0051475E"/>
    <w:rsid w:val="005218D9"/>
    <w:rsid w:val="00531EF7"/>
    <w:rsid w:val="00535AB5"/>
    <w:rsid w:val="00536186"/>
    <w:rsid w:val="00544CBB"/>
    <w:rsid w:val="00554038"/>
    <w:rsid w:val="0055774D"/>
    <w:rsid w:val="00560372"/>
    <w:rsid w:val="00563355"/>
    <w:rsid w:val="0057315F"/>
    <w:rsid w:val="0057575C"/>
    <w:rsid w:val="00576104"/>
    <w:rsid w:val="005A43A7"/>
    <w:rsid w:val="005C5E05"/>
    <w:rsid w:val="005C67C8"/>
    <w:rsid w:val="005D0249"/>
    <w:rsid w:val="005D6E8C"/>
    <w:rsid w:val="005E4E43"/>
    <w:rsid w:val="005F100C"/>
    <w:rsid w:val="005F68DA"/>
    <w:rsid w:val="006051B4"/>
    <w:rsid w:val="0060773B"/>
    <w:rsid w:val="006116FA"/>
    <w:rsid w:val="0061319E"/>
    <w:rsid w:val="006157B5"/>
    <w:rsid w:val="006257C5"/>
    <w:rsid w:val="00626FC6"/>
    <w:rsid w:val="00627A99"/>
    <w:rsid w:val="006303B4"/>
    <w:rsid w:val="00633D3D"/>
    <w:rsid w:val="00641703"/>
    <w:rsid w:val="006431A6"/>
    <w:rsid w:val="006459F6"/>
    <w:rsid w:val="006501AD"/>
    <w:rsid w:val="00651BFA"/>
    <w:rsid w:val="006526EE"/>
    <w:rsid w:val="00663A51"/>
    <w:rsid w:val="00665A4B"/>
    <w:rsid w:val="00670A55"/>
    <w:rsid w:val="00692E2A"/>
    <w:rsid w:val="006A76F2"/>
    <w:rsid w:val="006C35BC"/>
    <w:rsid w:val="006C60F7"/>
    <w:rsid w:val="006C7DEE"/>
    <w:rsid w:val="006D7EFB"/>
    <w:rsid w:val="006E6672"/>
    <w:rsid w:val="006E6722"/>
    <w:rsid w:val="006F0EA4"/>
    <w:rsid w:val="006F66BC"/>
    <w:rsid w:val="007027B9"/>
    <w:rsid w:val="00707EBE"/>
    <w:rsid w:val="00713D8F"/>
    <w:rsid w:val="00715E88"/>
    <w:rsid w:val="00734CAA"/>
    <w:rsid w:val="007469A7"/>
    <w:rsid w:val="00747083"/>
    <w:rsid w:val="0075533C"/>
    <w:rsid w:val="00757581"/>
    <w:rsid w:val="007611A0"/>
    <w:rsid w:val="00770B4E"/>
    <w:rsid w:val="00777233"/>
    <w:rsid w:val="00793B61"/>
    <w:rsid w:val="00794B34"/>
    <w:rsid w:val="00796D3F"/>
    <w:rsid w:val="007A1683"/>
    <w:rsid w:val="007A36F8"/>
    <w:rsid w:val="007A5C12"/>
    <w:rsid w:val="007A7CB0"/>
    <w:rsid w:val="007B17A8"/>
    <w:rsid w:val="007B68A3"/>
    <w:rsid w:val="007C2541"/>
    <w:rsid w:val="007D66A8"/>
    <w:rsid w:val="007E003F"/>
    <w:rsid w:val="007E72E8"/>
    <w:rsid w:val="00802E72"/>
    <w:rsid w:val="00805D4D"/>
    <w:rsid w:val="00805FCA"/>
    <w:rsid w:val="008164F2"/>
    <w:rsid w:val="00821395"/>
    <w:rsid w:val="00823110"/>
    <w:rsid w:val="00830E26"/>
    <w:rsid w:val="00832F4A"/>
    <w:rsid w:val="00834640"/>
    <w:rsid w:val="00842064"/>
    <w:rsid w:val="00843576"/>
    <w:rsid w:val="00843B64"/>
    <w:rsid w:val="008478FC"/>
    <w:rsid w:val="00853347"/>
    <w:rsid w:val="00867BFF"/>
    <w:rsid w:val="00870972"/>
    <w:rsid w:val="0088480A"/>
    <w:rsid w:val="0088757A"/>
    <w:rsid w:val="008957DD"/>
    <w:rsid w:val="00897D98"/>
    <w:rsid w:val="008A0949"/>
    <w:rsid w:val="008A26B4"/>
    <w:rsid w:val="008A6DF2"/>
    <w:rsid w:val="008A7807"/>
    <w:rsid w:val="008B4CC9"/>
    <w:rsid w:val="008C2FEC"/>
    <w:rsid w:val="008D2BB5"/>
    <w:rsid w:val="008D44A6"/>
    <w:rsid w:val="008D7C99"/>
    <w:rsid w:val="008E0FCB"/>
    <w:rsid w:val="008F1EE8"/>
    <w:rsid w:val="00916226"/>
    <w:rsid w:val="009178B7"/>
    <w:rsid w:val="0092178C"/>
    <w:rsid w:val="00930B88"/>
    <w:rsid w:val="00940DCC"/>
    <w:rsid w:val="0094179A"/>
    <w:rsid w:val="0094459E"/>
    <w:rsid w:val="00944DBC"/>
    <w:rsid w:val="00946D35"/>
    <w:rsid w:val="00950977"/>
    <w:rsid w:val="00951A7B"/>
    <w:rsid w:val="00952D90"/>
    <w:rsid w:val="009564A6"/>
    <w:rsid w:val="00967621"/>
    <w:rsid w:val="00967E6A"/>
    <w:rsid w:val="009815A4"/>
    <w:rsid w:val="009935AC"/>
    <w:rsid w:val="009979BF"/>
    <w:rsid w:val="009A1DAB"/>
    <w:rsid w:val="009A4901"/>
    <w:rsid w:val="009B23D0"/>
    <w:rsid w:val="009B4A0F"/>
    <w:rsid w:val="009C11D2"/>
    <w:rsid w:val="009C289F"/>
    <w:rsid w:val="009C6C70"/>
    <w:rsid w:val="009D0B63"/>
    <w:rsid w:val="009E307E"/>
    <w:rsid w:val="00A052A3"/>
    <w:rsid w:val="00A06623"/>
    <w:rsid w:val="00A07870"/>
    <w:rsid w:val="00A07F19"/>
    <w:rsid w:val="00A10B66"/>
    <w:rsid w:val="00A1348D"/>
    <w:rsid w:val="00A143E9"/>
    <w:rsid w:val="00A232EE"/>
    <w:rsid w:val="00A34345"/>
    <w:rsid w:val="00A365CD"/>
    <w:rsid w:val="00A4175F"/>
    <w:rsid w:val="00A44411"/>
    <w:rsid w:val="00A469FA"/>
    <w:rsid w:val="00A550BF"/>
    <w:rsid w:val="00A55B01"/>
    <w:rsid w:val="00A56502"/>
    <w:rsid w:val="00A56B5B"/>
    <w:rsid w:val="00A603FF"/>
    <w:rsid w:val="00A60695"/>
    <w:rsid w:val="00A6187A"/>
    <w:rsid w:val="00A62259"/>
    <w:rsid w:val="00A657DD"/>
    <w:rsid w:val="00A666A6"/>
    <w:rsid w:val="00A675FD"/>
    <w:rsid w:val="00A72437"/>
    <w:rsid w:val="00A80611"/>
    <w:rsid w:val="00A96920"/>
    <w:rsid w:val="00AA3073"/>
    <w:rsid w:val="00AB5340"/>
    <w:rsid w:val="00AB6E0D"/>
    <w:rsid w:val="00AB7CBC"/>
    <w:rsid w:val="00AC5456"/>
    <w:rsid w:val="00AC7C96"/>
    <w:rsid w:val="00AD6F8C"/>
    <w:rsid w:val="00AE237D"/>
    <w:rsid w:val="00AE502A"/>
    <w:rsid w:val="00AF7C07"/>
    <w:rsid w:val="00B032CE"/>
    <w:rsid w:val="00B104DD"/>
    <w:rsid w:val="00B16166"/>
    <w:rsid w:val="00B21972"/>
    <w:rsid w:val="00B22C93"/>
    <w:rsid w:val="00B27589"/>
    <w:rsid w:val="00B27EA9"/>
    <w:rsid w:val="00B36881"/>
    <w:rsid w:val="00B405B7"/>
    <w:rsid w:val="00B52222"/>
    <w:rsid w:val="00B54A81"/>
    <w:rsid w:val="00B54FE7"/>
    <w:rsid w:val="00B66901"/>
    <w:rsid w:val="00B71E6D"/>
    <w:rsid w:val="00B72070"/>
    <w:rsid w:val="00B76E41"/>
    <w:rsid w:val="00B779E1"/>
    <w:rsid w:val="00B91EE1"/>
    <w:rsid w:val="00B9615F"/>
    <w:rsid w:val="00B96BC9"/>
    <w:rsid w:val="00BA0090"/>
    <w:rsid w:val="00BA116F"/>
    <w:rsid w:val="00BA1A67"/>
    <w:rsid w:val="00BA3B66"/>
    <w:rsid w:val="00BA41B8"/>
    <w:rsid w:val="00BA698A"/>
    <w:rsid w:val="00BC4795"/>
    <w:rsid w:val="00BE5B5F"/>
    <w:rsid w:val="00C062F0"/>
    <w:rsid w:val="00C12A4F"/>
    <w:rsid w:val="00C12F15"/>
    <w:rsid w:val="00C26F55"/>
    <w:rsid w:val="00C30C63"/>
    <w:rsid w:val="00C34A34"/>
    <w:rsid w:val="00C34C73"/>
    <w:rsid w:val="00C36B8B"/>
    <w:rsid w:val="00C47DBF"/>
    <w:rsid w:val="00C552FF"/>
    <w:rsid w:val="00C558DA"/>
    <w:rsid w:val="00C55AF3"/>
    <w:rsid w:val="00C62B2F"/>
    <w:rsid w:val="00C84759"/>
    <w:rsid w:val="00CA6C7F"/>
    <w:rsid w:val="00CC10A6"/>
    <w:rsid w:val="00CC1778"/>
    <w:rsid w:val="00CC2D90"/>
    <w:rsid w:val="00CC3231"/>
    <w:rsid w:val="00CC6B42"/>
    <w:rsid w:val="00CD1C4B"/>
    <w:rsid w:val="00CD5EB8"/>
    <w:rsid w:val="00CD7044"/>
    <w:rsid w:val="00CE08B9"/>
    <w:rsid w:val="00CE2FFE"/>
    <w:rsid w:val="00CE524C"/>
    <w:rsid w:val="00CE690A"/>
    <w:rsid w:val="00CF141F"/>
    <w:rsid w:val="00CF4777"/>
    <w:rsid w:val="00D067BB"/>
    <w:rsid w:val="00D127BC"/>
    <w:rsid w:val="00D1352A"/>
    <w:rsid w:val="00D14322"/>
    <w:rsid w:val="00D169AF"/>
    <w:rsid w:val="00D25249"/>
    <w:rsid w:val="00D352D5"/>
    <w:rsid w:val="00D405A7"/>
    <w:rsid w:val="00D44172"/>
    <w:rsid w:val="00D474F8"/>
    <w:rsid w:val="00D60070"/>
    <w:rsid w:val="00D6075D"/>
    <w:rsid w:val="00D63B8C"/>
    <w:rsid w:val="00D739CC"/>
    <w:rsid w:val="00D76DB2"/>
    <w:rsid w:val="00D8093D"/>
    <w:rsid w:val="00D8108C"/>
    <w:rsid w:val="00D842AE"/>
    <w:rsid w:val="00D9211C"/>
    <w:rsid w:val="00D9227C"/>
    <w:rsid w:val="00D92DE0"/>
    <w:rsid w:val="00D92FEF"/>
    <w:rsid w:val="00D93A0F"/>
    <w:rsid w:val="00DA1BCA"/>
    <w:rsid w:val="00DA6028"/>
    <w:rsid w:val="00DB5F5B"/>
    <w:rsid w:val="00DC46FF"/>
    <w:rsid w:val="00DC5254"/>
    <w:rsid w:val="00DD1A4F"/>
    <w:rsid w:val="00DD21E1"/>
    <w:rsid w:val="00DD3107"/>
    <w:rsid w:val="00DD7C2C"/>
    <w:rsid w:val="00DF54D9"/>
    <w:rsid w:val="00E06797"/>
    <w:rsid w:val="00E1265B"/>
    <w:rsid w:val="00E13B48"/>
    <w:rsid w:val="00E1404F"/>
    <w:rsid w:val="00E21C83"/>
    <w:rsid w:val="00E24ADA"/>
    <w:rsid w:val="00E277F5"/>
    <w:rsid w:val="00E32F59"/>
    <w:rsid w:val="00E42DC1"/>
    <w:rsid w:val="00E46D9A"/>
    <w:rsid w:val="00E542AB"/>
    <w:rsid w:val="00E565FF"/>
    <w:rsid w:val="00E578CA"/>
    <w:rsid w:val="00E65388"/>
    <w:rsid w:val="00E76515"/>
    <w:rsid w:val="00E80254"/>
    <w:rsid w:val="00E85B7D"/>
    <w:rsid w:val="00E863AE"/>
    <w:rsid w:val="00E908E6"/>
    <w:rsid w:val="00E9121B"/>
    <w:rsid w:val="00EA0AE2"/>
    <w:rsid w:val="00EA39E5"/>
    <w:rsid w:val="00EB1413"/>
    <w:rsid w:val="00EB2856"/>
    <w:rsid w:val="00EC5A46"/>
    <w:rsid w:val="00EC63E2"/>
    <w:rsid w:val="00EF22B3"/>
    <w:rsid w:val="00F03B69"/>
    <w:rsid w:val="00F06D55"/>
    <w:rsid w:val="00F07A50"/>
    <w:rsid w:val="00F113DA"/>
    <w:rsid w:val="00F11BA2"/>
    <w:rsid w:val="00F11F56"/>
    <w:rsid w:val="00F13B2A"/>
    <w:rsid w:val="00F17041"/>
    <w:rsid w:val="00F34760"/>
    <w:rsid w:val="00F37DC8"/>
    <w:rsid w:val="00F439B3"/>
    <w:rsid w:val="00F43C4B"/>
    <w:rsid w:val="00F6234A"/>
    <w:rsid w:val="00F650C3"/>
    <w:rsid w:val="00F65D85"/>
    <w:rsid w:val="00F806E3"/>
    <w:rsid w:val="00F8091E"/>
    <w:rsid w:val="00F811E2"/>
    <w:rsid w:val="00F842EF"/>
    <w:rsid w:val="00F849A3"/>
    <w:rsid w:val="00F8615C"/>
    <w:rsid w:val="00F969E5"/>
    <w:rsid w:val="00F970B3"/>
    <w:rsid w:val="00FA6BB0"/>
    <w:rsid w:val="00FB0085"/>
    <w:rsid w:val="00FC2B0C"/>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670A55"/>
    <w:pPr>
      <w:numPr>
        <w:numId w:val="4"/>
      </w:numPr>
      <w:tabs>
        <w:tab w:val="clear" w:pos="1247"/>
        <w:tab w:val="clear" w:pos="1814"/>
        <w:tab w:val="clear" w:pos="2381"/>
        <w:tab w:val="clear" w:pos="2948"/>
        <w:tab w:val="clear" w:pos="3515"/>
        <w:tab w:val="clear" w:pos="4082"/>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rPr>
  </w:style>
  <w:style w:type="character" w:customStyle="1" w:styleId="NormalnumberChar">
    <w:name w:val="Normal_number Char"/>
    <w:link w:val="Normalnumber"/>
    <w:rsid w:val="00670A55"/>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NoSpacing">
    <w:name w:val="No Spacing"/>
    <w:uiPriority w:val="1"/>
    <w:qFormat/>
    <w:rsid w:val="00D6075D"/>
    <w:rPr>
      <w:rFonts w:ascii="Calibri" w:eastAsia="Calibri" w:hAnsi="Calibri"/>
      <w:sz w:val="22"/>
      <w:szCs w:val="22"/>
      <w:lang w:val="es-MX"/>
    </w:rPr>
  </w:style>
  <w:style w:type="paragraph" w:styleId="ListParagraph">
    <w:name w:val="List Paragraph"/>
    <w:basedOn w:val="Normal"/>
    <w:uiPriority w:val="34"/>
    <w:qFormat/>
    <w:rsid w:val="00D6075D"/>
    <w:pPr>
      <w:ind w:left="720"/>
      <w:contextualSpacing/>
    </w:pPr>
    <w:rPr>
      <w:lang w:val="es-MX"/>
    </w:rPr>
  </w:style>
  <w:style w:type="paragraph" w:customStyle="1" w:styleId="SingleTxt">
    <w:name w:val="__Single Txt"/>
    <w:basedOn w:val="Normal"/>
    <w:uiPriority w:val="99"/>
    <w:rsid w:val="00D60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670A55"/>
    <w:pPr>
      <w:numPr>
        <w:numId w:val="4"/>
      </w:numPr>
      <w:tabs>
        <w:tab w:val="clear" w:pos="1247"/>
        <w:tab w:val="clear" w:pos="1814"/>
        <w:tab w:val="clear" w:pos="2381"/>
        <w:tab w:val="clear" w:pos="2948"/>
        <w:tab w:val="clear" w:pos="3515"/>
        <w:tab w:val="clear" w:pos="4082"/>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rPr>
  </w:style>
  <w:style w:type="character" w:customStyle="1" w:styleId="NormalnumberChar">
    <w:name w:val="Normal_number Char"/>
    <w:link w:val="Normalnumber"/>
    <w:rsid w:val="00670A55"/>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NoSpacing">
    <w:name w:val="No Spacing"/>
    <w:uiPriority w:val="1"/>
    <w:qFormat/>
    <w:rsid w:val="00D6075D"/>
    <w:rPr>
      <w:rFonts w:ascii="Calibri" w:eastAsia="Calibri" w:hAnsi="Calibri"/>
      <w:sz w:val="22"/>
      <w:szCs w:val="22"/>
      <w:lang w:val="es-MX"/>
    </w:rPr>
  </w:style>
  <w:style w:type="paragraph" w:styleId="ListParagraph">
    <w:name w:val="List Paragraph"/>
    <w:basedOn w:val="Normal"/>
    <w:uiPriority w:val="34"/>
    <w:qFormat/>
    <w:rsid w:val="00D6075D"/>
    <w:pPr>
      <w:ind w:left="720"/>
      <w:contextualSpacing/>
    </w:pPr>
    <w:rPr>
      <w:lang w:val="es-MX"/>
    </w:rPr>
  </w:style>
  <w:style w:type="paragraph" w:customStyle="1" w:styleId="SingleTxt">
    <w:name w:val="__Single Txt"/>
    <w:basedOn w:val="Normal"/>
    <w:uiPriority w:val="99"/>
    <w:rsid w:val="00D60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es.org/eng/app/appendices.php" TargetMode="External"/><Relationship Id="rId18" Type="http://schemas.openxmlformats.org/officeDocument/2006/relationships/hyperlink" Target="http://www.cites.org/common/resources/pub/ICCWC_Toolkit_v2_english.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bd.int/doc/programmes/socio-eco/use/aagp/AAGP.zip" TargetMode="External"/><Relationship Id="rId17" Type="http://schemas.openxmlformats.org/officeDocument/2006/relationships/hyperlink" Target="http://www.cites.org/eng/prog/ndf/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abio.gob.mx/institucion/cooperacion_internacional/TallerNDF/taller_ndf.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ites.org/eng/res/16/16-07.php"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ites.org/eng/res/16/16-06.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13C5-6484-4921-A7C4-4CFCD79D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14623</CharactersWithSpaces>
  <SharedDoc>false</SharedDoc>
  <HLinks>
    <vt:vector size="42" baseType="variant">
      <vt:variant>
        <vt:i4>3670090</vt:i4>
      </vt:variant>
      <vt:variant>
        <vt:i4>21</vt:i4>
      </vt:variant>
      <vt:variant>
        <vt:i4>0</vt:i4>
      </vt:variant>
      <vt:variant>
        <vt:i4>5</vt:i4>
      </vt:variant>
      <vt:variant>
        <vt:lpwstr>http://www.cites.org/common/resources/pub/ICCWC_Toolkit_v2_english.pdf</vt:lpwstr>
      </vt:variant>
      <vt:variant>
        <vt:lpwstr/>
      </vt:variant>
      <vt:variant>
        <vt:i4>7536758</vt:i4>
      </vt:variant>
      <vt:variant>
        <vt:i4>18</vt:i4>
      </vt:variant>
      <vt:variant>
        <vt:i4>0</vt:i4>
      </vt:variant>
      <vt:variant>
        <vt:i4>5</vt:i4>
      </vt:variant>
      <vt:variant>
        <vt:lpwstr>http://www.cites.org/eng/prog/ndf/index.php</vt:lpwstr>
      </vt:variant>
      <vt:variant>
        <vt:lpwstr/>
      </vt:variant>
      <vt:variant>
        <vt:i4>8257570</vt:i4>
      </vt:variant>
      <vt:variant>
        <vt:i4>15</vt:i4>
      </vt:variant>
      <vt:variant>
        <vt:i4>0</vt:i4>
      </vt:variant>
      <vt:variant>
        <vt:i4>5</vt:i4>
      </vt:variant>
      <vt:variant>
        <vt:lpwstr>http://www.conabio.gob.mx/institucion/cooperacion_internacional/TallerNDF/taller_ndf.html</vt:lpwstr>
      </vt:variant>
      <vt:variant>
        <vt:lpwstr/>
      </vt:variant>
      <vt:variant>
        <vt:i4>1704009</vt:i4>
      </vt:variant>
      <vt:variant>
        <vt:i4>12</vt:i4>
      </vt:variant>
      <vt:variant>
        <vt:i4>0</vt:i4>
      </vt:variant>
      <vt:variant>
        <vt:i4>5</vt:i4>
      </vt:variant>
      <vt:variant>
        <vt:lpwstr>http://www.cites.org/eng/res/16/16-07.php</vt:lpwstr>
      </vt:variant>
      <vt:variant>
        <vt:lpwstr/>
      </vt:variant>
      <vt:variant>
        <vt:i4>1704008</vt:i4>
      </vt:variant>
      <vt:variant>
        <vt:i4>9</vt:i4>
      </vt:variant>
      <vt:variant>
        <vt:i4>0</vt:i4>
      </vt:variant>
      <vt:variant>
        <vt:i4>5</vt:i4>
      </vt:variant>
      <vt:variant>
        <vt:lpwstr>http://www.cites.org/eng/res/16/16-06.php</vt:lpwstr>
      </vt:variant>
      <vt:variant>
        <vt:lpwstr/>
      </vt:variant>
      <vt:variant>
        <vt:i4>6357024</vt:i4>
      </vt:variant>
      <vt:variant>
        <vt:i4>6</vt:i4>
      </vt:variant>
      <vt:variant>
        <vt:i4>0</vt:i4>
      </vt:variant>
      <vt:variant>
        <vt:i4>5</vt:i4>
      </vt:variant>
      <vt:variant>
        <vt:lpwstr>http://www.cites.org/eng/app/appendices.php</vt:lpwstr>
      </vt:variant>
      <vt:variant>
        <vt:lpwstr/>
      </vt:variant>
      <vt:variant>
        <vt:i4>3670140</vt:i4>
      </vt:variant>
      <vt:variant>
        <vt:i4>3</vt:i4>
      </vt:variant>
      <vt:variant>
        <vt:i4>0</vt:i4>
      </vt:variant>
      <vt:variant>
        <vt:i4>5</vt:i4>
      </vt:variant>
      <vt:variant>
        <vt:lpwstr>https://www.cbd.int/doc/programmes/socio-eco/use/aagp/AAGP.zip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 Shanbhag</cp:lastModifiedBy>
  <cp:revision>2</cp:revision>
  <cp:lastPrinted>2013-10-29T05:24:00Z</cp:lastPrinted>
  <dcterms:created xsi:type="dcterms:W3CDTF">2013-11-06T07:54:00Z</dcterms:created>
  <dcterms:modified xsi:type="dcterms:W3CDTF">2013-11-06T07:54:00Z</dcterms:modified>
</cp:coreProperties>
</file>