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F41127">
            <w:pPr>
              <w:rPr>
                <w:noProof/>
                <w:sz w:val="18"/>
                <w:szCs w:val="18"/>
                <w:lang w:eastAsia="ja-JP"/>
              </w:rPr>
            </w:pPr>
            <w:r w:rsidRPr="009D59AB">
              <w:rPr>
                <w:b/>
                <w:sz w:val="24"/>
                <w:szCs w:val="24"/>
              </w:rPr>
              <w:t>IPBES</w:t>
            </w:r>
            <w:r w:rsidRPr="00F47CD5">
              <w:rPr>
                <w:lang w:eastAsia="ja-JP"/>
              </w:rPr>
              <w:t>/2/</w:t>
            </w:r>
            <w:r w:rsidR="00651E50">
              <w:rPr>
                <w:lang w:eastAsia="ja-JP"/>
              </w:rPr>
              <w:t>16/Add.2</w:t>
            </w:r>
          </w:p>
        </w:tc>
      </w:tr>
      <w:bookmarkStart w:id="0" w:name="_MON_1021710482"/>
      <w:bookmarkStart w:id="1" w:name="_MON_1021710510"/>
      <w:bookmarkEnd w:id="0"/>
      <w:bookmarkEnd w:id="1"/>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446046228" r:id="rId9"/>
              </w:object>
            </w:r>
            <w:r w:rsidR="00384D3D">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6B66CA">
            <w:pPr>
              <w:spacing w:before="120"/>
            </w:pPr>
            <w:r w:rsidRPr="002726CF">
              <w:t>Distr.: General</w:t>
            </w:r>
            <w:r w:rsidR="006B66CA">
              <w:br/>
            </w:r>
            <w:r w:rsidR="00651E50">
              <w:t>26</w:t>
            </w:r>
            <w:r w:rsidR="00F41127" w:rsidRPr="008F52D0">
              <w:t xml:space="preserve"> September 2013</w:t>
            </w:r>
          </w:p>
          <w:p w:rsidR="00494455" w:rsidRPr="002726CF" w:rsidRDefault="00462C3C" w:rsidP="00642D47">
            <w:pPr>
              <w:spacing w:before="120"/>
            </w:pPr>
            <w:r>
              <w:t xml:space="preserve">Original: </w:t>
            </w:r>
            <w:r w:rsidR="00494455" w:rsidRPr="002726CF">
              <w:t>English</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Pr="00F47CD5"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EA0290" w:rsidRPr="00642D47" w:rsidRDefault="00F67A48" w:rsidP="00EA0290">
      <w:pPr>
        <w:pStyle w:val="AATitle"/>
        <w:keepNext w:val="0"/>
        <w:keepLines w:val="0"/>
        <w:rPr>
          <w:b w:val="0"/>
          <w:lang w:eastAsia="ja-JP"/>
        </w:rPr>
      </w:pPr>
      <w:r w:rsidRPr="00E74B3A">
        <w:rPr>
          <w:b w:val="0"/>
          <w:lang w:val="fr-CA" w:eastAsia="ja-JP"/>
        </w:rPr>
        <w:t xml:space="preserve">Item 4 (a) of the </w:t>
      </w:r>
      <w:r w:rsidRPr="00642D47">
        <w:rPr>
          <w:b w:val="0"/>
          <w:lang w:eastAsia="ja-JP"/>
        </w:rPr>
        <w:t>provisional agenda</w:t>
      </w:r>
      <w:r w:rsidRPr="00642D47">
        <w:rPr>
          <w:rStyle w:val="FootnoteReference"/>
          <w:b w:val="0"/>
          <w:lang w:eastAsia="ja-JP"/>
        </w:rPr>
        <w:footnoteReference w:customMarkFollows="1" w:id="1"/>
        <w:sym w:font="Symbol" w:char="F02A"/>
      </w:r>
      <w:r w:rsidRPr="00642D47">
        <w:rPr>
          <w:b w:val="0"/>
          <w:lang w:eastAsia="ja-JP"/>
        </w:rPr>
        <w:t> </w:t>
      </w:r>
    </w:p>
    <w:p w:rsidR="00651E50" w:rsidRDefault="00651E50" w:rsidP="00EA0290">
      <w:pPr>
        <w:pStyle w:val="AATitle2"/>
        <w:spacing w:before="60"/>
      </w:pPr>
      <w:r w:rsidRPr="00642D47">
        <w:t>Initial work programme of the</w:t>
      </w:r>
      <w:r w:rsidRPr="00E74B3A">
        <w:t xml:space="preserve"> Platform</w:t>
      </w:r>
      <w:r w:rsidR="00F67A48" w:rsidRPr="00E74B3A">
        <w:t>:</w:t>
      </w:r>
      <w:r w:rsidR="005D745E">
        <w:t xml:space="preserve"> </w:t>
      </w:r>
      <w:r w:rsidR="00EA0290">
        <w:br/>
      </w:r>
      <w:r w:rsidR="00F67A48" w:rsidRPr="00E74B3A">
        <w:t>w</w:t>
      </w:r>
      <w:r w:rsidRPr="00E74B3A">
        <w:t>ork programme 2014</w:t>
      </w:r>
      <w:r w:rsidR="00E74B3A" w:rsidRPr="00E74B3A">
        <w:t>–</w:t>
      </w:r>
      <w:r w:rsidRPr="00E74B3A">
        <w:t>2018</w:t>
      </w:r>
    </w:p>
    <w:p w:rsidR="00651E50" w:rsidRDefault="00651E50" w:rsidP="00EA0290">
      <w:pPr>
        <w:pStyle w:val="BBTitle"/>
      </w:pPr>
      <w:r w:rsidRPr="00651E50">
        <w:t xml:space="preserve">Initial scoping for the thematic assessment </w:t>
      </w:r>
      <w:r w:rsidR="00B619AA" w:rsidRPr="00651E50">
        <w:t>o</w:t>
      </w:r>
      <w:r w:rsidR="00B619AA">
        <w:t>f</w:t>
      </w:r>
      <w:r w:rsidR="00B619AA" w:rsidRPr="00651E50">
        <w:t xml:space="preserve"> </w:t>
      </w:r>
      <w:r w:rsidRPr="00651E50">
        <w:t>land degradation and restoration</w:t>
      </w:r>
    </w:p>
    <w:p w:rsidR="002632F3" w:rsidRPr="002D7F92" w:rsidRDefault="00413942" w:rsidP="002D7F92">
      <w:pPr>
        <w:pStyle w:val="CH2"/>
      </w:pPr>
      <w:r w:rsidRPr="002D7F92">
        <w:tab/>
      </w:r>
      <w:r w:rsidRPr="002D7F92">
        <w:tab/>
      </w:r>
      <w:r w:rsidR="00AC06DF" w:rsidRPr="002D7F92">
        <w:t>Note by the secretariat</w:t>
      </w:r>
    </w:p>
    <w:p w:rsidR="006E3F57" w:rsidRPr="006B66CA" w:rsidRDefault="006B66CA" w:rsidP="00642D47">
      <w:pPr>
        <w:pStyle w:val="CH1"/>
      </w:pPr>
      <w:r>
        <w:tab/>
        <w:t>I.</w:t>
      </w:r>
      <w:r>
        <w:tab/>
      </w:r>
      <w:r w:rsidR="006E3F57" w:rsidRPr="00642D47">
        <w:t>Introduction</w:t>
      </w:r>
    </w:p>
    <w:p w:rsidR="004121C4" w:rsidRPr="00202153" w:rsidRDefault="004121C4" w:rsidP="00EA0290">
      <w:pPr>
        <w:pStyle w:val="Normalnumber"/>
      </w:pPr>
      <w:r w:rsidRPr="00202153">
        <w:t xml:space="preserve">Recognizing that it would be necessary to </w:t>
      </w:r>
      <w:r w:rsidR="00055DF4">
        <w:t>move forward</w:t>
      </w:r>
      <w:r w:rsidRPr="00202153">
        <w:t xml:space="preserve"> with the work programme for</w:t>
      </w:r>
      <w:r w:rsidR="000F4F06">
        <w:t> </w:t>
      </w:r>
      <w:r w:rsidRPr="00202153">
        <w:t xml:space="preserve">2014–2018 </w:t>
      </w:r>
      <w:r w:rsidR="000F4F06">
        <w:t>following its approval</w:t>
      </w:r>
      <w:r w:rsidRPr="00202153">
        <w:t xml:space="preserve"> by </w:t>
      </w:r>
      <w:r>
        <w:t xml:space="preserve">the </w:t>
      </w:r>
      <w:r w:rsidRPr="00202153">
        <w:t xml:space="preserve">Plenary </w:t>
      </w:r>
      <w:r>
        <w:t>of the Intergovernmental Science</w:t>
      </w:r>
      <w:r w:rsidR="000F4F06">
        <w:noBreakHyphen/>
      </w:r>
      <w:r>
        <w:t xml:space="preserve">Policy Platform for Biodiversity and Ecosystem Services </w:t>
      </w:r>
      <w:r w:rsidRPr="00202153">
        <w:t>at its second session, the Bureau and the Multidisciplinary Expert Panel agreed to prepare</w:t>
      </w:r>
      <w:r w:rsidR="006E3F57">
        <w:t>,</w:t>
      </w:r>
      <w:r w:rsidRPr="00202153">
        <w:t xml:space="preserve"> for consideration by the Plenary at that session</w:t>
      </w:r>
      <w:r w:rsidR="006E3F57">
        <w:t>,</w:t>
      </w:r>
      <w:r w:rsidRPr="00202153">
        <w:t xml:space="preserve"> a number of initial scoping documents based on the prioritization of requests, suggestions and inputs put to the Platform and the deliverables</w:t>
      </w:r>
      <w:r w:rsidR="000F4F06">
        <w:t xml:space="preserve"> set out</w:t>
      </w:r>
      <w:r w:rsidRPr="00202153">
        <w:t xml:space="preserve"> in the draft work programme (IPBES/2/2). </w:t>
      </w:r>
      <w:r w:rsidR="006E3F57">
        <w:t>T</w:t>
      </w:r>
      <w:r>
        <w:t xml:space="preserve">he present note sets out </w:t>
      </w:r>
      <w:r w:rsidRPr="00202153">
        <w:t xml:space="preserve">the initial scoping for a proposed </w:t>
      </w:r>
      <w:r>
        <w:t>thematic assessment on land degradation and restoration. It has been</w:t>
      </w:r>
      <w:r w:rsidRPr="00202153">
        <w:t xml:space="preserve"> developed in accordance with the  draft procedures for the preparation of the Platform’s deliverables (IPBES/2/9). </w:t>
      </w:r>
    </w:p>
    <w:p w:rsidR="00651E50" w:rsidRDefault="00B35D0C" w:rsidP="00EA0290">
      <w:pPr>
        <w:pStyle w:val="CH1"/>
        <w:rPr>
          <w:lang w:val="en-US"/>
        </w:rPr>
      </w:pPr>
      <w:r>
        <w:rPr>
          <w:lang w:val="en-US"/>
        </w:rPr>
        <w:tab/>
      </w:r>
      <w:r w:rsidR="00FE46B3">
        <w:rPr>
          <w:lang w:val="en-US"/>
        </w:rPr>
        <w:t>I</w:t>
      </w:r>
      <w:r w:rsidR="000F4F06">
        <w:rPr>
          <w:lang w:val="en-US"/>
        </w:rPr>
        <w:t>I</w:t>
      </w:r>
      <w:r w:rsidR="00FE46B3">
        <w:rPr>
          <w:lang w:val="en-US"/>
        </w:rPr>
        <w:t>.</w:t>
      </w:r>
      <w:r w:rsidR="00651E50" w:rsidRPr="00DC2597">
        <w:rPr>
          <w:lang w:val="en-US"/>
        </w:rPr>
        <w:tab/>
      </w:r>
      <w:r>
        <w:rPr>
          <w:lang w:val="en-US"/>
        </w:rPr>
        <w:t>S</w:t>
      </w:r>
      <w:r w:rsidR="00651E50" w:rsidRPr="00DC2597">
        <w:rPr>
          <w:lang w:val="en-US"/>
        </w:rPr>
        <w:t>cope, rationale</w:t>
      </w:r>
      <w:r w:rsidR="00055DF4">
        <w:rPr>
          <w:lang w:val="en-US"/>
        </w:rPr>
        <w:t>,</w:t>
      </w:r>
      <w:r w:rsidR="00651E50" w:rsidRPr="00DC2597">
        <w:rPr>
          <w:lang w:val="en-US"/>
        </w:rPr>
        <w:t xml:space="preserve"> utility</w:t>
      </w:r>
      <w:r w:rsidR="00055DF4">
        <w:rPr>
          <w:lang w:val="en-US"/>
        </w:rPr>
        <w:t xml:space="preserve"> and assumptions</w:t>
      </w:r>
    </w:p>
    <w:p w:rsidR="00FE46B3" w:rsidRPr="006B66CA" w:rsidRDefault="006B66CA" w:rsidP="006B66CA">
      <w:pPr>
        <w:pStyle w:val="CH2"/>
        <w:tabs>
          <w:tab w:val="clear" w:pos="624"/>
          <w:tab w:val="clear" w:pos="851"/>
          <w:tab w:val="clear" w:pos="1247"/>
          <w:tab w:val="clear" w:pos="1814"/>
          <w:tab w:val="clear" w:pos="2381"/>
          <w:tab w:val="clear" w:pos="2948"/>
          <w:tab w:val="clear" w:pos="3515"/>
        </w:tabs>
        <w:ind w:left="0" w:firstLine="0"/>
      </w:pPr>
      <w:r>
        <w:tab/>
        <w:t>A.</w:t>
      </w:r>
      <w:r>
        <w:tab/>
      </w:r>
      <w:r w:rsidR="00FE46B3" w:rsidRPr="006B66CA">
        <w:t>Scope</w:t>
      </w:r>
    </w:p>
    <w:p w:rsidR="00651E50" w:rsidRPr="00EA0290" w:rsidRDefault="00FE46B3" w:rsidP="00286F23">
      <w:pPr>
        <w:pStyle w:val="Normalnumber"/>
        <w:rPr>
          <w:lang w:val="en-US"/>
        </w:rPr>
      </w:pPr>
      <w:r w:rsidRPr="00055DF4">
        <w:t xml:space="preserve">The objective of the </w:t>
      </w:r>
      <w:r w:rsidR="00900BB6" w:rsidRPr="00055DF4">
        <w:t xml:space="preserve">proposed </w:t>
      </w:r>
      <w:r w:rsidR="00055DF4" w:rsidRPr="00642D47">
        <w:t xml:space="preserve"> </w:t>
      </w:r>
      <w:r w:rsidRPr="00642D47">
        <w:t xml:space="preserve">assessment of land degradation and restoration </w:t>
      </w:r>
      <w:r w:rsidR="003D663F" w:rsidRPr="00642D47">
        <w:t>is</w:t>
      </w:r>
      <w:r w:rsidRPr="00642D47">
        <w:t xml:space="preserve"> to a</w:t>
      </w:r>
      <w:r w:rsidR="00651E50" w:rsidRPr="00642D47">
        <w:t xml:space="preserve">ssess </w:t>
      </w:r>
      <w:r w:rsidR="00651E50" w:rsidRPr="00642D47">
        <w:rPr>
          <w:lang w:val="en-US"/>
        </w:rPr>
        <w:t>methodologies for assessing and categorizing land degradation</w:t>
      </w:r>
      <w:r>
        <w:rPr>
          <w:lang w:val="en-US"/>
        </w:rPr>
        <w:t>;</w:t>
      </w:r>
      <w:r w:rsidR="00651E50" w:rsidRPr="00DC2597">
        <w:rPr>
          <w:lang w:val="en-US"/>
        </w:rPr>
        <w:t xml:space="preserve"> the global status</w:t>
      </w:r>
      <w:r>
        <w:rPr>
          <w:lang w:val="en-US"/>
        </w:rPr>
        <w:t xml:space="preserve"> of</w:t>
      </w:r>
      <w:r w:rsidR="00651E50" w:rsidRPr="00DC2597">
        <w:rPr>
          <w:lang w:val="en-US"/>
        </w:rPr>
        <w:t>, trends</w:t>
      </w:r>
      <w:r>
        <w:rPr>
          <w:lang w:val="en-US"/>
        </w:rPr>
        <w:t xml:space="preserve"> in</w:t>
      </w:r>
      <w:r w:rsidR="00651E50" w:rsidRPr="00DC2597">
        <w:rPr>
          <w:lang w:val="en-US"/>
        </w:rPr>
        <w:t xml:space="preserve"> and drivers of land degradation</w:t>
      </w:r>
      <w:r w:rsidR="009B463C">
        <w:rPr>
          <w:lang w:val="en-US"/>
        </w:rPr>
        <w:t>,</w:t>
      </w:r>
      <w:r w:rsidR="00651E50" w:rsidRPr="00DC2597">
        <w:rPr>
          <w:lang w:val="en-US"/>
        </w:rPr>
        <w:t xml:space="preserve"> by region and land cover type, taking account of </w:t>
      </w:r>
      <w:r>
        <w:rPr>
          <w:lang w:val="en-US"/>
        </w:rPr>
        <w:t>various</w:t>
      </w:r>
      <w:r w:rsidRPr="00DC2597">
        <w:rPr>
          <w:lang w:val="en-US"/>
        </w:rPr>
        <w:t xml:space="preserve"> </w:t>
      </w:r>
      <w:r w:rsidR="00651E50" w:rsidRPr="00DC2597">
        <w:rPr>
          <w:lang w:val="en-US"/>
        </w:rPr>
        <w:t xml:space="preserve">knowledge and value systems; the effect of land degradation on biodiversity values, ecosystem services and human well-being; </w:t>
      </w:r>
      <w:r w:rsidR="003D663F">
        <w:rPr>
          <w:lang w:val="en-US"/>
        </w:rPr>
        <w:t xml:space="preserve">and </w:t>
      </w:r>
      <w:r w:rsidR="00651E50" w:rsidRPr="00DC2597">
        <w:rPr>
          <w:lang w:val="en-US"/>
        </w:rPr>
        <w:t xml:space="preserve">the state of knowledge of </w:t>
      </w:r>
      <w:r w:rsidR="00651E50" w:rsidRPr="00EA0290">
        <w:rPr>
          <w:lang w:val="en-US"/>
        </w:rPr>
        <w:t>measures to mitigate degradation and restore or recover biodiversity and ecosystem services, by region and land cover type</w:t>
      </w:r>
      <w:r w:rsidR="003D663F" w:rsidRPr="00EA0290">
        <w:rPr>
          <w:lang w:val="en-US"/>
        </w:rPr>
        <w:t>.</w:t>
      </w:r>
    </w:p>
    <w:p w:rsidR="00E14955" w:rsidRPr="00EA0290" w:rsidRDefault="00E14955" w:rsidP="00642D47">
      <w:pPr>
        <w:pStyle w:val="CH2"/>
        <w:tabs>
          <w:tab w:val="clear" w:pos="624"/>
          <w:tab w:val="clear" w:pos="851"/>
          <w:tab w:val="clear" w:pos="1247"/>
          <w:tab w:val="clear" w:pos="1814"/>
          <w:tab w:val="clear" w:pos="2381"/>
          <w:tab w:val="clear" w:pos="2948"/>
          <w:tab w:val="clear" w:pos="3515"/>
        </w:tabs>
        <w:ind w:left="0" w:firstLine="0"/>
      </w:pPr>
      <w:r w:rsidRPr="00EA0290">
        <w:lastRenderedPageBreak/>
        <w:tab/>
        <w:t>B.</w:t>
      </w:r>
      <w:r w:rsidRPr="00EA0290">
        <w:tab/>
      </w:r>
      <w:r w:rsidR="00651E50" w:rsidRPr="00EA0290">
        <w:t>Rationale</w:t>
      </w:r>
    </w:p>
    <w:p w:rsidR="00651E50" w:rsidRPr="00580152" w:rsidRDefault="00651E50" w:rsidP="00642D47">
      <w:pPr>
        <w:pStyle w:val="Normalnumber"/>
        <w:keepNext/>
        <w:keepLines/>
        <w:rPr>
          <w:lang w:val="en-US"/>
        </w:rPr>
      </w:pPr>
      <w:r w:rsidRPr="00EA0290">
        <w:rPr>
          <w:lang w:val="en-US"/>
        </w:rPr>
        <w:t xml:space="preserve">Land degradation is defined </w:t>
      </w:r>
      <w:r w:rsidR="009B0859" w:rsidRPr="00EA0290">
        <w:rPr>
          <w:lang w:val="en-US"/>
        </w:rPr>
        <w:t>for the purposes of th</w:t>
      </w:r>
      <w:r w:rsidR="005B7D60" w:rsidRPr="00EA0290">
        <w:rPr>
          <w:lang w:val="en-US"/>
        </w:rPr>
        <w:t>e present</w:t>
      </w:r>
      <w:r w:rsidR="009B0859" w:rsidRPr="00EA0290">
        <w:rPr>
          <w:lang w:val="en-US"/>
        </w:rPr>
        <w:t xml:space="preserve"> note </w:t>
      </w:r>
      <w:r w:rsidRPr="00EA0290">
        <w:rPr>
          <w:lang w:val="en-US"/>
        </w:rPr>
        <w:t>as a long-term decline in biodiversity</w:t>
      </w:r>
      <w:r w:rsidR="00B74DAA">
        <w:rPr>
          <w:lang w:val="en-US"/>
        </w:rPr>
        <w:t xml:space="preserve"> or</w:t>
      </w:r>
      <w:r w:rsidR="00B74DAA" w:rsidRPr="00EA0290">
        <w:rPr>
          <w:lang w:val="en-US"/>
        </w:rPr>
        <w:t xml:space="preserve"> </w:t>
      </w:r>
      <w:r w:rsidRPr="00EA0290">
        <w:rPr>
          <w:lang w:val="en-US"/>
        </w:rPr>
        <w:t xml:space="preserve">ecosystem function </w:t>
      </w:r>
      <w:r w:rsidR="009B463C">
        <w:rPr>
          <w:lang w:val="en-US"/>
        </w:rPr>
        <w:t>or</w:t>
      </w:r>
      <w:r w:rsidR="00271A4F" w:rsidRPr="00EA0290">
        <w:rPr>
          <w:lang w:val="en-US"/>
        </w:rPr>
        <w:t xml:space="preserve"> </w:t>
      </w:r>
      <w:r w:rsidRPr="00EA0290">
        <w:rPr>
          <w:lang w:val="en-US"/>
        </w:rPr>
        <w:t>loss of ecosystem services</w:t>
      </w:r>
      <w:r w:rsidRPr="00DC2597">
        <w:rPr>
          <w:lang w:val="en-US"/>
        </w:rPr>
        <w:t xml:space="preserve"> from which land cannot recover unaided. It is a major environmental problem and all continents with permanent human settlement are affected by it in different forms and </w:t>
      </w:r>
      <w:r w:rsidR="00DC438B">
        <w:rPr>
          <w:lang w:val="en-US"/>
        </w:rPr>
        <w:t xml:space="preserve">on various </w:t>
      </w:r>
      <w:r w:rsidRPr="00DC2597">
        <w:rPr>
          <w:lang w:val="en-US"/>
        </w:rPr>
        <w:t>scale</w:t>
      </w:r>
      <w:r w:rsidR="00DC438B">
        <w:rPr>
          <w:lang w:val="en-US"/>
        </w:rPr>
        <w:t>s</w:t>
      </w:r>
      <w:r w:rsidRPr="00DC2597">
        <w:rPr>
          <w:lang w:val="en-US"/>
        </w:rPr>
        <w:t xml:space="preserve">. This was acknowledged at the United Nations Conference on Sustainable Development (Rio+20), </w:t>
      </w:r>
      <w:r w:rsidR="00055DF4">
        <w:rPr>
          <w:lang w:val="en-US"/>
        </w:rPr>
        <w:t>at which</w:t>
      </w:r>
      <w:r w:rsidR="00DC438B">
        <w:rPr>
          <w:lang w:val="en-US"/>
        </w:rPr>
        <w:t xml:space="preserve"> participants stated that they would strive </w:t>
      </w:r>
      <w:r w:rsidR="00BB7F71">
        <w:rPr>
          <w:lang w:val="en-US"/>
        </w:rPr>
        <w:t xml:space="preserve">to </w:t>
      </w:r>
      <w:r w:rsidRPr="00DC2597">
        <w:rPr>
          <w:lang w:val="en-US"/>
        </w:rPr>
        <w:t>achieve a land</w:t>
      </w:r>
      <w:r w:rsidR="00B74DAA">
        <w:rPr>
          <w:lang w:val="en-US"/>
        </w:rPr>
        <w:t>-</w:t>
      </w:r>
      <w:r w:rsidRPr="00DC2597">
        <w:rPr>
          <w:lang w:val="en-US"/>
        </w:rPr>
        <w:t xml:space="preserve">degradation-neutral world </w:t>
      </w:r>
      <w:r w:rsidR="00DC438B">
        <w:rPr>
          <w:lang w:val="en-US"/>
        </w:rPr>
        <w:t xml:space="preserve">in the context of sustainable </w:t>
      </w:r>
      <w:r w:rsidR="00DC438B" w:rsidRPr="00580152">
        <w:rPr>
          <w:lang w:val="en-US"/>
        </w:rPr>
        <w:t>development.</w:t>
      </w:r>
      <w:r w:rsidR="00DC438B">
        <w:rPr>
          <w:rStyle w:val="FootnoteReference"/>
          <w:lang w:val="en-US"/>
        </w:rPr>
        <w:footnoteReference w:id="2"/>
      </w:r>
    </w:p>
    <w:p w:rsidR="00651E50" w:rsidRPr="00EA0290" w:rsidRDefault="00651E50" w:rsidP="00286F23">
      <w:pPr>
        <w:pStyle w:val="Normalnumber"/>
        <w:rPr>
          <w:lang w:val="en-US"/>
        </w:rPr>
      </w:pPr>
      <w:r w:rsidRPr="00DC2597">
        <w:rPr>
          <w:lang w:val="en-US"/>
        </w:rPr>
        <w:t xml:space="preserve">Land degradation will remain an important global issue for the </w:t>
      </w:r>
      <w:r w:rsidR="00AD5255">
        <w:rPr>
          <w:lang w:val="en-US"/>
        </w:rPr>
        <w:t>twenty-fir</w:t>
      </w:r>
      <w:r w:rsidR="00AD5255" w:rsidRPr="00DC2597">
        <w:rPr>
          <w:lang w:val="en-US"/>
        </w:rPr>
        <w:t xml:space="preserve">st </w:t>
      </w:r>
      <w:r w:rsidRPr="00DC2597">
        <w:rPr>
          <w:lang w:val="en-US"/>
        </w:rPr>
        <w:t xml:space="preserve">century because of its adverse impact on agricultural production, biodiversity and quality of life. It is estimated to be responsible for global economic losses of between $50 </w:t>
      </w:r>
      <w:r w:rsidR="00AD5255">
        <w:rPr>
          <w:lang w:val="en-US"/>
        </w:rPr>
        <w:t xml:space="preserve">billion </w:t>
      </w:r>
      <w:r w:rsidRPr="00DC2597">
        <w:rPr>
          <w:lang w:val="en-US"/>
        </w:rPr>
        <w:t xml:space="preserve">and $400 billion </w:t>
      </w:r>
      <w:r w:rsidR="00AD5255">
        <w:rPr>
          <w:lang w:val="en-US"/>
        </w:rPr>
        <w:t>each year</w:t>
      </w:r>
      <w:r w:rsidRPr="00DC2597">
        <w:rPr>
          <w:lang w:val="en-US"/>
        </w:rPr>
        <w:t>. At least 40</w:t>
      </w:r>
      <w:r w:rsidR="00AD5255">
        <w:rPr>
          <w:lang w:val="en-US"/>
        </w:rPr>
        <w:t xml:space="preserve"> per cent</w:t>
      </w:r>
      <w:r w:rsidRPr="00DC2597">
        <w:rPr>
          <w:lang w:val="en-US"/>
        </w:rPr>
        <w:t xml:space="preserve"> of the African continent’s land is </w:t>
      </w:r>
      <w:r w:rsidRPr="00EA0290">
        <w:rPr>
          <w:lang w:val="en-US"/>
        </w:rPr>
        <w:t xml:space="preserve">degraded. Land degradation is particularly serious and urgent in drylands (where it is called </w:t>
      </w:r>
      <w:r w:rsidR="00AD5255" w:rsidRPr="00EA0290">
        <w:rPr>
          <w:lang w:val="en-US"/>
        </w:rPr>
        <w:t>“</w:t>
      </w:r>
      <w:r w:rsidRPr="00EA0290">
        <w:rPr>
          <w:lang w:val="en-US"/>
        </w:rPr>
        <w:t>desertification</w:t>
      </w:r>
      <w:r w:rsidR="00AD5255" w:rsidRPr="00EA0290">
        <w:rPr>
          <w:lang w:val="en-US"/>
        </w:rPr>
        <w:t>”</w:t>
      </w:r>
      <w:r w:rsidRPr="00EA0290">
        <w:rPr>
          <w:lang w:val="en-US"/>
        </w:rPr>
        <w:t>, affecting 33</w:t>
      </w:r>
      <w:r w:rsidR="00AD5255" w:rsidRPr="00EA0290">
        <w:rPr>
          <w:lang w:val="en-US"/>
        </w:rPr>
        <w:t xml:space="preserve"> per cent</w:t>
      </w:r>
      <w:r w:rsidRPr="00EA0290">
        <w:rPr>
          <w:lang w:val="en-US"/>
        </w:rPr>
        <w:t xml:space="preserve"> of the earth’s </w:t>
      </w:r>
      <w:r w:rsidR="00271A4F" w:rsidRPr="00EA0290">
        <w:rPr>
          <w:lang w:val="en-US"/>
        </w:rPr>
        <w:t xml:space="preserve">terrestrial </w:t>
      </w:r>
      <w:r w:rsidRPr="00EA0290">
        <w:rPr>
          <w:lang w:val="en-US"/>
        </w:rPr>
        <w:t>surface</w:t>
      </w:r>
      <w:r w:rsidR="00AD5255" w:rsidRPr="00EA0290">
        <w:rPr>
          <w:rStyle w:val="FootnoteReference"/>
          <w:lang w:val="en-US"/>
        </w:rPr>
        <w:footnoteReference w:id="3"/>
      </w:r>
      <w:r w:rsidRPr="00EA0290">
        <w:rPr>
          <w:lang w:val="en-US"/>
        </w:rPr>
        <w:t>). Here, the livelihoods of over one billion people depend on its mitigation, as the land is their main source of food.</w:t>
      </w:r>
      <w:r w:rsidR="00AD5255" w:rsidRPr="00EA0290">
        <w:rPr>
          <w:lang w:val="en-US"/>
        </w:rPr>
        <w:t xml:space="preserve"> </w:t>
      </w:r>
    </w:p>
    <w:p w:rsidR="00651E50" w:rsidRPr="00DC2597" w:rsidRDefault="00651E50" w:rsidP="00286F23">
      <w:pPr>
        <w:pStyle w:val="Normalnumber"/>
        <w:rPr>
          <w:lang w:val="en-US"/>
        </w:rPr>
      </w:pPr>
      <w:r w:rsidRPr="00DC2597">
        <w:rPr>
          <w:lang w:val="en-US"/>
        </w:rPr>
        <w:t xml:space="preserve">The multiplicity of forms and causes of degradation makes </w:t>
      </w:r>
      <w:r w:rsidR="003A4C16">
        <w:rPr>
          <w:lang w:val="en-US"/>
        </w:rPr>
        <w:t>it</w:t>
      </w:r>
      <w:r w:rsidR="003A4C16" w:rsidRPr="00DC2597">
        <w:rPr>
          <w:lang w:val="en-US"/>
        </w:rPr>
        <w:t xml:space="preserve"> </w:t>
      </w:r>
      <w:r w:rsidRPr="00DC2597">
        <w:rPr>
          <w:lang w:val="en-US"/>
        </w:rPr>
        <w:t xml:space="preserve">a complex issue, a factor </w:t>
      </w:r>
      <w:r w:rsidR="003A4C16">
        <w:rPr>
          <w:lang w:val="en-US"/>
        </w:rPr>
        <w:t>that</w:t>
      </w:r>
      <w:r w:rsidRPr="00DC2597">
        <w:rPr>
          <w:lang w:val="en-US"/>
        </w:rPr>
        <w:t xml:space="preserve"> has </w:t>
      </w:r>
      <w:r w:rsidR="003A4C16">
        <w:rPr>
          <w:lang w:val="en-US"/>
        </w:rPr>
        <w:t>thus far</w:t>
      </w:r>
      <w:r w:rsidRPr="00DC2597">
        <w:rPr>
          <w:lang w:val="en-US"/>
        </w:rPr>
        <w:t xml:space="preserve"> put a brake on its being taken into consideration</w:t>
      </w:r>
      <w:r w:rsidR="003A4C16">
        <w:rPr>
          <w:lang w:val="en-US"/>
        </w:rPr>
        <w:t>, although</w:t>
      </w:r>
      <w:r w:rsidRPr="00DC2597">
        <w:rPr>
          <w:lang w:val="en-US"/>
        </w:rPr>
        <w:t xml:space="preserve"> there have been various efforts to systematize this complexity</w:t>
      </w:r>
      <w:r w:rsidR="003A4C16">
        <w:rPr>
          <w:lang w:val="en-US"/>
        </w:rPr>
        <w:t>.</w:t>
      </w:r>
      <w:r w:rsidRPr="00DC2597">
        <w:rPr>
          <w:lang w:val="en-US"/>
        </w:rPr>
        <w:t xml:space="preserve"> </w:t>
      </w:r>
      <w:r w:rsidR="003A4C16">
        <w:rPr>
          <w:rStyle w:val="FootnoteReference"/>
          <w:lang w:val="en-US"/>
        </w:rPr>
        <w:footnoteReference w:id="4"/>
      </w:r>
      <w:r w:rsidRPr="00DC2597">
        <w:rPr>
          <w:lang w:val="en-US"/>
        </w:rPr>
        <w:t xml:space="preserve"> Assessments need to be sensitive to context and diverse knowledge systems and </w:t>
      </w:r>
      <w:r w:rsidR="00900BB6">
        <w:rPr>
          <w:lang w:val="en-US"/>
        </w:rPr>
        <w:t xml:space="preserve">must be </w:t>
      </w:r>
      <w:r w:rsidRPr="00DC2597">
        <w:rPr>
          <w:lang w:val="en-US"/>
        </w:rPr>
        <w:t>carried out at comparable and relevant scales</w:t>
      </w:r>
      <w:r w:rsidR="00900BB6">
        <w:rPr>
          <w:rStyle w:val="FootnoteReference"/>
          <w:lang w:val="en-US"/>
        </w:rPr>
        <w:footnoteReference w:id="5"/>
      </w:r>
      <w:r w:rsidRPr="00DC2597">
        <w:rPr>
          <w:lang w:val="en-US"/>
        </w:rPr>
        <w:t xml:space="preserve"> to maintain credibility with key stakeholders. They also need to address potential benefits of ecosystem services recovery and future sustainable land management practices. </w:t>
      </w:r>
    </w:p>
    <w:p w:rsidR="00651E50" w:rsidRPr="00DC2597" w:rsidRDefault="00651E50" w:rsidP="00286F23">
      <w:pPr>
        <w:pStyle w:val="Normalnumber"/>
        <w:rPr>
          <w:lang w:val="en-US"/>
        </w:rPr>
      </w:pPr>
      <w:r w:rsidRPr="00DC2597">
        <w:rPr>
          <w:lang w:val="en-US"/>
        </w:rPr>
        <w:t xml:space="preserve">Techniques and strategies to address land degradation exist or are </w:t>
      </w:r>
      <w:r w:rsidR="00900BB6">
        <w:rPr>
          <w:lang w:val="en-US"/>
        </w:rPr>
        <w:t xml:space="preserve">being </w:t>
      </w:r>
      <w:r w:rsidRPr="00DC2597">
        <w:rPr>
          <w:lang w:val="en-US"/>
        </w:rPr>
        <w:t>develop</w:t>
      </w:r>
      <w:r w:rsidR="00900BB6">
        <w:rPr>
          <w:lang w:val="en-US"/>
        </w:rPr>
        <w:t>ed</w:t>
      </w:r>
      <w:r w:rsidRPr="00DC2597">
        <w:rPr>
          <w:lang w:val="en-US"/>
        </w:rPr>
        <w:t xml:space="preserve"> for some, but not all, situations</w:t>
      </w:r>
      <w:r w:rsidR="00900BB6">
        <w:rPr>
          <w:lang w:val="en-US"/>
        </w:rPr>
        <w:t>;</w:t>
      </w:r>
      <w:r w:rsidRPr="00DC2597">
        <w:rPr>
          <w:lang w:val="en-US"/>
        </w:rPr>
        <w:t xml:space="preserve"> the </w:t>
      </w:r>
      <w:r w:rsidR="00900BB6">
        <w:rPr>
          <w:lang w:val="en-US"/>
        </w:rPr>
        <w:t xml:space="preserve">proposed </w:t>
      </w:r>
      <w:r w:rsidRPr="00DC2597">
        <w:rPr>
          <w:lang w:val="en-US"/>
        </w:rPr>
        <w:t>assessment will</w:t>
      </w:r>
      <w:r w:rsidR="00900BB6">
        <w:rPr>
          <w:lang w:val="en-US"/>
        </w:rPr>
        <w:t xml:space="preserve"> therefore</w:t>
      </w:r>
      <w:r w:rsidRPr="00DC2597">
        <w:rPr>
          <w:lang w:val="en-US"/>
        </w:rPr>
        <w:t xml:space="preserve"> need to identify important knowledge gaps and ways of addressing them. Assessments of the global extent </w:t>
      </w:r>
      <w:r w:rsidR="00AC06DF">
        <w:rPr>
          <w:lang w:val="en-US"/>
        </w:rPr>
        <w:t xml:space="preserve">of </w:t>
      </w:r>
      <w:r w:rsidRPr="00DC2597">
        <w:rPr>
          <w:lang w:val="en-US"/>
        </w:rPr>
        <w:t xml:space="preserve">and trends in land degradation, built up from a compatible series of regional assessments, and </w:t>
      </w:r>
      <w:r w:rsidR="00AC06DF">
        <w:rPr>
          <w:lang w:val="en-US"/>
        </w:rPr>
        <w:t xml:space="preserve">of </w:t>
      </w:r>
      <w:r w:rsidRPr="00DC2597">
        <w:rPr>
          <w:lang w:val="en-US"/>
        </w:rPr>
        <w:t xml:space="preserve">the range of available mitigation and remediation tools as well as the relevant policy context, need to be made consistently for informed decision-making. Policymakers are the main requesters </w:t>
      </w:r>
      <w:r w:rsidR="00AC06DF">
        <w:rPr>
          <w:lang w:val="en-US"/>
        </w:rPr>
        <w:t>of</w:t>
      </w:r>
      <w:r w:rsidRPr="00DC2597">
        <w:rPr>
          <w:lang w:val="en-US"/>
        </w:rPr>
        <w:t xml:space="preserve"> knowledge on possible synergies and the identification of solutions for short- and medium-term implementation.</w:t>
      </w:r>
    </w:p>
    <w:p w:rsidR="00A349B7" w:rsidRPr="00EA0290" w:rsidRDefault="00A349B7" w:rsidP="006B66CA">
      <w:pPr>
        <w:pStyle w:val="CH2"/>
        <w:tabs>
          <w:tab w:val="clear" w:pos="624"/>
          <w:tab w:val="clear" w:pos="851"/>
          <w:tab w:val="clear" w:pos="1247"/>
          <w:tab w:val="clear" w:pos="1814"/>
          <w:tab w:val="clear" w:pos="2381"/>
          <w:tab w:val="clear" w:pos="2948"/>
          <w:tab w:val="clear" w:pos="3515"/>
        </w:tabs>
        <w:ind w:left="0" w:firstLine="0"/>
      </w:pPr>
      <w:r>
        <w:tab/>
        <w:t>C.</w:t>
      </w:r>
      <w:r>
        <w:tab/>
      </w:r>
      <w:r w:rsidR="00651E50" w:rsidRPr="00EA0290">
        <w:t xml:space="preserve">Utility </w:t>
      </w:r>
    </w:p>
    <w:p w:rsidR="00651E50" w:rsidRPr="00DC2597" w:rsidRDefault="00A349B7" w:rsidP="00286F23">
      <w:pPr>
        <w:pStyle w:val="Normalnumber"/>
        <w:rPr>
          <w:lang w:val="en-US"/>
        </w:rPr>
      </w:pPr>
      <w:r w:rsidRPr="00642D47">
        <w:rPr>
          <w:lang w:val="en-US"/>
        </w:rPr>
        <w:t>If undertaken</w:t>
      </w:r>
      <w:r w:rsidR="00DF3CBA">
        <w:rPr>
          <w:lang w:val="en-US"/>
        </w:rPr>
        <w:t>,</w:t>
      </w:r>
      <w:r w:rsidRPr="00642D47">
        <w:rPr>
          <w:lang w:val="en-US"/>
        </w:rPr>
        <w:t xml:space="preserve"> the proposed </w:t>
      </w:r>
      <w:r w:rsidR="00651E50" w:rsidRPr="00642D47">
        <w:rPr>
          <w:lang w:val="en-US"/>
        </w:rPr>
        <w:t>assessment will: deliver a rigorous scale-sensitive appraisal of the categories of land</w:t>
      </w:r>
      <w:r w:rsidR="00651E50" w:rsidRPr="00DC2597">
        <w:rPr>
          <w:lang w:val="en-US"/>
        </w:rPr>
        <w:t xml:space="preserve"> degradation; assess the global status and drivers of degradation, contextualized using </w:t>
      </w:r>
      <w:r>
        <w:rPr>
          <w:lang w:val="en-US"/>
        </w:rPr>
        <w:t>various</w:t>
      </w:r>
      <w:r w:rsidRPr="00DC2597">
        <w:rPr>
          <w:lang w:val="en-US"/>
        </w:rPr>
        <w:t xml:space="preserve"> </w:t>
      </w:r>
      <w:r w:rsidR="00651E50" w:rsidRPr="00DC2597">
        <w:rPr>
          <w:lang w:val="en-US"/>
        </w:rPr>
        <w:t>knowledge systems; assess the significance of degradation for biodiversity and ecosystem services</w:t>
      </w:r>
      <w:r w:rsidR="001213CD">
        <w:rPr>
          <w:lang w:val="en-US"/>
        </w:rPr>
        <w:t>;</w:t>
      </w:r>
      <w:r w:rsidR="00651E50" w:rsidRPr="00DC2597">
        <w:rPr>
          <w:lang w:val="en-US"/>
        </w:rPr>
        <w:t xml:space="preserve"> provide a review of options for remediation, mitigation and recovery of degraded land; identify policy</w:t>
      </w:r>
      <w:r w:rsidR="00EA0290">
        <w:rPr>
          <w:lang w:val="en-US"/>
        </w:rPr>
        <w:noBreakHyphen/>
      </w:r>
      <w:r w:rsidR="00651E50" w:rsidRPr="00DC2597">
        <w:rPr>
          <w:lang w:val="en-US"/>
        </w:rPr>
        <w:t>relevant findings for decision</w:t>
      </w:r>
      <w:r w:rsidR="00644422">
        <w:rPr>
          <w:lang w:val="en-US"/>
        </w:rPr>
        <w:t>-</w:t>
      </w:r>
      <w:r w:rsidR="00651E50" w:rsidRPr="00DC2597">
        <w:rPr>
          <w:lang w:val="en-US"/>
        </w:rPr>
        <w:t xml:space="preserve">making and adaptive management by </w:t>
      </w:r>
      <w:r w:rsidRPr="00642D47">
        <w:rPr>
          <w:lang w:val="en-US"/>
        </w:rPr>
        <w:t>G</w:t>
      </w:r>
      <w:r w:rsidR="00651E50" w:rsidRPr="00642D47">
        <w:rPr>
          <w:lang w:val="en-US"/>
        </w:rPr>
        <w:t>overnment</w:t>
      </w:r>
      <w:r w:rsidRPr="00642D47">
        <w:rPr>
          <w:lang w:val="en-US"/>
        </w:rPr>
        <w:t>s</w:t>
      </w:r>
      <w:r w:rsidR="00651E50" w:rsidRPr="00642D47">
        <w:rPr>
          <w:lang w:val="en-US"/>
        </w:rPr>
        <w:t xml:space="preserve">, </w:t>
      </w:r>
      <w:r w:rsidRPr="00642D47">
        <w:rPr>
          <w:lang w:val="en-US"/>
        </w:rPr>
        <w:t>i</w:t>
      </w:r>
      <w:r w:rsidR="00651E50" w:rsidRPr="00642D47">
        <w:rPr>
          <w:lang w:val="en-US"/>
        </w:rPr>
        <w:t xml:space="preserve">ndigenous and local communities, </w:t>
      </w:r>
      <w:r w:rsidRPr="00642D47">
        <w:rPr>
          <w:lang w:val="en-US"/>
        </w:rPr>
        <w:t xml:space="preserve">the </w:t>
      </w:r>
      <w:r w:rsidR="00651E50" w:rsidRPr="00642D47">
        <w:rPr>
          <w:lang w:val="en-US"/>
        </w:rPr>
        <w:t>private sector and civil societ</w:t>
      </w:r>
      <w:r w:rsidR="003D663F" w:rsidRPr="00642D47">
        <w:rPr>
          <w:lang w:val="en-US"/>
        </w:rPr>
        <w:t>y</w:t>
      </w:r>
      <w:r w:rsidR="00651E50" w:rsidRPr="00642D47">
        <w:rPr>
          <w:lang w:val="en-US"/>
        </w:rPr>
        <w:t>; and create a framework for embedding a systems approach into land degradation monitoring and response systems and the policy</w:t>
      </w:r>
      <w:r w:rsidR="00651E50" w:rsidRPr="00DC2597">
        <w:rPr>
          <w:lang w:val="en-US"/>
        </w:rPr>
        <w:t xml:space="preserve"> decision-making process. By including </w:t>
      </w:r>
      <w:r>
        <w:rPr>
          <w:lang w:val="en-US"/>
        </w:rPr>
        <w:t>i</w:t>
      </w:r>
      <w:r w:rsidR="00651E50" w:rsidRPr="00DC2597">
        <w:rPr>
          <w:lang w:val="en-US"/>
        </w:rPr>
        <w:t xml:space="preserve">ndigenous and local knowledge, and being sensitive to scale and biome, the assessment will support the development of policy support tools: </w:t>
      </w:r>
    </w:p>
    <w:p w:rsidR="00651E50" w:rsidRPr="00DC2597" w:rsidRDefault="00A349B7" w:rsidP="00EA0290">
      <w:pPr>
        <w:pStyle w:val="Normalnumber"/>
        <w:numPr>
          <w:ilvl w:val="1"/>
          <w:numId w:val="4"/>
        </w:numPr>
        <w:rPr>
          <w:lang w:val="en-US"/>
        </w:rPr>
      </w:pPr>
      <w:r>
        <w:rPr>
          <w:lang w:val="en-US"/>
        </w:rPr>
        <w:t xml:space="preserve">For </w:t>
      </w:r>
      <w:r w:rsidR="00651E50" w:rsidRPr="00DC2597">
        <w:rPr>
          <w:lang w:val="en-US"/>
        </w:rPr>
        <w:t>achiev</w:t>
      </w:r>
      <w:r>
        <w:rPr>
          <w:lang w:val="en-US"/>
        </w:rPr>
        <w:t>ing</w:t>
      </w:r>
      <w:r w:rsidR="00651E50" w:rsidRPr="00DC2597">
        <w:rPr>
          <w:lang w:val="en-US"/>
        </w:rPr>
        <w:t xml:space="preserve"> Aichi </w:t>
      </w:r>
      <w:r w:rsidR="001B209F">
        <w:rPr>
          <w:lang w:val="en-US"/>
        </w:rPr>
        <w:t xml:space="preserve">Biodiversity </w:t>
      </w:r>
      <w:r w:rsidR="00651E50" w:rsidRPr="00DC2597">
        <w:rPr>
          <w:lang w:val="en-US"/>
        </w:rPr>
        <w:t>Target 15, which establishes that by 2020 at least 15</w:t>
      </w:r>
      <w:r w:rsidR="006E3F57">
        <w:rPr>
          <w:lang w:val="en-US"/>
        </w:rPr>
        <w:t xml:space="preserve"> per cent</w:t>
      </w:r>
      <w:r w:rsidR="00651E50" w:rsidRPr="00DC2597">
        <w:rPr>
          <w:lang w:val="en-US"/>
        </w:rPr>
        <w:t xml:space="preserve"> of degraded ecosystems must be restored; </w:t>
      </w:r>
    </w:p>
    <w:p w:rsidR="00651E50" w:rsidRPr="00DC2597" w:rsidRDefault="00A349B7" w:rsidP="00EA0290">
      <w:pPr>
        <w:pStyle w:val="Normalnumber"/>
        <w:numPr>
          <w:ilvl w:val="1"/>
          <w:numId w:val="4"/>
        </w:numPr>
        <w:rPr>
          <w:lang w:val="en-US"/>
        </w:rPr>
      </w:pPr>
      <w:r>
        <w:rPr>
          <w:lang w:val="en-US"/>
        </w:rPr>
        <w:t xml:space="preserve">For </w:t>
      </w:r>
      <w:r w:rsidR="00651E50" w:rsidRPr="00DC2597">
        <w:rPr>
          <w:lang w:val="en-US"/>
        </w:rPr>
        <w:t>contribut</w:t>
      </w:r>
      <w:r>
        <w:rPr>
          <w:lang w:val="en-US"/>
        </w:rPr>
        <w:t>ing</w:t>
      </w:r>
      <w:r w:rsidR="00651E50" w:rsidRPr="00DC2597">
        <w:rPr>
          <w:lang w:val="en-US"/>
        </w:rPr>
        <w:t xml:space="preserve"> to climate change mitigation and adaptation; </w:t>
      </w:r>
    </w:p>
    <w:p w:rsidR="00651E50" w:rsidRPr="00DC2597" w:rsidRDefault="00A349B7" w:rsidP="002D7F92">
      <w:pPr>
        <w:pStyle w:val="Normalnumber"/>
        <w:keepNext/>
        <w:keepLines/>
        <w:numPr>
          <w:ilvl w:val="1"/>
          <w:numId w:val="4"/>
        </w:numPr>
        <w:rPr>
          <w:lang w:val="en-US"/>
        </w:rPr>
      </w:pPr>
      <w:r>
        <w:rPr>
          <w:lang w:val="en-US"/>
        </w:rPr>
        <w:lastRenderedPageBreak/>
        <w:t>For c</w:t>
      </w:r>
      <w:r w:rsidR="00651E50" w:rsidRPr="00DC2597">
        <w:rPr>
          <w:lang w:val="en-US"/>
        </w:rPr>
        <w:t>ombat</w:t>
      </w:r>
      <w:r>
        <w:rPr>
          <w:lang w:val="en-US"/>
        </w:rPr>
        <w:t>ting</w:t>
      </w:r>
      <w:r w:rsidR="00651E50" w:rsidRPr="00DC2597">
        <w:rPr>
          <w:lang w:val="en-US"/>
        </w:rPr>
        <w:t xml:space="preserve"> desertification;</w:t>
      </w:r>
    </w:p>
    <w:p w:rsidR="00651E50" w:rsidRPr="00DC2597" w:rsidRDefault="00A349B7" w:rsidP="002D7F92">
      <w:pPr>
        <w:pStyle w:val="Normalnumber"/>
        <w:keepNext/>
        <w:keepLines/>
        <w:numPr>
          <w:ilvl w:val="1"/>
          <w:numId w:val="4"/>
        </w:numPr>
        <w:rPr>
          <w:lang w:val="en-US"/>
        </w:rPr>
      </w:pPr>
      <w:r>
        <w:rPr>
          <w:lang w:val="en-US"/>
        </w:rPr>
        <w:t xml:space="preserve">For </w:t>
      </w:r>
      <w:r w:rsidR="00651E50" w:rsidRPr="00DC2597">
        <w:rPr>
          <w:lang w:val="en-US"/>
        </w:rPr>
        <w:t>address</w:t>
      </w:r>
      <w:r>
        <w:rPr>
          <w:lang w:val="en-US"/>
        </w:rPr>
        <w:t>ing</w:t>
      </w:r>
      <w:r w:rsidR="00651E50" w:rsidRPr="00DC2597">
        <w:rPr>
          <w:lang w:val="en-US"/>
        </w:rPr>
        <w:t xml:space="preserve"> the Rio+20 </w:t>
      </w:r>
      <w:r>
        <w:rPr>
          <w:lang w:val="en-US"/>
        </w:rPr>
        <w:t>aim</w:t>
      </w:r>
      <w:r w:rsidRPr="00DC2597">
        <w:rPr>
          <w:lang w:val="en-US"/>
        </w:rPr>
        <w:t xml:space="preserve"> </w:t>
      </w:r>
      <w:r w:rsidR="00651E50" w:rsidRPr="00DC2597">
        <w:rPr>
          <w:lang w:val="en-US"/>
        </w:rPr>
        <w:t>of a land</w:t>
      </w:r>
      <w:r w:rsidR="004647DC">
        <w:rPr>
          <w:lang w:val="en-US"/>
        </w:rPr>
        <w:t>-</w:t>
      </w:r>
      <w:r w:rsidR="00651E50" w:rsidRPr="00DC2597">
        <w:rPr>
          <w:lang w:val="en-US"/>
        </w:rPr>
        <w:t>degradation-neutral world.</w:t>
      </w:r>
    </w:p>
    <w:p w:rsidR="005F506D" w:rsidRPr="00642D47" w:rsidRDefault="006B66CA" w:rsidP="00642D47">
      <w:pPr>
        <w:pStyle w:val="CH2"/>
        <w:tabs>
          <w:tab w:val="clear" w:pos="624"/>
          <w:tab w:val="clear" w:pos="851"/>
          <w:tab w:val="clear" w:pos="1247"/>
          <w:tab w:val="clear" w:pos="1814"/>
          <w:tab w:val="clear" w:pos="2381"/>
          <w:tab w:val="clear" w:pos="2948"/>
          <w:tab w:val="clear" w:pos="3515"/>
        </w:tabs>
        <w:ind w:left="0" w:firstLine="0"/>
      </w:pPr>
      <w:r>
        <w:tab/>
      </w:r>
      <w:r w:rsidR="005F506D" w:rsidRPr="00642D47">
        <w:t>D.</w:t>
      </w:r>
      <w:r w:rsidR="005F506D" w:rsidRPr="00642D47">
        <w:tab/>
      </w:r>
      <w:r w:rsidR="00651E50" w:rsidRPr="00642D47">
        <w:t>Assumptions</w:t>
      </w:r>
      <w:r w:rsidR="00651E50" w:rsidRPr="006B66CA">
        <w:t xml:space="preserve"> </w:t>
      </w:r>
    </w:p>
    <w:p w:rsidR="00651E50" w:rsidRPr="00DC2597" w:rsidRDefault="00651E50" w:rsidP="00286F23">
      <w:pPr>
        <w:pStyle w:val="Normalnumber"/>
        <w:rPr>
          <w:lang w:val="en-US"/>
        </w:rPr>
      </w:pPr>
      <w:r w:rsidRPr="00DC2597">
        <w:rPr>
          <w:lang w:val="en-US"/>
        </w:rPr>
        <w:t xml:space="preserve">The assessment will be based on the current scientific literature, drawing on the work of institutions such as the </w:t>
      </w:r>
      <w:r w:rsidR="00502723">
        <w:rPr>
          <w:lang w:val="en-US"/>
        </w:rPr>
        <w:t>Convention on Biological Diversity</w:t>
      </w:r>
      <w:r w:rsidRPr="00DC2597">
        <w:rPr>
          <w:lang w:val="en-US"/>
        </w:rPr>
        <w:t>, the</w:t>
      </w:r>
      <w:r w:rsidR="00502723">
        <w:rPr>
          <w:lang w:val="en-US"/>
        </w:rPr>
        <w:t xml:space="preserve"> </w:t>
      </w:r>
      <w:r w:rsidR="00C51C3D">
        <w:rPr>
          <w:lang w:val="en-US"/>
        </w:rPr>
        <w:t>Food and Agriculture Organization of the United</w:t>
      </w:r>
      <w:r w:rsidR="00EA0290">
        <w:rPr>
          <w:lang w:val="en-US"/>
        </w:rPr>
        <w:t> </w:t>
      </w:r>
      <w:r w:rsidR="00C51C3D">
        <w:rPr>
          <w:lang w:val="en-US"/>
        </w:rPr>
        <w:t>Nations</w:t>
      </w:r>
      <w:r w:rsidR="005D1F76">
        <w:rPr>
          <w:lang w:val="en-US"/>
        </w:rPr>
        <w:t xml:space="preserve"> (FAO)</w:t>
      </w:r>
      <w:r w:rsidRPr="00DC2597">
        <w:rPr>
          <w:lang w:val="en-US"/>
        </w:rPr>
        <w:t xml:space="preserve">, the </w:t>
      </w:r>
      <w:r w:rsidR="00C51C3D">
        <w:rPr>
          <w:lang w:val="en-US"/>
        </w:rPr>
        <w:t>United Nations Convention to Combat Desertification in those Countries Experiencing Serious Drought and/or Desertification, Particularly in Africa</w:t>
      </w:r>
      <w:r w:rsidR="00801F25">
        <w:rPr>
          <w:lang w:val="en-US"/>
        </w:rPr>
        <w:t>,</w:t>
      </w:r>
      <w:r w:rsidRPr="00DC2597">
        <w:rPr>
          <w:lang w:val="en-US"/>
        </w:rPr>
        <w:t xml:space="preserve"> and </w:t>
      </w:r>
      <w:r w:rsidRPr="00642D47">
        <w:rPr>
          <w:lang w:val="en-US"/>
        </w:rPr>
        <w:t xml:space="preserve">the Global Environment Facility. A key focus will be dryland degradation. The </w:t>
      </w:r>
      <w:r w:rsidR="00C51C3D" w:rsidRPr="00642D47">
        <w:rPr>
          <w:lang w:val="en-US"/>
        </w:rPr>
        <w:t>Convention on Biological Diversity</w:t>
      </w:r>
      <w:r w:rsidRPr="00642D47">
        <w:rPr>
          <w:lang w:val="en-US"/>
        </w:rPr>
        <w:t xml:space="preserve">, with its </w:t>
      </w:r>
      <w:r w:rsidR="00DF3CBA" w:rsidRPr="00642D47">
        <w:rPr>
          <w:lang w:val="en-US"/>
        </w:rPr>
        <w:t>programme of work on the biological diversity of dry and sub-humid lands</w:t>
      </w:r>
      <w:r w:rsidRPr="00642D47">
        <w:rPr>
          <w:lang w:val="en-US"/>
        </w:rPr>
        <w:t>,</w:t>
      </w:r>
      <w:r w:rsidR="00DF3CBA">
        <w:rPr>
          <w:lang w:val="en-US"/>
        </w:rPr>
        <w:t xml:space="preserve"> </w:t>
      </w:r>
      <w:r w:rsidRPr="00DF3CBA">
        <w:rPr>
          <w:lang w:val="en-US"/>
        </w:rPr>
        <w:t xml:space="preserve">and the </w:t>
      </w:r>
      <w:r w:rsidR="00C51C3D" w:rsidRPr="00DF3CBA">
        <w:rPr>
          <w:lang w:val="en-US"/>
        </w:rPr>
        <w:t>Convention on Desertification</w:t>
      </w:r>
      <w:r w:rsidRPr="00DF3CBA">
        <w:rPr>
          <w:lang w:val="en-US"/>
        </w:rPr>
        <w:t>, are the main multilateral environmental agreements focusing on dry and sub-humid lands. A number</w:t>
      </w:r>
      <w:r w:rsidRPr="00DC2597">
        <w:rPr>
          <w:lang w:val="en-US"/>
        </w:rPr>
        <w:t xml:space="preserve"> of the </w:t>
      </w:r>
      <w:r w:rsidRPr="00EA0290">
        <w:rPr>
          <w:lang w:val="en-US"/>
        </w:rPr>
        <w:t xml:space="preserve">Aichi Biodiversity </w:t>
      </w:r>
      <w:r w:rsidR="00394201">
        <w:rPr>
          <w:lang w:val="en-US"/>
        </w:rPr>
        <w:t>T</w:t>
      </w:r>
      <w:r w:rsidRPr="00EA0290">
        <w:rPr>
          <w:lang w:val="en-US"/>
        </w:rPr>
        <w:t xml:space="preserve">argets </w:t>
      </w:r>
      <w:r w:rsidR="00DF3CBA">
        <w:rPr>
          <w:lang w:val="en-US"/>
        </w:rPr>
        <w:t xml:space="preserve">of the Convention on Biological </w:t>
      </w:r>
      <w:r w:rsidR="00DF3CBA" w:rsidRPr="00EA0290">
        <w:rPr>
          <w:lang w:val="en-US"/>
        </w:rPr>
        <w:t xml:space="preserve">Diversity </w:t>
      </w:r>
      <w:r w:rsidRPr="00EA0290">
        <w:rPr>
          <w:lang w:val="en-US"/>
        </w:rPr>
        <w:t xml:space="preserve">cover drylands and </w:t>
      </w:r>
      <w:r w:rsidR="00B7750A" w:rsidRPr="00EA0290">
        <w:rPr>
          <w:lang w:val="en-US"/>
        </w:rPr>
        <w:t>have</w:t>
      </w:r>
      <w:r w:rsidRPr="00EA0290">
        <w:rPr>
          <w:lang w:val="en-US"/>
        </w:rPr>
        <w:t xml:space="preserve"> clear links </w:t>
      </w:r>
      <w:r w:rsidR="00B7750A" w:rsidRPr="00EA0290">
        <w:rPr>
          <w:lang w:val="en-US"/>
        </w:rPr>
        <w:t xml:space="preserve">to matters of </w:t>
      </w:r>
      <w:r w:rsidRPr="00EA0290">
        <w:rPr>
          <w:lang w:val="en-US"/>
        </w:rPr>
        <w:t>concern</w:t>
      </w:r>
      <w:r w:rsidR="00B7750A" w:rsidRPr="00EA0290">
        <w:rPr>
          <w:lang w:val="en-US"/>
        </w:rPr>
        <w:t xml:space="preserve"> to the Convention on Desertification</w:t>
      </w:r>
      <w:r w:rsidRPr="00EA0290">
        <w:rPr>
          <w:lang w:val="en-US"/>
        </w:rPr>
        <w:t xml:space="preserve"> (e.g.</w:t>
      </w:r>
      <w:r w:rsidR="00B7750A" w:rsidRPr="00EA0290">
        <w:rPr>
          <w:lang w:val="en-US"/>
        </w:rPr>
        <w:t>,</w:t>
      </w:r>
      <w:r w:rsidRPr="00EA0290">
        <w:rPr>
          <w:lang w:val="en-US"/>
        </w:rPr>
        <w:t xml:space="preserve"> </w:t>
      </w:r>
      <w:r w:rsidR="00B7750A" w:rsidRPr="00EA0290">
        <w:rPr>
          <w:lang w:val="en-US"/>
        </w:rPr>
        <w:t xml:space="preserve">objective 2 of </w:t>
      </w:r>
      <w:r w:rsidRPr="00EA0290">
        <w:rPr>
          <w:lang w:val="en-US"/>
        </w:rPr>
        <w:t>the 2008</w:t>
      </w:r>
      <w:r w:rsidR="00B7750A" w:rsidRPr="00EA0290">
        <w:rPr>
          <w:lang w:val="en-US"/>
        </w:rPr>
        <w:t>–</w:t>
      </w:r>
      <w:r w:rsidRPr="00EA0290">
        <w:rPr>
          <w:lang w:val="en-US"/>
        </w:rPr>
        <w:t xml:space="preserve">2018 </w:t>
      </w:r>
      <w:r w:rsidR="00100853" w:rsidRPr="00EA0290">
        <w:rPr>
          <w:lang w:val="en-US"/>
        </w:rPr>
        <w:t>s</w:t>
      </w:r>
      <w:r w:rsidRPr="00EA0290">
        <w:rPr>
          <w:lang w:val="en-US"/>
        </w:rPr>
        <w:t xml:space="preserve">trategic </w:t>
      </w:r>
      <w:r w:rsidR="00100853" w:rsidRPr="00EA0290">
        <w:rPr>
          <w:lang w:val="en-US"/>
        </w:rPr>
        <w:t>p</w:t>
      </w:r>
      <w:r w:rsidRPr="00EA0290">
        <w:rPr>
          <w:lang w:val="en-US"/>
        </w:rPr>
        <w:t>lan</w:t>
      </w:r>
      <w:r w:rsidR="00B7750A" w:rsidRPr="00EA0290">
        <w:rPr>
          <w:lang w:val="en-US"/>
        </w:rPr>
        <w:t xml:space="preserve"> </w:t>
      </w:r>
      <w:r w:rsidR="00100853" w:rsidRPr="00EA0290">
        <w:rPr>
          <w:lang w:val="en-US"/>
        </w:rPr>
        <w:t xml:space="preserve">and framework </w:t>
      </w:r>
      <w:r w:rsidR="00B7750A" w:rsidRPr="00EA0290">
        <w:rPr>
          <w:lang w:val="en-US"/>
        </w:rPr>
        <w:t>of the Convention on Desertification,</w:t>
      </w:r>
      <w:r w:rsidRPr="00EA0290">
        <w:rPr>
          <w:lang w:val="en-US"/>
        </w:rPr>
        <w:t xml:space="preserve"> “to improve the condition of affected ecosystems”</w:t>
      </w:r>
      <w:r w:rsidR="00DA78F6">
        <w:rPr>
          <w:lang w:val="en-US"/>
        </w:rPr>
        <w:t>)</w:t>
      </w:r>
      <w:r w:rsidRPr="00EA0290">
        <w:rPr>
          <w:lang w:val="en-US"/>
        </w:rPr>
        <w:t xml:space="preserve">. </w:t>
      </w:r>
      <w:r w:rsidR="00B7750A" w:rsidRPr="00EA0290">
        <w:rPr>
          <w:lang w:val="en-US"/>
        </w:rPr>
        <w:t>T</w:t>
      </w:r>
      <w:r w:rsidRPr="00EA0290">
        <w:rPr>
          <w:lang w:val="en-US"/>
        </w:rPr>
        <w:t>wo international scientific conferences</w:t>
      </w:r>
      <w:r w:rsidR="00B7750A" w:rsidRPr="00EA0290">
        <w:rPr>
          <w:lang w:val="en-US"/>
        </w:rPr>
        <w:t xml:space="preserve"> </w:t>
      </w:r>
      <w:r w:rsidR="00B7750A" w:rsidRPr="00642D47">
        <w:rPr>
          <w:lang w:val="en-US"/>
        </w:rPr>
        <w:t>held under the auspices of the Convention on Desertification</w:t>
      </w:r>
      <w:r w:rsidRPr="00642D47">
        <w:rPr>
          <w:lang w:val="en-US"/>
        </w:rPr>
        <w:t xml:space="preserve"> have already rallied the scientific community. The </w:t>
      </w:r>
      <w:r w:rsidR="00385B83" w:rsidRPr="00642D47">
        <w:rPr>
          <w:lang w:val="en-US"/>
        </w:rPr>
        <w:t>eleventh session of the Conference of the Parties to the Convention, held</w:t>
      </w:r>
      <w:r w:rsidRPr="00642D47">
        <w:rPr>
          <w:lang w:val="en-US"/>
        </w:rPr>
        <w:t xml:space="preserve"> in September 2013</w:t>
      </w:r>
      <w:r w:rsidR="00385B83" w:rsidRPr="00642D47">
        <w:rPr>
          <w:lang w:val="en-US"/>
        </w:rPr>
        <w:t>,</w:t>
      </w:r>
      <w:r w:rsidRPr="00642D47">
        <w:rPr>
          <w:lang w:val="en-US"/>
        </w:rPr>
        <w:t xml:space="preserve"> will also shape the scope of the assessment. </w:t>
      </w:r>
      <w:r w:rsidR="00385B83" w:rsidRPr="00642D47">
        <w:rPr>
          <w:lang w:val="en-US"/>
        </w:rPr>
        <w:t>The assessment of land degradation and</w:t>
      </w:r>
      <w:r w:rsidR="00385B83">
        <w:rPr>
          <w:lang w:val="en-US"/>
        </w:rPr>
        <w:t xml:space="preserve"> restoration will</w:t>
      </w:r>
      <w:r w:rsidRPr="00DC2597">
        <w:rPr>
          <w:lang w:val="en-US"/>
        </w:rPr>
        <w:t xml:space="preserve"> also draw on the FAO Global Soil Partnership and the Global Soil </w:t>
      </w:r>
      <w:r w:rsidR="00A13943">
        <w:rPr>
          <w:lang w:val="en-US"/>
        </w:rPr>
        <w:t>Biod</w:t>
      </w:r>
      <w:r w:rsidRPr="00DC2597">
        <w:rPr>
          <w:lang w:val="en-US"/>
        </w:rPr>
        <w:t>iversity Initiative.</w:t>
      </w:r>
      <w:r w:rsidR="003742B3">
        <w:rPr>
          <w:lang w:val="en-US"/>
        </w:rPr>
        <w:t xml:space="preserve"> </w:t>
      </w:r>
      <w:r w:rsidRPr="00DC2597">
        <w:rPr>
          <w:lang w:val="en-US"/>
        </w:rPr>
        <w:t>Indigenous and local knowledge systems will contribute through the existing literature</w:t>
      </w:r>
      <w:r w:rsidR="003742B3">
        <w:rPr>
          <w:lang w:val="en-US"/>
        </w:rPr>
        <w:t>, as well as</w:t>
      </w:r>
      <w:r w:rsidRPr="00DC2597">
        <w:rPr>
          <w:lang w:val="en-US"/>
        </w:rPr>
        <w:t xml:space="preserve"> through dialogue workshops and community-based work sessions.</w:t>
      </w:r>
    </w:p>
    <w:p w:rsidR="00651E50" w:rsidRPr="00DC2597" w:rsidRDefault="00B35D0C" w:rsidP="00EA0290">
      <w:pPr>
        <w:pStyle w:val="CH1"/>
        <w:rPr>
          <w:lang w:val="en-US"/>
        </w:rPr>
      </w:pPr>
      <w:r>
        <w:rPr>
          <w:lang w:val="en-US"/>
        </w:rPr>
        <w:tab/>
      </w:r>
      <w:r w:rsidR="00DF3CBA">
        <w:rPr>
          <w:lang w:val="en-US"/>
        </w:rPr>
        <w:t>I</w:t>
      </w:r>
      <w:r w:rsidR="008F3E62">
        <w:rPr>
          <w:lang w:val="en-US"/>
        </w:rPr>
        <w:t>II.</w:t>
      </w:r>
      <w:r w:rsidR="00651E50">
        <w:rPr>
          <w:lang w:val="en-US"/>
        </w:rPr>
        <w:tab/>
      </w:r>
      <w:r w:rsidR="00651E50" w:rsidRPr="00DC2597">
        <w:rPr>
          <w:lang w:val="en-US"/>
        </w:rPr>
        <w:t xml:space="preserve">Chapter </w:t>
      </w:r>
      <w:r w:rsidR="00682641">
        <w:rPr>
          <w:lang w:val="en-US"/>
        </w:rPr>
        <w:t>o</w:t>
      </w:r>
      <w:r w:rsidR="00651E50" w:rsidRPr="00DC2597">
        <w:rPr>
          <w:lang w:val="en-US"/>
        </w:rPr>
        <w:t>utline</w:t>
      </w:r>
    </w:p>
    <w:p w:rsidR="008F3E62" w:rsidRDefault="008F3E62" w:rsidP="008F3E62">
      <w:pPr>
        <w:pStyle w:val="Normalnumber"/>
        <w:tabs>
          <w:tab w:val="left" w:pos="4082"/>
        </w:tabs>
      </w:pPr>
      <w:r>
        <w:t xml:space="preserve">It is contemplated that the results of the </w:t>
      </w:r>
      <w:r w:rsidR="00BF2DD2">
        <w:t xml:space="preserve">thematic </w:t>
      </w:r>
      <w:r>
        <w:t>assessment will be presented in a</w:t>
      </w:r>
      <w:r w:rsidR="00DF3CBA">
        <w:t>n eight-chapter</w:t>
      </w:r>
      <w:r>
        <w:t xml:space="preserve"> report</w:t>
      </w:r>
      <w:r w:rsidR="00DF3CBA">
        <w:t>, as set out below</w:t>
      </w:r>
      <w:r w:rsidR="00486585">
        <w:t>.</w:t>
      </w:r>
    </w:p>
    <w:p w:rsidR="00651E50" w:rsidRDefault="00651E50" w:rsidP="00642D47">
      <w:pPr>
        <w:pStyle w:val="Normalnumber"/>
        <w:tabs>
          <w:tab w:val="left" w:pos="4082"/>
        </w:tabs>
        <w:rPr>
          <w:lang w:val="en-US"/>
        </w:rPr>
      </w:pPr>
      <w:r w:rsidRPr="00642D47">
        <w:t>Chapter</w:t>
      </w:r>
      <w:r w:rsidRPr="00DC2597">
        <w:rPr>
          <w:lang w:val="en-US"/>
        </w:rPr>
        <w:t xml:space="preserve"> 1</w:t>
      </w:r>
      <w:r w:rsidR="004F32E3">
        <w:rPr>
          <w:lang w:val="en-US"/>
        </w:rPr>
        <w:t>.</w:t>
      </w:r>
      <w:r w:rsidR="00C871A4">
        <w:rPr>
          <w:lang w:val="en-US"/>
        </w:rPr>
        <w:t xml:space="preserve"> </w:t>
      </w:r>
      <w:r w:rsidRPr="00DC2597">
        <w:rPr>
          <w:lang w:val="en-US"/>
        </w:rPr>
        <w:t xml:space="preserve">Introduction to the concepts of land degradation and options for mitigation and remediation of land degradation for </w:t>
      </w:r>
      <w:r w:rsidR="00E048F4">
        <w:rPr>
          <w:lang w:val="en-US"/>
        </w:rPr>
        <w:t>various</w:t>
      </w:r>
      <w:r w:rsidR="00E048F4" w:rsidRPr="00DC2597">
        <w:rPr>
          <w:lang w:val="en-US"/>
        </w:rPr>
        <w:t xml:space="preserve"> </w:t>
      </w:r>
      <w:r w:rsidRPr="00DC2597">
        <w:rPr>
          <w:lang w:val="en-US"/>
        </w:rPr>
        <w:t>regions and biomes</w:t>
      </w:r>
      <w:r w:rsidR="004F32E3">
        <w:rPr>
          <w:lang w:val="en-US"/>
        </w:rPr>
        <w:t>:</w:t>
      </w:r>
    </w:p>
    <w:p w:rsidR="00651E50"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DC2597">
        <w:rPr>
          <w:lang w:val="en-US"/>
        </w:rPr>
        <w:t>The concept of land degradation</w:t>
      </w:r>
      <w:r w:rsidR="0030703F">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(b)</w:t>
      </w:r>
      <w:r>
        <w:rPr>
          <w:lang w:val="en-US"/>
        </w:rPr>
        <w:tab/>
      </w:r>
      <w:r w:rsidR="00651E50" w:rsidRPr="00642D47">
        <w:rPr>
          <w:lang w:val="en-US"/>
        </w:rPr>
        <w:t>Categories of land degradation</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(c)</w:t>
      </w:r>
      <w:r>
        <w:rPr>
          <w:lang w:val="en-US"/>
        </w:rPr>
        <w:tab/>
      </w:r>
      <w:r w:rsidR="00651E50" w:rsidRPr="00642D47">
        <w:rPr>
          <w:lang w:val="en-US"/>
        </w:rPr>
        <w:t>Land degradation as an ecological phenomenon, including the role of soil biodiversity</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(d)</w:t>
      </w:r>
      <w:r>
        <w:rPr>
          <w:lang w:val="en-US"/>
        </w:rPr>
        <w:tab/>
      </w:r>
      <w:r w:rsidR="00651E50" w:rsidRPr="00642D47">
        <w:rPr>
          <w:lang w:val="en-US"/>
        </w:rPr>
        <w:t>Impacts of land degradation on biodiversity and ecosystem services</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(e)</w:t>
      </w:r>
      <w:r>
        <w:rPr>
          <w:lang w:val="en-US"/>
        </w:rPr>
        <w:tab/>
      </w:r>
      <w:r w:rsidR="00651E50" w:rsidRPr="00642D47">
        <w:rPr>
          <w:lang w:val="en-US"/>
        </w:rPr>
        <w:t xml:space="preserve">The context-dependency of concepts of land degradation and its impacts, taking account of </w:t>
      </w:r>
      <w:r w:rsidR="006B5D55" w:rsidRPr="00642D47">
        <w:rPr>
          <w:lang w:val="en-US"/>
        </w:rPr>
        <w:t xml:space="preserve">various </w:t>
      </w:r>
      <w:r w:rsidR="00651E50" w:rsidRPr="00642D47">
        <w:rPr>
          <w:lang w:val="en-US"/>
        </w:rPr>
        <w:t>knowledge and value systems</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(f)</w:t>
      </w:r>
      <w:r>
        <w:rPr>
          <w:lang w:val="en-US"/>
        </w:rPr>
        <w:tab/>
      </w:r>
      <w:r w:rsidR="00651E50" w:rsidRPr="00642D47">
        <w:rPr>
          <w:lang w:val="en-US"/>
        </w:rPr>
        <w:t>The scale-dependency (in time and space) of land degradation and its impacts</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(g)</w:t>
      </w:r>
      <w:r>
        <w:rPr>
          <w:lang w:val="en-US"/>
        </w:rPr>
        <w:tab/>
      </w:r>
      <w:r w:rsidR="00651E50" w:rsidRPr="00642D47">
        <w:rPr>
          <w:lang w:val="en-US"/>
        </w:rPr>
        <w:t>Approaches to restoration, mitigation and remediation for biodiversity and ecosystem services</w:t>
      </w:r>
      <w:r w:rsidR="0030703F" w:rsidRPr="00642D47">
        <w:rPr>
          <w:lang w:val="en-US"/>
        </w:rPr>
        <w:t>;</w:t>
      </w:r>
    </w:p>
    <w:p w:rsidR="00651E50" w:rsidRPr="00651E50"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(h)</w:t>
      </w:r>
      <w:r>
        <w:rPr>
          <w:lang w:val="en-US"/>
        </w:rPr>
        <w:tab/>
      </w:r>
      <w:r w:rsidR="00651E50" w:rsidRPr="00642D47">
        <w:rPr>
          <w:lang w:val="en-US"/>
        </w:rPr>
        <w:t>Policy context of land degradation assessed in th</w:t>
      </w:r>
      <w:r w:rsidR="00AC52A8" w:rsidRPr="00642D47">
        <w:rPr>
          <w:lang w:val="en-US"/>
        </w:rPr>
        <w:t>e</w:t>
      </w:r>
      <w:r w:rsidR="00651E50" w:rsidRPr="00642D47">
        <w:rPr>
          <w:lang w:val="en-US"/>
        </w:rPr>
        <w:t xml:space="preserve"> report</w:t>
      </w:r>
      <w:r w:rsidR="0030703F" w:rsidRPr="00642D47">
        <w:rPr>
          <w:lang w:val="en-US"/>
        </w:rPr>
        <w:t>.</w:t>
      </w:r>
    </w:p>
    <w:p w:rsidR="00651E50" w:rsidRPr="00DC2597" w:rsidRDefault="00651E50" w:rsidP="00642D47">
      <w:pPr>
        <w:pStyle w:val="Normalnumber"/>
        <w:tabs>
          <w:tab w:val="left" w:pos="4082"/>
        </w:tabs>
        <w:rPr>
          <w:lang w:val="en-US"/>
        </w:rPr>
      </w:pPr>
      <w:r w:rsidRPr="00DC2597">
        <w:rPr>
          <w:lang w:val="en-US"/>
        </w:rPr>
        <w:t>Chapter 2</w:t>
      </w:r>
      <w:r w:rsidR="004F32E3">
        <w:rPr>
          <w:lang w:val="en-US"/>
        </w:rPr>
        <w:t xml:space="preserve">. </w:t>
      </w:r>
      <w:r w:rsidRPr="00DC2597">
        <w:rPr>
          <w:lang w:val="en-US"/>
        </w:rPr>
        <w:t xml:space="preserve">Overview and assessment of methodologies for monitoring land degradation and </w:t>
      </w:r>
      <w:r w:rsidRPr="00642D47">
        <w:t xml:space="preserve">its impacts in </w:t>
      </w:r>
      <w:r w:rsidR="00AC52A8" w:rsidRPr="00642D47">
        <w:t xml:space="preserve">various </w:t>
      </w:r>
      <w:r w:rsidRPr="00642D47">
        <w:t xml:space="preserve">regions, biomes and scales and </w:t>
      </w:r>
      <w:r w:rsidR="00AC52A8" w:rsidRPr="00642D47">
        <w:t>in the context of various</w:t>
      </w:r>
      <w:r w:rsidRPr="00642D47">
        <w:t xml:space="preserve"> knowledge and</w:t>
      </w:r>
      <w:r w:rsidRPr="00DC2597">
        <w:rPr>
          <w:lang w:val="en-US"/>
        </w:rPr>
        <w:t xml:space="preserve"> value systems</w:t>
      </w:r>
      <w:r w:rsidR="003543BB">
        <w:rPr>
          <w:lang w:val="en-US"/>
        </w:rPr>
        <w:t>:</w:t>
      </w:r>
    </w:p>
    <w:p w:rsidR="006B66CA"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642D47">
        <w:rPr>
          <w:lang w:val="en-US"/>
        </w:rPr>
        <w:t>Methodologies for monitoring land degradation and its impacts</w:t>
      </w:r>
      <w:r w:rsidR="0030703F"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(b)</w:t>
      </w:r>
      <w:r>
        <w:rPr>
          <w:lang w:val="en-US"/>
        </w:rPr>
        <w:tab/>
      </w:r>
      <w:r w:rsidR="00651E50" w:rsidRPr="00642D47">
        <w:rPr>
          <w:lang w:val="en-US"/>
        </w:rPr>
        <w:t>Methodologies for characterizing diverse economic and social impacts (e.g.</w:t>
      </w:r>
      <w:r w:rsidR="00AC52A8" w:rsidRPr="00642D47">
        <w:rPr>
          <w:lang w:val="en-US"/>
        </w:rPr>
        <w:t>,</w:t>
      </w:r>
      <w:r w:rsidR="00651E50" w:rsidRPr="00642D47">
        <w:rPr>
          <w:lang w:val="en-US"/>
        </w:rPr>
        <w:t xml:space="preserve"> cultural, psycho-social and shared</w:t>
      </w:r>
      <w:r w:rsidR="00AC52A8" w:rsidRPr="00642D47">
        <w:rPr>
          <w:lang w:val="en-US"/>
        </w:rPr>
        <w:t>,</w:t>
      </w:r>
      <w:r w:rsidR="00651E50" w:rsidRPr="00642D47">
        <w:rPr>
          <w:lang w:val="en-US"/>
        </w:rPr>
        <w:t xml:space="preserve"> spiritual and aesthetic benefits) of land degradation and ecosystem service loss</w:t>
      </w:r>
      <w:r w:rsidR="0030703F" w:rsidRPr="00642D47">
        <w:rPr>
          <w:lang w:val="en-US"/>
        </w:rPr>
        <w:t>;</w:t>
      </w:r>
    </w:p>
    <w:p w:rsidR="00651E50" w:rsidRPr="00DC259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(c)</w:t>
      </w:r>
      <w:r>
        <w:rPr>
          <w:lang w:val="en-US"/>
        </w:rPr>
        <w:tab/>
      </w:r>
      <w:r w:rsidR="00651E50" w:rsidRPr="00642D47">
        <w:rPr>
          <w:lang w:val="en-US"/>
        </w:rPr>
        <w:t>Methodologies to allow comparison of results carried out in different biomes,</w:t>
      </w:r>
      <w:r w:rsidR="00EA0290" w:rsidRPr="00642D47">
        <w:rPr>
          <w:lang w:val="en-US"/>
        </w:rPr>
        <w:t xml:space="preserve"> </w:t>
      </w:r>
      <w:r w:rsidR="00AC52A8" w:rsidRPr="00642D47">
        <w:rPr>
          <w:lang w:val="en-US"/>
        </w:rPr>
        <w:t xml:space="preserve">and </w:t>
      </w:r>
      <w:r w:rsidR="00651E50" w:rsidRPr="00642D47">
        <w:rPr>
          <w:lang w:val="en-US"/>
        </w:rPr>
        <w:t>socio</w:t>
      </w:r>
      <w:r w:rsidR="00EA0290" w:rsidRPr="00642D47">
        <w:rPr>
          <w:lang w:val="en-US"/>
        </w:rPr>
        <w:noBreakHyphen/>
      </w:r>
      <w:r w:rsidR="00651E50" w:rsidRPr="00642D47">
        <w:rPr>
          <w:lang w:val="en-US"/>
        </w:rPr>
        <w:t>economic contexts and at varying scales</w:t>
      </w:r>
      <w:r w:rsidR="0030703F" w:rsidRPr="00642D47">
        <w:rPr>
          <w:lang w:val="en-US"/>
        </w:rPr>
        <w:t>.</w:t>
      </w:r>
    </w:p>
    <w:p w:rsidR="00651E50" w:rsidRPr="00DC2597" w:rsidRDefault="00651E50" w:rsidP="00642D47">
      <w:pPr>
        <w:pStyle w:val="Normalnumber"/>
        <w:tabs>
          <w:tab w:val="left" w:pos="4082"/>
        </w:tabs>
        <w:rPr>
          <w:lang w:val="en-US"/>
        </w:rPr>
      </w:pPr>
      <w:r w:rsidRPr="00DC2597">
        <w:rPr>
          <w:lang w:val="en-US"/>
        </w:rPr>
        <w:t>Chapter 3</w:t>
      </w:r>
      <w:r w:rsidR="004F32E3">
        <w:rPr>
          <w:lang w:val="en-US"/>
        </w:rPr>
        <w:t xml:space="preserve">. </w:t>
      </w:r>
      <w:r w:rsidRPr="00DC2597">
        <w:rPr>
          <w:lang w:val="en-US"/>
        </w:rPr>
        <w:t xml:space="preserve">Global assessment of </w:t>
      </w:r>
      <w:r w:rsidR="00AC52A8">
        <w:rPr>
          <w:lang w:val="en-US"/>
        </w:rPr>
        <w:t xml:space="preserve">the </w:t>
      </w:r>
      <w:r w:rsidRPr="00DC2597">
        <w:rPr>
          <w:lang w:val="en-US"/>
        </w:rPr>
        <w:t>status</w:t>
      </w:r>
      <w:r w:rsidR="00AC52A8">
        <w:rPr>
          <w:lang w:val="en-US"/>
        </w:rPr>
        <w:t xml:space="preserve"> of</w:t>
      </w:r>
      <w:r w:rsidRPr="00DC2597">
        <w:rPr>
          <w:lang w:val="en-US"/>
        </w:rPr>
        <w:t>, trends</w:t>
      </w:r>
      <w:r w:rsidR="00AC52A8">
        <w:rPr>
          <w:lang w:val="en-US"/>
        </w:rPr>
        <w:t xml:space="preserve"> in</w:t>
      </w:r>
      <w:r w:rsidRPr="00DC2597">
        <w:rPr>
          <w:lang w:val="en-US"/>
        </w:rPr>
        <w:t xml:space="preserve"> and drivers of land degradation</w:t>
      </w:r>
      <w:r w:rsidR="00AC52A8">
        <w:rPr>
          <w:lang w:val="en-US"/>
        </w:rPr>
        <w:t>,</w:t>
      </w:r>
      <w:r w:rsidRPr="00DC2597">
        <w:rPr>
          <w:lang w:val="en-US"/>
        </w:rPr>
        <w:t xml:space="preserve"> broken down by region and biome type and contextualized for scale and different knowledge and value systems</w:t>
      </w:r>
      <w:r w:rsidR="003543BB">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642D47">
        <w:rPr>
          <w:lang w:val="en-US"/>
        </w:rPr>
        <w:t>Overview of scale (large vs. fine scale) and contextual factors in monitoring land degradation</w:t>
      </w:r>
      <w:r w:rsidR="0030703F" w:rsidRPr="00642D47">
        <w:rPr>
          <w:lang w:val="en-US"/>
        </w:rPr>
        <w:t>;</w:t>
      </w:r>
    </w:p>
    <w:p w:rsidR="00651E50" w:rsidRPr="00642D47" w:rsidRDefault="006B66CA" w:rsidP="00642D47">
      <w:pPr>
        <w:pStyle w:val="Normalnumber"/>
        <w:keepNext/>
        <w:keepLines/>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lastRenderedPageBreak/>
        <w:t>(b)</w:t>
      </w:r>
      <w:r>
        <w:rPr>
          <w:lang w:val="en-US"/>
        </w:rPr>
        <w:tab/>
      </w:r>
      <w:r w:rsidR="00651E50" w:rsidRPr="00642D47">
        <w:rPr>
          <w:lang w:val="en-US"/>
        </w:rPr>
        <w:t>Extent, trends and drivers, where possible, of land degradation</w:t>
      </w:r>
      <w:r w:rsidR="0030703F" w:rsidRPr="00642D47">
        <w:rPr>
          <w:lang w:val="en-US"/>
        </w:rPr>
        <w:t>;</w:t>
      </w:r>
    </w:p>
    <w:p w:rsidR="00651E50" w:rsidRPr="00DC2597" w:rsidRDefault="006B66CA" w:rsidP="00642D47">
      <w:pPr>
        <w:pStyle w:val="Normalnumber"/>
        <w:keepNext/>
        <w:keepLines/>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w:t>
      </w:r>
      <w:r w:rsidR="001D77CB">
        <w:rPr>
          <w:lang w:val="en-US"/>
        </w:rPr>
        <w:t>c</w:t>
      </w:r>
      <w:r>
        <w:rPr>
          <w:lang w:val="en-US"/>
        </w:rPr>
        <w:t>)</w:t>
      </w:r>
      <w:r>
        <w:rPr>
          <w:lang w:val="en-US"/>
        </w:rPr>
        <w:tab/>
      </w:r>
      <w:r w:rsidR="00651E50" w:rsidRPr="00642D47">
        <w:rPr>
          <w:lang w:val="en-US"/>
        </w:rPr>
        <w:t xml:space="preserve">Integration of assessment </w:t>
      </w:r>
      <w:r w:rsidR="00AC52A8" w:rsidRPr="00642D47">
        <w:rPr>
          <w:lang w:val="en-US"/>
        </w:rPr>
        <w:t xml:space="preserve">of </w:t>
      </w:r>
      <w:r w:rsidR="00651E50" w:rsidRPr="00642D47">
        <w:rPr>
          <w:lang w:val="en-US"/>
        </w:rPr>
        <w:t xml:space="preserve">land degradation with </w:t>
      </w:r>
      <w:r w:rsidR="00AC52A8" w:rsidRPr="00642D47">
        <w:rPr>
          <w:lang w:val="en-US"/>
        </w:rPr>
        <w:t>i</w:t>
      </w:r>
      <w:r w:rsidR="00651E50" w:rsidRPr="00642D47">
        <w:rPr>
          <w:lang w:val="en-US"/>
        </w:rPr>
        <w:t>ndigenous and local knowledge</w:t>
      </w:r>
      <w:r w:rsidR="0030703F" w:rsidRPr="00642D47">
        <w:rPr>
          <w:lang w:val="en-US"/>
        </w:rPr>
        <w:t>.</w:t>
      </w:r>
    </w:p>
    <w:p w:rsidR="00651E50" w:rsidRPr="00DC2597" w:rsidRDefault="00651E50" w:rsidP="00642D47">
      <w:pPr>
        <w:pStyle w:val="Normalnumber"/>
        <w:tabs>
          <w:tab w:val="left" w:pos="4082"/>
        </w:tabs>
        <w:rPr>
          <w:lang w:val="en-US"/>
        </w:rPr>
      </w:pPr>
      <w:r w:rsidRPr="00DC2597">
        <w:rPr>
          <w:lang w:val="en-US"/>
        </w:rPr>
        <w:t>Chapter 4</w:t>
      </w:r>
      <w:r w:rsidR="004F32E3">
        <w:rPr>
          <w:lang w:val="en-US"/>
        </w:rPr>
        <w:t xml:space="preserve">. </w:t>
      </w:r>
      <w:r w:rsidRPr="00E93328">
        <w:rPr>
          <w:lang w:val="en-US"/>
        </w:rPr>
        <w:t>Global assessment of the</w:t>
      </w:r>
      <w:r w:rsidRPr="00DC2597">
        <w:rPr>
          <w:lang w:val="en-US"/>
        </w:rPr>
        <w:t xml:space="preserve"> significance of land degradation for biodiversity and ecosystem services, broken down by region and biome type and contextualized scale and </w:t>
      </w:r>
      <w:r w:rsidR="00AC52A8">
        <w:rPr>
          <w:lang w:val="en-US"/>
        </w:rPr>
        <w:t>various</w:t>
      </w:r>
      <w:r w:rsidR="00AC52A8" w:rsidRPr="00DC2597">
        <w:rPr>
          <w:lang w:val="en-US"/>
        </w:rPr>
        <w:t xml:space="preserve"> </w:t>
      </w:r>
      <w:r w:rsidRPr="00DC2597">
        <w:rPr>
          <w:lang w:val="en-US"/>
        </w:rPr>
        <w:t>knowledge and value systems</w:t>
      </w:r>
      <w:r w:rsidR="003543BB">
        <w:rPr>
          <w:lang w:val="en-US"/>
        </w:rPr>
        <w:t>:</w:t>
      </w:r>
    </w:p>
    <w:p w:rsidR="00651E50" w:rsidRPr="00DC259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DC2597">
        <w:rPr>
          <w:lang w:val="en-US"/>
        </w:rPr>
        <w:t xml:space="preserve">Overview of scale and contextual factors in assessing impacts as in </w:t>
      </w:r>
      <w:r w:rsidR="00AC52A8">
        <w:rPr>
          <w:lang w:val="en-US"/>
        </w:rPr>
        <w:t>c</w:t>
      </w:r>
      <w:r w:rsidR="00651E50" w:rsidRPr="00DC2597">
        <w:rPr>
          <w:lang w:val="en-US"/>
        </w:rPr>
        <w:t>hapter 3</w:t>
      </w:r>
      <w:r w:rsidR="003543BB">
        <w:rPr>
          <w:lang w:val="en-US"/>
        </w:rPr>
        <w:t>;</w:t>
      </w:r>
    </w:p>
    <w:p w:rsidR="00651E50" w:rsidRPr="00DC259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(b)</w:t>
      </w:r>
      <w:r>
        <w:rPr>
          <w:lang w:val="en-US"/>
        </w:rPr>
        <w:tab/>
      </w:r>
      <w:r w:rsidR="00651E50" w:rsidRPr="00DC2597">
        <w:rPr>
          <w:lang w:val="en-US"/>
        </w:rPr>
        <w:t>Extent, trends and drivers of land degradation and ecosystem service loss</w:t>
      </w:r>
      <w:r w:rsidR="003543BB">
        <w:rPr>
          <w:lang w:val="en-US"/>
        </w:rPr>
        <w:t>;</w:t>
      </w:r>
    </w:p>
    <w:p w:rsidR="00651E50" w:rsidRPr="00DC259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(c)</w:t>
      </w:r>
      <w:r>
        <w:rPr>
          <w:lang w:val="en-US"/>
        </w:rPr>
        <w:tab/>
      </w:r>
      <w:r w:rsidR="00651E50" w:rsidRPr="00DC2597">
        <w:rPr>
          <w:lang w:val="en-US"/>
        </w:rPr>
        <w:t>Assessment of negative or positive thresholds beyond which recovery is either not possible or can be considered successful</w:t>
      </w:r>
      <w:r w:rsidR="003543BB">
        <w:rPr>
          <w:lang w:val="en-US"/>
        </w:rPr>
        <w:t>;</w:t>
      </w:r>
    </w:p>
    <w:p w:rsidR="00651E50" w:rsidRPr="00DC259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(d)</w:t>
      </w:r>
      <w:r>
        <w:rPr>
          <w:lang w:val="en-US"/>
        </w:rPr>
        <w:tab/>
      </w:r>
      <w:r w:rsidR="00651E50" w:rsidRPr="00DC2597">
        <w:rPr>
          <w:lang w:val="en-US"/>
        </w:rPr>
        <w:t xml:space="preserve">Integration of assessment of land degradation impacts and recovery of biodiversity and ecosystem services with </w:t>
      </w:r>
      <w:r w:rsidR="00AC52A8">
        <w:rPr>
          <w:lang w:val="en-US"/>
        </w:rPr>
        <w:t>i</w:t>
      </w:r>
      <w:r w:rsidR="00651E50" w:rsidRPr="00DC2597">
        <w:rPr>
          <w:lang w:val="en-US"/>
        </w:rPr>
        <w:t>ndigenous and local knowledge</w:t>
      </w:r>
      <w:r w:rsidR="003543BB">
        <w:rPr>
          <w:lang w:val="en-US"/>
        </w:rPr>
        <w:t>.</w:t>
      </w:r>
    </w:p>
    <w:p w:rsidR="00651E50" w:rsidRPr="00DC2597" w:rsidRDefault="00651E50" w:rsidP="00642D47">
      <w:pPr>
        <w:pStyle w:val="Normalnumber"/>
        <w:tabs>
          <w:tab w:val="left" w:pos="4082"/>
        </w:tabs>
        <w:rPr>
          <w:lang w:val="en-US"/>
        </w:rPr>
      </w:pPr>
      <w:r w:rsidRPr="00DC2597">
        <w:rPr>
          <w:lang w:val="en-US"/>
        </w:rPr>
        <w:t>Chapter 5</w:t>
      </w:r>
      <w:r w:rsidR="004F32E3">
        <w:rPr>
          <w:lang w:val="en-US"/>
        </w:rPr>
        <w:t xml:space="preserve">. </w:t>
      </w:r>
      <w:r w:rsidRPr="00DC2597">
        <w:rPr>
          <w:lang w:val="en-US"/>
        </w:rPr>
        <w:t xml:space="preserve">Introduction to the concepts of land restoration, remediation and mitigation for </w:t>
      </w:r>
      <w:r w:rsidR="00AC52A8">
        <w:rPr>
          <w:lang w:val="en-US"/>
        </w:rPr>
        <w:t>various</w:t>
      </w:r>
      <w:r w:rsidR="00AC52A8" w:rsidRPr="00DC2597">
        <w:rPr>
          <w:lang w:val="en-US"/>
        </w:rPr>
        <w:t xml:space="preserve"> </w:t>
      </w:r>
      <w:r w:rsidRPr="00DC2597">
        <w:rPr>
          <w:lang w:val="en-US"/>
        </w:rPr>
        <w:t>regions and biomes</w:t>
      </w:r>
      <w:r w:rsidR="003543BB">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642D47">
        <w:rPr>
          <w:lang w:val="en-US"/>
        </w:rPr>
        <w:t xml:space="preserve">The concept of land restoration, remediation and mitigation for </w:t>
      </w:r>
      <w:r w:rsidR="00AC52A8" w:rsidRPr="00642D47">
        <w:rPr>
          <w:lang w:val="en-US"/>
        </w:rPr>
        <w:t xml:space="preserve">various </w:t>
      </w:r>
      <w:r w:rsidR="00651E50" w:rsidRPr="00642D47">
        <w:rPr>
          <w:lang w:val="en-US"/>
        </w:rPr>
        <w:t>knowledge and value systems</w:t>
      </w:r>
      <w:r w:rsidR="003543BB"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(b)</w:t>
      </w:r>
      <w:r>
        <w:rPr>
          <w:lang w:val="en-US"/>
        </w:rPr>
        <w:tab/>
      </w:r>
      <w:r w:rsidR="00651E50" w:rsidRPr="00642D47">
        <w:rPr>
          <w:lang w:val="en-US"/>
        </w:rPr>
        <w:t>Approaches to restoration, mitigation and remediation for biodiversity and ecosystem services</w:t>
      </w:r>
      <w:r w:rsidR="003543BB"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(c)</w:t>
      </w:r>
      <w:r>
        <w:rPr>
          <w:lang w:val="en-US"/>
        </w:rPr>
        <w:tab/>
      </w:r>
      <w:r w:rsidR="00651E50" w:rsidRPr="00642D47">
        <w:rPr>
          <w:lang w:val="en-US"/>
        </w:rPr>
        <w:t>Categories of land restoration, remediation and mitigation</w:t>
      </w:r>
      <w:r w:rsidR="003543BB" w:rsidRPr="00642D47">
        <w:rPr>
          <w:lang w:val="en-US"/>
        </w:rPr>
        <w:t>;</w:t>
      </w:r>
      <w:r w:rsidR="00651E50" w:rsidRPr="00642D47">
        <w:rPr>
          <w:lang w:val="en-US"/>
        </w:rPr>
        <w:t xml:space="preserve"> </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(d)</w:t>
      </w:r>
      <w:r>
        <w:rPr>
          <w:lang w:val="en-US"/>
        </w:rPr>
        <w:tab/>
      </w:r>
      <w:r w:rsidR="00651E50" w:rsidRPr="00642D47">
        <w:rPr>
          <w:lang w:val="en-US"/>
        </w:rPr>
        <w:t>Impacts of land restoration, remediation and mitigation on biodiversity and ecosystem services</w:t>
      </w:r>
      <w:r w:rsidR="003543BB" w:rsidRPr="00642D47">
        <w:rPr>
          <w:lang w:val="en-US"/>
        </w:rPr>
        <w:t>;</w:t>
      </w:r>
    </w:p>
    <w:p w:rsidR="00651E50" w:rsidRPr="00651E50"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(e)</w:t>
      </w:r>
      <w:r>
        <w:rPr>
          <w:lang w:val="en-US"/>
        </w:rPr>
        <w:tab/>
      </w:r>
      <w:r w:rsidR="00651E50" w:rsidRPr="00642D47">
        <w:rPr>
          <w:lang w:val="en-US"/>
        </w:rPr>
        <w:t>The scale-dependency (in time and space) of land restoration, remediation and mitigation and its impacts</w:t>
      </w:r>
      <w:r w:rsidR="003543BB" w:rsidRPr="00642D47">
        <w:rPr>
          <w:lang w:val="en-US"/>
        </w:rPr>
        <w:t>.</w:t>
      </w:r>
    </w:p>
    <w:p w:rsidR="00651E50" w:rsidRPr="00DC2597" w:rsidRDefault="00651E50" w:rsidP="00642D47">
      <w:pPr>
        <w:pStyle w:val="Normalnumber"/>
        <w:tabs>
          <w:tab w:val="left" w:pos="4082"/>
        </w:tabs>
        <w:rPr>
          <w:lang w:val="en-US"/>
        </w:rPr>
      </w:pPr>
      <w:r w:rsidRPr="00DC2597">
        <w:rPr>
          <w:lang w:val="en-US"/>
        </w:rPr>
        <w:t>Chapter 6</w:t>
      </w:r>
      <w:r w:rsidR="00C871A4">
        <w:rPr>
          <w:lang w:val="en-US"/>
        </w:rPr>
        <w:t>.</w:t>
      </w:r>
      <w:r w:rsidR="004F32E3">
        <w:rPr>
          <w:lang w:val="en-US"/>
        </w:rPr>
        <w:t xml:space="preserve"> </w:t>
      </w:r>
      <w:r w:rsidRPr="00DC2597">
        <w:rPr>
          <w:lang w:val="en-US"/>
        </w:rPr>
        <w:t>Global assessment of recovery measures for degraded land</w:t>
      </w:r>
      <w:r w:rsidR="003543BB">
        <w:rPr>
          <w:lang w:val="en-US"/>
        </w:rPr>
        <w:t>,</w:t>
      </w:r>
      <w:r w:rsidRPr="00DC2597">
        <w:rPr>
          <w:lang w:val="en-US"/>
        </w:rPr>
        <w:t xml:space="preserve"> including assessment of the installed capacity for land restoration</w:t>
      </w:r>
      <w:r w:rsidR="003543BB">
        <w:rPr>
          <w:lang w:val="en-US"/>
        </w:rPr>
        <w:t>,</w:t>
      </w:r>
      <w:r w:rsidRPr="00DC2597">
        <w:rPr>
          <w:lang w:val="en-US"/>
        </w:rPr>
        <w:t xml:space="preserve"> in </w:t>
      </w:r>
      <w:r w:rsidR="0041604C">
        <w:rPr>
          <w:lang w:val="en-US"/>
        </w:rPr>
        <w:t>various</w:t>
      </w:r>
      <w:r w:rsidR="0041604C" w:rsidRPr="00DC2597">
        <w:rPr>
          <w:lang w:val="en-US"/>
        </w:rPr>
        <w:t xml:space="preserve"> </w:t>
      </w:r>
      <w:r w:rsidRPr="00DC2597">
        <w:rPr>
          <w:lang w:val="en-US"/>
        </w:rPr>
        <w:t>regions and biomes</w:t>
      </w:r>
      <w:r w:rsidR="00C871A4">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(a)</w:t>
      </w:r>
      <w:r>
        <w:rPr>
          <w:lang w:val="en-US"/>
        </w:rPr>
        <w:tab/>
      </w:r>
      <w:r w:rsidR="00651E50" w:rsidRPr="00642D47">
        <w:rPr>
          <w:lang w:val="en-US"/>
        </w:rPr>
        <w:t xml:space="preserve">Assessment of areal extent, trends and policy context </w:t>
      </w:r>
      <w:r w:rsidR="0041604C" w:rsidRPr="00642D47">
        <w:rPr>
          <w:lang w:val="en-US"/>
        </w:rPr>
        <w:t xml:space="preserve">with regard to </w:t>
      </w:r>
      <w:r w:rsidR="00651E50" w:rsidRPr="00642D47">
        <w:rPr>
          <w:lang w:val="en-US"/>
        </w:rPr>
        <w:t xml:space="preserve">lands under active management </w:t>
      </w:r>
      <w:r w:rsidR="0041604C" w:rsidRPr="00642D47">
        <w:rPr>
          <w:lang w:val="en-US"/>
        </w:rPr>
        <w:t>aimed at</w:t>
      </w:r>
      <w:r w:rsidR="00651E50" w:rsidRPr="00642D47">
        <w:rPr>
          <w:lang w:val="en-US"/>
        </w:rPr>
        <w:t xml:space="preserve"> mitigat</w:t>
      </w:r>
      <w:r w:rsidR="0041604C" w:rsidRPr="00642D47">
        <w:rPr>
          <w:lang w:val="en-US"/>
        </w:rPr>
        <w:t>ing</w:t>
      </w:r>
      <w:r w:rsidR="00651E50" w:rsidRPr="00642D47">
        <w:rPr>
          <w:lang w:val="en-US"/>
        </w:rPr>
        <w:t xml:space="preserve"> or remedy</w:t>
      </w:r>
      <w:r w:rsidR="0041604C" w:rsidRPr="00642D47">
        <w:rPr>
          <w:lang w:val="en-US"/>
        </w:rPr>
        <w:t>ing</w:t>
      </w:r>
      <w:r w:rsidR="00651E50" w:rsidRPr="00642D47">
        <w:rPr>
          <w:lang w:val="en-US"/>
        </w:rPr>
        <w:t xml:space="preserve"> land degradation</w:t>
      </w:r>
      <w:r w:rsidR="003543BB"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(b)</w:t>
      </w:r>
      <w:r>
        <w:rPr>
          <w:lang w:val="en-US"/>
        </w:rPr>
        <w:tab/>
      </w:r>
      <w:r w:rsidR="00651E50" w:rsidRPr="00642D47">
        <w:rPr>
          <w:lang w:val="en-US"/>
        </w:rPr>
        <w:t xml:space="preserve">Overview of options for recovery of degraded land, including biodiversity restoration and ecosystem services recovery and </w:t>
      </w:r>
      <w:r w:rsidR="00A41032" w:rsidRPr="00642D47">
        <w:rPr>
          <w:lang w:val="en-US"/>
        </w:rPr>
        <w:t>i</w:t>
      </w:r>
      <w:r w:rsidR="00651E50" w:rsidRPr="00642D47">
        <w:rPr>
          <w:lang w:val="en-US"/>
        </w:rPr>
        <w:t xml:space="preserve">ndigenous and traditional practices </w:t>
      </w:r>
      <w:r w:rsidR="00A41032" w:rsidRPr="00642D47">
        <w:rPr>
          <w:lang w:val="en-US"/>
        </w:rPr>
        <w:t xml:space="preserve">regarding </w:t>
      </w:r>
      <w:r w:rsidR="00651E50" w:rsidRPr="00642D47">
        <w:rPr>
          <w:lang w:val="en-US"/>
        </w:rPr>
        <w:t>biodiversity and ecosystem services management</w:t>
      </w:r>
      <w:r w:rsidR="005F1662"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(c)</w:t>
      </w:r>
      <w:r>
        <w:rPr>
          <w:lang w:val="en-US"/>
        </w:rPr>
        <w:tab/>
      </w:r>
      <w:r w:rsidR="00651E50" w:rsidRPr="00642D47">
        <w:rPr>
          <w:lang w:val="en-US"/>
        </w:rPr>
        <w:t>Overview of options for achieving a land</w:t>
      </w:r>
      <w:r w:rsidR="004647DC" w:rsidRPr="00642D47">
        <w:rPr>
          <w:lang w:val="en-US"/>
        </w:rPr>
        <w:t>-</w:t>
      </w:r>
      <w:r w:rsidR="00651E50" w:rsidRPr="00642D47">
        <w:rPr>
          <w:lang w:val="en-US"/>
        </w:rPr>
        <w:t>degradation-neutral world</w:t>
      </w:r>
      <w:r w:rsidR="005F1662" w:rsidRPr="00642D47">
        <w:rPr>
          <w:lang w:val="en-US"/>
        </w:rPr>
        <w:t>;</w:t>
      </w:r>
    </w:p>
    <w:p w:rsidR="00651E50" w:rsidRPr="00642D47"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(d)</w:t>
      </w:r>
      <w:r>
        <w:rPr>
          <w:lang w:val="en-US"/>
        </w:rPr>
        <w:tab/>
      </w:r>
      <w:r w:rsidR="00651E50" w:rsidRPr="00642D47">
        <w:rPr>
          <w:lang w:val="en-US"/>
        </w:rPr>
        <w:t>Scenarios and models to help evaluate the potential for restoration, the role of biodiversity in restoration and the effects of restoration on a range of ecosystem services</w:t>
      </w:r>
      <w:r w:rsidR="004F32E3" w:rsidRPr="00642D47">
        <w:rPr>
          <w:lang w:val="en-US"/>
        </w:rPr>
        <w:t>,</w:t>
      </w:r>
      <w:r w:rsidR="00651E50" w:rsidRPr="00642D47">
        <w:rPr>
          <w:lang w:val="en-US"/>
        </w:rPr>
        <w:t xml:space="preserve"> such as those related to the water cycle</w:t>
      </w:r>
      <w:r w:rsidR="00921BD2" w:rsidRPr="00642D47">
        <w:rPr>
          <w:lang w:val="en-US"/>
        </w:rPr>
        <w:t xml:space="preserve"> and</w:t>
      </w:r>
      <w:r w:rsidR="00651E50" w:rsidRPr="00642D47">
        <w:rPr>
          <w:lang w:val="en-US"/>
        </w:rPr>
        <w:t xml:space="preserve"> carbon balance</w:t>
      </w:r>
      <w:r w:rsidR="00921BD2" w:rsidRPr="00642D47">
        <w:rPr>
          <w:lang w:val="en-US"/>
        </w:rPr>
        <w:t>,</w:t>
      </w:r>
      <w:r w:rsidR="00651E50" w:rsidRPr="00642D47">
        <w:rPr>
          <w:lang w:val="en-US"/>
        </w:rPr>
        <w:t xml:space="preserve"> feedback effects on regional climate and control of aerosols</w:t>
      </w:r>
      <w:r w:rsidR="00C871A4">
        <w:rPr>
          <w:lang w:val="en-US"/>
        </w:rPr>
        <w:t>;</w:t>
      </w:r>
    </w:p>
    <w:p w:rsidR="00651E50" w:rsidRDefault="006B66CA" w:rsidP="00642D47">
      <w:pPr>
        <w:pStyle w:val="Normalnumber"/>
        <w:numPr>
          <w:ilvl w:val="0"/>
          <w:numId w:val="0"/>
        </w:numPr>
        <w:tabs>
          <w:tab w:val="clear" w:pos="1247"/>
          <w:tab w:val="clear" w:pos="1814"/>
          <w:tab w:val="clear" w:pos="2381"/>
          <w:tab w:val="clear" w:pos="2948"/>
          <w:tab w:val="clear" w:pos="3515"/>
          <w:tab w:val="left" w:pos="624"/>
        </w:tabs>
        <w:ind w:left="1247" w:firstLine="624"/>
        <w:rPr>
          <w:lang w:val="en-US"/>
        </w:rPr>
      </w:pPr>
      <w:r>
        <w:rPr>
          <w:lang w:val="en-US"/>
        </w:rPr>
        <w:t>(e)</w:t>
      </w:r>
      <w:r>
        <w:rPr>
          <w:lang w:val="en-US"/>
        </w:rPr>
        <w:tab/>
      </w:r>
      <w:r w:rsidR="00651E50" w:rsidRPr="00642D47">
        <w:rPr>
          <w:lang w:val="en-US"/>
        </w:rPr>
        <w:t>Identif</w:t>
      </w:r>
      <w:r w:rsidR="00EC2AB0" w:rsidRPr="00642D47">
        <w:rPr>
          <w:lang w:val="en-US"/>
        </w:rPr>
        <w:t>ication of</w:t>
      </w:r>
      <w:r w:rsidR="00651E50" w:rsidRPr="00642D47">
        <w:rPr>
          <w:lang w:val="en-US"/>
        </w:rPr>
        <w:t xml:space="preserve"> policy</w:t>
      </w:r>
      <w:r w:rsidR="00EC2AB0" w:rsidRPr="00642D47">
        <w:rPr>
          <w:lang w:val="en-US"/>
        </w:rPr>
        <w:t>-</w:t>
      </w:r>
      <w:r w:rsidR="00651E50" w:rsidRPr="00642D47">
        <w:rPr>
          <w:lang w:val="en-US"/>
        </w:rPr>
        <w:t xml:space="preserve">relevant findings to support decision-making </w:t>
      </w:r>
      <w:r w:rsidR="00EC2AB0" w:rsidRPr="00642D47">
        <w:rPr>
          <w:lang w:val="en-US"/>
        </w:rPr>
        <w:t>by G</w:t>
      </w:r>
      <w:r w:rsidR="00651E50" w:rsidRPr="00642D47">
        <w:rPr>
          <w:lang w:val="en-US"/>
        </w:rPr>
        <w:t>overnment</w:t>
      </w:r>
      <w:r w:rsidR="00EC2AB0" w:rsidRPr="00642D47">
        <w:rPr>
          <w:lang w:val="en-US"/>
        </w:rPr>
        <w:t>s</w:t>
      </w:r>
      <w:r w:rsidR="00651E50" w:rsidRPr="00642D47">
        <w:rPr>
          <w:lang w:val="en-US"/>
        </w:rPr>
        <w:t xml:space="preserve">, </w:t>
      </w:r>
      <w:r w:rsidR="00EC2AB0" w:rsidRPr="00642D47">
        <w:rPr>
          <w:lang w:val="en-US"/>
        </w:rPr>
        <w:t>i</w:t>
      </w:r>
      <w:r w:rsidR="00651E50" w:rsidRPr="00642D47">
        <w:rPr>
          <w:lang w:val="en-US"/>
        </w:rPr>
        <w:t xml:space="preserve">ndigenous and local communities, </w:t>
      </w:r>
      <w:r w:rsidR="00EC2AB0" w:rsidRPr="00642D47">
        <w:rPr>
          <w:lang w:val="en-US"/>
        </w:rPr>
        <w:t xml:space="preserve">the </w:t>
      </w:r>
      <w:r w:rsidR="00651E50" w:rsidRPr="00642D47">
        <w:rPr>
          <w:lang w:val="en-US"/>
        </w:rPr>
        <w:t>private sector and civil societ</w:t>
      </w:r>
      <w:r w:rsidR="00EC2AB0" w:rsidRPr="00642D47">
        <w:rPr>
          <w:lang w:val="en-US"/>
        </w:rPr>
        <w:t>y</w:t>
      </w:r>
      <w:r w:rsidR="00E93328" w:rsidRPr="00642D47">
        <w:rPr>
          <w:lang w:val="en-US"/>
        </w:rPr>
        <w:t>.</w:t>
      </w:r>
    </w:p>
    <w:p w:rsidR="00651E50" w:rsidRPr="00642D47" w:rsidRDefault="00651E50" w:rsidP="00642D47">
      <w:pPr>
        <w:pStyle w:val="Normalnumber"/>
        <w:tabs>
          <w:tab w:val="left" w:pos="4082"/>
        </w:tabs>
        <w:rPr>
          <w:lang w:val="en-US"/>
        </w:rPr>
      </w:pPr>
      <w:r w:rsidRPr="00642D47">
        <w:rPr>
          <w:lang w:val="en-US"/>
        </w:rPr>
        <w:t>Chapter 7</w:t>
      </w:r>
      <w:r w:rsidR="00921BD2" w:rsidRPr="00642D47">
        <w:rPr>
          <w:lang w:val="en-US"/>
        </w:rPr>
        <w:t xml:space="preserve">. </w:t>
      </w:r>
      <w:r w:rsidRPr="00642D47">
        <w:rPr>
          <w:lang w:val="en-US"/>
        </w:rPr>
        <w:t>Appraisal of case studies of positive and negative impacts of land degradation and recovery efforts on economies and on human health and well-being</w:t>
      </w:r>
      <w:r w:rsidR="00921BD2" w:rsidRPr="00642D47">
        <w:rPr>
          <w:lang w:val="en-US"/>
        </w:rPr>
        <w:t xml:space="preserve"> and i</w:t>
      </w:r>
      <w:r w:rsidRPr="00642D47">
        <w:rPr>
          <w:lang w:val="en-US"/>
        </w:rPr>
        <w:t>dentif</w:t>
      </w:r>
      <w:r w:rsidR="00986AC7" w:rsidRPr="00642D47">
        <w:rPr>
          <w:lang w:val="en-US"/>
        </w:rPr>
        <w:t>ication of</w:t>
      </w:r>
      <w:r w:rsidRPr="00642D47">
        <w:rPr>
          <w:lang w:val="en-US"/>
        </w:rPr>
        <w:t xml:space="preserve"> policy-relevant findings for decision-making </w:t>
      </w:r>
      <w:r w:rsidR="00986AC7" w:rsidRPr="00642D47">
        <w:rPr>
          <w:lang w:val="en-US"/>
        </w:rPr>
        <w:t>by G</w:t>
      </w:r>
      <w:r w:rsidRPr="00642D47">
        <w:rPr>
          <w:lang w:val="en-US"/>
        </w:rPr>
        <w:t>overnment</w:t>
      </w:r>
      <w:r w:rsidR="00986AC7" w:rsidRPr="00642D47">
        <w:rPr>
          <w:lang w:val="en-US"/>
        </w:rPr>
        <w:t>s</w:t>
      </w:r>
      <w:r w:rsidRPr="00642D47">
        <w:rPr>
          <w:lang w:val="en-US"/>
        </w:rPr>
        <w:t xml:space="preserve">, </w:t>
      </w:r>
      <w:r w:rsidR="00986AC7" w:rsidRPr="00642D47">
        <w:rPr>
          <w:lang w:val="en-US"/>
        </w:rPr>
        <w:t>i</w:t>
      </w:r>
      <w:r w:rsidRPr="00642D47">
        <w:rPr>
          <w:lang w:val="en-US"/>
        </w:rPr>
        <w:t xml:space="preserve">ndigenous and local communities, </w:t>
      </w:r>
      <w:r w:rsidR="00986AC7" w:rsidRPr="00642D47">
        <w:rPr>
          <w:lang w:val="en-US"/>
        </w:rPr>
        <w:t xml:space="preserve">the </w:t>
      </w:r>
      <w:r w:rsidRPr="00642D47">
        <w:rPr>
          <w:lang w:val="en-US"/>
        </w:rPr>
        <w:t>private sector and civil societ</w:t>
      </w:r>
      <w:r w:rsidR="00986AC7" w:rsidRPr="00642D47">
        <w:rPr>
          <w:lang w:val="en-US"/>
        </w:rPr>
        <w:t>y</w:t>
      </w:r>
      <w:r w:rsidR="00921BD2" w:rsidRPr="00642D47">
        <w:rPr>
          <w:lang w:val="en-US"/>
        </w:rPr>
        <w:t>.</w:t>
      </w:r>
    </w:p>
    <w:p w:rsidR="00651E50" w:rsidRPr="00651E50" w:rsidRDefault="00651E50" w:rsidP="00642D47">
      <w:pPr>
        <w:pStyle w:val="Normalnumber"/>
        <w:tabs>
          <w:tab w:val="left" w:pos="4082"/>
        </w:tabs>
        <w:rPr>
          <w:lang w:val="en-US"/>
        </w:rPr>
      </w:pPr>
      <w:r w:rsidRPr="00DC2597">
        <w:rPr>
          <w:lang w:val="en-US"/>
        </w:rPr>
        <w:t>Chapter 8</w:t>
      </w:r>
      <w:r w:rsidR="00921BD2">
        <w:rPr>
          <w:lang w:val="en-US"/>
        </w:rPr>
        <w:t xml:space="preserve">. </w:t>
      </w:r>
      <w:r w:rsidRPr="00DC2597">
        <w:rPr>
          <w:lang w:val="en-US"/>
        </w:rPr>
        <w:t xml:space="preserve">Creating a framework for embedding a holistic systems approach in appraisals and policy- and decision-making processes. Deliverables would include a conceptual framework, </w:t>
      </w:r>
      <w:r w:rsidR="00986AC7">
        <w:rPr>
          <w:lang w:val="en-US"/>
        </w:rPr>
        <w:t xml:space="preserve">a </w:t>
      </w:r>
      <w:r w:rsidRPr="00DC2597">
        <w:rPr>
          <w:lang w:val="en-US"/>
        </w:rPr>
        <w:t xml:space="preserve">typology of tools, methodologies and an assessment of </w:t>
      </w:r>
      <w:r w:rsidR="00986AC7">
        <w:rPr>
          <w:lang w:val="en-US"/>
        </w:rPr>
        <w:t>factors that impede and facilitate the</w:t>
      </w:r>
      <w:r w:rsidRPr="00DC2597">
        <w:rPr>
          <w:lang w:val="en-US"/>
        </w:rPr>
        <w:t xml:space="preserve"> embed</w:t>
      </w:r>
      <w:r w:rsidR="00986AC7">
        <w:rPr>
          <w:lang w:val="en-US"/>
        </w:rPr>
        <w:t>ding</w:t>
      </w:r>
      <w:r w:rsidRPr="00DC2597">
        <w:rPr>
          <w:lang w:val="en-US"/>
        </w:rPr>
        <w:t xml:space="preserve"> </w:t>
      </w:r>
      <w:r w:rsidR="00986AC7">
        <w:rPr>
          <w:lang w:val="en-US"/>
        </w:rPr>
        <w:t xml:space="preserve">of </w:t>
      </w:r>
      <w:r w:rsidRPr="00DC2597">
        <w:rPr>
          <w:lang w:val="en-US"/>
        </w:rPr>
        <w:t xml:space="preserve">an ecosystems approach in </w:t>
      </w:r>
      <w:r w:rsidR="00986AC7">
        <w:rPr>
          <w:lang w:val="en-US"/>
        </w:rPr>
        <w:t>various</w:t>
      </w:r>
      <w:r w:rsidR="00986AC7" w:rsidRPr="00DC2597">
        <w:rPr>
          <w:lang w:val="en-US"/>
        </w:rPr>
        <w:t xml:space="preserve"> </w:t>
      </w:r>
      <w:r w:rsidRPr="00DC2597">
        <w:rPr>
          <w:lang w:val="en-US"/>
        </w:rPr>
        <w:t>types of appraisals</w:t>
      </w:r>
      <w:r w:rsidR="0030703F">
        <w:rPr>
          <w:lang w:val="en-US"/>
        </w:rPr>
        <w:t>.</w:t>
      </w:r>
    </w:p>
    <w:p w:rsidR="00651E50" w:rsidRDefault="00B35D0C" w:rsidP="002D7F92">
      <w:pPr>
        <w:pStyle w:val="CH1"/>
        <w:rPr>
          <w:lang w:val="en-US"/>
        </w:rPr>
      </w:pPr>
      <w:r>
        <w:rPr>
          <w:lang w:val="en-US"/>
        </w:rPr>
        <w:lastRenderedPageBreak/>
        <w:tab/>
      </w:r>
      <w:r w:rsidR="000F4F06">
        <w:rPr>
          <w:lang w:val="en-US"/>
        </w:rPr>
        <w:t>IV</w:t>
      </w:r>
      <w:r w:rsidR="00E306F1">
        <w:rPr>
          <w:lang w:val="en-US"/>
        </w:rPr>
        <w:t>.</w:t>
      </w:r>
      <w:r w:rsidR="00651E50" w:rsidRPr="00DC2597">
        <w:rPr>
          <w:lang w:val="en-US"/>
        </w:rPr>
        <w:tab/>
        <w:t xml:space="preserve">Process and </w:t>
      </w:r>
      <w:r w:rsidR="00986AC7">
        <w:rPr>
          <w:lang w:val="en-US"/>
        </w:rPr>
        <w:t>t</w:t>
      </w:r>
      <w:r w:rsidR="00651E50" w:rsidRPr="00DC2597">
        <w:rPr>
          <w:lang w:val="en-US"/>
        </w:rPr>
        <w:t>imetable</w:t>
      </w:r>
    </w:p>
    <w:p w:rsidR="00986AC7" w:rsidRPr="00580152" w:rsidRDefault="00986AC7" w:rsidP="002D7F92">
      <w:pPr>
        <w:pStyle w:val="Normalnumber"/>
        <w:keepNext/>
        <w:keepLines/>
        <w:tabs>
          <w:tab w:val="left" w:pos="4082"/>
        </w:tabs>
        <w:rPr>
          <w:lang w:val="en-US"/>
        </w:rPr>
      </w:pPr>
      <w:r>
        <w:t>The proposed process for undertaking the assessment and the timetable for carrying it out are outlined in the following table.</w:t>
      </w:r>
    </w:p>
    <w:tbl>
      <w:tblPr>
        <w:tblW w:w="8783"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276"/>
        <w:gridCol w:w="6804"/>
      </w:tblGrid>
      <w:tr w:rsidR="001A68FB" w:rsidRPr="00642D47" w:rsidTr="00642D47">
        <w:trPr>
          <w:trHeight w:val="584"/>
        </w:trPr>
        <w:tc>
          <w:tcPr>
            <w:tcW w:w="1979" w:type="dxa"/>
            <w:gridSpan w:val="2"/>
            <w:vAlign w:val="center"/>
          </w:tcPr>
          <w:p w:rsidR="001A68FB" w:rsidRPr="00642D47" w:rsidDel="00E93328" w:rsidRDefault="001A68FB" w:rsidP="00642D47">
            <w:pPr>
              <w:keepNext/>
              <w:keepLines/>
              <w:tabs>
                <w:tab w:val="left" w:pos="426"/>
                <w:tab w:val="num" w:pos="1353"/>
              </w:tabs>
              <w:autoSpaceDE w:val="0"/>
              <w:autoSpaceDN w:val="0"/>
              <w:adjustRightInd w:val="0"/>
              <w:spacing w:after="120"/>
              <w:rPr>
                <w:i/>
                <w:sz w:val="18"/>
                <w:szCs w:val="18"/>
                <w:lang w:val="en-US"/>
              </w:rPr>
            </w:pPr>
            <w:r w:rsidRPr="00642D47">
              <w:rPr>
                <w:i/>
                <w:sz w:val="18"/>
                <w:szCs w:val="18"/>
                <w:lang w:val="en-US"/>
              </w:rPr>
              <w:t>Time frame</w:t>
            </w:r>
          </w:p>
        </w:tc>
        <w:tc>
          <w:tcPr>
            <w:tcW w:w="6804" w:type="dxa"/>
            <w:vAlign w:val="center"/>
          </w:tcPr>
          <w:p w:rsidR="001A68FB" w:rsidRPr="00642D47" w:rsidRDefault="001A68FB" w:rsidP="00642D47">
            <w:pPr>
              <w:pStyle w:val="Normal-pool"/>
              <w:keepNext/>
              <w:keepLines/>
              <w:spacing w:before="20" w:after="20"/>
              <w:rPr>
                <w:sz w:val="18"/>
                <w:szCs w:val="18"/>
                <w:lang w:val="en-US"/>
              </w:rPr>
            </w:pPr>
            <w:r w:rsidRPr="00642D47">
              <w:rPr>
                <w:rFonts w:eastAsia="SimSun"/>
                <w:i/>
                <w:sz w:val="18"/>
                <w:szCs w:val="18"/>
                <w:lang w:eastAsia="zh-CN"/>
              </w:rPr>
              <w:t>Actions</w:t>
            </w:r>
          </w:p>
        </w:tc>
      </w:tr>
      <w:tr w:rsidR="00651E50" w:rsidRPr="00642D47" w:rsidTr="00642D47">
        <w:trPr>
          <w:trHeight w:val="584"/>
        </w:trPr>
        <w:tc>
          <w:tcPr>
            <w:tcW w:w="703" w:type="dxa"/>
            <w:vMerge w:val="restart"/>
            <w:vAlign w:val="center"/>
          </w:tcPr>
          <w:p w:rsidR="00651E50" w:rsidRPr="00642D47" w:rsidRDefault="00651E50" w:rsidP="00642D47">
            <w:pPr>
              <w:keepNext/>
              <w:keepLines/>
              <w:tabs>
                <w:tab w:val="left" w:pos="426"/>
                <w:tab w:val="num" w:pos="1353"/>
              </w:tabs>
              <w:autoSpaceDE w:val="0"/>
              <w:autoSpaceDN w:val="0"/>
              <w:adjustRightInd w:val="0"/>
              <w:spacing w:after="120"/>
              <w:jc w:val="center"/>
              <w:rPr>
                <w:sz w:val="18"/>
                <w:szCs w:val="18"/>
                <w:lang w:val="en-US"/>
              </w:rPr>
            </w:pPr>
            <w:r w:rsidRPr="00642D47">
              <w:rPr>
                <w:sz w:val="18"/>
                <w:szCs w:val="18"/>
                <w:lang w:val="en-US"/>
              </w:rPr>
              <w:t>2013</w:t>
            </w:r>
          </w:p>
        </w:tc>
        <w:tc>
          <w:tcPr>
            <w:tcW w:w="1276" w:type="dxa"/>
          </w:tcPr>
          <w:p w:rsidR="00651E50" w:rsidRPr="00642D47" w:rsidRDefault="00E93328" w:rsidP="00F67A48">
            <w:pPr>
              <w:keepNext/>
              <w:keepLines/>
              <w:tabs>
                <w:tab w:val="left" w:pos="426"/>
                <w:tab w:val="num" w:pos="1353"/>
              </w:tabs>
              <w:autoSpaceDE w:val="0"/>
              <w:autoSpaceDN w:val="0"/>
              <w:adjustRightInd w:val="0"/>
              <w:spacing w:after="120"/>
              <w:rPr>
                <w:sz w:val="18"/>
                <w:szCs w:val="18"/>
                <w:lang w:val="en-US"/>
              </w:rPr>
            </w:pPr>
            <w:r w:rsidRPr="00642D47">
              <w:rPr>
                <w:sz w:val="18"/>
                <w:szCs w:val="18"/>
                <w:lang w:val="en-US"/>
              </w:rPr>
              <w:t>Fourth quarter</w:t>
            </w:r>
          </w:p>
        </w:tc>
        <w:tc>
          <w:tcPr>
            <w:tcW w:w="6804" w:type="dxa"/>
          </w:tcPr>
          <w:p w:rsidR="00651E50" w:rsidRPr="00642D47" w:rsidRDefault="00651E50" w:rsidP="00642D47">
            <w:pPr>
              <w:pStyle w:val="Normal-pool"/>
              <w:keepNext/>
              <w:keepLines/>
              <w:spacing w:before="20" w:after="20"/>
              <w:rPr>
                <w:sz w:val="18"/>
                <w:szCs w:val="18"/>
                <w:lang w:val="en-US"/>
              </w:rPr>
            </w:pPr>
            <w:r w:rsidRPr="00642D47">
              <w:rPr>
                <w:sz w:val="18"/>
                <w:szCs w:val="18"/>
                <w:lang w:val="en-US"/>
              </w:rPr>
              <w:t>The Plenary review</w:t>
            </w:r>
            <w:r w:rsidR="00C15FB3" w:rsidRPr="00642D47">
              <w:rPr>
                <w:sz w:val="18"/>
                <w:szCs w:val="18"/>
                <w:lang w:val="en-US"/>
              </w:rPr>
              <w:t>s</w:t>
            </w:r>
            <w:r w:rsidRPr="00642D47">
              <w:rPr>
                <w:sz w:val="18"/>
                <w:szCs w:val="18"/>
                <w:lang w:val="en-US"/>
              </w:rPr>
              <w:t xml:space="preserve"> and approve</w:t>
            </w:r>
            <w:r w:rsidR="00C15FB3" w:rsidRPr="00642D47">
              <w:rPr>
                <w:sz w:val="18"/>
                <w:szCs w:val="18"/>
                <w:lang w:val="en-US"/>
              </w:rPr>
              <w:t>s</w:t>
            </w:r>
            <w:r w:rsidRPr="00642D47">
              <w:rPr>
                <w:sz w:val="18"/>
                <w:szCs w:val="18"/>
                <w:lang w:val="en-US"/>
              </w:rPr>
              <w:t xml:space="preserve"> the initial scoping</w:t>
            </w:r>
            <w:r w:rsidR="00E93328" w:rsidRPr="00642D47">
              <w:rPr>
                <w:sz w:val="18"/>
                <w:szCs w:val="18"/>
                <w:lang w:val="en-US"/>
              </w:rPr>
              <w:t xml:space="preserve"> exercise</w:t>
            </w:r>
            <w:r w:rsidRPr="00642D47">
              <w:rPr>
                <w:sz w:val="18"/>
                <w:szCs w:val="18"/>
                <w:lang w:val="en-US"/>
              </w:rPr>
              <w:t xml:space="preserve"> prepared by the </w:t>
            </w:r>
            <w:r w:rsidR="002775ED" w:rsidRPr="00642D47">
              <w:rPr>
                <w:sz w:val="18"/>
                <w:szCs w:val="18"/>
                <w:lang w:val="en-US"/>
              </w:rPr>
              <w:t xml:space="preserve">Multidisciplinary Expert Panel </w:t>
            </w:r>
            <w:r w:rsidRPr="00642D47">
              <w:rPr>
                <w:sz w:val="18"/>
                <w:szCs w:val="18"/>
                <w:lang w:val="en-US"/>
              </w:rPr>
              <w:t>and request</w:t>
            </w:r>
            <w:r w:rsidR="00C15FB3" w:rsidRPr="00642D47">
              <w:rPr>
                <w:sz w:val="18"/>
                <w:szCs w:val="18"/>
                <w:lang w:val="en-US"/>
              </w:rPr>
              <w:t>s</w:t>
            </w:r>
            <w:r w:rsidRPr="00642D47">
              <w:rPr>
                <w:sz w:val="18"/>
                <w:szCs w:val="18"/>
                <w:lang w:val="en-US"/>
              </w:rPr>
              <w:t xml:space="preserve"> the </w:t>
            </w:r>
            <w:r w:rsidR="002775ED" w:rsidRPr="00642D47">
              <w:rPr>
                <w:sz w:val="18"/>
                <w:szCs w:val="18"/>
                <w:lang w:val="en-US"/>
              </w:rPr>
              <w:t xml:space="preserve">Panel </w:t>
            </w:r>
            <w:r w:rsidRPr="00642D47">
              <w:rPr>
                <w:sz w:val="18"/>
                <w:szCs w:val="18"/>
                <w:lang w:val="en-US"/>
              </w:rPr>
              <w:t xml:space="preserve">and </w:t>
            </w:r>
            <w:r w:rsidR="002772FD" w:rsidRPr="00642D47">
              <w:rPr>
                <w:sz w:val="18"/>
                <w:szCs w:val="18"/>
                <w:lang w:val="en-US"/>
              </w:rPr>
              <w:t xml:space="preserve">the </w:t>
            </w:r>
            <w:r w:rsidRPr="00642D47">
              <w:rPr>
                <w:sz w:val="18"/>
                <w:szCs w:val="18"/>
                <w:lang w:val="en-US"/>
              </w:rPr>
              <w:t>Bureau, within an agreed cost envelope, to proceed with a full assessment after the detailed scoping study (</w:t>
            </w:r>
            <w:r w:rsidR="002775ED" w:rsidRPr="00642D47">
              <w:rPr>
                <w:sz w:val="18"/>
                <w:szCs w:val="18"/>
                <w:lang w:val="en-US"/>
              </w:rPr>
              <w:t>14</w:t>
            </w:r>
            <w:r w:rsidR="00E93328" w:rsidRPr="00642D47">
              <w:rPr>
                <w:sz w:val="18"/>
                <w:szCs w:val="18"/>
                <w:lang w:val="en-US"/>
              </w:rPr>
              <w:t> </w:t>
            </w:r>
            <w:r w:rsidRPr="00642D47">
              <w:rPr>
                <w:sz w:val="18"/>
                <w:szCs w:val="18"/>
                <w:lang w:val="en-US"/>
              </w:rPr>
              <w:t>December 2013)</w:t>
            </w:r>
            <w:r w:rsidR="00335A87" w:rsidRPr="00642D47">
              <w:rPr>
                <w:sz w:val="18"/>
                <w:szCs w:val="18"/>
                <w:lang w:val="en-US"/>
              </w:rPr>
              <w:t xml:space="preserve"> </w:t>
            </w:r>
          </w:p>
        </w:tc>
      </w:tr>
      <w:tr w:rsidR="00651E50" w:rsidRPr="00642D47" w:rsidTr="00642D47">
        <w:trPr>
          <w:trHeight w:val="584"/>
        </w:trPr>
        <w:tc>
          <w:tcPr>
            <w:tcW w:w="703" w:type="dxa"/>
            <w:vMerge/>
            <w:tcBorders>
              <w:bottom w:val="single" w:sz="4" w:space="0" w:color="auto"/>
            </w:tcBorders>
            <w:vAlign w:val="center"/>
          </w:tcPr>
          <w:p w:rsidR="00651E50" w:rsidRPr="00642D47" w:rsidRDefault="00651E50" w:rsidP="00642D47">
            <w:pPr>
              <w:keepNext/>
              <w:keepLines/>
              <w:tabs>
                <w:tab w:val="left" w:pos="426"/>
                <w:tab w:val="num" w:pos="1353"/>
              </w:tabs>
              <w:autoSpaceDE w:val="0"/>
              <w:autoSpaceDN w:val="0"/>
              <w:adjustRightInd w:val="0"/>
              <w:spacing w:after="120"/>
              <w:jc w:val="center"/>
              <w:rPr>
                <w:sz w:val="18"/>
                <w:szCs w:val="18"/>
                <w:lang w:val="en-US"/>
              </w:rPr>
            </w:pPr>
          </w:p>
        </w:tc>
        <w:tc>
          <w:tcPr>
            <w:tcW w:w="1276" w:type="dxa"/>
            <w:tcBorders>
              <w:bottom w:val="single" w:sz="4" w:space="0" w:color="auto"/>
            </w:tcBorders>
          </w:tcPr>
          <w:p w:rsidR="00651E50" w:rsidRPr="00642D47" w:rsidRDefault="00E93328" w:rsidP="00F67A48">
            <w:pPr>
              <w:keepNext/>
              <w:keepLines/>
              <w:tabs>
                <w:tab w:val="left" w:pos="426"/>
                <w:tab w:val="num" w:pos="1353"/>
              </w:tabs>
              <w:autoSpaceDE w:val="0"/>
              <w:autoSpaceDN w:val="0"/>
              <w:adjustRightInd w:val="0"/>
              <w:spacing w:after="120"/>
              <w:rPr>
                <w:sz w:val="18"/>
                <w:szCs w:val="18"/>
                <w:lang w:val="en-US"/>
              </w:rPr>
            </w:pPr>
            <w:r w:rsidRPr="00642D47">
              <w:rPr>
                <w:sz w:val="18"/>
                <w:szCs w:val="18"/>
                <w:lang w:val="en-US"/>
              </w:rPr>
              <w:t>Fourth quarter</w:t>
            </w:r>
          </w:p>
        </w:tc>
        <w:tc>
          <w:tcPr>
            <w:tcW w:w="6804" w:type="dxa"/>
            <w:tcBorders>
              <w:bottom w:val="single" w:sz="4" w:space="0" w:color="auto"/>
            </w:tcBorders>
          </w:tcPr>
          <w:p w:rsidR="00651E50" w:rsidRPr="00642D47" w:rsidRDefault="00651E50" w:rsidP="00642D47">
            <w:pPr>
              <w:pStyle w:val="Normal-pool"/>
              <w:keepNext/>
              <w:keepLines/>
              <w:spacing w:before="20" w:after="20"/>
              <w:rPr>
                <w:sz w:val="18"/>
                <w:szCs w:val="18"/>
                <w:lang w:val="en-US"/>
              </w:rPr>
            </w:pPr>
            <w:r w:rsidRPr="00642D47">
              <w:rPr>
                <w:sz w:val="18"/>
                <w:szCs w:val="18"/>
                <w:lang w:val="en-US"/>
              </w:rPr>
              <w:t xml:space="preserve">The </w:t>
            </w:r>
            <w:r w:rsidR="002775ED" w:rsidRPr="00642D47">
              <w:rPr>
                <w:sz w:val="18"/>
                <w:szCs w:val="18"/>
                <w:lang w:val="en-US"/>
              </w:rPr>
              <w:t xml:space="preserve">Panel, </w:t>
            </w:r>
            <w:r w:rsidRPr="00642D47">
              <w:rPr>
                <w:sz w:val="18"/>
                <w:szCs w:val="18"/>
                <w:lang w:val="en-US"/>
              </w:rPr>
              <w:t xml:space="preserve">through the </w:t>
            </w:r>
            <w:r w:rsidR="002775ED" w:rsidRPr="00642D47">
              <w:rPr>
                <w:sz w:val="18"/>
                <w:szCs w:val="18"/>
                <w:lang w:val="en-US"/>
              </w:rPr>
              <w:t>s</w:t>
            </w:r>
            <w:r w:rsidRPr="00642D47">
              <w:rPr>
                <w:sz w:val="18"/>
                <w:szCs w:val="18"/>
                <w:lang w:val="en-US"/>
              </w:rPr>
              <w:t>ecretariat</w:t>
            </w:r>
            <w:r w:rsidR="002775ED" w:rsidRPr="00642D47">
              <w:rPr>
                <w:sz w:val="18"/>
                <w:szCs w:val="18"/>
                <w:lang w:val="en-US"/>
              </w:rPr>
              <w:t>,</w:t>
            </w:r>
            <w:r w:rsidRPr="00642D47">
              <w:rPr>
                <w:sz w:val="18"/>
                <w:szCs w:val="18"/>
                <w:lang w:val="en-US"/>
              </w:rPr>
              <w:t xml:space="preserve"> request</w:t>
            </w:r>
            <w:r w:rsidR="00335A87" w:rsidRPr="00642D47">
              <w:rPr>
                <w:sz w:val="18"/>
                <w:szCs w:val="18"/>
                <w:lang w:val="en-US"/>
              </w:rPr>
              <w:t>s</w:t>
            </w:r>
            <w:r w:rsidRPr="00642D47">
              <w:rPr>
                <w:sz w:val="18"/>
                <w:szCs w:val="18"/>
                <w:lang w:val="en-US"/>
              </w:rPr>
              <w:t xml:space="preserve"> nominations from Governments and other stakeholders </w:t>
            </w:r>
            <w:r w:rsidR="002775ED" w:rsidRPr="00642D47">
              <w:rPr>
                <w:sz w:val="18"/>
                <w:szCs w:val="18"/>
                <w:lang w:val="en-US"/>
              </w:rPr>
              <w:t>of</w:t>
            </w:r>
            <w:r w:rsidRPr="00642D47">
              <w:rPr>
                <w:sz w:val="18"/>
                <w:szCs w:val="18"/>
                <w:lang w:val="en-US"/>
              </w:rPr>
              <w:t xml:space="preserve"> experts to assist with the scoping</w:t>
            </w:r>
            <w:r w:rsidR="00E93328" w:rsidRPr="00642D47">
              <w:rPr>
                <w:sz w:val="18"/>
                <w:szCs w:val="18"/>
                <w:lang w:val="en-US"/>
              </w:rPr>
              <w:t xml:space="preserve"> process</w:t>
            </w:r>
            <w:r w:rsidRPr="00642D47">
              <w:rPr>
                <w:sz w:val="18"/>
                <w:szCs w:val="18"/>
                <w:lang w:val="en-US"/>
              </w:rPr>
              <w:t xml:space="preserve"> (</w:t>
            </w:r>
            <w:r w:rsidR="002775ED" w:rsidRPr="00642D47">
              <w:rPr>
                <w:sz w:val="18"/>
                <w:szCs w:val="18"/>
                <w:lang w:val="en-US"/>
              </w:rPr>
              <w:t xml:space="preserve">16 </w:t>
            </w:r>
            <w:r w:rsidRPr="00642D47">
              <w:rPr>
                <w:sz w:val="18"/>
                <w:szCs w:val="18"/>
                <w:lang w:val="en-US"/>
              </w:rPr>
              <w:t>December 2013–</w:t>
            </w:r>
            <w:r w:rsidR="002775ED" w:rsidRPr="00642D47">
              <w:rPr>
                <w:sz w:val="18"/>
                <w:szCs w:val="18"/>
                <w:lang w:val="en-US"/>
              </w:rPr>
              <w:t xml:space="preserve">31 </w:t>
            </w:r>
            <w:r w:rsidRPr="00642D47">
              <w:rPr>
                <w:sz w:val="18"/>
                <w:szCs w:val="18"/>
                <w:lang w:val="en-US"/>
              </w:rPr>
              <w:t>January 2014)</w:t>
            </w:r>
          </w:p>
        </w:tc>
      </w:tr>
      <w:tr w:rsidR="00651E50" w:rsidRPr="00642D47" w:rsidTr="00642D47">
        <w:trPr>
          <w:trHeight w:val="584"/>
        </w:trPr>
        <w:tc>
          <w:tcPr>
            <w:tcW w:w="703" w:type="dxa"/>
            <w:vMerge w:val="restart"/>
            <w:vAlign w:val="center"/>
          </w:tcPr>
          <w:p w:rsidR="00651E50" w:rsidRPr="00642D47" w:rsidRDefault="00651E50" w:rsidP="00642D47">
            <w:pPr>
              <w:keepNext/>
              <w:keepLines/>
              <w:tabs>
                <w:tab w:val="left" w:pos="426"/>
                <w:tab w:val="num" w:pos="1353"/>
              </w:tabs>
              <w:autoSpaceDE w:val="0"/>
              <w:autoSpaceDN w:val="0"/>
              <w:adjustRightInd w:val="0"/>
              <w:spacing w:after="120"/>
              <w:jc w:val="center"/>
              <w:rPr>
                <w:sz w:val="18"/>
                <w:szCs w:val="18"/>
                <w:lang w:val="en-US"/>
              </w:rPr>
            </w:pPr>
            <w:r w:rsidRPr="00642D47">
              <w:rPr>
                <w:sz w:val="18"/>
                <w:szCs w:val="18"/>
                <w:lang w:val="en-US"/>
              </w:rPr>
              <w:t>2014</w:t>
            </w:r>
          </w:p>
        </w:tc>
        <w:tc>
          <w:tcPr>
            <w:tcW w:w="1276" w:type="dxa"/>
          </w:tcPr>
          <w:p w:rsidR="00651E50" w:rsidRPr="00642D47" w:rsidRDefault="00E93328" w:rsidP="00F67A48">
            <w:pPr>
              <w:keepNext/>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First quarter</w:t>
            </w:r>
          </w:p>
        </w:tc>
        <w:tc>
          <w:tcPr>
            <w:tcW w:w="6804" w:type="dxa"/>
          </w:tcPr>
          <w:p w:rsidR="00651E50" w:rsidRPr="00642D47" w:rsidRDefault="00651E50" w:rsidP="00EA0290">
            <w:pPr>
              <w:pStyle w:val="Normal-pool"/>
              <w:keepNext/>
              <w:keepLines/>
              <w:spacing w:before="20" w:after="20"/>
              <w:rPr>
                <w:sz w:val="18"/>
                <w:szCs w:val="18"/>
                <w:lang w:val="en-US"/>
              </w:rPr>
            </w:pPr>
            <w:r w:rsidRPr="00642D47">
              <w:rPr>
                <w:sz w:val="18"/>
                <w:szCs w:val="18"/>
                <w:lang w:val="en-US"/>
              </w:rPr>
              <w:t xml:space="preserve">The </w:t>
            </w:r>
            <w:r w:rsidR="002775ED" w:rsidRPr="00642D47">
              <w:rPr>
                <w:sz w:val="18"/>
                <w:szCs w:val="18"/>
                <w:lang w:val="en-US"/>
              </w:rPr>
              <w:t>Panel</w:t>
            </w:r>
            <w:r w:rsidRPr="00642D47">
              <w:rPr>
                <w:sz w:val="18"/>
                <w:szCs w:val="18"/>
                <w:lang w:val="en-US"/>
              </w:rPr>
              <w:t>, via e-mail and teleconferences, select</w:t>
            </w:r>
            <w:r w:rsidR="00335A87" w:rsidRPr="00642D47">
              <w:rPr>
                <w:sz w:val="18"/>
                <w:szCs w:val="18"/>
                <w:lang w:val="en-US"/>
              </w:rPr>
              <w:t>s</w:t>
            </w:r>
            <w:r w:rsidRPr="00642D47">
              <w:rPr>
                <w:sz w:val="18"/>
                <w:szCs w:val="18"/>
                <w:lang w:val="en-US"/>
              </w:rPr>
              <w:t xml:space="preserve"> experts for the scoping study using the approved selection criteria </w:t>
            </w:r>
            <w:r w:rsidR="000C0B07" w:rsidRPr="00642D47">
              <w:rPr>
                <w:sz w:val="18"/>
                <w:szCs w:val="18"/>
              </w:rPr>
              <w:t xml:space="preserve">set out in </w:t>
            </w:r>
            <w:r w:rsidR="00221239" w:rsidRPr="00642D47">
              <w:rPr>
                <w:sz w:val="18"/>
                <w:szCs w:val="18"/>
              </w:rPr>
              <w:t xml:space="preserve">document </w:t>
            </w:r>
            <w:r w:rsidR="000C0B07" w:rsidRPr="00642D47">
              <w:rPr>
                <w:sz w:val="18"/>
                <w:szCs w:val="18"/>
              </w:rPr>
              <w:t>IPBES/2/9</w:t>
            </w:r>
            <w:r w:rsidR="00221239" w:rsidRPr="00642D47">
              <w:rPr>
                <w:sz w:val="18"/>
                <w:szCs w:val="18"/>
              </w:rPr>
              <w:t>.</w:t>
            </w:r>
            <w:r w:rsidR="000C0B07" w:rsidRPr="00642D47">
              <w:rPr>
                <w:sz w:val="18"/>
                <w:szCs w:val="18"/>
                <w:lang w:val="en-US"/>
              </w:rPr>
              <w:t xml:space="preserve"> </w:t>
            </w:r>
            <w:r w:rsidRPr="00642D47">
              <w:rPr>
                <w:sz w:val="18"/>
                <w:szCs w:val="18"/>
                <w:lang w:val="en-US"/>
              </w:rPr>
              <w:t>(1–14 February 2014)</w:t>
            </w:r>
            <w:r w:rsidR="002775ED" w:rsidRPr="00642D47">
              <w:rPr>
                <w:sz w:val="18"/>
                <w:szCs w:val="18"/>
                <w:lang w:val="en-US"/>
              </w:rPr>
              <w:t xml:space="preserve"> </w:t>
            </w:r>
          </w:p>
        </w:tc>
      </w:tr>
      <w:tr w:rsidR="00651E50" w:rsidRPr="00642D47" w:rsidTr="00642D47">
        <w:trPr>
          <w:trHeight w:val="584"/>
        </w:trPr>
        <w:tc>
          <w:tcPr>
            <w:tcW w:w="703" w:type="dxa"/>
            <w:vMerge/>
          </w:tcPr>
          <w:p w:rsidR="00651E50" w:rsidRPr="00642D47" w:rsidRDefault="00651E50" w:rsidP="00F67A48">
            <w:pPr>
              <w:keepNext/>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E93328" w:rsidP="00F67A48">
            <w:pPr>
              <w:keepNext/>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Second quarter</w:t>
            </w:r>
          </w:p>
        </w:tc>
        <w:tc>
          <w:tcPr>
            <w:tcW w:w="6804" w:type="dxa"/>
          </w:tcPr>
          <w:p w:rsidR="00651E50" w:rsidRPr="00642D47" w:rsidRDefault="00651E50" w:rsidP="00121951">
            <w:pPr>
              <w:pStyle w:val="Normal-pool"/>
              <w:keepNext/>
              <w:keepLines/>
              <w:spacing w:before="20" w:after="20"/>
              <w:rPr>
                <w:sz w:val="18"/>
                <w:szCs w:val="18"/>
                <w:lang w:val="en-US"/>
              </w:rPr>
            </w:pPr>
            <w:r w:rsidRPr="00642D47">
              <w:rPr>
                <w:sz w:val="18"/>
                <w:szCs w:val="18"/>
                <w:lang w:val="en-US"/>
              </w:rPr>
              <w:t xml:space="preserve">The </w:t>
            </w:r>
            <w:r w:rsidR="002775ED" w:rsidRPr="00642D47">
              <w:rPr>
                <w:sz w:val="18"/>
                <w:szCs w:val="18"/>
                <w:lang w:val="en-US"/>
              </w:rPr>
              <w:t xml:space="preserve">Panel </w:t>
            </w:r>
            <w:r w:rsidRPr="00642D47">
              <w:rPr>
                <w:sz w:val="18"/>
                <w:szCs w:val="18"/>
                <w:lang w:val="en-US"/>
              </w:rPr>
              <w:t xml:space="preserve">and </w:t>
            </w:r>
            <w:r w:rsidR="00121951">
              <w:rPr>
                <w:sz w:val="18"/>
                <w:szCs w:val="18"/>
                <w:lang w:val="en-US"/>
              </w:rPr>
              <w:t xml:space="preserve">the </w:t>
            </w:r>
            <w:r w:rsidRPr="00642D47">
              <w:rPr>
                <w:sz w:val="18"/>
                <w:szCs w:val="18"/>
                <w:lang w:val="en-US"/>
              </w:rPr>
              <w:t>Bureau oversee the detailed scoping</w:t>
            </w:r>
            <w:r w:rsidR="00C95C8D" w:rsidRPr="00642D47">
              <w:rPr>
                <w:sz w:val="18"/>
                <w:szCs w:val="18"/>
                <w:lang w:val="en-US"/>
              </w:rPr>
              <w:t xml:space="preserve"> exercise</w:t>
            </w:r>
            <w:r w:rsidRPr="00642D47">
              <w:rPr>
                <w:sz w:val="18"/>
                <w:szCs w:val="18"/>
                <w:lang w:val="en-US"/>
              </w:rPr>
              <w:t xml:space="preserve">, including </w:t>
            </w:r>
            <w:r w:rsidR="002775ED" w:rsidRPr="00642D47">
              <w:rPr>
                <w:sz w:val="18"/>
                <w:szCs w:val="18"/>
                <w:lang w:val="en-US"/>
              </w:rPr>
              <w:t>the prep</w:t>
            </w:r>
            <w:r w:rsidR="002775ED" w:rsidRPr="00121951">
              <w:rPr>
                <w:sz w:val="18"/>
                <w:szCs w:val="18"/>
                <w:lang w:val="en-US"/>
              </w:rPr>
              <w:t xml:space="preserve">aration of an </w:t>
            </w:r>
            <w:r w:rsidRPr="00121951">
              <w:rPr>
                <w:sz w:val="18"/>
                <w:szCs w:val="18"/>
                <w:lang w:val="en-US"/>
              </w:rPr>
              <w:t xml:space="preserve">outline, </w:t>
            </w:r>
            <w:r w:rsidR="002775ED" w:rsidRPr="00121951">
              <w:rPr>
                <w:sz w:val="18"/>
                <w:szCs w:val="18"/>
                <w:lang w:val="en-US"/>
              </w:rPr>
              <w:t xml:space="preserve">an estimate of </w:t>
            </w:r>
            <w:r w:rsidRPr="00121951">
              <w:rPr>
                <w:sz w:val="18"/>
                <w:szCs w:val="18"/>
                <w:lang w:val="en-US"/>
              </w:rPr>
              <w:t xml:space="preserve">costs and </w:t>
            </w:r>
            <w:r w:rsidR="002775ED" w:rsidRPr="00121951">
              <w:rPr>
                <w:sz w:val="18"/>
                <w:szCs w:val="18"/>
                <w:lang w:val="en-US"/>
              </w:rPr>
              <w:t xml:space="preserve">an assessment of </w:t>
            </w:r>
            <w:r w:rsidRPr="00121951">
              <w:rPr>
                <w:sz w:val="18"/>
                <w:szCs w:val="18"/>
                <w:lang w:val="en-US"/>
              </w:rPr>
              <w:t>feasibility (</w:t>
            </w:r>
            <w:r w:rsidR="00C95C8D" w:rsidRPr="00642D47">
              <w:rPr>
                <w:sz w:val="18"/>
                <w:szCs w:val="18"/>
                <w:lang w:val="en-US"/>
              </w:rPr>
              <w:t xml:space="preserve">3 </w:t>
            </w:r>
            <w:r w:rsidRPr="00642D47">
              <w:rPr>
                <w:sz w:val="18"/>
                <w:szCs w:val="18"/>
                <w:lang w:val="en-US"/>
              </w:rPr>
              <w:t>months).</w:t>
            </w:r>
            <w:r w:rsidR="00E93328" w:rsidRPr="00642D47">
              <w:rPr>
                <w:sz w:val="18"/>
                <w:szCs w:val="18"/>
                <w:lang w:val="en-US"/>
              </w:rPr>
              <w:t xml:space="preserve"> </w:t>
            </w:r>
            <w:r w:rsidRPr="00642D47">
              <w:rPr>
                <w:sz w:val="18"/>
                <w:szCs w:val="18"/>
                <w:lang w:val="en-US"/>
              </w:rPr>
              <w:t xml:space="preserve">A scoping meeting </w:t>
            </w:r>
            <w:r w:rsidR="00335A87" w:rsidRPr="00642D47">
              <w:rPr>
                <w:sz w:val="18"/>
                <w:szCs w:val="18"/>
                <w:lang w:val="en-US"/>
              </w:rPr>
              <w:t>is</w:t>
            </w:r>
            <w:r w:rsidRPr="00642D47">
              <w:rPr>
                <w:sz w:val="18"/>
                <w:szCs w:val="18"/>
                <w:lang w:val="en-US"/>
              </w:rPr>
              <w:t xml:space="preserve"> held </w:t>
            </w:r>
            <w:r w:rsidR="00C95C8D" w:rsidRPr="00642D47">
              <w:rPr>
                <w:sz w:val="18"/>
                <w:szCs w:val="18"/>
                <w:lang w:val="en-US"/>
              </w:rPr>
              <w:t xml:space="preserve">at the </w:t>
            </w:r>
            <w:r w:rsidRPr="00642D47">
              <w:rPr>
                <w:sz w:val="18"/>
                <w:szCs w:val="18"/>
                <w:lang w:val="en-US"/>
              </w:rPr>
              <w:t>beginning of April 2014</w:t>
            </w:r>
          </w:p>
        </w:tc>
      </w:tr>
      <w:tr w:rsidR="00651E50" w:rsidRPr="00642D47" w:rsidTr="00642D47">
        <w:trPr>
          <w:trHeight w:val="584"/>
        </w:trPr>
        <w:tc>
          <w:tcPr>
            <w:tcW w:w="703" w:type="dxa"/>
            <w:vMerge/>
          </w:tcPr>
          <w:p w:rsidR="00651E50" w:rsidRPr="00642D47" w:rsidRDefault="00651E50" w:rsidP="00F67A48">
            <w:pPr>
              <w:keepNext/>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E93328" w:rsidP="00F67A48">
            <w:pPr>
              <w:keepNext/>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Second quarter</w:t>
            </w:r>
          </w:p>
        </w:tc>
        <w:tc>
          <w:tcPr>
            <w:tcW w:w="6804" w:type="dxa"/>
          </w:tcPr>
          <w:p w:rsidR="00651E50" w:rsidRPr="00642D47" w:rsidRDefault="00651E50" w:rsidP="00642D47">
            <w:pPr>
              <w:pStyle w:val="Normal-pool"/>
              <w:keepNext/>
              <w:keepLines/>
              <w:spacing w:before="20" w:after="20"/>
              <w:rPr>
                <w:sz w:val="18"/>
                <w:szCs w:val="18"/>
                <w:lang w:val="en-US"/>
              </w:rPr>
            </w:pPr>
            <w:r w:rsidRPr="00642D47">
              <w:rPr>
                <w:sz w:val="18"/>
                <w:szCs w:val="18"/>
                <w:lang w:val="en-US"/>
              </w:rPr>
              <w:t xml:space="preserve">The detailed scoping report </w:t>
            </w:r>
            <w:r w:rsidR="00335A87" w:rsidRPr="00642D47">
              <w:rPr>
                <w:sz w:val="18"/>
                <w:szCs w:val="18"/>
                <w:lang w:val="en-US"/>
              </w:rPr>
              <w:t>is</w:t>
            </w:r>
            <w:r w:rsidRPr="00642D47">
              <w:rPr>
                <w:sz w:val="18"/>
                <w:szCs w:val="18"/>
                <w:lang w:val="en-US"/>
              </w:rPr>
              <w:t xml:space="preserve"> sent to </w:t>
            </w:r>
            <w:r w:rsidR="002775ED" w:rsidRPr="00642D47">
              <w:rPr>
                <w:sz w:val="18"/>
                <w:szCs w:val="18"/>
                <w:lang w:val="en-US"/>
              </w:rPr>
              <w:t>m</w:t>
            </w:r>
            <w:r w:rsidRPr="00642D47">
              <w:rPr>
                <w:sz w:val="18"/>
                <w:szCs w:val="18"/>
                <w:lang w:val="en-US"/>
              </w:rPr>
              <w:t>embers of the Platform</w:t>
            </w:r>
            <w:r w:rsidRPr="00642D47">
              <w:rPr>
                <w:rFonts w:eastAsia="SimSun"/>
                <w:sz w:val="18"/>
                <w:szCs w:val="18"/>
                <w:lang w:val="en-US" w:eastAsia="zh-CN"/>
              </w:rPr>
              <w:t xml:space="preserve"> and</w:t>
            </w:r>
            <w:r w:rsidRPr="00642D47">
              <w:rPr>
                <w:sz w:val="18"/>
                <w:szCs w:val="18"/>
                <w:lang w:val="en-US"/>
              </w:rPr>
              <w:t xml:space="preserve"> other stakeholders for review and comment for two weeks in the </w:t>
            </w:r>
            <w:r w:rsidR="002775ED" w:rsidRPr="00642D47">
              <w:rPr>
                <w:sz w:val="18"/>
                <w:szCs w:val="18"/>
                <w:lang w:val="en-US"/>
              </w:rPr>
              <w:t xml:space="preserve">second </w:t>
            </w:r>
            <w:r w:rsidRPr="00642D47">
              <w:rPr>
                <w:sz w:val="18"/>
                <w:szCs w:val="18"/>
                <w:lang w:val="en-US"/>
              </w:rPr>
              <w:t>half of April 2014</w:t>
            </w:r>
          </w:p>
        </w:tc>
      </w:tr>
      <w:tr w:rsidR="00651E50" w:rsidRPr="00642D47" w:rsidTr="00642D47">
        <w:trPr>
          <w:trHeight w:val="274"/>
        </w:trPr>
        <w:tc>
          <w:tcPr>
            <w:tcW w:w="703" w:type="dxa"/>
            <w:vMerge/>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E93328" w:rsidP="00651E50">
            <w:pPr>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Second quarter</w:t>
            </w:r>
          </w:p>
        </w:tc>
        <w:tc>
          <w:tcPr>
            <w:tcW w:w="6804" w:type="dxa"/>
          </w:tcPr>
          <w:p w:rsidR="00651E50" w:rsidRPr="00642D47" w:rsidRDefault="00C95C8D" w:rsidP="00642D47">
            <w:pPr>
              <w:pStyle w:val="Normal-pool"/>
              <w:spacing w:before="20" w:after="20"/>
              <w:rPr>
                <w:sz w:val="18"/>
                <w:szCs w:val="18"/>
                <w:lang w:val="en-US"/>
              </w:rPr>
            </w:pPr>
            <w:r w:rsidRPr="00642D47">
              <w:rPr>
                <w:sz w:val="18"/>
                <w:szCs w:val="18"/>
                <w:lang w:val="en-US"/>
              </w:rPr>
              <w:t>O</w:t>
            </w:r>
            <w:r w:rsidR="00651E50" w:rsidRPr="00642D47">
              <w:rPr>
                <w:sz w:val="18"/>
                <w:szCs w:val="18"/>
                <w:lang w:val="en-US"/>
              </w:rPr>
              <w:t>n the</w:t>
            </w:r>
            <w:r w:rsidRPr="00642D47">
              <w:rPr>
                <w:sz w:val="18"/>
                <w:szCs w:val="18"/>
                <w:lang w:val="en-US"/>
              </w:rPr>
              <w:t xml:space="preserve"> basis of the</w:t>
            </w:r>
            <w:r w:rsidR="00651E50" w:rsidRPr="00642D47">
              <w:rPr>
                <w:sz w:val="18"/>
                <w:szCs w:val="18"/>
                <w:lang w:val="en-US"/>
              </w:rPr>
              <w:t xml:space="preserve"> results of the detailed scoping exercise, and comments received from </w:t>
            </w:r>
            <w:r w:rsidR="00BD1B4E" w:rsidRPr="00642D47">
              <w:rPr>
                <w:sz w:val="18"/>
                <w:szCs w:val="18"/>
                <w:lang w:val="en-US"/>
              </w:rPr>
              <w:t>m</w:t>
            </w:r>
            <w:r w:rsidR="00651E50" w:rsidRPr="00642D47">
              <w:rPr>
                <w:sz w:val="18"/>
                <w:szCs w:val="18"/>
                <w:lang w:val="en-US"/>
              </w:rPr>
              <w:t xml:space="preserve">embers of the Platform and other stakeholders, the </w:t>
            </w:r>
            <w:r w:rsidR="00BD1B4E" w:rsidRPr="00642D47">
              <w:rPr>
                <w:sz w:val="18"/>
                <w:szCs w:val="18"/>
                <w:lang w:val="en-US"/>
              </w:rPr>
              <w:t xml:space="preserve">Panel </w:t>
            </w:r>
            <w:r w:rsidR="00651E50" w:rsidRPr="00642D47">
              <w:rPr>
                <w:sz w:val="18"/>
                <w:szCs w:val="18"/>
                <w:lang w:val="en-US"/>
              </w:rPr>
              <w:t xml:space="preserve">and </w:t>
            </w:r>
            <w:r w:rsidRPr="00642D47">
              <w:rPr>
                <w:sz w:val="18"/>
                <w:szCs w:val="18"/>
                <w:lang w:val="en-US"/>
              </w:rPr>
              <w:t xml:space="preserve">the </w:t>
            </w:r>
            <w:r w:rsidR="00651E50" w:rsidRPr="00642D47">
              <w:rPr>
                <w:sz w:val="18"/>
                <w:szCs w:val="18"/>
                <w:lang w:val="en-US"/>
              </w:rPr>
              <w:t xml:space="preserve">Bureau decide whether to proceed with the assessment, assuming </w:t>
            </w:r>
            <w:r w:rsidR="00156B8E" w:rsidRPr="00642D47">
              <w:rPr>
                <w:sz w:val="18"/>
                <w:szCs w:val="18"/>
                <w:lang w:val="en-US"/>
              </w:rPr>
              <w:t xml:space="preserve">that </w:t>
            </w:r>
            <w:r w:rsidR="00651E50" w:rsidRPr="00642D47">
              <w:rPr>
                <w:sz w:val="18"/>
                <w:szCs w:val="18"/>
                <w:lang w:val="en-US"/>
              </w:rPr>
              <w:t xml:space="preserve">it </w:t>
            </w:r>
            <w:r w:rsidR="00156B8E" w:rsidRPr="00642D47">
              <w:rPr>
                <w:sz w:val="18"/>
                <w:szCs w:val="18"/>
                <w:lang w:val="en-US"/>
              </w:rPr>
              <w:t>can</w:t>
            </w:r>
            <w:r w:rsidR="00651E50" w:rsidRPr="00642D47">
              <w:rPr>
                <w:sz w:val="18"/>
                <w:szCs w:val="18"/>
                <w:lang w:val="en-US"/>
              </w:rPr>
              <w:t xml:space="preserve"> be conducted within the budget envelope approved by the Plenary in the </w:t>
            </w:r>
            <w:r w:rsidR="00156B8E" w:rsidRPr="00642D47">
              <w:rPr>
                <w:sz w:val="18"/>
                <w:szCs w:val="18"/>
                <w:lang w:val="en-US"/>
              </w:rPr>
              <w:t>first</w:t>
            </w:r>
            <w:r w:rsidR="00651E50" w:rsidRPr="00642D47">
              <w:rPr>
                <w:sz w:val="18"/>
                <w:szCs w:val="18"/>
                <w:lang w:val="en-US"/>
              </w:rPr>
              <w:t xml:space="preserve"> half of May 2014</w:t>
            </w:r>
          </w:p>
        </w:tc>
      </w:tr>
      <w:tr w:rsidR="00651E50" w:rsidRPr="00642D47" w:rsidTr="00642D47">
        <w:trPr>
          <w:trHeight w:val="584"/>
        </w:trPr>
        <w:tc>
          <w:tcPr>
            <w:tcW w:w="703" w:type="dxa"/>
            <w:vMerge/>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E93328" w:rsidP="00651E50">
            <w:pPr>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Second quarter</w:t>
            </w:r>
          </w:p>
        </w:tc>
        <w:tc>
          <w:tcPr>
            <w:tcW w:w="6804" w:type="dxa"/>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156B8E" w:rsidRPr="00642D47">
              <w:rPr>
                <w:sz w:val="18"/>
                <w:szCs w:val="18"/>
                <w:lang w:val="en-US"/>
              </w:rPr>
              <w:t xml:space="preserve">Panel, </w:t>
            </w:r>
            <w:r w:rsidRPr="00642D47">
              <w:rPr>
                <w:sz w:val="18"/>
                <w:szCs w:val="18"/>
                <w:lang w:val="en-US"/>
              </w:rPr>
              <w:t xml:space="preserve">through the </w:t>
            </w:r>
            <w:r w:rsidR="00156B8E" w:rsidRPr="00642D47">
              <w:rPr>
                <w:sz w:val="18"/>
                <w:szCs w:val="18"/>
                <w:lang w:val="en-US"/>
              </w:rPr>
              <w:t>s</w:t>
            </w:r>
            <w:r w:rsidRPr="00642D47">
              <w:rPr>
                <w:sz w:val="18"/>
                <w:szCs w:val="18"/>
                <w:lang w:val="en-US"/>
              </w:rPr>
              <w:t>ecretariat</w:t>
            </w:r>
            <w:r w:rsidR="00156B8E" w:rsidRPr="00642D47">
              <w:rPr>
                <w:sz w:val="18"/>
                <w:szCs w:val="18"/>
                <w:lang w:val="en-US"/>
              </w:rPr>
              <w:t>,</w:t>
            </w:r>
            <w:r w:rsidRPr="00642D47">
              <w:rPr>
                <w:sz w:val="18"/>
                <w:szCs w:val="18"/>
                <w:lang w:val="en-US"/>
              </w:rPr>
              <w:t xml:space="preserve"> request</w:t>
            </w:r>
            <w:r w:rsidR="00335A87" w:rsidRPr="00642D47">
              <w:rPr>
                <w:sz w:val="18"/>
                <w:szCs w:val="18"/>
                <w:lang w:val="en-US"/>
              </w:rPr>
              <w:t>s</w:t>
            </w:r>
            <w:r w:rsidRPr="00642D47">
              <w:rPr>
                <w:sz w:val="18"/>
                <w:szCs w:val="18"/>
                <w:lang w:val="en-US"/>
              </w:rPr>
              <w:t xml:space="preserve"> nominations from Governments and other stakeholders </w:t>
            </w:r>
            <w:r w:rsidR="00121951">
              <w:rPr>
                <w:sz w:val="18"/>
                <w:szCs w:val="18"/>
                <w:lang w:val="en-US"/>
              </w:rPr>
              <w:t>for</w:t>
            </w:r>
            <w:r w:rsidRPr="00642D47">
              <w:rPr>
                <w:sz w:val="18"/>
                <w:szCs w:val="18"/>
                <w:lang w:val="en-US"/>
              </w:rPr>
              <w:t xml:space="preserve"> experts to prepare the </w:t>
            </w:r>
            <w:r w:rsidR="00156B8E" w:rsidRPr="00642D47">
              <w:rPr>
                <w:sz w:val="18"/>
                <w:szCs w:val="18"/>
                <w:lang w:val="en-US"/>
              </w:rPr>
              <w:t>assessment r</w:t>
            </w:r>
            <w:r w:rsidRPr="00642D47">
              <w:rPr>
                <w:sz w:val="18"/>
                <w:szCs w:val="18"/>
                <w:lang w:val="en-US"/>
              </w:rPr>
              <w:t>eport</w:t>
            </w:r>
            <w:r w:rsidR="00C95C8D" w:rsidRPr="00642D47">
              <w:rPr>
                <w:sz w:val="18"/>
                <w:szCs w:val="18"/>
                <w:lang w:val="en-US"/>
              </w:rPr>
              <w:t>. Nominations are to be</w:t>
            </w:r>
            <w:r w:rsidR="00156B8E" w:rsidRPr="00642D47">
              <w:rPr>
                <w:sz w:val="18"/>
                <w:szCs w:val="18"/>
                <w:lang w:val="en-US"/>
              </w:rPr>
              <w:t xml:space="preserve"> </w:t>
            </w:r>
            <w:r w:rsidR="00C95C8D" w:rsidRPr="00642D47">
              <w:rPr>
                <w:sz w:val="18"/>
                <w:szCs w:val="18"/>
                <w:lang w:val="en-US"/>
              </w:rPr>
              <w:t xml:space="preserve">submitted </w:t>
            </w:r>
            <w:r w:rsidRPr="00642D47">
              <w:rPr>
                <w:sz w:val="18"/>
                <w:szCs w:val="18"/>
                <w:lang w:val="en-US"/>
              </w:rPr>
              <w:t>by the end of June 2014 (1.5 months)</w:t>
            </w:r>
          </w:p>
        </w:tc>
      </w:tr>
      <w:tr w:rsidR="00651E50" w:rsidRPr="00642D47" w:rsidTr="00642D47">
        <w:trPr>
          <w:trHeight w:val="584"/>
        </w:trPr>
        <w:tc>
          <w:tcPr>
            <w:tcW w:w="703" w:type="dxa"/>
            <w:vMerge/>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C95C8D" w:rsidP="00651E50">
            <w:pPr>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Third quarter</w:t>
            </w:r>
          </w:p>
        </w:tc>
        <w:tc>
          <w:tcPr>
            <w:tcW w:w="6804" w:type="dxa"/>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156B8E" w:rsidRPr="00642D47">
              <w:rPr>
                <w:sz w:val="18"/>
                <w:szCs w:val="18"/>
                <w:lang w:val="en-US"/>
              </w:rPr>
              <w:t xml:space="preserve">Panel </w:t>
            </w:r>
            <w:r w:rsidRPr="00642D47">
              <w:rPr>
                <w:sz w:val="18"/>
                <w:szCs w:val="18"/>
                <w:lang w:val="en-US"/>
              </w:rPr>
              <w:t xml:space="preserve">selects the </w:t>
            </w:r>
            <w:r w:rsidR="00156B8E" w:rsidRPr="00642D47">
              <w:rPr>
                <w:sz w:val="18"/>
                <w:szCs w:val="18"/>
                <w:lang w:val="en-US"/>
              </w:rPr>
              <w:t>r</w:t>
            </w:r>
            <w:r w:rsidRPr="00642D47">
              <w:rPr>
                <w:sz w:val="18"/>
                <w:szCs w:val="18"/>
                <w:lang w:val="en-US"/>
              </w:rPr>
              <w:t xml:space="preserve">eport co-chairs, </w:t>
            </w:r>
            <w:r w:rsidR="0080755F" w:rsidRPr="00642D47">
              <w:rPr>
                <w:sz w:val="18"/>
                <w:szCs w:val="18"/>
                <w:lang w:val="en-US"/>
              </w:rPr>
              <w:t>coordinating</w:t>
            </w:r>
            <w:r w:rsidR="00156B8E" w:rsidRPr="00642D47">
              <w:rPr>
                <w:sz w:val="18"/>
                <w:szCs w:val="18"/>
                <w:lang w:val="en-US"/>
              </w:rPr>
              <w:t xml:space="preserve"> lead authors</w:t>
            </w:r>
            <w:r w:rsidRPr="00642D47">
              <w:rPr>
                <w:sz w:val="18"/>
                <w:szCs w:val="18"/>
                <w:lang w:val="en-US"/>
              </w:rPr>
              <w:t xml:space="preserve">, </w:t>
            </w:r>
            <w:r w:rsidR="00156B8E" w:rsidRPr="00642D47">
              <w:rPr>
                <w:sz w:val="18"/>
                <w:szCs w:val="18"/>
                <w:lang w:val="en-US"/>
              </w:rPr>
              <w:t xml:space="preserve">lead authors </w:t>
            </w:r>
            <w:r w:rsidRPr="00642D47">
              <w:rPr>
                <w:sz w:val="18"/>
                <w:szCs w:val="18"/>
                <w:lang w:val="en-US"/>
              </w:rPr>
              <w:t xml:space="preserve">and </w:t>
            </w:r>
            <w:r w:rsidR="00156B8E" w:rsidRPr="00642D47">
              <w:rPr>
                <w:sz w:val="18"/>
                <w:szCs w:val="18"/>
                <w:lang w:val="en-US"/>
              </w:rPr>
              <w:t>review editors</w:t>
            </w:r>
            <w:r w:rsidR="00F116F2" w:rsidRPr="00642D47">
              <w:rPr>
                <w:sz w:val="18"/>
                <w:szCs w:val="18"/>
                <w:lang w:val="en-US"/>
              </w:rPr>
              <w:t>,</w:t>
            </w:r>
            <w:r w:rsidRPr="00642D47">
              <w:rPr>
                <w:sz w:val="18"/>
                <w:szCs w:val="18"/>
                <w:lang w:val="en-US"/>
              </w:rPr>
              <w:t xml:space="preserve"> using the</w:t>
            </w:r>
            <w:r w:rsidR="00C95C8D" w:rsidRPr="00642D47">
              <w:rPr>
                <w:sz w:val="18"/>
                <w:szCs w:val="18"/>
                <w:lang w:val="en-US"/>
              </w:rPr>
              <w:t xml:space="preserve"> approved</w:t>
            </w:r>
            <w:r w:rsidRPr="00642D47">
              <w:rPr>
                <w:sz w:val="18"/>
                <w:szCs w:val="18"/>
                <w:lang w:val="en-US"/>
              </w:rPr>
              <w:t xml:space="preserve"> selection criteria </w:t>
            </w:r>
            <w:r w:rsidR="00335A87" w:rsidRPr="00642D47">
              <w:rPr>
                <w:sz w:val="18"/>
                <w:szCs w:val="18"/>
                <w:lang w:val="en-US"/>
              </w:rPr>
              <w:t xml:space="preserve"> </w:t>
            </w:r>
            <w:r w:rsidR="00C95C8D" w:rsidRPr="00642D47">
              <w:rPr>
                <w:sz w:val="18"/>
                <w:szCs w:val="18"/>
                <w:lang w:val="en-US"/>
              </w:rPr>
              <w:t>(</w:t>
            </w:r>
            <w:r w:rsidRPr="00642D47">
              <w:rPr>
                <w:sz w:val="18"/>
                <w:szCs w:val="18"/>
                <w:lang w:val="en-US"/>
              </w:rPr>
              <w:t>1 July</w:t>
            </w:r>
            <w:r w:rsidR="00C95C8D" w:rsidRPr="00642D47">
              <w:rPr>
                <w:sz w:val="18"/>
                <w:szCs w:val="18"/>
                <w:lang w:val="en-US"/>
              </w:rPr>
              <w:t>–</w:t>
            </w:r>
            <w:r w:rsidRPr="00642D47">
              <w:rPr>
                <w:sz w:val="18"/>
                <w:szCs w:val="18"/>
                <w:lang w:val="en-US"/>
              </w:rPr>
              <w:t>15 August 2014</w:t>
            </w:r>
            <w:r w:rsidR="00F874B7" w:rsidRPr="00642D47">
              <w:rPr>
                <w:sz w:val="18"/>
                <w:szCs w:val="18"/>
                <w:lang w:val="en-US"/>
              </w:rPr>
              <w:t>)</w:t>
            </w:r>
            <w:r w:rsidRPr="00642D47">
              <w:rPr>
                <w:sz w:val="18"/>
                <w:szCs w:val="18"/>
                <w:lang w:val="en-US"/>
              </w:rPr>
              <w:t xml:space="preserve"> (1.5 months)</w:t>
            </w:r>
          </w:p>
        </w:tc>
      </w:tr>
      <w:tr w:rsidR="00651E50" w:rsidRPr="00642D47" w:rsidTr="00642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703" w:type="dxa"/>
            <w:vMerge/>
            <w:tcBorders>
              <w:top w:val="single" w:sz="4" w:space="0" w:color="auto"/>
              <w:left w:val="single" w:sz="4" w:space="0" w:color="auto"/>
              <w:bottom w:val="single" w:sz="4" w:space="0" w:color="auto"/>
              <w:right w:val="single" w:sz="4" w:space="0" w:color="auto"/>
            </w:tcBorders>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Third/fourth quarters</w:t>
            </w:r>
          </w:p>
        </w:tc>
        <w:tc>
          <w:tcPr>
            <w:tcW w:w="6804" w:type="dxa"/>
            <w:tcBorders>
              <w:top w:val="single" w:sz="4" w:space="0" w:color="auto"/>
              <w:left w:val="single" w:sz="4" w:space="0" w:color="auto"/>
              <w:bottom w:val="single" w:sz="4" w:space="0" w:color="auto"/>
              <w:right w:val="single" w:sz="4" w:space="0" w:color="auto"/>
            </w:tcBorders>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1E0F0C" w:rsidRPr="00642D47">
              <w:rPr>
                <w:sz w:val="18"/>
                <w:szCs w:val="18"/>
                <w:lang w:val="en-US"/>
              </w:rPr>
              <w:t>r</w:t>
            </w:r>
            <w:r w:rsidRPr="00642D47">
              <w:rPr>
                <w:sz w:val="18"/>
                <w:szCs w:val="18"/>
                <w:lang w:val="en-US"/>
              </w:rPr>
              <w:t xml:space="preserve">eport co-chairs, </w:t>
            </w:r>
            <w:r w:rsidR="00F874B7" w:rsidRPr="00642D47">
              <w:rPr>
                <w:sz w:val="18"/>
                <w:szCs w:val="18"/>
                <w:lang w:val="en-US"/>
              </w:rPr>
              <w:t>coordinating lead authors</w:t>
            </w:r>
            <w:r w:rsidR="00F874B7" w:rsidRPr="00642D47" w:rsidDel="00F874B7">
              <w:rPr>
                <w:sz w:val="18"/>
                <w:szCs w:val="18"/>
                <w:lang w:val="en-US"/>
              </w:rPr>
              <w:t xml:space="preserve"> </w:t>
            </w:r>
            <w:r w:rsidRPr="00642D47">
              <w:rPr>
                <w:sz w:val="18"/>
                <w:szCs w:val="18"/>
                <w:lang w:val="en-US"/>
              </w:rPr>
              <w:t xml:space="preserve"> and </w:t>
            </w:r>
            <w:r w:rsidR="00F874B7" w:rsidRPr="00642D47">
              <w:rPr>
                <w:sz w:val="18"/>
                <w:szCs w:val="18"/>
                <w:lang w:val="en-US"/>
              </w:rPr>
              <w:t>lead authors</w:t>
            </w:r>
            <w:r w:rsidRPr="00642D47">
              <w:rPr>
                <w:sz w:val="18"/>
                <w:szCs w:val="18"/>
                <w:lang w:val="en-US"/>
              </w:rPr>
              <w:t xml:space="preserve"> prepare the first</w:t>
            </w:r>
            <w:r w:rsidR="00F874B7" w:rsidRPr="00642D47">
              <w:rPr>
                <w:sz w:val="18"/>
                <w:szCs w:val="18"/>
                <w:lang w:val="en-US"/>
              </w:rPr>
              <w:t xml:space="preserve"> </w:t>
            </w:r>
            <w:r w:rsidRPr="00642D47">
              <w:rPr>
                <w:sz w:val="18"/>
                <w:szCs w:val="18"/>
                <w:lang w:val="en-US"/>
              </w:rPr>
              <w:t>draft report by mid</w:t>
            </w:r>
            <w:r w:rsidR="001E0F0C" w:rsidRPr="00642D47">
              <w:rPr>
                <w:sz w:val="18"/>
                <w:szCs w:val="18"/>
                <w:lang w:val="en-US"/>
              </w:rPr>
              <w:t>-</w:t>
            </w:r>
            <w:r w:rsidRPr="00642D47">
              <w:rPr>
                <w:sz w:val="18"/>
                <w:szCs w:val="18"/>
                <w:lang w:val="en-US"/>
              </w:rPr>
              <w:t>February 2015 (</w:t>
            </w:r>
            <w:r w:rsidR="00F874B7" w:rsidRPr="00642D47">
              <w:rPr>
                <w:sz w:val="18"/>
                <w:szCs w:val="18"/>
                <w:lang w:val="en-US"/>
              </w:rPr>
              <w:t>6 </w:t>
            </w:r>
            <w:r w:rsidRPr="00642D47">
              <w:rPr>
                <w:sz w:val="18"/>
                <w:szCs w:val="18"/>
                <w:lang w:val="en-US"/>
              </w:rPr>
              <w:t xml:space="preserve">months). </w:t>
            </w:r>
            <w:r w:rsidRPr="00642D47">
              <w:rPr>
                <w:rFonts w:eastAsia="SimSun"/>
                <w:sz w:val="18"/>
                <w:szCs w:val="18"/>
                <w:lang w:val="en-US" w:eastAsia="zh-CN"/>
              </w:rPr>
              <w:t>A first</w:t>
            </w:r>
            <w:r w:rsidRPr="00642D47">
              <w:rPr>
                <w:sz w:val="18"/>
                <w:szCs w:val="18"/>
                <w:lang w:val="en-US"/>
              </w:rPr>
              <w:t xml:space="preserve"> author meeting </w:t>
            </w:r>
            <w:r w:rsidR="000155C7" w:rsidRPr="00642D47">
              <w:rPr>
                <w:sz w:val="18"/>
                <w:szCs w:val="18"/>
                <w:lang w:val="en-US"/>
              </w:rPr>
              <w:t>is</w:t>
            </w:r>
            <w:r w:rsidRPr="00642D47">
              <w:rPr>
                <w:sz w:val="18"/>
                <w:szCs w:val="18"/>
                <w:lang w:val="en-US"/>
              </w:rPr>
              <w:t xml:space="preserve"> held in September 2014.</w:t>
            </w:r>
            <w:r w:rsidRPr="00642D47">
              <w:rPr>
                <w:rFonts w:eastAsia="SimSun"/>
                <w:sz w:val="18"/>
                <w:szCs w:val="18"/>
                <w:lang w:val="en-US" w:eastAsia="zh-CN"/>
              </w:rPr>
              <w:t xml:space="preserve"> Dialogue workshops and community-based work sessions with </w:t>
            </w:r>
            <w:r w:rsidR="001E0F0C" w:rsidRPr="00642D47">
              <w:rPr>
                <w:rFonts w:eastAsia="SimSun"/>
                <w:sz w:val="18"/>
                <w:szCs w:val="18"/>
                <w:lang w:val="en-US" w:eastAsia="zh-CN"/>
              </w:rPr>
              <w:t>indigenous and local knowledge</w:t>
            </w:r>
            <w:r w:rsidR="00121951">
              <w:rPr>
                <w:rFonts w:eastAsia="SimSun"/>
                <w:sz w:val="18"/>
                <w:szCs w:val="18"/>
                <w:lang w:val="en-US" w:eastAsia="zh-CN"/>
              </w:rPr>
              <w:t>-</w:t>
            </w:r>
            <w:r w:rsidRPr="00642D47">
              <w:rPr>
                <w:rFonts w:eastAsia="SimSun"/>
                <w:sz w:val="18"/>
                <w:szCs w:val="18"/>
                <w:lang w:val="en-US" w:eastAsia="zh-CN"/>
              </w:rPr>
              <w:t xml:space="preserve">holders </w:t>
            </w:r>
            <w:r w:rsidR="000155C7" w:rsidRPr="00642D47">
              <w:rPr>
                <w:rFonts w:eastAsia="SimSun"/>
                <w:sz w:val="18"/>
                <w:szCs w:val="18"/>
                <w:lang w:val="en-US" w:eastAsia="zh-CN"/>
              </w:rPr>
              <w:t>are</w:t>
            </w:r>
            <w:r w:rsidRPr="00642D47">
              <w:rPr>
                <w:rFonts w:eastAsia="SimSun"/>
                <w:sz w:val="18"/>
                <w:szCs w:val="18"/>
                <w:lang w:val="en-US" w:eastAsia="zh-CN"/>
              </w:rPr>
              <w:t xml:space="preserve"> conducted</w:t>
            </w:r>
          </w:p>
        </w:tc>
      </w:tr>
      <w:tr w:rsidR="00651E50" w:rsidRPr="00642D47" w:rsidTr="00642D47">
        <w:trPr>
          <w:trHeight w:val="301"/>
        </w:trPr>
        <w:tc>
          <w:tcPr>
            <w:tcW w:w="703" w:type="dxa"/>
            <w:vMerge w:val="restart"/>
            <w:vAlign w:val="center"/>
          </w:tcPr>
          <w:p w:rsidR="00651E50" w:rsidRPr="00642D47" w:rsidRDefault="00651E50" w:rsidP="00642D47">
            <w:pPr>
              <w:keepLines/>
              <w:tabs>
                <w:tab w:val="left" w:pos="426"/>
                <w:tab w:val="num" w:pos="1353"/>
              </w:tabs>
              <w:autoSpaceDE w:val="0"/>
              <w:autoSpaceDN w:val="0"/>
              <w:adjustRightInd w:val="0"/>
              <w:spacing w:after="120"/>
              <w:jc w:val="center"/>
              <w:rPr>
                <w:sz w:val="18"/>
                <w:szCs w:val="18"/>
                <w:lang w:val="en-US"/>
              </w:rPr>
            </w:pPr>
            <w:r w:rsidRPr="00642D47">
              <w:rPr>
                <w:sz w:val="18"/>
                <w:szCs w:val="18"/>
                <w:lang w:val="en-US"/>
              </w:rPr>
              <w:t>2015</w:t>
            </w:r>
          </w:p>
        </w:tc>
        <w:tc>
          <w:tcPr>
            <w:tcW w:w="1276" w:type="dxa"/>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First quarter</w:t>
            </w:r>
          </w:p>
        </w:tc>
        <w:tc>
          <w:tcPr>
            <w:tcW w:w="6804" w:type="dxa"/>
          </w:tcPr>
          <w:p w:rsidR="00F874B7" w:rsidRPr="00642D47" w:rsidRDefault="00651E50" w:rsidP="00EA0290">
            <w:pPr>
              <w:pStyle w:val="Normal-pool"/>
              <w:spacing w:before="20" w:after="20"/>
              <w:rPr>
                <w:sz w:val="18"/>
                <w:szCs w:val="18"/>
                <w:lang w:val="en-US"/>
              </w:rPr>
            </w:pPr>
            <w:r w:rsidRPr="00642D47">
              <w:rPr>
                <w:sz w:val="18"/>
                <w:szCs w:val="18"/>
                <w:lang w:val="en-US"/>
              </w:rPr>
              <w:t xml:space="preserve">The draft report is reviewed by experts until </w:t>
            </w:r>
            <w:r w:rsidR="009271DE" w:rsidRPr="00642D47">
              <w:rPr>
                <w:sz w:val="18"/>
                <w:szCs w:val="18"/>
                <w:lang w:val="en-US"/>
              </w:rPr>
              <w:t xml:space="preserve">the </w:t>
            </w:r>
            <w:r w:rsidRPr="00642D47">
              <w:rPr>
                <w:sz w:val="18"/>
                <w:szCs w:val="18"/>
                <w:lang w:val="en-US"/>
              </w:rPr>
              <w:t xml:space="preserve">end of March 2015 </w:t>
            </w:r>
          </w:p>
          <w:p w:rsidR="00651E50" w:rsidRPr="00642D47" w:rsidRDefault="00651E50" w:rsidP="00642D47">
            <w:pPr>
              <w:pStyle w:val="Normal-pool"/>
              <w:spacing w:before="20" w:after="20"/>
              <w:rPr>
                <w:sz w:val="18"/>
                <w:szCs w:val="18"/>
                <w:lang w:val="en-US"/>
              </w:rPr>
            </w:pPr>
            <w:r w:rsidRPr="00642D47">
              <w:rPr>
                <w:sz w:val="18"/>
                <w:szCs w:val="18"/>
                <w:lang w:val="en-US"/>
              </w:rPr>
              <w:t>(1.5</w:t>
            </w:r>
            <w:r w:rsidR="009271DE" w:rsidRPr="00642D47">
              <w:rPr>
                <w:sz w:val="18"/>
                <w:szCs w:val="18"/>
                <w:lang w:val="en-US"/>
              </w:rPr>
              <w:t>–</w:t>
            </w:r>
            <w:r w:rsidRPr="00642D47">
              <w:rPr>
                <w:sz w:val="18"/>
                <w:szCs w:val="18"/>
                <w:lang w:val="en-US"/>
              </w:rPr>
              <w:t>2 months)</w:t>
            </w:r>
          </w:p>
        </w:tc>
      </w:tr>
      <w:tr w:rsidR="00651E50" w:rsidRPr="00642D47" w:rsidTr="00642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3" w:type="dxa"/>
            <w:vMerge/>
            <w:tcBorders>
              <w:top w:val="single" w:sz="4" w:space="0" w:color="auto"/>
              <w:left w:val="single" w:sz="4" w:space="0" w:color="auto"/>
              <w:bottom w:val="single" w:sz="4" w:space="0" w:color="auto"/>
              <w:right w:val="single" w:sz="4" w:space="0" w:color="auto"/>
            </w:tcBorders>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Second quarter</w:t>
            </w:r>
          </w:p>
        </w:tc>
        <w:tc>
          <w:tcPr>
            <w:tcW w:w="6804" w:type="dxa"/>
            <w:tcBorders>
              <w:top w:val="single" w:sz="4" w:space="0" w:color="auto"/>
              <w:left w:val="single" w:sz="4" w:space="0" w:color="auto"/>
              <w:bottom w:val="single" w:sz="4" w:space="0" w:color="auto"/>
              <w:right w:val="single" w:sz="4" w:space="0" w:color="auto"/>
            </w:tcBorders>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1E0F0C" w:rsidRPr="00642D47">
              <w:rPr>
                <w:sz w:val="18"/>
                <w:szCs w:val="18"/>
                <w:lang w:val="en-US"/>
              </w:rPr>
              <w:t>r</w:t>
            </w:r>
            <w:r w:rsidRPr="00642D47">
              <w:rPr>
                <w:sz w:val="18"/>
                <w:szCs w:val="18"/>
                <w:lang w:val="en-US"/>
              </w:rPr>
              <w:t xml:space="preserve">eport co-chairs, </w:t>
            </w:r>
            <w:r w:rsidR="00F874B7" w:rsidRPr="00642D47">
              <w:rPr>
                <w:sz w:val="18"/>
                <w:szCs w:val="18"/>
                <w:lang w:val="en-US"/>
              </w:rPr>
              <w:t>coordinating lead authors</w:t>
            </w:r>
            <w:r w:rsidRPr="00642D47">
              <w:rPr>
                <w:sz w:val="18"/>
                <w:szCs w:val="18"/>
                <w:lang w:val="en-US"/>
              </w:rPr>
              <w:t xml:space="preserve"> and </w:t>
            </w:r>
            <w:r w:rsidR="00F874B7" w:rsidRPr="00642D47">
              <w:rPr>
                <w:sz w:val="18"/>
                <w:szCs w:val="18"/>
                <w:lang w:val="en-US"/>
              </w:rPr>
              <w:t>lead authors</w:t>
            </w:r>
            <w:r w:rsidRPr="00642D47">
              <w:rPr>
                <w:sz w:val="18"/>
                <w:szCs w:val="18"/>
                <w:lang w:val="en-US"/>
              </w:rPr>
              <w:t xml:space="preserve"> prepare the second draft report and a first</w:t>
            </w:r>
            <w:r w:rsidR="00F874B7" w:rsidRPr="00642D47">
              <w:rPr>
                <w:sz w:val="18"/>
                <w:szCs w:val="18"/>
                <w:lang w:val="en-US"/>
              </w:rPr>
              <w:t xml:space="preserve"> </w:t>
            </w:r>
            <w:r w:rsidRPr="00642D47">
              <w:rPr>
                <w:sz w:val="18"/>
                <w:szCs w:val="18"/>
                <w:lang w:val="en-US"/>
              </w:rPr>
              <w:t xml:space="preserve">draft </w:t>
            </w:r>
            <w:r w:rsidR="001E0F0C" w:rsidRPr="00642D47">
              <w:rPr>
                <w:sz w:val="18"/>
                <w:szCs w:val="18"/>
                <w:lang w:val="en-US"/>
              </w:rPr>
              <w:t>summary for policymakers</w:t>
            </w:r>
            <w:r w:rsidRPr="00642D47">
              <w:rPr>
                <w:sz w:val="18"/>
                <w:szCs w:val="18"/>
                <w:lang w:val="en-US"/>
              </w:rPr>
              <w:t xml:space="preserve"> under the guidance of </w:t>
            </w:r>
            <w:r w:rsidR="001E0F0C" w:rsidRPr="00642D47">
              <w:rPr>
                <w:sz w:val="18"/>
                <w:szCs w:val="18"/>
                <w:lang w:val="en-US"/>
              </w:rPr>
              <w:t xml:space="preserve">the </w:t>
            </w:r>
            <w:r w:rsidRPr="00642D47">
              <w:rPr>
                <w:sz w:val="18"/>
                <w:szCs w:val="18"/>
                <w:lang w:val="en-US"/>
              </w:rPr>
              <w:t xml:space="preserve">review editors and </w:t>
            </w:r>
            <w:r w:rsidR="001E0F0C" w:rsidRPr="00642D47">
              <w:rPr>
                <w:sz w:val="18"/>
                <w:szCs w:val="18"/>
                <w:lang w:val="en-US"/>
              </w:rPr>
              <w:t>the Panel</w:t>
            </w:r>
            <w:r w:rsidRPr="00642D47">
              <w:rPr>
                <w:sz w:val="18"/>
                <w:szCs w:val="18"/>
                <w:lang w:val="en-US"/>
              </w:rPr>
              <w:t xml:space="preserve"> </w:t>
            </w:r>
            <w:r w:rsidR="00F874B7" w:rsidRPr="00642D47">
              <w:rPr>
                <w:sz w:val="18"/>
                <w:szCs w:val="18"/>
                <w:lang w:val="en-US"/>
              </w:rPr>
              <w:t>(</w:t>
            </w:r>
            <w:r w:rsidRPr="00642D47">
              <w:rPr>
                <w:sz w:val="18"/>
                <w:szCs w:val="18"/>
                <w:lang w:val="en-US"/>
              </w:rPr>
              <w:t>April</w:t>
            </w:r>
            <w:r w:rsidR="00F874B7" w:rsidRPr="00642D47">
              <w:rPr>
                <w:sz w:val="18"/>
                <w:szCs w:val="18"/>
                <w:lang w:val="en-US"/>
              </w:rPr>
              <w:t>—</w:t>
            </w:r>
            <w:r w:rsidRPr="00642D47">
              <w:rPr>
                <w:sz w:val="18"/>
                <w:szCs w:val="18"/>
                <w:lang w:val="en-US"/>
              </w:rPr>
              <w:t>June</w:t>
            </w:r>
            <w:r w:rsidR="00F874B7" w:rsidRPr="00642D47">
              <w:rPr>
                <w:sz w:val="18"/>
                <w:szCs w:val="18"/>
                <w:lang w:val="en-US"/>
              </w:rPr>
              <w:t>)</w:t>
            </w:r>
            <w:r w:rsidRPr="00642D47">
              <w:rPr>
                <w:sz w:val="18"/>
                <w:szCs w:val="18"/>
                <w:lang w:val="en-US"/>
              </w:rPr>
              <w:t xml:space="preserve"> (</w:t>
            </w:r>
            <w:r w:rsidR="00F874B7" w:rsidRPr="00642D47">
              <w:rPr>
                <w:sz w:val="18"/>
                <w:szCs w:val="18"/>
                <w:lang w:val="en-US"/>
              </w:rPr>
              <w:t>3 </w:t>
            </w:r>
            <w:r w:rsidRPr="00642D47">
              <w:rPr>
                <w:sz w:val="18"/>
                <w:szCs w:val="18"/>
                <w:lang w:val="en-US"/>
              </w:rPr>
              <w:t xml:space="preserve">months). A second author meeting </w:t>
            </w:r>
            <w:r w:rsidR="009271DE" w:rsidRPr="00642D47">
              <w:rPr>
                <w:sz w:val="18"/>
                <w:szCs w:val="18"/>
                <w:lang w:val="en-US"/>
              </w:rPr>
              <w:t>is</w:t>
            </w:r>
            <w:r w:rsidRPr="00642D47">
              <w:rPr>
                <w:sz w:val="18"/>
                <w:szCs w:val="18"/>
                <w:lang w:val="en-US"/>
              </w:rPr>
              <w:t xml:space="preserve"> held in June 2015</w:t>
            </w:r>
          </w:p>
        </w:tc>
      </w:tr>
      <w:tr w:rsidR="00651E50" w:rsidRPr="00642D47" w:rsidTr="00642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703" w:type="dxa"/>
            <w:vMerge/>
            <w:tcBorders>
              <w:top w:val="single" w:sz="4" w:space="0" w:color="auto"/>
              <w:left w:val="single" w:sz="4" w:space="0" w:color="auto"/>
              <w:bottom w:val="single" w:sz="4" w:space="0" w:color="auto"/>
              <w:right w:val="single" w:sz="4" w:space="0" w:color="auto"/>
            </w:tcBorders>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Third quarter</w:t>
            </w:r>
          </w:p>
        </w:tc>
        <w:tc>
          <w:tcPr>
            <w:tcW w:w="6804" w:type="dxa"/>
            <w:tcBorders>
              <w:top w:val="single" w:sz="4" w:space="0" w:color="auto"/>
              <w:left w:val="single" w:sz="4" w:space="0" w:color="auto"/>
              <w:bottom w:val="single" w:sz="4" w:space="0" w:color="auto"/>
              <w:right w:val="single" w:sz="4" w:space="0" w:color="auto"/>
            </w:tcBorders>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second draft </w:t>
            </w:r>
            <w:r w:rsidR="001E0F0C" w:rsidRPr="00642D47">
              <w:rPr>
                <w:sz w:val="18"/>
                <w:szCs w:val="18"/>
                <w:lang w:val="en-US"/>
              </w:rPr>
              <w:t xml:space="preserve">report </w:t>
            </w:r>
            <w:r w:rsidR="00F874B7" w:rsidRPr="00642D47">
              <w:rPr>
                <w:sz w:val="18"/>
                <w:szCs w:val="18"/>
                <w:lang w:val="en-US"/>
              </w:rPr>
              <w:t xml:space="preserve">and </w:t>
            </w:r>
            <w:r w:rsidRPr="00642D47">
              <w:rPr>
                <w:sz w:val="18"/>
                <w:szCs w:val="18"/>
                <w:lang w:val="en-US"/>
              </w:rPr>
              <w:t>the first</w:t>
            </w:r>
            <w:r w:rsidR="001E0F0C" w:rsidRPr="00642D47">
              <w:rPr>
                <w:sz w:val="18"/>
                <w:szCs w:val="18"/>
                <w:lang w:val="en-US"/>
              </w:rPr>
              <w:t xml:space="preserve"> </w:t>
            </w:r>
            <w:r w:rsidR="006A59DE" w:rsidRPr="00642D47">
              <w:rPr>
                <w:sz w:val="18"/>
                <w:szCs w:val="18"/>
                <w:lang w:val="en-US"/>
              </w:rPr>
              <w:t xml:space="preserve">draft </w:t>
            </w:r>
            <w:r w:rsidR="001E0F0C" w:rsidRPr="00642D47">
              <w:rPr>
                <w:sz w:val="18"/>
                <w:szCs w:val="18"/>
                <w:lang w:val="en-US"/>
              </w:rPr>
              <w:t xml:space="preserve">summary for policymakers </w:t>
            </w:r>
            <w:r w:rsidR="00FF63A5" w:rsidRPr="00642D47">
              <w:rPr>
                <w:sz w:val="18"/>
                <w:szCs w:val="18"/>
                <w:lang w:val="en-US"/>
              </w:rPr>
              <w:t>are</w:t>
            </w:r>
            <w:r w:rsidRPr="00642D47">
              <w:rPr>
                <w:sz w:val="18"/>
                <w:szCs w:val="18"/>
                <w:lang w:val="en-US"/>
              </w:rPr>
              <w:t xml:space="preserve"> reviewed by experts</w:t>
            </w:r>
            <w:r w:rsidR="001E0F0C" w:rsidRPr="00642D47">
              <w:rPr>
                <w:sz w:val="18"/>
                <w:szCs w:val="18"/>
                <w:lang w:val="en-US"/>
              </w:rPr>
              <w:t xml:space="preserve"> and</w:t>
            </w:r>
            <w:r w:rsidRPr="00642D47">
              <w:rPr>
                <w:sz w:val="18"/>
                <w:szCs w:val="18"/>
                <w:lang w:val="en-US"/>
              </w:rPr>
              <w:t xml:space="preserve"> Governments and other stakeholders during July and August 2015 (</w:t>
            </w:r>
            <w:r w:rsidR="00F874B7" w:rsidRPr="00642D47">
              <w:rPr>
                <w:sz w:val="18"/>
                <w:szCs w:val="18"/>
                <w:lang w:val="en-US"/>
              </w:rPr>
              <w:t xml:space="preserve">2 </w:t>
            </w:r>
            <w:r w:rsidRPr="00642D47">
              <w:rPr>
                <w:sz w:val="18"/>
                <w:szCs w:val="18"/>
                <w:lang w:val="en-US"/>
              </w:rPr>
              <w:t>months)</w:t>
            </w:r>
          </w:p>
        </w:tc>
      </w:tr>
      <w:tr w:rsidR="00651E50" w:rsidRPr="00642D47" w:rsidTr="00642D47">
        <w:trPr>
          <w:trHeight w:val="215"/>
        </w:trPr>
        <w:tc>
          <w:tcPr>
            <w:tcW w:w="703" w:type="dxa"/>
            <w:vMerge/>
            <w:tcBorders>
              <w:top w:val="single" w:sz="4" w:space="0" w:color="auto"/>
            </w:tcBorders>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Borders>
              <w:top w:val="single" w:sz="4" w:space="0" w:color="auto"/>
            </w:tcBorders>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rFonts w:eastAsia="SimSun"/>
                <w:sz w:val="18"/>
                <w:szCs w:val="18"/>
                <w:lang w:eastAsia="zh-CN"/>
              </w:rPr>
              <w:t>Third/fourth quarters</w:t>
            </w:r>
          </w:p>
        </w:tc>
        <w:tc>
          <w:tcPr>
            <w:tcW w:w="6804" w:type="dxa"/>
            <w:tcBorders>
              <w:top w:val="single" w:sz="4" w:space="0" w:color="auto"/>
            </w:tcBorders>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FF63A5" w:rsidRPr="00642D47">
              <w:rPr>
                <w:sz w:val="18"/>
                <w:szCs w:val="18"/>
                <w:lang w:val="en-US"/>
              </w:rPr>
              <w:t>r</w:t>
            </w:r>
            <w:r w:rsidRPr="00642D47">
              <w:rPr>
                <w:sz w:val="18"/>
                <w:szCs w:val="18"/>
                <w:lang w:val="en-US"/>
              </w:rPr>
              <w:t xml:space="preserve">eport co-chairs, </w:t>
            </w:r>
            <w:r w:rsidR="00F874B7" w:rsidRPr="00642D47">
              <w:rPr>
                <w:sz w:val="18"/>
                <w:szCs w:val="18"/>
                <w:lang w:val="en-US"/>
              </w:rPr>
              <w:t>coordinating lead authors</w:t>
            </w:r>
            <w:r w:rsidRPr="00642D47">
              <w:rPr>
                <w:sz w:val="18"/>
                <w:szCs w:val="18"/>
                <w:lang w:val="en-US"/>
              </w:rPr>
              <w:t xml:space="preserve"> and </w:t>
            </w:r>
            <w:r w:rsidR="00F874B7" w:rsidRPr="00642D47">
              <w:rPr>
                <w:sz w:val="18"/>
                <w:szCs w:val="18"/>
                <w:lang w:val="en-US"/>
              </w:rPr>
              <w:t>lead authors</w:t>
            </w:r>
            <w:r w:rsidRPr="00642D47">
              <w:rPr>
                <w:sz w:val="18"/>
                <w:szCs w:val="18"/>
                <w:lang w:val="en-US"/>
              </w:rPr>
              <w:t xml:space="preserve"> prepare the final draft report and </w:t>
            </w:r>
            <w:r w:rsidR="00FF63A5" w:rsidRPr="00642D47">
              <w:rPr>
                <w:sz w:val="18"/>
                <w:szCs w:val="18"/>
                <w:lang w:val="en-US"/>
              </w:rPr>
              <w:t>summary for policymakers</w:t>
            </w:r>
            <w:r w:rsidRPr="00642D47">
              <w:rPr>
                <w:sz w:val="18"/>
                <w:szCs w:val="18"/>
                <w:lang w:val="en-US"/>
              </w:rPr>
              <w:t xml:space="preserve"> under the guidance of </w:t>
            </w:r>
            <w:r w:rsidR="00F874B7" w:rsidRPr="00642D47">
              <w:rPr>
                <w:sz w:val="18"/>
                <w:szCs w:val="18"/>
                <w:lang w:val="en-US"/>
              </w:rPr>
              <w:t xml:space="preserve">the </w:t>
            </w:r>
            <w:r w:rsidRPr="00642D47">
              <w:rPr>
                <w:sz w:val="18"/>
                <w:szCs w:val="18"/>
                <w:lang w:val="en-US"/>
              </w:rPr>
              <w:t xml:space="preserve">review editors and </w:t>
            </w:r>
            <w:r w:rsidR="00FF63A5" w:rsidRPr="00642D47">
              <w:rPr>
                <w:sz w:val="18"/>
                <w:szCs w:val="18"/>
                <w:lang w:val="en-US"/>
              </w:rPr>
              <w:t xml:space="preserve">the Panel </w:t>
            </w:r>
            <w:r w:rsidRPr="00642D47">
              <w:rPr>
                <w:sz w:val="18"/>
                <w:szCs w:val="18"/>
                <w:lang w:val="en-US"/>
              </w:rPr>
              <w:t>during September and October 2015 (</w:t>
            </w:r>
            <w:r w:rsidR="00F874B7" w:rsidRPr="00642D47">
              <w:rPr>
                <w:sz w:val="18"/>
                <w:szCs w:val="18"/>
                <w:lang w:val="en-US"/>
              </w:rPr>
              <w:t>2 </w:t>
            </w:r>
            <w:r w:rsidRPr="00642D47">
              <w:rPr>
                <w:sz w:val="18"/>
                <w:szCs w:val="18"/>
                <w:lang w:val="en-US"/>
              </w:rPr>
              <w:t xml:space="preserve">months). </w:t>
            </w:r>
            <w:r w:rsidRPr="00642D47">
              <w:rPr>
                <w:rFonts w:eastAsia="SimSun"/>
                <w:sz w:val="18"/>
                <w:szCs w:val="18"/>
                <w:lang w:val="en-US" w:eastAsia="zh-CN"/>
              </w:rPr>
              <w:t>A</w:t>
            </w:r>
            <w:r w:rsidR="00FF63A5" w:rsidRPr="00642D47">
              <w:rPr>
                <w:rFonts w:eastAsia="SimSun"/>
                <w:sz w:val="18"/>
                <w:szCs w:val="18"/>
                <w:lang w:val="en-US" w:eastAsia="zh-CN"/>
              </w:rPr>
              <w:t xml:space="preserve"> </w:t>
            </w:r>
            <w:r w:rsidRPr="00642D47">
              <w:rPr>
                <w:rFonts w:eastAsia="SimSun"/>
                <w:sz w:val="18"/>
                <w:szCs w:val="18"/>
                <w:lang w:val="en-US" w:eastAsia="zh-CN"/>
              </w:rPr>
              <w:t>third</w:t>
            </w:r>
            <w:r w:rsidRPr="00642D47">
              <w:rPr>
                <w:sz w:val="18"/>
                <w:szCs w:val="18"/>
                <w:lang w:val="en-US"/>
              </w:rPr>
              <w:t xml:space="preserve"> author meeting </w:t>
            </w:r>
            <w:r w:rsidR="00FF63A5" w:rsidRPr="00642D47">
              <w:rPr>
                <w:sz w:val="18"/>
                <w:szCs w:val="18"/>
                <w:lang w:val="en-US"/>
              </w:rPr>
              <w:t>is</w:t>
            </w:r>
            <w:r w:rsidRPr="00642D47">
              <w:rPr>
                <w:sz w:val="18"/>
                <w:szCs w:val="18"/>
                <w:lang w:val="en-US"/>
              </w:rPr>
              <w:t xml:space="preserve"> held in October 2015</w:t>
            </w:r>
          </w:p>
        </w:tc>
      </w:tr>
      <w:tr w:rsidR="00651E50" w:rsidRPr="00642D47" w:rsidTr="00642D47">
        <w:trPr>
          <w:trHeight w:val="479"/>
        </w:trPr>
        <w:tc>
          <w:tcPr>
            <w:tcW w:w="703" w:type="dxa"/>
            <w:vMerge/>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Fourth quarter</w:t>
            </w:r>
          </w:p>
        </w:tc>
        <w:tc>
          <w:tcPr>
            <w:tcW w:w="6804" w:type="dxa"/>
          </w:tcPr>
          <w:p w:rsidR="00651E50" w:rsidRPr="00642D47" w:rsidRDefault="00651E50" w:rsidP="00642D47">
            <w:pPr>
              <w:pStyle w:val="Normal-pool"/>
              <w:spacing w:before="20" w:after="20"/>
              <w:rPr>
                <w:sz w:val="18"/>
                <w:szCs w:val="18"/>
                <w:lang w:val="en-US"/>
              </w:rPr>
            </w:pPr>
            <w:r w:rsidRPr="00642D47">
              <w:rPr>
                <w:sz w:val="18"/>
                <w:szCs w:val="18"/>
                <w:lang w:val="en-US"/>
              </w:rPr>
              <w:t xml:space="preserve">The </w:t>
            </w:r>
            <w:r w:rsidR="00FF63A5" w:rsidRPr="00642D47">
              <w:rPr>
                <w:sz w:val="18"/>
                <w:szCs w:val="18"/>
                <w:lang w:val="en-US"/>
              </w:rPr>
              <w:t>s</w:t>
            </w:r>
            <w:r w:rsidRPr="00642D47">
              <w:rPr>
                <w:sz w:val="18"/>
                <w:szCs w:val="18"/>
                <w:lang w:val="en-US"/>
              </w:rPr>
              <w:t xml:space="preserve">ummary for </w:t>
            </w:r>
            <w:r w:rsidR="00FF63A5" w:rsidRPr="00642D47">
              <w:rPr>
                <w:sz w:val="18"/>
                <w:szCs w:val="18"/>
                <w:lang w:val="en-US"/>
              </w:rPr>
              <w:t>p</w:t>
            </w:r>
            <w:r w:rsidRPr="00642D47">
              <w:rPr>
                <w:sz w:val="18"/>
                <w:szCs w:val="18"/>
                <w:lang w:val="en-US"/>
              </w:rPr>
              <w:t xml:space="preserve">olicymakers is translated into </w:t>
            </w:r>
            <w:r w:rsidR="009862F8">
              <w:rPr>
                <w:sz w:val="18"/>
                <w:szCs w:val="18"/>
                <w:lang w:val="en-US"/>
              </w:rPr>
              <w:t>all</w:t>
            </w:r>
            <w:r w:rsidR="00FF63A5" w:rsidRPr="00642D47">
              <w:rPr>
                <w:sz w:val="18"/>
                <w:szCs w:val="18"/>
                <w:lang w:val="en-US"/>
              </w:rPr>
              <w:t xml:space="preserve"> official </w:t>
            </w:r>
            <w:r w:rsidR="009862F8">
              <w:rPr>
                <w:sz w:val="18"/>
                <w:szCs w:val="18"/>
                <w:lang w:val="en-US"/>
              </w:rPr>
              <w:t xml:space="preserve">languages of the </w:t>
            </w:r>
            <w:r w:rsidR="00FF63A5" w:rsidRPr="00642D47">
              <w:rPr>
                <w:sz w:val="18"/>
                <w:szCs w:val="18"/>
                <w:lang w:val="en-US"/>
              </w:rPr>
              <w:t xml:space="preserve">United Nations </w:t>
            </w:r>
            <w:r w:rsidRPr="00642D47">
              <w:rPr>
                <w:sz w:val="18"/>
                <w:szCs w:val="18"/>
                <w:lang w:val="en-US"/>
              </w:rPr>
              <w:t>by mid</w:t>
            </w:r>
            <w:r w:rsidR="00EA0290" w:rsidRPr="00642D47">
              <w:rPr>
                <w:sz w:val="18"/>
                <w:szCs w:val="18"/>
                <w:lang w:val="en-US"/>
              </w:rPr>
              <w:noBreakHyphen/>
            </w:r>
            <w:r w:rsidRPr="00642D47">
              <w:rPr>
                <w:sz w:val="18"/>
                <w:szCs w:val="18"/>
                <w:lang w:val="en-US"/>
              </w:rPr>
              <w:t xml:space="preserve">December 2015 </w:t>
            </w:r>
            <w:r w:rsidR="009862F8">
              <w:rPr>
                <w:sz w:val="18"/>
                <w:szCs w:val="18"/>
                <w:lang w:val="en-US"/>
              </w:rPr>
              <w:t xml:space="preserve">at the latest </w:t>
            </w:r>
            <w:r w:rsidRPr="00642D47">
              <w:rPr>
                <w:sz w:val="18"/>
                <w:szCs w:val="18"/>
                <w:lang w:val="en-US"/>
              </w:rPr>
              <w:t>(1.5 months)</w:t>
            </w:r>
          </w:p>
        </w:tc>
      </w:tr>
      <w:tr w:rsidR="00651E50" w:rsidRPr="00642D47" w:rsidTr="00642D47">
        <w:trPr>
          <w:trHeight w:val="242"/>
        </w:trPr>
        <w:tc>
          <w:tcPr>
            <w:tcW w:w="703" w:type="dxa"/>
            <w:vMerge w:val="restart"/>
            <w:vAlign w:val="center"/>
          </w:tcPr>
          <w:p w:rsidR="00651E50" w:rsidRPr="00642D47" w:rsidRDefault="00651E50" w:rsidP="00642D47">
            <w:pPr>
              <w:keepLines/>
              <w:tabs>
                <w:tab w:val="left" w:pos="426"/>
                <w:tab w:val="num" w:pos="1353"/>
              </w:tabs>
              <w:autoSpaceDE w:val="0"/>
              <w:autoSpaceDN w:val="0"/>
              <w:adjustRightInd w:val="0"/>
              <w:spacing w:after="120"/>
              <w:jc w:val="center"/>
              <w:rPr>
                <w:sz w:val="18"/>
                <w:szCs w:val="18"/>
                <w:lang w:val="en-US"/>
              </w:rPr>
            </w:pPr>
            <w:r w:rsidRPr="00642D47">
              <w:rPr>
                <w:sz w:val="18"/>
                <w:szCs w:val="18"/>
                <w:lang w:val="en-US"/>
              </w:rPr>
              <w:t>2016</w:t>
            </w:r>
          </w:p>
        </w:tc>
        <w:tc>
          <w:tcPr>
            <w:tcW w:w="1276" w:type="dxa"/>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First quarter</w:t>
            </w:r>
          </w:p>
        </w:tc>
        <w:tc>
          <w:tcPr>
            <w:tcW w:w="6804" w:type="dxa"/>
          </w:tcPr>
          <w:p w:rsidR="00F874B7" w:rsidRPr="00642D47" w:rsidRDefault="00651E50" w:rsidP="00580152">
            <w:pPr>
              <w:pStyle w:val="Normal-pool"/>
              <w:spacing w:before="20" w:after="20"/>
              <w:rPr>
                <w:sz w:val="18"/>
                <w:szCs w:val="18"/>
                <w:lang w:val="en-US"/>
              </w:rPr>
            </w:pPr>
            <w:r w:rsidRPr="00642D47">
              <w:rPr>
                <w:sz w:val="18"/>
                <w:szCs w:val="18"/>
                <w:lang w:val="en-US"/>
              </w:rPr>
              <w:t>The final draft report and</w:t>
            </w:r>
            <w:r w:rsidR="00FF63A5" w:rsidRPr="00642D47">
              <w:rPr>
                <w:sz w:val="18"/>
                <w:szCs w:val="18"/>
                <w:lang w:val="en-US"/>
              </w:rPr>
              <w:t xml:space="preserve"> summary for policymakers </w:t>
            </w:r>
            <w:r w:rsidRPr="00642D47">
              <w:rPr>
                <w:sz w:val="18"/>
                <w:szCs w:val="18"/>
                <w:lang w:val="en-US"/>
              </w:rPr>
              <w:t xml:space="preserve">are sent to Governments and other stakeholders for final review during January and February 2016 </w:t>
            </w:r>
          </w:p>
          <w:p w:rsidR="00651E50" w:rsidRPr="00642D47" w:rsidRDefault="00651E50" w:rsidP="00580152">
            <w:pPr>
              <w:pStyle w:val="Normal-pool"/>
              <w:spacing w:before="20" w:after="20"/>
              <w:rPr>
                <w:b/>
                <w:sz w:val="18"/>
                <w:szCs w:val="18"/>
                <w:lang w:val="en-US"/>
              </w:rPr>
            </w:pPr>
            <w:r w:rsidRPr="00642D47">
              <w:rPr>
                <w:sz w:val="18"/>
                <w:szCs w:val="18"/>
                <w:lang w:val="en-US"/>
              </w:rPr>
              <w:t>(1.5</w:t>
            </w:r>
            <w:r w:rsidR="00FF63A5" w:rsidRPr="00642D47">
              <w:rPr>
                <w:sz w:val="18"/>
                <w:szCs w:val="18"/>
                <w:lang w:val="en-US"/>
              </w:rPr>
              <w:t>–</w:t>
            </w:r>
            <w:r w:rsidRPr="00642D47">
              <w:rPr>
                <w:sz w:val="18"/>
                <w:szCs w:val="18"/>
                <w:lang w:val="en-US"/>
              </w:rPr>
              <w:t xml:space="preserve">2 months). Written comments from Governments on the draft </w:t>
            </w:r>
            <w:r w:rsidR="00FF63A5" w:rsidRPr="00642D47">
              <w:rPr>
                <w:sz w:val="18"/>
                <w:szCs w:val="18"/>
                <w:lang w:val="en-US"/>
              </w:rPr>
              <w:t xml:space="preserve">summary for policymakers </w:t>
            </w:r>
            <w:r w:rsidRPr="00642D47">
              <w:rPr>
                <w:sz w:val="18"/>
                <w:szCs w:val="18"/>
                <w:lang w:val="en-US"/>
              </w:rPr>
              <w:t>are strongly encouraged</w:t>
            </w:r>
            <w:r w:rsidR="00FF63A5" w:rsidRPr="00642D47">
              <w:rPr>
                <w:sz w:val="18"/>
                <w:szCs w:val="18"/>
                <w:lang w:val="en-US"/>
              </w:rPr>
              <w:t>. Such comments are due</w:t>
            </w:r>
            <w:r w:rsidRPr="00642D47">
              <w:rPr>
                <w:sz w:val="18"/>
                <w:szCs w:val="18"/>
                <w:lang w:val="en-US"/>
              </w:rPr>
              <w:t xml:space="preserve"> one week prior to </w:t>
            </w:r>
            <w:r w:rsidR="006A59DE" w:rsidRPr="00642D47">
              <w:rPr>
                <w:sz w:val="18"/>
                <w:szCs w:val="18"/>
                <w:lang w:val="en-US"/>
              </w:rPr>
              <w:t xml:space="preserve">the </w:t>
            </w:r>
            <w:r w:rsidR="00FF63A5" w:rsidRPr="00642D47">
              <w:rPr>
                <w:sz w:val="18"/>
                <w:szCs w:val="18"/>
                <w:lang w:val="en-US"/>
              </w:rPr>
              <w:t xml:space="preserve">fourth session of </w:t>
            </w:r>
            <w:r w:rsidRPr="00642D47">
              <w:rPr>
                <w:sz w:val="18"/>
                <w:szCs w:val="18"/>
                <w:lang w:val="en-US"/>
              </w:rPr>
              <w:t>the Plenary</w:t>
            </w:r>
          </w:p>
        </w:tc>
      </w:tr>
      <w:tr w:rsidR="00651E50" w:rsidRPr="00642D47" w:rsidTr="00642D47">
        <w:trPr>
          <w:trHeight w:val="242"/>
        </w:trPr>
        <w:tc>
          <w:tcPr>
            <w:tcW w:w="703" w:type="dxa"/>
            <w:vMerge/>
          </w:tcPr>
          <w:p w:rsidR="00651E50" w:rsidRPr="00642D47" w:rsidRDefault="00651E50" w:rsidP="00651E50">
            <w:pPr>
              <w:keepLines/>
              <w:tabs>
                <w:tab w:val="left" w:pos="426"/>
                <w:tab w:val="num" w:pos="1353"/>
              </w:tabs>
              <w:autoSpaceDE w:val="0"/>
              <w:autoSpaceDN w:val="0"/>
              <w:adjustRightInd w:val="0"/>
              <w:spacing w:after="120"/>
              <w:jc w:val="center"/>
              <w:rPr>
                <w:sz w:val="18"/>
                <w:szCs w:val="18"/>
                <w:lang w:val="en-US"/>
              </w:rPr>
            </w:pPr>
          </w:p>
        </w:tc>
        <w:tc>
          <w:tcPr>
            <w:tcW w:w="1276" w:type="dxa"/>
          </w:tcPr>
          <w:p w:rsidR="00651E50" w:rsidRPr="00642D47" w:rsidRDefault="00F874B7" w:rsidP="00651E50">
            <w:pPr>
              <w:keepLines/>
              <w:tabs>
                <w:tab w:val="left" w:pos="426"/>
                <w:tab w:val="num" w:pos="1353"/>
              </w:tabs>
              <w:autoSpaceDE w:val="0"/>
              <w:autoSpaceDN w:val="0"/>
              <w:adjustRightInd w:val="0"/>
              <w:spacing w:after="120"/>
              <w:rPr>
                <w:sz w:val="18"/>
                <w:szCs w:val="18"/>
                <w:lang w:val="en-US"/>
              </w:rPr>
            </w:pPr>
            <w:r w:rsidRPr="00642D47">
              <w:rPr>
                <w:sz w:val="18"/>
                <w:szCs w:val="18"/>
                <w:lang w:val="en-US"/>
              </w:rPr>
              <w:t>First quarter</w:t>
            </w:r>
          </w:p>
        </w:tc>
        <w:tc>
          <w:tcPr>
            <w:tcW w:w="6804" w:type="dxa"/>
          </w:tcPr>
          <w:p w:rsidR="00651E50" w:rsidRPr="00642D47" w:rsidRDefault="00FF63A5" w:rsidP="00EA0290">
            <w:pPr>
              <w:pStyle w:val="Normal-pool"/>
              <w:spacing w:before="20" w:after="20"/>
              <w:rPr>
                <w:b/>
                <w:sz w:val="18"/>
                <w:szCs w:val="18"/>
                <w:lang w:val="en-US"/>
              </w:rPr>
            </w:pPr>
            <w:r w:rsidRPr="00642D47">
              <w:rPr>
                <w:sz w:val="18"/>
                <w:szCs w:val="18"/>
                <w:lang w:val="en-US"/>
              </w:rPr>
              <w:t xml:space="preserve">The </w:t>
            </w:r>
            <w:r w:rsidR="00651E50" w:rsidRPr="00642D47">
              <w:rPr>
                <w:sz w:val="18"/>
                <w:szCs w:val="18"/>
                <w:lang w:val="en-US"/>
              </w:rPr>
              <w:t xml:space="preserve">Plenary reviews and accepts the report and reviews and approves the </w:t>
            </w:r>
            <w:r w:rsidRPr="00642D47">
              <w:rPr>
                <w:sz w:val="18"/>
                <w:szCs w:val="18"/>
                <w:lang w:val="en-US"/>
              </w:rPr>
              <w:t xml:space="preserve">summary for policymakers </w:t>
            </w:r>
            <w:r w:rsidR="00651E50" w:rsidRPr="00642D47">
              <w:rPr>
                <w:sz w:val="18"/>
                <w:szCs w:val="18"/>
                <w:lang w:val="en-US"/>
              </w:rPr>
              <w:t xml:space="preserve">during </w:t>
            </w:r>
            <w:r w:rsidRPr="00642D47">
              <w:rPr>
                <w:sz w:val="18"/>
                <w:szCs w:val="18"/>
                <w:lang w:val="en-US"/>
              </w:rPr>
              <w:t>its fourth session</w:t>
            </w:r>
          </w:p>
        </w:tc>
      </w:tr>
    </w:tbl>
    <w:p w:rsidR="00651E50" w:rsidRPr="00DC2597" w:rsidRDefault="00B35D0C" w:rsidP="00EA0290">
      <w:pPr>
        <w:pStyle w:val="CH1"/>
      </w:pPr>
      <w:r>
        <w:rPr>
          <w:lang w:val="en-US"/>
        </w:rPr>
        <w:lastRenderedPageBreak/>
        <w:tab/>
      </w:r>
      <w:r w:rsidR="00E306F1">
        <w:rPr>
          <w:lang w:val="en-US"/>
        </w:rPr>
        <w:t>V.</w:t>
      </w:r>
      <w:r w:rsidR="00651E50">
        <w:rPr>
          <w:lang w:val="en-US"/>
        </w:rPr>
        <w:tab/>
      </w:r>
      <w:r w:rsidR="00651E50" w:rsidRPr="00DC2597">
        <w:rPr>
          <w:lang w:val="en-US"/>
        </w:rPr>
        <w:t>Cost estimate</w:t>
      </w:r>
    </w:p>
    <w:p w:rsidR="00651E50" w:rsidRDefault="00CA5F73" w:rsidP="00EA0290">
      <w:pPr>
        <w:pStyle w:val="Normalnumber"/>
        <w:keepNext/>
        <w:keepLines/>
      </w:pPr>
      <w:r>
        <w:t xml:space="preserve">The table below shows the estimated cost of conducting the assessment and preparing the assessment report. </w:t>
      </w:r>
    </w:p>
    <w:p w:rsidR="00330F26" w:rsidRPr="00642D47" w:rsidRDefault="00330F26" w:rsidP="00642D47">
      <w:pPr>
        <w:pStyle w:val="Normalnumber"/>
        <w:keepNext/>
        <w:keepLines/>
        <w:numPr>
          <w:ilvl w:val="0"/>
          <w:numId w:val="0"/>
        </w:numPr>
        <w:ind w:left="1247"/>
        <w:rPr>
          <w:sz w:val="18"/>
          <w:szCs w:val="18"/>
        </w:rPr>
      </w:pPr>
      <w:r w:rsidRPr="00642D47">
        <w:rPr>
          <w:sz w:val="18"/>
          <w:szCs w:val="18"/>
        </w:rPr>
        <w:t>(United States dollars)</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232"/>
        <w:gridCol w:w="3289"/>
        <w:gridCol w:w="1134"/>
      </w:tblGrid>
      <w:tr w:rsidR="00CA5F73" w:rsidRPr="00642D47" w:rsidTr="005B51AA">
        <w:tc>
          <w:tcPr>
            <w:tcW w:w="850" w:type="dxa"/>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i/>
                <w:lang w:eastAsia="zh-CN"/>
              </w:rPr>
            </w:pPr>
            <w:r w:rsidRPr="00642D47">
              <w:rPr>
                <w:rFonts w:eastAsia="SimSun" w:cs="Calibri"/>
                <w:i/>
                <w:lang w:eastAsia="zh-CN"/>
              </w:rPr>
              <w:t>Year</w:t>
            </w:r>
          </w:p>
        </w:tc>
        <w:tc>
          <w:tcPr>
            <w:tcW w:w="3232" w:type="dxa"/>
          </w:tcPr>
          <w:p w:rsidR="00CA5F73" w:rsidRPr="00642D47" w:rsidRDefault="00CA5F73" w:rsidP="00642D47">
            <w:pPr>
              <w:pStyle w:val="ListParagraph"/>
              <w:keepNext/>
              <w:keepLines/>
              <w:tabs>
                <w:tab w:val="left" w:pos="426"/>
              </w:tabs>
              <w:autoSpaceDE w:val="0"/>
              <w:autoSpaceDN w:val="0"/>
              <w:adjustRightInd w:val="0"/>
              <w:spacing w:before="60" w:after="60"/>
              <w:ind w:left="0"/>
              <w:contextualSpacing w:val="0"/>
              <w:rPr>
                <w:rFonts w:eastAsia="SimSun" w:cs="Calibri"/>
                <w:i/>
                <w:lang w:eastAsia="zh-CN"/>
              </w:rPr>
            </w:pPr>
            <w:r w:rsidRPr="00642D47">
              <w:rPr>
                <w:rFonts w:eastAsia="SimSun" w:cs="Calibri"/>
                <w:i/>
                <w:lang w:eastAsia="zh-CN"/>
              </w:rPr>
              <w:t>Cost</w:t>
            </w:r>
            <w:r w:rsidR="00921BD2">
              <w:rPr>
                <w:rFonts w:eastAsia="SimSun" w:cs="Calibri"/>
                <w:i/>
                <w:lang w:eastAsia="zh-CN"/>
              </w:rPr>
              <w:t xml:space="preserve"> i</w:t>
            </w:r>
            <w:r w:rsidRPr="00642D47">
              <w:rPr>
                <w:rFonts w:eastAsia="SimSun" w:cs="Calibri"/>
                <w:i/>
                <w:lang w:eastAsia="zh-CN"/>
              </w:rPr>
              <w:t>tem</w:t>
            </w:r>
          </w:p>
        </w:tc>
        <w:tc>
          <w:tcPr>
            <w:tcW w:w="3289" w:type="dxa"/>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i/>
                <w:lang w:eastAsia="zh-CN"/>
              </w:rPr>
            </w:pPr>
            <w:r w:rsidRPr="00642D47">
              <w:rPr>
                <w:rFonts w:eastAsia="SimSun" w:cs="Calibri"/>
                <w:i/>
                <w:lang w:eastAsia="zh-CN"/>
              </w:rPr>
              <w:t>Assumptions</w:t>
            </w:r>
          </w:p>
        </w:tc>
        <w:tc>
          <w:tcPr>
            <w:tcW w:w="1134" w:type="dxa"/>
          </w:tcPr>
          <w:p w:rsidR="00CA5F73" w:rsidRPr="00642D47" w:rsidRDefault="00CA5F73" w:rsidP="005B51AA">
            <w:pPr>
              <w:pStyle w:val="ListParagraph"/>
              <w:keepNext/>
              <w:keepLines/>
              <w:tabs>
                <w:tab w:val="left" w:pos="426"/>
              </w:tabs>
              <w:autoSpaceDE w:val="0"/>
              <w:autoSpaceDN w:val="0"/>
              <w:adjustRightInd w:val="0"/>
              <w:spacing w:before="60" w:after="60"/>
              <w:ind w:left="0"/>
              <w:contextualSpacing w:val="0"/>
              <w:jc w:val="right"/>
              <w:rPr>
                <w:rFonts w:eastAsia="SimSun" w:cs="Calibri"/>
                <w:i/>
                <w:lang w:eastAsia="zh-CN"/>
              </w:rPr>
            </w:pPr>
            <w:r w:rsidRPr="00642D47">
              <w:rPr>
                <w:rFonts w:eastAsia="SimSun" w:cs="Calibri"/>
                <w:i/>
                <w:lang w:eastAsia="zh-CN"/>
              </w:rPr>
              <w:t>Cost</w:t>
            </w:r>
          </w:p>
        </w:tc>
      </w:tr>
      <w:tr w:rsidR="00CA5F73" w:rsidRPr="00642D47" w:rsidTr="005B51AA">
        <w:tc>
          <w:tcPr>
            <w:tcW w:w="850" w:type="dxa"/>
            <w:vMerge w:val="restart"/>
            <w:vAlign w:val="center"/>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2014</w:t>
            </w:r>
          </w:p>
        </w:tc>
        <w:tc>
          <w:tcPr>
            <w:tcW w:w="3232" w:type="dxa"/>
            <w:vMerge w:val="restart"/>
            <w:vAlign w:val="center"/>
          </w:tcPr>
          <w:p w:rsidR="00CA5F73" w:rsidRPr="00642D47" w:rsidRDefault="00CA5F73" w:rsidP="00642D47">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Scoping meeting (40</w:t>
            </w:r>
            <w:r w:rsidR="00DC3A31">
              <w:rPr>
                <w:rFonts w:eastAsia="SimSun" w:cs="Calibri"/>
                <w:lang w:eastAsia="zh-CN"/>
              </w:rPr>
              <w:t> </w:t>
            </w:r>
            <w:r w:rsidRPr="00642D47">
              <w:rPr>
                <w:rFonts w:eastAsia="SimSun" w:cs="Calibri"/>
                <w:lang w:eastAsia="zh-CN"/>
              </w:rPr>
              <w:t xml:space="preserve">participants: </w:t>
            </w:r>
            <w:r w:rsidR="00330F26" w:rsidRPr="00F8033E">
              <w:rPr>
                <w:lang w:val="en-US"/>
              </w:rPr>
              <w:t>Multidisciplinary Expert Panel</w:t>
            </w:r>
            <w:r w:rsidR="009862F8">
              <w:rPr>
                <w:lang w:val="en-US"/>
              </w:rPr>
              <w:t>/</w:t>
            </w:r>
            <w:r w:rsidRPr="00642D47">
              <w:rPr>
                <w:rFonts w:eastAsia="SimSun" w:cs="Calibri"/>
                <w:lang w:eastAsia="zh-CN"/>
              </w:rPr>
              <w:t>Bureau</w:t>
            </w:r>
            <w:r w:rsidR="009862F8">
              <w:rPr>
                <w:rFonts w:eastAsia="SimSun" w:cs="Calibri"/>
                <w:lang w:eastAsia="zh-CN"/>
              </w:rPr>
              <w:t xml:space="preserve"> members</w:t>
            </w:r>
            <w:r w:rsidR="00DC3A31">
              <w:rPr>
                <w:rFonts w:eastAsia="SimSun" w:cs="Calibri"/>
                <w:lang w:eastAsia="zh-CN"/>
              </w:rPr>
              <w:t>,</w:t>
            </w:r>
            <w:r w:rsidR="00330F26">
              <w:rPr>
                <w:rFonts w:eastAsia="SimSun" w:cs="Calibri"/>
                <w:lang w:eastAsia="zh-CN"/>
              </w:rPr>
              <w:t xml:space="preserve"> </w:t>
            </w:r>
            <w:r w:rsidR="009862F8">
              <w:rPr>
                <w:rFonts w:eastAsia="SimSun" w:cs="Calibri"/>
                <w:lang w:eastAsia="zh-CN"/>
              </w:rPr>
              <w:t xml:space="preserve">plus </w:t>
            </w:r>
            <w:r w:rsidRPr="00642D47">
              <w:rPr>
                <w:rFonts w:eastAsia="SimSun" w:cs="Calibri"/>
                <w:lang w:eastAsia="zh-CN"/>
              </w:rPr>
              <w:t>experts)</w:t>
            </w:r>
          </w:p>
        </w:tc>
        <w:tc>
          <w:tcPr>
            <w:tcW w:w="3289" w:type="dxa"/>
          </w:tcPr>
          <w:p w:rsidR="00CA5F73" w:rsidRPr="00642D47" w:rsidRDefault="00CA5F73" w:rsidP="00642D47">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Meeting costs (1 week, 40 participants) (25</w:t>
            </w:r>
            <w:r w:rsidR="003C5875" w:rsidRPr="00642D47">
              <w:rPr>
                <w:rFonts w:eastAsia="SimSun" w:cs="Calibri"/>
                <w:lang w:eastAsia="zh-CN"/>
              </w:rPr>
              <w:t xml:space="preserve"> per cent</w:t>
            </w:r>
            <w:r w:rsidRPr="00642D47">
              <w:rPr>
                <w:rFonts w:eastAsia="SimSun" w:cs="Calibri"/>
                <w:lang w:eastAsia="zh-CN"/>
              </w:rPr>
              <w:t xml:space="preserve"> in</w:t>
            </w:r>
            <w:r w:rsidR="003C5875" w:rsidRPr="00642D47">
              <w:rPr>
                <w:rFonts w:eastAsia="SimSun" w:cs="Calibri"/>
                <w:lang w:eastAsia="zh-CN"/>
              </w:rPr>
              <w:t xml:space="preserve"> </w:t>
            </w:r>
            <w:r w:rsidRPr="00642D47">
              <w:rPr>
                <w:rFonts w:eastAsia="SimSun" w:cs="Calibri"/>
                <w:lang w:eastAsia="zh-CN"/>
              </w:rPr>
              <w:t>kind)</w:t>
            </w:r>
          </w:p>
        </w:tc>
        <w:tc>
          <w:tcPr>
            <w:tcW w:w="1134" w:type="dxa"/>
          </w:tcPr>
          <w:p w:rsidR="00CA5F73" w:rsidRPr="00642D47" w:rsidRDefault="00CA5F73" w:rsidP="00642D47">
            <w:pPr>
              <w:pStyle w:val="ListParagraph"/>
              <w:keepNext/>
              <w:keepLines/>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11</w:t>
            </w:r>
            <w:r w:rsidR="00392F22">
              <w:rPr>
                <w:rFonts w:eastAsia="SimSun" w:cs="Calibri"/>
                <w:lang w:eastAsia="zh-CN"/>
              </w:rPr>
              <w:t xml:space="preserve"> </w:t>
            </w:r>
            <w:r w:rsidRPr="00642D47">
              <w:rPr>
                <w:rFonts w:eastAsia="SimSun" w:cs="Calibri"/>
                <w:lang w:eastAsia="zh-CN"/>
              </w:rPr>
              <w:t>250</w:t>
            </w:r>
          </w:p>
        </w:tc>
      </w:tr>
      <w:tr w:rsidR="00CA5F73" w:rsidRPr="00642D47" w:rsidTr="005B51AA">
        <w:trPr>
          <w:trHeight w:val="187"/>
        </w:trPr>
        <w:tc>
          <w:tcPr>
            <w:tcW w:w="850" w:type="dxa"/>
            <w:vMerge/>
            <w:vAlign w:val="center"/>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p>
        </w:tc>
        <w:tc>
          <w:tcPr>
            <w:tcW w:w="3232" w:type="dxa"/>
            <w:vMerge/>
            <w:vAlign w:val="center"/>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p>
        </w:tc>
        <w:tc>
          <w:tcPr>
            <w:tcW w:w="3289" w:type="dxa"/>
          </w:tcPr>
          <w:p w:rsidR="00CA5F73" w:rsidRPr="00642D47" w:rsidRDefault="00CA5F73" w:rsidP="00EA0290">
            <w:pPr>
              <w:pStyle w:val="ListParagraph"/>
              <w:keepNext/>
              <w:keepLines/>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Travel and DSA (30 x </w:t>
            </w:r>
            <w:r w:rsidR="003C5875" w:rsidRPr="00642D47">
              <w:rPr>
                <w:rFonts w:eastAsia="SimSun" w:cs="Calibri"/>
                <w:lang w:eastAsia="zh-CN"/>
              </w:rPr>
              <w:t>$</w:t>
            </w:r>
            <w:r w:rsidRPr="00642D47">
              <w:rPr>
                <w:rFonts w:eastAsia="SimSun" w:cs="Calibri"/>
                <w:lang w:eastAsia="zh-CN"/>
              </w:rPr>
              <w:t>3</w:t>
            </w:r>
            <w:r w:rsidR="003C5875" w:rsidRPr="00642D47">
              <w:rPr>
                <w:rFonts w:eastAsia="SimSun" w:cs="Calibri"/>
                <w:lang w:eastAsia="zh-CN"/>
              </w:rPr>
              <w:t>,</w:t>
            </w:r>
            <w:r w:rsidRPr="00642D47">
              <w:rPr>
                <w:rFonts w:eastAsia="SimSun" w:cs="Calibri"/>
                <w:lang w:eastAsia="zh-CN"/>
              </w:rPr>
              <w:t>000)</w:t>
            </w:r>
          </w:p>
        </w:tc>
        <w:tc>
          <w:tcPr>
            <w:tcW w:w="1134" w:type="dxa"/>
          </w:tcPr>
          <w:p w:rsidR="00CA5F73" w:rsidRPr="00642D47" w:rsidRDefault="00CA5F73" w:rsidP="00642D47">
            <w:pPr>
              <w:pStyle w:val="ListParagraph"/>
              <w:keepNext/>
              <w:keepLines/>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90</w:t>
            </w:r>
            <w:r w:rsidR="00392F22">
              <w:rPr>
                <w:rFonts w:eastAsia="SimSun" w:cs="Calibri"/>
                <w:lang w:eastAsia="zh-CN"/>
              </w:rPr>
              <w:t xml:space="preserve"> </w:t>
            </w:r>
            <w:r w:rsidRPr="00642D47">
              <w:rPr>
                <w:rFonts w:eastAsia="SimSun" w:cs="Calibri"/>
                <w:lang w:eastAsia="zh-CN"/>
              </w:rPr>
              <w:t>000</w:t>
            </w:r>
          </w:p>
        </w:tc>
      </w:tr>
      <w:tr w:rsidR="00CA5F73" w:rsidRPr="00642D47" w:rsidTr="005B51AA">
        <w:tc>
          <w:tcPr>
            <w:tcW w:w="850" w:type="dxa"/>
            <w:vMerge/>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Merge w:val="restart"/>
            <w:vAlign w:val="center"/>
          </w:tcPr>
          <w:p w:rsidR="00CA5F73" w:rsidRPr="00642D47" w:rsidRDefault="00CA5F73"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First author meetings (80</w:t>
            </w:r>
            <w:r w:rsidR="00DC3A31">
              <w:rPr>
                <w:rFonts w:eastAsia="SimSun" w:cs="Calibri"/>
                <w:lang w:eastAsia="zh-CN"/>
              </w:rPr>
              <w:t> </w:t>
            </w:r>
            <w:r w:rsidR="00677290" w:rsidRPr="00642D47">
              <w:rPr>
                <w:rFonts w:eastAsia="SimSun" w:cs="Calibri"/>
                <w:lang w:eastAsia="zh-CN"/>
              </w:rPr>
              <w:t>c</w:t>
            </w:r>
            <w:r w:rsidRPr="00642D47">
              <w:rPr>
                <w:rFonts w:eastAsia="SimSun" w:cs="Calibri"/>
                <w:lang w:eastAsia="zh-CN"/>
              </w:rPr>
              <w:t>o</w:t>
            </w:r>
            <w:r w:rsidR="00677290" w:rsidRPr="00642D47">
              <w:rPr>
                <w:rFonts w:eastAsia="SimSun" w:cs="Calibri"/>
                <w:lang w:eastAsia="zh-CN"/>
              </w:rPr>
              <w:noBreakHyphen/>
              <w:t>c</w:t>
            </w:r>
            <w:r w:rsidRPr="00642D47">
              <w:rPr>
                <w:rFonts w:eastAsia="SimSun" w:cs="Calibri"/>
                <w:lang w:eastAsia="zh-CN"/>
              </w:rPr>
              <w:t xml:space="preserve">hairs, </w:t>
            </w:r>
            <w:r w:rsidR="00DC3A31" w:rsidRPr="00F8033E">
              <w:rPr>
                <w:lang w:val="en-US"/>
              </w:rPr>
              <w:t>coordinating lead authors and lead authors</w:t>
            </w:r>
            <w:r w:rsidR="00DC3A31">
              <w:rPr>
                <w:lang w:val="en-US"/>
              </w:rPr>
              <w:t>,</w:t>
            </w:r>
            <w:r w:rsidR="00DC3A31" w:rsidRPr="00F8033E">
              <w:rPr>
                <w:lang w:val="en-US"/>
              </w:rPr>
              <w:t xml:space="preserve"> </w:t>
            </w:r>
            <w:r w:rsidR="00DC3A31">
              <w:rPr>
                <w:rFonts w:eastAsia="SimSun" w:cs="Calibri"/>
                <w:lang w:eastAsia="zh-CN"/>
              </w:rPr>
              <w:t>plus</w:t>
            </w:r>
            <w:r w:rsidR="00DC3A31" w:rsidRPr="00642D47">
              <w:rPr>
                <w:rFonts w:eastAsia="SimSun" w:cs="Calibri"/>
                <w:lang w:eastAsia="zh-CN"/>
              </w:rPr>
              <w:t xml:space="preserve"> </w:t>
            </w:r>
            <w:r w:rsidRPr="00642D47">
              <w:rPr>
                <w:rFonts w:eastAsia="SimSun" w:cs="Calibri"/>
                <w:lang w:eastAsia="zh-CN"/>
              </w:rPr>
              <w:t xml:space="preserve">4 </w:t>
            </w:r>
            <w:r w:rsidR="00DC3A31">
              <w:rPr>
                <w:rFonts w:eastAsia="SimSun" w:cs="Calibri"/>
                <w:lang w:eastAsia="zh-CN"/>
              </w:rPr>
              <w:t>Panel</w:t>
            </w:r>
            <w:r w:rsidRPr="00642D47">
              <w:rPr>
                <w:rFonts w:eastAsia="SimSun" w:cs="Calibri"/>
                <w:lang w:eastAsia="zh-CN"/>
              </w:rPr>
              <w:t>/Bureau</w:t>
            </w:r>
            <w:r w:rsidR="00DC3A31">
              <w:rPr>
                <w:rFonts w:eastAsia="SimSun" w:cs="Calibri"/>
                <w:lang w:eastAsia="zh-CN"/>
              </w:rPr>
              <w:t xml:space="preserve"> members, plus </w:t>
            </w:r>
            <w:r w:rsidRPr="00642D47">
              <w:rPr>
                <w:rFonts w:eastAsia="SimSun" w:cs="Calibri"/>
                <w:lang w:eastAsia="zh-CN"/>
              </w:rPr>
              <w:t>1 technical support staff</w:t>
            </w:r>
            <w:r w:rsidR="00DC3A31">
              <w:rPr>
                <w:rFonts w:eastAsia="SimSun" w:cs="Calibri"/>
                <w:lang w:eastAsia="zh-CN"/>
              </w:rPr>
              <w:t xml:space="preserve"> member</w:t>
            </w:r>
            <w:r w:rsidRPr="00642D47">
              <w:rPr>
                <w:rFonts w:eastAsia="SimSun" w:cs="Calibri"/>
                <w:lang w:eastAsia="zh-CN"/>
              </w:rPr>
              <w:t>)</w:t>
            </w:r>
          </w:p>
        </w:tc>
        <w:tc>
          <w:tcPr>
            <w:tcW w:w="3289" w:type="dxa"/>
          </w:tcPr>
          <w:p w:rsidR="00CA5F73" w:rsidRPr="00642D47" w:rsidRDefault="00CA5F73"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Meeting costs (1 week, 85 participants) (25</w:t>
            </w:r>
            <w:r w:rsidR="00677290" w:rsidRPr="00642D47">
              <w:rPr>
                <w:rFonts w:eastAsia="SimSun" w:cs="Calibri"/>
                <w:lang w:eastAsia="zh-CN"/>
              </w:rPr>
              <w:t xml:space="preserve"> per cent</w:t>
            </w:r>
            <w:r w:rsidRPr="00642D47">
              <w:rPr>
                <w:rFonts w:eastAsia="SimSun" w:cs="Calibri"/>
                <w:lang w:eastAsia="zh-CN"/>
              </w:rPr>
              <w:t xml:space="preserve"> in</w:t>
            </w:r>
            <w:r w:rsidR="00252DCF" w:rsidRPr="00642D47">
              <w:rPr>
                <w:rFonts w:eastAsia="SimSun" w:cs="Calibri"/>
                <w:lang w:eastAsia="zh-CN"/>
              </w:rPr>
              <w:t xml:space="preserve"> </w:t>
            </w:r>
            <w:r w:rsidRPr="00642D47">
              <w:rPr>
                <w:rFonts w:eastAsia="SimSun" w:cs="Calibri"/>
                <w:lang w:eastAsia="zh-CN"/>
              </w:rPr>
              <w:t>kind)</w:t>
            </w:r>
          </w:p>
        </w:tc>
        <w:tc>
          <w:tcPr>
            <w:tcW w:w="1134" w:type="dxa"/>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15</w:t>
            </w:r>
            <w:r w:rsidR="00392F22">
              <w:rPr>
                <w:rFonts w:eastAsia="SimSun" w:cs="Calibri"/>
                <w:lang w:eastAsia="zh-CN"/>
              </w:rPr>
              <w:t xml:space="preserve"> </w:t>
            </w:r>
            <w:r w:rsidRPr="00642D47">
              <w:rPr>
                <w:rFonts w:eastAsia="SimSun" w:cs="Calibri"/>
                <w:lang w:eastAsia="zh-CN"/>
              </w:rPr>
              <w:t>000</w:t>
            </w:r>
          </w:p>
        </w:tc>
      </w:tr>
      <w:tr w:rsidR="00CA5F73" w:rsidRPr="00642D47" w:rsidTr="005B51AA">
        <w:trPr>
          <w:trHeight w:val="339"/>
        </w:trPr>
        <w:tc>
          <w:tcPr>
            <w:tcW w:w="850" w:type="dxa"/>
            <w:vMerge/>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Merge/>
            <w:tcBorders>
              <w:bottom w:val="single" w:sz="4" w:space="0" w:color="auto"/>
            </w:tcBorders>
            <w:vAlign w:val="center"/>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89" w:type="dxa"/>
            <w:tcBorders>
              <w:bottom w:val="single" w:sz="4" w:space="0" w:color="auto"/>
            </w:tcBorders>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Travel and DSA (64 x </w:t>
            </w:r>
            <w:r w:rsidR="00252DCF" w:rsidRPr="00642D47">
              <w:rPr>
                <w:rFonts w:eastAsia="SimSun" w:cs="Calibri"/>
                <w:lang w:eastAsia="zh-CN"/>
              </w:rPr>
              <w:t>$</w:t>
            </w:r>
            <w:r w:rsidRPr="00642D47">
              <w:rPr>
                <w:rFonts w:eastAsia="SimSun" w:cs="Calibri"/>
                <w:lang w:eastAsia="zh-CN"/>
              </w:rPr>
              <w:t>3</w:t>
            </w:r>
            <w:r w:rsidR="00252DCF" w:rsidRPr="00642D47">
              <w:rPr>
                <w:rFonts w:eastAsia="SimSun" w:cs="Calibri"/>
                <w:lang w:eastAsia="zh-CN"/>
              </w:rPr>
              <w:t>,</w:t>
            </w:r>
            <w:r w:rsidRPr="00642D47">
              <w:rPr>
                <w:rFonts w:eastAsia="SimSun" w:cs="Calibri"/>
                <w:lang w:eastAsia="zh-CN"/>
              </w:rPr>
              <w:t>000)</w:t>
            </w:r>
          </w:p>
        </w:tc>
        <w:tc>
          <w:tcPr>
            <w:tcW w:w="1134" w:type="dxa"/>
            <w:tcBorders>
              <w:bottom w:val="single" w:sz="4" w:space="0" w:color="auto"/>
            </w:tcBorders>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192</w:t>
            </w:r>
            <w:r w:rsidR="00392F22">
              <w:rPr>
                <w:rFonts w:eastAsia="SimSun" w:cs="Calibri"/>
                <w:lang w:eastAsia="zh-CN"/>
              </w:rPr>
              <w:t xml:space="preserve"> </w:t>
            </w:r>
            <w:r w:rsidRPr="00642D47">
              <w:rPr>
                <w:rFonts w:eastAsia="SimSun" w:cs="Calibri"/>
                <w:lang w:eastAsia="zh-CN"/>
              </w:rPr>
              <w:t>000</w:t>
            </w:r>
          </w:p>
        </w:tc>
      </w:tr>
      <w:tr w:rsidR="00CA5F73" w:rsidRPr="00642D47" w:rsidTr="005B51AA">
        <w:trPr>
          <w:trHeight w:val="361"/>
        </w:trPr>
        <w:tc>
          <w:tcPr>
            <w:tcW w:w="850" w:type="dxa"/>
            <w:vMerge/>
            <w:tcBorders>
              <w:bottom w:val="single" w:sz="4" w:space="0" w:color="auto"/>
            </w:tcBorders>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Align w:val="center"/>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Technical support</w:t>
            </w:r>
          </w:p>
        </w:tc>
        <w:tc>
          <w:tcPr>
            <w:tcW w:w="3289" w:type="dxa"/>
          </w:tcPr>
          <w:p w:rsidR="00CA5F73" w:rsidRPr="00642D47" w:rsidRDefault="00CA5F73" w:rsidP="00642D47">
            <w:pPr>
              <w:pStyle w:val="ListParagraph"/>
              <w:tabs>
                <w:tab w:val="left" w:pos="426"/>
              </w:tabs>
              <w:autoSpaceDE w:val="0"/>
              <w:autoSpaceDN w:val="0"/>
              <w:adjustRightInd w:val="0"/>
              <w:spacing w:before="60" w:after="60"/>
              <w:ind w:left="0"/>
              <w:rPr>
                <w:rFonts w:eastAsia="SimSun" w:cs="Calibri"/>
                <w:lang w:eastAsia="zh-CN"/>
              </w:rPr>
            </w:pPr>
            <w:r w:rsidRPr="00642D47">
              <w:rPr>
                <w:rFonts w:eastAsia="SimSun" w:cs="Calibri"/>
                <w:lang w:eastAsia="zh-CN"/>
              </w:rPr>
              <w:t xml:space="preserve">1 </w:t>
            </w:r>
            <w:r w:rsidR="00252DCF" w:rsidRPr="00642D47">
              <w:rPr>
                <w:rFonts w:eastAsia="SimSun" w:cs="Calibri"/>
                <w:lang w:eastAsia="zh-CN"/>
              </w:rPr>
              <w:t>full-time equivalent</w:t>
            </w:r>
            <w:r w:rsidRPr="00642D47">
              <w:rPr>
                <w:rFonts w:eastAsia="SimSun" w:cs="Calibri"/>
                <w:lang w:eastAsia="zh-CN"/>
              </w:rPr>
              <w:t xml:space="preserve"> professional position (50</w:t>
            </w:r>
            <w:r w:rsidR="00252DCF" w:rsidRPr="00642D47">
              <w:rPr>
                <w:rFonts w:eastAsia="SimSun" w:cs="Calibri"/>
                <w:lang w:eastAsia="zh-CN"/>
              </w:rPr>
              <w:t xml:space="preserve"> per cent</w:t>
            </w:r>
            <w:r w:rsidRPr="00642D47">
              <w:rPr>
                <w:rFonts w:eastAsia="SimSun" w:cs="Calibri"/>
                <w:lang w:eastAsia="zh-CN"/>
              </w:rPr>
              <w:t xml:space="preserve"> in</w:t>
            </w:r>
            <w:r w:rsidR="00DC3A31">
              <w:rPr>
                <w:rFonts w:eastAsia="SimSun" w:cs="Calibri"/>
                <w:lang w:eastAsia="zh-CN"/>
              </w:rPr>
              <w:t xml:space="preserve"> </w:t>
            </w:r>
            <w:r w:rsidRPr="00642D47">
              <w:rPr>
                <w:rFonts w:eastAsia="SimSun" w:cs="Calibri"/>
                <w:lang w:eastAsia="zh-CN"/>
              </w:rPr>
              <w:t>kind)</w:t>
            </w:r>
          </w:p>
        </w:tc>
        <w:tc>
          <w:tcPr>
            <w:tcW w:w="1134" w:type="dxa"/>
            <w:tcBorders>
              <w:bottom w:val="single" w:sz="4" w:space="0" w:color="auto"/>
            </w:tcBorders>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75</w:t>
            </w:r>
            <w:r w:rsidR="00392F22">
              <w:rPr>
                <w:rFonts w:eastAsia="SimSun" w:cs="Calibri"/>
                <w:lang w:eastAsia="zh-CN"/>
              </w:rPr>
              <w:t xml:space="preserve"> </w:t>
            </w:r>
            <w:r w:rsidRPr="00642D47">
              <w:rPr>
                <w:rFonts w:eastAsia="SimSun" w:cs="Calibri"/>
                <w:lang w:eastAsia="zh-CN"/>
              </w:rPr>
              <w:t>000</w:t>
            </w:r>
          </w:p>
        </w:tc>
      </w:tr>
      <w:tr w:rsidR="00CA5F73" w:rsidRPr="00642D47" w:rsidTr="005B51AA">
        <w:tc>
          <w:tcPr>
            <w:tcW w:w="850" w:type="dxa"/>
            <w:vMerge w:val="restart"/>
            <w:vAlign w:val="center"/>
          </w:tcPr>
          <w:p w:rsidR="00CA5F73" w:rsidRPr="00642D47" w:rsidRDefault="00CA5F73" w:rsidP="00563241">
            <w:pPr>
              <w:pStyle w:val="ListParagraph"/>
              <w:tabs>
                <w:tab w:val="left" w:pos="426"/>
              </w:tabs>
              <w:autoSpaceDE w:val="0"/>
              <w:autoSpaceDN w:val="0"/>
              <w:adjustRightInd w:val="0"/>
              <w:spacing w:before="60" w:after="60"/>
              <w:ind w:left="0"/>
              <w:rPr>
                <w:rFonts w:eastAsia="SimSun" w:cs="Calibri"/>
                <w:lang w:eastAsia="zh-CN"/>
              </w:rPr>
            </w:pPr>
            <w:r w:rsidRPr="00642D47">
              <w:rPr>
                <w:rFonts w:eastAsia="SimSun" w:cs="Calibri"/>
                <w:lang w:eastAsia="zh-CN"/>
              </w:rPr>
              <w:t>2015</w:t>
            </w:r>
          </w:p>
        </w:tc>
        <w:tc>
          <w:tcPr>
            <w:tcW w:w="3232" w:type="dxa"/>
            <w:vMerge w:val="restart"/>
            <w:vAlign w:val="center"/>
          </w:tcPr>
          <w:p w:rsidR="00CA5F73" w:rsidRPr="00642D47" w:rsidRDefault="00CA5F73" w:rsidP="00642D47">
            <w:pPr>
              <w:pStyle w:val="ListParagraph"/>
              <w:tabs>
                <w:tab w:val="left" w:pos="426"/>
              </w:tabs>
              <w:autoSpaceDE w:val="0"/>
              <w:autoSpaceDN w:val="0"/>
              <w:adjustRightInd w:val="0"/>
              <w:spacing w:before="60" w:after="60" w:line="240" w:lineRule="auto"/>
              <w:ind w:left="0"/>
              <w:contextualSpacing w:val="0"/>
              <w:rPr>
                <w:rFonts w:eastAsia="SimSun" w:cs="Calibri"/>
                <w:lang w:eastAsia="zh-CN"/>
              </w:rPr>
            </w:pPr>
            <w:r w:rsidRPr="00642D47">
              <w:rPr>
                <w:rFonts w:eastAsia="SimSun" w:cs="Calibri"/>
                <w:lang w:eastAsia="zh-CN"/>
              </w:rPr>
              <w:t>Second author meetings (80</w:t>
            </w:r>
            <w:r w:rsidR="00DC3A31">
              <w:rPr>
                <w:rFonts w:eastAsia="SimSun" w:cs="Calibri"/>
                <w:lang w:eastAsia="zh-CN"/>
              </w:rPr>
              <w:t> </w:t>
            </w:r>
            <w:r w:rsidR="00677290" w:rsidRPr="00642D47">
              <w:rPr>
                <w:rFonts w:eastAsia="SimSun" w:cs="Calibri"/>
                <w:lang w:eastAsia="zh-CN"/>
              </w:rPr>
              <w:t>c</w:t>
            </w:r>
            <w:r w:rsidRPr="00642D47">
              <w:rPr>
                <w:rFonts w:eastAsia="SimSun" w:cs="Calibri"/>
                <w:lang w:eastAsia="zh-CN"/>
              </w:rPr>
              <w:t>o</w:t>
            </w:r>
            <w:r w:rsidR="00677290" w:rsidRPr="00642D47">
              <w:rPr>
                <w:rFonts w:eastAsia="SimSun" w:cs="Calibri"/>
                <w:lang w:eastAsia="zh-CN"/>
              </w:rPr>
              <w:noBreakHyphen/>
              <w:t>c</w:t>
            </w:r>
            <w:r w:rsidRPr="00642D47">
              <w:rPr>
                <w:rFonts w:eastAsia="SimSun" w:cs="Calibri"/>
                <w:lang w:eastAsia="zh-CN"/>
              </w:rPr>
              <w:t xml:space="preserve">hairs, </w:t>
            </w:r>
            <w:r w:rsidR="00DC3A31" w:rsidRPr="00F8033E">
              <w:rPr>
                <w:lang w:val="en-US"/>
              </w:rPr>
              <w:t>coordinating lead authors and lead authors</w:t>
            </w:r>
            <w:r w:rsidR="00DC3A31">
              <w:rPr>
                <w:lang w:val="en-US"/>
              </w:rPr>
              <w:t>,</w:t>
            </w:r>
            <w:r w:rsidR="00DC3A31" w:rsidRPr="00F8033E">
              <w:rPr>
                <w:lang w:val="en-US"/>
              </w:rPr>
              <w:t xml:space="preserve"> </w:t>
            </w:r>
            <w:r w:rsidR="00DC3A31">
              <w:rPr>
                <w:rFonts w:eastAsia="SimSun" w:cs="Calibri"/>
                <w:lang w:eastAsia="zh-CN"/>
              </w:rPr>
              <w:t>plus</w:t>
            </w:r>
            <w:r w:rsidR="00991011">
              <w:rPr>
                <w:rFonts w:eastAsia="SimSun" w:cs="Calibri"/>
                <w:lang w:eastAsia="zh-CN"/>
              </w:rPr>
              <w:t xml:space="preserve"> </w:t>
            </w:r>
            <w:r w:rsidRPr="00642D47">
              <w:rPr>
                <w:rFonts w:eastAsia="SimSun" w:cs="Calibri"/>
                <w:lang w:eastAsia="zh-CN"/>
              </w:rPr>
              <w:t xml:space="preserve">16 </w:t>
            </w:r>
            <w:r w:rsidR="00DC3A31">
              <w:rPr>
                <w:rFonts w:eastAsia="SimSun" w:cs="Calibri"/>
                <w:lang w:eastAsia="zh-CN"/>
              </w:rPr>
              <w:t>review editors, plus</w:t>
            </w:r>
            <w:r w:rsidRPr="00642D47">
              <w:rPr>
                <w:rFonts w:eastAsia="SimSun" w:cs="Calibri"/>
                <w:lang w:eastAsia="zh-CN"/>
              </w:rPr>
              <w:t xml:space="preserve"> 4</w:t>
            </w:r>
            <w:r w:rsidR="00991011">
              <w:rPr>
                <w:rFonts w:eastAsia="SimSun" w:cs="Calibri"/>
                <w:lang w:eastAsia="zh-CN"/>
              </w:rPr>
              <w:t> </w:t>
            </w:r>
            <w:r w:rsidR="00DC3A31">
              <w:rPr>
                <w:rFonts w:eastAsia="SimSun" w:cs="Calibri"/>
                <w:lang w:eastAsia="zh-CN"/>
              </w:rPr>
              <w:t>Panel</w:t>
            </w:r>
            <w:r w:rsidRPr="00642D47">
              <w:rPr>
                <w:rFonts w:eastAsia="SimSun" w:cs="Calibri"/>
                <w:lang w:eastAsia="zh-CN"/>
              </w:rPr>
              <w:t>/Bureau</w:t>
            </w:r>
            <w:r w:rsidR="00DC3A31">
              <w:rPr>
                <w:rFonts w:eastAsia="SimSun" w:cs="Calibri"/>
                <w:lang w:eastAsia="zh-CN"/>
              </w:rPr>
              <w:t xml:space="preserve"> members, plus </w:t>
            </w:r>
            <w:r w:rsidRPr="00642D47">
              <w:rPr>
                <w:rFonts w:eastAsia="SimSun" w:cs="Calibri"/>
                <w:lang w:eastAsia="zh-CN"/>
              </w:rPr>
              <w:t>1 technical support staff</w:t>
            </w:r>
            <w:r w:rsidR="00DC3A31">
              <w:rPr>
                <w:rFonts w:eastAsia="SimSun" w:cs="Calibri"/>
                <w:lang w:eastAsia="zh-CN"/>
              </w:rPr>
              <w:t xml:space="preserve"> member</w:t>
            </w:r>
            <w:r w:rsidRPr="00642D47">
              <w:rPr>
                <w:rFonts w:eastAsia="SimSun" w:cs="Calibri"/>
                <w:lang w:eastAsia="zh-CN"/>
              </w:rPr>
              <w:t>)</w:t>
            </w:r>
          </w:p>
        </w:tc>
        <w:tc>
          <w:tcPr>
            <w:tcW w:w="3289" w:type="dxa"/>
          </w:tcPr>
          <w:p w:rsidR="00CA5F73" w:rsidRPr="00642D47" w:rsidRDefault="00CA5F73"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Meeting costs (1 week, 101 participants) (25</w:t>
            </w:r>
            <w:r w:rsidR="00252DCF" w:rsidRPr="00642D47">
              <w:rPr>
                <w:rFonts w:eastAsia="SimSun" w:cs="Calibri"/>
                <w:lang w:eastAsia="zh-CN"/>
              </w:rPr>
              <w:t xml:space="preserve"> per cent</w:t>
            </w:r>
            <w:r w:rsidRPr="00642D47">
              <w:rPr>
                <w:rFonts w:eastAsia="SimSun" w:cs="Calibri"/>
                <w:lang w:eastAsia="zh-CN"/>
              </w:rPr>
              <w:t xml:space="preserve"> in</w:t>
            </w:r>
            <w:r w:rsidR="00252DCF" w:rsidRPr="00642D47">
              <w:rPr>
                <w:rFonts w:eastAsia="SimSun" w:cs="Calibri"/>
                <w:lang w:eastAsia="zh-CN"/>
              </w:rPr>
              <w:t xml:space="preserve"> </w:t>
            </w:r>
            <w:r w:rsidRPr="00642D47">
              <w:rPr>
                <w:rFonts w:eastAsia="SimSun" w:cs="Calibri"/>
                <w:lang w:eastAsia="zh-CN"/>
              </w:rPr>
              <w:t>kind)</w:t>
            </w:r>
          </w:p>
        </w:tc>
        <w:tc>
          <w:tcPr>
            <w:tcW w:w="1134" w:type="dxa"/>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18</w:t>
            </w:r>
            <w:r w:rsidR="00392F22">
              <w:rPr>
                <w:rFonts w:eastAsia="SimSun" w:cs="Calibri"/>
                <w:lang w:eastAsia="zh-CN"/>
              </w:rPr>
              <w:t xml:space="preserve"> </w:t>
            </w:r>
            <w:r w:rsidRPr="00642D47">
              <w:rPr>
                <w:rFonts w:eastAsia="SimSun" w:cs="Calibri"/>
                <w:lang w:eastAsia="zh-CN"/>
              </w:rPr>
              <w:t>750</w:t>
            </w:r>
          </w:p>
        </w:tc>
      </w:tr>
      <w:tr w:rsidR="00CA5F73" w:rsidRPr="00642D47" w:rsidTr="005B51AA">
        <w:trPr>
          <w:trHeight w:val="361"/>
        </w:trPr>
        <w:tc>
          <w:tcPr>
            <w:tcW w:w="850" w:type="dxa"/>
            <w:vMerge/>
            <w:vAlign w:val="center"/>
          </w:tcPr>
          <w:p w:rsidR="00CA5F73" w:rsidRPr="00642D47" w:rsidRDefault="00CA5F73" w:rsidP="00563241">
            <w:pPr>
              <w:pStyle w:val="ListParagraph"/>
              <w:tabs>
                <w:tab w:val="left" w:pos="426"/>
              </w:tabs>
              <w:autoSpaceDE w:val="0"/>
              <w:autoSpaceDN w:val="0"/>
              <w:adjustRightInd w:val="0"/>
              <w:spacing w:before="60" w:after="60"/>
              <w:ind w:left="0"/>
              <w:rPr>
                <w:rFonts w:eastAsia="SimSun" w:cs="Calibri"/>
                <w:lang w:eastAsia="zh-CN"/>
              </w:rPr>
            </w:pPr>
          </w:p>
        </w:tc>
        <w:tc>
          <w:tcPr>
            <w:tcW w:w="3232" w:type="dxa"/>
            <w:vMerge/>
            <w:tcBorders>
              <w:bottom w:val="single" w:sz="4" w:space="0" w:color="auto"/>
            </w:tcBorders>
            <w:vAlign w:val="center"/>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89" w:type="dxa"/>
            <w:tcBorders>
              <w:bottom w:val="single" w:sz="4" w:space="0" w:color="auto"/>
            </w:tcBorders>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Travel and DSA (75 x </w:t>
            </w:r>
            <w:r w:rsidR="00252DCF" w:rsidRPr="00642D47">
              <w:rPr>
                <w:rFonts w:eastAsia="SimSun" w:cs="Calibri"/>
                <w:lang w:eastAsia="zh-CN"/>
              </w:rPr>
              <w:t>$</w:t>
            </w:r>
            <w:r w:rsidRPr="00642D47">
              <w:rPr>
                <w:rFonts w:eastAsia="SimSun" w:cs="Calibri"/>
                <w:lang w:eastAsia="zh-CN"/>
              </w:rPr>
              <w:t>3</w:t>
            </w:r>
            <w:r w:rsidR="00252DCF" w:rsidRPr="00642D47">
              <w:rPr>
                <w:rFonts w:eastAsia="SimSun" w:cs="Calibri"/>
                <w:lang w:eastAsia="zh-CN"/>
              </w:rPr>
              <w:t>,</w:t>
            </w:r>
            <w:r w:rsidRPr="00642D47">
              <w:rPr>
                <w:rFonts w:eastAsia="SimSun" w:cs="Calibri"/>
                <w:lang w:eastAsia="zh-CN"/>
              </w:rPr>
              <w:t>000)</w:t>
            </w:r>
          </w:p>
        </w:tc>
        <w:tc>
          <w:tcPr>
            <w:tcW w:w="1134" w:type="dxa"/>
            <w:tcBorders>
              <w:bottom w:val="single" w:sz="4" w:space="0" w:color="auto"/>
            </w:tcBorders>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225</w:t>
            </w:r>
            <w:r w:rsidR="00392F22">
              <w:rPr>
                <w:rFonts w:eastAsia="SimSun" w:cs="Calibri"/>
                <w:lang w:eastAsia="zh-CN"/>
              </w:rPr>
              <w:t xml:space="preserve"> </w:t>
            </w:r>
            <w:r w:rsidRPr="00642D47">
              <w:rPr>
                <w:rFonts w:eastAsia="SimSun" w:cs="Calibri"/>
                <w:lang w:eastAsia="zh-CN"/>
              </w:rPr>
              <w:t>000</w:t>
            </w:r>
          </w:p>
        </w:tc>
      </w:tr>
      <w:tr w:rsidR="00CA5F73" w:rsidRPr="00642D47" w:rsidTr="005B51AA">
        <w:tc>
          <w:tcPr>
            <w:tcW w:w="850" w:type="dxa"/>
            <w:vMerge/>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Merge w:val="restart"/>
            <w:vAlign w:val="center"/>
          </w:tcPr>
          <w:p w:rsidR="00CA5F73" w:rsidRPr="00642D47" w:rsidRDefault="00CA5F73"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Third author meetings (80</w:t>
            </w:r>
            <w:r w:rsidR="00DC3A31">
              <w:rPr>
                <w:rFonts w:eastAsia="SimSun" w:cs="Calibri"/>
                <w:lang w:eastAsia="zh-CN"/>
              </w:rPr>
              <w:t> </w:t>
            </w:r>
            <w:r w:rsidR="00677290" w:rsidRPr="00642D47">
              <w:rPr>
                <w:rFonts w:eastAsia="SimSun" w:cs="Calibri"/>
                <w:lang w:eastAsia="zh-CN"/>
              </w:rPr>
              <w:t>c</w:t>
            </w:r>
            <w:r w:rsidRPr="00642D47">
              <w:rPr>
                <w:rFonts w:eastAsia="SimSun" w:cs="Calibri"/>
                <w:lang w:eastAsia="zh-CN"/>
              </w:rPr>
              <w:t>o</w:t>
            </w:r>
            <w:r w:rsidR="00677290" w:rsidRPr="00642D47">
              <w:rPr>
                <w:rFonts w:eastAsia="SimSun" w:cs="Calibri"/>
                <w:lang w:eastAsia="zh-CN"/>
              </w:rPr>
              <w:noBreakHyphen/>
              <w:t>c</w:t>
            </w:r>
            <w:r w:rsidRPr="00642D47">
              <w:rPr>
                <w:rFonts w:eastAsia="SimSun" w:cs="Calibri"/>
                <w:lang w:eastAsia="zh-CN"/>
              </w:rPr>
              <w:t xml:space="preserve">hairs, </w:t>
            </w:r>
            <w:r w:rsidR="00DC3A31" w:rsidRPr="00F8033E">
              <w:rPr>
                <w:lang w:val="en-US"/>
              </w:rPr>
              <w:t>coordinating lead authors and lead authors</w:t>
            </w:r>
            <w:r w:rsidR="00DC3A31">
              <w:rPr>
                <w:lang w:val="en-US"/>
              </w:rPr>
              <w:t>,</w:t>
            </w:r>
            <w:r w:rsidR="00DC3A31" w:rsidRPr="00F8033E">
              <w:rPr>
                <w:lang w:val="en-US"/>
              </w:rPr>
              <w:t xml:space="preserve"> </w:t>
            </w:r>
            <w:r w:rsidR="00DC3A31">
              <w:rPr>
                <w:rFonts w:eastAsia="SimSun" w:cs="Calibri"/>
                <w:lang w:eastAsia="zh-CN"/>
              </w:rPr>
              <w:t>plus</w:t>
            </w:r>
            <w:r w:rsidR="00991011">
              <w:rPr>
                <w:rFonts w:eastAsia="SimSun" w:cs="Calibri"/>
                <w:lang w:eastAsia="zh-CN"/>
              </w:rPr>
              <w:t xml:space="preserve"> </w:t>
            </w:r>
            <w:r w:rsidRPr="00642D47">
              <w:rPr>
                <w:rFonts w:eastAsia="SimSun" w:cs="Calibri"/>
                <w:lang w:eastAsia="zh-CN"/>
              </w:rPr>
              <w:t xml:space="preserve">16 </w:t>
            </w:r>
            <w:r w:rsidR="00DC3A31">
              <w:rPr>
                <w:rFonts w:eastAsia="SimSun" w:cs="Calibri"/>
                <w:lang w:eastAsia="zh-CN"/>
              </w:rPr>
              <w:t>review editors, plus</w:t>
            </w:r>
            <w:r w:rsidRPr="00642D47">
              <w:rPr>
                <w:rFonts w:eastAsia="SimSun" w:cs="Calibri"/>
                <w:lang w:eastAsia="zh-CN"/>
              </w:rPr>
              <w:t xml:space="preserve"> 4</w:t>
            </w:r>
            <w:r w:rsidR="00991011">
              <w:rPr>
                <w:rFonts w:eastAsia="SimSun" w:cs="Calibri"/>
                <w:lang w:eastAsia="zh-CN"/>
              </w:rPr>
              <w:t> </w:t>
            </w:r>
            <w:r w:rsidR="00DC3A31">
              <w:rPr>
                <w:rFonts w:eastAsia="SimSun" w:cs="Calibri"/>
                <w:lang w:eastAsia="zh-CN"/>
              </w:rPr>
              <w:t>Panel</w:t>
            </w:r>
            <w:r w:rsidRPr="00642D47">
              <w:rPr>
                <w:rFonts w:eastAsia="SimSun" w:cs="Calibri"/>
                <w:lang w:eastAsia="zh-CN"/>
              </w:rPr>
              <w:t>/Bureau</w:t>
            </w:r>
            <w:r w:rsidR="00DC3A31">
              <w:rPr>
                <w:rFonts w:eastAsia="SimSun" w:cs="Calibri"/>
                <w:lang w:eastAsia="zh-CN"/>
              </w:rPr>
              <w:t xml:space="preserve"> members, plus </w:t>
            </w:r>
            <w:r w:rsidRPr="00642D47">
              <w:rPr>
                <w:rFonts w:eastAsia="SimSun" w:cs="Calibri"/>
                <w:lang w:eastAsia="zh-CN"/>
              </w:rPr>
              <w:t>1 technical support staff</w:t>
            </w:r>
            <w:r w:rsidR="00DC3A31">
              <w:rPr>
                <w:rFonts w:eastAsia="SimSun" w:cs="Calibri"/>
                <w:lang w:eastAsia="zh-CN"/>
              </w:rPr>
              <w:t xml:space="preserve"> member</w:t>
            </w:r>
            <w:r w:rsidRPr="00642D47">
              <w:rPr>
                <w:rFonts w:eastAsia="SimSun" w:cs="Calibri"/>
                <w:lang w:eastAsia="zh-CN"/>
              </w:rPr>
              <w:t>)</w:t>
            </w:r>
          </w:p>
        </w:tc>
        <w:tc>
          <w:tcPr>
            <w:tcW w:w="3289" w:type="dxa"/>
          </w:tcPr>
          <w:p w:rsidR="00CA5F73" w:rsidRPr="00642D47" w:rsidRDefault="00CA5F73"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Meeting costs (1 week, 101 participants) (25</w:t>
            </w:r>
            <w:r w:rsidR="00252DCF" w:rsidRPr="00642D47">
              <w:rPr>
                <w:rFonts w:eastAsia="SimSun" w:cs="Calibri"/>
                <w:lang w:eastAsia="zh-CN"/>
              </w:rPr>
              <w:t xml:space="preserve"> per cent</w:t>
            </w:r>
            <w:r w:rsidRPr="00642D47">
              <w:rPr>
                <w:rFonts w:eastAsia="SimSun" w:cs="Calibri"/>
                <w:lang w:eastAsia="zh-CN"/>
              </w:rPr>
              <w:t xml:space="preserve"> in</w:t>
            </w:r>
            <w:r w:rsidR="00252DCF" w:rsidRPr="00642D47">
              <w:rPr>
                <w:rFonts w:eastAsia="SimSun" w:cs="Calibri"/>
                <w:lang w:eastAsia="zh-CN"/>
              </w:rPr>
              <w:t xml:space="preserve"> </w:t>
            </w:r>
            <w:r w:rsidRPr="00642D47">
              <w:rPr>
                <w:rFonts w:eastAsia="SimSun" w:cs="Calibri"/>
                <w:lang w:eastAsia="zh-CN"/>
              </w:rPr>
              <w:t>kind)</w:t>
            </w:r>
          </w:p>
        </w:tc>
        <w:tc>
          <w:tcPr>
            <w:tcW w:w="1134" w:type="dxa"/>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18</w:t>
            </w:r>
            <w:r w:rsidR="00392F22">
              <w:rPr>
                <w:rFonts w:eastAsia="SimSun" w:cs="Calibri"/>
                <w:lang w:eastAsia="zh-CN"/>
              </w:rPr>
              <w:t xml:space="preserve"> </w:t>
            </w:r>
            <w:r w:rsidRPr="00642D47">
              <w:rPr>
                <w:rFonts w:eastAsia="SimSun" w:cs="Calibri"/>
                <w:lang w:eastAsia="zh-CN"/>
              </w:rPr>
              <w:t>750</w:t>
            </w:r>
          </w:p>
        </w:tc>
      </w:tr>
      <w:tr w:rsidR="00CA5F73" w:rsidRPr="00642D47" w:rsidTr="005B51AA">
        <w:trPr>
          <w:trHeight w:val="339"/>
        </w:trPr>
        <w:tc>
          <w:tcPr>
            <w:tcW w:w="850" w:type="dxa"/>
            <w:vMerge/>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Merge/>
            <w:tcBorders>
              <w:bottom w:val="single" w:sz="4" w:space="0" w:color="auto"/>
            </w:tcBorders>
            <w:vAlign w:val="center"/>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89" w:type="dxa"/>
            <w:tcBorders>
              <w:bottom w:val="single" w:sz="4" w:space="0" w:color="auto"/>
            </w:tcBorders>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Travel and DSA (75 x </w:t>
            </w:r>
            <w:r w:rsidR="00252DCF" w:rsidRPr="00642D47">
              <w:rPr>
                <w:rFonts w:eastAsia="SimSun" w:cs="Calibri"/>
                <w:lang w:eastAsia="zh-CN"/>
              </w:rPr>
              <w:t>$</w:t>
            </w:r>
            <w:r w:rsidRPr="00642D47">
              <w:rPr>
                <w:rFonts w:eastAsia="SimSun" w:cs="Calibri"/>
                <w:lang w:eastAsia="zh-CN"/>
              </w:rPr>
              <w:t>3</w:t>
            </w:r>
            <w:r w:rsidR="00252DCF" w:rsidRPr="00642D47">
              <w:rPr>
                <w:rFonts w:eastAsia="SimSun" w:cs="Calibri"/>
                <w:lang w:eastAsia="zh-CN"/>
              </w:rPr>
              <w:t>,</w:t>
            </w:r>
            <w:r w:rsidRPr="00642D47">
              <w:rPr>
                <w:rFonts w:eastAsia="SimSun" w:cs="Calibri"/>
                <w:lang w:eastAsia="zh-CN"/>
              </w:rPr>
              <w:t>000)</w:t>
            </w:r>
          </w:p>
        </w:tc>
        <w:tc>
          <w:tcPr>
            <w:tcW w:w="1134" w:type="dxa"/>
            <w:tcBorders>
              <w:bottom w:val="single" w:sz="4" w:space="0" w:color="auto"/>
            </w:tcBorders>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225</w:t>
            </w:r>
            <w:r w:rsidR="00392F22">
              <w:rPr>
                <w:rFonts w:eastAsia="SimSun" w:cs="Calibri"/>
                <w:lang w:eastAsia="zh-CN"/>
              </w:rPr>
              <w:t xml:space="preserve"> </w:t>
            </w:r>
            <w:r w:rsidRPr="00642D47">
              <w:rPr>
                <w:rFonts w:eastAsia="SimSun" w:cs="Calibri"/>
                <w:lang w:eastAsia="zh-CN"/>
              </w:rPr>
              <w:t>000</w:t>
            </w:r>
          </w:p>
        </w:tc>
      </w:tr>
      <w:tr w:rsidR="00CA5F73" w:rsidRPr="00642D47" w:rsidTr="005B51AA">
        <w:trPr>
          <w:trHeight w:val="361"/>
        </w:trPr>
        <w:tc>
          <w:tcPr>
            <w:tcW w:w="850" w:type="dxa"/>
            <w:vMerge/>
            <w:tcBorders>
              <w:bottom w:val="single" w:sz="4" w:space="0" w:color="auto"/>
            </w:tcBorders>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vAlign w:val="center"/>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Technical support</w:t>
            </w:r>
          </w:p>
        </w:tc>
        <w:tc>
          <w:tcPr>
            <w:tcW w:w="3289" w:type="dxa"/>
          </w:tcPr>
          <w:p w:rsidR="00CA5F73" w:rsidRPr="00642D47" w:rsidRDefault="00CA5F73" w:rsidP="00642D47">
            <w:pPr>
              <w:pStyle w:val="ListParagraph"/>
              <w:tabs>
                <w:tab w:val="left" w:pos="426"/>
              </w:tabs>
              <w:autoSpaceDE w:val="0"/>
              <w:autoSpaceDN w:val="0"/>
              <w:adjustRightInd w:val="0"/>
              <w:spacing w:before="60" w:after="60"/>
              <w:ind w:left="0"/>
              <w:rPr>
                <w:rFonts w:eastAsia="SimSun" w:cs="Calibri"/>
                <w:lang w:eastAsia="zh-CN"/>
              </w:rPr>
            </w:pPr>
            <w:r w:rsidRPr="00642D47">
              <w:rPr>
                <w:rFonts w:eastAsia="SimSun" w:cs="Calibri"/>
                <w:lang w:eastAsia="zh-CN"/>
              </w:rPr>
              <w:t xml:space="preserve">1 </w:t>
            </w:r>
            <w:r w:rsidR="00252DCF" w:rsidRPr="00642D47">
              <w:rPr>
                <w:rFonts w:eastAsia="SimSun" w:cs="Calibri"/>
                <w:lang w:eastAsia="zh-CN"/>
              </w:rPr>
              <w:t>full-time equivalent</w:t>
            </w:r>
            <w:r w:rsidR="00991011">
              <w:rPr>
                <w:rFonts w:eastAsia="SimSun" w:cs="Calibri"/>
                <w:lang w:eastAsia="zh-CN"/>
              </w:rPr>
              <w:t xml:space="preserve"> </w:t>
            </w:r>
            <w:r w:rsidRPr="00642D47">
              <w:rPr>
                <w:rFonts w:eastAsia="SimSun" w:cs="Calibri"/>
                <w:lang w:eastAsia="zh-CN"/>
              </w:rPr>
              <w:t>professional position (50</w:t>
            </w:r>
            <w:r w:rsidR="00252DCF" w:rsidRPr="00642D47">
              <w:rPr>
                <w:rFonts w:eastAsia="SimSun" w:cs="Calibri"/>
                <w:lang w:eastAsia="zh-CN"/>
              </w:rPr>
              <w:t xml:space="preserve"> per cent</w:t>
            </w:r>
            <w:r w:rsidRPr="00642D47">
              <w:rPr>
                <w:rFonts w:eastAsia="SimSun" w:cs="Calibri"/>
                <w:lang w:eastAsia="zh-CN"/>
              </w:rPr>
              <w:t xml:space="preserve"> in</w:t>
            </w:r>
            <w:r w:rsidR="00252DCF" w:rsidRPr="00642D47">
              <w:rPr>
                <w:rFonts w:eastAsia="SimSun" w:cs="Calibri"/>
                <w:lang w:eastAsia="zh-CN"/>
              </w:rPr>
              <w:t xml:space="preserve"> </w:t>
            </w:r>
            <w:r w:rsidRPr="00642D47">
              <w:rPr>
                <w:rFonts w:eastAsia="SimSun" w:cs="Calibri"/>
                <w:lang w:eastAsia="zh-CN"/>
              </w:rPr>
              <w:t>kind)</w:t>
            </w:r>
          </w:p>
        </w:tc>
        <w:tc>
          <w:tcPr>
            <w:tcW w:w="1134" w:type="dxa"/>
            <w:tcBorders>
              <w:bottom w:val="single" w:sz="4" w:space="0" w:color="auto"/>
            </w:tcBorders>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75</w:t>
            </w:r>
            <w:r w:rsidR="00392F22">
              <w:rPr>
                <w:rFonts w:eastAsia="SimSun" w:cs="Calibri"/>
                <w:lang w:eastAsia="zh-CN"/>
              </w:rPr>
              <w:t xml:space="preserve"> </w:t>
            </w:r>
            <w:r w:rsidRPr="00642D47">
              <w:rPr>
                <w:rFonts w:eastAsia="SimSun" w:cs="Calibri"/>
                <w:lang w:eastAsia="zh-CN"/>
              </w:rPr>
              <w:t>000</w:t>
            </w:r>
          </w:p>
        </w:tc>
      </w:tr>
      <w:tr w:rsidR="00CA5F73" w:rsidRPr="00642D47" w:rsidTr="005B51AA">
        <w:trPr>
          <w:trHeight w:val="357"/>
        </w:trPr>
        <w:tc>
          <w:tcPr>
            <w:tcW w:w="850" w:type="dxa"/>
            <w:vMerge w:val="restart"/>
            <w:vAlign w:val="center"/>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2016</w:t>
            </w:r>
          </w:p>
        </w:tc>
        <w:tc>
          <w:tcPr>
            <w:tcW w:w="3232" w:type="dxa"/>
            <w:vAlign w:val="center"/>
          </w:tcPr>
          <w:p w:rsidR="00CA5F73" w:rsidRPr="00642D47" w:rsidRDefault="00677290"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Participation </w:t>
            </w:r>
            <w:r w:rsidR="009862F8">
              <w:rPr>
                <w:rFonts w:eastAsia="SimSun" w:cs="Calibri"/>
                <w:lang w:eastAsia="zh-CN"/>
              </w:rPr>
              <w:t xml:space="preserve">by </w:t>
            </w:r>
            <w:r w:rsidR="009862F8" w:rsidRPr="009862F8">
              <w:rPr>
                <w:rFonts w:eastAsia="SimSun" w:cs="Calibri"/>
                <w:lang w:eastAsia="zh-CN"/>
              </w:rPr>
              <w:t>2 co-chairs and 2 coordinating lead authors</w:t>
            </w:r>
            <w:r w:rsidR="009862F8" w:rsidRPr="00642D47">
              <w:rPr>
                <w:rFonts w:eastAsia="SimSun" w:cs="Calibri"/>
                <w:lang w:eastAsia="zh-CN"/>
              </w:rPr>
              <w:t xml:space="preserve"> </w:t>
            </w:r>
            <w:r w:rsidRPr="00642D47">
              <w:rPr>
                <w:rFonts w:eastAsia="SimSun" w:cs="Calibri"/>
                <w:lang w:eastAsia="zh-CN"/>
              </w:rPr>
              <w:t xml:space="preserve">in the fourth session of the Plenary </w:t>
            </w:r>
          </w:p>
        </w:tc>
        <w:tc>
          <w:tcPr>
            <w:tcW w:w="3289" w:type="dxa"/>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 xml:space="preserve">Travel and DSA (3 x </w:t>
            </w:r>
            <w:r w:rsidR="00164CAC" w:rsidRPr="00642D47">
              <w:rPr>
                <w:rFonts w:eastAsia="SimSun" w:cs="Calibri"/>
                <w:lang w:eastAsia="zh-CN"/>
              </w:rPr>
              <w:t>$</w:t>
            </w:r>
            <w:r w:rsidRPr="00642D47">
              <w:rPr>
                <w:rFonts w:eastAsia="SimSun" w:cs="Calibri"/>
                <w:lang w:eastAsia="zh-CN"/>
              </w:rPr>
              <w:t>3</w:t>
            </w:r>
            <w:r w:rsidR="00164CAC" w:rsidRPr="00642D47">
              <w:rPr>
                <w:rFonts w:eastAsia="SimSun" w:cs="Calibri"/>
                <w:lang w:eastAsia="zh-CN"/>
              </w:rPr>
              <w:t>,</w:t>
            </w:r>
            <w:r w:rsidRPr="00642D47">
              <w:rPr>
                <w:rFonts w:eastAsia="SimSun" w:cs="Calibri"/>
                <w:lang w:eastAsia="zh-CN"/>
              </w:rPr>
              <w:t>000)</w:t>
            </w:r>
          </w:p>
        </w:tc>
        <w:tc>
          <w:tcPr>
            <w:tcW w:w="1134" w:type="dxa"/>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9</w:t>
            </w:r>
            <w:r w:rsidR="00392F22">
              <w:rPr>
                <w:rFonts w:eastAsia="SimSun" w:cs="Calibri"/>
                <w:lang w:eastAsia="zh-CN"/>
              </w:rPr>
              <w:t xml:space="preserve"> </w:t>
            </w:r>
            <w:r w:rsidRPr="00642D47">
              <w:rPr>
                <w:rFonts w:eastAsia="SimSun" w:cs="Calibri"/>
                <w:lang w:eastAsia="zh-CN"/>
              </w:rPr>
              <w:t>000</w:t>
            </w:r>
          </w:p>
        </w:tc>
      </w:tr>
      <w:tr w:rsidR="00CA5F73" w:rsidRPr="00642D47" w:rsidDel="001E184E" w:rsidTr="005B51AA">
        <w:trPr>
          <w:trHeight w:val="560"/>
        </w:trPr>
        <w:tc>
          <w:tcPr>
            <w:tcW w:w="850" w:type="dxa"/>
            <w:vMerge/>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32" w:type="dxa"/>
          </w:tcPr>
          <w:p w:rsidR="00CA5F73" w:rsidRPr="00642D47" w:rsidRDefault="00CA5F73" w:rsidP="00747B8E">
            <w:pPr>
              <w:pStyle w:val="ListParagraph"/>
              <w:tabs>
                <w:tab w:val="left" w:pos="426"/>
              </w:tabs>
              <w:autoSpaceDE w:val="0"/>
              <w:autoSpaceDN w:val="0"/>
              <w:adjustRightInd w:val="0"/>
              <w:spacing w:before="60" w:after="60"/>
              <w:ind w:left="0"/>
              <w:contextualSpacing w:val="0"/>
              <w:rPr>
                <w:rFonts w:eastAsia="SimSun" w:cs="Calibri"/>
                <w:lang w:eastAsia="zh-CN"/>
              </w:rPr>
            </w:pPr>
            <w:r w:rsidRPr="00642D47">
              <w:rPr>
                <w:rFonts w:eastAsia="SimSun" w:cs="Calibri"/>
                <w:lang w:eastAsia="zh-CN"/>
              </w:rPr>
              <w:t>Dissemination</w:t>
            </w:r>
            <w:r w:rsidR="00DC3A31">
              <w:rPr>
                <w:rFonts w:eastAsia="SimSun" w:cs="Calibri"/>
                <w:lang w:eastAsia="zh-CN"/>
              </w:rPr>
              <w:t xml:space="preserve"> and outreach</w:t>
            </w:r>
            <w:r w:rsidRPr="00642D47">
              <w:rPr>
                <w:rFonts w:eastAsia="SimSun" w:cs="Calibri"/>
                <w:lang w:eastAsia="zh-CN"/>
              </w:rPr>
              <w:t xml:space="preserve"> </w:t>
            </w:r>
            <w:r w:rsidR="00DC3A31">
              <w:rPr>
                <w:rFonts w:eastAsia="SimSun" w:cs="Calibri"/>
                <w:lang w:eastAsia="zh-CN"/>
              </w:rPr>
              <w:t>(</w:t>
            </w:r>
            <w:r w:rsidR="00217010" w:rsidRPr="00642D47">
              <w:rPr>
                <w:rFonts w:eastAsia="SimSun" w:cs="Calibri"/>
                <w:lang w:eastAsia="zh-CN"/>
              </w:rPr>
              <w:t>summary for policymakers</w:t>
            </w:r>
            <w:r w:rsidR="00DC3A31">
              <w:rPr>
                <w:rFonts w:eastAsia="SimSun" w:cs="Calibri"/>
                <w:lang w:eastAsia="zh-CN"/>
              </w:rPr>
              <w:t xml:space="preserve"> </w:t>
            </w:r>
            <w:r w:rsidR="00DC3A31" w:rsidRPr="00F8033E">
              <w:rPr>
                <w:rFonts w:eastAsia="SimSun" w:cs="Calibri"/>
                <w:lang w:eastAsia="zh-CN"/>
              </w:rPr>
              <w:t>(10</w:t>
            </w:r>
            <w:r w:rsidR="00747B8E">
              <w:rPr>
                <w:rFonts w:eastAsia="SimSun" w:cs="Calibri"/>
                <w:lang w:eastAsia="zh-CN"/>
              </w:rPr>
              <w:t> </w:t>
            </w:r>
            <w:r w:rsidR="00DC3A31" w:rsidRPr="00F8033E">
              <w:rPr>
                <w:rFonts w:eastAsia="SimSun" w:cs="Calibri"/>
                <w:lang w:eastAsia="zh-CN"/>
              </w:rPr>
              <w:t>page</w:t>
            </w:r>
            <w:r w:rsidR="00DC3A31">
              <w:rPr>
                <w:rFonts w:eastAsia="SimSun" w:cs="Calibri"/>
                <w:lang w:eastAsia="zh-CN"/>
              </w:rPr>
              <w:t>s)</w:t>
            </w:r>
            <w:r w:rsidR="00217010" w:rsidRPr="00642D47">
              <w:rPr>
                <w:rFonts w:eastAsia="SimSun" w:cs="Calibri"/>
                <w:lang w:eastAsia="zh-CN"/>
              </w:rPr>
              <w:t xml:space="preserve"> </w:t>
            </w:r>
            <w:r w:rsidR="00DC3A31">
              <w:rPr>
                <w:rFonts w:eastAsia="SimSun" w:cs="Calibri"/>
                <w:lang w:eastAsia="zh-CN"/>
              </w:rPr>
              <w:t xml:space="preserve">and </w:t>
            </w:r>
            <w:r w:rsidR="00DC3A31" w:rsidRPr="00F8033E">
              <w:rPr>
                <w:rFonts w:eastAsia="SimSun" w:cs="Calibri"/>
                <w:lang w:eastAsia="zh-CN"/>
              </w:rPr>
              <w:t>report</w:t>
            </w:r>
            <w:r w:rsidR="00DC3A31" w:rsidRPr="00642D47">
              <w:rPr>
                <w:rFonts w:eastAsia="SimSun" w:cs="Calibri"/>
                <w:lang w:eastAsia="zh-CN"/>
              </w:rPr>
              <w:t xml:space="preserve"> </w:t>
            </w:r>
            <w:r w:rsidR="00DC3A31">
              <w:rPr>
                <w:rFonts w:eastAsia="SimSun" w:cs="Calibri"/>
                <w:lang w:eastAsia="zh-CN"/>
              </w:rPr>
              <w:t>(</w:t>
            </w:r>
            <w:r w:rsidRPr="00642D47">
              <w:rPr>
                <w:rFonts w:eastAsia="SimSun" w:cs="Calibri"/>
                <w:lang w:eastAsia="zh-CN"/>
              </w:rPr>
              <w:t>200</w:t>
            </w:r>
            <w:r w:rsidR="00392F22">
              <w:rPr>
                <w:rFonts w:eastAsia="SimSun" w:cs="Calibri"/>
                <w:lang w:eastAsia="zh-CN"/>
              </w:rPr>
              <w:t> </w:t>
            </w:r>
            <w:r w:rsidRPr="00642D47">
              <w:rPr>
                <w:rFonts w:eastAsia="SimSun" w:cs="Calibri"/>
                <w:lang w:eastAsia="zh-CN"/>
              </w:rPr>
              <w:t>p</w:t>
            </w:r>
            <w:r w:rsidR="00217010" w:rsidRPr="00642D47">
              <w:rPr>
                <w:rFonts w:eastAsia="SimSun" w:cs="Calibri"/>
                <w:lang w:eastAsia="zh-CN"/>
              </w:rPr>
              <w:t>age</w:t>
            </w:r>
            <w:r w:rsidR="00DC3A31">
              <w:rPr>
                <w:rFonts w:eastAsia="SimSun" w:cs="Calibri"/>
                <w:lang w:eastAsia="zh-CN"/>
              </w:rPr>
              <w:t>s)</w:t>
            </w:r>
            <w:r w:rsidRPr="00642D47">
              <w:rPr>
                <w:rFonts w:eastAsia="SimSun" w:cs="Calibri"/>
                <w:lang w:eastAsia="zh-CN"/>
              </w:rPr>
              <w:t>)</w:t>
            </w:r>
          </w:p>
        </w:tc>
        <w:tc>
          <w:tcPr>
            <w:tcW w:w="3289" w:type="dxa"/>
          </w:tcPr>
          <w:p w:rsidR="00CA5F73" w:rsidRPr="00642D47" w:rsidRDefault="009862F8" w:rsidP="00642D47">
            <w:pPr>
              <w:pStyle w:val="ListParagraph"/>
              <w:tabs>
                <w:tab w:val="left" w:pos="426"/>
              </w:tabs>
              <w:autoSpaceDE w:val="0"/>
              <w:autoSpaceDN w:val="0"/>
              <w:adjustRightInd w:val="0"/>
              <w:spacing w:before="60" w:after="60"/>
              <w:ind w:left="0"/>
              <w:contextualSpacing w:val="0"/>
              <w:rPr>
                <w:rFonts w:eastAsia="SimSun" w:cs="Calibri"/>
                <w:lang w:eastAsia="zh-CN"/>
              </w:rPr>
            </w:pPr>
            <w:r>
              <w:rPr>
                <w:rFonts w:eastAsia="SimSun" w:cs="Calibri"/>
                <w:lang w:eastAsia="zh-CN"/>
              </w:rPr>
              <w:t xml:space="preserve">Translation </w:t>
            </w:r>
            <w:r w:rsidR="00CA5F73" w:rsidRPr="00642D47">
              <w:rPr>
                <w:rFonts w:eastAsia="SimSun" w:cs="Calibri"/>
                <w:lang w:eastAsia="zh-CN"/>
              </w:rPr>
              <w:t xml:space="preserve">of </w:t>
            </w:r>
            <w:r w:rsidR="00164CAC" w:rsidRPr="00642D47">
              <w:rPr>
                <w:rFonts w:eastAsia="SimSun" w:cs="Calibri"/>
                <w:lang w:eastAsia="zh-CN"/>
              </w:rPr>
              <w:t xml:space="preserve">summary for policymakers </w:t>
            </w:r>
            <w:r w:rsidR="00CA5F73" w:rsidRPr="00642D47">
              <w:rPr>
                <w:rFonts w:eastAsia="SimSun" w:cs="Calibri"/>
                <w:lang w:eastAsia="zh-CN"/>
              </w:rPr>
              <w:t>in</w:t>
            </w:r>
            <w:r>
              <w:rPr>
                <w:rFonts w:eastAsia="SimSun" w:cs="Calibri"/>
                <w:lang w:eastAsia="zh-CN"/>
              </w:rPr>
              <w:t xml:space="preserve">to all the </w:t>
            </w:r>
            <w:r w:rsidR="00164CAC" w:rsidRPr="00642D47">
              <w:rPr>
                <w:rFonts w:eastAsia="SimSun" w:cs="Calibri"/>
                <w:lang w:eastAsia="zh-CN"/>
              </w:rPr>
              <w:t>official</w:t>
            </w:r>
            <w:r>
              <w:rPr>
                <w:rFonts w:eastAsia="SimSun" w:cs="Calibri"/>
                <w:lang w:eastAsia="zh-CN"/>
              </w:rPr>
              <w:t xml:space="preserve"> languages of the</w:t>
            </w:r>
            <w:r w:rsidR="00164CAC" w:rsidRPr="00642D47">
              <w:rPr>
                <w:rFonts w:eastAsia="SimSun" w:cs="Calibri"/>
                <w:lang w:eastAsia="zh-CN"/>
              </w:rPr>
              <w:t xml:space="preserve"> United Nations</w:t>
            </w:r>
            <w:r w:rsidR="00CA5F73" w:rsidRPr="00642D47">
              <w:rPr>
                <w:rFonts w:eastAsia="SimSun" w:cs="Calibri"/>
                <w:lang w:eastAsia="zh-CN"/>
              </w:rPr>
              <w:t xml:space="preserve">, </w:t>
            </w:r>
            <w:r>
              <w:rPr>
                <w:rFonts w:eastAsia="SimSun" w:cs="Calibri"/>
                <w:lang w:eastAsia="zh-CN"/>
              </w:rPr>
              <w:t xml:space="preserve">publication and </w:t>
            </w:r>
            <w:r w:rsidR="00CA5F73" w:rsidRPr="00642D47">
              <w:rPr>
                <w:rFonts w:eastAsia="SimSun" w:cs="Calibri"/>
                <w:lang w:eastAsia="zh-CN"/>
              </w:rPr>
              <w:t>outreach</w:t>
            </w:r>
          </w:p>
        </w:tc>
        <w:tc>
          <w:tcPr>
            <w:tcW w:w="1134" w:type="dxa"/>
          </w:tcPr>
          <w:p w:rsidR="00CA5F73" w:rsidRPr="00642D47" w:rsidDel="001E184E"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lang w:eastAsia="zh-CN"/>
              </w:rPr>
            </w:pPr>
            <w:r w:rsidRPr="00642D47">
              <w:rPr>
                <w:rFonts w:eastAsia="SimSun" w:cs="Calibri"/>
                <w:lang w:eastAsia="zh-CN"/>
              </w:rPr>
              <w:t>117</w:t>
            </w:r>
            <w:r w:rsidR="00392F22">
              <w:rPr>
                <w:rFonts w:eastAsia="SimSun" w:cs="Calibri"/>
                <w:lang w:eastAsia="zh-CN"/>
              </w:rPr>
              <w:t xml:space="preserve"> </w:t>
            </w:r>
            <w:r w:rsidRPr="00642D47">
              <w:rPr>
                <w:rFonts w:eastAsia="SimSun" w:cs="Calibri"/>
                <w:lang w:eastAsia="zh-CN"/>
              </w:rPr>
              <w:t>000</w:t>
            </w:r>
          </w:p>
        </w:tc>
      </w:tr>
      <w:tr w:rsidR="00CA5F73" w:rsidRPr="00642D47" w:rsidTr="005B51AA">
        <w:tc>
          <w:tcPr>
            <w:tcW w:w="850" w:type="dxa"/>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b/>
                <w:lang w:eastAsia="zh-CN"/>
              </w:rPr>
            </w:pPr>
            <w:r w:rsidRPr="00642D47">
              <w:rPr>
                <w:rFonts w:eastAsia="SimSun" w:cs="Calibri"/>
                <w:b/>
                <w:lang w:eastAsia="zh-CN"/>
              </w:rPr>
              <w:t>Total</w:t>
            </w:r>
          </w:p>
        </w:tc>
        <w:tc>
          <w:tcPr>
            <w:tcW w:w="3232" w:type="dxa"/>
          </w:tcPr>
          <w:p w:rsidR="00CA5F73" w:rsidRPr="00642D47" w:rsidRDefault="00CA5F73" w:rsidP="00EA0290">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3289" w:type="dxa"/>
          </w:tcPr>
          <w:p w:rsidR="00CA5F73" w:rsidRPr="00642D47" w:rsidRDefault="00CA5F73" w:rsidP="00563241">
            <w:pPr>
              <w:pStyle w:val="ListParagraph"/>
              <w:tabs>
                <w:tab w:val="left" w:pos="426"/>
              </w:tabs>
              <w:autoSpaceDE w:val="0"/>
              <w:autoSpaceDN w:val="0"/>
              <w:adjustRightInd w:val="0"/>
              <w:spacing w:before="60" w:after="60"/>
              <w:ind w:left="0"/>
              <w:contextualSpacing w:val="0"/>
              <w:rPr>
                <w:rFonts w:eastAsia="SimSun" w:cs="Calibri"/>
                <w:lang w:eastAsia="zh-CN"/>
              </w:rPr>
            </w:pPr>
          </w:p>
        </w:tc>
        <w:tc>
          <w:tcPr>
            <w:tcW w:w="1134" w:type="dxa"/>
          </w:tcPr>
          <w:p w:rsidR="00CA5F73" w:rsidRPr="00642D47" w:rsidRDefault="00CA5F73" w:rsidP="00642D47">
            <w:pPr>
              <w:pStyle w:val="ListParagraph"/>
              <w:tabs>
                <w:tab w:val="left" w:pos="426"/>
              </w:tabs>
              <w:autoSpaceDE w:val="0"/>
              <w:autoSpaceDN w:val="0"/>
              <w:adjustRightInd w:val="0"/>
              <w:spacing w:before="60" w:after="60"/>
              <w:ind w:left="0"/>
              <w:contextualSpacing w:val="0"/>
              <w:jc w:val="right"/>
              <w:rPr>
                <w:rFonts w:eastAsia="SimSun" w:cs="Calibri"/>
                <w:b/>
                <w:lang w:eastAsia="zh-CN"/>
              </w:rPr>
            </w:pPr>
            <w:r w:rsidRPr="00642D47">
              <w:rPr>
                <w:rFonts w:eastAsia="SimSun" w:cs="Calibri"/>
                <w:b/>
                <w:lang w:eastAsia="zh-CN"/>
              </w:rPr>
              <w:t>1</w:t>
            </w:r>
            <w:r w:rsidR="00392F22">
              <w:rPr>
                <w:rFonts w:eastAsia="SimSun" w:cs="Calibri"/>
                <w:b/>
                <w:lang w:eastAsia="zh-CN"/>
              </w:rPr>
              <w:t xml:space="preserve"> </w:t>
            </w:r>
            <w:r w:rsidRPr="00642D47">
              <w:rPr>
                <w:rFonts w:eastAsia="SimSun" w:cs="Calibri"/>
                <w:b/>
                <w:lang w:eastAsia="zh-CN"/>
              </w:rPr>
              <w:t>071</w:t>
            </w:r>
            <w:r w:rsidR="00392F22">
              <w:rPr>
                <w:rFonts w:eastAsia="SimSun" w:cs="Calibri"/>
                <w:b/>
                <w:lang w:eastAsia="zh-CN"/>
              </w:rPr>
              <w:t xml:space="preserve"> </w:t>
            </w:r>
            <w:r w:rsidRPr="00642D47">
              <w:rPr>
                <w:rFonts w:eastAsia="SimSun" w:cs="Calibri"/>
                <w:b/>
                <w:lang w:eastAsia="zh-CN"/>
              </w:rPr>
              <w:t>750</w:t>
            </w:r>
          </w:p>
        </w:tc>
      </w:tr>
    </w:tbl>
    <w:p w:rsidR="00651E50" w:rsidRDefault="00651E50" w:rsidP="00651E50">
      <w:pPr>
        <w:pStyle w:val="Normal-pool"/>
        <w:rPr>
          <w:highlight w:val="yellow"/>
        </w:rPr>
      </w:pPr>
    </w:p>
    <w:p w:rsidR="0086157B" w:rsidRDefault="0086157B" w:rsidP="0086157B">
      <w:pPr>
        <w:pStyle w:val="Normal-pool"/>
        <w:rPr>
          <w:lang w:val="en-US"/>
        </w:rPr>
      </w:pPr>
    </w:p>
    <w:tbl>
      <w:tblPr>
        <w:tblW w:w="0" w:type="auto"/>
        <w:tblLook w:val="01E0"/>
      </w:tblPr>
      <w:tblGrid>
        <w:gridCol w:w="3237"/>
        <w:gridCol w:w="3237"/>
        <w:gridCol w:w="3238"/>
      </w:tblGrid>
      <w:tr w:rsidR="008F52D0" w:rsidRPr="0086157B" w:rsidTr="00022086">
        <w:tc>
          <w:tcPr>
            <w:tcW w:w="3237" w:type="dxa"/>
          </w:tcPr>
          <w:p w:rsidR="008F52D0" w:rsidRPr="0086157B" w:rsidRDefault="008F52D0" w:rsidP="0086157B">
            <w:pPr>
              <w:pStyle w:val="Normal-pool"/>
              <w:rPr>
                <w:sz w:val="18"/>
                <w:szCs w:val="18"/>
              </w:rPr>
            </w:pPr>
          </w:p>
        </w:tc>
        <w:tc>
          <w:tcPr>
            <w:tcW w:w="3237" w:type="dxa"/>
            <w:tcBorders>
              <w:bottom w:val="single" w:sz="4" w:space="0" w:color="auto"/>
            </w:tcBorders>
          </w:tcPr>
          <w:p w:rsidR="008F52D0" w:rsidRPr="0086157B" w:rsidRDefault="008F52D0" w:rsidP="0086157B">
            <w:pPr>
              <w:pStyle w:val="Normal-pool"/>
              <w:rPr>
                <w:sz w:val="18"/>
                <w:szCs w:val="18"/>
              </w:rPr>
            </w:pPr>
          </w:p>
        </w:tc>
        <w:tc>
          <w:tcPr>
            <w:tcW w:w="3238" w:type="dxa"/>
          </w:tcPr>
          <w:p w:rsidR="008F52D0" w:rsidRPr="0086157B" w:rsidRDefault="008F52D0" w:rsidP="0086157B">
            <w:pPr>
              <w:pStyle w:val="Normal-pool"/>
              <w:rPr>
                <w:sz w:val="18"/>
                <w:szCs w:val="18"/>
              </w:rPr>
            </w:pPr>
          </w:p>
        </w:tc>
      </w:tr>
    </w:tbl>
    <w:p w:rsidR="008F52D0" w:rsidRPr="0086157B" w:rsidRDefault="008F52D0" w:rsidP="0086157B">
      <w:pPr>
        <w:pStyle w:val="Normal-pool"/>
        <w:rPr>
          <w:sz w:val="18"/>
          <w:szCs w:val="18"/>
          <w:lang w:val="en-US"/>
        </w:rPr>
      </w:pPr>
    </w:p>
    <w:sectPr w:rsidR="008F52D0" w:rsidRPr="0086157B" w:rsidSect="00943B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F7" w:rsidRDefault="003C48F7">
      <w:r>
        <w:separator/>
      </w:r>
    </w:p>
  </w:endnote>
  <w:endnote w:type="continuationSeparator" w:id="0">
    <w:p w:rsidR="003C48F7" w:rsidRDefault="003C4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Default="00B95208">
    <w:pPr>
      <w:pStyle w:val="Footer"/>
    </w:pPr>
    <w:r>
      <w:rPr>
        <w:rStyle w:val="PageNumber"/>
      </w:rPr>
      <w:fldChar w:fldCharType="begin"/>
    </w:r>
    <w:r>
      <w:rPr>
        <w:rStyle w:val="PageNumber"/>
      </w:rPr>
      <w:instrText xml:space="preserve"> PAGE </w:instrText>
    </w:r>
    <w:r>
      <w:rPr>
        <w:rStyle w:val="PageNumber"/>
      </w:rPr>
      <w:fldChar w:fldCharType="separate"/>
    </w:r>
    <w:r w:rsidR="00384D3D">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Default="00B9520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84D3D">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Default="00642D47">
    <w:pPr>
      <w:pStyle w:val="Footer"/>
    </w:pPr>
    <w:r>
      <w:t>K1353292</w:t>
    </w:r>
    <w:r>
      <w:tab/>
    </w:r>
    <w:r w:rsidR="00747B8E">
      <w:t>121113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F7" w:rsidRDefault="003C48F7" w:rsidP="00D92DE0">
      <w:pPr>
        <w:ind w:left="624"/>
      </w:pPr>
      <w:r>
        <w:separator/>
      </w:r>
    </w:p>
  </w:footnote>
  <w:footnote w:type="continuationSeparator" w:id="0">
    <w:p w:rsidR="003C48F7" w:rsidRDefault="003C48F7">
      <w:r>
        <w:continuationSeparator/>
      </w:r>
    </w:p>
  </w:footnote>
  <w:footnote w:id="1">
    <w:p w:rsidR="00B95208" w:rsidRPr="00B669A9" w:rsidRDefault="00B95208" w:rsidP="00F67A48">
      <w:pPr>
        <w:pStyle w:val="FootnoteText"/>
        <w:tabs>
          <w:tab w:val="clear" w:pos="1247"/>
          <w:tab w:val="clear" w:pos="1814"/>
          <w:tab w:val="clear" w:pos="2381"/>
          <w:tab w:val="clear" w:pos="2948"/>
          <w:tab w:val="clear" w:pos="3515"/>
          <w:tab w:val="left" w:pos="624"/>
        </w:tabs>
        <w:rPr>
          <w:szCs w:val="18"/>
          <w:lang w:val="en-US"/>
        </w:rPr>
      </w:pPr>
      <w:r w:rsidRPr="00B669A9">
        <w:rPr>
          <w:rStyle w:val="FootnoteReference"/>
          <w:sz w:val="18"/>
        </w:rPr>
        <w:sym w:font="Symbol" w:char="F02A"/>
      </w:r>
      <w:r w:rsidRPr="00B669A9">
        <w:rPr>
          <w:szCs w:val="18"/>
        </w:rPr>
        <w:t xml:space="preserve"> </w:t>
      </w:r>
      <w:r w:rsidRPr="00B669A9">
        <w:rPr>
          <w:szCs w:val="18"/>
          <w:lang w:val="fr-CA"/>
        </w:rPr>
        <w:t>IPBES/</w:t>
      </w:r>
      <w:r w:rsidRPr="00B669A9">
        <w:rPr>
          <w:szCs w:val="18"/>
          <w:lang w:val="fr-CA" w:eastAsia="ja-JP"/>
        </w:rPr>
        <w:t>2/1</w:t>
      </w:r>
      <w:r w:rsidRPr="00B669A9">
        <w:rPr>
          <w:szCs w:val="18"/>
          <w:lang w:eastAsia="ja-JP"/>
        </w:rPr>
        <w:t>.</w:t>
      </w:r>
    </w:p>
  </w:footnote>
  <w:footnote w:id="2">
    <w:p w:rsidR="00B95208" w:rsidRPr="00EA0290" w:rsidRDefault="00B95208">
      <w:pPr>
        <w:pStyle w:val="FootnoteText"/>
        <w:rPr>
          <w:szCs w:val="18"/>
          <w:lang w:val="en-US"/>
        </w:rPr>
      </w:pPr>
      <w:r w:rsidRPr="00413942">
        <w:rPr>
          <w:rStyle w:val="FootnoteReference"/>
          <w:sz w:val="18"/>
        </w:rPr>
        <w:footnoteRef/>
      </w:r>
      <w:r w:rsidRPr="00413942">
        <w:rPr>
          <w:szCs w:val="18"/>
        </w:rPr>
        <w:t xml:space="preserve"> </w:t>
      </w:r>
      <w:r w:rsidRPr="00EA0290">
        <w:rPr>
          <w:bCs/>
          <w:szCs w:val="18"/>
        </w:rPr>
        <w:t>Outcome document of the United Nations Conference on Sustainable Development, held in Rio de Janeiro, Brazil, from 20 to 22 June 2012, entitled “The future we want”, General Assembly resolution 66/288, annex, para. 206.</w:t>
      </w:r>
    </w:p>
  </w:footnote>
  <w:footnote w:id="3">
    <w:p w:rsidR="00B95208" w:rsidRPr="00EA0290" w:rsidRDefault="00B95208">
      <w:pPr>
        <w:pStyle w:val="FootnoteText"/>
        <w:rPr>
          <w:szCs w:val="18"/>
          <w:lang w:val="en-US"/>
        </w:rPr>
      </w:pPr>
      <w:r w:rsidRPr="00EA0290">
        <w:rPr>
          <w:rStyle w:val="FootnoteReference"/>
          <w:sz w:val="18"/>
        </w:rPr>
        <w:footnoteRef/>
      </w:r>
      <w:r w:rsidRPr="00EA0290">
        <w:rPr>
          <w:szCs w:val="18"/>
        </w:rPr>
        <w:t xml:space="preserve"> H. </w:t>
      </w:r>
      <w:r w:rsidRPr="00EA0290">
        <w:rPr>
          <w:szCs w:val="18"/>
          <w:lang w:val="en-US"/>
        </w:rPr>
        <w:t>Eswaran, R. Lal, and P.</w:t>
      </w:r>
      <w:r>
        <w:rPr>
          <w:szCs w:val="18"/>
          <w:lang w:val="en-US"/>
        </w:rPr>
        <w:t xml:space="preserve"> </w:t>
      </w:r>
      <w:r w:rsidRPr="00EA0290">
        <w:rPr>
          <w:szCs w:val="18"/>
          <w:lang w:val="en-US"/>
        </w:rPr>
        <w:t xml:space="preserve">F. Reich, “Land degradation: an overview”, in </w:t>
      </w:r>
      <w:r w:rsidRPr="00EA0290">
        <w:rPr>
          <w:i/>
          <w:szCs w:val="18"/>
          <w:lang w:val="en-US"/>
        </w:rPr>
        <w:t>Responses to Land Degradation, Proceedings, Second International Conference on Land Degradation and Desertification</w:t>
      </w:r>
      <w:r w:rsidRPr="00EA0290">
        <w:rPr>
          <w:szCs w:val="18"/>
          <w:lang w:val="en-US"/>
        </w:rPr>
        <w:t xml:space="preserve"> (2005), available at United States Department of Agriculture, </w:t>
      </w:r>
      <w:hyperlink r:id="rId1" w:history="1">
        <w:r w:rsidRPr="00EA0290">
          <w:rPr>
            <w:rStyle w:val="Hyperlink"/>
            <w:sz w:val="18"/>
            <w:szCs w:val="18"/>
            <w:lang w:val="en-US"/>
          </w:rPr>
          <w:t>http://soils.usda.gov/use/worldsoils/papers/land-degradation-overview.html</w:t>
        </w:r>
      </w:hyperlink>
      <w:r w:rsidRPr="00EA0290">
        <w:rPr>
          <w:szCs w:val="18"/>
          <w:lang w:val="en-US"/>
        </w:rPr>
        <w:t xml:space="preserve"> (accessed 4 October 2013)</w:t>
      </w:r>
      <w:r>
        <w:rPr>
          <w:szCs w:val="18"/>
          <w:lang w:val="en-US"/>
        </w:rPr>
        <w:t>.</w:t>
      </w:r>
    </w:p>
  </w:footnote>
  <w:footnote w:id="4">
    <w:p w:rsidR="00B95208" w:rsidRPr="00EA0290" w:rsidRDefault="00B95208">
      <w:pPr>
        <w:pStyle w:val="FootnoteText"/>
        <w:rPr>
          <w:szCs w:val="18"/>
          <w:lang w:val="en-US"/>
        </w:rPr>
      </w:pPr>
      <w:r w:rsidRPr="00EA0290">
        <w:rPr>
          <w:rStyle w:val="FootnoteReference"/>
          <w:sz w:val="18"/>
        </w:rPr>
        <w:footnoteRef/>
      </w:r>
      <w:r w:rsidRPr="00EA0290">
        <w:rPr>
          <w:szCs w:val="18"/>
        </w:rPr>
        <w:t xml:space="preserve"> H.</w:t>
      </w:r>
      <w:r>
        <w:rPr>
          <w:szCs w:val="18"/>
        </w:rPr>
        <w:t xml:space="preserve"> </w:t>
      </w:r>
      <w:r w:rsidRPr="00EA0290">
        <w:rPr>
          <w:szCs w:val="18"/>
        </w:rPr>
        <w:t xml:space="preserve">J. </w:t>
      </w:r>
      <w:r w:rsidRPr="00EA0290">
        <w:rPr>
          <w:szCs w:val="18"/>
          <w:lang w:val="en-US"/>
        </w:rPr>
        <w:t xml:space="preserve">Geist. and E. F. Lambin, “Proximate causes and underlying driving forces of tropical deforestation”, </w:t>
      </w:r>
      <w:r w:rsidRPr="00EA0290">
        <w:rPr>
          <w:i/>
          <w:szCs w:val="18"/>
          <w:lang w:val="en-US"/>
        </w:rPr>
        <w:t>BioScience</w:t>
      </w:r>
      <w:r w:rsidRPr="00EA0290">
        <w:rPr>
          <w:szCs w:val="18"/>
          <w:lang w:val="en-US"/>
        </w:rPr>
        <w:t>, vol. 52, no. 2, pp.: 143–150; J.</w:t>
      </w:r>
      <w:r>
        <w:rPr>
          <w:szCs w:val="18"/>
          <w:lang w:val="en-US"/>
        </w:rPr>
        <w:t xml:space="preserve"> </w:t>
      </w:r>
      <w:r w:rsidRPr="00EA0290">
        <w:rPr>
          <w:szCs w:val="18"/>
          <w:lang w:val="en-US"/>
        </w:rPr>
        <w:t>F. Reynolds and D.</w:t>
      </w:r>
      <w:r>
        <w:rPr>
          <w:szCs w:val="18"/>
          <w:lang w:val="en-US"/>
        </w:rPr>
        <w:t xml:space="preserve"> </w:t>
      </w:r>
      <w:r w:rsidRPr="00EA0290">
        <w:rPr>
          <w:szCs w:val="18"/>
          <w:lang w:val="en-US"/>
        </w:rPr>
        <w:t>M. Stafford Smith, “Do humans cause deserts?”, in J.F.</w:t>
      </w:r>
      <w:r>
        <w:rPr>
          <w:szCs w:val="18"/>
          <w:lang w:val="en-US"/>
        </w:rPr>
        <w:t> </w:t>
      </w:r>
      <w:r w:rsidRPr="00EA0290">
        <w:rPr>
          <w:szCs w:val="18"/>
          <w:lang w:val="en-US"/>
        </w:rPr>
        <w:t xml:space="preserve">Reynolds and D.M. Stafford Smith, eds., </w:t>
      </w:r>
      <w:r w:rsidRPr="00EA0290">
        <w:rPr>
          <w:i/>
          <w:szCs w:val="18"/>
          <w:lang w:val="en-US"/>
        </w:rPr>
        <w:t>Global Desertification: Do Humans Cause Deserts? (</w:t>
      </w:r>
      <w:r w:rsidRPr="00EA0290">
        <w:rPr>
          <w:szCs w:val="18"/>
          <w:lang w:val="en-US"/>
        </w:rPr>
        <w:t>Dahlem University Press 2002); D. Sietz, M.K.B</w:t>
      </w:r>
      <w:r>
        <w:rPr>
          <w:szCs w:val="18"/>
          <w:lang w:val="en-US"/>
        </w:rPr>
        <w:t>.</w:t>
      </w:r>
      <w:r w:rsidRPr="00EA0290">
        <w:rPr>
          <w:szCs w:val="18"/>
          <w:lang w:val="en-US"/>
        </w:rPr>
        <w:t xml:space="preserve"> Lüdeke and C. Walther, “Categorization of typical vulnerability patterns in global drylands”, </w:t>
      </w:r>
      <w:r w:rsidRPr="00EA0290">
        <w:rPr>
          <w:i/>
          <w:szCs w:val="18"/>
          <w:lang w:val="en-US"/>
        </w:rPr>
        <w:t>Global Environmental Change</w:t>
      </w:r>
      <w:r w:rsidRPr="00EA0290">
        <w:rPr>
          <w:szCs w:val="18"/>
          <w:lang w:val="en-US"/>
        </w:rPr>
        <w:t xml:space="preserve">, vol. 21, </w:t>
      </w:r>
      <w:r>
        <w:rPr>
          <w:szCs w:val="18"/>
          <w:lang w:val="en-US"/>
        </w:rPr>
        <w:t>N</w:t>
      </w:r>
      <w:r w:rsidRPr="00EA0290">
        <w:rPr>
          <w:szCs w:val="18"/>
          <w:lang w:val="en-US"/>
        </w:rPr>
        <w:t>o. 2, pp. 431–440.</w:t>
      </w:r>
    </w:p>
  </w:footnote>
  <w:footnote w:id="5">
    <w:p w:rsidR="00B95208" w:rsidRPr="00EA0290" w:rsidRDefault="00B95208">
      <w:pPr>
        <w:pStyle w:val="FootnoteText"/>
        <w:rPr>
          <w:b/>
          <w:szCs w:val="18"/>
          <w:lang w:val="en-US"/>
        </w:rPr>
      </w:pPr>
      <w:r w:rsidRPr="00EA0290">
        <w:rPr>
          <w:rStyle w:val="FootnoteReference"/>
          <w:sz w:val="18"/>
        </w:rPr>
        <w:footnoteRef/>
      </w:r>
      <w:r w:rsidRPr="00EA0290">
        <w:rPr>
          <w:szCs w:val="18"/>
        </w:rPr>
        <w:t xml:space="preserve"> </w:t>
      </w:r>
      <w:r>
        <w:rPr>
          <w:szCs w:val="18"/>
        </w:rPr>
        <w:t xml:space="preserve">M.S. </w:t>
      </w:r>
      <w:r w:rsidRPr="00EA0290">
        <w:rPr>
          <w:lang/>
        </w:rPr>
        <w:t>Reed</w:t>
      </w:r>
      <w:r>
        <w:rPr>
          <w:lang/>
        </w:rPr>
        <w:t xml:space="preserve"> and others,</w:t>
      </w:r>
      <w:r w:rsidRPr="00EA0290">
        <w:rPr>
          <w:lang/>
        </w:rPr>
        <w:t xml:space="preserve"> </w:t>
      </w:r>
      <w:r>
        <w:rPr>
          <w:lang/>
        </w:rPr>
        <w:t>“</w:t>
      </w:r>
      <w:r w:rsidRPr="00EA0290">
        <w:rPr>
          <w:lang/>
        </w:rPr>
        <w:t>Knowledge management for land degradation monitoring and assessment: an analysis of contemporary thinking</w:t>
      </w:r>
      <w:r>
        <w:rPr>
          <w:lang/>
        </w:rPr>
        <w:t xml:space="preserve">”, </w:t>
      </w:r>
      <w:r w:rsidRPr="00EA0290">
        <w:rPr>
          <w:i/>
          <w:lang/>
        </w:rPr>
        <w:t>Land Degradation and Development</w:t>
      </w:r>
      <w:r>
        <w:rPr>
          <w:lang/>
        </w:rPr>
        <w:t>, vol.</w:t>
      </w:r>
      <w:r w:rsidRPr="00EA0290">
        <w:rPr>
          <w:lang/>
        </w:rPr>
        <w:t xml:space="preserve"> 24</w:t>
      </w:r>
      <w:r>
        <w:rPr>
          <w:lang/>
        </w:rPr>
        <w:t>, pp.</w:t>
      </w:r>
      <w:r w:rsidRPr="00EA0290">
        <w:rPr>
          <w:lang/>
        </w:rPr>
        <w:t xml:space="preserve"> 307–322</w:t>
      </w:r>
      <w:r>
        <w:rPr>
          <w:lang/>
        </w:rPr>
        <w:t xml:space="preserve"> (2013)</w:t>
      </w:r>
      <w:r w:rsidRPr="00EA0290">
        <w:rPr>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Pr="00986F26" w:rsidRDefault="00B95208">
    <w:pPr>
      <w:pStyle w:val="Header"/>
      <w:rPr>
        <w:szCs w:val="18"/>
      </w:rPr>
    </w:pPr>
    <w:r w:rsidRPr="00F47CD5">
      <w:rPr>
        <w:szCs w:val="18"/>
      </w:rPr>
      <w:t>IPBES/</w:t>
    </w:r>
    <w:r>
      <w:rPr>
        <w:szCs w:val="18"/>
        <w:lang w:eastAsia="ja-JP"/>
      </w:rPr>
      <w:t>2/16/Add.2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Pr="00494455" w:rsidRDefault="00B95208" w:rsidP="00035EDE">
    <w:pPr>
      <w:pStyle w:val="Header"/>
      <w:jc w:val="right"/>
      <w:rPr>
        <w:szCs w:val="18"/>
      </w:rPr>
    </w:pPr>
    <w:r w:rsidRPr="008F52D0">
      <w:rPr>
        <w:szCs w:val="18"/>
      </w:rPr>
      <w:t>IPBES/</w:t>
    </w:r>
    <w:r w:rsidRPr="008F52D0">
      <w:rPr>
        <w:szCs w:val="18"/>
        <w:lang w:eastAsia="ja-JP"/>
      </w:rPr>
      <w:t>2/</w:t>
    </w:r>
    <w:r>
      <w:rPr>
        <w:szCs w:val="18"/>
        <w:lang w:eastAsia="ja-JP"/>
      </w:rPr>
      <w:t>16/Add.2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8" w:rsidRDefault="00B95208"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1">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3">
    <w:nsid w:val="15976D59"/>
    <w:multiLevelType w:val="hybridMultilevel"/>
    <w:tmpl w:val="5F8E679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5">
    <w:nsid w:val="171113A7"/>
    <w:multiLevelType w:val="multilevel"/>
    <w:tmpl w:val="48241D10"/>
    <w:numStyleLink w:val="Normallist"/>
  </w:abstractNum>
  <w:abstractNum w:abstractNumId="6">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7">
    <w:nsid w:val="1AD0660F"/>
    <w:multiLevelType w:val="hybridMultilevel"/>
    <w:tmpl w:val="2A78A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10">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8">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nsid w:val="46184997"/>
    <w:multiLevelType w:val="hybridMultilevel"/>
    <w:tmpl w:val="F85E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22">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CD7DD6"/>
    <w:multiLevelType w:val="hybridMultilevel"/>
    <w:tmpl w:val="B43A8648"/>
    <w:lvl w:ilvl="0" w:tplc="7EC0EA0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078355A"/>
    <w:multiLevelType w:val="hybridMultilevel"/>
    <w:tmpl w:val="F3F22250"/>
    <w:lvl w:ilvl="0" w:tplc="56265ED8">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7">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nsid w:val="633647AC"/>
    <w:multiLevelType w:val="hybridMultilevel"/>
    <w:tmpl w:val="AADC3EE0"/>
    <w:lvl w:ilvl="0" w:tplc="7AA0D4EE">
      <w:numFmt w:val="bullet"/>
      <w:lvlText w:val="-"/>
      <w:lvlJc w:val="left"/>
      <w:pPr>
        <w:ind w:left="1967" w:hanging="360"/>
      </w:pPr>
      <w:rPr>
        <w:rFonts w:ascii="Times New Roman" w:eastAsia="Calibri" w:hAnsi="Times New Roman" w:cs="Times New Roman"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9">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2"/>
  </w:num>
  <w:num w:numId="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12"/>
  </w:num>
  <w:num w:numId="10">
    <w:abstractNumId w:val="12"/>
    <w:lvlOverride w:ilvl="0"/>
    <w:lvlOverride w:ilvl="1"/>
    <w:lvlOverride w:ilvl="2"/>
    <w:lvlOverride w:ilvl="3"/>
    <w:lvlOverride w:ilvl="4"/>
    <w:lvlOverride w:ilvl="5"/>
    <w:lvlOverride w:ilvl="6"/>
    <w:lvlOverride w:ilvl="7"/>
    <w:lvlOverride w:ilv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lvlOverride w:ilvl="2"/>
    <w:lvlOverride w:ilvl="3"/>
    <w:lvlOverride w:ilvl="4"/>
    <w:lvlOverride w:ilvl="5"/>
    <w:lvlOverride w:ilvl="6"/>
    <w:lvlOverride w:ilvl="7"/>
    <w:lvlOverride w:ilvl="8"/>
  </w:num>
  <w:num w:numId="29">
    <w:abstractNumId w:val="24"/>
  </w:num>
  <w:num w:numId="30">
    <w:abstractNumId w:val="24"/>
    <w:lvlOverride w:ilvl="0"/>
    <w:lvlOverride w:ilvl="1"/>
    <w:lvlOverride w:ilvl="2"/>
    <w:lvlOverride w:ilvl="3"/>
    <w:lvlOverride w:ilvl="4"/>
    <w:lvlOverride w:ilvl="5"/>
    <w:lvlOverride w:ilvl="6"/>
    <w:lvlOverride w:ilvl="7"/>
    <w:lvlOverride w:ilvl="8"/>
  </w:num>
  <w:num w:numId="31">
    <w:abstractNumId w:val="29"/>
  </w:num>
  <w:num w:numId="32">
    <w:abstractNumId w:val="29"/>
    <w:lvlOverride w:ilvl="0"/>
    <w:lvlOverride w:ilvl="1"/>
    <w:lvlOverride w:ilvl="2"/>
    <w:lvlOverride w:ilvl="3"/>
    <w:lvlOverride w:ilvl="4"/>
    <w:lvlOverride w:ilvl="5"/>
    <w:lvlOverride w:ilvl="6"/>
    <w:lvlOverride w:ilvl="7"/>
    <w:lvlOverride w:ilvl="8"/>
  </w:num>
  <w:num w:numId="33">
    <w:abstractNumId w:val="14"/>
  </w:num>
  <w:num w:numId="34">
    <w:abstractNumId w:val="14"/>
    <w:lvlOverride w:ilvl="0"/>
    <w:lvlOverride w:ilvl="1"/>
    <w:lvlOverride w:ilvl="2"/>
    <w:lvlOverride w:ilvl="3"/>
    <w:lvlOverride w:ilvl="4"/>
    <w:lvlOverride w:ilvl="5"/>
    <w:lvlOverride w:ilvl="6"/>
    <w:lvlOverride w:ilvl="7"/>
    <w:lvlOverride w:ilvl="8"/>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num>
  <w:num w:numId="39">
    <w:abstractNumId w:val="23"/>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13"/>
  </w:num>
  <w:num w:numId="42">
    <w:abstractNumId w:val="7"/>
  </w:num>
  <w:num w:numId="43">
    <w:abstractNumId w:val="19"/>
  </w:num>
  <w:num w:numId="44">
    <w:abstractNumId w:val="3"/>
  </w:num>
  <w:num w:numId="45">
    <w:abstractNumId w:val="28"/>
  </w:num>
  <w:num w:numId="4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4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4">
    <w:abstractNumId w:val="27"/>
  </w:num>
  <w:num w:numId="5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5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1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2">
    <w:abstractNumId w:val="26"/>
  </w:num>
  <w:num w:numId="133">
    <w:abstractNumId w:val="9"/>
  </w:num>
  <w:num w:numId="134">
    <w:abstractNumId w:val="25"/>
  </w:num>
  <w:num w:numId="13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4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3">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activeWritingStyle w:appName="MSWord" w:lang="fr-CA"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3059"/>
    <w:rsid w:val="00004628"/>
    <w:rsid w:val="000103D3"/>
    <w:rsid w:val="0001160A"/>
    <w:rsid w:val="000149E6"/>
    <w:rsid w:val="000155C7"/>
    <w:rsid w:val="00022086"/>
    <w:rsid w:val="00023E32"/>
    <w:rsid w:val="000247B0"/>
    <w:rsid w:val="00026997"/>
    <w:rsid w:val="000309B2"/>
    <w:rsid w:val="00032DB5"/>
    <w:rsid w:val="00033E0B"/>
    <w:rsid w:val="00035EDE"/>
    <w:rsid w:val="000440BA"/>
    <w:rsid w:val="000458EE"/>
    <w:rsid w:val="0004779A"/>
    <w:rsid w:val="000509B4"/>
    <w:rsid w:val="00055BA7"/>
    <w:rsid w:val="00055DF4"/>
    <w:rsid w:val="00071886"/>
    <w:rsid w:val="00072509"/>
    <w:rsid w:val="000742BC"/>
    <w:rsid w:val="00081E43"/>
    <w:rsid w:val="00082A0C"/>
    <w:rsid w:val="000917E8"/>
    <w:rsid w:val="00094221"/>
    <w:rsid w:val="0009640C"/>
    <w:rsid w:val="000B0E3E"/>
    <w:rsid w:val="000B59B2"/>
    <w:rsid w:val="000C053C"/>
    <w:rsid w:val="000C0B07"/>
    <w:rsid w:val="000C3687"/>
    <w:rsid w:val="000C665C"/>
    <w:rsid w:val="000D33C0"/>
    <w:rsid w:val="000D523B"/>
    <w:rsid w:val="000E13EF"/>
    <w:rsid w:val="000E5F2E"/>
    <w:rsid w:val="000F3B6C"/>
    <w:rsid w:val="000F4F06"/>
    <w:rsid w:val="00100853"/>
    <w:rsid w:val="00102111"/>
    <w:rsid w:val="0010766C"/>
    <w:rsid w:val="001202E3"/>
    <w:rsid w:val="001213CD"/>
    <w:rsid w:val="00121951"/>
    <w:rsid w:val="0012286B"/>
    <w:rsid w:val="0013059D"/>
    <w:rsid w:val="00141A55"/>
    <w:rsid w:val="00154C3D"/>
    <w:rsid w:val="001554A3"/>
    <w:rsid w:val="00156281"/>
    <w:rsid w:val="00156B8E"/>
    <w:rsid w:val="0016009C"/>
    <w:rsid w:val="00164CAC"/>
    <w:rsid w:val="001673CF"/>
    <w:rsid w:val="00181BC9"/>
    <w:rsid w:val="00181EC8"/>
    <w:rsid w:val="00184349"/>
    <w:rsid w:val="00187A5D"/>
    <w:rsid w:val="0019268D"/>
    <w:rsid w:val="001A68FB"/>
    <w:rsid w:val="001B0555"/>
    <w:rsid w:val="001B08F0"/>
    <w:rsid w:val="001B1617"/>
    <w:rsid w:val="001B209F"/>
    <w:rsid w:val="001D3874"/>
    <w:rsid w:val="001D4810"/>
    <w:rsid w:val="001D77CB"/>
    <w:rsid w:val="001D7E75"/>
    <w:rsid w:val="001E0F0C"/>
    <w:rsid w:val="001E56D2"/>
    <w:rsid w:val="001E7D56"/>
    <w:rsid w:val="001F034F"/>
    <w:rsid w:val="001F65A5"/>
    <w:rsid w:val="001F6E9A"/>
    <w:rsid w:val="001F75DE"/>
    <w:rsid w:val="00200D58"/>
    <w:rsid w:val="002013BE"/>
    <w:rsid w:val="002063A4"/>
    <w:rsid w:val="0021145B"/>
    <w:rsid w:val="0021528D"/>
    <w:rsid w:val="00217010"/>
    <w:rsid w:val="002179B9"/>
    <w:rsid w:val="00221239"/>
    <w:rsid w:val="00221AE7"/>
    <w:rsid w:val="00234B58"/>
    <w:rsid w:val="002463AF"/>
    <w:rsid w:val="002464B8"/>
    <w:rsid w:val="00247707"/>
    <w:rsid w:val="00252DCF"/>
    <w:rsid w:val="00257D81"/>
    <w:rsid w:val="002607A0"/>
    <w:rsid w:val="002632F3"/>
    <w:rsid w:val="00271A4F"/>
    <w:rsid w:val="002726CF"/>
    <w:rsid w:val="002772FD"/>
    <w:rsid w:val="002773E9"/>
    <w:rsid w:val="002775ED"/>
    <w:rsid w:val="00286740"/>
    <w:rsid w:val="00286F23"/>
    <w:rsid w:val="00287E60"/>
    <w:rsid w:val="002929D8"/>
    <w:rsid w:val="002A237D"/>
    <w:rsid w:val="002A4BC8"/>
    <w:rsid w:val="002A4C53"/>
    <w:rsid w:val="002A564F"/>
    <w:rsid w:val="002A6A11"/>
    <w:rsid w:val="002A6F55"/>
    <w:rsid w:val="002B035E"/>
    <w:rsid w:val="002B3330"/>
    <w:rsid w:val="002C145D"/>
    <w:rsid w:val="002C2C3E"/>
    <w:rsid w:val="002C533E"/>
    <w:rsid w:val="002C7132"/>
    <w:rsid w:val="002D027F"/>
    <w:rsid w:val="002D23A7"/>
    <w:rsid w:val="002D7B60"/>
    <w:rsid w:val="002D7F92"/>
    <w:rsid w:val="002F4761"/>
    <w:rsid w:val="003056C1"/>
    <w:rsid w:val="0030703F"/>
    <w:rsid w:val="0031413F"/>
    <w:rsid w:val="003148BB"/>
    <w:rsid w:val="00330F26"/>
    <w:rsid w:val="00335A87"/>
    <w:rsid w:val="00336901"/>
    <w:rsid w:val="003446B5"/>
    <w:rsid w:val="0034548C"/>
    <w:rsid w:val="003503B6"/>
    <w:rsid w:val="003543BB"/>
    <w:rsid w:val="00355EA9"/>
    <w:rsid w:val="003742B3"/>
    <w:rsid w:val="00384D3D"/>
    <w:rsid w:val="00385963"/>
    <w:rsid w:val="00385B83"/>
    <w:rsid w:val="00392F22"/>
    <w:rsid w:val="00394201"/>
    <w:rsid w:val="00396257"/>
    <w:rsid w:val="00397909"/>
    <w:rsid w:val="00397EB8"/>
    <w:rsid w:val="003A4C16"/>
    <w:rsid w:val="003A4FD0"/>
    <w:rsid w:val="003A69D1"/>
    <w:rsid w:val="003B0C0D"/>
    <w:rsid w:val="003B1545"/>
    <w:rsid w:val="003C409D"/>
    <w:rsid w:val="003C48F7"/>
    <w:rsid w:val="003C4EFB"/>
    <w:rsid w:val="003C5875"/>
    <w:rsid w:val="003D663F"/>
    <w:rsid w:val="003E09A0"/>
    <w:rsid w:val="003E17C4"/>
    <w:rsid w:val="003E395B"/>
    <w:rsid w:val="003E7728"/>
    <w:rsid w:val="003F0E85"/>
    <w:rsid w:val="00400A93"/>
    <w:rsid w:val="00400EFD"/>
    <w:rsid w:val="00406E7E"/>
    <w:rsid w:val="00410C55"/>
    <w:rsid w:val="004121C4"/>
    <w:rsid w:val="00413942"/>
    <w:rsid w:val="0041604C"/>
    <w:rsid w:val="00417725"/>
    <w:rsid w:val="00425C06"/>
    <w:rsid w:val="00431EC7"/>
    <w:rsid w:val="0043209B"/>
    <w:rsid w:val="0043591D"/>
    <w:rsid w:val="00437F26"/>
    <w:rsid w:val="00446EF6"/>
    <w:rsid w:val="00447EF3"/>
    <w:rsid w:val="00454769"/>
    <w:rsid w:val="00462C3C"/>
    <w:rsid w:val="0046429E"/>
    <w:rsid w:val="004647DC"/>
    <w:rsid w:val="00466991"/>
    <w:rsid w:val="0047064C"/>
    <w:rsid w:val="00471DFA"/>
    <w:rsid w:val="004737AF"/>
    <w:rsid w:val="0048103F"/>
    <w:rsid w:val="004827F3"/>
    <w:rsid w:val="00486585"/>
    <w:rsid w:val="00493E19"/>
    <w:rsid w:val="00494455"/>
    <w:rsid w:val="00495289"/>
    <w:rsid w:val="00496EFB"/>
    <w:rsid w:val="004A43C2"/>
    <w:rsid w:val="004B5666"/>
    <w:rsid w:val="004C5C96"/>
    <w:rsid w:val="004D06A4"/>
    <w:rsid w:val="004F1A81"/>
    <w:rsid w:val="004F2D0E"/>
    <w:rsid w:val="004F32E3"/>
    <w:rsid w:val="004F6395"/>
    <w:rsid w:val="00502723"/>
    <w:rsid w:val="0050619E"/>
    <w:rsid w:val="0051335F"/>
    <w:rsid w:val="005160EC"/>
    <w:rsid w:val="005218D9"/>
    <w:rsid w:val="005269C4"/>
    <w:rsid w:val="00535BDA"/>
    <w:rsid w:val="00536186"/>
    <w:rsid w:val="0054124B"/>
    <w:rsid w:val="00543454"/>
    <w:rsid w:val="005453ED"/>
    <w:rsid w:val="00550273"/>
    <w:rsid w:val="00550DF7"/>
    <w:rsid w:val="0056096D"/>
    <w:rsid w:val="00563241"/>
    <w:rsid w:val="0057315F"/>
    <w:rsid w:val="00573200"/>
    <w:rsid w:val="005732F4"/>
    <w:rsid w:val="00574792"/>
    <w:rsid w:val="00580152"/>
    <w:rsid w:val="00584B14"/>
    <w:rsid w:val="0058715D"/>
    <w:rsid w:val="005A59FE"/>
    <w:rsid w:val="005B51AA"/>
    <w:rsid w:val="005B584B"/>
    <w:rsid w:val="005B7D60"/>
    <w:rsid w:val="005C00D1"/>
    <w:rsid w:val="005C67C8"/>
    <w:rsid w:val="005D0249"/>
    <w:rsid w:val="005D0872"/>
    <w:rsid w:val="005D1F76"/>
    <w:rsid w:val="005D4E57"/>
    <w:rsid w:val="005D745E"/>
    <w:rsid w:val="005F100C"/>
    <w:rsid w:val="005F1648"/>
    <w:rsid w:val="005F1662"/>
    <w:rsid w:val="005F506D"/>
    <w:rsid w:val="005F7986"/>
    <w:rsid w:val="0061071C"/>
    <w:rsid w:val="0061302B"/>
    <w:rsid w:val="00620F1E"/>
    <w:rsid w:val="00621F9B"/>
    <w:rsid w:val="00623998"/>
    <w:rsid w:val="006252F5"/>
    <w:rsid w:val="00625577"/>
    <w:rsid w:val="006303B4"/>
    <w:rsid w:val="006370DB"/>
    <w:rsid w:val="00637CE4"/>
    <w:rsid w:val="00641703"/>
    <w:rsid w:val="00642D47"/>
    <w:rsid w:val="006431A6"/>
    <w:rsid w:val="00644422"/>
    <w:rsid w:val="006459F6"/>
    <w:rsid w:val="006474E9"/>
    <w:rsid w:val="0064783A"/>
    <w:rsid w:val="006501AD"/>
    <w:rsid w:val="00651BFA"/>
    <w:rsid w:val="00651E50"/>
    <w:rsid w:val="00656C8E"/>
    <w:rsid w:val="006578DD"/>
    <w:rsid w:val="00677290"/>
    <w:rsid w:val="00682641"/>
    <w:rsid w:val="006863AD"/>
    <w:rsid w:val="00686FD9"/>
    <w:rsid w:val="00690F95"/>
    <w:rsid w:val="00692E2A"/>
    <w:rsid w:val="006A59DE"/>
    <w:rsid w:val="006A76F2"/>
    <w:rsid w:val="006B5D55"/>
    <w:rsid w:val="006B66CA"/>
    <w:rsid w:val="006C3C12"/>
    <w:rsid w:val="006C740F"/>
    <w:rsid w:val="006D7EFB"/>
    <w:rsid w:val="006E3441"/>
    <w:rsid w:val="006E3F57"/>
    <w:rsid w:val="006E5E31"/>
    <w:rsid w:val="006E6722"/>
    <w:rsid w:val="007027B9"/>
    <w:rsid w:val="00705F05"/>
    <w:rsid w:val="0071088A"/>
    <w:rsid w:val="00715E88"/>
    <w:rsid w:val="0072504C"/>
    <w:rsid w:val="00726CC0"/>
    <w:rsid w:val="00734CAA"/>
    <w:rsid w:val="00745F24"/>
    <w:rsid w:val="00747B8E"/>
    <w:rsid w:val="00756DB7"/>
    <w:rsid w:val="00757581"/>
    <w:rsid w:val="00757CA2"/>
    <w:rsid w:val="0076107C"/>
    <w:rsid w:val="007737A8"/>
    <w:rsid w:val="007964D9"/>
    <w:rsid w:val="007A5746"/>
    <w:rsid w:val="007A5C12"/>
    <w:rsid w:val="007B5622"/>
    <w:rsid w:val="007C2541"/>
    <w:rsid w:val="007C2B49"/>
    <w:rsid w:val="007D5D6C"/>
    <w:rsid w:val="007D7245"/>
    <w:rsid w:val="007E003F"/>
    <w:rsid w:val="007F154E"/>
    <w:rsid w:val="007F72D1"/>
    <w:rsid w:val="008019EB"/>
    <w:rsid w:val="00801F25"/>
    <w:rsid w:val="00804B9B"/>
    <w:rsid w:val="00805E39"/>
    <w:rsid w:val="0080755F"/>
    <w:rsid w:val="00823C00"/>
    <w:rsid w:val="00830E26"/>
    <w:rsid w:val="00843576"/>
    <w:rsid w:val="00843B64"/>
    <w:rsid w:val="00853B8B"/>
    <w:rsid w:val="00854EB8"/>
    <w:rsid w:val="0086157B"/>
    <w:rsid w:val="00867BFF"/>
    <w:rsid w:val="008739BA"/>
    <w:rsid w:val="00880504"/>
    <w:rsid w:val="0088480A"/>
    <w:rsid w:val="00891B46"/>
    <w:rsid w:val="008926EC"/>
    <w:rsid w:val="008957DD"/>
    <w:rsid w:val="00897D98"/>
    <w:rsid w:val="008A6DF2"/>
    <w:rsid w:val="008B3957"/>
    <w:rsid w:val="008B6FB1"/>
    <w:rsid w:val="008B79B4"/>
    <w:rsid w:val="008C005A"/>
    <w:rsid w:val="008C7C17"/>
    <w:rsid w:val="008D0E23"/>
    <w:rsid w:val="008D37C3"/>
    <w:rsid w:val="008D6BA0"/>
    <w:rsid w:val="008D7C99"/>
    <w:rsid w:val="008E0FCB"/>
    <w:rsid w:val="008F3E62"/>
    <w:rsid w:val="008F52D0"/>
    <w:rsid w:val="008F5894"/>
    <w:rsid w:val="00900BB6"/>
    <w:rsid w:val="00911AB0"/>
    <w:rsid w:val="00913975"/>
    <w:rsid w:val="00914084"/>
    <w:rsid w:val="0092178C"/>
    <w:rsid w:val="00921BD2"/>
    <w:rsid w:val="009250A2"/>
    <w:rsid w:val="00925960"/>
    <w:rsid w:val="009271DE"/>
    <w:rsid w:val="009332C9"/>
    <w:rsid w:val="009366F3"/>
    <w:rsid w:val="00937AA0"/>
    <w:rsid w:val="00940DCC"/>
    <w:rsid w:val="0094179A"/>
    <w:rsid w:val="00943BDB"/>
    <w:rsid w:val="0094459E"/>
    <w:rsid w:val="00944DBC"/>
    <w:rsid w:val="00950977"/>
    <w:rsid w:val="00951A7B"/>
    <w:rsid w:val="0095574F"/>
    <w:rsid w:val="009564A6"/>
    <w:rsid w:val="00962B5E"/>
    <w:rsid w:val="00963208"/>
    <w:rsid w:val="00963258"/>
    <w:rsid w:val="00983EE2"/>
    <w:rsid w:val="009862F8"/>
    <w:rsid w:val="00986AC7"/>
    <w:rsid w:val="00986F26"/>
    <w:rsid w:val="00987898"/>
    <w:rsid w:val="0098795B"/>
    <w:rsid w:val="00991011"/>
    <w:rsid w:val="009A4ACC"/>
    <w:rsid w:val="009A6528"/>
    <w:rsid w:val="009B0859"/>
    <w:rsid w:val="009B463C"/>
    <w:rsid w:val="009B4A0F"/>
    <w:rsid w:val="009C1324"/>
    <w:rsid w:val="009C2890"/>
    <w:rsid w:val="009C6D94"/>
    <w:rsid w:val="009D0B63"/>
    <w:rsid w:val="009D3F3B"/>
    <w:rsid w:val="009D4D53"/>
    <w:rsid w:val="009D585B"/>
    <w:rsid w:val="009D59AB"/>
    <w:rsid w:val="009D6450"/>
    <w:rsid w:val="009E6626"/>
    <w:rsid w:val="009E6DF7"/>
    <w:rsid w:val="00A1348D"/>
    <w:rsid w:val="00A13943"/>
    <w:rsid w:val="00A17BA5"/>
    <w:rsid w:val="00A232EE"/>
    <w:rsid w:val="00A349B7"/>
    <w:rsid w:val="00A41032"/>
    <w:rsid w:val="00A41B84"/>
    <w:rsid w:val="00A44411"/>
    <w:rsid w:val="00A469FA"/>
    <w:rsid w:val="00A55B01"/>
    <w:rsid w:val="00A56B5B"/>
    <w:rsid w:val="00A60F26"/>
    <w:rsid w:val="00A64EE6"/>
    <w:rsid w:val="00A657DD"/>
    <w:rsid w:val="00A666A6"/>
    <w:rsid w:val="00A80611"/>
    <w:rsid w:val="00A81CD8"/>
    <w:rsid w:val="00A8353A"/>
    <w:rsid w:val="00A91D89"/>
    <w:rsid w:val="00AA31A3"/>
    <w:rsid w:val="00AA3A0E"/>
    <w:rsid w:val="00AA4E66"/>
    <w:rsid w:val="00AB2918"/>
    <w:rsid w:val="00AB5340"/>
    <w:rsid w:val="00AB7C0A"/>
    <w:rsid w:val="00AC06DF"/>
    <w:rsid w:val="00AC52A8"/>
    <w:rsid w:val="00AC7C96"/>
    <w:rsid w:val="00AD5255"/>
    <w:rsid w:val="00AD7C9B"/>
    <w:rsid w:val="00AE237D"/>
    <w:rsid w:val="00AE49EB"/>
    <w:rsid w:val="00AE5B98"/>
    <w:rsid w:val="00AE7DFE"/>
    <w:rsid w:val="00AF7249"/>
    <w:rsid w:val="00AF7C07"/>
    <w:rsid w:val="00B13586"/>
    <w:rsid w:val="00B275BB"/>
    <w:rsid w:val="00B35D0C"/>
    <w:rsid w:val="00B36A6D"/>
    <w:rsid w:val="00B4016E"/>
    <w:rsid w:val="00B405B7"/>
    <w:rsid w:val="00B4262C"/>
    <w:rsid w:val="00B46490"/>
    <w:rsid w:val="00B619AA"/>
    <w:rsid w:val="00B66901"/>
    <w:rsid w:val="00B71E6D"/>
    <w:rsid w:val="00B72070"/>
    <w:rsid w:val="00B73A54"/>
    <w:rsid w:val="00B74DAA"/>
    <w:rsid w:val="00B7750A"/>
    <w:rsid w:val="00B779E1"/>
    <w:rsid w:val="00B84371"/>
    <w:rsid w:val="00B85A41"/>
    <w:rsid w:val="00B95208"/>
    <w:rsid w:val="00B96BF7"/>
    <w:rsid w:val="00BA1A67"/>
    <w:rsid w:val="00BB15DE"/>
    <w:rsid w:val="00BB7F71"/>
    <w:rsid w:val="00BC093D"/>
    <w:rsid w:val="00BD1B4E"/>
    <w:rsid w:val="00BD51B6"/>
    <w:rsid w:val="00BE2356"/>
    <w:rsid w:val="00BF0F0A"/>
    <w:rsid w:val="00BF2DD2"/>
    <w:rsid w:val="00BF3703"/>
    <w:rsid w:val="00BF3DE7"/>
    <w:rsid w:val="00BF48B1"/>
    <w:rsid w:val="00BF7A7C"/>
    <w:rsid w:val="00C11156"/>
    <w:rsid w:val="00C15FB3"/>
    <w:rsid w:val="00C30C63"/>
    <w:rsid w:val="00C41236"/>
    <w:rsid w:val="00C4774A"/>
    <w:rsid w:val="00C51C3D"/>
    <w:rsid w:val="00C51F45"/>
    <w:rsid w:val="00C527F3"/>
    <w:rsid w:val="00C558DA"/>
    <w:rsid w:val="00C57664"/>
    <w:rsid w:val="00C62344"/>
    <w:rsid w:val="00C669AD"/>
    <w:rsid w:val="00C725DC"/>
    <w:rsid w:val="00C84759"/>
    <w:rsid w:val="00C871A4"/>
    <w:rsid w:val="00C93203"/>
    <w:rsid w:val="00C93A3A"/>
    <w:rsid w:val="00C95831"/>
    <w:rsid w:val="00C95C8D"/>
    <w:rsid w:val="00C961BB"/>
    <w:rsid w:val="00CA0D72"/>
    <w:rsid w:val="00CA2CB5"/>
    <w:rsid w:val="00CA5F73"/>
    <w:rsid w:val="00CA6C7F"/>
    <w:rsid w:val="00CB1404"/>
    <w:rsid w:val="00CB6781"/>
    <w:rsid w:val="00CC10A6"/>
    <w:rsid w:val="00CC2354"/>
    <w:rsid w:val="00CD2A97"/>
    <w:rsid w:val="00CD3D68"/>
    <w:rsid w:val="00CD4421"/>
    <w:rsid w:val="00CD7044"/>
    <w:rsid w:val="00CE2264"/>
    <w:rsid w:val="00CE2A2D"/>
    <w:rsid w:val="00CE435F"/>
    <w:rsid w:val="00CE524C"/>
    <w:rsid w:val="00CE5FCF"/>
    <w:rsid w:val="00CF141F"/>
    <w:rsid w:val="00CF4777"/>
    <w:rsid w:val="00D02075"/>
    <w:rsid w:val="00D12B2C"/>
    <w:rsid w:val="00D15118"/>
    <w:rsid w:val="00D169AF"/>
    <w:rsid w:val="00D22513"/>
    <w:rsid w:val="00D25249"/>
    <w:rsid w:val="00D34B0D"/>
    <w:rsid w:val="00D3536A"/>
    <w:rsid w:val="00D44172"/>
    <w:rsid w:val="00D44F03"/>
    <w:rsid w:val="00D46C05"/>
    <w:rsid w:val="00D63B8C"/>
    <w:rsid w:val="00D71D25"/>
    <w:rsid w:val="00D739CC"/>
    <w:rsid w:val="00D8093D"/>
    <w:rsid w:val="00D8108C"/>
    <w:rsid w:val="00D82D20"/>
    <w:rsid w:val="00D842AE"/>
    <w:rsid w:val="00D9211C"/>
    <w:rsid w:val="00D92DE0"/>
    <w:rsid w:val="00D93A0F"/>
    <w:rsid w:val="00D96369"/>
    <w:rsid w:val="00DA1BCA"/>
    <w:rsid w:val="00DA78F6"/>
    <w:rsid w:val="00DB1194"/>
    <w:rsid w:val="00DC3A31"/>
    <w:rsid w:val="00DC438B"/>
    <w:rsid w:val="00DC46FF"/>
    <w:rsid w:val="00DD1A4F"/>
    <w:rsid w:val="00DD246E"/>
    <w:rsid w:val="00DD7C2C"/>
    <w:rsid w:val="00DE7A06"/>
    <w:rsid w:val="00DF33F6"/>
    <w:rsid w:val="00DF3CBA"/>
    <w:rsid w:val="00DF4796"/>
    <w:rsid w:val="00DF59F6"/>
    <w:rsid w:val="00E04301"/>
    <w:rsid w:val="00E048F4"/>
    <w:rsid w:val="00E06389"/>
    <w:rsid w:val="00E06797"/>
    <w:rsid w:val="00E10FB7"/>
    <w:rsid w:val="00E110C8"/>
    <w:rsid w:val="00E12A4E"/>
    <w:rsid w:val="00E14955"/>
    <w:rsid w:val="00E215B0"/>
    <w:rsid w:val="00E21C83"/>
    <w:rsid w:val="00E23FA5"/>
    <w:rsid w:val="00E302D9"/>
    <w:rsid w:val="00E306F1"/>
    <w:rsid w:val="00E41FB3"/>
    <w:rsid w:val="00E4612E"/>
    <w:rsid w:val="00E46D9A"/>
    <w:rsid w:val="00E46E5E"/>
    <w:rsid w:val="00E55859"/>
    <w:rsid w:val="00E565FF"/>
    <w:rsid w:val="00E579BD"/>
    <w:rsid w:val="00E634D5"/>
    <w:rsid w:val="00E65388"/>
    <w:rsid w:val="00E74B3A"/>
    <w:rsid w:val="00E76253"/>
    <w:rsid w:val="00E85B7D"/>
    <w:rsid w:val="00E9121B"/>
    <w:rsid w:val="00E91F36"/>
    <w:rsid w:val="00E93328"/>
    <w:rsid w:val="00E95E22"/>
    <w:rsid w:val="00EA0290"/>
    <w:rsid w:val="00EA0B53"/>
    <w:rsid w:val="00EA39E5"/>
    <w:rsid w:val="00EA560C"/>
    <w:rsid w:val="00EB1B8B"/>
    <w:rsid w:val="00EC2AB0"/>
    <w:rsid w:val="00EC3219"/>
    <w:rsid w:val="00EC5A46"/>
    <w:rsid w:val="00EC63E2"/>
    <w:rsid w:val="00ED2EAD"/>
    <w:rsid w:val="00ED54D0"/>
    <w:rsid w:val="00ED7C23"/>
    <w:rsid w:val="00EF21F3"/>
    <w:rsid w:val="00EF22B3"/>
    <w:rsid w:val="00EF2844"/>
    <w:rsid w:val="00F044F7"/>
    <w:rsid w:val="00F064C1"/>
    <w:rsid w:val="00F113DA"/>
    <w:rsid w:val="00F116F2"/>
    <w:rsid w:val="00F17D16"/>
    <w:rsid w:val="00F21894"/>
    <w:rsid w:val="00F22D44"/>
    <w:rsid w:val="00F32F67"/>
    <w:rsid w:val="00F37DC8"/>
    <w:rsid w:val="00F41127"/>
    <w:rsid w:val="00F43A8E"/>
    <w:rsid w:val="00F47CD5"/>
    <w:rsid w:val="00F5341A"/>
    <w:rsid w:val="00F60B71"/>
    <w:rsid w:val="00F650C3"/>
    <w:rsid w:val="00F67A48"/>
    <w:rsid w:val="00F71885"/>
    <w:rsid w:val="00F75E63"/>
    <w:rsid w:val="00F8091E"/>
    <w:rsid w:val="00F8577F"/>
    <w:rsid w:val="00F8615C"/>
    <w:rsid w:val="00F874B7"/>
    <w:rsid w:val="00F9516F"/>
    <w:rsid w:val="00FB254A"/>
    <w:rsid w:val="00FB6C90"/>
    <w:rsid w:val="00FD3EE8"/>
    <w:rsid w:val="00FD534F"/>
    <w:rsid w:val="00FD5860"/>
    <w:rsid w:val="00FE352D"/>
    <w:rsid w:val="00FE46B3"/>
    <w:rsid w:val="00FE7D62"/>
    <w:rsid w:val="00FF62BA"/>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cs="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paragraph" w:customStyle="1" w:styleId="ListParagraph2">
    <w:name w:val="List Paragraph2"/>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ListParagraph1">
    <w:name w:val="List Paragraph1"/>
    <w:basedOn w:val="Normal"/>
    <w:uiPriority w:val="34"/>
    <w:qFormat/>
    <w:rsid w:val="00651E50"/>
    <w:pPr>
      <w:spacing w:after="200" w:line="276" w:lineRule="auto"/>
      <w:ind w:left="720"/>
      <w:contextualSpacing/>
    </w:pPr>
    <w:rPr>
      <w:rFonts w:ascii="Calibri" w:eastAsia="Calibri" w:hAnsi="Calibri"/>
      <w:sz w:val="22"/>
      <w:szCs w:val="22"/>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ils.usda.gov/use/worldsoils/papers/land-degradation-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40DA-672F-4E26-9644-EB6083DF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17792</CharactersWithSpaces>
  <SharedDoc>false</SharedDoc>
  <HLinks>
    <vt:vector size="6" baseType="variant">
      <vt:variant>
        <vt:i4>7864440</vt:i4>
      </vt:variant>
      <vt:variant>
        <vt:i4>0</vt:i4>
      </vt:variant>
      <vt:variant>
        <vt:i4>0</vt:i4>
      </vt:variant>
      <vt:variant>
        <vt:i4>5</vt:i4>
      </vt:variant>
      <vt:variant>
        <vt:lpwstr>http://soils.usda.gov/use/worldsoils/papers/land-degradation-overview.html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2013-11-12T12:40:00Z</cp:lastPrinted>
  <dcterms:created xsi:type="dcterms:W3CDTF">2013-11-15T15:44:00Z</dcterms:created>
  <dcterms:modified xsi:type="dcterms:W3CDTF">2013-11-15T15:44:00Z</dcterms:modified>
</cp:coreProperties>
</file>