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C1750E">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C1750E">
              <w:rPr>
                <w:rFonts w:cs="Times New Roman"/>
                <w:sz w:val="20"/>
                <w:szCs w:val="20"/>
              </w:rPr>
              <w:t>8</w:t>
            </w:r>
            <w:r w:rsidR="004D4A05">
              <w:rPr>
                <w:rStyle w:val="FootnoteReference"/>
                <w:rFonts w:cs="Times New Roman"/>
                <w:sz w:val="20"/>
                <w:szCs w:val="20"/>
                <w:rtl/>
              </w:rPr>
              <w:footnoteReference w:customMarkFollows="1" w:id="1"/>
              <w:t>*</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FC037D">
        <w:tblPrEx>
          <w:tblCellMar>
            <w:top w:w="0" w:type="dxa"/>
            <w:bottom w:w="0" w:type="dxa"/>
          </w:tblCellMar>
        </w:tblPrEx>
        <w:trPr>
          <w:cantSplit/>
          <w:trHeight w:val="2564"/>
        </w:trPr>
        <w:tc>
          <w:tcPr>
            <w:tcW w:w="2707" w:type="dxa"/>
            <w:tcBorders>
              <w:top w:val="single" w:sz="4" w:space="0" w:color="auto"/>
              <w:bottom w:val="single" w:sz="2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D300E2" w:rsidP="007F304D">
            <w:pPr>
              <w:bidi w:val="0"/>
              <w:jc w:val="both"/>
              <w:rPr>
                <w:rFonts w:cs="Times New Roman"/>
                <w:sz w:val="20"/>
                <w:szCs w:val="20"/>
              </w:rPr>
            </w:pPr>
            <w:r>
              <w:rPr>
                <w:rFonts w:cs="Times New Roman"/>
                <w:sz w:val="20"/>
                <w:szCs w:val="20"/>
              </w:rPr>
              <w:t>10</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bottom w:val="single" w:sz="24" w:space="0" w:color="auto"/>
            </w:tcBorders>
          </w:tcPr>
          <w:p w:rsidR="00DE796A" w:rsidRDefault="00DE796A" w:rsidP="00DA37C2">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bottom w:val="single" w:sz="24" w:space="0" w:color="auto"/>
            </w:tcBorders>
          </w:tcPr>
          <w:p w:rsidR="00DE796A" w:rsidRDefault="00B622C9" w:rsidP="00DA37C2">
            <w:pPr>
              <w:bidi w:val="0"/>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B622C9"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37C2" w:rsidTr="00FC037D">
        <w:tblPrEx>
          <w:tblCellMar>
            <w:top w:w="0" w:type="dxa"/>
            <w:bottom w:w="0" w:type="dxa"/>
          </w:tblCellMar>
        </w:tblPrEx>
        <w:trPr>
          <w:cantSplit/>
          <w:trHeight w:val="2564"/>
        </w:trPr>
        <w:tc>
          <w:tcPr>
            <w:tcW w:w="2707" w:type="dxa"/>
            <w:tcBorders>
              <w:top w:val="single" w:sz="24" w:space="0" w:color="auto"/>
              <w:bottom w:val="nil"/>
            </w:tcBorders>
          </w:tcPr>
          <w:p w:rsidR="00DA37C2" w:rsidRPr="00A969A0" w:rsidRDefault="00DA37C2" w:rsidP="007B173A">
            <w:pPr>
              <w:bidi w:val="0"/>
              <w:spacing w:before="240"/>
              <w:jc w:val="both"/>
              <w:rPr>
                <w:rFonts w:cs="Times New Roman"/>
                <w:sz w:val="20"/>
                <w:szCs w:val="20"/>
              </w:rPr>
            </w:pPr>
          </w:p>
        </w:tc>
        <w:tc>
          <w:tcPr>
            <w:tcW w:w="6933" w:type="dxa"/>
            <w:gridSpan w:val="2"/>
            <w:tcBorders>
              <w:top w:val="single" w:sz="24" w:space="0" w:color="auto"/>
              <w:bottom w:val="nil"/>
            </w:tcBorders>
          </w:tcPr>
          <w:p w:rsidR="008809AF" w:rsidRPr="0038322E" w:rsidRDefault="008809AF" w:rsidP="00D300E2">
            <w:pPr>
              <w:spacing w:before="120" w:after="40" w:line="360" w:lineRule="exact"/>
              <w:ind w:left="176" w:right="2858"/>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DA37C2" w:rsidRPr="00FC037D" w:rsidRDefault="008809AF" w:rsidP="008809AF">
            <w:pPr>
              <w:spacing w:line="360" w:lineRule="exact"/>
              <w:ind w:left="176" w:right="2289"/>
              <w:jc w:val="both"/>
              <w:rPr>
                <w:rFonts w:ascii="Times New Roman Bold" w:hAnsi="Times New Roman Bold"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DA37C2" w:rsidRPr="00FC037D" w:rsidRDefault="00DA37C2" w:rsidP="00DA37C2">
            <w:pPr>
              <w:spacing w:after="40" w:line="360" w:lineRule="exact"/>
              <w:ind w:left="176" w:right="2289"/>
              <w:jc w:val="both"/>
              <w:rPr>
                <w:rFonts w:cs="Traditional Arabic" w:hint="cs"/>
                <w:sz w:val="30"/>
                <w:szCs w:val="30"/>
                <w:rtl/>
              </w:rPr>
            </w:pPr>
            <w:r w:rsidRPr="00FC037D">
              <w:rPr>
                <w:rFonts w:cs="Traditional Arabic" w:hint="cs"/>
                <w:sz w:val="30"/>
                <w:szCs w:val="30"/>
                <w:rtl/>
              </w:rPr>
              <w:t>أنطاليا، تركيا، 9-14 كانون الأول/ديسمبر 2013</w:t>
            </w:r>
          </w:p>
          <w:p w:rsidR="00DA37C2" w:rsidRPr="009E46DF" w:rsidRDefault="00DA37C2" w:rsidP="004D4A05">
            <w:pPr>
              <w:spacing w:after="120" w:line="360" w:lineRule="exact"/>
              <w:ind w:left="176" w:right="2289"/>
              <w:jc w:val="both"/>
              <w:rPr>
                <w:rStyle w:val="FootnoteReference"/>
                <w:rFonts w:cs="Times New Roman" w:hint="cs"/>
                <w:sz w:val="20"/>
                <w:szCs w:val="20"/>
                <w:vertAlign w:val="baseline"/>
                <w:rtl/>
              </w:rPr>
            </w:pPr>
            <w:r w:rsidRPr="00FC037D">
              <w:rPr>
                <w:rFonts w:cs="Traditional Arabic" w:hint="cs"/>
                <w:sz w:val="30"/>
                <w:szCs w:val="30"/>
                <w:rtl/>
              </w:rPr>
              <w:t>البند 6 (أ)</w:t>
            </w:r>
            <w:r w:rsidR="004D4A05">
              <w:rPr>
                <w:rFonts w:cs="Traditional Arabic" w:hint="cs"/>
                <w:sz w:val="30"/>
                <w:szCs w:val="30"/>
                <w:rtl/>
              </w:rPr>
              <w:t xml:space="preserve"> و(ب)</w:t>
            </w:r>
            <w:r w:rsidRPr="00FC037D">
              <w:rPr>
                <w:rFonts w:cs="Traditional Arabic" w:hint="cs"/>
                <w:sz w:val="30"/>
                <w:szCs w:val="30"/>
                <w:rtl/>
              </w:rPr>
              <w:t xml:space="preserve"> من جدول الأعمال المؤقت</w:t>
            </w:r>
            <w:r w:rsidR="004D4A05" w:rsidRPr="004D4A05">
              <w:rPr>
                <w:rStyle w:val="FootnoteReference"/>
                <w:rFonts w:cs="Times New Roman"/>
                <w:sz w:val="24"/>
                <w:szCs w:val="24"/>
                <w:rtl/>
              </w:rPr>
              <w:footnoteReference w:customMarkFollows="1" w:id="2"/>
              <w:t>**</w:t>
            </w:r>
          </w:p>
          <w:p w:rsidR="004D4A05" w:rsidRDefault="00DA37C2" w:rsidP="004D4A05">
            <w:pPr>
              <w:spacing w:after="120" w:line="360" w:lineRule="exact"/>
              <w:ind w:left="176" w:right="2291"/>
              <w:jc w:val="both"/>
            </w:pPr>
            <w:r w:rsidRPr="00C1750E">
              <w:rPr>
                <w:rFonts w:cs="Traditional Arabic"/>
                <w:b/>
                <w:bCs/>
                <w:sz w:val="28"/>
                <w:rtl/>
              </w:rPr>
              <w:t>القواعد والإجراءات الخاصة باشتغال المنبر:</w:t>
            </w:r>
            <w:r>
              <w:rPr>
                <w:rtl/>
              </w:rPr>
              <w:t xml:space="preserve"> </w:t>
            </w:r>
            <w:r w:rsidRPr="00C1750E">
              <w:rPr>
                <w:rFonts w:cs="Traditional Arabic"/>
                <w:b/>
                <w:bCs/>
                <w:sz w:val="28"/>
                <w:rtl/>
              </w:rPr>
              <w:t xml:space="preserve">الهيكل الإقليمي لفريق الخبراء المتعدد </w:t>
            </w:r>
            <w:r w:rsidRPr="004D4A05">
              <w:rPr>
                <w:rFonts w:cs="Traditional Arabic"/>
                <w:b/>
                <w:bCs/>
                <w:sz w:val="28"/>
                <w:rtl/>
              </w:rPr>
              <w:t>ال</w:t>
            </w:r>
            <w:r w:rsidRPr="004D4A05">
              <w:rPr>
                <w:rFonts w:cs="Traditional Arabic" w:hint="cs"/>
                <w:b/>
                <w:bCs/>
                <w:sz w:val="28"/>
                <w:rtl/>
              </w:rPr>
              <w:t>تخ</w:t>
            </w:r>
            <w:r w:rsidRPr="004D4A05">
              <w:rPr>
                <w:rFonts w:cs="Traditional Arabic"/>
                <w:b/>
                <w:bCs/>
                <w:sz w:val="28"/>
                <w:rtl/>
              </w:rPr>
              <w:t>صصات</w:t>
            </w:r>
            <w:r w:rsidR="004D4A05">
              <w:rPr>
                <w:rFonts w:hint="cs"/>
                <w:rtl/>
              </w:rPr>
              <w:t xml:space="preserve">؛ </w:t>
            </w:r>
            <w:r w:rsidR="004D4A05" w:rsidRPr="004D4A05">
              <w:rPr>
                <w:rFonts w:cs="Traditional Arabic" w:hint="cs"/>
                <w:b/>
                <w:bCs/>
                <w:sz w:val="28"/>
                <w:rtl/>
              </w:rPr>
              <w:t>استعراض الإجراءات الإدارية لاختيار الأعضاء في فريق الخبراء المتعدد التخصصات</w:t>
            </w:r>
          </w:p>
        </w:tc>
      </w:tr>
    </w:tbl>
    <w:p w:rsidR="002323CD" w:rsidRDefault="00DC4E54" w:rsidP="00480927">
      <w:pPr>
        <w:tabs>
          <w:tab w:val="left" w:pos="1132"/>
        </w:tabs>
        <w:spacing w:before="240" w:after="240" w:line="400" w:lineRule="exact"/>
        <w:ind w:left="1134"/>
        <w:jc w:val="both"/>
        <w:rPr>
          <w:rFonts w:cs="Traditional Arabic" w:hint="cs"/>
          <w:b/>
          <w:bCs/>
          <w:sz w:val="34"/>
          <w:szCs w:val="34"/>
          <w:rtl/>
        </w:rPr>
      </w:pPr>
      <w:r>
        <w:rPr>
          <w:rFonts w:cs="Traditional Arabic" w:hint="cs"/>
          <w:b/>
          <w:bCs/>
          <w:sz w:val="34"/>
          <w:szCs w:val="34"/>
          <w:rtl/>
        </w:rPr>
        <w:t>الهيكل والتكوين الإقليمي المستقبلي المحتمل لفريق الخبراء المتعدد التخصصات</w:t>
      </w:r>
    </w:p>
    <w:p w:rsidR="00955980" w:rsidRDefault="00DC4E54" w:rsidP="004D4A05">
      <w:pPr>
        <w:tabs>
          <w:tab w:val="left" w:pos="1132"/>
        </w:tabs>
        <w:spacing w:after="120" w:line="400" w:lineRule="exact"/>
        <w:ind w:left="1132"/>
        <w:jc w:val="both"/>
        <w:rPr>
          <w:rFonts w:cs="Traditional Arabic" w:hint="cs"/>
          <w:b/>
          <w:bCs/>
          <w:sz w:val="32"/>
          <w:szCs w:val="32"/>
          <w:rtl/>
        </w:rPr>
      </w:pPr>
      <w:r>
        <w:rPr>
          <w:rFonts w:cs="Traditional Arabic" w:hint="cs"/>
          <w:b/>
          <w:bCs/>
          <w:sz w:val="32"/>
          <w:szCs w:val="32"/>
          <w:rtl/>
        </w:rPr>
        <w:t>مذكرة من الأمانة</w:t>
      </w:r>
    </w:p>
    <w:p w:rsidR="00D300E2" w:rsidRPr="002323CD" w:rsidRDefault="00D300E2" w:rsidP="004D4A05">
      <w:pPr>
        <w:tabs>
          <w:tab w:val="left" w:pos="1132"/>
        </w:tabs>
        <w:spacing w:after="120" w:line="400" w:lineRule="exact"/>
        <w:ind w:left="1132" w:hanging="875"/>
        <w:jc w:val="both"/>
        <w:rPr>
          <w:rFonts w:cs="Traditional Arabic" w:hint="cs"/>
          <w:b/>
          <w:bCs/>
          <w:sz w:val="32"/>
          <w:szCs w:val="32"/>
          <w:rtl/>
        </w:rPr>
      </w:pPr>
      <w:r>
        <w:rPr>
          <w:rFonts w:cs="Traditional Arabic" w:hint="cs"/>
          <w:b/>
          <w:bCs/>
          <w:sz w:val="32"/>
          <w:szCs w:val="32"/>
          <w:rtl/>
        </w:rPr>
        <w:t>أولاً-</w:t>
      </w:r>
      <w:r>
        <w:rPr>
          <w:rFonts w:cs="Traditional Arabic" w:hint="cs"/>
          <w:b/>
          <w:bCs/>
          <w:sz w:val="32"/>
          <w:szCs w:val="32"/>
          <w:rtl/>
        </w:rPr>
        <w:tab/>
        <w:t>مقدمة</w:t>
      </w:r>
    </w:p>
    <w:p w:rsidR="002323CD" w:rsidRDefault="00DC4E54" w:rsidP="004D4A05">
      <w:pPr>
        <w:tabs>
          <w:tab w:val="left" w:pos="1132"/>
        </w:tabs>
        <w:spacing w:after="120" w:line="400" w:lineRule="exact"/>
        <w:ind w:left="1132"/>
        <w:jc w:val="both"/>
        <w:rPr>
          <w:rFonts w:cs="Traditional Arabic" w:hint="cs"/>
          <w:szCs w:val="30"/>
          <w:rtl/>
        </w:rPr>
      </w:pPr>
      <w:r>
        <w:rPr>
          <w:rFonts w:cs="Traditional Arabic" w:hint="cs"/>
          <w:szCs w:val="30"/>
          <w:rtl/>
        </w:rPr>
        <w:t>1 -</w:t>
      </w:r>
      <w:r>
        <w:rPr>
          <w:rFonts w:cs="Traditional Arabic" w:hint="cs"/>
          <w:szCs w:val="30"/>
          <w:rtl/>
        </w:rPr>
        <w:tab/>
        <w:t xml:space="preserve">طلب </w:t>
      </w:r>
      <w:r w:rsidRPr="00DC4E54">
        <w:rPr>
          <w:rFonts w:cs="Traditional Arabic"/>
          <w:szCs w:val="30"/>
          <w:rtl/>
        </w:rPr>
        <w:t>الاجتماع العام للمنبر الحكومي الدولي المعني بالتنوع البيولوجي وخدمات النظم الإيكولوجية</w:t>
      </w:r>
      <w:r>
        <w:rPr>
          <w:rFonts w:cs="Traditional Arabic" w:hint="cs"/>
          <w:szCs w:val="30"/>
          <w:rtl/>
        </w:rPr>
        <w:t xml:space="preserve"> إلى فريق الخبراء المتعدد التخصصات، في مقرره 1/2، أن يعمل </w:t>
      </w:r>
      <w:r w:rsidRPr="00DC4E54">
        <w:rPr>
          <w:rFonts w:cs="Traditional Arabic"/>
          <w:szCs w:val="30"/>
          <w:rtl/>
        </w:rPr>
        <w:t>م</w:t>
      </w:r>
      <w:r>
        <w:rPr>
          <w:rFonts w:cs="Traditional Arabic"/>
          <w:szCs w:val="30"/>
          <w:rtl/>
        </w:rPr>
        <w:t>ع المكتب</w:t>
      </w:r>
      <w:r>
        <w:rPr>
          <w:rFonts w:cs="Traditional Arabic" w:hint="cs"/>
          <w:szCs w:val="30"/>
          <w:rtl/>
        </w:rPr>
        <w:t xml:space="preserve">، </w:t>
      </w:r>
      <w:r w:rsidRPr="00DC4E54">
        <w:rPr>
          <w:rFonts w:cs="Traditional Arabic"/>
          <w:szCs w:val="30"/>
          <w:rtl/>
        </w:rPr>
        <w:t>و</w:t>
      </w:r>
      <w:r>
        <w:rPr>
          <w:rFonts w:cs="Traditional Arabic" w:hint="cs"/>
          <w:szCs w:val="30"/>
          <w:rtl/>
        </w:rPr>
        <w:t>أن يقدم</w:t>
      </w:r>
      <w:r w:rsidRPr="00DC4E54">
        <w:rPr>
          <w:rFonts w:cs="Traditional Arabic"/>
          <w:szCs w:val="30"/>
          <w:rtl/>
        </w:rPr>
        <w:t xml:space="preserve"> توصية بشأن الهيكل والتكوين الإقليمي لفريق الخبرا</w:t>
      </w:r>
      <w:r>
        <w:rPr>
          <w:rFonts w:cs="Traditional Arabic"/>
          <w:szCs w:val="30"/>
          <w:rtl/>
        </w:rPr>
        <w:t xml:space="preserve">ء المتعدد التخصصات في المستقبل </w:t>
      </w:r>
      <w:r w:rsidRPr="00DC4E54">
        <w:rPr>
          <w:rFonts w:cs="Traditional Arabic"/>
          <w:szCs w:val="30"/>
          <w:rtl/>
        </w:rPr>
        <w:t>لعرض</w:t>
      </w:r>
      <w:r>
        <w:rPr>
          <w:rFonts w:cs="Traditional Arabic" w:hint="cs"/>
          <w:szCs w:val="30"/>
          <w:rtl/>
        </w:rPr>
        <w:t>ها</w:t>
      </w:r>
      <w:r w:rsidRPr="00DC4E54">
        <w:rPr>
          <w:rFonts w:cs="Traditional Arabic"/>
          <w:szCs w:val="30"/>
          <w:rtl/>
        </w:rPr>
        <w:t xml:space="preserve"> على الاجتماع العام في دورته الثانية للنظر فيها</w:t>
      </w:r>
      <w:r>
        <w:rPr>
          <w:rFonts w:cs="Traditional Arabic" w:hint="cs"/>
          <w:szCs w:val="30"/>
          <w:rtl/>
        </w:rPr>
        <w:t xml:space="preserve">، بالاستناد إلى الآراء والتعليقات الواردة من الحكومات وسائر أصحاب المصلحة بشأن الوثيقة الإعلامية عن </w:t>
      </w:r>
      <w:r w:rsidRPr="00DC4E54">
        <w:rPr>
          <w:rFonts w:cs="Traditional Arabic"/>
          <w:szCs w:val="30"/>
          <w:rtl/>
        </w:rPr>
        <w:t>الهيكل والتكوين الإقليمي المستقبلي المحتمل لفريق الخبراء المتعدد التخصصات</w:t>
      </w:r>
      <w:r>
        <w:rPr>
          <w:rFonts w:cs="Traditional Arabic" w:hint="cs"/>
          <w:szCs w:val="30"/>
          <w:rtl/>
        </w:rPr>
        <w:t xml:space="preserve"> </w:t>
      </w:r>
      <w:r w:rsidRPr="006B1387">
        <w:rPr>
          <w:rFonts w:cs="Times New Roman"/>
          <w:sz w:val="20"/>
          <w:szCs w:val="20"/>
          <w:rtl/>
        </w:rPr>
        <w:t>(</w:t>
      </w:r>
      <w:r w:rsidRPr="006B1387">
        <w:rPr>
          <w:rFonts w:cs="Times New Roman"/>
          <w:sz w:val="20"/>
          <w:szCs w:val="20"/>
        </w:rPr>
        <w:t>IPBES/1/INF/7</w:t>
      </w:r>
      <w:r w:rsidRPr="006B1387">
        <w:rPr>
          <w:rFonts w:cs="Times New Roman"/>
          <w:sz w:val="20"/>
          <w:szCs w:val="20"/>
          <w:rtl/>
        </w:rPr>
        <w:t>)</w:t>
      </w:r>
      <w:r>
        <w:rPr>
          <w:rFonts w:cs="Traditional Arabic" w:hint="cs"/>
          <w:szCs w:val="30"/>
          <w:rtl/>
        </w:rPr>
        <w:t>. وطلب إلى المكتب أيضاً أن يقوم ب</w:t>
      </w:r>
      <w:r w:rsidRPr="00DC4E54">
        <w:rPr>
          <w:rFonts w:cs="Traditional Arabic"/>
          <w:szCs w:val="30"/>
          <w:rtl/>
        </w:rPr>
        <w:t>استعراض الإجراءات الإدارية المستخدمة في اختيار فريق الخبراء المتعدد التخصصات المؤقت</w:t>
      </w:r>
      <w:r>
        <w:rPr>
          <w:rFonts w:cs="Traditional Arabic" w:hint="cs"/>
          <w:szCs w:val="30"/>
          <w:rtl/>
        </w:rPr>
        <w:t>،</w:t>
      </w:r>
      <w:r w:rsidRPr="00DC4E54">
        <w:rPr>
          <w:rFonts w:cs="Traditional Arabic"/>
          <w:szCs w:val="30"/>
          <w:rtl/>
        </w:rPr>
        <w:t xml:space="preserve"> مع التركيز على وجه الخصوص على ضمان التشاور الفعا</w:t>
      </w:r>
      <w:r>
        <w:rPr>
          <w:rFonts w:cs="Traditional Arabic"/>
          <w:szCs w:val="30"/>
          <w:rtl/>
        </w:rPr>
        <w:t>ل من أجل كفالة التوازن العام في</w:t>
      </w:r>
      <w:r w:rsidRPr="00DC4E54">
        <w:rPr>
          <w:rFonts w:cs="Traditional Arabic"/>
          <w:szCs w:val="30"/>
          <w:rtl/>
        </w:rPr>
        <w:t>ما يتعلق ببرنامج العمل، وصياغة توصيات بشأن الإجراءات الخاصة بعملية اختيار أعضاء فريق الخبراء المتعدد التخصصات في المستقبل.</w:t>
      </w:r>
      <w:r>
        <w:rPr>
          <w:rFonts w:cs="Traditional Arabic" w:hint="cs"/>
          <w:szCs w:val="30"/>
          <w:rtl/>
        </w:rPr>
        <w:t xml:space="preserve"> وتستجيب هذه المذكرة للطلبات الصادرة عن الاجتماع العام في دورته الأولى.</w:t>
      </w:r>
    </w:p>
    <w:p w:rsidR="00DC4E54" w:rsidRPr="00FC037D" w:rsidRDefault="00CB3993" w:rsidP="004D4A05">
      <w:pPr>
        <w:tabs>
          <w:tab w:val="left" w:pos="1132"/>
        </w:tabs>
        <w:spacing w:after="120" w:line="400" w:lineRule="exact"/>
        <w:ind w:left="1132" w:hanging="875"/>
        <w:jc w:val="both"/>
        <w:rPr>
          <w:rFonts w:cs="Traditional Arabic" w:hint="cs"/>
          <w:b/>
          <w:bCs/>
          <w:sz w:val="32"/>
          <w:szCs w:val="32"/>
          <w:rtl/>
        </w:rPr>
      </w:pPr>
      <w:r>
        <w:rPr>
          <w:rFonts w:cs="Traditional Arabic" w:hint="cs"/>
          <w:b/>
          <w:bCs/>
          <w:sz w:val="32"/>
          <w:szCs w:val="32"/>
          <w:rtl/>
        </w:rPr>
        <w:lastRenderedPageBreak/>
        <w:t>ثاني</w:t>
      </w:r>
      <w:r w:rsidR="00DC4E54" w:rsidRPr="00FC037D">
        <w:rPr>
          <w:rFonts w:cs="Traditional Arabic" w:hint="cs"/>
          <w:b/>
          <w:bCs/>
          <w:sz w:val="32"/>
          <w:szCs w:val="32"/>
          <w:rtl/>
        </w:rPr>
        <w:t>اً -</w:t>
      </w:r>
      <w:r w:rsidR="00DC4E54" w:rsidRPr="00FC037D">
        <w:rPr>
          <w:rFonts w:cs="Traditional Arabic" w:hint="cs"/>
          <w:b/>
          <w:bCs/>
          <w:sz w:val="32"/>
          <w:szCs w:val="32"/>
          <w:rtl/>
        </w:rPr>
        <w:tab/>
      </w:r>
      <w:r w:rsidR="003E5CB0" w:rsidRPr="00FC037D">
        <w:rPr>
          <w:rFonts w:cs="Traditional Arabic" w:hint="cs"/>
          <w:b/>
          <w:bCs/>
          <w:sz w:val="32"/>
          <w:szCs w:val="32"/>
          <w:rtl/>
        </w:rPr>
        <w:t>معلومات أساسية واستعراض للإجراء الإداري المستخدم في اختيار فريق الخبراء المؤقت المتعدد التخصصات</w:t>
      </w:r>
    </w:p>
    <w:p w:rsidR="003E5CB0" w:rsidRDefault="003E5CB0" w:rsidP="004D4A05">
      <w:pPr>
        <w:tabs>
          <w:tab w:val="left" w:pos="1132"/>
        </w:tabs>
        <w:spacing w:after="120" w:line="400" w:lineRule="exact"/>
        <w:ind w:left="1132"/>
        <w:jc w:val="both"/>
        <w:rPr>
          <w:rFonts w:cs="Traditional Arabic" w:hint="cs"/>
          <w:szCs w:val="30"/>
          <w:rtl/>
        </w:rPr>
      </w:pPr>
      <w:r>
        <w:rPr>
          <w:rFonts w:cs="Traditional Arabic" w:hint="cs"/>
          <w:szCs w:val="30"/>
          <w:rtl/>
        </w:rPr>
        <w:t>2 -</w:t>
      </w:r>
      <w:r>
        <w:rPr>
          <w:rFonts w:cs="Traditional Arabic" w:hint="cs"/>
          <w:szCs w:val="30"/>
          <w:rtl/>
        </w:rPr>
        <w:tab/>
        <w:t>تمشياً مع المادة 25 من النظام الداخلي، يتمثل التكوين المؤقت لفريق الخبراء المتعدد التخصصات، ومدته سنتان، من خمسة أعضاء من كل مناطق</w:t>
      </w:r>
      <w:r w:rsidR="00CB3993">
        <w:rPr>
          <w:rFonts w:cs="Traditional Arabic" w:hint="cs"/>
          <w:szCs w:val="30"/>
          <w:rtl/>
        </w:rPr>
        <w:t>ة من مناطق</w:t>
      </w:r>
      <w:r>
        <w:rPr>
          <w:rFonts w:cs="Traditional Arabic" w:hint="cs"/>
          <w:szCs w:val="30"/>
          <w:rtl/>
        </w:rPr>
        <w:t xml:space="preserve"> الأمم المتحدة الخمس. ولتيسير اختيار الأعضاء المؤقتين الحاليين في الفريق، ق</w:t>
      </w:r>
      <w:r w:rsidR="001121D5">
        <w:rPr>
          <w:rFonts w:cs="Traditional Arabic" w:hint="cs"/>
          <w:szCs w:val="30"/>
          <w:rtl/>
        </w:rPr>
        <w:t>ُ</w:t>
      </w:r>
      <w:r>
        <w:rPr>
          <w:rFonts w:cs="Traditional Arabic" w:hint="cs"/>
          <w:szCs w:val="30"/>
          <w:rtl/>
        </w:rPr>
        <w:t>دمت قائمة بأسماء المرشحين المحتملين أثناء الدورة الأولى للاجتماع العام التي عقدت ببون، ألمانيا، بالاستناد إلى الترشيحات الواردة من أعضاء المنبر في كل منطقة. وتم الترتيب لعقد اجتماع مدته يوم واحد قبل انعقاد الدورة لتوفير الفرصة لإجراء مشاورات إقليمية بشأن قائمة المرشحين، ولإجراء مناقشة بين المناطق بشأن التكوين الكلي للفريق.</w:t>
      </w:r>
    </w:p>
    <w:p w:rsidR="003E5CB0" w:rsidRDefault="003E5CB0" w:rsidP="004D4A05">
      <w:pPr>
        <w:tabs>
          <w:tab w:val="left" w:pos="1132"/>
        </w:tabs>
        <w:spacing w:after="120" w:line="400" w:lineRule="exact"/>
        <w:ind w:left="1132"/>
        <w:jc w:val="both"/>
        <w:rPr>
          <w:rFonts w:cs="Traditional Arabic" w:hint="cs"/>
          <w:szCs w:val="30"/>
          <w:rtl/>
        </w:rPr>
      </w:pPr>
      <w:r>
        <w:rPr>
          <w:rFonts w:cs="Traditional Arabic" w:hint="cs"/>
          <w:szCs w:val="30"/>
          <w:rtl/>
        </w:rPr>
        <w:t>3 -</w:t>
      </w:r>
      <w:r>
        <w:rPr>
          <w:rFonts w:cs="Traditional Arabic" w:hint="cs"/>
          <w:szCs w:val="30"/>
          <w:rtl/>
        </w:rPr>
        <w:tab/>
        <w:t xml:space="preserve">وبالرغم من أن تلك العملية ساهمت في </w:t>
      </w:r>
      <w:r w:rsidR="003B69C2">
        <w:rPr>
          <w:rFonts w:cs="Traditional Arabic" w:hint="cs"/>
          <w:szCs w:val="30"/>
          <w:rtl/>
        </w:rPr>
        <w:t>تشجيع و</w:t>
      </w:r>
      <w:r>
        <w:rPr>
          <w:rFonts w:cs="Traditional Arabic" w:hint="cs"/>
          <w:szCs w:val="30"/>
          <w:rtl/>
        </w:rPr>
        <w:t>تيسير المناقشة بين المناطق</w:t>
      </w:r>
      <w:r w:rsidR="003B69C2">
        <w:rPr>
          <w:rFonts w:cs="Traditional Arabic" w:hint="cs"/>
          <w:szCs w:val="30"/>
          <w:rtl/>
        </w:rPr>
        <w:t xml:space="preserve">، فإن </w:t>
      </w:r>
      <w:r w:rsidR="00B8633A">
        <w:rPr>
          <w:rFonts w:cs="Traditional Arabic" w:hint="cs"/>
          <w:szCs w:val="30"/>
          <w:rtl/>
        </w:rPr>
        <w:t>العملية الإقليمية استندت بصورة أساسية إلى المصالح والمخصصات الإقليمية (خمسة أعضاء لكل منطقة). وترافق هذا الأمر ب</w:t>
      </w:r>
      <w:r w:rsidR="00086EAA">
        <w:rPr>
          <w:rFonts w:cs="Traditional Arabic" w:hint="cs"/>
          <w:szCs w:val="30"/>
          <w:rtl/>
        </w:rPr>
        <w:t xml:space="preserve">عدم توازن صارخ على صعيد التخصصات والبعد الجنساني فيما يتعلق بالترشيحات الواردة من أعضاء المنبر، مما أدى إلى عدم توازن جنساني </w:t>
      </w:r>
      <w:r w:rsidR="00CB3993">
        <w:rPr>
          <w:rFonts w:cs="Traditional Arabic" w:hint="cs"/>
          <w:szCs w:val="30"/>
          <w:rtl/>
        </w:rPr>
        <w:t xml:space="preserve">وموضوعي </w:t>
      </w:r>
      <w:r w:rsidR="00086EAA">
        <w:rPr>
          <w:rFonts w:cs="Traditional Arabic" w:hint="cs"/>
          <w:szCs w:val="30"/>
          <w:rtl/>
        </w:rPr>
        <w:t>وفكري وتخصصي في معظم الترشيحات الإقليمية خلال الدورة الأولى. وعلى الرغم من أن الفريق المؤقت يضم خبرات كثيرة ذات صلة، فإن عملية اختيار الأعضاء أسفرت عن عدم توازن في تكوينه العام، وفقاً لما أشار إليه عدد من الأطراف في المنبر خلال المناقشات الدائرة إبان الدورة الأولى للاجتماع العام.</w:t>
      </w:r>
    </w:p>
    <w:p w:rsidR="00086EAA" w:rsidRDefault="00086EAA" w:rsidP="004D4A05">
      <w:pPr>
        <w:tabs>
          <w:tab w:val="left" w:pos="1132"/>
        </w:tabs>
        <w:spacing w:after="120" w:line="400" w:lineRule="exact"/>
        <w:ind w:left="1132"/>
        <w:jc w:val="both"/>
        <w:rPr>
          <w:rFonts w:cs="Traditional Arabic" w:hint="cs"/>
          <w:szCs w:val="30"/>
          <w:rtl/>
        </w:rPr>
      </w:pPr>
      <w:r>
        <w:rPr>
          <w:rFonts w:cs="Traditional Arabic" w:hint="cs"/>
          <w:szCs w:val="30"/>
          <w:rtl/>
        </w:rPr>
        <w:t>4 -</w:t>
      </w:r>
      <w:r>
        <w:rPr>
          <w:rFonts w:cs="Traditional Arabic" w:hint="cs"/>
          <w:szCs w:val="30"/>
          <w:rtl/>
        </w:rPr>
        <w:tab/>
        <w:t xml:space="preserve">واعترافاً من الاجتماع العام بهذا الوضع، فقد طلب إلى المكتب، في الفقرة 23 من مقرره 1/2، أن يقوم باستعراض الإجراء الإداري </w:t>
      </w:r>
      <w:r w:rsidR="00755158">
        <w:rPr>
          <w:rFonts w:cs="Traditional Arabic" w:hint="cs"/>
          <w:szCs w:val="30"/>
          <w:rtl/>
        </w:rPr>
        <w:t>المستخدم في اختيار أعضاء الفريق مع التركيز بصورة خاصة على التشاور الفعال الرامي إلى كفالة التوازن العام بالنسبة لب</w:t>
      </w:r>
      <w:r w:rsidR="001121D5">
        <w:rPr>
          <w:rFonts w:cs="Traditional Arabic" w:hint="cs"/>
          <w:szCs w:val="30"/>
          <w:rtl/>
        </w:rPr>
        <w:t>رنامج العمل، وأن يصوغ توصيات بشأ</w:t>
      </w:r>
      <w:r w:rsidR="00755158">
        <w:rPr>
          <w:rFonts w:cs="Traditional Arabic" w:hint="cs"/>
          <w:szCs w:val="30"/>
          <w:rtl/>
        </w:rPr>
        <w:t>ن الإجراء المتبع في عملية اختيار الأعضاء المستقبليين في الفريق. وتبعاً لذلك، سيتسنى الانتهاء من صياغة الفرع ذي الص</w:t>
      </w:r>
      <w:r w:rsidR="001121D5">
        <w:rPr>
          <w:rFonts w:cs="Traditional Arabic" w:hint="cs"/>
          <w:szCs w:val="30"/>
          <w:rtl/>
        </w:rPr>
        <w:t>لة من النظام الداخلي (المواد 26-</w:t>
      </w:r>
      <w:r w:rsidR="00755158">
        <w:rPr>
          <w:rFonts w:cs="Traditional Arabic" w:hint="cs"/>
          <w:szCs w:val="30"/>
          <w:rtl/>
        </w:rPr>
        <w:t>28 المتعلقة بترشيح واختيار الفريق) بالاستناد إلى الاستعراض والتوصية المذكورين.</w:t>
      </w:r>
    </w:p>
    <w:p w:rsidR="00755158" w:rsidRDefault="00755158" w:rsidP="004D4A05">
      <w:pPr>
        <w:tabs>
          <w:tab w:val="left" w:pos="1132"/>
        </w:tabs>
        <w:spacing w:after="120" w:line="400" w:lineRule="exact"/>
        <w:ind w:left="1132"/>
        <w:jc w:val="both"/>
        <w:rPr>
          <w:rFonts w:cs="Traditional Arabic" w:hint="cs"/>
          <w:szCs w:val="30"/>
          <w:rtl/>
        </w:rPr>
      </w:pPr>
      <w:r>
        <w:rPr>
          <w:rFonts w:cs="Traditional Arabic" w:hint="cs"/>
          <w:szCs w:val="30"/>
          <w:rtl/>
        </w:rPr>
        <w:t>5 -</w:t>
      </w:r>
      <w:r>
        <w:rPr>
          <w:rFonts w:cs="Traditional Arabic" w:hint="cs"/>
          <w:szCs w:val="30"/>
          <w:rtl/>
        </w:rPr>
        <w:tab/>
        <w:t xml:space="preserve">وبالإضافة إلى الاستعراض الذي أجراه المكتب للإجراء المتبع في اختيار الفريق، طلب الاجتماع العام إلى الفريق، في الفقرة 20 من المقرر 1/2، أن يعمل مع المكتب لاستعراض الوثيقة المتعلقة بالهيكل والتكوين الإقليمي للفريق </w:t>
      </w:r>
      <w:r w:rsidRPr="006B1387">
        <w:rPr>
          <w:rFonts w:cs="Times New Roman"/>
          <w:sz w:val="20"/>
          <w:szCs w:val="20"/>
          <w:rtl/>
        </w:rPr>
        <w:t>(</w:t>
      </w:r>
      <w:r w:rsidRPr="006B1387">
        <w:rPr>
          <w:rFonts w:cs="Times New Roman"/>
          <w:sz w:val="20"/>
          <w:szCs w:val="20"/>
        </w:rPr>
        <w:t>IPBES/1/INF/7</w:t>
      </w:r>
      <w:r w:rsidRPr="006B1387">
        <w:rPr>
          <w:rFonts w:cs="Times New Roman"/>
          <w:sz w:val="20"/>
          <w:szCs w:val="20"/>
          <w:rtl/>
        </w:rPr>
        <w:t>)</w:t>
      </w:r>
      <w:r>
        <w:rPr>
          <w:rFonts w:cs="Traditional Arabic" w:hint="cs"/>
          <w:szCs w:val="30"/>
          <w:rtl/>
        </w:rPr>
        <w:t>، وأن يقدم توصية بشأن الهيكل والتكوين الإقليمي للفريق في المستقبل، لينظر فيها الاجتماع العام إبان دورته الثانية. وقامت الأمانة بتحديث الوثيقة التي أتيحت للاجتماع المتزامن الأول للفريق والمكتب</w:t>
      </w:r>
      <w:r w:rsidR="001D5FAE">
        <w:rPr>
          <w:rFonts w:cs="Traditional Arabic" w:hint="cs"/>
          <w:szCs w:val="30"/>
          <w:rtl/>
        </w:rPr>
        <w:t xml:space="preserve">، ونوهت فيها إلى النهج التي </w:t>
      </w:r>
      <w:r w:rsidR="001121D5">
        <w:rPr>
          <w:rFonts w:cs="Traditional Arabic" w:hint="cs"/>
          <w:szCs w:val="30"/>
          <w:rtl/>
        </w:rPr>
        <w:t>ي</w:t>
      </w:r>
      <w:r w:rsidR="001D5FAE">
        <w:rPr>
          <w:rFonts w:cs="Traditional Arabic" w:hint="cs"/>
          <w:szCs w:val="30"/>
          <w:rtl/>
        </w:rPr>
        <w:t>مكن اتباعها فيما يتعلق بالتكوين الإقليمي للفريق، آخذة في الاعتبار التعليقات المقدمة خلال عملية الاستعراض السابقة التي جرت في الفترة الفاصلة بين الدورة الثانية للاجتماع العام لتحديد الطرائق والترتيبات المؤسسية لإنشاء منبر حكومي دولي للتنوع البيولوجي وخدمات النظم الإيكولوجية، الذي عقد في بنما سيتي في شهر نيسان/أبريل 2012، والدورة الأولى للاجتماع العام للمنبر التي عقد</w:t>
      </w:r>
      <w:r w:rsidR="001121D5">
        <w:rPr>
          <w:rFonts w:cs="Traditional Arabic" w:hint="cs"/>
          <w:szCs w:val="30"/>
          <w:rtl/>
        </w:rPr>
        <w:t>ت</w:t>
      </w:r>
      <w:r w:rsidR="001D5FAE">
        <w:rPr>
          <w:rFonts w:cs="Traditional Arabic" w:hint="cs"/>
          <w:szCs w:val="30"/>
          <w:rtl/>
        </w:rPr>
        <w:t xml:space="preserve"> ببون، ألمانيا، في شهر كانون الثاني/يناير 2013. وأتيحت أيضاً ورقة معلومات أساسية أبرز</w:t>
      </w:r>
      <w:r w:rsidR="001121D5">
        <w:rPr>
          <w:rFonts w:cs="Traditional Arabic" w:hint="cs"/>
          <w:szCs w:val="30"/>
          <w:rtl/>
        </w:rPr>
        <w:t>ت</w:t>
      </w:r>
      <w:r w:rsidR="001D5FAE">
        <w:rPr>
          <w:rFonts w:cs="Traditional Arabic" w:hint="cs"/>
          <w:szCs w:val="30"/>
          <w:rtl/>
        </w:rPr>
        <w:t xml:space="preserve"> مختلف النهج المستخدمة في التصنيفات الإقليمية البيوجغرافية.</w:t>
      </w:r>
    </w:p>
    <w:p w:rsidR="001D5FAE" w:rsidRPr="00FC037D" w:rsidRDefault="001D5FAE" w:rsidP="004D4A05">
      <w:pPr>
        <w:tabs>
          <w:tab w:val="left" w:pos="1132"/>
        </w:tabs>
        <w:spacing w:after="120" w:line="400" w:lineRule="exact"/>
        <w:ind w:left="1132" w:hanging="875"/>
        <w:jc w:val="both"/>
        <w:rPr>
          <w:rFonts w:cs="Traditional Arabic" w:hint="cs"/>
          <w:b/>
          <w:bCs/>
          <w:sz w:val="32"/>
          <w:szCs w:val="32"/>
          <w:rtl/>
        </w:rPr>
      </w:pPr>
      <w:r w:rsidRPr="00FC037D">
        <w:rPr>
          <w:rFonts w:cs="Traditional Arabic" w:hint="cs"/>
          <w:b/>
          <w:bCs/>
          <w:sz w:val="32"/>
          <w:szCs w:val="32"/>
          <w:rtl/>
        </w:rPr>
        <w:t>ثا</w:t>
      </w:r>
      <w:r w:rsidR="00CB3993">
        <w:rPr>
          <w:rFonts w:cs="Traditional Arabic" w:hint="cs"/>
          <w:b/>
          <w:bCs/>
          <w:sz w:val="32"/>
          <w:szCs w:val="32"/>
          <w:rtl/>
        </w:rPr>
        <w:t>لث</w:t>
      </w:r>
      <w:r w:rsidRPr="00FC037D">
        <w:rPr>
          <w:rFonts w:cs="Traditional Arabic" w:hint="cs"/>
          <w:b/>
          <w:bCs/>
          <w:sz w:val="32"/>
          <w:szCs w:val="32"/>
          <w:rtl/>
        </w:rPr>
        <w:t>اً -</w:t>
      </w:r>
      <w:r w:rsidRPr="00FC037D">
        <w:rPr>
          <w:rFonts w:cs="Traditional Arabic" w:hint="cs"/>
          <w:b/>
          <w:bCs/>
          <w:sz w:val="32"/>
          <w:szCs w:val="32"/>
          <w:rtl/>
        </w:rPr>
        <w:tab/>
        <w:t xml:space="preserve">التوصية الصادرة عن </w:t>
      </w:r>
      <w:r w:rsidR="00C966F8" w:rsidRPr="00FC037D">
        <w:rPr>
          <w:rFonts w:cs="Traditional Arabic" w:hint="cs"/>
          <w:b/>
          <w:bCs/>
          <w:sz w:val="32"/>
          <w:szCs w:val="32"/>
          <w:rtl/>
        </w:rPr>
        <w:t>فريق الخبراء المتعدد التخصصات والمكتب بشأن الهيكل والتكوين الإقليمي للفريق في المستقبل</w:t>
      </w:r>
    </w:p>
    <w:p w:rsidR="00B607F4" w:rsidRDefault="00C966F8" w:rsidP="004D4A05">
      <w:pPr>
        <w:tabs>
          <w:tab w:val="left" w:pos="1132"/>
        </w:tabs>
        <w:spacing w:after="120" w:line="400" w:lineRule="exact"/>
        <w:ind w:left="1132"/>
        <w:jc w:val="both"/>
        <w:rPr>
          <w:rFonts w:cs="Traditional Arabic" w:hint="cs"/>
          <w:szCs w:val="30"/>
          <w:rtl/>
        </w:rPr>
      </w:pPr>
      <w:r>
        <w:rPr>
          <w:rFonts w:cs="Traditional Arabic" w:hint="cs"/>
          <w:szCs w:val="30"/>
          <w:rtl/>
        </w:rPr>
        <w:t>6 -</w:t>
      </w:r>
      <w:r>
        <w:rPr>
          <w:rFonts w:cs="Traditional Arabic" w:hint="cs"/>
          <w:szCs w:val="30"/>
          <w:rtl/>
        </w:rPr>
        <w:tab/>
      </w:r>
      <w:r w:rsidR="00B607F4">
        <w:rPr>
          <w:rFonts w:cs="Traditional Arabic" w:hint="cs"/>
          <w:szCs w:val="30"/>
          <w:rtl/>
        </w:rPr>
        <w:t xml:space="preserve">أقر </w:t>
      </w:r>
      <w:r w:rsidR="00B607F4" w:rsidRPr="00B607F4">
        <w:rPr>
          <w:rFonts w:cs="Traditional Arabic"/>
          <w:szCs w:val="30"/>
          <w:rtl/>
        </w:rPr>
        <w:t>فريق الخبراء المتعدد التخصصات والمكتب</w:t>
      </w:r>
      <w:r w:rsidR="00B607F4">
        <w:rPr>
          <w:rFonts w:cs="Traditional Arabic" w:hint="cs"/>
          <w:szCs w:val="30"/>
          <w:rtl/>
        </w:rPr>
        <w:t>، إبان مناقشتهما لخيارات الهيكل والتكوين الإقليمي للفريق في المستقبل، بوجود عدد من التحديات، منها:</w:t>
      </w:r>
    </w:p>
    <w:p w:rsidR="00B607F4" w:rsidRDefault="00B607F4" w:rsidP="00D1000D">
      <w:pPr>
        <w:tabs>
          <w:tab w:val="left" w:pos="1132"/>
        </w:tabs>
        <w:spacing w:after="120" w:line="400" w:lineRule="exact"/>
        <w:ind w:left="1132" w:firstLine="720"/>
        <w:jc w:val="both"/>
        <w:rPr>
          <w:rFonts w:cs="Traditional Arabic" w:hint="cs"/>
          <w:szCs w:val="30"/>
          <w:rtl/>
        </w:rPr>
      </w:pPr>
      <w:r>
        <w:rPr>
          <w:rFonts w:cs="Traditional Arabic" w:hint="cs"/>
          <w:szCs w:val="30"/>
          <w:rtl/>
        </w:rPr>
        <w:lastRenderedPageBreak/>
        <w:t>(أ)</w:t>
      </w:r>
      <w:r>
        <w:rPr>
          <w:rFonts w:cs="Traditional Arabic" w:hint="cs"/>
          <w:szCs w:val="30"/>
          <w:rtl/>
        </w:rPr>
        <w:tab/>
        <w:t xml:space="preserve">عدم توافر تعريف أو قائمة مقبولين عالمياً للتوزيع الإقليمي البيوجغرافي، واستخدام نهج مختلفة في منتديات متنوعة تستند إلى </w:t>
      </w:r>
      <w:r w:rsidR="00D1000D">
        <w:rPr>
          <w:rFonts w:cs="Traditional Arabic" w:hint="cs"/>
          <w:szCs w:val="30"/>
          <w:rtl/>
        </w:rPr>
        <w:t>تصنيفات</w:t>
      </w:r>
      <w:r>
        <w:rPr>
          <w:rFonts w:cs="Traditional Arabic" w:hint="cs"/>
          <w:szCs w:val="30"/>
          <w:rtl/>
        </w:rPr>
        <w:t xml:space="preserve"> مختلفة وبارا</w:t>
      </w:r>
      <w:r w:rsidR="00BC5BBD">
        <w:rPr>
          <w:rFonts w:cs="Traditional Arabic" w:hint="cs"/>
          <w:szCs w:val="30"/>
          <w:rtl/>
        </w:rPr>
        <w:t>مترات أ</w:t>
      </w:r>
      <w:r>
        <w:rPr>
          <w:rFonts w:cs="Traditional Arabic" w:hint="cs"/>
          <w:szCs w:val="30"/>
          <w:rtl/>
        </w:rPr>
        <w:t>خرى؛</w:t>
      </w:r>
    </w:p>
    <w:p w:rsidR="00C966F8" w:rsidRDefault="00B607F4" w:rsidP="004D4A05">
      <w:pPr>
        <w:tabs>
          <w:tab w:val="left" w:pos="1132"/>
        </w:tabs>
        <w:spacing w:after="120" w:line="400" w:lineRule="exact"/>
        <w:ind w:left="1132" w:firstLine="720"/>
        <w:jc w:val="both"/>
        <w:rPr>
          <w:rFonts w:cs="Traditional Arabic" w:hint="cs"/>
          <w:szCs w:val="30"/>
          <w:rtl/>
        </w:rPr>
      </w:pPr>
      <w:r>
        <w:rPr>
          <w:rFonts w:cs="Traditional Arabic" w:hint="cs"/>
          <w:szCs w:val="30"/>
          <w:rtl/>
        </w:rPr>
        <w:t>(ب)</w:t>
      </w:r>
      <w:r>
        <w:rPr>
          <w:rFonts w:cs="Traditional Arabic" w:hint="cs"/>
          <w:szCs w:val="30"/>
          <w:rtl/>
        </w:rPr>
        <w:tab/>
        <w:t>لا يوجد فهم مشترك أو اتفاق على العوامل من قبيل البيوجغرافية وتوز</w:t>
      </w:r>
      <w:r w:rsidR="001121D5">
        <w:rPr>
          <w:rFonts w:cs="Traditional Arabic" w:hint="cs"/>
          <w:szCs w:val="30"/>
          <w:rtl/>
        </w:rPr>
        <w:t>ي</w:t>
      </w:r>
      <w:r>
        <w:rPr>
          <w:rFonts w:cs="Traditional Arabic" w:hint="cs"/>
          <w:szCs w:val="30"/>
          <w:rtl/>
        </w:rPr>
        <w:t>ع النظم الإيكولوجية والاقتصاد والديمغرافيا والمساحة وعدد البلدان في مختلف المناطق واحتياجات تل</w:t>
      </w:r>
      <w:r w:rsidR="00FC037D">
        <w:rPr>
          <w:rFonts w:cs="Traditional Arabic" w:hint="cs"/>
          <w:szCs w:val="30"/>
          <w:rtl/>
        </w:rPr>
        <w:t>ك المناطق في مجال بناء القدرات؛</w:t>
      </w:r>
    </w:p>
    <w:p w:rsidR="002323CD" w:rsidRDefault="00BC5BBD" w:rsidP="004D4A05">
      <w:pPr>
        <w:tabs>
          <w:tab w:val="left" w:pos="1132"/>
        </w:tabs>
        <w:spacing w:after="120" w:line="400" w:lineRule="exact"/>
        <w:ind w:left="1132" w:firstLine="720"/>
        <w:jc w:val="both"/>
        <w:rPr>
          <w:rFonts w:cs="Traditional Arabic" w:hint="cs"/>
          <w:szCs w:val="30"/>
          <w:rtl/>
        </w:rPr>
      </w:pPr>
      <w:r>
        <w:rPr>
          <w:rFonts w:cs="Traditional Arabic" w:hint="cs"/>
          <w:szCs w:val="30"/>
          <w:rtl/>
        </w:rPr>
        <w:t>(ج)</w:t>
      </w:r>
      <w:r>
        <w:rPr>
          <w:rFonts w:cs="Traditional Arabic" w:hint="cs"/>
          <w:szCs w:val="30"/>
          <w:rtl/>
        </w:rPr>
        <w:tab/>
        <w:t xml:space="preserve">لم تتسن معالجة التحديات العامة المتعلقة بكفالة التوازن التخصصي والجنساني والموضوعي في عضوية الفريق (بالإضافة إلى التوازن الإقليمي) بالتحول عن استخدام المجموعات الإقليمية لدى الأمم المتحدة، كما أن الهيكل الإقليمي الجديد قد يزيد من تعقيد التوازن التخصصي والجنساني العام المتوخى. وتركز توصيات المكتب المتعلقة بالإجراء الإداري للاختيار على هذه المسائل، بغية تحقيق التوازن في عضوية الفريق في المستقبل (انظر الفرع </w:t>
      </w:r>
      <w:r w:rsidR="00CB3993">
        <w:rPr>
          <w:rFonts w:cs="Traditional Arabic" w:hint="cs"/>
          <w:szCs w:val="30"/>
          <w:rtl/>
        </w:rPr>
        <w:t>رابعاً</w:t>
      </w:r>
      <w:r>
        <w:rPr>
          <w:rFonts w:cs="Traditional Arabic" w:hint="cs"/>
          <w:szCs w:val="30"/>
          <w:rtl/>
        </w:rPr>
        <w:t>)؛</w:t>
      </w:r>
    </w:p>
    <w:p w:rsidR="00BC5BBD" w:rsidRDefault="00BC5BBD" w:rsidP="004D4A05">
      <w:pPr>
        <w:tabs>
          <w:tab w:val="left" w:pos="1132"/>
        </w:tabs>
        <w:spacing w:after="120" w:line="400" w:lineRule="exact"/>
        <w:ind w:left="1132" w:firstLine="720"/>
        <w:jc w:val="both"/>
        <w:rPr>
          <w:rFonts w:cs="Traditional Arabic" w:hint="cs"/>
          <w:szCs w:val="30"/>
          <w:rtl/>
        </w:rPr>
      </w:pPr>
      <w:r>
        <w:rPr>
          <w:rFonts w:cs="Traditional Arabic" w:hint="cs"/>
          <w:szCs w:val="30"/>
          <w:rtl/>
        </w:rPr>
        <w:t>(د)</w:t>
      </w:r>
      <w:r>
        <w:rPr>
          <w:rFonts w:cs="Traditional Arabic" w:hint="cs"/>
          <w:szCs w:val="30"/>
          <w:rtl/>
        </w:rPr>
        <w:tab/>
      </w:r>
      <w:r w:rsidR="00EC2C4D">
        <w:rPr>
          <w:rFonts w:cs="Traditional Arabic" w:hint="cs"/>
          <w:szCs w:val="30"/>
          <w:rtl/>
        </w:rPr>
        <w:t xml:space="preserve">من المرجح أن </w:t>
      </w:r>
      <w:r>
        <w:rPr>
          <w:rFonts w:cs="Traditional Arabic" w:hint="cs"/>
          <w:szCs w:val="30"/>
          <w:rtl/>
        </w:rPr>
        <w:t>تنفيذ نواتج المنبر</w:t>
      </w:r>
      <w:r w:rsidR="00EC2C4D">
        <w:rPr>
          <w:rFonts w:cs="Traditional Arabic" w:hint="cs"/>
          <w:szCs w:val="30"/>
          <w:rtl/>
        </w:rPr>
        <w:t xml:space="preserve"> سيستدعي العمل خارج إطار الحدود الإقليمية بغض النظر عن تكوينها. فعلى سبيل المثال، غالباً ما تكون النواتج المتصلة بدعم السياسات وبناء القدرات خاصة</w:t>
      </w:r>
      <w:r w:rsidR="001121D5">
        <w:rPr>
          <w:rFonts w:cs="Traditional Arabic" w:hint="cs"/>
          <w:szCs w:val="30"/>
          <w:rtl/>
        </w:rPr>
        <w:t>،</w:t>
      </w:r>
      <w:r w:rsidR="00EC2C4D">
        <w:rPr>
          <w:rFonts w:cs="Traditional Arabic" w:hint="cs"/>
          <w:szCs w:val="30"/>
          <w:rtl/>
        </w:rPr>
        <w:t xml:space="preserve"> هي النواتج الأكثر أهمية بالنسبة للمناطق غير البيوجغرافية.</w:t>
      </w:r>
    </w:p>
    <w:p w:rsidR="00EC2C4D" w:rsidRDefault="00EC2C4D" w:rsidP="002859F1">
      <w:pPr>
        <w:tabs>
          <w:tab w:val="left" w:pos="1132"/>
        </w:tabs>
        <w:spacing w:after="120" w:line="400" w:lineRule="exact"/>
        <w:ind w:left="1132"/>
        <w:jc w:val="both"/>
        <w:rPr>
          <w:rFonts w:cs="Traditional Arabic" w:hint="cs"/>
          <w:szCs w:val="30"/>
          <w:rtl/>
        </w:rPr>
      </w:pPr>
      <w:r>
        <w:rPr>
          <w:rFonts w:cs="Traditional Arabic" w:hint="cs"/>
          <w:szCs w:val="30"/>
          <w:rtl/>
        </w:rPr>
        <w:t>7 -</w:t>
      </w:r>
      <w:r>
        <w:rPr>
          <w:rFonts w:cs="Traditional Arabic" w:hint="cs"/>
          <w:szCs w:val="30"/>
          <w:rtl/>
        </w:rPr>
        <w:tab/>
        <w:t>وبالاستناد إلى هذه الاعتبارات، يوصي الفريق والمكتب بالإبقاء على مجموعات الأمم المتحدة كأساس لاخت</w:t>
      </w:r>
      <w:r w:rsidR="001121D5">
        <w:rPr>
          <w:rFonts w:cs="Traditional Arabic" w:hint="cs"/>
          <w:szCs w:val="30"/>
          <w:rtl/>
        </w:rPr>
        <w:t>ي</w:t>
      </w:r>
      <w:r>
        <w:rPr>
          <w:rFonts w:cs="Traditional Arabic" w:hint="cs"/>
          <w:szCs w:val="30"/>
          <w:rtl/>
        </w:rPr>
        <w:t xml:space="preserve">ار أعضاء الفريق المقبل، وإيلاء المزيد من الاعتبار لمسألة الهيكل الإقليمي للفريق، في ضوء الخبرات المكتسبة من تنفيذ </w:t>
      </w:r>
      <w:r w:rsidR="001121D5">
        <w:rPr>
          <w:rFonts w:cs="Traditional Arabic" w:hint="cs"/>
          <w:szCs w:val="30"/>
          <w:rtl/>
        </w:rPr>
        <w:t>برنامج العمل الأولي للفترة 2014-</w:t>
      </w:r>
      <w:r>
        <w:rPr>
          <w:rFonts w:cs="Traditional Arabic" w:hint="cs"/>
          <w:szCs w:val="30"/>
          <w:rtl/>
        </w:rPr>
        <w:t xml:space="preserve">2018. وعلاوة على ذلك، يرى الفريق والمكتب أن </w:t>
      </w:r>
      <w:r w:rsidR="00157461">
        <w:rPr>
          <w:rFonts w:cs="Traditional Arabic" w:hint="cs"/>
          <w:szCs w:val="30"/>
          <w:rtl/>
        </w:rPr>
        <w:t xml:space="preserve">العمل مع المجموعات الإقليمية للأمم المتحدة وعلى نطاقها، وفقاً لما تقتضيه الظروف، سيكفل إجراء تقييم إقليمي ودون إقليمي متسق من الناحيتين الفكرية والبيوجغرافية، وسييسر الأنشطة الأخرى المتعلقة بتنفيذ برنامج العمل. فعلى سبيل المثال، قد يشكل تقييم إقليمي يُجرى في أفريقيا أو في أمريكا اللاتينية ومنطقة البحر الكاريبي 3-6 تقييمات دون إقليمية وإقليمية اقتصادية </w:t>
      </w:r>
      <w:r w:rsidR="00B71247">
        <w:rPr>
          <w:rFonts w:cs="Traditional Arabic" w:hint="cs"/>
          <w:szCs w:val="30"/>
          <w:rtl/>
        </w:rPr>
        <w:t>على نطاق المنطقة، في حين أن تقييماً إقليمياً أو شبه إقليمي يركز على جنوب شرق آسيا وأوقنانوسيا قد يش</w:t>
      </w:r>
      <w:r w:rsidR="00CB3993">
        <w:rPr>
          <w:rFonts w:cs="Traditional Arabic" w:hint="cs"/>
          <w:szCs w:val="30"/>
          <w:rtl/>
        </w:rPr>
        <w:t>م</w:t>
      </w:r>
      <w:r w:rsidR="00B71247">
        <w:rPr>
          <w:rFonts w:cs="Traditional Arabic" w:hint="cs"/>
          <w:szCs w:val="30"/>
          <w:rtl/>
        </w:rPr>
        <w:t xml:space="preserve">ل </w:t>
      </w:r>
      <w:r w:rsidR="00CB3993">
        <w:rPr>
          <w:rFonts w:cs="Traditional Arabic" w:hint="cs"/>
          <w:szCs w:val="30"/>
          <w:rtl/>
        </w:rPr>
        <w:t>أستراليا ونيوزيلندا</w:t>
      </w:r>
      <w:r w:rsidR="00B71247">
        <w:rPr>
          <w:rFonts w:cs="Traditional Arabic" w:hint="cs"/>
          <w:szCs w:val="30"/>
          <w:rtl/>
        </w:rPr>
        <w:t>، على الرغم من أنهما جزء من مجموعة أوروبا الغربية ودول أخرى حينما يتعلق الأمر باختيار أعضاء الفريق. وعلى نحو مماثل، قد تضم التقييمات الإقليمية وغيرها من الأنشطة في أوروبا بلدان أوروبا الشرقية والغربية حينما يتعلق الأمر بتنفيذ أنشطة برنامج العمل، على الرغم من أن لتلك البلدان تمثيل خاص في الفريق.</w:t>
      </w:r>
    </w:p>
    <w:p w:rsidR="00B71247" w:rsidRPr="00B71247" w:rsidRDefault="00CB3993" w:rsidP="004D4A05">
      <w:pPr>
        <w:tabs>
          <w:tab w:val="left" w:pos="1132"/>
        </w:tabs>
        <w:spacing w:after="120" w:line="400" w:lineRule="exact"/>
        <w:ind w:left="1132" w:hanging="875"/>
        <w:jc w:val="both"/>
        <w:rPr>
          <w:rFonts w:cs="Traditional Arabic" w:hint="cs"/>
          <w:b/>
          <w:bCs/>
          <w:sz w:val="32"/>
          <w:szCs w:val="32"/>
          <w:rtl/>
        </w:rPr>
      </w:pPr>
      <w:r>
        <w:rPr>
          <w:rFonts w:cs="Traditional Arabic" w:hint="cs"/>
          <w:b/>
          <w:bCs/>
          <w:sz w:val="32"/>
          <w:szCs w:val="32"/>
          <w:rtl/>
        </w:rPr>
        <w:t>رابع</w:t>
      </w:r>
      <w:r w:rsidR="00B71247" w:rsidRPr="00B71247">
        <w:rPr>
          <w:rFonts w:cs="Traditional Arabic" w:hint="cs"/>
          <w:b/>
          <w:bCs/>
          <w:sz w:val="32"/>
          <w:szCs w:val="32"/>
          <w:rtl/>
        </w:rPr>
        <w:t>اً -</w:t>
      </w:r>
      <w:r w:rsidR="00B71247" w:rsidRPr="00B71247">
        <w:rPr>
          <w:rFonts w:cs="Traditional Arabic" w:hint="cs"/>
          <w:b/>
          <w:bCs/>
          <w:sz w:val="32"/>
          <w:szCs w:val="32"/>
          <w:rtl/>
        </w:rPr>
        <w:tab/>
        <w:t>توصية صادرة عن المكتب بشأن الإجراء المتبع في عملية اختيار الأعضاء القادمين في فريق الخبراء المتعدد التخصصات</w:t>
      </w:r>
    </w:p>
    <w:p w:rsidR="002323CD" w:rsidRDefault="00B71247" w:rsidP="004D4A05">
      <w:pPr>
        <w:tabs>
          <w:tab w:val="left" w:pos="1132"/>
        </w:tabs>
        <w:spacing w:after="120" w:line="400" w:lineRule="exact"/>
        <w:ind w:left="1132"/>
        <w:jc w:val="both"/>
        <w:rPr>
          <w:rFonts w:cs="Traditional Arabic" w:hint="cs"/>
          <w:szCs w:val="30"/>
          <w:rtl/>
        </w:rPr>
      </w:pPr>
      <w:r>
        <w:rPr>
          <w:rFonts w:cs="Traditional Arabic" w:hint="cs"/>
          <w:szCs w:val="30"/>
          <w:rtl/>
        </w:rPr>
        <w:t>8 -</w:t>
      </w:r>
      <w:r>
        <w:rPr>
          <w:rFonts w:cs="Traditional Arabic" w:hint="cs"/>
          <w:szCs w:val="30"/>
          <w:rtl/>
        </w:rPr>
        <w:tab/>
        <w:t>ينبغي لعملية اختيار أعضاء الفريق أن تكفل التوازن العام فيما يتعلق بالتمثيل الجغرافي والجنساني والفكري والتخصصي (مثال ذلك العلوم الطبيعية والاجتماعية، الاقتصاد، معارف الشعوب الأصلية والمعارف المحلية)، والاعتبارات المتعددة التخصصات وذات الصلة بالخبرة (الشاملة لوظائف المنبر الأربع). وتهدف التوصيات التالية إلى تحقيق ذلك الهدف، وتتسق والتوصية الصادرة عن المكتب والفريق بأن يُحتفظ بالتكوين الإقليمي القائم للفريق (خمسة أعضاء من كل من مناطق الأمم المتحدة، أي ما مجموعه 25 عضواً)، اعترافاً بالتحديات الجسيمة التي تحول دون إعادة هيكلة تكوين الفريق، والافتقار إلى مبرر علمي أو برنامجي قاطع لإعادة الهيكلة.</w:t>
      </w:r>
    </w:p>
    <w:p w:rsidR="00B71247" w:rsidRDefault="002859F1" w:rsidP="004D4A05">
      <w:pPr>
        <w:tabs>
          <w:tab w:val="left" w:pos="1132"/>
        </w:tabs>
        <w:spacing w:after="120" w:line="400" w:lineRule="exact"/>
        <w:ind w:left="1132"/>
        <w:jc w:val="both"/>
        <w:rPr>
          <w:rFonts w:cs="Traditional Arabic" w:hint="cs"/>
          <w:szCs w:val="30"/>
          <w:rtl/>
        </w:rPr>
      </w:pPr>
      <w:r>
        <w:rPr>
          <w:rFonts w:cs="Traditional Arabic"/>
          <w:szCs w:val="30"/>
          <w:rtl/>
        </w:rPr>
        <w:br w:type="page"/>
      </w:r>
      <w:r w:rsidR="00B71247">
        <w:rPr>
          <w:rFonts w:cs="Traditional Arabic" w:hint="cs"/>
          <w:szCs w:val="30"/>
          <w:rtl/>
        </w:rPr>
        <w:lastRenderedPageBreak/>
        <w:t>9 -</w:t>
      </w:r>
      <w:r w:rsidR="00B71247">
        <w:rPr>
          <w:rFonts w:cs="Traditional Arabic" w:hint="cs"/>
          <w:szCs w:val="30"/>
          <w:rtl/>
        </w:rPr>
        <w:tab/>
        <w:t xml:space="preserve">وسعياً لكفالة توازن العضوية في الفريق المقبل، يُقترح </w:t>
      </w:r>
      <w:r w:rsidR="00BB5CFF">
        <w:rPr>
          <w:rFonts w:cs="Traditional Arabic" w:hint="cs"/>
          <w:szCs w:val="30"/>
          <w:rtl/>
        </w:rPr>
        <w:t>أن يمثل أعضاء المكتب كلاً من مناطق الأمم المتحدة لاختيار قائمة متوازنة من أعضاء الفريق المحتملين، لينظر فيها الاجتماع العام ويجري الاختيار النهائي. وينبغي لأعضاء المنبر والمراقبين فيه أن يقدموا قوائمهم الإقليمية الخاصة من المرشحين لعضوية الفريق خلال فترة زمنية تتيح لأعضاء المكتب الوقت الكافي للنظر في تلك القوائم.</w:t>
      </w:r>
    </w:p>
    <w:p w:rsidR="00BB5CFF" w:rsidRDefault="00BB5CFF" w:rsidP="004D4A05">
      <w:pPr>
        <w:tabs>
          <w:tab w:val="left" w:pos="1132"/>
        </w:tabs>
        <w:spacing w:after="120" w:line="400" w:lineRule="exact"/>
        <w:ind w:left="1132"/>
        <w:jc w:val="both"/>
        <w:rPr>
          <w:rFonts w:cs="Traditional Arabic" w:hint="cs"/>
          <w:szCs w:val="30"/>
          <w:rtl/>
        </w:rPr>
      </w:pPr>
      <w:r>
        <w:rPr>
          <w:rFonts w:cs="Traditional Arabic" w:hint="cs"/>
          <w:szCs w:val="30"/>
          <w:rtl/>
        </w:rPr>
        <w:t>10 -</w:t>
      </w:r>
      <w:r>
        <w:rPr>
          <w:rFonts w:cs="Traditional Arabic" w:hint="cs"/>
          <w:szCs w:val="30"/>
          <w:rtl/>
        </w:rPr>
        <w:tab/>
        <w:t>وكخطوة أولى، ترشح كل منطقة ثمانية أعضاء محتملين للفريق متوخية التوازن المناسب على المستوى الفكري والتخصصي والموضوعي، وبمراعاة نظم المعارف والبعد الجنساني. وستوفر الترشيحات المقدمة من المناطق الخمس قائمة تتضمن 40 مرشحاً محتملاً. وتحدد كل منطقة مرشحيها الثلاثة المفضلين من قائمة المرشحين الثمانية. ويُدرج هؤلاء المرشحون الثلاثة آلياً في قائمة المرشحين النهائية المقترحة دون أي اعتراض عليهم، بافتراض أن الترشيحات تساهم في تحقيق التوازن المشار إليه أعلاه، وأن كل مرشح يستوفي المعايير المحددة لأعضاء الفريق في النظام الداخلي، بما في ذلك المعايير المتعلقة بفهم العمليات المتعلقة بالعلوم والسياسات. ويمكن لكل منطقة أن تحدد عمليتها الخاصة لانتقاء المرشحين، لكن هذه العملية يمكن أن تتضمن إجراء اتصالات مع أصحاب المصلحة فيما يتعلق بالترشيحات المقترحة، ويمكن إتمامها في إطار مشاورات إقليمية ليوم واحد تُعقد على الفور قبل تاريخ انعقاد دورة الاجتماع العام.</w:t>
      </w:r>
    </w:p>
    <w:p w:rsidR="00BB5CFF" w:rsidRDefault="00BB5CFF" w:rsidP="004D4A05">
      <w:pPr>
        <w:tabs>
          <w:tab w:val="left" w:pos="1132"/>
        </w:tabs>
        <w:spacing w:after="120" w:line="400" w:lineRule="exact"/>
        <w:ind w:left="1132"/>
        <w:jc w:val="both"/>
        <w:rPr>
          <w:rFonts w:cs="Traditional Arabic" w:hint="cs"/>
          <w:szCs w:val="30"/>
          <w:rtl/>
        </w:rPr>
      </w:pPr>
      <w:r>
        <w:rPr>
          <w:rFonts w:cs="Traditional Arabic" w:hint="cs"/>
          <w:szCs w:val="30"/>
          <w:rtl/>
        </w:rPr>
        <w:t>11 -</w:t>
      </w:r>
      <w:r>
        <w:rPr>
          <w:rFonts w:cs="Traditional Arabic" w:hint="cs"/>
          <w:szCs w:val="30"/>
          <w:rtl/>
        </w:rPr>
        <w:tab/>
        <w:t>ثم يقوم المكتب بتقييم التوازن العام للمرشحين الخمسة عشر (</w:t>
      </w:r>
      <w:r w:rsidR="0003086F">
        <w:rPr>
          <w:rFonts w:cs="Traditional Arabic" w:hint="cs"/>
          <w:szCs w:val="30"/>
          <w:rtl/>
        </w:rPr>
        <w:t>الذين يضمون المرشحين الثلاثة الأوائل من كل من مجموعات الأمم المتحدة الإقليمية</w:t>
      </w:r>
      <w:r w:rsidR="00CB3993">
        <w:rPr>
          <w:rFonts w:cs="Traditional Arabic" w:hint="cs"/>
          <w:szCs w:val="30"/>
          <w:rtl/>
        </w:rPr>
        <w:t xml:space="preserve"> الخمسة</w:t>
      </w:r>
      <w:r w:rsidR="0003086F">
        <w:rPr>
          <w:rFonts w:cs="Traditional Arabic" w:hint="cs"/>
          <w:szCs w:val="30"/>
          <w:rtl/>
        </w:rPr>
        <w:t>)</w:t>
      </w:r>
      <w:r>
        <w:rPr>
          <w:rFonts w:cs="Traditional Arabic" w:hint="cs"/>
          <w:szCs w:val="30"/>
          <w:rtl/>
        </w:rPr>
        <w:t>، ويستقي المشورة ا</w:t>
      </w:r>
      <w:r w:rsidR="0003086F">
        <w:rPr>
          <w:rFonts w:cs="Traditional Arabic" w:hint="cs"/>
          <w:szCs w:val="30"/>
          <w:rtl/>
        </w:rPr>
        <w:t>للازمة من أعضاء الفريق الحاليين، ويقوم المكتب بتقييم مواطن القوة والضعف لدى كل منهم، بالإضافة إلى التوازن العام ضمن المجموعة المقترحة. ويقوم المكتب بتقييم الخبرات الإضافية والاعتبارات الأخرى ذات الصلة اللازمة لكفالة تحقيق التوازن الملائم على الصعد الفكرية والتخصصية والجنسانية والموضوعية وعلى صعيد الخبرة، ويقرر من هم المرشحون الإقليميون الباقون الذين سيُوصى بهم إلى الاجتماع العام كأعضاء في الفريق بغية تلبية احتياجات على النحو الأمثل. وإذا اتضح أن الترشيحات لا تستوفي شرط التوازن في عضوية الفريق، يجوز للمكتب أن يطلب إلى الأعضاء والمراقبين تقديم مرشحين تتوافر لديهم الخبرة المطلوبة.</w:t>
      </w:r>
    </w:p>
    <w:p w:rsidR="0003086F" w:rsidRDefault="0003086F" w:rsidP="004D4A05">
      <w:pPr>
        <w:tabs>
          <w:tab w:val="left" w:pos="1132"/>
        </w:tabs>
        <w:spacing w:line="400" w:lineRule="exact"/>
        <w:ind w:left="1134"/>
        <w:jc w:val="both"/>
        <w:rPr>
          <w:rFonts w:cs="Traditional Arabic" w:hint="cs"/>
          <w:szCs w:val="30"/>
          <w:rtl/>
        </w:rPr>
      </w:pPr>
      <w:r>
        <w:rPr>
          <w:rFonts w:cs="Traditional Arabic" w:hint="cs"/>
          <w:szCs w:val="30"/>
          <w:rtl/>
        </w:rPr>
        <w:t>12 -</w:t>
      </w:r>
      <w:r>
        <w:rPr>
          <w:rFonts w:cs="Traditional Arabic" w:hint="cs"/>
          <w:szCs w:val="30"/>
          <w:rtl/>
        </w:rPr>
        <w:tab/>
      </w:r>
      <w:r w:rsidR="008D5A25">
        <w:rPr>
          <w:rFonts w:cs="Traditional Arabic" w:hint="cs"/>
          <w:szCs w:val="30"/>
          <w:rtl/>
        </w:rPr>
        <w:t>وعندما يتفق المكتب على قائمة متوازنة على النحو الملائم من المرشحين المختارين من بين المرشحين الإقليميين، تُقدم قائمة نهائية إلى الاجتماع العام لينظر فيها مصحوبة بتقرير قصير مقدم من المكتب عن عملية الاختيار. ويُتوقع أن يُجري المكتب عملية الاختيار لقائمة المرشحين النهائية خلال الأيام الثلاثة الأولى من دورة الاجتماع العام، بحيث يتيح الوقت اللازم لاختيار الأعضاء الجدد في الفريق قبل نهاية الدورة.</w:t>
      </w:r>
    </w:p>
    <w:p w:rsidR="00451ABD" w:rsidRDefault="0038322E" w:rsidP="00FC037D">
      <w:pPr>
        <w:spacing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4D4A05">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B6" w:rsidRDefault="00DC28B6">
      <w:r>
        <w:separator/>
      </w:r>
    </w:p>
  </w:endnote>
  <w:endnote w:type="continuationSeparator" w:id="0">
    <w:p w:rsidR="00DC28B6" w:rsidRDefault="00DC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Pr="007B173A" w:rsidRDefault="004D4A05" w:rsidP="00A02555">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622C9">
      <w:rPr>
        <w:rStyle w:val="PageNumber"/>
        <w:rFonts w:ascii="Times New Roman" w:hAnsi="Times New Roman" w:cs="Times New Roman"/>
      </w:rPr>
      <w:t>4</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Pr="007B173A" w:rsidRDefault="004D4A05" w:rsidP="00A02555">
    <w:pPr>
      <w:pStyle w:val="Footer"/>
      <w:tabs>
        <w:tab w:val="clear" w:pos="4153"/>
        <w:tab w:val="clear" w:pos="8306"/>
      </w:tabs>
      <w:bidi w:val="0"/>
      <w:spacing w:before="60"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B622C9">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Default="004D4A05" w:rsidP="004D4A05">
    <w:pPr>
      <w:pStyle w:val="Footer"/>
      <w:tabs>
        <w:tab w:val="clear" w:pos="4153"/>
        <w:tab w:val="clear" w:pos="8306"/>
      </w:tabs>
      <w:jc w:val="left"/>
      <w:rPr>
        <w:rFonts w:hint="cs"/>
        <w:rtl/>
      </w:rPr>
    </w:pPr>
    <w:r>
      <w:rPr>
        <w:rStyle w:val="PageNumber"/>
      </w:rPr>
      <w:t>K1354135</w:t>
    </w:r>
    <w:r>
      <w:rPr>
        <w:rStyle w:val="PageNumber"/>
      </w:rPr>
      <w:tab/>
      <w:t>021213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B6" w:rsidRDefault="00DC28B6" w:rsidP="00684243">
      <w:pPr>
        <w:ind w:left="720"/>
      </w:pPr>
      <w:r>
        <w:separator/>
      </w:r>
    </w:p>
  </w:footnote>
  <w:footnote w:type="continuationSeparator" w:id="0">
    <w:p w:rsidR="00DC28B6" w:rsidRDefault="00DC28B6">
      <w:r>
        <w:continuationSeparator/>
      </w:r>
    </w:p>
  </w:footnote>
  <w:footnote w:id="1">
    <w:p w:rsidR="004D4A05" w:rsidRPr="004D4A05" w:rsidRDefault="004D4A05" w:rsidP="004D4A05">
      <w:pPr>
        <w:pStyle w:val="FootnoteText"/>
        <w:spacing w:after="60" w:line="320" w:lineRule="exact"/>
        <w:ind w:left="1440"/>
        <w:jc w:val="both"/>
        <w:rPr>
          <w:rFonts w:ascii="Traditional Arabic" w:hAnsi="Traditional Arabic" w:cs="Traditional Arabic" w:hint="cs"/>
          <w:sz w:val="26"/>
          <w:szCs w:val="26"/>
          <w:rtl/>
        </w:rPr>
      </w:pPr>
      <w:r w:rsidRPr="001A1EEB">
        <w:rPr>
          <w:rFonts w:ascii="Times New Roman" w:hAnsi="Times New Roman" w:cs="Times New Roman"/>
          <w:rtl/>
        </w:rPr>
        <w:t>*</w:t>
      </w:r>
      <w:r w:rsidRPr="004D4A05">
        <w:rPr>
          <w:rFonts w:ascii="Traditional Arabic" w:hAnsi="Traditional Arabic" w:cs="Traditional Arabic"/>
          <w:sz w:val="26"/>
          <w:szCs w:val="26"/>
          <w:rtl/>
        </w:rPr>
        <w:t xml:space="preserve"> </w:t>
      </w:r>
      <w:r>
        <w:rPr>
          <w:rFonts w:ascii="Traditional Arabic" w:hAnsi="Traditional Arabic" w:cs="Traditional Arabic" w:hint="cs"/>
          <w:sz w:val="26"/>
          <w:szCs w:val="26"/>
          <w:rtl/>
        </w:rPr>
        <w:t>أعيد إصدارها لأسباب فنيه بتاريخ 2 كانون الأول/ديسمبر 2013.</w:t>
      </w:r>
    </w:p>
  </w:footnote>
  <w:footnote w:id="2">
    <w:p w:rsidR="004D4A05" w:rsidRPr="006266D1" w:rsidRDefault="004D4A05" w:rsidP="004D4A05">
      <w:pPr>
        <w:spacing w:after="60" w:line="320" w:lineRule="exact"/>
        <w:ind w:left="1440"/>
        <w:jc w:val="both"/>
        <w:rPr>
          <w:rFonts w:cs="Traditional Arabic" w:hint="cs"/>
          <w:sz w:val="20"/>
          <w:szCs w:val="26"/>
        </w:rPr>
      </w:pPr>
      <w:r w:rsidRPr="001A1EEB">
        <w:rPr>
          <w:rFonts w:cs="Times New Roman"/>
          <w:sz w:val="20"/>
          <w:szCs w:val="20"/>
          <w:rtl/>
        </w:rPr>
        <w:t>**</w:t>
      </w:r>
      <w:r w:rsidRPr="006266D1">
        <w:rPr>
          <w:rFonts w:cs="Traditional Arabic"/>
          <w:sz w:val="20"/>
          <w:szCs w:val="26"/>
          <w:rtl/>
        </w:rPr>
        <w:t xml:space="preserve"> </w:t>
      </w:r>
      <w:r w:rsidRPr="004D4A05">
        <w:rPr>
          <w:rFonts w:cs="Times New Roman"/>
          <w:sz w:val="20"/>
          <w:szCs w:val="20"/>
        </w:rPr>
        <w:t>IPBES/2/1</w:t>
      </w:r>
      <w:r>
        <w:rPr>
          <w:rFonts w:cs="Traditional Arabic" w:hint="cs"/>
          <w:sz w:val="20"/>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Pr="00D1000D" w:rsidRDefault="004D4A05" w:rsidP="00D1000D">
    <w:pPr>
      <w:pBdr>
        <w:bottom w:val="single" w:sz="4" w:space="0" w:color="auto"/>
      </w:pBdr>
      <w:spacing w:before="20" w:after="40" w:line="180" w:lineRule="exact"/>
      <w:rPr>
        <w:rFonts w:hint="cs"/>
        <w:b/>
        <w:bCs/>
        <w:sz w:val="18"/>
        <w:szCs w:val="18"/>
        <w:rtl/>
        <w:lang w:val="fr-FR"/>
      </w:rPr>
    </w:pPr>
    <w:r w:rsidRPr="00D1000D">
      <w:rPr>
        <w:rStyle w:val="PageNumber"/>
        <w:rFonts w:cs="Times New Roman"/>
        <w:b/>
        <w:bCs/>
        <w:sz w:val="18"/>
        <w:szCs w:val="18"/>
        <w:lang w:val="fr-FR"/>
      </w:rPr>
      <w:t>IPBES/2/8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Pr="00D1000D" w:rsidRDefault="004D4A05" w:rsidP="00D1000D">
    <w:pPr>
      <w:pBdr>
        <w:bottom w:val="single" w:sz="4" w:space="1" w:color="auto"/>
      </w:pBdr>
      <w:bidi w:val="0"/>
      <w:spacing w:before="20" w:after="40" w:line="180" w:lineRule="exact"/>
      <w:rPr>
        <w:b/>
        <w:bCs/>
        <w:sz w:val="18"/>
        <w:szCs w:val="18"/>
        <w:rtl/>
        <w:lang w:val="fr-FR"/>
      </w:rPr>
    </w:pPr>
    <w:r w:rsidRPr="00D1000D">
      <w:rPr>
        <w:rStyle w:val="PageNumber"/>
        <w:rFonts w:cs="Times New Roman"/>
        <w:b/>
        <w:bCs/>
        <w:sz w:val="18"/>
        <w:szCs w:val="18"/>
        <w:lang w:val="fr-FR"/>
      </w:rPr>
      <w:t>IPBES/2/8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05" w:rsidRDefault="004D4A05"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3086F"/>
    <w:rsid w:val="0003131F"/>
    <w:rsid w:val="00033595"/>
    <w:rsid w:val="00033A5C"/>
    <w:rsid w:val="0006021A"/>
    <w:rsid w:val="0008088A"/>
    <w:rsid w:val="000844F9"/>
    <w:rsid w:val="00086EAA"/>
    <w:rsid w:val="000C6AF1"/>
    <w:rsid w:val="000C72D5"/>
    <w:rsid w:val="000F083C"/>
    <w:rsid w:val="000F39C0"/>
    <w:rsid w:val="000F712A"/>
    <w:rsid w:val="00102A11"/>
    <w:rsid w:val="00111DDA"/>
    <w:rsid w:val="001121D5"/>
    <w:rsid w:val="0012040B"/>
    <w:rsid w:val="001244FF"/>
    <w:rsid w:val="00124CC4"/>
    <w:rsid w:val="00131CE1"/>
    <w:rsid w:val="001367EA"/>
    <w:rsid w:val="001368B8"/>
    <w:rsid w:val="0014278C"/>
    <w:rsid w:val="00153644"/>
    <w:rsid w:val="00154CC2"/>
    <w:rsid w:val="00157461"/>
    <w:rsid w:val="00165BE3"/>
    <w:rsid w:val="0017427B"/>
    <w:rsid w:val="00177C0C"/>
    <w:rsid w:val="001841AD"/>
    <w:rsid w:val="001844E3"/>
    <w:rsid w:val="00186DE2"/>
    <w:rsid w:val="001912D9"/>
    <w:rsid w:val="001A0F83"/>
    <w:rsid w:val="001A1EEB"/>
    <w:rsid w:val="001B03D9"/>
    <w:rsid w:val="001B57AE"/>
    <w:rsid w:val="001D3A25"/>
    <w:rsid w:val="001D5FAE"/>
    <w:rsid w:val="001E4795"/>
    <w:rsid w:val="001E6E8E"/>
    <w:rsid w:val="001F0C9C"/>
    <w:rsid w:val="001F171C"/>
    <w:rsid w:val="001F390D"/>
    <w:rsid w:val="002079F8"/>
    <w:rsid w:val="0023160B"/>
    <w:rsid w:val="002323CD"/>
    <w:rsid w:val="00260C3B"/>
    <w:rsid w:val="00261451"/>
    <w:rsid w:val="00267DA8"/>
    <w:rsid w:val="002859F1"/>
    <w:rsid w:val="0028701E"/>
    <w:rsid w:val="002B14DB"/>
    <w:rsid w:val="002C60AD"/>
    <w:rsid w:val="002E7390"/>
    <w:rsid w:val="002F11C2"/>
    <w:rsid w:val="002F74A0"/>
    <w:rsid w:val="00317E61"/>
    <w:rsid w:val="003501E1"/>
    <w:rsid w:val="003553DB"/>
    <w:rsid w:val="0038322E"/>
    <w:rsid w:val="00386BD3"/>
    <w:rsid w:val="00390CD8"/>
    <w:rsid w:val="003923ED"/>
    <w:rsid w:val="00397363"/>
    <w:rsid w:val="003B507C"/>
    <w:rsid w:val="003B69C2"/>
    <w:rsid w:val="003D355A"/>
    <w:rsid w:val="003E4E41"/>
    <w:rsid w:val="003E5CB0"/>
    <w:rsid w:val="003F77FF"/>
    <w:rsid w:val="0040218B"/>
    <w:rsid w:val="00405211"/>
    <w:rsid w:val="00425FC0"/>
    <w:rsid w:val="00451081"/>
    <w:rsid w:val="00451ABD"/>
    <w:rsid w:val="004606CA"/>
    <w:rsid w:val="00472C66"/>
    <w:rsid w:val="00480927"/>
    <w:rsid w:val="00485260"/>
    <w:rsid w:val="004916B5"/>
    <w:rsid w:val="00495361"/>
    <w:rsid w:val="004B0A17"/>
    <w:rsid w:val="004B633E"/>
    <w:rsid w:val="004D2B12"/>
    <w:rsid w:val="004D4A05"/>
    <w:rsid w:val="004E001B"/>
    <w:rsid w:val="004E1EDE"/>
    <w:rsid w:val="004E5370"/>
    <w:rsid w:val="004E7B30"/>
    <w:rsid w:val="00522932"/>
    <w:rsid w:val="005234DB"/>
    <w:rsid w:val="00530F46"/>
    <w:rsid w:val="00540949"/>
    <w:rsid w:val="005668AB"/>
    <w:rsid w:val="00591B8E"/>
    <w:rsid w:val="005945AA"/>
    <w:rsid w:val="005A6A53"/>
    <w:rsid w:val="005B198D"/>
    <w:rsid w:val="005B25B0"/>
    <w:rsid w:val="005C55FF"/>
    <w:rsid w:val="005E06C5"/>
    <w:rsid w:val="005E2737"/>
    <w:rsid w:val="005F5925"/>
    <w:rsid w:val="0060772E"/>
    <w:rsid w:val="00611BF3"/>
    <w:rsid w:val="00615461"/>
    <w:rsid w:val="006160A4"/>
    <w:rsid w:val="006227F4"/>
    <w:rsid w:val="0063685D"/>
    <w:rsid w:val="00671875"/>
    <w:rsid w:val="00684243"/>
    <w:rsid w:val="00696059"/>
    <w:rsid w:val="006A7E4F"/>
    <w:rsid w:val="006B1387"/>
    <w:rsid w:val="006B54B1"/>
    <w:rsid w:val="006C560D"/>
    <w:rsid w:val="006E4BE0"/>
    <w:rsid w:val="006F036C"/>
    <w:rsid w:val="00706852"/>
    <w:rsid w:val="00712158"/>
    <w:rsid w:val="00723FFD"/>
    <w:rsid w:val="0075378C"/>
    <w:rsid w:val="00755158"/>
    <w:rsid w:val="00783165"/>
    <w:rsid w:val="007A671B"/>
    <w:rsid w:val="007B173A"/>
    <w:rsid w:val="007B5F59"/>
    <w:rsid w:val="007B7061"/>
    <w:rsid w:val="007C0045"/>
    <w:rsid w:val="007C62EE"/>
    <w:rsid w:val="007D0692"/>
    <w:rsid w:val="007E0C9A"/>
    <w:rsid w:val="007F304D"/>
    <w:rsid w:val="00802B63"/>
    <w:rsid w:val="00805014"/>
    <w:rsid w:val="00822614"/>
    <w:rsid w:val="008500FB"/>
    <w:rsid w:val="00852F12"/>
    <w:rsid w:val="00873A40"/>
    <w:rsid w:val="008809AF"/>
    <w:rsid w:val="00887CE8"/>
    <w:rsid w:val="0089216B"/>
    <w:rsid w:val="0089620E"/>
    <w:rsid w:val="008A5EBB"/>
    <w:rsid w:val="008D5A25"/>
    <w:rsid w:val="008F224E"/>
    <w:rsid w:val="0090002B"/>
    <w:rsid w:val="0092522D"/>
    <w:rsid w:val="009265E6"/>
    <w:rsid w:val="00926C1F"/>
    <w:rsid w:val="00931CC7"/>
    <w:rsid w:val="00934EBC"/>
    <w:rsid w:val="00955980"/>
    <w:rsid w:val="0096183C"/>
    <w:rsid w:val="00980B82"/>
    <w:rsid w:val="009819E2"/>
    <w:rsid w:val="009A052E"/>
    <w:rsid w:val="009A1FDF"/>
    <w:rsid w:val="009B2A75"/>
    <w:rsid w:val="009C5B87"/>
    <w:rsid w:val="009D58E8"/>
    <w:rsid w:val="009E2CE5"/>
    <w:rsid w:val="009E46DF"/>
    <w:rsid w:val="009E6EAB"/>
    <w:rsid w:val="00A010D3"/>
    <w:rsid w:val="00A02555"/>
    <w:rsid w:val="00A108BD"/>
    <w:rsid w:val="00A26E11"/>
    <w:rsid w:val="00A34C1A"/>
    <w:rsid w:val="00A5367D"/>
    <w:rsid w:val="00A579D1"/>
    <w:rsid w:val="00A76B59"/>
    <w:rsid w:val="00A969A0"/>
    <w:rsid w:val="00AB1E5D"/>
    <w:rsid w:val="00AE4729"/>
    <w:rsid w:val="00AF0DF6"/>
    <w:rsid w:val="00B179A4"/>
    <w:rsid w:val="00B41DE8"/>
    <w:rsid w:val="00B602AD"/>
    <w:rsid w:val="00B607F4"/>
    <w:rsid w:val="00B622C9"/>
    <w:rsid w:val="00B6527E"/>
    <w:rsid w:val="00B71247"/>
    <w:rsid w:val="00B77EDA"/>
    <w:rsid w:val="00B83776"/>
    <w:rsid w:val="00B8633A"/>
    <w:rsid w:val="00B87B65"/>
    <w:rsid w:val="00B97A52"/>
    <w:rsid w:val="00BA0055"/>
    <w:rsid w:val="00BA25F3"/>
    <w:rsid w:val="00BA66F1"/>
    <w:rsid w:val="00BA6ED1"/>
    <w:rsid w:val="00BB0629"/>
    <w:rsid w:val="00BB5CFF"/>
    <w:rsid w:val="00BB66F5"/>
    <w:rsid w:val="00BC5BBD"/>
    <w:rsid w:val="00BD1906"/>
    <w:rsid w:val="00BD4A65"/>
    <w:rsid w:val="00BF64C6"/>
    <w:rsid w:val="00BF7F42"/>
    <w:rsid w:val="00C0594F"/>
    <w:rsid w:val="00C1200F"/>
    <w:rsid w:val="00C1750E"/>
    <w:rsid w:val="00C34FDE"/>
    <w:rsid w:val="00C56205"/>
    <w:rsid w:val="00C712BF"/>
    <w:rsid w:val="00C85728"/>
    <w:rsid w:val="00C86BDC"/>
    <w:rsid w:val="00C966F8"/>
    <w:rsid w:val="00CA4F8C"/>
    <w:rsid w:val="00CB3993"/>
    <w:rsid w:val="00CB79F1"/>
    <w:rsid w:val="00CD25C4"/>
    <w:rsid w:val="00CD3130"/>
    <w:rsid w:val="00CD399B"/>
    <w:rsid w:val="00D1000D"/>
    <w:rsid w:val="00D12FDA"/>
    <w:rsid w:val="00D300E2"/>
    <w:rsid w:val="00D444E7"/>
    <w:rsid w:val="00D44CE3"/>
    <w:rsid w:val="00D578BF"/>
    <w:rsid w:val="00D66C66"/>
    <w:rsid w:val="00D70490"/>
    <w:rsid w:val="00D71822"/>
    <w:rsid w:val="00D9173E"/>
    <w:rsid w:val="00D91942"/>
    <w:rsid w:val="00D958DE"/>
    <w:rsid w:val="00DA1588"/>
    <w:rsid w:val="00DA37C2"/>
    <w:rsid w:val="00DA494E"/>
    <w:rsid w:val="00DB6958"/>
    <w:rsid w:val="00DC28B6"/>
    <w:rsid w:val="00DC4E54"/>
    <w:rsid w:val="00DC590D"/>
    <w:rsid w:val="00DE44E0"/>
    <w:rsid w:val="00DE796A"/>
    <w:rsid w:val="00E015AC"/>
    <w:rsid w:val="00E369DB"/>
    <w:rsid w:val="00E36EB2"/>
    <w:rsid w:val="00E63CFD"/>
    <w:rsid w:val="00E760C7"/>
    <w:rsid w:val="00E82C8E"/>
    <w:rsid w:val="00E90558"/>
    <w:rsid w:val="00E96DEF"/>
    <w:rsid w:val="00EA0788"/>
    <w:rsid w:val="00EC2C4D"/>
    <w:rsid w:val="00EC3A5F"/>
    <w:rsid w:val="00ED77A3"/>
    <w:rsid w:val="00EE026C"/>
    <w:rsid w:val="00F06C10"/>
    <w:rsid w:val="00F12DD6"/>
    <w:rsid w:val="00F240DC"/>
    <w:rsid w:val="00F47390"/>
    <w:rsid w:val="00F50135"/>
    <w:rsid w:val="00F61AB5"/>
    <w:rsid w:val="00F64BB3"/>
    <w:rsid w:val="00F7639B"/>
    <w:rsid w:val="00FC037D"/>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21B91-AC87-4C29-ADDA-B2BDDBF7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styleId="BalloonText">
    <w:name w:val="Balloon Text"/>
    <w:basedOn w:val="Normal"/>
    <w:link w:val="BalloonTextChar"/>
    <w:rsid w:val="00E82C8E"/>
    <w:rPr>
      <w:rFonts w:ascii="Tahoma" w:hAnsi="Tahoma" w:cs="Tahoma"/>
      <w:sz w:val="16"/>
      <w:szCs w:val="16"/>
    </w:rPr>
  </w:style>
  <w:style w:type="character" w:customStyle="1" w:styleId="BalloonTextChar">
    <w:name w:val="Balloon Text Char"/>
    <w:link w:val="BalloonText"/>
    <w:rsid w:val="00E82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44FE-6CED-4EF5-A825-8413C86F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cp:lastModifiedBy>Rohan Shanbhag</cp:lastModifiedBy>
  <cp:revision>2</cp:revision>
  <cp:lastPrinted>2013-09-30T09:08:00Z</cp:lastPrinted>
  <dcterms:created xsi:type="dcterms:W3CDTF">2013-12-07T08:21:00Z</dcterms:created>
  <dcterms:modified xsi:type="dcterms:W3CDTF">2013-12-07T08:21:00Z</dcterms:modified>
</cp:coreProperties>
</file>