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71" w:type="pct"/>
        <w:jc w:val="right"/>
        <w:tblLayout w:type="fixed"/>
        <w:tblLook w:val="0000" w:firstRow="0" w:lastRow="0" w:firstColumn="0" w:lastColumn="0" w:noHBand="0" w:noVBand="0"/>
      </w:tblPr>
      <w:tblGrid>
        <w:gridCol w:w="1457"/>
        <w:gridCol w:w="592"/>
        <w:gridCol w:w="348"/>
        <w:gridCol w:w="864"/>
        <w:gridCol w:w="954"/>
        <w:gridCol w:w="2688"/>
        <w:gridCol w:w="973"/>
        <w:gridCol w:w="1705"/>
      </w:tblGrid>
      <w:tr w:rsidR="00DA3F7A" w:rsidRPr="00546330" w14:paraId="2431C878" w14:textId="77777777" w:rsidTr="00DA3F7A">
        <w:trPr>
          <w:cantSplit/>
          <w:trHeight w:val="1079"/>
          <w:jc w:val="right"/>
        </w:trPr>
        <w:tc>
          <w:tcPr>
            <w:tcW w:w="1458" w:type="dxa"/>
          </w:tcPr>
          <w:p w14:paraId="2CFF0890" w14:textId="77777777" w:rsidR="00DA3F7A" w:rsidRPr="00546330" w:rsidRDefault="00DA3F7A" w:rsidP="00780B15">
            <w:pPr>
              <w:pStyle w:val="Normal-pool"/>
              <w:rPr>
                <w:rFonts w:ascii="Arial" w:hAnsi="Arial" w:cs="Arial"/>
                <w:b/>
                <w:sz w:val="27"/>
                <w:szCs w:val="27"/>
                <w:lang w:val="fr-FR"/>
              </w:rPr>
            </w:pPr>
            <w:bookmarkStart w:id="0" w:name="_GoBack"/>
            <w:bookmarkEnd w:id="0"/>
            <w:r w:rsidRPr="00546330">
              <w:rPr>
                <w:rFonts w:ascii="Arial" w:hAnsi="Arial" w:cs="Arial"/>
                <w:b/>
                <w:sz w:val="27"/>
                <w:szCs w:val="27"/>
                <w:lang w:val="fr-FR"/>
              </w:rPr>
              <w:t>NATIONS UNIES</w:t>
            </w:r>
          </w:p>
        </w:tc>
        <w:tc>
          <w:tcPr>
            <w:tcW w:w="940" w:type="dxa"/>
            <w:gridSpan w:val="2"/>
            <w:tcBorders>
              <w:left w:val="nil"/>
            </w:tcBorders>
            <w:vAlign w:val="center"/>
          </w:tcPr>
          <w:p w14:paraId="4EF83A47" w14:textId="77777777" w:rsidR="00DA3F7A" w:rsidRPr="00546330" w:rsidRDefault="00DA3F7A" w:rsidP="00780B15">
            <w:pPr>
              <w:pStyle w:val="Normal-pool"/>
              <w:rPr>
                <w:lang w:val="fr-FR"/>
              </w:rPr>
            </w:pPr>
            <w:r w:rsidRPr="00546330">
              <w:rPr>
                <w:noProof/>
                <w:lang w:val="en-GB" w:eastAsia="en-GB"/>
              </w:rPr>
              <w:drawing>
                <wp:inline distT="0" distB="0" distL="0" distR="0" wp14:anchorId="014DA945" wp14:editId="1B637311">
                  <wp:extent cx="482803" cy="460857"/>
                  <wp:effectExtent l="0" t="0" r="0" b="0"/>
                  <wp:docPr id="3"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64" w:type="dxa"/>
            <w:tcBorders>
              <w:left w:val="nil"/>
            </w:tcBorders>
            <w:vAlign w:val="center"/>
          </w:tcPr>
          <w:p w14:paraId="23E097F3" w14:textId="77777777" w:rsidR="00DA3F7A" w:rsidRPr="00546330" w:rsidRDefault="00DA3F7A" w:rsidP="00780B15">
            <w:pPr>
              <w:pStyle w:val="Normal-pool"/>
              <w:spacing w:before="160"/>
              <w:rPr>
                <w:lang w:val="fr-FR"/>
              </w:rPr>
            </w:pPr>
            <w:r w:rsidRPr="00546330">
              <w:rPr>
                <w:noProof/>
                <w:lang w:val="en-GB" w:eastAsia="en-GB"/>
              </w:rPr>
              <w:drawing>
                <wp:inline distT="0" distB="0" distL="0" distR="0" wp14:anchorId="51421317" wp14:editId="6EE33C5F">
                  <wp:extent cx="362710" cy="47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54" w:type="dxa"/>
            <w:tcBorders>
              <w:left w:val="nil"/>
            </w:tcBorders>
            <w:vAlign w:val="center"/>
          </w:tcPr>
          <w:p w14:paraId="7A321D2A" w14:textId="77777777" w:rsidR="00DA3F7A" w:rsidRPr="00546330" w:rsidRDefault="00DA3F7A" w:rsidP="00780B15">
            <w:pPr>
              <w:pStyle w:val="Normal-pool"/>
              <w:rPr>
                <w:lang w:val="fr-FR"/>
              </w:rPr>
            </w:pPr>
            <w:r w:rsidRPr="00546330">
              <w:rPr>
                <w:noProof/>
                <w:lang w:val="en-GB" w:eastAsia="en-GB"/>
              </w:rPr>
              <w:drawing>
                <wp:inline distT="0" distB="0" distL="0" distR="0" wp14:anchorId="1E8FF6F5" wp14:editId="1401E4F5">
                  <wp:extent cx="490119" cy="460857"/>
                  <wp:effectExtent l="0" t="0" r="5715" b="0"/>
                  <wp:docPr id="5"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689" w:type="dxa"/>
            <w:tcBorders>
              <w:left w:val="nil"/>
            </w:tcBorders>
            <w:vAlign w:val="center"/>
          </w:tcPr>
          <w:p w14:paraId="6F95D6EE" w14:textId="77777777" w:rsidR="00DA3F7A" w:rsidRPr="00546330" w:rsidRDefault="00DA3F7A" w:rsidP="00780B15">
            <w:pPr>
              <w:pStyle w:val="Normal-pool"/>
              <w:rPr>
                <w:lang w:val="fr-FR"/>
              </w:rPr>
            </w:pPr>
            <w:r w:rsidRPr="00546330">
              <w:rPr>
                <w:noProof/>
                <w:lang w:val="en-GB" w:eastAsia="en-GB"/>
              </w:rPr>
              <w:drawing>
                <wp:inline distT="0" distB="0" distL="0" distR="0" wp14:anchorId="27B93737" wp14:editId="0787F2E7">
                  <wp:extent cx="1653236" cy="355488"/>
                  <wp:effectExtent l="0" t="0" r="4445" b="6985"/>
                  <wp:docPr id="6"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973" w:type="dxa"/>
            <w:tcBorders>
              <w:left w:val="nil"/>
            </w:tcBorders>
            <w:vAlign w:val="center"/>
          </w:tcPr>
          <w:p w14:paraId="62636045" w14:textId="77777777" w:rsidR="00DA3F7A" w:rsidRPr="00546330" w:rsidRDefault="00DA3F7A" w:rsidP="00780B15">
            <w:pPr>
              <w:pStyle w:val="Normal-pool"/>
              <w:ind w:right="-136"/>
              <w:rPr>
                <w:lang w:val="fr-FR"/>
              </w:rPr>
            </w:pPr>
            <w:r w:rsidRPr="00546330">
              <w:rPr>
                <w:noProof/>
                <w:lang w:val="en-GB" w:eastAsia="en-GB"/>
              </w:rPr>
              <w:drawing>
                <wp:inline distT="0" distB="0" distL="0" distR="0" wp14:anchorId="057E4B0F" wp14:editId="59122855">
                  <wp:extent cx="327617" cy="63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05" w:type="dxa"/>
          </w:tcPr>
          <w:p w14:paraId="197121FE" w14:textId="77777777" w:rsidR="00DA3F7A" w:rsidRPr="00546330" w:rsidRDefault="00DA3F7A" w:rsidP="00780B15">
            <w:pPr>
              <w:pStyle w:val="Normal-pool"/>
              <w:ind w:right="-136"/>
              <w:jc w:val="right"/>
              <w:rPr>
                <w:rFonts w:ascii="Arial" w:hAnsi="Arial" w:cs="Arial"/>
                <w:b/>
                <w:sz w:val="64"/>
                <w:szCs w:val="64"/>
                <w:lang w:val="fr-FR"/>
              </w:rPr>
            </w:pPr>
            <w:r w:rsidRPr="00546330">
              <w:rPr>
                <w:rFonts w:ascii="Arial" w:hAnsi="Arial" w:cs="Arial"/>
                <w:b/>
                <w:sz w:val="64"/>
                <w:szCs w:val="64"/>
                <w:lang w:val="fr-FR"/>
              </w:rPr>
              <w:t>BES</w:t>
            </w:r>
          </w:p>
        </w:tc>
      </w:tr>
      <w:tr w:rsidR="00DA3F7A" w:rsidRPr="00546330" w14:paraId="54369274" w14:textId="77777777" w:rsidTr="00DA3F7A">
        <w:trPr>
          <w:cantSplit/>
          <w:trHeight w:val="282"/>
          <w:jc w:val="right"/>
        </w:trPr>
        <w:tc>
          <w:tcPr>
            <w:tcW w:w="1458" w:type="dxa"/>
            <w:tcBorders>
              <w:bottom w:val="single" w:sz="2" w:space="0" w:color="auto"/>
            </w:tcBorders>
          </w:tcPr>
          <w:p w14:paraId="24E46A1A" w14:textId="77777777" w:rsidR="00DA3F7A" w:rsidRPr="00546330" w:rsidRDefault="00DA3F7A" w:rsidP="00780B15">
            <w:pPr>
              <w:pStyle w:val="Normal-pool"/>
              <w:rPr>
                <w:lang w:val="fr-FR"/>
              </w:rPr>
            </w:pPr>
          </w:p>
        </w:tc>
        <w:tc>
          <w:tcPr>
            <w:tcW w:w="5447" w:type="dxa"/>
            <w:gridSpan w:val="5"/>
            <w:tcBorders>
              <w:bottom w:val="single" w:sz="2" w:space="0" w:color="auto"/>
            </w:tcBorders>
          </w:tcPr>
          <w:p w14:paraId="69C73E5C" w14:textId="77777777" w:rsidR="00DA3F7A" w:rsidRPr="00546330" w:rsidRDefault="00DA3F7A" w:rsidP="00780B15">
            <w:pPr>
              <w:pStyle w:val="Normal-pool"/>
              <w:rPr>
                <w:rFonts w:ascii="Univers" w:hAnsi="Univers"/>
                <w:b/>
                <w:sz w:val="24"/>
                <w:lang w:val="fr-FR"/>
              </w:rPr>
            </w:pPr>
          </w:p>
        </w:tc>
        <w:tc>
          <w:tcPr>
            <w:tcW w:w="2678" w:type="dxa"/>
            <w:gridSpan w:val="2"/>
            <w:tcBorders>
              <w:bottom w:val="single" w:sz="2" w:space="0" w:color="auto"/>
            </w:tcBorders>
          </w:tcPr>
          <w:p w14:paraId="1BB0443D" w14:textId="04F25868" w:rsidR="00DA3F7A" w:rsidRPr="00546330" w:rsidRDefault="00DA3F7A" w:rsidP="00780B15">
            <w:pPr>
              <w:pStyle w:val="Normal-pool"/>
              <w:spacing w:before="120"/>
              <w:rPr>
                <w:b/>
                <w:sz w:val="24"/>
                <w:szCs w:val="24"/>
                <w:lang w:val="fr-FR"/>
              </w:rPr>
            </w:pPr>
            <w:r w:rsidRPr="00546330">
              <w:rPr>
                <w:b/>
                <w:sz w:val="24"/>
                <w:lang w:val="fr-FR"/>
              </w:rPr>
              <w:t>IPBES</w:t>
            </w:r>
            <w:r w:rsidRPr="00546330">
              <w:rPr>
                <w:lang w:val="fr-FR"/>
              </w:rPr>
              <w:t>/7/1</w:t>
            </w:r>
            <w:r w:rsidR="00275DBD" w:rsidRPr="00546330">
              <w:rPr>
                <w:lang w:val="fr-FR"/>
              </w:rPr>
              <w:t>/Add.2</w:t>
            </w:r>
          </w:p>
        </w:tc>
      </w:tr>
      <w:tr w:rsidR="00DA3F7A" w:rsidRPr="00546330" w14:paraId="6A8AB78A" w14:textId="77777777" w:rsidTr="00DA3F7A">
        <w:trPr>
          <w:cantSplit/>
          <w:trHeight w:val="1615"/>
          <w:jc w:val="right"/>
        </w:trPr>
        <w:tc>
          <w:tcPr>
            <w:tcW w:w="2050" w:type="dxa"/>
            <w:gridSpan w:val="2"/>
            <w:tcBorders>
              <w:top w:val="single" w:sz="2" w:space="0" w:color="auto"/>
              <w:bottom w:val="single" w:sz="24" w:space="0" w:color="auto"/>
            </w:tcBorders>
          </w:tcPr>
          <w:p w14:paraId="4C9D521E" w14:textId="77777777" w:rsidR="00DA3F7A" w:rsidRPr="00546330" w:rsidRDefault="00DA3F7A" w:rsidP="00780B15">
            <w:pPr>
              <w:pStyle w:val="Normal-pool"/>
              <w:spacing w:before="240" w:after="240"/>
              <w:rPr>
                <w:b/>
                <w:sz w:val="28"/>
                <w:szCs w:val="28"/>
                <w:lang w:val="fr-FR"/>
              </w:rPr>
            </w:pPr>
            <w:r w:rsidRPr="00546330">
              <w:rPr>
                <w:b/>
                <w:noProof/>
                <w:sz w:val="28"/>
                <w:szCs w:val="28"/>
                <w:lang w:val="en-GB" w:eastAsia="en-GB"/>
              </w:rPr>
              <w:drawing>
                <wp:inline distT="0" distB="0" distL="0" distR="0" wp14:anchorId="28A23353" wp14:editId="7197C6F3">
                  <wp:extent cx="1111406" cy="5193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55" w:type="dxa"/>
            <w:gridSpan w:val="4"/>
            <w:tcBorders>
              <w:top w:val="single" w:sz="2" w:space="0" w:color="auto"/>
              <w:bottom w:val="single" w:sz="24" w:space="0" w:color="auto"/>
            </w:tcBorders>
          </w:tcPr>
          <w:p w14:paraId="4A642AE8" w14:textId="77777777" w:rsidR="00DA3F7A" w:rsidRPr="00546330" w:rsidRDefault="00455328" w:rsidP="00780B15">
            <w:pPr>
              <w:pStyle w:val="Normal-pool"/>
              <w:spacing w:before="240" w:after="240"/>
              <w:rPr>
                <w:rFonts w:ascii="Arial" w:hAnsi="Arial" w:cs="Arial"/>
                <w:b/>
                <w:sz w:val="28"/>
                <w:szCs w:val="28"/>
                <w:lang w:val="fr-FR"/>
              </w:rPr>
            </w:pPr>
            <w:hyperlink r:id="rId15" w:tgtFrame="_blank" w:history="1">
              <w:r w:rsidR="00DA3F7A" w:rsidRPr="00546330">
                <w:rPr>
                  <w:rFonts w:ascii="Arial" w:hAnsi="Arial" w:cs="Arial"/>
                  <w:b/>
                  <w:sz w:val="28"/>
                  <w:szCs w:val="28"/>
                  <w:lang w:val="fr-FR"/>
                </w:rPr>
                <w:t>Plateforme intergouvernementale scientifique et politique sur la biodiversité et les services écosystémiques</w:t>
              </w:r>
            </w:hyperlink>
          </w:p>
        </w:tc>
        <w:tc>
          <w:tcPr>
            <w:tcW w:w="2678" w:type="dxa"/>
            <w:gridSpan w:val="2"/>
            <w:tcBorders>
              <w:top w:val="single" w:sz="2" w:space="0" w:color="auto"/>
              <w:bottom w:val="single" w:sz="24" w:space="0" w:color="auto"/>
            </w:tcBorders>
          </w:tcPr>
          <w:p w14:paraId="7FCED03B" w14:textId="2B19D87A" w:rsidR="00DA3F7A" w:rsidRPr="00546330" w:rsidRDefault="00DA3F7A" w:rsidP="00780B15">
            <w:pPr>
              <w:pStyle w:val="Normal-pool"/>
              <w:spacing w:before="120"/>
              <w:rPr>
                <w:lang w:val="fr-FR"/>
              </w:rPr>
            </w:pPr>
            <w:r w:rsidRPr="00546330">
              <w:rPr>
                <w:lang w:val="fr-FR"/>
              </w:rPr>
              <w:t xml:space="preserve">Distr. générale </w:t>
            </w:r>
            <w:r w:rsidRPr="00546330">
              <w:rPr>
                <w:lang w:val="fr-FR"/>
              </w:rPr>
              <w:br/>
            </w:r>
            <w:r w:rsidR="00FF159A" w:rsidRPr="00546330">
              <w:rPr>
                <w:lang w:val="fr-FR"/>
              </w:rPr>
              <w:t>5 mars</w:t>
            </w:r>
            <w:r w:rsidR="00275DBD" w:rsidRPr="00546330">
              <w:rPr>
                <w:lang w:val="fr-FR"/>
              </w:rPr>
              <w:t xml:space="preserve"> 2019</w:t>
            </w:r>
          </w:p>
          <w:p w14:paraId="3C17725A" w14:textId="77777777" w:rsidR="00DA3F7A" w:rsidRPr="00546330" w:rsidRDefault="00DA3F7A" w:rsidP="00780B15">
            <w:pPr>
              <w:pStyle w:val="Normal-pool"/>
              <w:spacing w:before="120"/>
              <w:rPr>
                <w:lang w:val="fr-FR"/>
              </w:rPr>
            </w:pPr>
            <w:r w:rsidRPr="00546330">
              <w:rPr>
                <w:lang w:val="fr-FR"/>
              </w:rPr>
              <w:t xml:space="preserve">Français </w:t>
            </w:r>
            <w:r w:rsidRPr="00546330">
              <w:rPr>
                <w:lang w:val="fr-FR"/>
              </w:rPr>
              <w:br/>
              <w:t>Original : anglais</w:t>
            </w:r>
          </w:p>
        </w:tc>
      </w:tr>
    </w:tbl>
    <w:p w14:paraId="66B028F5" w14:textId="47B30AE1" w:rsidR="00DA3F7A" w:rsidRPr="00546330" w:rsidRDefault="00DA3F7A" w:rsidP="00275DBD">
      <w:pPr>
        <w:pStyle w:val="AATitle"/>
        <w:ind w:left="28" w:right="4160"/>
        <w:rPr>
          <w:lang w:val="fr-FR"/>
        </w:rPr>
      </w:pPr>
      <w:r w:rsidRPr="00546330">
        <w:rPr>
          <w:lang w:val="fr-FR"/>
        </w:rPr>
        <w:t xml:space="preserve">Plénière de la Plateforme intergouvernementale scientifique </w:t>
      </w:r>
      <w:r w:rsidR="00275DBD" w:rsidRPr="00546330">
        <w:rPr>
          <w:lang w:val="fr-FR"/>
        </w:rPr>
        <w:br/>
      </w:r>
      <w:r w:rsidRPr="00546330">
        <w:rPr>
          <w:lang w:val="fr-FR"/>
        </w:rPr>
        <w:t xml:space="preserve">et politique sur la biodiversité </w:t>
      </w:r>
      <w:r w:rsidRPr="00546330">
        <w:rPr>
          <w:lang w:val="fr-FR"/>
        </w:rPr>
        <w:br/>
        <w:t>et les services écosystémiques</w:t>
      </w:r>
    </w:p>
    <w:p w14:paraId="0F203A90" w14:textId="1765EBCB" w:rsidR="00DA3F7A" w:rsidRPr="00546330" w:rsidRDefault="00DA3F7A" w:rsidP="00275DBD">
      <w:pPr>
        <w:pStyle w:val="AATitle"/>
        <w:ind w:left="28" w:right="4160"/>
        <w:rPr>
          <w:lang w:val="fr-FR"/>
        </w:rPr>
      </w:pPr>
      <w:r w:rsidRPr="00546330">
        <w:rPr>
          <w:lang w:val="fr-FR"/>
        </w:rPr>
        <w:t>Septième session</w:t>
      </w:r>
    </w:p>
    <w:p w14:paraId="62736DF1" w14:textId="6EB4643D" w:rsidR="00DA3F7A" w:rsidRPr="00546330" w:rsidRDefault="00DA3F7A" w:rsidP="00275DBD">
      <w:pPr>
        <w:pStyle w:val="AATitle"/>
        <w:ind w:left="28" w:right="4160"/>
        <w:rPr>
          <w:b w:val="0"/>
          <w:lang w:val="fr-FR" w:eastAsia="ja-JP"/>
        </w:rPr>
      </w:pPr>
      <w:r w:rsidRPr="00546330">
        <w:rPr>
          <w:b w:val="0"/>
          <w:lang w:val="fr-FR" w:eastAsia="ja-JP"/>
        </w:rPr>
        <w:t>Paris, 29 avril – 4 mai 2019</w:t>
      </w:r>
    </w:p>
    <w:p w14:paraId="1ABBAB0D" w14:textId="12C091F5" w:rsidR="00464576" w:rsidRPr="00546330" w:rsidRDefault="00464576" w:rsidP="00464576">
      <w:pPr>
        <w:keepNext/>
        <w:keepLines/>
        <w:tabs>
          <w:tab w:val="left" w:pos="4082"/>
        </w:tabs>
        <w:suppressAutoHyphens/>
        <w:ind w:right="5103"/>
      </w:pPr>
      <w:r w:rsidRPr="00546330">
        <w:t>Point 12 de l</w:t>
      </w:r>
      <w:r w:rsidR="00275DBD" w:rsidRPr="00546330">
        <w:t>’</w:t>
      </w:r>
      <w:r w:rsidRPr="00546330">
        <w:t>ordre du jour provisoire</w:t>
      </w:r>
      <w:r w:rsidRPr="00546330">
        <w:footnoteReference w:customMarkFollows="1" w:id="1"/>
        <w:t>*</w:t>
      </w:r>
    </w:p>
    <w:p w14:paraId="2C9DD7C8" w14:textId="5685BEE9" w:rsidR="00464576" w:rsidRPr="00546330" w:rsidRDefault="00464576" w:rsidP="00464576">
      <w:pPr>
        <w:pStyle w:val="AATitle2"/>
        <w:spacing w:before="60"/>
        <w:rPr>
          <w:lang w:val="fr-FR"/>
        </w:rPr>
      </w:pPr>
      <w:r w:rsidRPr="00546330">
        <w:rPr>
          <w:bCs/>
          <w:lang w:val="fr-FR"/>
        </w:rPr>
        <w:t xml:space="preserve">Adoption des décisions et du rapport sur les travaux </w:t>
      </w:r>
      <w:r w:rsidR="00275DBD" w:rsidRPr="00546330">
        <w:rPr>
          <w:bCs/>
          <w:lang w:val="fr-FR"/>
        </w:rPr>
        <w:br/>
      </w:r>
      <w:r w:rsidRPr="00546330">
        <w:rPr>
          <w:bCs/>
          <w:lang w:val="fr-FR"/>
        </w:rPr>
        <w:t>de la session</w:t>
      </w:r>
    </w:p>
    <w:p w14:paraId="3E6BE720" w14:textId="77777777" w:rsidR="00464576" w:rsidRPr="00546330" w:rsidRDefault="00464576" w:rsidP="00464576">
      <w:pPr>
        <w:pStyle w:val="BBTitle"/>
        <w:rPr>
          <w:lang w:val="fr-FR"/>
        </w:rPr>
      </w:pPr>
      <w:r w:rsidRPr="00546330">
        <w:rPr>
          <w:bCs/>
          <w:lang w:val="fr-FR"/>
        </w:rPr>
        <w:t>Projets de décision présentés à la septième session de la Plénière de la Plateforme intergouvernementale scientifique et politique sur la biodiversité et les services écosystémiques</w:t>
      </w:r>
    </w:p>
    <w:p w14:paraId="4C8E9DCD" w14:textId="40FBE9FA" w:rsidR="00464576" w:rsidRPr="00546330" w:rsidRDefault="00464576" w:rsidP="00275DBD">
      <w:pPr>
        <w:pStyle w:val="CH2"/>
        <w:ind w:firstLine="13"/>
        <w:rPr>
          <w:lang w:val="fr-FR"/>
        </w:rPr>
      </w:pPr>
      <w:r w:rsidRPr="00546330">
        <w:rPr>
          <w:bCs/>
          <w:lang w:val="fr-FR"/>
        </w:rPr>
        <w:t>Note du secrétariat</w:t>
      </w:r>
    </w:p>
    <w:p w14:paraId="16489FE3" w14:textId="1B4BF9DC" w:rsidR="00464576" w:rsidRPr="00546330" w:rsidRDefault="00464576" w:rsidP="00275DBD">
      <w:pPr>
        <w:pStyle w:val="CH1"/>
        <w:ind w:firstLine="13"/>
        <w:rPr>
          <w:lang w:val="fr-FR"/>
        </w:rPr>
      </w:pPr>
      <w:r w:rsidRPr="00546330">
        <w:rPr>
          <w:bCs/>
          <w:lang w:val="fr-FR"/>
        </w:rPr>
        <w:t>Introduction</w:t>
      </w:r>
    </w:p>
    <w:p w14:paraId="7B2A75D8" w14:textId="368DD085" w:rsidR="00464576" w:rsidRPr="00546330" w:rsidRDefault="00464576" w:rsidP="00464576">
      <w:pPr>
        <w:pStyle w:val="Normalnumber"/>
        <w:numPr>
          <w:ilvl w:val="0"/>
          <w:numId w:val="6"/>
        </w:numPr>
        <w:tabs>
          <w:tab w:val="clear" w:pos="1247"/>
          <w:tab w:val="clear" w:pos="1814"/>
          <w:tab w:val="clear" w:pos="2381"/>
          <w:tab w:val="clear" w:pos="2948"/>
          <w:tab w:val="clear" w:pos="3515"/>
          <w:tab w:val="clear" w:pos="4082"/>
          <w:tab w:val="left" w:pos="624"/>
        </w:tabs>
        <w:ind w:left="1247" w:firstLine="0"/>
        <w:rPr>
          <w:lang w:val="fr-FR"/>
        </w:rPr>
      </w:pPr>
      <w:r w:rsidRPr="00546330">
        <w:rPr>
          <w:lang w:val="fr-FR"/>
        </w:rPr>
        <w:t>La présente note contient des projets de décision présentés pour examen à la Plénière de la Plateforme intergouvernementale scientifique et politique sur la biodiversité et les services écosystémiques (« la Plateforme ») à sa septième</w:t>
      </w:r>
      <w:r w:rsidR="00275DBD" w:rsidRPr="00546330">
        <w:rPr>
          <w:lang w:val="fr-FR"/>
        </w:rPr>
        <w:t> </w:t>
      </w:r>
      <w:r w:rsidRPr="00546330">
        <w:rPr>
          <w:lang w:val="fr-FR"/>
        </w:rPr>
        <w:t>session. Elle a été établie par la Secrétaire exécutive en vue d</w:t>
      </w:r>
      <w:r w:rsidR="00275DBD" w:rsidRPr="00546330">
        <w:rPr>
          <w:lang w:val="fr-FR"/>
        </w:rPr>
        <w:t>’</w:t>
      </w:r>
      <w:r w:rsidRPr="00546330">
        <w:rPr>
          <w:lang w:val="fr-FR"/>
        </w:rPr>
        <w:t>aider la Plénière à élaborer des décisions sur les points figurant à l</w:t>
      </w:r>
      <w:r w:rsidR="00275DBD" w:rsidRPr="00546330">
        <w:rPr>
          <w:lang w:val="fr-FR"/>
        </w:rPr>
        <w:t>’</w:t>
      </w:r>
      <w:r w:rsidRPr="00546330">
        <w:rPr>
          <w:lang w:val="fr-FR"/>
        </w:rPr>
        <w:t>ordre du jour de la session, en vue de leur adoption. Les projets de décision respectent la structure des décisions adoptées par la Plénière à ses sessions précédentes. La note indique le point de l</w:t>
      </w:r>
      <w:r w:rsidR="00275DBD" w:rsidRPr="00546330">
        <w:rPr>
          <w:lang w:val="fr-FR"/>
        </w:rPr>
        <w:t>’</w:t>
      </w:r>
      <w:r w:rsidRPr="00546330">
        <w:rPr>
          <w:lang w:val="fr-FR"/>
        </w:rPr>
        <w:t>ordre du jour provisoire (IPBES/7/1</w:t>
      </w:r>
      <w:r w:rsidR="00FF159A" w:rsidRPr="00546330">
        <w:rPr>
          <w:lang w:val="fr-FR"/>
        </w:rPr>
        <w:t>/Rev.1</w:t>
      </w:r>
      <w:r w:rsidRPr="00546330">
        <w:rPr>
          <w:lang w:val="fr-FR"/>
        </w:rPr>
        <w:t>) au titre duquel chaque projet de décision devrait être examiné.</w:t>
      </w:r>
    </w:p>
    <w:p w14:paraId="26F7CA05" w14:textId="09AFC52C" w:rsidR="00464576" w:rsidRPr="00546330" w:rsidRDefault="00464576" w:rsidP="00275DBD">
      <w:pPr>
        <w:pStyle w:val="CH1"/>
        <w:numPr>
          <w:ilvl w:val="0"/>
          <w:numId w:val="8"/>
        </w:numPr>
        <w:tabs>
          <w:tab w:val="clear" w:pos="851"/>
        </w:tabs>
        <w:ind w:hanging="648"/>
        <w:rPr>
          <w:lang w:val="fr-FR"/>
        </w:rPr>
      </w:pPr>
      <w:r w:rsidRPr="00546330">
        <w:rPr>
          <w:bCs/>
          <w:lang w:val="fr-FR"/>
        </w:rPr>
        <w:t>Projet de décision : Examen de la Plateforme intergouvernementale scientifique et politique sur la biodiversité et les services écosystémiques à l</w:t>
      </w:r>
      <w:r w:rsidR="00275DBD" w:rsidRPr="00546330">
        <w:rPr>
          <w:bCs/>
          <w:lang w:val="fr-FR"/>
        </w:rPr>
        <w:t>’</w:t>
      </w:r>
      <w:r w:rsidRPr="00546330">
        <w:rPr>
          <w:bCs/>
          <w:lang w:val="fr-FR"/>
        </w:rPr>
        <w:t>issue de son premier</w:t>
      </w:r>
      <w:r w:rsidR="001146ED" w:rsidRPr="00546330">
        <w:rPr>
          <w:bCs/>
          <w:lang w:val="fr-FR"/>
        </w:rPr>
        <w:t> </w:t>
      </w:r>
      <w:r w:rsidRPr="00546330">
        <w:rPr>
          <w:bCs/>
          <w:lang w:val="fr-FR"/>
        </w:rPr>
        <w:t>programme de travai</w:t>
      </w:r>
      <w:r w:rsidRPr="00546330">
        <w:rPr>
          <w:lang w:val="fr-FR"/>
        </w:rPr>
        <w:t>l</w:t>
      </w:r>
    </w:p>
    <w:p w14:paraId="0B0DE0AF" w14:textId="3A35DF93" w:rsidR="00464576" w:rsidRPr="00546330" w:rsidRDefault="00464576" w:rsidP="00464576">
      <w:pPr>
        <w:pStyle w:val="Normalnumber"/>
        <w:numPr>
          <w:ilvl w:val="0"/>
          <w:numId w:val="6"/>
        </w:numPr>
        <w:tabs>
          <w:tab w:val="clear" w:pos="1247"/>
          <w:tab w:val="clear" w:pos="1814"/>
          <w:tab w:val="clear" w:pos="2381"/>
          <w:tab w:val="clear" w:pos="2948"/>
          <w:tab w:val="clear" w:pos="3515"/>
          <w:tab w:val="clear" w:pos="4082"/>
          <w:tab w:val="left" w:pos="624"/>
        </w:tabs>
        <w:ind w:left="1247" w:firstLine="0"/>
        <w:rPr>
          <w:lang w:val="fr-FR"/>
        </w:rPr>
      </w:pPr>
      <w:r w:rsidRPr="00546330">
        <w:rPr>
          <w:lang w:val="fr-FR"/>
        </w:rPr>
        <w:t>La Plénière souhaitera peut-être examiner le projet de décision ci-après, qui porte sur l</w:t>
      </w:r>
      <w:r w:rsidR="00275DBD" w:rsidRPr="00546330">
        <w:rPr>
          <w:lang w:val="fr-FR"/>
        </w:rPr>
        <w:t>’</w:t>
      </w:r>
      <w:r w:rsidRPr="00546330">
        <w:rPr>
          <w:lang w:val="fr-FR"/>
        </w:rPr>
        <w:t>examen de la Plateforme à l</w:t>
      </w:r>
      <w:r w:rsidR="00275DBD" w:rsidRPr="00546330">
        <w:rPr>
          <w:lang w:val="fr-FR"/>
        </w:rPr>
        <w:t>’</w:t>
      </w:r>
      <w:r w:rsidRPr="00546330">
        <w:rPr>
          <w:lang w:val="fr-FR"/>
        </w:rPr>
        <w:t>issue de son premier programme de travail et relève du point 8 de l</w:t>
      </w:r>
      <w:r w:rsidR="00275DBD" w:rsidRPr="00546330">
        <w:rPr>
          <w:lang w:val="fr-FR"/>
        </w:rPr>
        <w:t>’</w:t>
      </w:r>
      <w:r w:rsidRPr="00546330">
        <w:rPr>
          <w:lang w:val="fr-FR"/>
        </w:rPr>
        <w:t>ordre du jour provisoire :</w:t>
      </w:r>
    </w:p>
    <w:p w14:paraId="2E715C43" w14:textId="77777777"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i/>
          <w:lang w:val="fr-FR"/>
        </w:rPr>
      </w:pPr>
      <w:r w:rsidRPr="00546330">
        <w:rPr>
          <w:i/>
          <w:iCs/>
          <w:lang w:val="fr-FR"/>
        </w:rPr>
        <w:t>La Plénière,</w:t>
      </w:r>
    </w:p>
    <w:p w14:paraId="4DED4324" w14:textId="77777777"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546330">
        <w:rPr>
          <w:i/>
          <w:iCs/>
          <w:lang w:val="fr-FR"/>
        </w:rPr>
        <w:t>Accueillant avec satisfaction</w:t>
      </w:r>
      <w:r w:rsidRPr="00546330">
        <w:rPr>
          <w:lang w:val="fr-FR"/>
        </w:rPr>
        <w:t xml:space="preserve"> le rapport de la Secrétaire exécutive sur la mise en œuvre du premier programme de travail de la Plateforme intergouvernementale scientifique et politique sur la biodiversité et les services écosystémiques</w:t>
      </w:r>
      <w:r w:rsidRPr="00546330">
        <w:rPr>
          <w:rStyle w:val="FootnoteReference"/>
          <w:lang w:val="fr-FR"/>
        </w:rPr>
        <w:footnoteReference w:id="2"/>
      </w:r>
      <w:r w:rsidRPr="00546330">
        <w:rPr>
          <w:lang w:val="fr-FR"/>
        </w:rPr>
        <w:t>,</w:t>
      </w:r>
    </w:p>
    <w:p w14:paraId="22359CE3" w14:textId="77777777"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i/>
          <w:lang w:val="fr-FR"/>
        </w:rPr>
      </w:pPr>
      <w:r w:rsidRPr="00546330">
        <w:rPr>
          <w:i/>
          <w:iCs/>
          <w:lang w:val="fr-FR"/>
        </w:rPr>
        <w:t>Se félicitant</w:t>
      </w:r>
      <w:r w:rsidRPr="00546330">
        <w:rPr>
          <w:lang w:val="fr-FR"/>
        </w:rPr>
        <w:t xml:space="preserve"> des contributions remarquables apportées par tous les experts associés à la mise en œuvre du premier programme de travail de la Plateforme et remerciant ces derniers ainsi que les institutions auxquelles ils appartiennent de leur dévouement sans faille,</w:t>
      </w:r>
    </w:p>
    <w:p w14:paraId="7DD07E03" w14:textId="0DD1C123"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546330">
        <w:rPr>
          <w:i/>
          <w:iCs/>
          <w:lang w:val="fr-FR"/>
        </w:rPr>
        <w:lastRenderedPageBreak/>
        <w:t xml:space="preserve">Rappelant </w:t>
      </w:r>
      <w:r w:rsidR="00881550" w:rsidRPr="00546330">
        <w:rPr>
          <w:lang w:val="fr-FR"/>
        </w:rPr>
        <w:t>sa décision </w:t>
      </w:r>
      <w:r w:rsidRPr="00546330">
        <w:rPr>
          <w:lang w:val="fr-FR"/>
        </w:rPr>
        <w:t>IPBES-5/2, dans laquelle elle a approuvé le cadre régissant l</w:t>
      </w:r>
      <w:r w:rsidR="00275DBD" w:rsidRPr="00546330">
        <w:rPr>
          <w:lang w:val="fr-FR"/>
        </w:rPr>
        <w:t>’</w:t>
      </w:r>
      <w:r w:rsidRPr="00546330">
        <w:rPr>
          <w:lang w:val="fr-FR"/>
        </w:rPr>
        <w:t>examen de la Plateforme à l</w:t>
      </w:r>
      <w:r w:rsidR="00275DBD" w:rsidRPr="00546330">
        <w:rPr>
          <w:lang w:val="fr-FR"/>
        </w:rPr>
        <w:t>’</w:t>
      </w:r>
      <w:r w:rsidRPr="00546330">
        <w:rPr>
          <w:lang w:val="fr-FR"/>
        </w:rPr>
        <w:t>issue de son premier programme de travail,</w:t>
      </w:r>
    </w:p>
    <w:p w14:paraId="427F3938" w14:textId="3D5BB073"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i/>
          <w:lang w:val="fr-FR"/>
        </w:rPr>
      </w:pPr>
      <w:r w:rsidRPr="00546330">
        <w:rPr>
          <w:i/>
          <w:iCs/>
          <w:lang w:val="fr-FR"/>
        </w:rPr>
        <w:t>Rappelant également</w:t>
      </w:r>
      <w:r w:rsidR="00881550" w:rsidRPr="00546330">
        <w:rPr>
          <w:lang w:val="fr-FR"/>
        </w:rPr>
        <w:t xml:space="preserve"> la section VIII de sa décision </w:t>
      </w:r>
      <w:r w:rsidRPr="00546330">
        <w:rPr>
          <w:lang w:val="fr-FR"/>
        </w:rPr>
        <w:t>IPBES-6/1, dans laquelle elle a pris note du rapport établi par l</w:t>
      </w:r>
      <w:r w:rsidR="00275DBD" w:rsidRPr="00546330">
        <w:rPr>
          <w:lang w:val="fr-FR"/>
        </w:rPr>
        <w:t>’</w:t>
      </w:r>
      <w:r w:rsidRPr="00546330">
        <w:rPr>
          <w:lang w:val="fr-FR"/>
        </w:rPr>
        <w:t>équipe d</w:t>
      </w:r>
      <w:r w:rsidR="00275DBD" w:rsidRPr="00546330">
        <w:rPr>
          <w:lang w:val="fr-FR"/>
        </w:rPr>
        <w:t>’</w:t>
      </w:r>
      <w:r w:rsidRPr="00546330">
        <w:rPr>
          <w:lang w:val="fr-FR"/>
        </w:rPr>
        <w:t>examen interne</w:t>
      </w:r>
      <w:r w:rsidRPr="00546330">
        <w:rPr>
          <w:rStyle w:val="FootnoteReference"/>
          <w:lang w:val="fr-FR"/>
        </w:rPr>
        <w:footnoteReference w:id="3"/>
      </w:r>
      <w:r w:rsidRPr="00546330">
        <w:rPr>
          <w:lang w:val="fr-FR"/>
        </w:rPr>
        <w:t>,</w:t>
      </w:r>
    </w:p>
    <w:p w14:paraId="25C2E433" w14:textId="6DD0B750"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546330">
        <w:rPr>
          <w:lang w:val="fr-FR"/>
        </w:rPr>
        <w:t>1.</w:t>
      </w:r>
      <w:r w:rsidRPr="00546330">
        <w:rPr>
          <w:lang w:val="fr-FR"/>
        </w:rPr>
        <w:tab/>
      </w:r>
      <w:r w:rsidRPr="00546330">
        <w:rPr>
          <w:i/>
          <w:iCs/>
          <w:lang w:val="fr-FR"/>
        </w:rPr>
        <w:t>Prend note</w:t>
      </w:r>
      <w:r w:rsidRPr="00546330">
        <w:rPr>
          <w:lang w:val="fr-FR"/>
        </w:rPr>
        <w:t xml:space="preserve"> des activités entreprises pour mettre en œuvre les recommandations issues du rapport établi par l</w:t>
      </w:r>
      <w:r w:rsidR="00275DBD" w:rsidRPr="00546330">
        <w:rPr>
          <w:lang w:val="fr-FR"/>
        </w:rPr>
        <w:t>’</w:t>
      </w:r>
      <w:r w:rsidRPr="00546330">
        <w:rPr>
          <w:lang w:val="fr-FR"/>
        </w:rPr>
        <w:t>équipe chargée de l</w:t>
      </w:r>
      <w:r w:rsidR="00275DBD" w:rsidRPr="00546330">
        <w:rPr>
          <w:lang w:val="fr-FR"/>
        </w:rPr>
        <w:t>’</w:t>
      </w:r>
      <w:r w:rsidRPr="00546330">
        <w:rPr>
          <w:lang w:val="fr-FR"/>
        </w:rPr>
        <w:t>examen interne</w:t>
      </w:r>
      <w:r w:rsidRPr="00546330">
        <w:rPr>
          <w:rStyle w:val="FootnoteReference"/>
          <w:lang w:val="fr-FR"/>
        </w:rPr>
        <w:footnoteReference w:id="4"/>
      </w:r>
      <w:r w:rsidRPr="00546330">
        <w:rPr>
          <w:lang w:val="fr-FR"/>
        </w:rPr>
        <w:t> ;</w:t>
      </w:r>
    </w:p>
    <w:p w14:paraId="40B93D9D" w14:textId="2CD3870E"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546330">
        <w:rPr>
          <w:lang w:val="fr-FR"/>
        </w:rPr>
        <w:t>2.</w:t>
      </w:r>
      <w:r w:rsidRPr="00546330">
        <w:rPr>
          <w:lang w:val="fr-FR"/>
        </w:rPr>
        <w:tab/>
      </w:r>
      <w:r w:rsidRPr="00546330">
        <w:rPr>
          <w:i/>
          <w:iCs/>
          <w:lang w:val="fr-FR"/>
        </w:rPr>
        <w:t xml:space="preserve">Accueille avec satisfaction </w:t>
      </w:r>
      <w:r w:rsidRPr="00546330">
        <w:rPr>
          <w:iCs/>
          <w:lang w:val="fr-FR"/>
        </w:rPr>
        <w:t>le</w:t>
      </w:r>
      <w:r w:rsidRPr="00546330">
        <w:rPr>
          <w:lang w:val="fr-FR"/>
        </w:rPr>
        <w:t xml:space="preserve"> rapport établi par la commission d</w:t>
      </w:r>
      <w:r w:rsidR="00275DBD" w:rsidRPr="00546330">
        <w:rPr>
          <w:lang w:val="fr-FR"/>
        </w:rPr>
        <w:t>’</w:t>
      </w:r>
      <w:r w:rsidRPr="00546330">
        <w:rPr>
          <w:lang w:val="fr-FR"/>
        </w:rPr>
        <w:t>examen sur l</w:t>
      </w:r>
      <w:r w:rsidR="00275DBD" w:rsidRPr="00546330">
        <w:rPr>
          <w:lang w:val="fr-FR"/>
        </w:rPr>
        <w:t>’</w:t>
      </w:r>
      <w:r w:rsidRPr="00546330">
        <w:rPr>
          <w:lang w:val="fr-FR"/>
        </w:rPr>
        <w:t>examen de la Plateforme à l</w:t>
      </w:r>
      <w:r w:rsidR="00275DBD" w:rsidRPr="00546330">
        <w:rPr>
          <w:lang w:val="fr-FR"/>
        </w:rPr>
        <w:t>’</w:t>
      </w:r>
      <w:r w:rsidRPr="00546330">
        <w:rPr>
          <w:lang w:val="fr-FR"/>
        </w:rPr>
        <w:t>issue de son premier programme de travail</w:t>
      </w:r>
      <w:r w:rsidRPr="00546330">
        <w:rPr>
          <w:rStyle w:val="FootnoteReference"/>
          <w:lang w:val="fr-FR"/>
        </w:rPr>
        <w:footnoteReference w:id="5"/>
      </w:r>
      <w:r w:rsidRPr="00546330">
        <w:rPr>
          <w:lang w:val="fr-FR"/>
        </w:rPr>
        <w:t> ;</w:t>
      </w:r>
    </w:p>
    <w:p w14:paraId="1D7D75A5" w14:textId="3A0B8425"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546330">
        <w:rPr>
          <w:lang w:val="fr-FR"/>
        </w:rPr>
        <w:t>3.</w:t>
      </w:r>
      <w:r w:rsidRPr="00546330">
        <w:rPr>
          <w:lang w:val="fr-FR"/>
        </w:rPr>
        <w:tab/>
      </w:r>
      <w:r w:rsidRPr="00546330">
        <w:rPr>
          <w:i/>
          <w:iCs/>
          <w:lang w:val="fr-FR"/>
        </w:rPr>
        <w:t>Accueille également avec satisfaction</w:t>
      </w:r>
      <w:r w:rsidRPr="00546330">
        <w:rPr>
          <w:lang w:val="fr-FR"/>
        </w:rPr>
        <w:t xml:space="preserve"> la réponse du Groupe d</w:t>
      </w:r>
      <w:r w:rsidR="00275DBD" w:rsidRPr="00546330">
        <w:rPr>
          <w:lang w:val="fr-FR"/>
        </w:rPr>
        <w:t>’</w:t>
      </w:r>
      <w:r w:rsidRPr="00546330">
        <w:rPr>
          <w:lang w:val="fr-FR"/>
        </w:rPr>
        <w:t>experts multidisciplinaire et du Bureau</w:t>
      </w:r>
      <w:r w:rsidRPr="00546330">
        <w:rPr>
          <w:rStyle w:val="FootnoteReference"/>
          <w:lang w:val="fr-FR"/>
        </w:rPr>
        <w:footnoteReference w:id="6"/>
      </w:r>
      <w:r w:rsidRPr="00546330">
        <w:rPr>
          <w:lang w:val="fr-FR"/>
        </w:rPr>
        <w:t xml:space="preserve"> ainsi que la réponse de la Secrétaire exécutive</w:t>
      </w:r>
      <w:r w:rsidRPr="00546330">
        <w:rPr>
          <w:rStyle w:val="FootnoteReference"/>
          <w:lang w:val="fr-FR"/>
        </w:rPr>
        <w:footnoteReference w:id="7"/>
      </w:r>
      <w:r w:rsidRPr="00546330">
        <w:rPr>
          <w:lang w:val="fr-FR"/>
        </w:rPr>
        <w:t xml:space="preserve"> au rapport mentionné au paragraphe 2 ci-dessus ;</w:t>
      </w:r>
    </w:p>
    <w:p w14:paraId="71170AF6" w14:textId="045C3429"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546330">
        <w:rPr>
          <w:lang w:val="fr-FR"/>
        </w:rPr>
        <w:t>4.</w:t>
      </w:r>
      <w:r w:rsidRPr="00546330">
        <w:rPr>
          <w:lang w:val="fr-FR"/>
        </w:rPr>
        <w:tab/>
      </w:r>
      <w:r w:rsidRPr="00546330">
        <w:rPr>
          <w:i/>
          <w:iCs/>
          <w:lang w:val="fr-FR"/>
        </w:rPr>
        <w:t xml:space="preserve">Prie </w:t>
      </w:r>
      <w:r w:rsidRPr="00546330">
        <w:rPr>
          <w:lang w:val="fr-FR"/>
        </w:rPr>
        <w:t>le Bureau, le Groupe d</w:t>
      </w:r>
      <w:r w:rsidR="00275DBD" w:rsidRPr="00546330">
        <w:rPr>
          <w:lang w:val="fr-FR"/>
        </w:rPr>
        <w:t>’</w:t>
      </w:r>
      <w:r w:rsidRPr="00546330">
        <w:rPr>
          <w:lang w:val="fr-FR"/>
        </w:rPr>
        <w:t>experts multidisciplinaire et la Secrétaire exécutive, selon le cas, de tenir compte des recommandations formulées par la commission d</w:t>
      </w:r>
      <w:r w:rsidR="00275DBD" w:rsidRPr="00546330">
        <w:rPr>
          <w:lang w:val="fr-FR"/>
        </w:rPr>
        <w:t>’</w:t>
      </w:r>
      <w:r w:rsidRPr="00546330">
        <w:rPr>
          <w:lang w:val="fr-FR"/>
        </w:rPr>
        <w:t>examen</w:t>
      </w:r>
      <w:r w:rsidRPr="00546330">
        <w:rPr>
          <w:rStyle w:val="FootnoteReference"/>
          <w:lang w:val="fr-FR"/>
        </w:rPr>
        <w:footnoteReference w:id="8"/>
      </w:r>
      <w:r w:rsidRPr="00546330">
        <w:rPr>
          <w:lang w:val="fr-FR"/>
        </w:rPr>
        <w:t xml:space="preserve"> dans la mise en œuvre du programme de travail de la Plateforme jusqu</w:t>
      </w:r>
      <w:r w:rsidR="00275DBD" w:rsidRPr="00546330">
        <w:rPr>
          <w:lang w:val="fr-FR"/>
        </w:rPr>
        <w:t>’</w:t>
      </w:r>
      <w:r w:rsidRPr="00546330">
        <w:rPr>
          <w:lang w:val="fr-FR"/>
        </w:rPr>
        <w:t>en 2030 et de l</w:t>
      </w:r>
      <w:r w:rsidR="00275DBD" w:rsidRPr="00546330">
        <w:rPr>
          <w:lang w:val="fr-FR"/>
        </w:rPr>
        <w:t>’</w:t>
      </w:r>
      <w:r w:rsidRPr="00546330">
        <w:rPr>
          <w:lang w:val="fr-FR"/>
        </w:rPr>
        <w:t>informer à sa huitième session des progrès réalisés.</w:t>
      </w:r>
    </w:p>
    <w:p w14:paraId="1C0C7F46" w14:textId="7D8E44D7" w:rsidR="00464576" w:rsidRPr="00546330" w:rsidRDefault="00464576" w:rsidP="00AE5B70">
      <w:pPr>
        <w:pStyle w:val="CH1"/>
        <w:numPr>
          <w:ilvl w:val="0"/>
          <w:numId w:val="8"/>
        </w:numPr>
        <w:tabs>
          <w:tab w:val="clear" w:pos="851"/>
        </w:tabs>
        <w:ind w:hanging="648"/>
        <w:rPr>
          <w:lang w:val="fr-FR"/>
        </w:rPr>
      </w:pPr>
      <w:r w:rsidRPr="00546330">
        <w:rPr>
          <w:bCs/>
          <w:lang w:val="fr-FR"/>
        </w:rPr>
        <w:t>Projet de décision : Programme de travail de la Plateforme intergouvernementale scientifique et politique sur la biodiversité et</w:t>
      </w:r>
      <w:r w:rsidR="00DF4270" w:rsidRPr="00546330">
        <w:rPr>
          <w:bCs/>
          <w:lang w:val="fr-FR"/>
        </w:rPr>
        <w:t> </w:t>
      </w:r>
      <w:r w:rsidRPr="00546330">
        <w:rPr>
          <w:bCs/>
          <w:lang w:val="fr-FR"/>
        </w:rPr>
        <w:t>les services écosystémiques jusqu</w:t>
      </w:r>
      <w:r w:rsidR="00275DBD" w:rsidRPr="00546330">
        <w:rPr>
          <w:bCs/>
          <w:lang w:val="fr-FR"/>
        </w:rPr>
        <w:t>’</w:t>
      </w:r>
      <w:r w:rsidRPr="00546330">
        <w:rPr>
          <w:bCs/>
          <w:lang w:val="fr-FR"/>
        </w:rPr>
        <w:t>en 2030</w:t>
      </w:r>
    </w:p>
    <w:p w14:paraId="267B564E" w14:textId="1C70D5C7" w:rsidR="00464576" w:rsidRPr="00546330" w:rsidRDefault="00464576" w:rsidP="00464576">
      <w:pPr>
        <w:pStyle w:val="Normalnumber"/>
        <w:numPr>
          <w:ilvl w:val="0"/>
          <w:numId w:val="6"/>
        </w:numPr>
        <w:tabs>
          <w:tab w:val="clear" w:pos="1247"/>
          <w:tab w:val="clear" w:pos="1814"/>
          <w:tab w:val="clear" w:pos="2381"/>
          <w:tab w:val="clear" w:pos="2948"/>
          <w:tab w:val="clear" w:pos="3515"/>
          <w:tab w:val="clear" w:pos="4082"/>
          <w:tab w:val="left" w:pos="624"/>
        </w:tabs>
        <w:ind w:left="1247" w:firstLine="0"/>
        <w:rPr>
          <w:lang w:val="fr-FR"/>
        </w:rPr>
      </w:pPr>
      <w:r w:rsidRPr="00546330">
        <w:rPr>
          <w:lang w:val="fr-FR"/>
        </w:rPr>
        <w:t>La Plénière souhaitera peut-être examiner le projet de décision ci-après, qui porte sur le programme de travail de la Plateforme jusqu</w:t>
      </w:r>
      <w:r w:rsidR="00275DBD" w:rsidRPr="00546330">
        <w:rPr>
          <w:lang w:val="fr-FR"/>
        </w:rPr>
        <w:t>’</w:t>
      </w:r>
      <w:r w:rsidR="00881550" w:rsidRPr="00546330">
        <w:rPr>
          <w:lang w:val="fr-FR"/>
        </w:rPr>
        <w:t>en 2030 et relève du point </w:t>
      </w:r>
      <w:r w:rsidRPr="00546330">
        <w:rPr>
          <w:lang w:val="fr-FR"/>
        </w:rPr>
        <w:t>9 de l</w:t>
      </w:r>
      <w:r w:rsidR="00275DBD" w:rsidRPr="00546330">
        <w:rPr>
          <w:lang w:val="fr-FR"/>
        </w:rPr>
        <w:t>’</w:t>
      </w:r>
      <w:r w:rsidRPr="00546330">
        <w:rPr>
          <w:lang w:val="fr-FR"/>
        </w:rPr>
        <w:t>ordre du jour provisoire :</w:t>
      </w:r>
    </w:p>
    <w:p w14:paraId="64AAB8D0" w14:textId="77777777"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i/>
          <w:lang w:val="fr-FR"/>
        </w:rPr>
      </w:pPr>
      <w:r w:rsidRPr="00546330">
        <w:rPr>
          <w:i/>
          <w:iCs/>
          <w:lang w:val="fr-FR"/>
        </w:rPr>
        <w:t>La Plénière,</w:t>
      </w:r>
    </w:p>
    <w:p w14:paraId="0480F289" w14:textId="0974B3A2"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i/>
          <w:lang w:val="fr-FR"/>
        </w:rPr>
      </w:pPr>
      <w:r w:rsidRPr="00546330">
        <w:rPr>
          <w:i/>
          <w:iCs/>
          <w:lang w:val="fr-FR"/>
        </w:rPr>
        <w:t xml:space="preserve">Rappelant </w:t>
      </w:r>
      <w:r w:rsidRPr="00546330">
        <w:rPr>
          <w:lang w:val="fr-FR"/>
        </w:rPr>
        <w:t>ses décisions</w:t>
      </w:r>
      <w:r w:rsidR="00AE5B70" w:rsidRPr="00546330">
        <w:rPr>
          <w:lang w:val="fr-FR"/>
        </w:rPr>
        <w:t> </w:t>
      </w:r>
      <w:r w:rsidRPr="00546330">
        <w:rPr>
          <w:lang w:val="fr-FR"/>
        </w:rPr>
        <w:t>IPBES-5/3 et IPBES-6/2,</w:t>
      </w:r>
    </w:p>
    <w:p w14:paraId="61E5259E" w14:textId="752BBC33"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546330">
        <w:rPr>
          <w:i/>
          <w:iCs/>
          <w:lang w:val="fr-FR"/>
        </w:rPr>
        <w:t xml:space="preserve">Accueillant avec satisfaction </w:t>
      </w:r>
      <w:r w:rsidRPr="00546330">
        <w:rPr>
          <w:lang w:val="fr-FR"/>
        </w:rPr>
        <w:t>les efforts déployés par le Bureau et le Groupe d</w:t>
      </w:r>
      <w:r w:rsidR="00275DBD" w:rsidRPr="00546330">
        <w:rPr>
          <w:lang w:val="fr-FR"/>
        </w:rPr>
        <w:t>’</w:t>
      </w:r>
      <w:r w:rsidRPr="00546330">
        <w:rPr>
          <w:lang w:val="fr-FR"/>
        </w:rPr>
        <w:t>experts multidisciplinaire ainsi que la contribution des membres et des parties prenantes de la Plateforme intergouvernementale scientifique et politique sur la biodiversité et les services écosystémiques à l</w:t>
      </w:r>
      <w:r w:rsidR="00275DBD" w:rsidRPr="00546330">
        <w:rPr>
          <w:lang w:val="fr-FR"/>
        </w:rPr>
        <w:t>’</w:t>
      </w:r>
      <w:r w:rsidRPr="00546330">
        <w:rPr>
          <w:lang w:val="fr-FR"/>
        </w:rPr>
        <w:t>élaboration du programme de travail de la Plateforme jusqu</w:t>
      </w:r>
      <w:r w:rsidR="00275DBD" w:rsidRPr="00546330">
        <w:rPr>
          <w:lang w:val="fr-FR"/>
        </w:rPr>
        <w:t>’</w:t>
      </w:r>
      <w:r w:rsidRPr="00546330">
        <w:rPr>
          <w:lang w:val="fr-FR"/>
        </w:rPr>
        <w:t>en 2030,</w:t>
      </w:r>
    </w:p>
    <w:p w14:paraId="2EE112EA" w14:textId="592CCBD5"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546330">
        <w:rPr>
          <w:i/>
          <w:iCs/>
          <w:lang w:val="fr-FR"/>
        </w:rPr>
        <w:t>Se félicitant</w:t>
      </w:r>
      <w:r w:rsidRPr="00546330">
        <w:rPr>
          <w:lang w:val="fr-FR"/>
        </w:rPr>
        <w:t xml:space="preserve"> des demandes, contributions et suggestions concernant les priorités à court terme et les besoins stratégiques à plus long terme, y compris celles présentées par les organes compétents d</w:t>
      </w:r>
      <w:r w:rsidR="00275DBD" w:rsidRPr="00546330">
        <w:rPr>
          <w:lang w:val="fr-FR"/>
        </w:rPr>
        <w:t>’</w:t>
      </w:r>
      <w:r w:rsidRPr="00546330">
        <w:rPr>
          <w:lang w:val="fr-FR"/>
        </w:rPr>
        <w:t>accords multilatéraux sur l</w:t>
      </w:r>
      <w:r w:rsidR="00275DBD" w:rsidRPr="00546330">
        <w:rPr>
          <w:lang w:val="fr-FR"/>
        </w:rPr>
        <w:t>’</w:t>
      </w:r>
      <w:r w:rsidRPr="00546330">
        <w:rPr>
          <w:lang w:val="fr-FR"/>
        </w:rPr>
        <w:t>environnement relatifs à la biodiversité et aux services écosystémiques,</w:t>
      </w:r>
    </w:p>
    <w:p w14:paraId="0B9F5FCC" w14:textId="30C4B3A8"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546330">
        <w:rPr>
          <w:i/>
          <w:iCs/>
          <w:lang w:val="fr-FR"/>
        </w:rPr>
        <w:t>Prenant note</w:t>
      </w:r>
      <w:r w:rsidRPr="00546330">
        <w:rPr>
          <w:lang w:val="fr-FR"/>
        </w:rPr>
        <w:t xml:space="preserve"> du rapport du Groupe d</w:t>
      </w:r>
      <w:r w:rsidR="00275DBD" w:rsidRPr="00546330">
        <w:rPr>
          <w:lang w:val="fr-FR"/>
        </w:rPr>
        <w:t>’</w:t>
      </w:r>
      <w:r w:rsidRPr="00546330">
        <w:rPr>
          <w:lang w:val="fr-FR"/>
        </w:rPr>
        <w:t>experts multidisciplinaire et du Bureau</w:t>
      </w:r>
      <w:r w:rsidRPr="00546330">
        <w:rPr>
          <w:rStyle w:val="FootnoteReference"/>
          <w:lang w:val="fr-FR"/>
        </w:rPr>
        <w:footnoteReference w:id="9"/>
      </w:r>
      <w:r w:rsidRPr="00546330">
        <w:rPr>
          <w:lang w:val="fr-FR"/>
        </w:rPr>
        <w:t xml:space="preserve"> contenant une liste hiérarchisée des demandes, contributions et suggestions établie comme suite à la décision IPBES-6/2 et conformément à la procédure de réception et de hiérarchisation des demandes présentées à la Plateforme, qui figure dans la décision</w:t>
      </w:r>
      <w:r w:rsidR="00AE5B70" w:rsidRPr="00546330">
        <w:rPr>
          <w:lang w:val="fr-FR"/>
        </w:rPr>
        <w:t> </w:t>
      </w:r>
      <w:r w:rsidRPr="00546330">
        <w:rPr>
          <w:lang w:val="fr-FR"/>
        </w:rPr>
        <w:t>IPBES</w:t>
      </w:r>
      <w:r w:rsidRPr="00546330">
        <w:rPr>
          <w:lang w:val="fr-FR"/>
        </w:rPr>
        <w:noBreakHyphen/>
        <w:t>1/3,</w:t>
      </w:r>
    </w:p>
    <w:p w14:paraId="7C2ABED7" w14:textId="7110D64E"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546330">
        <w:rPr>
          <w:lang w:val="fr-FR"/>
        </w:rPr>
        <w:t>1.</w:t>
      </w:r>
      <w:r w:rsidRPr="00546330">
        <w:rPr>
          <w:lang w:val="fr-FR"/>
        </w:rPr>
        <w:tab/>
      </w:r>
      <w:r w:rsidRPr="00546330">
        <w:rPr>
          <w:i/>
          <w:iCs/>
          <w:lang w:val="fr-FR"/>
        </w:rPr>
        <w:t>Adopte</w:t>
      </w:r>
      <w:r w:rsidRPr="00546330">
        <w:rPr>
          <w:lang w:val="fr-FR"/>
        </w:rPr>
        <w:t xml:space="preserve"> le programme de travail de la Plateforme pour la période courant jusqu</w:t>
      </w:r>
      <w:r w:rsidR="00275DBD" w:rsidRPr="00546330">
        <w:rPr>
          <w:lang w:val="fr-FR"/>
        </w:rPr>
        <w:t>’</w:t>
      </w:r>
      <w:r w:rsidRPr="00546330">
        <w:rPr>
          <w:lang w:val="fr-FR"/>
        </w:rPr>
        <w:t>en 2030, qui figure dans l</w:t>
      </w:r>
      <w:r w:rsidR="00275DBD" w:rsidRPr="00546330">
        <w:rPr>
          <w:lang w:val="fr-FR"/>
        </w:rPr>
        <w:t>’</w:t>
      </w:r>
      <w:r w:rsidRPr="00546330">
        <w:rPr>
          <w:lang w:val="fr-FR"/>
        </w:rPr>
        <w:t>annexe [ ] de la présente décision</w:t>
      </w:r>
      <w:r w:rsidRPr="00546330">
        <w:rPr>
          <w:rStyle w:val="FootnoteReference"/>
          <w:lang w:val="fr-FR"/>
        </w:rPr>
        <w:footnoteReference w:id="10"/>
      </w:r>
      <w:r w:rsidRPr="00546330">
        <w:rPr>
          <w:lang w:val="fr-FR"/>
        </w:rPr>
        <w:t> ;</w:t>
      </w:r>
    </w:p>
    <w:p w14:paraId="0EE844FB" w14:textId="3FD2CB9F"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i/>
          <w:lang w:val="fr-FR"/>
        </w:rPr>
      </w:pPr>
      <w:r w:rsidRPr="00546330">
        <w:rPr>
          <w:lang w:val="fr-FR"/>
        </w:rPr>
        <w:t>2.</w:t>
      </w:r>
      <w:r w:rsidRPr="00546330">
        <w:rPr>
          <w:lang w:val="fr-FR"/>
        </w:rPr>
        <w:tab/>
      </w:r>
      <w:r w:rsidRPr="00546330">
        <w:rPr>
          <w:i/>
          <w:iCs/>
          <w:lang w:val="fr-FR"/>
        </w:rPr>
        <w:t xml:space="preserve">Décide </w:t>
      </w:r>
      <w:r w:rsidRPr="00546330">
        <w:rPr>
          <w:lang w:val="fr-FR"/>
        </w:rPr>
        <w:t>de lancer deux appels sollicitant de nouvelles demandes, contributions et suggestions concernant le programme de travail, assortis de délais lui permettant de pr</w:t>
      </w:r>
      <w:r w:rsidR="00881550" w:rsidRPr="00546330">
        <w:rPr>
          <w:lang w:val="fr-FR"/>
        </w:rPr>
        <w:t>océder à un examen à sa dixième </w:t>
      </w:r>
      <w:r w:rsidRPr="00546330">
        <w:rPr>
          <w:lang w:val="fr-FR"/>
        </w:rPr>
        <w:t>session dans un cas et à mi</w:t>
      </w:r>
      <w:r w:rsidRPr="00546330">
        <w:rPr>
          <w:lang w:val="fr-FR"/>
        </w:rPr>
        <w:noBreakHyphen/>
        <w:t>parcours du programme de travail dans l</w:t>
      </w:r>
      <w:r w:rsidR="00275DBD" w:rsidRPr="00546330">
        <w:rPr>
          <w:lang w:val="fr-FR"/>
        </w:rPr>
        <w:t>’</w:t>
      </w:r>
      <w:r w:rsidRPr="00546330">
        <w:rPr>
          <w:lang w:val="fr-FR"/>
        </w:rPr>
        <w:t>autre ;</w:t>
      </w:r>
    </w:p>
    <w:p w14:paraId="7FAB02DC" w14:textId="77777777" w:rsidR="00464576" w:rsidRPr="00546330" w:rsidRDefault="00464576" w:rsidP="00464576">
      <w:pPr>
        <w:pStyle w:val="Normal-pool"/>
        <w:keepNext/>
        <w:keepLines/>
        <w:spacing w:before="240" w:after="120"/>
        <w:ind w:left="1886"/>
        <w:jc w:val="center"/>
        <w:rPr>
          <w:b/>
          <w:lang w:val="fr-FR"/>
        </w:rPr>
      </w:pPr>
      <w:r w:rsidRPr="00546330">
        <w:rPr>
          <w:b/>
          <w:bCs/>
          <w:lang w:val="fr-FR"/>
        </w:rPr>
        <w:t>I</w:t>
      </w:r>
    </w:p>
    <w:p w14:paraId="5E999C2B" w14:textId="1D7E05BD" w:rsidR="00464576" w:rsidRPr="00546330" w:rsidRDefault="00464576" w:rsidP="00464576">
      <w:pPr>
        <w:pStyle w:val="Normal-pool"/>
        <w:keepNext/>
        <w:keepLines/>
        <w:spacing w:after="120"/>
        <w:ind w:left="1890"/>
        <w:jc w:val="center"/>
        <w:rPr>
          <w:b/>
          <w:lang w:val="fr-FR"/>
        </w:rPr>
      </w:pPr>
      <w:r w:rsidRPr="00546330">
        <w:rPr>
          <w:b/>
          <w:bCs/>
          <w:lang w:val="fr-FR"/>
        </w:rPr>
        <w:t>Mise en œuvre du programme de travail de la Plateforme jusqu</w:t>
      </w:r>
      <w:r w:rsidR="00275DBD" w:rsidRPr="00546330">
        <w:rPr>
          <w:b/>
          <w:bCs/>
          <w:lang w:val="fr-FR"/>
        </w:rPr>
        <w:t>’</w:t>
      </w:r>
      <w:r w:rsidRPr="00546330">
        <w:rPr>
          <w:b/>
          <w:bCs/>
          <w:lang w:val="fr-FR"/>
        </w:rPr>
        <w:t>en 2030</w:t>
      </w:r>
    </w:p>
    <w:p w14:paraId="46090D57" w14:textId="15E545AD"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546330">
        <w:rPr>
          <w:lang w:val="fr-FR"/>
        </w:rPr>
        <w:t>1.</w:t>
      </w:r>
      <w:r w:rsidRPr="00546330">
        <w:rPr>
          <w:lang w:val="fr-FR"/>
        </w:rPr>
        <w:tab/>
      </w:r>
      <w:r w:rsidRPr="00546330">
        <w:rPr>
          <w:i/>
          <w:iCs/>
          <w:lang w:val="fr-FR"/>
        </w:rPr>
        <w:t xml:space="preserve">Décide </w:t>
      </w:r>
      <w:r w:rsidRPr="00546330">
        <w:rPr>
          <w:lang w:val="fr-FR"/>
        </w:rPr>
        <w:t>de procéder à la mise en œuvre du programme de travail de la Plateforme conformément au budget app</w:t>
      </w:r>
      <w:r w:rsidR="00881550" w:rsidRPr="00546330">
        <w:rPr>
          <w:lang w:val="fr-FR"/>
        </w:rPr>
        <w:t>rouvé figurant dans la décision </w:t>
      </w:r>
      <w:r w:rsidRPr="00546330">
        <w:rPr>
          <w:lang w:val="fr-FR"/>
        </w:rPr>
        <w:t xml:space="preserve">IPBES-7/[ </w:t>
      </w:r>
      <w:r w:rsidR="00AE5B70" w:rsidRPr="00546330">
        <w:rPr>
          <w:lang w:val="fr-FR"/>
        </w:rPr>
        <w:t xml:space="preserve">  </w:t>
      </w:r>
      <w:r w:rsidRPr="00546330">
        <w:rPr>
          <w:lang w:val="fr-FR"/>
        </w:rPr>
        <w:t>] ;</w:t>
      </w:r>
    </w:p>
    <w:p w14:paraId="645195C6" w14:textId="46A2C749"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546330">
        <w:rPr>
          <w:lang w:val="fr-FR"/>
        </w:rPr>
        <w:t>2.</w:t>
      </w:r>
      <w:r w:rsidRPr="00546330">
        <w:rPr>
          <w:lang w:val="fr-FR"/>
        </w:rPr>
        <w:tab/>
      </w:r>
      <w:r w:rsidRPr="00546330">
        <w:rPr>
          <w:i/>
          <w:iCs/>
          <w:lang w:val="fr-FR"/>
        </w:rPr>
        <w:t xml:space="preserve">Prie </w:t>
      </w:r>
      <w:r w:rsidRPr="00546330">
        <w:rPr>
          <w:lang w:val="fr-FR"/>
        </w:rPr>
        <w:t xml:space="preserve">la Secrétaire exécutive </w:t>
      </w:r>
      <w:r w:rsidR="00881550" w:rsidRPr="00546330">
        <w:rPr>
          <w:lang w:val="fr-FR"/>
        </w:rPr>
        <w:t>de lui présenter, à sa huitième </w:t>
      </w:r>
      <w:r w:rsidRPr="00546330">
        <w:rPr>
          <w:lang w:val="fr-FR"/>
        </w:rPr>
        <w:t>session, un rapport sur les progrès accomplis dans l</w:t>
      </w:r>
      <w:r w:rsidR="00275DBD" w:rsidRPr="00546330">
        <w:rPr>
          <w:lang w:val="fr-FR"/>
        </w:rPr>
        <w:t>’</w:t>
      </w:r>
      <w:r w:rsidRPr="00546330">
        <w:rPr>
          <w:lang w:val="fr-FR"/>
        </w:rPr>
        <w:t>exécution du programme de travail conformément à la pr</w:t>
      </w:r>
      <w:r w:rsidR="00F91BD8">
        <w:rPr>
          <w:lang w:val="fr-FR"/>
        </w:rPr>
        <w:t>ésente décision ;</w:t>
      </w:r>
    </w:p>
    <w:p w14:paraId="28EBBE99" w14:textId="77777777" w:rsidR="00464576" w:rsidRPr="00546330" w:rsidRDefault="00464576" w:rsidP="00464576">
      <w:pPr>
        <w:pStyle w:val="Normal-pool"/>
        <w:keepNext/>
        <w:keepLines/>
        <w:spacing w:before="240" w:after="120"/>
        <w:ind w:left="1890"/>
        <w:jc w:val="center"/>
        <w:rPr>
          <w:b/>
          <w:lang w:val="fr-FR"/>
        </w:rPr>
      </w:pPr>
      <w:r w:rsidRPr="00546330">
        <w:rPr>
          <w:b/>
          <w:bCs/>
          <w:lang w:val="fr-FR"/>
        </w:rPr>
        <w:t>II</w:t>
      </w:r>
    </w:p>
    <w:p w14:paraId="76FBBC1C" w14:textId="77777777" w:rsidR="00464576" w:rsidRPr="00546330" w:rsidRDefault="00464576" w:rsidP="00464576">
      <w:pPr>
        <w:pStyle w:val="Normal-pool"/>
        <w:keepNext/>
        <w:keepLines/>
        <w:tabs>
          <w:tab w:val="clear" w:pos="1247"/>
          <w:tab w:val="left" w:pos="1890"/>
        </w:tabs>
        <w:spacing w:after="120"/>
        <w:ind w:left="1800"/>
        <w:jc w:val="center"/>
        <w:rPr>
          <w:b/>
          <w:lang w:val="fr-FR"/>
        </w:rPr>
      </w:pPr>
      <w:r w:rsidRPr="00546330">
        <w:rPr>
          <w:b/>
          <w:bCs/>
          <w:lang w:val="fr-FR"/>
        </w:rPr>
        <w:t>Évaluation des connaissances</w:t>
      </w:r>
    </w:p>
    <w:p w14:paraId="326C77C8" w14:textId="10268001"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rFonts w:eastAsia="Calibri"/>
          <w:lang w:val="fr-FR"/>
        </w:rPr>
      </w:pPr>
      <w:r w:rsidRPr="00546330">
        <w:rPr>
          <w:lang w:val="fr-FR"/>
        </w:rPr>
        <w:t>1.</w:t>
      </w:r>
      <w:r w:rsidRPr="00546330">
        <w:rPr>
          <w:lang w:val="fr-FR"/>
        </w:rPr>
        <w:tab/>
      </w:r>
      <w:r w:rsidRPr="00546330">
        <w:rPr>
          <w:i/>
          <w:iCs/>
          <w:lang w:val="fr-FR"/>
        </w:rPr>
        <w:t xml:space="preserve">Approuve </w:t>
      </w:r>
      <w:r w:rsidRPr="00546330">
        <w:rPr>
          <w:lang w:val="fr-FR"/>
        </w:rPr>
        <w:t>le résumé à l</w:t>
      </w:r>
      <w:r w:rsidR="00275DBD" w:rsidRPr="00546330">
        <w:rPr>
          <w:lang w:val="fr-FR"/>
        </w:rPr>
        <w:t>’</w:t>
      </w:r>
      <w:r w:rsidRPr="00546330">
        <w:rPr>
          <w:lang w:val="fr-FR"/>
        </w:rPr>
        <w:t>intention des décideurs de l</w:t>
      </w:r>
      <w:r w:rsidR="00275DBD" w:rsidRPr="00546330">
        <w:rPr>
          <w:lang w:val="fr-FR"/>
        </w:rPr>
        <w:t>’</w:t>
      </w:r>
      <w:r w:rsidRPr="00546330">
        <w:rPr>
          <w:lang w:val="fr-FR"/>
        </w:rPr>
        <w:t>évaluation mondiale de la biodiversité et des services écosystémiques</w:t>
      </w:r>
      <w:r w:rsidRPr="00546330">
        <w:rPr>
          <w:rStyle w:val="FootnoteReference"/>
          <w:rFonts w:eastAsia="Calibri"/>
          <w:lang w:val="fr-FR"/>
        </w:rPr>
        <w:footnoteReference w:id="11"/>
      </w:r>
      <w:r w:rsidRPr="00546330">
        <w:rPr>
          <w:lang w:val="fr-FR"/>
        </w:rPr>
        <w:t xml:space="preserve"> et accepte les chapitres de l</w:t>
      </w:r>
      <w:r w:rsidR="00275DBD" w:rsidRPr="00546330">
        <w:rPr>
          <w:lang w:val="fr-FR"/>
        </w:rPr>
        <w:t>’</w:t>
      </w:r>
      <w:r w:rsidRPr="00546330">
        <w:rPr>
          <w:lang w:val="fr-FR"/>
        </w:rPr>
        <w:t>évaluation, y compris leurs résumés analytiques</w:t>
      </w:r>
      <w:r w:rsidRPr="00546330">
        <w:rPr>
          <w:rFonts w:eastAsia="Calibri"/>
          <w:szCs w:val="18"/>
          <w:vertAlign w:val="superscript"/>
          <w:lang w:val="fr-FR"/>
        </w:rPr>
        <w:footnoteReference w:id="12"/>
      </w:r>
      <w:r w:rsidRPr="00546330">
        <w:rPr>
          <w:lang w:val="fr-FR"/>
        </w:rPr>
        <w:t> ;</w:t>
      </w:r>
    </w:p>
    <w:p w14:paraId="063C0602" w14:textId="29797062"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rFonts w:eastAsia="Calibri"/>
          <w:lang w:val="fr-FR"/>
        </w:rPr>
      </w:pPr>
      <w:r w:rsidRPr="00546330">
        <w:rPr>
          <w:lang w:val="fr-FR"/>
        </w:rPr>
        <w:t>2.</w:t>
      </w:r>
      <w:r w:rsidRPr="00546330">
        <w:rPr>
          <w:lang w:val="fr-FR"/>
        </w:rPr>
        <w:tab/>
      </w:r>
      <w:r w:rsidRPr="00546330">
        <w:rPr>
          <w:i/>
          <w:iCs/>
          <w:lang w:val="fr-FR"/>
        </w:rPr>
        <w:t>Approuve également</w:t>
      </w:r>
      <w:r w:rsidRPr="00546330">
        <w:rPr>
          <w:lang w:val="fr-FR"/>
        </w:rPr>
        <w:t xml:space="preserve"> un processus de cadrage d</w:t>
      </w:r>
      <w:r w:rsidR="00275DBD" w:rsidRPr="00546330">
        <w:rPr>
          <w:lang w:val="fr-FR"/>
        </w:rPr>
        <w:t>’</w:t>
      </w:r>
      <w:r w:rsidRPr="00546330">
        <w:rPr>
          <w:lang w:val="fr-FR"/>
        </w:rPr>
        <w:t xml:space="preserve">une évaluation thématique des liens entre biodiversité, eau, alimentation et </w:t>
      </w:r>
      <w:r w:rsidR="00881550" w:rsidRPr="00546330">
        <w:rPr>
          <w:lang w:val="fr-FR"/>
        </w:rPr>
        <w:t>santé pour examen à sa huitième </w:t>
      </w:r>
      <w:r w:rsidRPr="00546330">
        <w:rPr>
          <w:lang w:val="fr-FR"/>
        </w:rPr>
        <w:t>session, conformément aux procédures d</w:t>
      </w:r>
      <w:r w:rsidR="00275DBD" w:rsidRPr="00546330">
        <w:rPr>
          <w:lang w:val="fr-FR"/>
        </w:rPr>
        <w:t>’</w:t>
      </w:r>
      <w:r w:rsidRPr="00546330">
        <w:rPr>
          <w:lang w:val="fr-FR"/>
        </w:rPr>
        <w:t>établissement des produits de la Plateforme</w:t>
      </w:r>
      <w:r w:rsidRPr="00546330">
        <w:rPr>
          <w:rStyle w:val="FootnoteReference"/>
          <w:rFonts w:eastAsia="Calibri"/>
          <w:lang w:val="fr-FR"/>
        </w:rPr>
        <w:footnoteReference w:id="13"/>
      </w:r>
      <w:r w:rsidRPr="00546330">
        <w:rPr>
          <w:lang w:val="fr-FR"/>
        </w:rPr>
        <w:t xml:space="preserve"> et sur la base du rapport initial de cadrage de l</w:t>
      </w:r>
      <w:r w:rsidR="00275DBD" w:rsidRPr="00546330">
        <w:rPr>
          <w:lang w:val="fr-FR"/>
        </w:rPr>
        <w:t>’</w:t>
      </w:r>
      <w:r w:rsidRPr="00546330">
        <w:rPr>
          <w:lang w:val="fr-FR"/>
        </w:rPr>
        <w:t>évaluation</w:t>
      </w:r>
      <w:r w:rsidRPr="00546330">
        <w:rPr>
          <w:rStyle w:val="FootnoteReference"/>
          <w:rFonts w:eastAsia="Calibri"/>
          <w:lang w:val="fr-FR"/>
        </w:rPr>
        <w:footnoteReference w:id="14"/>
      </w:r>
      <w:r w:rsidRPr="00546330">
        <w:rPr>
          <w:lang w:val="fr-FR"/>
        </w:rPr>
        <w:t>, et décide d</w:t>
      </w:r>
      <w:r w:rsidR="00275DBD" w:rsidRPr="00546330">
        <w:rPr>
          <w:lang w:val="fr-FR"/>
        </w:rPr>
        <w:t>’</w:t>
      </w:r>
      <w:r w:rsidRPr="00546330">
        <w:rPr>
          <w:lang w:val="fr-FR"/>
        </w:rPr>
        <w:t>envisager d</w:t>
      </w:r>
      <w:r w:rsidR="00275DBD" w:rsidRPr="00546330">
        <w:rPr>
          <w:lang w:val="fr-FR"/>
        </w:rPr>
        <w:t>’</w:t>
      </w:r>
      <w:r w:rsidRPr="00546330">
        <w:rPr>
          <w:lang w:val="fr-FR"/>
        </w:rPr>
        <w:t>effectuer cette évaluation sur une période de quatre ans, qui comprendrait, de manière exceptionnelle, un examen supplémentaire du projet de résumé à l</w:t>
      </w:r>
      <w:r w:rsidR="00275DBD" w:rsidRPr="00546330">
        <w:rPr>
          <w:lang w:val="fr-FR"/>
        </w:rPr>
        <w:t>’</w:t>
      </w:r>
      <w:r w:rsidRPr="00546330">
        <w:rPr>
          <w:lang w:val="fr-FR"/>
        </w:rPr>
        <w:t>intention des décideurs par les gouvernements et des experts avant examen final dudit résumé par les gouvernements ;</w:t>
      </w:r>
      <w:bookmarkStart w:id="1" w:name="_Hlk500170660"/>
    </w:p>
    <w:p w14:paraId="47BF1FBE" w14:textId="5EC34944"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fr-FR"/>
        </w:rPr>
      </w:pPr>
      <w:r w:rsidRPr="00546330">
        <w:rPr>
          <w:lang w:val="fr-FR"/>
        </w:rPr>
        <w:t>3.</w:t>
      </w:r>
      <w:r w:rsidRPr="00546330">
        <w:rPr>
          <w:lang w:val="fr-FR"/>
        </w:rPr>
        <w:tab/>
      </w:r>
      <w:r w:rsidRPr="00546330">
        <w:rPr>
          <w:i/>
          <w:iCs/>
          <w:lang w:val="fr-FR"/>
        </w:rPr>
        <w:t>Approuve en outre</w:t>
      </w:r>
      <w:r w:rsidRPr="00546330">
        <w:rPr>
          <w:lang w:val="fr-FR"/>
        </w:rPr>
        <w:t xml:space="preserve"> un processus de cadrage d</w:t>
      </w:r>
      <w:r w:rsidR="00275DBD" w:rsidRPr="00546330">
        <w:rPr>
          <w:lang w:val="fr-FR"/>
        </w:rPr>
        <w:t>’</w:t>
      </w:r>
      <w:r w:rsidRPr="00546330">
        <w:rPr>
          <w:lang w:val="fr-FR"/>
        </w:rPr>
        <w:t>une évaluation méthodologique de l</w:t>
      </w:r>
      <w:r w:rsidR="00275DBD" w:rsidRPr="00546330">
        <w:rPr>
          <w:lang w:val="fr-FR"/>
        </w:rPr>
        <w:t>’</w:t>
      </w:r>
      <w:r w:rsidRPr="00546330">
        <w:rPr>
          <w:lang w:val="fr-FR"/>
        </w:rPr>
        <w:t>impact des entreprises sur la biodiversité et de la dépendance de ces dernières vis</w:t>
      </w:r>
      <w:r w:rsidRPr="00546330">
        <w:rPr>
          <w:lang w:val="fr-FR"/>
        </w:rPr>
        <w:noBreakHyphen/>
        <w:t>à</w:t>
      </w:r>
      <w:r w:rsidRPr="00546330">
        <w:rPr>
          <w:lang w:val="fr-FR"/>
        </w:rPr>
        <w:noBreakHyphen/>
        <w:t>vis de la biodiversité ainsi que des contributions apportées par la nature aux populations, pour examen à sa huitième session, conformément aux procédures d</w:t>
      </w:r>
      <w:r w:rsidR="00275DBD" w:rsidRPr="00546330">
        <w:rPr>
          <w:lang w:val="fr-FR"/>
        </w:rPr>
        <w:t>’</w:t>
      </w:r>
      <w:r w:rsidRPr="00546330">
        <w:rPr>
          <w:lang w:val="fr-FR"/>
        </w:rPr>
        <w:t>établissement des produits de la Plateforme</w:t>
      </w:r>
      <w:r w:rsidRPr="00546330">
        <w:rPr>
          <w:rStyle w:val="FootnoteReference"/>
          <w:rFonts w:eastAsia="Calibri"/>
          <w:lang w:val="fr-FR"/>
        </w:rPr>
        <w:footnoteReference w:id="15"/>
      </w:r>
      <w:r w:rsidRPr="00546330">
        <w:rPr>
          <w:lang w:val="fr-FR"/>
        </w:rPr>
        <w:t xml:space="preserve"> et sur la base du rapport initial de cadrage pour l</w:t>
      </w:r>
      <w:r w:rsidR="00275DBD" w:rsidRPr="00546330">
        <w:rPr>
          <w:lang w:val="fr-FR"/>
        </w:rPr>
        <w:t>’</w:t>
      </w:r>
      <w:r w:rsidRPr="00546330">
        <w:rPr>
          <w:lang w:val="fr-FR"/>
        </w:rPr>
        <w:t>évaluation</w:t>
      </w:r>
      <w:r w:rsidRPr="00546330">
        <w:rPr>
          <w:rStyle w:val="FootnoteReference"/>
          <w:rFonts w:eastAsia="Calibri"/>
          <w:lang w:val="fr-FR"/>
        </w:rPr>
        <w:footnoteReference w:id="16"/>
      </w:r>
      <w:r w:rsidRPr="00546330">
        <w:rPr>
          <w:lang w:val="fr-FR"/>
        </w:rPr>
        <w:t>, et décide d</w:t>
      </w:r>
      <w:r w:rsidR="00275DBD" w:rsidRPr="00546330">
        <w:rPr>
          <w:lang w:val="fr-FR"/>
        </w:rPr>
        <w:t>’</w:t>
      </w:r>
      <w:r w:rsidRPr="00546330">
        <w:rPr>
          <w:lang w:val="fr-FR"/>
        </w:rPr>
        <w:t>envisager d</w:t>
      </w:r>
      <w:r w:rsidR="00275DBD" w:rsidRPr="00546330">
        <w:rPr>
          <w:lang w:val="fr-FR"/>
        </w:rPr>
        <w:t>’</w:t>
      </w:r>
      <w:r w:rsidRPr="00546330">
        <w:rPr>
          <w:lang w:val="fr-FR"/>
        </w:rPr>
        <w:t>effectuer cette évaluation sur une période de deux ans selon une méthode accélérée</w:t>
      </w:r>
      <w:r w:rsidRPr="00546330">
        <w:rPr>
          <w:rStyle w:val="FootnoteReference"/>
          <w:rFonts w:eastAsia="Calibri"/>
          <w:lang w:val="fr-FR"/>
        </w:rPr>
        <w:footnoteReference w:id="17"/>
      </w:r>
      <w:r w:rsidRPr="00546330">
        <w:rPr>
          <w:lang w:val="fr-FR"/>
        </w:rPr>
        <w:t> ;</w:t>
      </w:r>
    </w:p>
    <w:bookmarkEnd w:id="1"/>
    <w:p w14:paraId="0A318B87" w14:textId="0CA1AE7B"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rFonts w:eastAsia="Calibri"/>
          <w:lang w:val="fr-FR"/>
        </w:rPr>
      </w:pPr>
      <w:r w:rsidRPr="00546330">
        <w:rPr>
          <w:lang w:val="fr-FR"/>
        </w:rPr>
        <w:t>4.</w:t>
      </w:r>
      <w:r w:rsidRPr="00546330">
        <w:rPr>
          <w:lang w:val="fr-FR"/>
        </w:rPr>
        <w:tab/>
      </w:r>
      <w:r w:rsidRPr="00546330">
        <w:rPr>
          <w:i/>
          <w:iCs/>
          <w:lang w:val="fr-FR"/>
        </w:rPr>
        <w:t xml:space="preserve">Approuve </w:t>
      </w:r>
      <w:r w:rsidRPr="00546330">
        <w:rPr>
          <w:lang w:val="fr-FR"/>
        </w:rPr>
        <w:t>l</w:t>
      </w:r>
      <w:r w:rsidR="00275DBD" w:rsidRPr="00546330">
        <w:rPr>
          <w:lang w:val="fr-FR"/>
        </w:rPr>
        <w:t>’</w:t>
      </w:r>
      <w:r w:rsidRPr="00546330">
        <w:rPr>
          <w:lang w:val="fr-FR"/>
        </w:rPr>
        <w:t>élaboration, conjointement avec le Groupe d</w:t>
      </w:r>
      <w:r w:rsidR="00275DBD" w:rsidRPr="00546330">
        <w:rPr>
          <w:lang w:val="fr-FR"/>
        </w:rPr>
        <w:t>’</w:t>
      </w:r>
      <w:r w:rsidRPr="00546330">
        <w:rPr>
          <w:lang w:val="fr-FR"/>
        </w:rPr>
        <w:t>experts intergouvernemental sur l</w:t>
      </w:r>
      <w:r w:rsidR="00275DBD" w:rsidRPr="00546330">
        <w:rPr>
          <w:lang w:val="fr-FR"/>
        </w:rPr>
        <w:t>’</w:t>
      </w:r>
      <w:r w:rsidRPr="00546330">
        <w:rPr>
          <w:lang w:val="fr-FR"/>
        </w:rPr>
        <w:t>évolution du climat, d</w:t>
      </w:r>
      <w:r w:rsidR="00275DBD" w:rsidRPr="00546330">
        <w:rPr>
          <w:lang w:val="fr-FR"/>
        </w:rPr>
        <w:t>’</w:t>
      </w:r>
      <w:r w:rsidRPr="00546330">
        <w:rPr>
          <w:lang w:val="fr-FR"/>
        </w:rPr>
        <w:t>un document technique sur la biodiversité et les changements climatiques fondé sur les évaluations régionales et l</w:t>
      </w:r>
      <w:r w:rsidR="00275DBD" w:rsidRPr="00546330">
        <w:rPr>
          <w:lang w:val="fr-FR"/>
        </w:rPr>
        <w:t>’</w:t>
      </w:r>
      <w:r w:rsidRPr="00546330">
        <w:rPr>
          <w:lang w:val="fr-FR"/>
        </w:rPr>
        <w:t>évaluation mondiale de la biodiversité et des services écosystémiques et sur l</w:t>
      </w:r>
      <w:r w:rsidR="00275DBD" w:rsidRPr="00546330">
        <w:rPr>
          <w:lang w:val="fr-FR"/>
        </w:rPr>
        <w:t>’</w:t>
      </w:r>
      <w:r w:rsidRPr="00546330">
        <w:rPr>
          <w:lang w:val="fr-FR"/>
        </w:rPr>
        <w:t>évaluation de la dégradation et de la restauration des terres, ainsi que sur les évaluations pertinentes du Groupe d</w:t>
      </w:r>
      <w:r w:rsidR="00275DBD" w:rsidRPr="00546330">
        <w:rPr>
          <w:lang w:val="fr-FR"/>
        </w:rPr>
        <w:t>’</w:t>
      </w:r>
      <w:r w:rsidRPr="00546330">
        <w:rPr>
          <w:lang w:val="fr-FR"/>
        </w:rPr>
        <w:t>experts intergouvernemental sur l</w:t>
      </w:r>
      <w:r w:rsidR="00275DBD" w:rsidRPr="00546330">
        <w:rPr>
          <w:lang w:val="fr-FR"/>
        </w:rPr>
        <w:t>’</w:t>
      </w:r>
      <w:r w:rsidRPr="00546330">
        <w:rPr>
          <w:lang w:val="fr-FR"/>
        </w:rPr>
        <w:t>évolution du climat, notamment le rapport spécial sur les conséquences d</w:t>
      </w:r>
      <w:r w:rsidR="00275DBD" w:rsidRPr="00546330">
        <w:rPr>
          <w:lang w:val="fr-FR"/>
        </w:rPr>
        <w:t>’</w:t>
      </w:r>
      <w:r w:rsidRPr="00546330">
        <w:rPr>
          <w:lang w:val="fr-FR"/>
        </w:rPr>
        <w:t>un réchauffement planétaire de</w:t>
      </w:r>
      <w:r w:rsidR="00B27619" w:rsidRPr="00546330">
        <w:rPr>
          <w:lang w:val="fr-FR"/>
        </w:rPr>
        <w:t xml:space="preserve"> 1,5 </w:t>
      </w:r>
      <w:r w:rsidRPr="00546330">
        <w:rPr>
          <w:lang w:val="fr-FR"/>
        </w:rPr>
        <w:t>°C par rapport aux niveaux préindustriels et les profils connexes d</w:t>
      </w:r>
      <w:r w:rsidR="00275DBD" w:rsidRPr="00546330">
        <w:rPr>
          <w:lang w:val="fr-FR"/>
        </w:rPr>
        <w:t>’</w:t>
      </w:r>
      <w:r w:rsidRPr="00546330">
        <w:rPr>
          <w:lang w:val="fr-FR"/>
        </w:rPr>
        <w:t>évolution des émissions mondiales de gaz à effet de serre, son cinquième rapport d</w:t>
      </w:r>
      <w:r w:rsidR="00275DBD" w:rsidRPr="00546330">
        <w:rPr>
          <w:lang w:val="fr-FR"/>
        </w:rPr>
        <w:t>’</w:t>
      </w:r>
      <w:r w:rsidRPr="00546330">
        <w:rPr>
          <w:lang w:val="fr-FR"/>
        </w:rPr>
        <w:t>évaluation, y compris les rapports des trois groupes de travail du Groupe, ainsi que le rapport spécial sur les changements climatiques, la désertification, la dégradation des sols, la gestion durable des terres, la sécurité alimentaire et les flux de gaz à effet de serre dans les écosystèmes terrestres, conformément au processus de validation des documents techniques, qui figure dans les procédures d</w:t>
      </w:r>
      <w:r w:rsidR="00275DBD" w:rsidRPr="00546330">
        <w:rPr>
          <w:lang w:val="fr-FR"/>
        </w:rPr>
        <w:t>’</w:t>
      </w:r>
      <w:r w:rsidRPr="00546330">
        <w:rPr>
          <w:lang w:val="fr-FR"/>
        </w:rPr>
        <w:t>établissement des produits de la Plateforme</w:t>
      </w:r>
      <w:r w:rsidRPr="00546330">
        <w:rPr>
          <w:rStyle w:val="FootnoteReference"/>
          <w:rFonts w:eastAsia="Calibri"/>
          <w:lang w:val="fr-FR"/>
        </w:rPr>
        <w:footnoteReference w:id="18"/>
      </w:r>
      <w:r w:rsidRPr="00546330">
        <w:rPr>
          <w:lang w:val="fr-FR"/>
        </w:rPr>
        <w:t>, et sur la base de la note de cadrage du document technique</w:t>
      </w:r>
      <w:r w:rsidRPr="00546330">
        <w:rPr>
          <w:rStyle w:val="FootnoteReference"/>
          <w:rFonts w:eastAsia="Calibri"/>
          <w:lang w:val="fr-FR"/>
        </w:rPr>
        <w:footnoteReference w:id="19"/>
      </w:r>
      <w:r w:rsidRPr="00546330">
        <w:rPr>
          <w:lang w:val="fr-FR"/>
        </w:rPr>
        <w:t> ;</w:t>
      </w:r>
    </w:p>
    <w:p w14:paraId="29C262CE" w14:textId="0044CF7C"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546330">
        <w:rPr>
          <w:lang w:val="fr-FR"/>
        </w:rPr>
        <w:t>5.</w:t>
      </w:r>
      <w:r w:rsidRPr="00546330">
        <w:rPr>
          <w:lang w:val="fr-FR"/>
        </w:rPr>
        <w:tab/>
      </w:r>
      <w:r w:rsidRPr="00546330">
        <w:rPr>
          <w:i/>
          <w:iCs/>
          <w:lang w:val="fr-FR"/>
        </w:rPr>
        <w:t xml:space="preserve">Invite </w:t>
      </w:r>
      <w:r w:rsidRPr="00546330">
        <w:rPr>
          <w:lang w:val="fr-FR"/>
        </w:rPr>
        <w:t>le Groupe d</w:t>
      </w:r>
      <w:r w:rsidR="00275DBD" w:rsidRPr="00546330">
        <w:rPr>
          <w:lang w:val="fr-FR"/>
        </w:rPr>
        <w:t>’</w:t>
      </w:r>
      <w:r w:rsidRPr="00546330">
        <w:rPr>
          <w:lang w:val="fr-FR"/>
        </w:rPr>
        <w:t>experts intergouvernemental sur l</w:t>
      </w:r>
      <w:r w:rsidR="00275DBD" w:rsidRPr="00546330">
        <w:rPr>
          <w:lang w:val="fr-FR"/>
        </w:rPr>
        <w:t>’</w:t>
      </w:r>
      <w:r w:rsidRPr="00546330">
        <w:rPr>
          <w:lang w:val="fr-FR"/>
        </w:rPr>
        <w:t>évolution du climat à envisager d</w:t>
      </w:r>
      <w:r w:rsidR="00275DBD" w:rsidRPr="00546330">
        <w:rPr>
          <w:lang w:val="fr-FR"/>
        </w:rPr>
        <w:t>’</w:t>
      </w:r>
      <w:r w:rsidRPr="00546330">
        <w:rPr>
          <w:lang w:val="fr-FR"/>
        </w:rPr>
        <w:t>approuver l</w:t>
      </w:r>
      <w:r w:rsidR="00275DBD" w:rsidRPr="00546330">
        <w:rPr>
          <w:lang w:val="fr-FR"/>
        </w:rPr>
        <w:t>’</w:t>
      </w:r>
      <w:r w:rsidRPr="00546330">
        <w:rPr>
          <w:lang w:val="fr-FR"/>
        </w:rPr>
        <w:t>élaboration du document technique en tant que document technique conjoint du Groupe et de la Plateforme ;</w:t>
      </w:r>
    </w:p>
    <w:p w14:paraId="13845231" w14:textId="77777777" w:rsidR="009E319B" w:rsidRPr="00546330" w:rsidRDefault="009E319B">
      <w:pPr>
        <w:tabs>
          <w:tab w:val="clear" w:pos="1247"/>
          <w:tab w:val="clear" w:pos="1814"/>
          <w:tab w:val="clear" w:pos="2381"/>
          <w:tab w:val="clear" w:pos="2948"/>
          <w:tab w:val="clear" w:pos="3515"/>
        </w:tabs>
      </w:pPr>
      <w:r w:rsidRPr="00546330">
        <w:br w:type="page"/>
      </w:r>
    </w:p>
    <w:p w14:paraId="21554B7C" w14:textId="2087C459"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rFonts w:eastAsia="Calibri"/>
          <w:lang w:val="fr-FR"/>
        </w:rPr>
      </w:pPr>
      <w:r w:rsidRPr="00546330">
        <w:rPr>
          <w:lang w:val="fr-FR"/>
        </w:rPr>
        <w:t>6.</w:t>
      </w:r>
      <w:r w:rsidRPr="00546330">
        <w:rPr>
          <w:lang w:val="fr-FR"/>
        </w:rPr>
        <w:tab/>
      </w:r>
      <w:r w:rsidRPr="00546330">
        <w:rPr>
          <w:i/>
          <w:iCs/>
          <w:lang w:val="fr-FR"/>
        </w:rPr>
        <w:t xml:space="preserve">Prie </w:t>
      </w:r>
      <w:r w:rsidRPr="00546330">
        <w:rPr>
          <w:lang w:val="fr-FR"/>
        </w:rPr>
        <w:t>le Président de la Plateforme et la Secrétaire exécutive d</w:t>
      </w:r>
      <w:r w:rsidR="00275DBD" w:rsidRPr="00546330">
        <w:rPr>
          <w:lang w:val="fr-FR"/>
        </w:rPr>
        <w:t>’</w:t>
      </w:r>
      <w:r w:rsidRPr="00546330">
        <w:rPr>
          <w:lang w:val="fr-FR"/>
        </w:rPr>
        <w:t>assurer la liaison avec le Président et le Secrétaire du Groupe d</w:t>
      </w:r>
      <w:r w:rsidR="00275DBD" w:rsidRPr="00546330">
        <w:rPr>
          <w:lang w:val="fr-FR"/>
        </w:rPr>
        <w:t>’</w:t>
      </w:r>
      <w:r w:rsidRPr="00546330">
        <w:rPr>
          <w:lang w:val="fr-FR"/>
        </w:rPr>
        <w:t>experts intergouvernemental sur l</w:t>
      </w:r>
      <w:r w:rsidR="00275DBD" w:rsidRPr="00546330">
        <w:rPr>
          <w:lang w:val="fr-FR"/>
        </w:rPr>
        <w:t>’</w:t>
      </w:r>
      <w:r w:rsidRPr="00546330">
        <w:rPr>
          <w:lang w:val="fr-FR"/>
        </w:rPr>
        <w:t>évolution du climat en vue de définir les modalités d</w:t>
      </w:r>
      <w:r w:rsidR="00275DBD" w:rsidRPr="00546330">
        <w:rPr>
          <w:lang w:val="fr-FR"/>
        </w:rPr>
        <w:t>’</w:t>
      </w:r>
      <w:r w:rsidRPr="00546330">
        <w:rPr>
          <w:lang w:val="fr-FR"/>
        </w:rPr>
        <w:t>élaboration conjointe du document technique, conformément aux dispositions applicables du Groupe et de la Plateforme</w:t>
      </w:r>
      <w:r w:rsidRPr="00546330">
        <w:rPr>
          <w:rStyle w:val="FootnoteReference"/>
          <w:rFonts w:eastAsia="Calibri"/>
          <w:lang w:val="fr-FR"/>
        </w:rPr>
        <w:footnoteReference w:id="20"/>
      </w:r>
      <w:r w:rsidRPr="00546330">
        <w:rPr>
          <w:lang w:val="fr-FR"/>
        </w:rPr>
        <w:t> ;</w:t>
      </w:r>
    </w:p>
    <w:p w14:paraId="603D94EF" w14:textId="00BA48CC"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fr-FR"/>
        </w:rPr>
      </w:pPr>
      <w:r w:rsidRPr="00546330">
        <w:rPr>
          <w:lang w:val="fr-FR"/>
        </w:rPr>
        <w:t>7.</w:t>
      </w:r>
      <w:r w:rsidRPr="00546330">
        <w:rPr>
          <w:lang w:val="fr-FR"/>
        </w:rPr>
        <w:tab/>
      </w:r>
      <w:r w:rsidRPr="00546330">
        <w:rPr>
          <w:i/>
          <w:iCs/>
          <w:lang w:val="fr-FR"/>
        </w:rPr>
        <w:t xml:space="preserve">Prie </w:t>
      </w:r>
      <w:r w:rsidRPr="00546330">
        <w:rPr>
          <w:lang w:val="fr-FR"/>
        </w:rPr>
        <w:t>la Secrétaire exécutive de mettre régulièrement à jour le guide sur la réalisation des évaluations</w:t>
      </w:r>
      <w:r w:rsidRPr="00546330">
        <w:rPr>
          <w:rStyle w:val="FootnoteReference"/>
          <w:rFonts w:eastAsia="Calibri"/>
          <w:lang w:val="fr-FR"/>
        </w:rPr>
        <w:footnoteReference w:id="21"/>
      </w:r>
      <w:r w:rsidRPr="00546330">
        <w:rPr>
          <w:lang w:val="fr-FR"/>
        </w:rPr>
        <w:t xml:space="preserve"> à la lumière des travaux des équipes spéciales et des groupes d</w:t>
      </w:r>
      <w:r w:rsidR="00275DBD" w:rsidRPr="00546330">
        <w:rPr>
          <w:lang w:val="fr-FR"/>
        </w:rPr>
        <w:t>’</w:t>
      </w:r>
      <w:r w:rsidR="00F91BD8">
        <w:rPr>
          <w:lang w:val="fr-FR"/>
        </w:rPr>
        <w:t>experts de la Plateforme ;</w:t>
      </w:r>
    </w:p>
    <w:p w14:paraId="35877A34" w14:textId="77777777" w:rsidR="00464576" w:rsidRPr="00546330" w:rsidRDefault="00464576" w:rsidP="00464576">
      <w:pPr>
        <w:pStyle w:val="Normal-pool"/>
        <w:keepNext/>
        <w:keepLines/>
        <w:spacing w:before="240" w:after="120"/>
        <w:ind w:left="1890"/>
        <w:jc w:val="center"/>
        <w:rPr>
          <w:b/>
          <w:lang w:val="fr-FR"/>
        </w:rPr>
      </w:pPr>
      <w:r w:rsidRPr="00546330">
        <w:rPr>
          <w:b/>
          <w:bCs/>
          <w:lang w:val="fr-FR"/>
        </w:rPr>
        <w:t>III</w:t>
      </w:r>
    </w:p>
    <w:p w14:paraId="2967ED84" w14:textId="77777777" w:rsidR="00464576" w:rsidRPr="00546330" w:rsidRDefault="00464576" w:rsidP="00464576">
      <w:pPr>
        <w:pStyle w:val="Normal-pool"/>
        <w:keepNext/>
        <w:keepLines/>
        <w:spacing w:after="120"/>
        <w:ind w:left="1890"/>
        <w:jc w:val="center"/>
        <w:rPr>
          <w:b/>
          <w:lang w:val="fr-FR"/>
        </w:rPr>
      </w:pPr>
      <w:r w:rsidRPr="00546330">
        <w:rPr>
          <w:b/>
          <w:bCs/>
          <w:lang w:val="fr-FR"/>
        </w:rPr>
        <w:t>Renforcement des capacités</w:t>
      </w:r>
    </w:p>
    <w:p w14:paraId="130FA584" w14:textId="5D6D2DD9"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546330">
        <w:rPr>
          <w:lang w:val="fr-FR"/>
        </w:rPr>
        <w:t>1.</w:t>
      </w:r>
      <w:r w:rsidRPr="00546330">
        <w:rPr>
          <w:lang w:val="fr-FR"/>
        </w:rPr>
        <w:tab/>
      </w:r>
      <w:r w:rsidRPr="00546330">
        <w:rPr>
          <w:i/>
          <w:lang w:val="fr-FR"/>
        </w:rPr>
        <w:t>Rappelle</w:t>
      </w:r>
      <w:r w:rsidRPr="00546330">
        <w:rPr>
          <w:lang w:val="fr-FR"/>
        </w:rPr>
        <w:t xml:space="preserve"> qu</w:t>
      </w:r>
      <w:r w:rsidR="00275DBD" w:rsidRPr="00546330">
        <w:rPr>
          <w:lang w:val="fr-FR"/>
        </w:rPr>
        <w:t>’</w:t>
      </w:r>
      <w:r w:rsidRPr="00546330">
        <w:rPr>
          <w:lang w:val="fr-FR"/>
        </w:rPr>
        <w:t>une équipe spéciale sur le renforcement des capacités a été créée comme suite à la section I du paragraphe</w:t>
      </w:r>
      <w:r w:rsidR="00AE5B70" w:rsidRPr="00546330">
        <w:rPr>
          <w:lang w:val="fr-FR"/>
        </w:rPr>
        <w:t> 1 de la décision </w:t>
      </w:r>
      <w:r w:rsidRPr="00546330">
        <w:rPr>
          <w:lang w:val="fr-FR"/>
        </w:rPr>
        <w:t>IPBES-2/5 et proroge le mandat de l</w:t>
      </w:r>
      <w:r w:rsidR="00275DBD" w:rsidRPr="00546330">
        <w:rPr>
          <w:lang w:val="fr-FR"/>
        </w:rPr>
        <w:t>’</w:t>
      </w:r>
      <w:r w:rsidRPr="00546330">
        <w:rPr>
          <w:lang w:val="fr-FR"/>
        </w:rPr>
        <w:t>équipe spéciale p</w:t>
      </w:r>
      <w:r w:rsidR="00AE5B70" w:rsidRPr="00546330">
        <w:rPr>
          <w:lang w:val="fr-FR"/>
        </w:rPr>
        <w:t>our la réalisation des produits </w:t>
      </w:r>
      <w:r w:rsidRPr="00546330">
        <w:rPr>
          <w:lang w:val="fr-FR"/>
        </w:rPr>
        <w:t>2 a), 2 b) et 2 c) du programme de travail de la Plateforme jusqu</w:t>
      </w:r>
      <w:r w:rsidR="00275DBD" w:rsidRPr="00546330">
        <w:rPr>
          <w:lang w:val="fr-FR"/>
        </w:rPr>
        <w:t>’</w:t>
      </w:r>
      <w:r w:rsidRPr="00546330">
        <w:rPr>
          <w:lang w:val="fr-FR"/>
        </w:rPr>
        <w:t>en 2030, conformément au mandat révisé énoncé à l</w:t>
      </w:r>
      <w:r w:rsidR="00275DBD" w:rsidRPr="00546330">
        <w:rPr>
          <w:lang w:val="fr-FR"/>
        </w:rPr>
        <w:t>’</w:t>
      </w:r>
      <w:r w:rsidRPr="00546330">
        <w:rPr>
          <w:lang w:val="fr-FR"/>
        </w:rPr>
        <w:t xml:space="preserve">annexe [  </w:t>
      </w:r>
      <w:r w:rsidR="00AE5B70" w:rsidRPr="00546330">
        <w:rPr>
          <w:lang w:val="fr-FR"/>
        </w:rPr>
        <w:t xml:space="preserve"> </w:t>
      </w:r>
      <w:r w:rsidRPr="00546330">
        <w:rPr>
          <w:lang w:val="fr-FR"/>
        </w:rPr>
        <w:t>] de la présente décision</w:t>
      </w:r>
      <w:r w:rsidRPr="00546330">
        <w:rPr>
          <w:rStyle w:val="FootnoteReference"/>
          <w:lang w:val="fr-FR"/>
        </w:rPr>
        <w:footnoteReference w:id="22"/>
      </w:r>
      <w:r w:rsidRPr="00546330">
        <w:rPr>
          <w:lang w:val="fr-FR"/>
        </w:rPr>
        <w:t>, et prie le Bureau et le Groupe, par l</w:t>
      </w:r>
      <w:r w:rsidR="00275DBD" w:rsidRPr="00546330">
        <w:rPr>
          <w:lang w:val="fr-FR"/>
        </w:rPr>
        <w:t>’</w:t>
      </w:r>
      <w:r w:rsidRPr="00546330">
        <w:rPr>
          <w:lang w:val="fr-FR"/>
        </w:rPr>
        <w:t>intermédiaire du secrétariat de la Plateforme, de constituer cette équipe spéciale conformément au mandat ;</w:t>
      </w:r>
    </w:p>
    <w:p w14:paraId="5A4D7425" w14:textId="420A6DED"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fr-FR"/>
        </w:rPr>
      </w:pPr>
      <w:r w:rsidRPr="00546330">
        <w:rPr>
          <w:lang w:val="fr-FR"/>
        </w:rPr>
        <w:t>2.</w:t>
      </w:r>
      <w:r w:rsidRPr="00546330">
        <w:rPr>
          <w:lang w:val="fr-FR"/>
        </w:rPr>
        <w:tab/>
      </w:r>
      <w:r w:rsidRPr="00546330">
        <w:rPr>
          <w:i/>
          <w:iCs/>
          <w:lang w:val="fr-FR"/>
        </w:rPr>
        <w:t xml:space="preserve">Décide </w:t>
      </w:r>
      <w:r w:rsidRPr="00546330">
        <w:rPr>
          <w:lang w:val="fr-FR"/>
        </w:rPr>
        <w:t>d</w:t>
      </w:r>
      <w:r w:rsidR="00275DBD" w:rsidRPr="00546330">
        <w:rPr>
          <w:lang w:val="fr-FR"/>
        </w:rPr>
        <w:t>’</w:t>
      </w:r>
      <w:r w:rsidRPr="00546330">
        <w:rPr>
          <w:lang w:val="fr-FR"/>
        </w:rPr>
        <w:t>examiner le mandat et les attributions de l</w:t>
      </w:r>
      <w:r w:rsidR="00275DBD" w:rsidRPr="00546330">
        <w:rPr>
          <w:lang w:val="fr-FR"/>
        </w:rPr>
        <w:t>’</w:t>
      </w:r>
      <w:r w:rsidRPr="00546330">
        <w:rPr>
          <w:lang w:val="fr-FR"/>
        </w:rPr>
        <w:t>équipe spéciale à sa dixième</w:t>
      </w:r>
      <w:r w:rsidR="00AE5B70" w:rsidRPr="00546330">
        <w:rPr>
          <w:lang w:val="fr-FR"/>
        </w:rPr>
        <w:t> </w:t>
      </w:r>
      <w:r w:rsidRPr="00546330">
        <w:rPr>
          <w:lang w:val="fr-FR"/>
        </w:rPr>
        <w:t>session ;</w:t>
      </w:r>
    </w:p>
    <w:p w14:paraId="686D9C4F" w14:textId="4CB8BBA2"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fr-FR"/>
        </w:rPr>
      </w:pPr>
      <w:r w:rsidRPr="00546330">
        <w:rPr>
          <w:lang w:val="fr-FR"/>
        </w:rPr>
        <w:t>3.</w:t>
      </w:r>
      <w:r w:rsidRPr="00546330">
        <w:rPr>
          <w:lang w:val="fr-FR"/>
        </w:rPr>
        <w:tab/>
      </w:r>
      <w:r w:rsidRPr="00546330">
        <w:rPr>
          <w:i/>
          <w:iCs/>
          <w:lang w:val="fr-FR"/>
        </w:rPr>
        <w:t xml:space="preserve">Prend note </w:t>
      </w:r>
      <w:r w:rsidRPr="00546330">
        <w:rPr>
          <w:lang w:val="fr-FR"/>
        </w:rPr>
        <w:t>des activités que l</w:t>
      </w:r>
      <w:r w:rsidR="00275DBD" w:rsidRPr="00546330">
        <w:rPr>
          <w:lang w:val="fr-FR"/>
        </w:rPr>
        <w:t>’</w:t>
      </w:r>
      <w:r w:rsidRPr="00546330">
        <w:rPr>
          <w:lang w:val="fr-FR"/>
        </w:rPr>
        <w:t>équipe spéciale sur le renforcement des capacités doit entreprendre en 2019 et 2020</w:t>
      </w:r>
      <w:r w:rsidRPr="00546330">
        <w:rPr>
          <w:rStyle w:val="FootnoteReference"/>
          <w:lang w:val="fr-FR"/>
        </w:rPr>
        <w:footnoteReference w:id="23"/>
      </w:r>
      <w:r w:rsidR="00F91BD8">
        <w:rPr>
          <w:lang w:val="fr-FR"/>
        </w:rPr>
        <w:t> ;</w:t>
      </w:r>
    </w:p>
    <w:p w14:paraId="50127FFB" w14:textId="77777777" w:rsidR="00464576" w:rsidRPr="00546330" w:rsidRDefault="00464576" w:rsidP="00464576">
      <w:pPr>
        <w:pStyle w:val="Normal-pool"/>
        <w:keepNext/>
        <w:keepLines/>
        <w:spacing w:before="240" w:after="120"/>
        <w:ind w:left="1890"/>
        <w:jc w:val="center"/>
        <w:rPr>
          <w:b/>
          <w:lang w:val="fr-FR"/>
        </w:rPr>
      </w:pPr>
      <w:r w:rsidRPr="00546330">
        <w:rPr>
          <w:b/>
          <w:bCs/>
          <w:lang w:val="fr-FR"/>
        </w:rPr>
        <w:t>IV</w:t>
      </w:r>
    </w:p>
    <w:p w14:paraId="70C48EA2" w14:textId="77777777" w:rsidR="00464576" w:rsidRPr="00546330" w:rsidRDefault="00464576" w:rsidP="00464576">
      <w:pPr>
        <w:pStyle w:val="Normal-pool"/>
        <w:keepNext/>
        <w:keepLines/>
        <w:spacing w:after="120"/>
        <w:ind w:left="1800"/>
        <w:jc w:val="center"/>
        <w:rPr>
          <w:b/>
          <w:lang w:val="fr-FR"/>
        </w:rPr>
      </w:pPr>
      <w:r w:rsidRPr="00546330">
        <w:rPr>
          <w:b/>
          <w:bCs/>
          <w:lang w:val="fr-FR"/>
        </w:rPr>
        <w:t>Renforcement de la base de connaissances</w:t>
      </w:r>
    </w:p>
    <w:p w14:paraId="3FA0BD82" w14:textId="08776CA3"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fr-FR"/>
        </w:rPr>
      </w:pPr>
      <w:bookmarkStart w:id="2" w:name="_Hlk500240677"/>
      <w:r w:rsidRPr="00546330">
        <w:rPr>
          <w:lang w:val="fr-FR"/>
        </w:rPr>
        <w:t>1.</w:t>
      </w:r>
      <w:r w:rsidRPr="00546330">
        <w:rPr>
          <w:lang w:val="fr-FR"/>
        </w:rPr>
        <w:tab/>
      </w:r>
      <w:r w:rsidRPr="00546330">
        <w:rPr>
          <w:i/>
          <w:iCs/>
          <w:lang w:val="fr-FR"/>
        </w:rPr>
        <w:t xml:space="preserve">Rappelle </w:t>
      </w:r>
      <w:r w:rsidRPr="00546330">
        <w:rPr>
          <w:iCs/>
          <w:lang w:val="fr-FR"/>
        </w:rPr>
        <w:t>qu</w:t>
      </w:r>
      <w:r w:rsidR="00275DBD" w:rsidRPr="00546330">
        <w:rPr>
          <w:iCs/>
          <w:lang w:val="fr-FR"/>
        </w:rPr>
        <w:t>’</w:t>
      </w:r>
      <w:r w:rsidRPr="00546330">
        <w:rPr>
          <w:lang w:val="fr-FR"/>
        </w:rPr>
        <w:t>une équipe spéciale sur les connaissances et les données a été créée comme suit</w:t>
      </w:r>
      <w:r w:rsidR="00B27619" w:rsidRPr="00546330">
        <w:rPr>
          <w:lang w:val="fr-FR"/>
        </w:rPr>
        <w:t>e à la section II du paragraphe </w:t>
      </w:r>
      <w:r w:rsidR="00881550" w:rsidRPr="00546330">
        <w:rPr>
          <w:lang w:val="fr-FR"/>
        </w:rPr>
        <w:t>2 de la décision </w:t>
      </w:r>
      <w:r w:rsidRPr="00546330">
        <w:rPr>
          <w:lang w:val="fr-FR"/>
        </w:rPr>
        <w:t>IPBES-2/5 et proroge le mandat de l</w:t>
      </w:r>
      <w:r w:rsidR="00275DBD" w:rsidRPr="00546330">
        <w:rPr>
          <w:lang w:val="fr-FR"/>
        </w:rPr>
        <w:t>’</w:t>
      </w:r>
      <w:r w:rsidRPr="00546330">
        <w:rPr>
          <w:lang w:val="fr-FR"/>
        </w:rPr>
        <w:t xml:space="preserve">équipe spéciale </w:t>
      </w:r>
      <w:r w:rsidR="00B27619" w:rsidRPr="00546330">
        <w:rPr>
          <w:lang w:val="fr-FR"/>
        </w:rPr>
        <w:t>pour la réalisation du produit </w:t>
      </w:r>
      <w:r w:rsidRPr="00546330">
        <w:rPr>
          <w:lang w:val="fr-FR"/>
        </w:rPr>
        <w:t>3 a) du programme de travail de la Plateforme jusqu</w:t>
      </w:r>
      <w:r w:rsidR="00275DBD" w:rsidRPr="00546330">
        <w:rPr>
          <w:lang w:val="fr-FR"/>
        </w:rPr>
        <w:t>’</w:t>
      </w:r>
      <w:r w:rsidRPr="00546330">
        <w:rPr>
          <w:lang w:val="fr-FR"/>
        </w:rPr>
        <w:t>en 2030, conformément au mandat révisé énoncé à l</w:t>
      </w:r>
      <w:r w:rsidR="00275DBD" w:rsidRPr="00546330">
        <w:rPr>
          <w:lang w:val="fr-FR"/>
        </w:rPr>
        <w:t>’</w:t>
      </w:r>
      <w:r w:rsidRPr="00546330">
        <w:rPr>
          <w:lang w:val="fr-FR"/>
        </w:rPr>
        <w:t xml:space="preserve">annexe [ </w:t>
      </w:r>
      <w:r w:rsidR="00AE5B70" w:rsidRPr="00546330">
        <w:rPr>
          <w:lang w:val="fr-FR"/>
        </w:rPr>
        <w:t xml:space="preserve"> </w:t>
      </w:r>
      <w:r w:rsidRPr="00546330">
        <w:rPr>
          <w:lang w:val="fr-FR"/>
        </w:rPr>
        <w:t xml:space="preserve"> ] de la présente décision</w:t>
      </w:r>
      <w:r w:rsidRPr="00546330">
        <w:rPr>
          <w:rStyle w:val="FootnoteReference"/>
          <w:lang w:val="fr-FR"/>
        </w:rPr>
        <w:footnoteReference w:id="24"/>
      </w:r>
      <w:r w:rsidRPr="00546330">
        <w:rPr>
          <w:lang w:val="fr-FR"/>
        </w:rPr>
        <w:t>, et prie le Bureau et le Groupe, par l</w:t>
      </w:r>
      <w:r w:rsidR="00275DBD" w:rsidRPr="00546330">
        <w:rPr>
          <w:lang w:val="fr-FR"/>
        </w:rPr>
        <w:t>’</w:t>
      </w:r>
      <w:r w:rsidRPr="00546330">
        <w:rPr>
          <w:lang w:val="fr-FR"/>
        </w:rPr>
        <w:t>intermédiaire du secrétariat de la Plateforme, de constituer cette équipe spéciale conformément au mandat ;</w:t>
      </w:r>
    </w:p>
    <w:p w14:paraId="14930A5B" w14:textId="4B456192"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546330">
        <w:rPr>
          <w:lang w:val="fr-FR"/>
        </w:rPr>
        <w:t>2.</w:t>
      </w:r>
      <w:r w:rsidRPr="00546330">
        <w:rPr>
          <w:lang w:val="fr-FR"/>
        </w:rPr>
        <w:tab/>
      </w:r>
      <w:r w:rsidRPr="00546330">
        <w:rPr>
          <w:i/>
          <w:iCs/>
          <w:lang w:val="fr-FR"/>
        </w:rPr>
        <w:t xml:space="preserve">Rappelle également </w:t>
      </w:r>
      <w:r w:rsidRPr="00546330">
        <w:rPr>
          <w:iCs/>
          <w:lang w:val="fr-FR"/>
        </w:rPr>
        <w:t>qu</w:t>
      </w:r>
      <w:r w:rsidR="00275DBD" w:rsidRPr="00546330">
        <w:rPr>
          <w:iCs/>
          <w:lang w:val="fr-FR"/>
        </w:rPr>
        <w:t>’</w:t>
      </w:r>
      <w:r w:rsidRPr="00546330">
        <w:rPr>
          <w:lang w:val="fr-FR"/>
        </w:rPr>
        <w:t>une équipe spéciale sur les savoirs autochtones et locaux a été créée comme suit</w:t>
      </w:r>
      <w:r w:rsidR="00B27619" w:rsidRPr="00546330">
        <w:rPr>
          <w:lang w:val="fr-FR"/>
        </w:rPr>
        <w:t>e à la section II du paragraphe 1 de la décision </w:t>
      </w:r>
      <w:r w:rsidRPr="00546330">
        <w:rPr>
          <w:lang w:val="fr-FR"/>
        </w:rPr>
        <w:t>IPBES-2/5 et proroge le mandat de l</w:t>
      </w:r>
      <w:r w:rsidR="00275DBD" w:rsidRPr="00546330">
        <w:rPr>
          <w:lang w:val="fr-FR"/>
        </w:rPr>
        <w:t>’</w:t>
      </w:r>
      <w:r w:rsidRPr="00546330">
        <w:rPr>
          <w:lang w:val="fr-FR"/>
        </w:rPr>
        <w:t xml:space="preserve">équipe spéciale </w:t>
      </w:r>
      <w:r w:rsidR="00B27619" w:rsidRPr="00546330">
        <w:rPr>
          <w:lang w:val="fr-FR"/>
        </w:rPr>
        <w:t>pour la réalisation du produit 3 </w:t>
      </w:r>
      <w:r w:rsidRPr="00546330">
        <w:rPr>
          <w:lang w:val="fr-FR"/>
        </w:rPr>
        <w:t>b) du programme de travail de la Plateforme jusqu</w:t>
      </w:r>
      <w:r w:rsidR="00275DBD" w:rsidRPr="00546330">
        <w:rPr>
          <w:lang w:val="fr-FR"/>
        </w:rPr>
        <w:t>’</w:t>
      </w:r>
      <w:r w:rsidRPr="00546330">
        <w:rPr>
          <w:lang w:val="fr-FR"/>
        </w:rPr>
        <w:t>en 2030, conformément au mandat révisé énoncé à l</w:t>
      </w:r>
      <w:r w:rsidR="00275DBD" w:rsidRPr="00546330">
        <w:rPr>
          <w:lang w:val="fr-FR"/>
        </w:rPr>
        <w:t>’</w:t>
      </w:r>
      <w:r w:rsidRPr="00546330">
        <w:rPr>
          <w:lang w:val="fr-FR"/>
        </w:rPr>
        <w:t xml:space="preserve">annexe [ </w:t>
      </w:r>
      <w:r w:rsidR="00AE5B70" w:rsidRPr="00546330">
        <w:rPr>
          <w:lang w:val="fr-FR"/>
        </w:rPr>
        <w:t xml:space="preserve"> </w:t>
      </w:r>
      <w:r w:rsidRPr="00546330">
        <w:rPr>
          <w:lang w:val="fr-FR"/>
        </w:rPr>
        <w:t xml:space="preserve"> ] de la présente décision</w:t>
      </w:r>
      <w:r w:rsidRPr="00546330">
        <w:rPr>
          <w:rStyle w:val="FootnoteReference"/>
          <w:lang w:val="fr-FR"/>
        </w:rPr>
        <w:footnoteReference w:id="25"/>
      </w:r>
      <w:r w:rsidRPr="00546330">
        <w:rPr>
          <w:lang w:val="fr-FR"/>
        </w:rPr>
        <w:t>, et prie le Bureau et le Groupe, par l</w:t>
      </w:r>
      <w:r w:rsidR="00275DBD" w:rsidRPr="00546330">
        <w:rPr>
          <w:lang w:val="fr-FR"/>
        </w:rPr>
        <w:t>’</w:t>
      </w:r>
      <w:r w:rsidRPr="00546330">
        <w:rPr>
          <w:lang w:val="fr-FR"/>
        </w:rPr>
        <w:t>intermédiaire du secrétariat de la Plateforme, de constituer cette équipe spéciale conformément au mandat ;</w:t>
      </w:r>
    </w:p>
    <w:p w14:paraId="68010EA3" w14:textId="4E06947F"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fr-FR"/>
        </w:rPr>
      </w:pPr>
      <w:r w:rsidRPr="00546330">
        <w:rPr>
          <w:lang w:val="fr-FR"/>
        </w:rPr>
        <w:t>3.</w:t>
      </w:r>
      <w:r w:rsidRPr="00546330">
        <w:rPr>
          <w:lang w:val="fr-FR"/>
        </w:rPr>
        <w:tab/>
      </w:r>
      <w:r w:rsidRPr="00546330">
        <w:rPr>
          <w:i/>
          <w:iCs/>
          <w:lang w:val="fr-FR"/>
        </w:rPr>
        <w:t xml:space="preserve">Décide </w:t>
      </w:r>
      <w:r w:rsidRPr="00546330">
        <w:rPr>
          <w:lang w:val="fr-FR"/>
        </w:rPr>
        <w:t>d</w:t>
      </w:r>
      <w:r w:rsidR="00275DBD" w:rsidRPr="00546330">
        <w:rPr>
          <w:lang w:val="fr-FR"/>
        </w:rPr>
        <w:t>’</w:t>
      </w:r>
      <w:r w:rsidRPr="00546330">
        <w:rPr>
          <w:lang w:val="fr-FR"/>
        </w:rPr>
        <w:t>examiner à sa dixième</w:t>
      </w:r>
      <w:r w:rsidR="00B27619" w:rsidRPr="00546330">
        <w:rPr>
          <w:lang w:val="fr-FR"/>
        </w:rPr>
        <w:t> </w:t>
      </w:r>
      <w:r w:rsidRPr="00546330">
        <w:rPr>
          <w:lang w:val="fr-FR"/>
        </w:rPr>
        <w:t>session les mandats et les attributions de l</w:t>
      </w:r>
      <w:r w:rsidR="00275DBD" w:rsidRPr="00546330">
        <w:rPr>
          <w:lang w:val="fr-FR"/>
        </w:rPr>
        <w:t>’</w:t>
      </w:r>
      <w:r w:rsidRPr="00546330">
        <w:rPr>
          <w:lang w:val="fr-FR"/>
        </w:rPr>
        <w:t>équipe spéciale sur les connaissances et les données et de l</w:t>
      </w:r>
      <w:r w:rsidR="00275DBD" w:rsidRPr="00546330">
        <w:rPr>
          <w:lang w:val="fr-FR"/>
        </w:rPr>
        <w:t>’</w:t>
      </w:r>
      <w:r w:rsidRPr="00546330">
        <w:rPr>
          <w:lang w:val="fr-FR"/>
        </w:rPr>
        <w:t>équipe spéciale sur les savoirs autochtones et locaux ;</w:t>
      </w:r>
    </w:p>
    <w:p w14:paraId="0B9B6B4B" w14:textId="10E6E0D4"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fr-FR"/>
        </w:rPr>
      </w:pPr>
      <w:r w:rsidRPr="00546330">
        <w:rPr>
          <w:lang w:val="fr-FR"/>
        </w:rPr>
        <w:t>4.</w:t>
      </w:r>
      <w:r w:rsidRPr="00546330">
        <w:rPr>
          <w:lang w:val="fr-FR"/>
        </w:rPr>
        <w:tab/>
      </w:r>
      <w:r w:rsidRPr="00546330">
        <w:rPr>
          <w:i/>
          <w:iCs/>
          <w:lang w:val="fr-FR"/>
        </w:rPr>
        <w:t>Prend note</w:t>
      </w:r>
      <w:r w:rsidRPr="00546330">
        <w:rPr>
          <w:lang w:val="fr-FR"/>
        </w:rPr>
        <w:t xml:space="preserve"> des activités que l</w:t>
      </w:r>
      <w:r w:rsidR="00275DBD" w:rsidRPr="00546330">
        <w:rPr>
          <w:lang w:val="fr-FR"/>
        </w:rPr>
        <w:t>’</w:t>
      </w:r>
      <w:r w:rsidRPr="00546330">
        <w:rPr>
          <w:lang w:val="fr-FR"/>
        </w:rPr>
        <w:t>équipe spéciale sur les connaissances et les données</w:t>
      </w:r>
      <w:r w:rsidRPr="00546330">
        <w:rPr>
          <w:rStyle w:val="FootnoteReference"/>
          <w:lang w:val="fr-FR"/>
        </w:rPr>
        <w:footnoteReference w:id="26"/>
      </w:r>
      <w:r w:rsidRPr="00546330">
        <w:rPr>
          <w:lang w:val="fr-FR"/>
        </w:rPr>
        <w:t xml:space="preserve"> et l</w:t>
      </w:r>
      <w:r w:rsidR="00275DBD" w:rsidRPr="00546330">
        <w:rPr>
          <w:lang w:val="fr-FR"/>
        </w:rPr>
        <w:t>’</w:t>
      </w:r>
      <w:r w:rsidRPr="00546330">
        <w:rPr>
          <w:lang w:val="fr-FR"/>
        </w:rPr>
        <w:t>équipe spéciale sur les savoirs autochtones et locaux</w:t>
      </w:r>
      <w:r w:rsidRPr="00546330">
        <w:rPr>
          <w:rStyle w:val="FootnoteReference"/>
          <w:lang w:val="fr-FR"/>
        </w:rPr>
        <w:footnoteReference w:id="27"/>
      </w:r>
      <w:r w:rsidRPr="00546330">
        <w:rPr>
          <w:lang w:val="fr-FR"/>
        </w:rPr>
        <w:t xml:space="preserve"> doive</w:t>
      </w:r>
      <w:r w:rsidR="00F91BD8">
        <w:rPr>
          <w:lang w:val="fr-FR"/>
        </w:rPr>
        <w:t>nt entreprendre en 2019 et 2020 ;</w:t>
      </w:r>
    </w:p>
    <w:bookmarkEnd w:id="2"/>
    <w:p w14:paraId="7764741F" w14:textId="77777777" w:rsidR="00725844" w:rsidRPr="00546330" w:rsidRDefault="00725844">
      <w:pPr>
        <w:tabs>
          <w:tab w:val="clear" w:pos="1247"/>
          <w:tab w:val="clear" w:pos="1814"/>
          <w:tab w:val="clear" w:pos="2381"/>
          <w:tab w:val="clear" w:pos="2948"/>
          <w:tab w:val="clear" w:pos="3515"/>
        </w:tabs>
        <w:rPr>
          <w:b/>
          <w:bCs/>
        </w:rPr>
      </w:pPr>
      <w:r w:rsidRPr="00546330">
        <w:rPr>
          <w:b/>
          <w:bCs/>
        </w:rPr>
        <w:br w:type="page"/>
      </w:r>
    </w:p>
    <w:p w14:paraId="646FDB2F" w14:textId="0BB344D6" w:rsidR="00464576" w:rsidRPr="00546330" w:rsidRDefault="00464576" w:rsidP="00464576">
      <w:pPr>
        <w:pStyle w:val="Normal-pool"/>
        <w:keepNext/>
        <w:keepLines/>
        <w:spacing w:before="240" w:after="120"/>
        <w:ind w:left="1886"/>
        <w:jc w:val="center"/>
        <w:rPr>
          <w:b/>
          <w:lang w:val="fr-FR"/>
        </w:rPr>
      </w:pPr>
      <w:r w:rsidRPr="00546330">
        <w:rPr>
          <w:b/>
          <w:bCs/>
          <w:lang w:val="fr-FR"/>
        </w:rPr>
        <w:t>V</w:t>
      </w:r>
    </w:p>
    <w:p w14:paraId="32388A18" w14:textId="53337EF2" w:rsidR="00464576" w:rsidRPr="00546330" w:rsidRDefault="00464576" w:rsidP="00464576">
      <w:pPr>
        <w:pStyle w:val="Normal-pool"/>
        <w:keepNext/>
        <w:spacing w:after="120"/>
        <w:ind w:left="1886"/>
        <w:jc w:val="center"/>
        <w:rPr>
          <w:b/>
          <w:lang w:val="fr-FR"/>
        </w:rPr>
      </w:pPr>
      <w:r w:rsidRPr="00546330">
        <w:rPr>
          <w:b/>
          <w:bCs/>
          <w:lang w:val="fr-FR"/>
        </w:rPr>
        <w:t>Appui à l</w:t>
      </w:r>
      <w:r w:rsidR="00275DBD" w:rsidRPr="00546330">
        <w:rPr>
          <w:b/>
          <w:bCs/>
          <w:lang w:val="fr-FR"/>
        </w:rPr>
        <w:t>’</w:t>
      </w:r>
      <w:r w:rsidRPr="00546330">
        <w:rPr>
          <w:b/>
          <w:bCs/>
          <w:lang w:val="fr-FR"/>
        </w:rPr>
        <w:t>élaboration des politiques</w:t>
      </w:r>
    </w:p>
    <w:p w14:paraId="3E168366" w14:textId="3BE52857"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546330">
        <w:rPr>
          <w:lang w:val="fr-FR"/>
        </w:rPr>
        <w:t>1.</w:t>
      </w:r>
      <w:r w:rsidRPr="00546330">
        <w:rPr>
          <w:lang w:val="fr-FR"/>
        </w:rPr>
        <w:tab/>
      </w:r>
      <w:r w:rsidRPr="00546330">
        <w:rPr>
          <w:i/>
          <w:iCs/>
          <w:lang w:val="fr-FR"/>
        </w:rPr>
        <w:t xml:space="preserve">Crée </w:t>
      </w:r>
      <w:r w:rsidRPr="00546330">
        <w:rPr>
          <w:lang w:val="fr-FR"/>
        </w:rPr>
        <w:t>une équipe spéciale sur les outils et méthodes d</w:t>
      </w:r>
      <w:r w:rsidR="00275DBD" w:rsidRPr="00546330">
        <w:rPr>
          <w:lang w:val="fr-FR"/>
        </w:rPr>
        <w:t>’</w:t>
      </w:r>
      <w:r w:rsidRPr="00546330">
        <w:rPr>
          <w:lang w:val="fr-FR"/>
        </w:rPr>
        <w:t>élaboration des politiques</w:t>
      </w:r>
      <w:r w:rsidR="00881550" w:rsidRPr="00546330">
        <w:rPr>
          <w:lang w:val="fr-FR"/>
        </w:rPr>
        <w:t xml:space="preserve"> pour la réalisation du produit </w:t>
      </w:r>
      <w:r w:rsidRPr="00546330">
        <w:rPr>
          <w:lang w:val="fr-FR"/>
        </w:rPr>
        <w:t>4 a) du programme de travail de la Plateforme jusqu</w:t>
      </w:r>
      <w:r w:rsidR="00275DBD" w:rsidRPr="00546330">
        <w:rPr>
          <w:lang w:val="fr-FR"/>
        </w:rPr>
        <w:t>’</w:t>
      </w:r>
      <w:r w:rsidRPr="00546330">
        <w:rPr>
          <w:lang w:val="fr-FR"/>
        </w:rPr>
        <w:t>en 2030, conformément au mandat énoncé à l</w:t>
      </w:r>
      <w:r w:rsidR="00275DBD" w:rsidRPr="00546330">
        <w:rPr>
          <w:lang w:val="fr-FR"/>
        </w:rPr>
        <w:t>’</w:t>
      </w:r>
      <w:r w:rsidRPr="00546330">
        <w:rPr>
          <w:lang w:val="fr-FR"/>
        </w:rPr>
        <w:t xml:space="preserve">annexe [  </w:t>
      </w:r>
      <w:r w:rsidR="00AE5B70" w:rsidRPr="00546330">
        <w:rPr>
          <w:lang w:val="fr-FR"/>
        </w:rPr>
        <w:t xml:space="preserve"> </w:t>
      </w:r>
      <w:r w:rsidRPr="00546330">
        <w:rPr>
          <w:lang w:val="fr-FR"/>
        </w:rPr>
        <w:t>] de la présente décision</w:t>
      </w:r>
      <w:r w:rsidRPr="00546330">
        <w:rPr>
          <w:rStyle w:val="FootnoteReference"/>
          <w:lang w:val="fr-FR"/>
        </w:rPr>
        <w:footnoteReference w:id="28"/>
      </w:r>
      <w:r w:rsidRPr="00546330">
        <w:rPr>
          <w:lang w:val="fr-FR"/>
        </w:rPr>
        <w:t>, et prie le Bureau et le Groupe, par l</w:t>
      </w:r>
      <w:r w:rsidR="00275DBD" w:rsidRPr="00546330">
        <w:rPr>
          <w:lang w:val="fr-FR"/>
        </w:rPr>
        <w:t>’</w:t>
      </w:r>
      <w:r w:rsidRPr="00546330">
        <w:rPr>
          <w:lang w:val="fr-FR"/>
        </w:rPr>
        <w:t>intermédiaire du secrétariat de la Plateforme, de constituer cette équipe spéciale en fonction dudit mandat ;</w:t>
      </w:r>
    </w:p>
    <w:p w14:paraId="00BBC13E" w14:textId="048C5876"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fr-FR"/>
        </w:rPr>
      </w:pPr>
      <w:r w:rsidRPr="00546330">
        <w:rPr>
          <w:lang w:val="fr-FR"/>
        </w:rPr>
        <w:t>2.</w:t>
      </w:r>
      <w:r w:rsidRPr="00546330">
        <w:rPr>
          <w:lang w:val="fr-FR"/>
        </w:rPr>
        <w:tab/>
      </w:r>
      <w:r w:rsidRPr="00546330">
        <w:rPr>
          <w:i/>
          <w:iCs/>
          <w:lang w:val="fr-FR"/>
        </w:rPr>
        <w:t xml:space="preserve">Crée </w:t>
      </w:r>
      <w:r w:rsidR="00FF159A" w:rsidRPr="00546330">
        <w:rPr>
          <w:i/>
          <w:iCs/>
          <w:lang w:val="fr-FR"/>
        </w:rPr>
        <w:t xml:space="preserve">également </w:t>
      </w:r>
      <w:r w:rsidRPr="00546330">
        <w:rPr>
          <w:lang w:val="fr-FR"/>
        </w:rPr>
        <w:t>une équipe spéciale sur les scénarios et les modèles pour la réalisation du produit 4 b) du programme de travail de la Plateforme jusqu</w:t>
      </w:r>
      <w:r w:rsidR="00275DBD" w:rsidRPr="00546330">
        <w:rPr>
          <w:lang w:val="fr-FR"/>
        </w:rPr>
        <w:t>’</w:t>
      </w:r>
      <w:r w:rsidRPr="00546330">
        <w:rPr>
          <w:lang w:val="fr-FR"/>
        </w:rPr>
        <w:t>en 2030, conformément au mandat énoncé à l</w:t>
      </w:r>
      <w:r w:rsidR="00275DBD" w:rsidRPr="00546330">
        <w:rPr>
          <w:lang w:val="fr-FR"/>
        </w:rPr>
        <w:t>’</w:t>
      </w:r>
      <w:r w:rsidRPr="00546330">
        <w:rPr>
          <w:lang w:val="fr-FR"/>
        </w:rPr>
        <w:t xml:space="preserve">annexe [ </w:t>
      </w:r>
      <w:r w:rsidR="00AE5B70" w:rsidRPr="00546330">
        <w:rPr>
          <w:lang w:val="fr-FR"/>
        </w:rPr>
        <w:t xml:space="preserve"> </w:t>
      </w:r>
      <w:r w:rsidRPr="00546330">
        <w:rPr>
          <w:lang w:val="fr-FR"/>
        </w:rPr>
        <w:t xml:space="preserve"> ] de la présente décision</w:t>
      </w:r>
      <w:r w:rsidRPr="00546330">
        <w:rPr>
          <w:rStyle w:val="FootnoteReference"/>
          <w:lang w:val="fr-FR"/>
        </w:rPr>
        <w:footnoteReference w:id="29"/>
      </w:r>
      <w:r w:rsidRPr="00546330">
        <w:rPr>
          <w:lang w:val="fr-FR"/>
        </w:rPr>
        <w:t>, et prie le Bureau et le Groupe, par l</w:t>
      </w:r>
      <w:r w:rsidR="00275DBD" w:rsidRPr="00546330">
        <w:rPr>
          <w:lang w:val="fr-FR"/>
        </w:rPr>
        <w:t>’</w:t>
      </w:r>
      <w:r w:rsidRPr="00546330">
        <w:rPr>
          <w:lang w:val="fr-FR"/>
        </w:rPr>
        <w:t>intermédiaire du secrétariat de la Plateforme, de constituer cette équipe spéciale en fonction dudit mandat ;</w:t>
      </w:r>
    </w:p>
    <w:p w14:paraId="3DF10B31" w14:textId="6D645922"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fr-FR"/>
        </w:rPr>
      </w:pPr>
      <w:r w:rsidRPr="00546330">
        <w:rPr>
          <w:lang w:val="fr-FR"/>
        </w:rPr>
        <w:t>3.</w:t>
      </w:r>
      <w:r w:rsidRPr="00546330">
        <w:rPr>
          <w:lang w:val="fr-FR"/>
        </w:rPr>
        <w:tab/>
      </w:r>
      <w:r w:rsidRPr="00546330">
        <w:rPr>
          <w:i/>
          <w:iCs/>
          <w:lang w:val="fr-FR"/>
        </w:rPr>
        <w:t xml:space="preserve">Décide </w:t>
      </w:r>
      <w:r w:rsidRPr="00546330">
        <w:rPr>
          <w:lang w:val="fr-FR"/>
        </w:rPr>
        <w:t>d</w:t>
      </w:r>
      <w:r w:rsidR="00275DBD" w:rsidRPr="00546330">
        <w:rPr>
          <w:lang w:val="fr-FR"/>
        </w:rPr>
        <w:t>’</w:t>
      </w:r>
      <w:r w:rsidRPr="00546330">
        <w:rPr>
          <w:lang w:val="fr-FR"/>
        </w:rPr>
        <w:t>examiner à sa dixième session le mandat et les attributions de l</w:t>
      </w:r>
      <w:r w:rsidR="00275DBD" w:rsidRPr="00546330">
        <w:rPr>
          <w:lang w:val="fr-FR"/>
        </w:rPr>
        <w:t>’</w:t>
      </w:r>
      <w:r w:rsidRPr="00546330">
        <w:rPr>
          <w:lang w:val="fr-FR"/>
        </w:rPr>
        <w:t>équipe spéciale sur les outils et méthodes d</w:t>
      </w:r>
      <w:r w:rsidR="00275DBD" w:rsidRPr="00546330">
        <w:rPr>
          <w:lang w:val="fr-FR"/>
        </w:rPr>
        <w:t>’</w:t>
      </w:r>
      <w:r w:rsidRPr="00546330">
        <w:rPr>
          <w:lang w:val="fr-FR"/>
        </w:rPr>
        <w:t>élaboration des politiques et de l</w:t>
      </w:r>
      <w:r w:rsidR="00275DBD" w:rsidRPr="00546330">
        <w:rPr>
          <w:lang w:val="fr-FR"/>
        </w:rPr>
        <w:t>’</w:t>
      </w:r>
      <w:r w:rsidRPr="00546330">
        <w:rPr>
          <w:lang w:val="fr-FR"/>
        </w:rPr>
        <w:t>équipe spéciale sur les scénarios et les modèles ;</w:t>
      </w:r>
    </w:p>
    <w:p w14:paraId="63471BF5" w14:textId="78C54B2B"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fr-FR"/>
        </w:rPr>
      </w:pPr>
      <w:r w:rsidRPr="00546330">
        <w:rPr>
          <w:lang w:val="fr-FR"/>
        </w:rPr>
        <w:t>4.</w:t>
      </w:r>
      <w:r w:rsidRPr="00546330">
        <w:rPr>
          <w:lang w:val="fr-FR"/>
        </w:rPr>
        <w:tab/>
      </w:r>
      <w:r w:rsidRPr="00546330">
        <w:rPr>
          <w:i/>
          <w:iCs/>
          <w:lang w:val="fr-FR"/>
        </w:rPr>
        <w:t>Prend note</w:t>
      </w:r>
      <w:r w:rsidRPr="00546330">
        <w:rPr>
          <w:lang w:val="fr-FR"/>
        </w:rPr>
        <w:t xml:space="preserve"> des activités que l</w:t>
      </w:r>
      <w:r w:rsidR="00275DBD" w:rsidRPr="00546330">
        <w:rPr>
          <w:lang w:val="fr-FR"/>
        </w:rPr>
        <w:t>’</w:t>
      </w:r>
      <w:r w:rsidRPr="00546330">
        <w:rPr>
          <w:lang w:val="fr-FR"/>
        </w:rPr>
        <w:t>équipe spéciale sur les outils et méthodes d</w:t>
      </w:r>
      <w:r w:rsidR="00275DBD" w:rsidRPr="00546330">
        <w:rPr>
          <w:lang w:val="fr-FR"/>
        </w:rPr>
        <w:t>’</w:t>
      </w:r>
      <w:r w:rsidRPr="00546330">
        <w:rPr>
          <w:lang w:val="fr-FR"/>
        </w:rPr>
        <w:t>élaboration des politiques</w:t>
      </w:r>
      <w:r w:rsidRPr="00546330">
        <w:rPr>
          <w:rStyle w:val="FootnoteReference"/>
          <w:lang w:val="fr-FR"/>
        </w:rPr>
        <w:footnoteReference w:id="30"/>
      </w:r>
      <w:r w:rsidRPr="00546330">
        <w:rPr>
          <w:lang w:val="fr-FR"/>
        </w:rPr>
        <w:t xml:space="preserve"> et l</w:t>
      </w:r>
      <w:r w:rsidR="00275DBD" w:rsidRPr="00546330">
        <w:rPr>
          <w:lang w:val="fr-FR"/>
        </w:rPr>
        <w:t>’</w:t>
      </w:r>
      <w:r w:rsidRPr="00546330">
        <w:rPr>
          <w:lang w:val="fr-FR"/>
        </w:rPr>
        <w:t>équipe spéciale sur les scénarios et les modèles</w:t>
      </w:r>
      <w:r w:rsidRPr="00546330">
        <w:rPr>
          <w:rStyle w:val="FootnoteReference"/>
          <w:lang w:val="fr-FR"/>
        </w:rPr>
        <w:footnoteReference w:id="31"/>
      </w:r>
      <w:r w:rsidRPr="00546330">
        <w:rPr>
          <w:lang w:val="fr-FR"/>
        </w:rPr>
        <w:t xml:space="preserve"> doive</w:t>
      </w:r>
      <w:r w:rsidR="00F91BD8">
        <w:rPr>
          <w:lang w:val="fr-FR"/>
        </w:rPr>
        <w:t>nt entreprendre en 2019 et 2020 ;</w:t>
      </w:r>
    </w:p>
    <w:p w14:paraId="3A088469" w14:textId="77777777" w:rsidR="00464576" w:rsidRPr="00546330" w:rsidRDefault="00464576" w:rsidP="00464576">
      <w:pPr>
        <w:pStyle w:val="Normal-pool"/>
        <w:keepNext/>
        <w:keepLines/>
        <w:spacing w:before="240" w:after="120"/>
        <w:ind w:left="1890"/>
        <w:jc w:val="center"/>
        <w:rPr>
          <w:b/>
          <w:lang w:val="fr-FR"/>
        </w:rPr>
      </w:pPr>
      <w:r w:rsidRPr="00546330">
        <w:rPr>
          <w:b/>
          <w:bCs/>
          <w:lang w:val="fr-FR"/>
        </w:rPr>
        <w:t>VI</w:t>
      </w:r>
    </w:p>
    <w:p w14:paraId="73CC7407" w14:textId="10C33D14" w:rsidR="00464576" w:rsidRPr="00546330" w:rsidRDefault="00464576" w:rsidP="00464576">
      <w:pPr>
        <w:pStyle w:val="Normal-pool"/>
        <w:keepNext/>
        <w:keepLines/>
        <w:spacing w:after="120"/>
        <w:ind w:left="1800"/>
        <w:jc w:val="center"/>
        <w:rPr>
          <w:b/>
          <w:lang w:val="fr-FR"/>
        </w:rPr>
      </w:pPr>
      <w:r w:rsidRPr="00546330">
        <w:rPr>
          <w:b/>
          <w:bCs/>
          <w:lang w:val="fr-FR"/>
        </w:rPr>
        <w:t>Examen de l</w:t>
      </w:r>
      <w:r w:rsidR="00275DBD" w:rsidRPr="00546330">
        <w:rPr>
          <w:b/>
          <w:bCs/>
          <w:lang w:val="fr-FR"/>
        </w:rPr>
        <w:t>’</w:t>
      </w:r>
      <w:r w:rsidRPr="00546330">
        <w:rPr>
          <w:b/>
          <w:bCs/>
          <w:lang w:val="fr-FR"/>
        </w:rPr>
        <w:t>efficacité</w:t>
      </w:r>
    </w:p>
    <w:p w14:paraId="058C201D" w14:textId="576DD75C" w:rsidR="00464576" w:rsidRPr="00546330" w:rsidRDefault="00FF159A" w:rsidP="00464576">
      <w:pPr>
        <w:pStyle w:val="Normal-pool"/>
        <w:keepNext/>
        <w:keepLines/>
        <w:spacing w:after="120"/>
        <w:ind w:left="1871" w:firstLine="624"/>
        <w:rPr>
          <w:iCs/>
          <w:color w:val="000000"/>
          <w:lang w:val="fr-FR"/>
        </w:rPr>
      </w:pPr>
      <w:r w:rsidRPr="00546330">
        <w:rPr>
          <w:iCs/>
          <w:lang w:val="fr-FR"/>
        </w:rPr>
        <w:t>1</w:t>
      </w:r>
      <w:r w:rsidRPr="00546330">
        <w:rPr>
          <w:i/>
          <w:iCs/>
          <w:lang w:val="fr-FR"/>
        </w:rPr>
        <w:t>.</w:t>
      </w:r>
      <w:r w:rsidRPr="00546330">
        <w:rPr>
          <w:i/>
          <w:iCs/>
          <w:lang w:val="fr-FR"/>
        </w:rPr>
        <w:tab/>
      </w:r>
      <w:r w:rsidR="00464576" w:rsidRPr="00546330">
        <w:rPr>
          <w:i/>
          <w:iCs/>
          <w:lang w:val="fr-FR"/>
        </w:rPr>
        <w:t xml:space="preserve">Rappelant </w:t>
      </w:r>
      <w:r w:rsidR="00464576" w:rsidRPr="00546330">
        <w:rPr>
          <w:lang w:val="fr-FR"/>
        </w:rPr>
        <w:t>que l</w:t>
      </w:r>
      <w:r w:rsidR="00275DBD" w:rsidRPr="00546330">
        <w:rPr>
          <w:lang w:val="fr-FR"/>
        </w:rPr>
        <w:t>’</w:t>
      </w:r>
      <w:r w:rsidR="00464576" w:rsidRPr="00546330">
        <w:rPr>
          <w:lang w:val="fr-FR"/>
        </w:rPr>
        <w:t>un des principes directeurs de la Plateforme veut que l</w:t>
      </w:r>
      <w:r w:rsidR="00275DBD" w:rsidRPr="00546330">
        <w:rPr>
          <w:lang w:val="fr-FR"/>
        </w:rPr>
        <w:t>’</w:t>
      </w:r>
      <w:r w:rsidR="00464576" w:rsidRPr="00546330">
        <w:rPr>
          <w:lang w:val="fr-FR"/>
        </w:rPr>
        <w:t>efficacité et l</w:t>
      </w:r>
      <w:r w:rsidR="00275DBD" w:rsidRPr="00546330">
        <w:rPr>
          <w:lang w:val="fr-FR"/>
        </w:rPr>
        <w:t>’</w:t>
      </w:r>
      <w:r w:rsidR="00464576" w:rsidRPr="00546330">
        <w:rPr>
          <w:lang w:val="fr-FR"/>
        </w:rPr>
        <w:t>efficience de la Plateforme feront régulièrement l</w:t>
      </w:r>
      <w:r w:rsidR="00275DBD" w:rsidRPr="00546330">
        <w:rPr>
          <w:lang w:val="fr-FR"/>
        </w:rPr>
        <w:t>’</w:t>
      </w:r>
      <w:r w:rsidR="00464576" w:rsidRPr="00546330">
        <w:rPr>
          <w:lang w:val="fr-FR"/>
        </w:rPr>
        <w:t>objet d</w:t>
      </w:r>
      <w:r w:rsidR="00275DBD" w:rsidRPr="00546330">
        <w:rPr>
          <w:lang w:val="fr-FR"/>
        </w:rPr>
        <w:t>’</w:t>
      </w:r>
      <w:r w:rsidR="00464576" w:rsidRPr="00546330">
        <w:rPr>
          <w:lang w:val="fr-FR"/>
        </w:rPr>
        <w:t>un examen et d</w:t>
      </w:r>
      <w:r w:rsidR="00275DBD" w:rsidRPr="00546330">
        <w:rPr>
          <w:lang w:val="fr-FR"/>
        </w:rPr>
        <w:t>’</w:t>
      </w:r>
      <w:r w:rsidR="00464576" w:rsidRPr="00546330">
        <w:rPr>
          <w:lang w:val="fr-FR"/>
        </w:rPr>
        <w:t>une évaluation indépendants, comme décidé par la Plénière, des ajustements étant apportés au besoin</w:t>
      </w:r>
      <w:r w:rsidR="00464576" w:rsidRPr="00546330">
        <w:rPr>
          <w:rStyle w:val="FootnoteReference"/>
          <w:iCs/>
          <w:lang w:val="fr-FR"/>
        </w:rPr>
        <w:footnoteReference w:id="32"/>
      </w:r>
      <w:r w:rsidR="00464576" w:rsidRPr="00546330">
        <w:rPr>
          <w:lang w:val="fr-FR"/>
        </w:rPr>
        <w:t>,</w:t>
      </w:r>
    </w:p>
    <w:p w14:paraId="6BB8BDD7" w14:textId="42005E7F" w:rsidR="00464576" w:rsidRPr="00546330" w:rsidRDefault="00FF159A" w:rsidP="00464576">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546330">
        <w:rPr>
          <w:lang w:val="fr-FR"/>
        </w:rPr>
        <w:t>2</w:t>
      </w:r>
      <w:r w:rsidR="00464576" w:rsidRPr="00546330">
        <w:rPr>
          <w:lang w:val="fr-FR"/>
        </w:rPr>
        <w:t>.</w:t>
      </w:r>
      <w:r w:rsidR="00464576" w:rsidRPr="00546330">
        <w:rPr>
          <w:lang w:val="fr-FR"/>
        </w:rPr>
        <w:tab/>
      </w:r>
      <w:r w:rsidR="00464576" w:rsidRPr="00546330">
        <w:rPr>
          <w:i/>
          <w:iCs/>
          <w:lang w:val="fr-FR"/>
        </w:rPr>
        <w:t xml:space="preserve">Prie </w:t>
      </w:r>
      <w:r w:rsidR="00464576" w:rsidRPr="00546330">
        <w:rPr>
          <w:lang w:val="fr-FR"/>
        </w:rPr>
        <w:t>la Secrétaire exécutive de solliciter les vues des membres et des parties prenantes de la Plateforme au sujet du processus d</w:t>
      </w:r>
      <w:r w:rsidR="00275DBD" w:rsidRPr="00546330">
        <w:rPr>
          <w:lang w:val="fr-FR"/>
        </w:rPr>
        <w:t>’</w:t>
      </w:r>
      <w:r w:rsidR="00464576" w:rsidRPr="00546330">
        <w:rPr>
          <w:lang w:val="fr-FR"/>
        </w:rPr>
        <w:t>examen de la Plateforme à l</w:t>
      </w:r>
      <w:r w:rsidR="00275DBD" w:rsidRPr="00546330">
        <w:rPr>
          <w:lang w:val="fr-FR"/>
        </w:rPr>
        <w:t>’</w:t>
      </w:r>
      <w:r w:rsidR="00464576" w:rsidRPr="00546330">
        <w:rPr>
          <w:lang w:val="fr-FR"/>
        </w:rPr>
        <w:t>issue de son premier programme de travail ;</w:t>
      </w:r>
    </w:p>
    <w:p w14:paraId="2957E1FC" w14:textId="291A330F" w:rsidR="00464576" w:rsidRPr="00546330" w:rsidRDefault="00FF159A" w:rsidP="00464576">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546330">
        <w:rPr>
          <w:lang w:val="fr-FR"/>
        </w:rPr>
        <w:t>3</w:t>
      </w:r>
      <w:r w:rsidR="00464576" w:rsidRPr="00546330">
        <w:rPr>
          <w:lang w:val="fr-FR"/>
        </w:rPr>
        <w:t>.</w:t>
      </w:r>
      <w:r w:rsidR="00464576" w:rsidRPr="00546330">
        <w:rPr>
          <w:lang w:val="fr-FR"/>
        </w:rPr>
        <w:tab/>
      </w:r>
      <w:r w:rsidR="00464576" w:rsidRPr="00546330">
        <w:rPr>
          <w:i/>
          <w:iCs/>
          <w:lang w:val="fr-FR"/>
        </w:rPr>
        <w:t xml:space="preserve">Prie </w:t>
      </w:r>
      <w:r w:rsidR="00464576" w:rsidRPr="00546330">
        <w:rPr>
          <w:lang w:val="fr-FR"/>
        </w:rPr>
        <w:t>le Bureau et le Groupe d</w:t>
      </w:r>
      <w:r w:rsidR="00275DBD" w:rsidRPr="00546330">
        <w:rPr>
          <w:lang w:val="fr-FR"/>
        </w:rPr>
        <w:t>’</w:t>
      </w:r>
      <w:r w:rsidR="00464576" w:rsidRPr="00546330">
        <w:rPr>
          <w:lang w:val="fr-FR"/>
        </w:rPr>
        <w:t>experts multidisciplinaire de se pencher sur le processus d</w:t>
      </w:r>
      <w:r w:rsidR="00275DBD" w:rsidRPr="00546330">
        <w:rPr>
          <w:lang w:val="fr-FR"/>
        </w:rPr>
        <w:t>’</w:t>
      </w:r>
      <w:r w:rsidR="00464576" w:rsidRPr="00546330">
        <w:rPr>
          <w:lang w:val="fr-FR"/>
        </w:rPr>
        <w:t>examen de la Plateforme à l</w:t>
      </w:r>
      <w:r w:rsidR="00275DBD" w:rsidRPr="00546330">
        <w:rPr>
          <w:lang w:val="fr-FR"/>
        </w:rPr>
        <w:t>’</w:t>
      </w:r>
      <w:r w:rsidR="00464576" w:rsidRPr="00546330">
        <w:rPr>
          <w:lang w:val="fr-FR"/>
        </w:rPr>
        <w:t xml:space="preserve">issue de son premier programme de travail, compte tenu des vues exprimées par les membres et les parties prenantes de la Plateforme dans le cadre </w:t>
      </w:r>
      <w:r w:rsidR="00881550" w:rsidRPr="00546330">
        <w:rPr>
          <w:lang w:val="fr-FR"/>
        </w:rPr>
        <w:t>du processus visé au paragraphe </w:t>
      </w:r>
      <w:r w:rsidR="00464576" w:rsidRPr="00546330">
        <w:rPr>
          <w:lang w:val="fr-FR"/>
        </w:rPr>
        <w:t>1 de la présente section ;</w:t>
      </w:r>
    </w:p>
    <w:p w14:paraId="2B854435" w14:textId="0F931E81" w:rsidR="00464576" w:rsidRPr="00546330" w:rsidRDefault="00FF159A" w:rsidP="00464576">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fr-FR"/>
        </w:rPr>
      </w:pPr>
      <w:r w:rsidRPr="00546330">
        <w:rPr>
          <w:lang w:val="fr-FR"/>
        </w:rPr>
        <w:t>4</w:t>
      </w:r>
      <w:r w:rsidR="00464576" w:rsidRPr="00546330">
        <w:rPr>
          <w:lang w:val="fr-FR"/>
        </w:rPr>
        <w:t>.</w:t>
      </w:r>
      <w:r w:rsidR="00464576" w:rsidRPr="00546330">
        <w:rPr>
          <w:lang w:val="fr-FR"/>
        </w:rPr>
        <w:tab/>
      </w:r>
      <w:r w:rsidR="00464576" w:rsidRPr="00546330">
        <w:rPr>
          <w:i/>
          <w:iCs/>
          <w:lang w:val="fr-FR"/>
        </w:rPr>
        <w:t>Prie également</w:t>
      </w:r>
      <w:r w:rsidR="00464576" w:rsidRPr="00546330">
        <w:rPr>
          <w:lang w:val="fr-FR"/>
        </w:rPr>
        <w:t xml:space="preserve"> le Bureau et le Groupe d</w:t>
      </w:r>
      <w:r w:rsidR="00275DBD" w:rsidRPr="00546330">
        <w:rPr>
          <w:lang w:val="fr-FR"/>
        </w:rPr>
        <w:t>’</w:t>
      </w:r>
      <w:r w:rsidR="00464576" w:rsidRPr="00546330">
        <w:rPr>
          <w:lang w:val="fr-FR"/>
        </w:rPr>
        <w:t>experts multidisciplinaire d</w:t>
      </w:r>
      <w:r w:rsidR="00275DBD" w:rsidRPr="00546330">
        <w:rPr>
          <w:lang w:val="fr-FR"/>
        </w:rPr>
        <w:t>’</w:t>
      </w:r>
      <w:r w:rsidR="00464576" w:rsidRPr="00546330">
        <w:rPr>
          <w:lang w:val="fr-FR"/>
        </w:rPr>
        <w:t>élaborer un projet de mandat concernant l</w:t>
      </w:r>
      <w:r w:rsidR="00275DBD" w:rsidRPr="00546330">
        <w:rPr>
          <w:lang w:val="fr-FR"/>
        </w:rPr>
        <w:t>’</w:t>
      </w:r>
      <w:r w:rsidR="00464576" w:rsidRPr="00546330">
        <w:rPr>
          <w:lang w:val="fr-FR"/>
        </w:rPr>
        <w:t>examen à mi-parcours des activités de la Plateforme, qu</w:t>
      </w:r>
      <w:r w:rsidR="00275DBD" w:rsidRPr="00546330">
        <w:rPr>
          <w:lang w:val="fr-FR"/>
        </w:rPr>
        <w:t>’</w:t>
      </w:r>
      <w:r w:rsidR="00881550" w:rsidRPr="00546330">
        <w:rPr>
          <w:lang w:val="fr-FR"/>
        </w:rPr>
        <w:t>elle examinera à sa neuvième </w:t>
      </w:r>
      <w:r w:rsidR="001E3656">
        <w:rPr>
          <w:lang w:val="fr-FR"/>
        </w:rPr>
        <w:t>session ;</w:t>
      </w:r>
    </w:p>
    <w:p w14:paraId="32967FEB" w14:textId="77777777" w:rsidR="00464576" w:rsidRPr="00546330" w:rsidRDefault="00464576" w:rsidP="00464576">
      <w:pPr>
        <w:pStyle w:val="Normal-pool"/>
        <w:keepNext/>
        <w:keepLines/>
        <w:spacing w:before="240" w:after="120"/>
        <w:ind w:left="1886"/>
        <w:jc w:val="center"/>
        <w:rPr>
          <w:b/>
          <w:lang w:val="fr-FR"/>
        </w:rPr>
      </w:pPr>
      <w:r w:rsidRPr="00546330">
        <w:rPr>
          <w:b/>
          <w:bCs/>
          <w:lang w:val="fr-FR"/>
        </w:rPr>
        <w:t>VII</w:t>
      </w:r>
    </w:p>
    <w:p w14:paraId="52B62BF8" w14:textId="77777777" w:rsidR="00464576" w:rsidRPr="00546330" w:rsidRDefault="00464576" w:rsidP="00464576">
      <w:pPr>
        <w:pStyle w:val="Normal-pool"/>
        <w:keepNext/>
        <w:keepLines/>
        <w:spacing w:after="120"/>
        <w:ind w:left="1886"/>
        <w:jc w:val="center"/>
        <w:rPr>
          <w:b/>
          <w:lang w:val="fr-FR"/>
        </w:rPr>
      </w:pPr>
      <w:r w:rsidRPr="00546330">
        <w:rPr>
          <w:b/>
          <w:bCs/>
          <w:lang w:val="fr-FR"/>
        </w:rPr>
        <w:t>Appui technique au programme de travail</w:t>
      </w:r>
    </w:p>
    <w:p w14:paraId="31C19B84" w14:textId="51B144DE" w:rsidR="00464576" w:rsidRPr="00546330" w:rsidRDefault="00464576" w:rsidP="00464576">
      <w:pPr>
        <w:pStyle w:val="Normal-pool"/>
        <w:spacing w:after="120"/>
        <w:ind w:left="1871" w:firstLine="624"/>
        <w:rPr>
          <w:lang w:val="fr-FR"/>
        </w:rPr>
      </w:pPr>
      <w:r w:rsidRPr="00546330">
        <w:rPr>
          <w:i/>
          <w:iCs/>
          <w:lang w:val="fr-FR"/>
        </w:rPr>
        <w:t xml:space="preserve">Prie </w:t>
      </w:r>
      <w:r w:rsidRPr="00546330">
        <w:rPr>
          <w:lang w:val="fr-FR"/>
        </w:rPr>
        <w:t>le secrétariat de mettre en place, en consultation avec le Bureau et dans les limites du budget approuvé figurant dans l</w:t>
      </w:r>
      <w:r w:rsidR="00275DBD" w:rsidRPr="00546330">
        <w:rPr>
          <w:lang w:val="fr-FR"/>
        </w:rPr>
        <w:t>’</w:t>
      </w:r>
      <w:r w:rsidRPr="00546330">
        <w:rPr>
          <w:lang w:val="fr-FR"/>
        </w:rPr>
        <w:t>annexe de la décision IPBES-7/[</w:t>
      </w:r>
      <w:r w:rsidR="00AE5B70" w:rsidRPr="00546330">
        <w:rPr>
          <w:lang w:val="fr-FR"/>
        </w:rPr>
        <w:t xml:space="preserve"> </w:t>
      </w:r>
      <w:r w:rsidRPr="00546330">
        <w:rPr>
          <w:lang w:val="fr-FR"/>
        </w:rPr>
        <w:t xml:space="preserve">  ], les dispositions institutionnelles nécessaires à la mise en œuvre de l</w:t>
      </w:r>
      <w:r w:rsidR="00275DBD" w:rsidRPr="00546330">
        <w:rPr>
          <w:lang w:val="fr-FR"/>
        </w:rPr>
        <w:t>’</w:t>
      </w:r>
      <w:r w:rsidRPr="00546330">
        <w:rPr>
          <w:lang w:val="fr-FR"/>
        </w:rPr>
        <w:t>appui technique requis pour le programme de travail.</w:t>
      </w:r>
    </w:p>
    <w:p w14:paraId="18ABE3B9" w14:textId="54CDA386" w:rsidR="00354680" w:rsidRPr="00546330" w:rsidRDefault="00354680">
      <w:pPr>
        <w:tabs>
          <w:tab w:val="clear" w:pos="1247"/>
          <w:tab w:val="clear" w:pos="1814"/>
          <w:tab w:val="clear" w:pos="2381"/>
          <w:tab w:val="clear" w:pos="2948"/>
          <w:tab w:val="clear" w:pos="3515"/>
        </w:tabs>
        <w:rPr>
          <w:i/>
          <w:iCs/>
        </w:rPr>
      </w:pPr>
      <w:r w:rsidRPr="00546330">
        <w:rPr>
          <w:i/>
          <w:iCs/>
        </w:rPr>
        <w:br w:type="page"/>
      </w:r>
    </w:p>
    <w:p w14:paraId="6B77E94C" w14:textId="71E7154B" w:rsidR="00464576" w:rsidRPr="00546330" w:rsidRDefault="00464576" w:rsidP="00AE5B70">
      <w:pPr>
        <w:pStyle w:val="CH1"/>
        <w:numPr>
          <w:ilvl w:val="0"/>
          <w:numId w:val="8"/>
        </w:numPr>
        <w:tabs>
          <w:tab w:val="clear" w:pos="851"/>
        </w:tabs>
        <w:ind w:hanging="648"/>
        <w:rPr>
          <w:sz w:val="20"/>
          <w:szCs w:val="20"/>
          <w:lang w:val="fr-FR"/>
        </w:rPr>
      </w:pPr>
      <w:r w:rsidRPr="00546330">
        <w:rPr>
          <w:lang w:val="fr-FR"/>
        </w:rPr>
        <w:t>Projet de décision : Dispositifs financiers et budgétaires</w:t>
      </w:r>
    </w:p>
    <w:p w14:paraId="723DFA59" w14:textId="2E514083" w:rsidR="00464576" w:rsidRPr="00546330" w:rsidRDefault="00464576" w:rsidP="00464576">
      <w:pPr>
        <w:pStyle w:val="Normalnumber"/>
        <w:numPr>
          <w:ilvl w:val="0"/>
          <w:numId w:val="6"/>
        </w:numPr>
        <w:tabs>
          <w:tab w:val="clear" w:pos="1247"/>
          <w:tab w:val="clear" w:pos="1814"/>
          <w:tab w:val="clear" w:pos="2381"/>
          <w:tab w:val="clear" w:pos="2948"/>
          <w:tab w:val="clear" w:pos="3515"/>
          <w:tab w:val="clear" w:pos="4082"/>
          <w:tab w:val="left" w:pos="624"/>
        </w:tabs>
        <w:ind w:left="1247" w:firstLine="0"/>
        <w:rPr>
          <w:lang w:val="fr-FR"/>
        </w:rPr>
      </w:pPr>
      <w:r w:rsidRPr="00546330">
        <w:rPr>
          <w:lang w:val="fr-FR"/>
        </w:rPr>
        <w:t>La Plénière souhaitera peut-être examiner le projet de décision ci-après, qui porte sur les dispositifs financiers et budgétaires et relève du point</w:t>
      </w:r>
      <w:r w:rsidR="008B0064" w:rsidRPr="00546330">
        <w:rPr>
          <w:lang w:val="fr-FR"/>
        </w:rPr>
        <w:t> </w:t>
      </w:r>
      <w:r w:rsidRPr="00546330">
        <w:rPr>
          <w:lang w:val="fr-FR"/>
        </w:rPr>
        <w:t>7 de l</w:t>
      </w:r>
      <w:r w:rsidR="00275DBD" w:rsidRPr="00546330">
        <w:rPr>
          <w:lang w:val="fr-FR"/>
        </w:rPr>
        <w:t>’</w:t>
      </w:r>
      <w:r w:rsidRPr="00546330">
        <w:rPr>
          <w:lang w:val="fr-FR"/>
        </w:rPr>
        <w:t>ordre du jour provisoire :</w:t>
      </w:r>
    </w:p>
    <w:p w14:paraId="4EBA1E58" w14:textId="77777777" w:rsidR="00464576" w:rsidRPr="00546330" w:rsidRDefault="00464576" w:rsidP="00464576">
      <w:pPr>
        <w:pStyle w:val="Normal-pool"/>
        <w:keepNext/>
        <w:tabs>
          <w:tab w:val="clear" w:pos="1247"/>
          <w:tab w:val="clear" w:pos="1814"/>
          <w:tab w:val="clear" w:pos="2381"/>
          <w:tab w:val="clear" w:pos="2948"/>
          <w:tab w:val="clear" w:pos="3515"/>
          <w:tab w:val="left" w:pos="624"/>
        </w:tabs>
        <w:spacing w:after="120"/>
        <w:ind w:left="1871" w:firstLine="624"/>
        <w:rPr>
          <w:i/>
          <w:lang w:val="fr-FR"/>
        </w:rPr>
      </w:pPr>
      <w:r w:rsidRPr="00546330">
        <w:rPr>
          <w:i/>
          <w:iCs/>
          <w:lang w:val="fr-FR"/>
        </w:rPr>
        <w:t>La Plénière,</w:t>
      </w:r>
    </w:p>
    <w:p w14:paraId="552AF31B" w14:textId="1DFE8CCD" w:rsidR="00464576" w:rsidRPr="00546330" w:rsidRDefault="00464576" w:rsidP="00464576">
      <w:pPr>
        <w:pStyle w:val="Normal-pool"/>
        <w:keepNext/>
        <w:tabs>
          <w:tab w:val="clear" w:pos="1247"/>
          <w:tab w:val="clear" w:pos="1814"/>
          <w:tab w:val="clear" w:pos="2381"/>
          <w:tab w:val="clear" w:pos="2948"/>
          <w:tab w:val="clear" w:pos="3515"/>
          <w:tab w:val="clear" w:pos="4082"/>
          <w:tab w:val="left" w:pos="624"/>
        </w:tabs>
        <w:spacing w:after="120"/>
        <w:ind w:left="1871" w:firstLine="624"/>
        <w:rPr>
          <w:lang w:val="fr-FR"/>
        </w:rPr>
      </w:pPr>
      <w:bookmarkStart w:id="3" w:name="_Hlk535846233"/>
      <w:r w:rsidRPr="00546330">
        <w:rPr>
          <w:i/>
          <w:iCs/>
          <w:lang w:val="fr-FR"/>
        </w:rPr>
        <w:t>Se félicitant</w:t>
      </w:r>
      <w:r w:rsidRPr="00546330">
        <w:rPr>
          <w:lang w:val="fr-FR"/>
        </w:rPr>
        <w:t xml:space="preserve"> des contributions en espèces et en nature reçues depuis sa sixième</w:t>
      </w:r>
      <w:r w:rsidR="008B0064" w:rsidRPr="00546330">
        <w:rPr>
          <w:lang w:val="fr-FR"/>
        </w:rPr>
        <w:t> </w:t>
      </w:r>
      <w:r w:rsidRPr="00546330">
        <w:rPr>
          <w:lang w:val="fr-FR"/>
        </w:rPr>
        <w:t>session,</w:t>
      </w:r>
    </w:p>
    <w:p w14:paraId="6BBD242E" w14:textId="48A3CC8E"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546330">
        <w:rPr>
          <w:i/>
          <w:iCs/>
          <w:lang w:val="fr-FR"/>
        </w:rPr>
        <w:t>Prenant note</w:t>
      </w:r>
      <w:r w:rsidRPr="00546330">
        <w:rPr>
          <w:lang w:val="fr-FR"/>
        </w:rPr>
        <w:t xml:space="preserve"> de l</w:t>
      </w:r>
      <w:r w:rsidR="00275DBD" w:rsidRPr="00546330">
        <w:rPr>
          <w:lang w:val="fr-FR"/>
        </w:rPr>
        <w:t>’</w:t>
      </w:r>
      <w:r w:rsidRPr="00546330">
        <w:rPr>
          <w:lang w:val="fr-FR"/>
        </w:rPr>
        <w:t>état des contributions en espèces et en nature reçues à ce jour, qui figure dans les tableaux [   ], [   ] et [   ] de l</w:t>
      </w:r>
      <w:r w:rsidR="00275DBD" w:rsidRPr="00546330">
        <w:rPr>
          <w:lang w:val="fr-FR"/>
        </w:rPr>
        <w:t>’</w:t>
      </w:r>
      <w:r w:rsidRPr="00546330">
        <w:rPr>
          <w:lang w:val="fr-FR"/>
        </w:rPr>
        <w:t>annexe de la présente décision</w:t>
      </w:r>
      <w:r w:rsidRPr="00546330">
        <w:rPr>
          <w:szCs w:val="18"/>
          <w:vertAlign w:val="superscript"/>
          <w:lang w:val="fr-FR"/>
        </w:rPr>
        <w:footnoteReference w:id="33"/>
      </w:r>
      <w:r w:rsidRPr="00546330">
        <w:rPr>
          <w:lang w:val="fr-FR"/>
        </w:rPr>
        <w:t>,</w:t>
      </w:r>
    </w:p>
    <w:p w14:paraId="5221DC97" w14:textId="77777777"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546330">
        <w:rPr>
          <w:i/>
          <w:iCs/>
          <w:lang w:val="fr-FR"/>
        </w:rPr>
        <w:t xml:space="preserve">Prenant note également </w:t>
      </w:r>
      <w:r w:rsidRPr="00546330">
        <w:rPr>
          <w:lang w:val="fr-FR"/>
        </w:rPr>
        <w:t>des annonces de contributions pour la période allant au</w:t>
      </w:r>
      <w:r w:rsidRPr="00546330">
        <w:rPr>
          <w:lang w:val="fr-FR"/>
        </w:rPr>
        <w:noBreakHyphen/>
        <w:t>delà de 2018,</w:t>
      </w:r>
    </w:p>
    <w:p w14:paraId="78186BA3" w14:textId="23846778"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546330">
        <w:rPr>
          <w:i/>
          <w:iCs/>
          <w:lang w:val="fr-FR"/>
        </w:rPr>
        <w:t>Prenant note en outre</w:t>
      </w:r>
      <w:r w:rsidRPr="00546330">
        <w:rPr>
          <w:lang w:val="fr-FR"/>
        </w:rPr>
        <w:t xml:space="preserve"> de l</w:t>
      </w:r>
      <w:r w:rsidR="00275DBD" w:rsidRPr="00546330">
        <w:rPr>
          <w:lang w:val="fr-FR"/>
        </w:rPr>
        <w:t>’</w:t>
      </w:r>
      <w:r w:rsidRPr="00546330">
        <w:rPr>
          <w:lang w:val="fr-FR"/>
        </w:rPr>
        <w:t>état des dépenses de l</w:t>
      </w:r>
      <w:r w:rsidR="00275DBD" w:rsidRPr="00546330">
        <w:rPr>
          <w:lang w:val="fr-FR"/>
        </w:rPr>
        <w:t>’</w:t>
      </w:r>
      <w:r w:rsidR="00881550" w:rsidRPr="00546330">
        <w:rPr>
          <w:lang w:val="fr-FR"/>
        </w:rPr>
        <w:t>exercice biennal </w:t>
      </w:r>
      <w:r w:rsidRPr="00546330">
        <w:rPr>
          <w:lang w:val="fr-FR"/>
        </w:rPr>
        <w:t>2017</w:t>
      </w:r>
      <w:r w:rsidR="00725844" w:rsidRPr="00546330">
        <w:rPr>
          <w:color w:val="000000"/>
          <w:lang w:val="fr-FR"/>
        </w:rPr>
        <w:t>–</w:t>
      </w:r>
      <w:r w:rsidRPr="00546330">
        <w:rPr>
          <w:lang w:val="fr-FR"/>
        </w:rPr>
        <w:t>2018, qui figure dans les tableaux [   ] et [   ] de l</w:t>
      </w:r>
      <w:r w:rsidR="00275DBD" w:rsidRPr="00546330">
        <w:rPr>
          <w:lang w:val="fr-FR"/>
        </w:rPr>
        <w:t>’</w:t>
      </w:r>
      <w:r w:rsidRPr="00546330">
        <w:rPr>
          <w:lang w:val="fr-FR"/>
        </w:rPr>
        <w:t>annexe de la présente décision</w:t>
      </w:r>
      <w:r w:rsidRPr="00546330">
        <w:rPr>
          <w:szCs w:val="18"/>
          <w:vertAlign w:val="superscript"/>
          <w:lang w:val="fr-FR"/>
        </w:rPr>
        <w:footnoteReference w:id="34"/>
      </w:r>
      <w:r w:rsidRPr="00546330">
        <w:rPr>
          <w:lang w:val="fr-FR"/>
        </w:rPr>
        <w:t>, ainsi que des économies réalisées au cours de l</w:t>
      </w:r>
      <w:r w:rsidR="00275DBD" w:rsidRPr="00546330">
        <w:rPr>
          <w:lang w:val="fr-FR"/>
        </w:rPr>
        <w:t>’</w:t>
      </w:r>
      <w:r w:rsidRPr="00546330">
        <w:rPr>
          <w:lang w:val="fr-FR"/>
        </w:rPr>
        <w:t>exercice biennal,</w:t>
      </w:r>
    </w:p>
    <w:p w14:paraId="5BE643CD" w14:textId="20EF059C"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546330">
        <w:rPr>
          <w:lang w:val="fr-FR"/>
        </w:rPr>
        <w:t>1.</w:t>
      </w:r>
      <w:r w:rsidRPr="00546330">
        <w:rPr>
          <w:lang w:val="fr-FR"/>
        </w:rPr>
        <w:tab/>
      </w:r>
      <w:r w:rsidRPr="00546330">
        <w:rPr>
          <w:i/>
          <w:iCs/>
          <w:lang w:val="fr-FR"/>
        </w:rPr>
        <w:t xml:space="preserve">Invite </w:t>
      </w:r>
      <w:r w:rsidRPr="00546330">
        <w:rPr>
          <w:lang w:val="fr-FR"/>
        </w:rPr>
        <w:t>les gouvernements, les organismes des Nations Unies, le Fonds pour l</w:t>
      </w:r>
      <w:r w:rsidR="00275DBD" w:rsidRPr="00546330">
        <w:rPr>
          <w:lang w:val="fr-FR"/>
        </w:rPr>
        <w:t>’</w:t>
      </w:r>
      <w:r w:rsidRPr="00546330">
        <w:rPr>
          <w:lang w:val="fr-FR"/>
        </w:rPr>
        <w:t>environnement mondial, d</w:t>
      </w:r>
      <w:r w:rsidR="00275DBD" w:rsidRPr="00546330">
        <w:rPr>
          <w:lang w:val="fr-FR"/>
        </w:rPr>
        <w:t>’</w:t>
      </w:r>
      <w:r w:rsidRPr="00546330">
        <w:rPr>
          <w:lang w:val="fr-FR"/>
        </w:rPr>
        <w:t>autres organisations intergouvernementales, les parties prenantes et autres entités en mesure de le faire, notamment les organisations régionales d</w:t>
      </w:r>
      <w:r w:rsidR="00275DBD" w:rsidRPr="00546330">
        <w:rPr>
          <w:lang w:val="fr-FR"/>
        </w:rPr>
        <w:t>’</w:t>
      </w:r>
      <w:r w:rsidRPr="00546330">
        <w:rPr>
          <w:lang w:val="fr-FR"/>
        </w:rPr>
        <w:t>intégration économique, le secteur privé et les fondations, à annoncer et à verser des contributions au Fonds d</w:t>
      </w:r>
      <w:r w:rsidR="00275DBD" w:rsidRPr="00546330">
        <w:rPr>
          <w:lang w:val="fr-FR"/>
        </w:rPr>
        <w:t>’</w:t>
      </w:r>
      <w:r w:rsidRPr="00546330">
        <w:rPr>
          <w:lang w:val="fr-FR"/>
        </w:rPr>
        <w:t>affectation spéciale et à apporter des contributions en nature pour appuyer les activités de la Plateforme ;</w:t>
      </w:r>
    </w:p>
    <w:p w14:paraId="2BC3E56B" w14:textId="297AF45C"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fr-FR"/>
        </w:rPr>
      </w:pPr>
      <w:r w:rsidRPr="00546330">
        <w:rPr>
          <w:lang w:val="fr-FR"/>
        </w:rPr>
        <w:t>2.</w:t>
      </w:r>
      <w:r w:rsidRPr="00546330">
        <w:rPr>
          <w:lang w:val="fr-FR"/>
        </w:rPr>
        <w:tab/>
      </w:r>
      <w:r w:rsidRPr="00546330">
        <w:rPr>
          <w:i/>
          <w:iCs/>
          <w:lang w:val="fr-FR"/>
        </w:rPr>
        <w:t xml:space="preserve">Prie </w:t>
      </w:r>
      <w:r w:rsidRPr="00546330">
        <w:rPr>
          <w:lang w:val="fr-FR"/>
        </w:rPr>
        <w:t>la Secrétaire exécutive, agissant sous la direction du Bureau, de lui faire rapport à sa huitième session sur les dépenses de l</w:t>
      </w:r>
      <w:r w:rsidR="00275DBD" w:rsidRPr="00546330">
        <w:rPr>
          <w:lang w:val="fr-FR"/>
        </w:rPr>
        <w:t>’</w:t>
      </w:r>
      <w:r w:rsidR="00881550" w:rsidRPr="00546330">
        <w:rPr>
          <w:lang w:val="fr-FR"/>
        </w:rPr>
        <w:t>exercice biennal </w:t>
      </w:r>
      <w:r w:rsidRPr="00546330">
        <w:rPr>
          <w:lang w:val="fr-FR"/>
        </w:rPr>
        <w:t>2018</w:t>
      </w:r>
      <w:r w:rsidR="00725844" w:rsidRPr="00546330">
        <w:rPr>
          <w:color w:val="000000"/>
          <w:lang w:val="fr-FR"/>
        </w:rPr>
        <w:t>–</w:t>
      </w:r>
      <w:r w:rsidRPr="00546330">
        <w:rPr>
          <w:lang w:val="fr-FR"/>
        </w:rPr>
        <w:t>2019 et sur les activités menées pour recueillir des fonds ;</w:t>
      </w:r>
    </w:p>
    <w:p w14:paraId="1544FA76" w14:textId="36AC840E"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fr-FR"/>
        </w:rPr>
      </w:pPr>
      <w:r w:rsidRPr="00546330">
        <w:rPr>
          <w:lang w:val="fr-FR"/>
        </w:rPr>
        <w:t>3.</w:t>
      </w:r>
      <w:r w:rsidRPr="00546330">
        <w:rPr>
          <w:lang w:val="fr-FR"/>
        </w:rPr>
        <w:tab/>
      </w:r>
      <w:r w:rsidRPr="00546330">
        <w:rPr>
          <w:i/>
          <w:iCs/>
          <w:lang w:val="fr-FR"/>
        </w:rPr>
        <w:t xml:space="preserve">Adopte </w:t>
      </w:r>
      <w:r w:rsidRPr="00546330">
        <w:rPr>
          <w:lang w:val="fr-FR"/>
        </w:rPr>
        <w:t>le budget révisé de 2019</w:t>
      </w:r>
      <w:r w:rsidRPr="00546330">
        <w:rPr>
          <w:szCs w:val="18"/>
          <w:vertAlign w:val="superscript"/>
          <w:lang w:val="fr-FR"/>
        </w:rPr>
        <w:footnoteReference w:id="35"/>
      </w:r>
      <w:r w:rsidRPr="00546330">
        <w:rPr>
          <w:lang w:val="fr-FR"/>
        </w:rPr>
        <w:t>, d</w:t>
      </w:r>
      <w:r w:rsidR="00275DBD" w:rsidRPr="00546330">
        <w:rPr>
          <w:lang w:val="fr-FR"/>
        </w:rPr>
        <w:t>’</w:t>
      </w:r>
      <w:r w:rsidRPr="00546330">
        <w:rPr>
          <w:lang w:val="fr-FR"/>
        </w:rPr>
        <w:t xml:space="preserve">un montant de [ </w:t>
      </w:r>
      <w:r w:rsidR="00AE5B70" w:rsidRPr="00546330">
        <w:rPr>
          <w:lang w:val="fr-FR"/>
        </w:rPr>
        <w:t xml:space="preserve"> </w:t>
      </w:r>
      <w:r w:rsidRPr="00546330">
        <w:rPr>
          <w:lang w:val="fr-FR"/>
        </w:rPr>
        <w:t xml:space="preserve"> ] dollars, qui figure au tableau [  ] de l</w:t>
      </w:r>
      <w:r w:rsidR="00275DBD" w:rsidRPr="00546330">
        <w:rPr>
          <w:lang w:val="fr-FR"/>
        </w:rPr>
        <w:t>’</w:t>
      </w:r>
      <w:r w:rsidRPr="00546330">
        <w:rPr>
          <w:lang w:val="fr-FR"/>
        </w:rPr>
        <w:t>annexe de la présente décision ;</w:t>
      </w:r>
    </w:p>
    <w:p w14:paraId="12494A60" w14:textId="66AB9BF2"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fr-FR"/>
        </w:rPr>
      </w:pPr>
      <w:r w:rsidRPr="00546330">
        <w:rPr>
          <w:lang w:val="fr-FR"/>
        </w:rPr>
        <w:t>4.</w:t>
      </w:r>
      <w:r w:rsidRPr="00546330">
        <w:rPr>
          <w:lang w:val="fr-FR"/>
        </w:rPr>
        <w:tab/>
      </w:r>
      <w:r w:rsidRPr="00546330">
        <w:rPr>
          <w:i/>
          <w:iCs/>
          <w:lang w:val="fr-FR"/>
        </w:rPr>
        <w:t>Adopte également</w:t>
      </w:r>
      <w:r w:rsidRPr="00546330">
        <w:rPr>
          <w:lang w:val="fr-FR"/>
        </w:rPr>
        <w:t xml:space="preserve"> le projet de budget pour 2020</w:t>
      </w:r>
      <w:r w:rsidRPr="00546330">
        <w:rPr>
          <w:szCs w:val="18"/>
          <w:vertAlign w:val="superscript"/>
          <w:lang w:val="fr-FR"/>
        </w:rPr>
        <w:footnoteReference w:id="36"/>
      </w:r>
      <w:r w:rsidRPr="00546330">
        <w:rPr>
          <w:lang w:val="fr-FR"/>
        </w:rPr>
        <w:t>, d</w:t>
      </w:r>
      <w:r w:rsidR="00275DBD" w:rsidRPr="00546330">
        <w:rPr>
          <w:lang w:val="fr-FR"/>
        </w:rPr>
        <w:t>’</w:t>
      </w:r>
      <w:r w:rsidRPr="00546330">
        <w:rPr>
          <w:lang w:val="fr-FR"/>
        </w:rPr>
        <w:t xml:space="preserve">un montant de [ </w:t>
      </w:r>
      <w:r w:rsidR="00AE5B70" w:rsidRPr="00546330">
        <w:rPr>
          <w:lang w:val="fr-FR"/>
        </w:rPr>
        <w:t xml:space="preserve"> </w:t>
      </w:r>
      <w:r w:rsidRPr="00546330">
        <w:rPr>
          <w:lang w:val="fr-FR"/>
        </w:rPr>
        <w:t xml:space="preserve"> ] dollars, qui figure au tableau [  </w:t>
      </w:r>
      <w:r w:rsidR="00AE5B70" w:rsidRPr="00546330">
        <w:rPr>
          <w:lang w:val="fr-FR"/>
        </w:rPr>
        <w:t xml:space="preserve"> </w:t>
      </w:r>
      <w:r w:rsidRPr="00546330">
        <w:rPr>
          <w:lang w:val="fr-FR"/>
        </w:rPr>
        <w:t>] de l</w:t>
      </w:r>
      <w:r w:rsidR="00275DBD" w:rsidRPr="00546330">
        <w:rPr>
          <w:lang w:val="fr-FR"/>
        </w:rPr>
        <w:t>’</w:t>
      </w:r>
      <w:r w:rsidRPr="00546330">
        <w:rPr>
          <w:lang w:val="fr-FR"/>
        </w:rPr>
        <w:t>annexe de la présente décision</w:t>
      </w:r>
      <w:r w:rsidR="00725844" w:rsidRPr="00546330">
        <w:rPr>
          <w:lang w:val="fr-FR"/>
        </w:rPr>
        <w:t>.</w:t>
      </w:r>
    </w:p>
    <w:bookmarkEnd w:id="3"/>
    <w:p w14:paraId="20B6FF9F" w14:textId="1C95893E" w:rsidR="00464576" w:rsidRPr="00546330" w:rsidRDefault="00464576" w:rsidP="00AE5B70">
      <w:pPr>
        <w:pStyle w:val="CH1"/>
        <w:numPr>
          <w:ilvl w:val="0"/>
          <w:numId w:val="8"/>
        </w:numPr>
        <w:tabs>
          <w:tab w:val="clear" w:pos="851"/>
        </w:tabs>
        <w:ind w:hanging="648"/>
        <w:rPr>
          <w:lang w:val="fr-FR"/>
        </w:rPr>
      </w:pPr>
      <w:r w:rsidRPr="00546330">
        <w:rPr>
          <w:bCs/>
          <w:lang w:val="fr-FR"/>
        </w:rPr>
        <w:t>Projet de décision : Organisation des travaux de la Plénière et date et lieu de ses futures sessions</w:t>
      </w:r>
    </w:p>
    <w:p w14:paraId="277939D3" w14:textId="41A6B3A0" w:rsidR="00464576" w:rsidRPr="00546330" w:rsidRDefault="00464576" w:rsidP="00464576">
      <w:pPr>
        <w:pStyle w:val="Normalnumber"/>
        <w:numPr>
          <w:ilvl w:val="0"/>
          <w:numId w:val="6"/>
        </w:numPr>
        <w:tabs>
          <w:tab w:val="clear" w:pos="1247"/>
          <w:tab w:val="clear" w:pos="1814"/>
          <w:tab w:val="clear" w:pos="2381"/>
          <w:tab w:val="clear" w:pos="2948"/>
          <w:tab w:val="clear" w:pos="3515"/>
          <w:tab w:val="clear" w:pos="4082"/>
          <w:tab w:val="left" w:pos="624"/>
        </w:tabs>
        <w:ind w:left="1247" w:firstLine="0"/>
        <w:rPr>
          <w:color w:val="000000"/>
          <w:lang w:val="fr-FR"/>
        </w:rPr>
      </w:pPr>
      <w:r w:rsidRPr="00546330">
        <w:rPr>
          <w:lang w:val="fr-FR"/>
        </w:rPr>
        <w:t>La Plénière souhaitera peut-être examiner le projet de décision ci-après, qui porte sur l</w:t>
      </w:r>
      <w:r w:rsidR="00275DBD" w:rsidRPr="00546330">
        <w:rPr>
          <w:lang w:val="fr-FR"/>
        </w:rPr>
        <w:t>’</w:t>
      </w:r>
      <w:r w:rsidRPr="00546330">
        <w:rPr>
          <w:lang w:val="fr-FR"/>
        </w:rPr>
        <w:t>organisation de ses travaux et la date et le lieu de ses futures sessions et relève du point 10 de l</w:t>
      </w:r>
      <w:r w:rsidR="00275DBD" w:rsidRPr="00546330">
        <w:rPr>
          <w:lang w:val="fr-FR"/>
        </w:rPr>
        <w:t>’</w:t>
      </w:r>
      <w:r w:rsidRPr="00546330">
        <w:rPr>
          <w:lang w:val="fr-FR"/>
        </w:rPr>
        <w:t>ordre du jour provisoire :</w:t>
      </w:r>
    </w:p>
    <w:p w14:paraId="70AC1CEE" w14:textId="77777777" w:rsidR="00464576" w:rsidRPr="00546330" w:rsidRDefault="00464576" w:rsidP="00464576">
      <w:pPr>
        <w:pStyle w:val="Normal-pool"/>
        <w:tabs>
          <w:tab w:val="clear" w:pos="1247"/>
          <w:tab w:val="clear" w:pos="1814"/>
          <w:tab w:val="clear" w:pos="2381"/>
          <w:tab w:val="clear" w:pos="2948"/>
          <w:tab w:val="clear" w:pos="3515"/>
          <w:tab w:val="left" w:pos="624"/>
        </w:tabs>
        <w:spacing w:after="100"/>
        <w:ind w:left="1871" w:firstLine="624"/>
        <w:rPr>
          <w:i/>
          <w:lang w:val="fr-FR"/>
        </w:rPr>
      </w:pPr>
      <w:r w:rsidRPr="00546330">
        <w:rPr>
          <w:i/>
          <w:iCs/>
          <w:lang w:val="fr-FR"/>
        </w:rPr>
        <w:t>La Plénière,</w:t>
      </w:r>
    </w:p>
    <w:p w14:paraId="15DEC907" w14:textId="46633228" w:rsidR="00464576" w:rsidRPr="00546330" w:rsidRDefault="00464576" w:rsidP="00464576">
      <w:pPr>
        <w:pStyle w:val="Normal-pool"/>
        <w:numPr>
          <w:ilvl w:val="0"/>
          <w:numId w:val="7"/>
        </w:numPr>
        <w:tabs>
          <w:tab w:val="clear" w:pos="1247"/>
          <w:tab w:val="clear" w:pos="1814"/>
          <w:tab w:val="clear" w:pos="2381"/>
          <w:tab w:val="clear" w:pos="2948"/>
          <w:tab w:val="clear" w:pos="3515"/>
          <w:tab w:val="clear" w:pos="4082"/>
          <w:tab w:val="left" w:pos="624"/>
        </w:tabs>
        <w:spacing w:after="100"/>
        <w:rPr>
          <w:color w:val="000000"/>
          <w:lang w:val="fr-FR"/>
        </w:rPr>
      </w:pPr>
      <w:r w:rsidRPr="00546330">
        <w:rPr>
          <w:i/>
          <w:iCs/>
          <w:lang w:val="fr-FR"/>
        </w:rPr>
        <w:t xml:space="preserve">Décide </w:t>
      </w:r>
      <w:r w:rsidRPr="00546330">
        <w:rPr>
          <w:lang w:val="fr-FR"/>
        </w:rPr>
        <w:t xml:space="preserve">que sa huitième session se tiendra du [  </w:t>
      </w:r>
      <w:r w:rsidR="00AE5B70" w:rsidRPr="00546330">
        <w:rPr>
          <w:lang w:val="fr-FR"/>
        </w:rPr>
        <w:t xml:space="preserve"> </w:t>
      </w:r>
      <w:r w:rsidRPr="00546330">
        <w:rPr>
          <w:lang w:val="fr-FR"/>
        </w:rPr>
        <w:t xml:space="preserve">] au [ </w:t>
      </w:r>
      <w:r w:rsidR="00AE5B70" w:rsidRPr="00546330">
        <w:rPr>
          <w:lang w:val="fr-FR"/>
        </w:rPr>
        <w:t xml:space="preserve"> </w:t>
      </w:r>
      <w:r w:rsidRPr="00546330">
        <w:rPr>
          <w:lang w:val="fr-FR"/>
        </w:rPr>
        <w:t xml:space="preserve"> ] 2020</w:t>
      </w:r>
      <w:r w:rsidRPr="00546330">
        <w:rPr>
          <w:rStyle w:val="FootnoteReference"/>
          <w:lang w:val="fr-FR"/>
        </w:rPr>
        <w:footnoteReference w:id="37"/>
      </w:r>
      <w:r w:rsidRPr="00546330">
        <w:rPr>
          <w:lang w:val="fr-FR"/>
        </w:rPr>
        <w:t>;</w:t>
      </w:r>
    </w:p>
    <w:p w14:paraId="1ED2E10B" w14:textId="3AB4A3B5"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00"/>
        <w:ind w:left="1871" w:firstLine="624"/>
        <w:rPr>
          <w:lang w:val="fr-FR"/>
        </w:rPr>
      </w:pPr>
      <w:r w:rsidRPr="00546330">
        <w:rPr>
          <w:lang w:val="fr-FR"/>
        </w:rPr>
        <w:t>2.</w:t>
      </w:r>
      <w:r w:rsidRPr="00546330">
        <w:rPr>
          <w:lang w:val="fr-FR"/>
        </w:rPr>
        <w:tab/>
      </w:r>
      <w:r w:rsidRPr="00546330">
        <w:rPr>
          <w:i/>
          <w:iCs/>
          <w:lang w:val="fr-FR"/>
        </w:rPr>
        <w:t>Décide également</w:t>
      </w:r>
      <w:r w:rsidRPr="00546330">
        <w:rPr>
          <w:lang w:val="fr-FR"/>
        </w:rPr>
        <w:t xml:space="preserve"> d</w:t>
      </w:r>
      <w:r w:rsidR="00275DBD" w:rsidRPr="00546330">
        <w:rPr>
          <w:lang w:val="fr-FR"/>
        </w:rPr>
        <w:t>’</w:t>
      </w:r>
      <w:r w:rsidRPr="00546330">
        <w:rPr>
          <w:lang w:val="fr-FR"/>
        </w:rPr>
        <w:t>accepter avec gratitude l</w:t>
      </w:r>
      <w:r w:rsidR="00275DBD" w:rsidRPr="00546330">
        <w:rPr>
          <w:lang w:val="fr-FR"/>
        </w:rPr>
        <w:t>’</w:t>
      </w:r>
      <w:r w:rsidRPr="00546330">
        <w:rPr>
          <w:lang w:val="fr-FR"/>
        </w:rPr>
        <w:t xml:space="preserve">offre du Gouvernement [  </w:t>
      </w:r>
      <w:r w:rsidR="00AE5B70" w:rsidRPr="00546330">
        <w:rPr>
          <w:lang w:val="fr-FR"/>
        </w:rPr>
        <w:t xml:space="preserve"> </w:t>
      </w:r>
      <w:r w:rsidRPr="00546330">
        <w:rPr>
          <w:lang w:val="fr-FR"/>
        </w:rPr>
        <w:t>] d</w:t>
      </w:r>
      <w:r w:rsidR="00275DBD" w:rsidRPr="00546330">
        <w:rPr>
          <w:lang w:val="fr-FR"/>
        </w:rPr>
        <w:t>’</w:t>
      </w:r>
      <w:r w:rsidR="00AE5B70" w:rsidRPr="00546330">
        <w:rPr>
          <w:lang w:val="fr-FR"/>
        </w:rPr>
        <w:t>accueillir sa huitième </w:t>
      </w:r>
      <w:r w:rsidRPr="00546330">
        <w:rPr>
          <w:lang w:val="fr-FR"/>
        </w:rPr>
        <w:t>session à [</w:t>
      </w:r>
      <w:r w:rsidR="00AE5B70" w:rsidRPr="00546330">
        <w:rPr>
          <w:lang w:val="fr-FR"/>
        </w:rPr>
        <w:t xml:space="preserve"> </w:t>
      </w:r>
      <w:r w:rsidRPr="00546330">
        <w:rPr>
          <w:lang w:val="fr-FR"/>
        </w:rPr>
        <w:t xml:space="preserve">  ], sous réserve qu</w:t>
      </w:r>
      <w:r w:rsidR="00275DBD" w:rsidRPr="00546330">
        <w:rPr>
          <w:lang w:val="fr-FR"/>
        </w:rPr>
        <w:t>’</w:t>
      </w:r>
      <w:r w:rsidRPr="00546330">
        <w:rPr>
          <w:lang w:val="fr-FR"/>
        </w:rPr>
        <w:t>un accord soit conclu à cet effet avec le pays hôte ;</w:t>
      </w:r>
    </w:p>
    <w:p w14:paraId="1B10321F" w14:textId="26E5B20F"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00"/>
        <w:ind w:left="1871" w:firstLine="624"/>
        <w:rPr>
          <w:color w:val="000000"/>
          <w:lang w:val="fr-FR"/>
        </w:rPr>
      </w:pPr>
      <w:r w:rsidRPr="00546330">
        <w:rPr>
          <w:lang w:val="fr-FR"/>
        </w:rPr>
        <w:t>3.</w:t>
      </w:r>
      <w:r w:rsidRPr="00546330">
        <w:rPr>
          <w:lang w:val="fr-FR"/>
        </w:rPr>
        <w:tab/>
      </w:r>
      <w:r w:rsidRPr="00546330">
        <w:rPr>
          <w:i/>
          <w:iCs/>
          <w:lang w:val="fr-FR"/>
        </w:rPr>
        <w:t xml:space="preserve">Prie </w:t>
      </w:r>
      <w:r w:rsidRPr="00546330">
        <w:rPr>
          <w:lang w:val="fr-FR"/>
        </w:rPr>
        <w:t>la Secrétaire exécutive de tenir des consultations avec le Gouvernement [</w:t>
      </w:r>
      <w:r w:rsidR="00AE5B70" w:rsidRPr="00546330">
        <w:rPr>
          <w:lang w:val="fr-FR"/>
        </w:rPr>
        <w:t xml:space="preserve"> </w:t>
      </w:r>
      <w:r w:rsidRPr="00546330">
        <w:rPr>
          <w:lang w:val="fr-FR"/>
        </w:rPr>
        <w:t>  ] afin de négocier un accord avec le pays hôte, conformément à la résolution 40/243 de l</w:t>
      </w:r>
      <w:r w:rsidR="00275DBD" w:rsidRPr="00546330">
        <w:rPr>
          <w:lang w:val="fr-FR"/>
        </w:rPr>
        <w:t>’</w:t>
      </w:r>
      <w:r w:rsidRPr="00546330">
        <w:rPr>
          <w:lang w:val="fr-FR"/>
        </w:rPr>
        <w:t>Assemblée générale et aux dispositions de l</w:t>
      </w:r>
      <w:r w:rsidR="00275DBD" w:rsidRPr="00546330">
        <w:rPr>
          <w:lang w:val="fr-FR"/>
        </w:rPr>
        <w:t>’</w:t>
      </w:r>
      <w:r w:rsidRPr="00546330">
        <w:rPr>
          <w:lang w:val="fr-FR"/>
        </w:rPr>
        <w:t>instruction administrative ST/AI/342 de l</w:t>
      </w:r>
      <w:r w:rsidR="00275DBD" w:rsidRPr="00546330">
        <w:rPr>
          <w:lang w:val="fr-FR"/>
        </w:rPr>
        <w:t>’</w:t>
      </w:r>
      <w:r w:rsidRPr="00546330">
        <w:rPr>
          <w:lang w:val="fr-FR"/>
        </w:rPr>
        <w:t>Organisation des Nations Unies, en vue de conclure et de signer l</w:t>
      </w:r>
      <w:r w:rsidR="00275DBD" w:rsidRPr="00546330">
        <w:rPr>
          <w:lang w:val="fr-FR"/>
        </w:rPr>
        <w:t>’</w:t>
      </w:r>
      <w:r w:rsidRPr="00546330">
        <w:rPr>
          <w:lang w:val="fr-FR"/>
        </w:rPr>
        <w:t>accord avec le pays hôte dès que possible, d</w:t>
      </w:r>
      <w:r w:rsidR="00275DBD" w:rsidRPr="00546330">
        <w:rPr>
          <w:lang w:val="fr-FR"/>
        </w:rPr>
        <w:t>’</w:t>
      </w:r>
      <w:r w:rsidRPr="00546330">
        <w:rPr>
          <w:lang w:val="fr-FR"/>
        </w:rPr>
        <w:t>organiser sa huitième session en étroite collaboration avec le pays hôte et d</w:t>
      </w:r>
      <w:r w:rsidR="00275DBD" w:rsidRPr="00546330">
        <w:rPr>
          <w:lang w:val="fr-FR"/>
        </w:rPr>
        <w:t>’</w:t>
      </w:r>
      <w:r w:rsidRPr="00546330">
        <w:rPr>
          <w:lang w:val="fr-FR"/>
        </w:rPr>
        <w:t>inviter les membres et observateurs de la Plateforme intergouvernementale scientifique et politique sur la biodiversité et les services écosystémiques à participer aux travaux de la session ;</w:t>
      </w:r>
    </w:p>
    <w:p w14:paraId="575FA1E8" w14:textId="6ED375E3"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00"/>
        <w:ind w:left="1871" w:firstLine="624"/>
        <w:rPr>
          <w:lang w:val="fr-FR"/>
        </w:rPr>
      </w:pPr>
      <w:r w:rsidRPr="00546330">
        <w:rPr>
          <w:lang w:val="fr-FR"/>
        </w:rPr>
        <w:t>4.</w:t>
      </w:r>
      <w:r w:rsidRPr="00546330">
        <w:rPr>
          <w:lang w:val="fr-FR"/>
        </w:rPr>
        <w:tab/>
      </w:r>
      <w:r w:rsidRPr="00546330">
        <w:rPr>
          <w:i/>
          <w:iCs/>
          <w:lang w:val="fr-FR"/>
        </w:rPr>
        <w:t xml:space="preserve">Invite </w:t>
      </w:r>
      <w:r w:rsidRPr="00546330">
        <w:rPr>
          <w:lang w:val="fr-FR"/>
        </w:rPr>
        <w:t>les membres en mesure de le faire à envisager d</w:t>
      </w:r>
      <w:r w:rsidR="00275DBD" w:rsidRPr="00546330">
        <w:rPr>
          <w:lang w:val="fr-FR"/>
        </w:rPr>
        <w:t>’</w:t>
      </w:r>
      <w:r w:rsidRPr="00546330">
        <w:rPr>
          <w:lang w:val="fr-FR"/>
        </w:rPr>
        <w:t>accueillir sa neuvième</w:t>
      </w:r>
      <w:r w:rsidR="00AE5B70" w:rsidRPr="00546330">
        <w:rPr>
          <w:lang w:val="fr-FR"/>
        </w:rPr>
        <w:t> </w:t>
      </w:r>
      <w:r w:rsidRPr="00546330">
        <w:rPr>
          <w:lang w:val="fr-FR"/>
        </w:rPr>
        <w:t>session, qui doit se tenir en 2021 ;</w:t>
      </w:r>
    </w:p>
    <w:p w14:paraId="0AD32889" w14:textId="6201A829"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00"/>
        <w:ind w:left="1871" w:firstLine="624"/>
        <w:rPr>
          <w:color w:val="000000"/>
          <w:lang w:val="fr-FR"/>
        </w:rPr>
      </w:pPr>
      <w:r w:rsidRPr="00546330">
        <w:rPr>
          <w:lang w:val="fr-FR"/>
        </w:rPr>
        <w:t>5.</w:t>
      </w:r>
      <w:r w:rsidRPr="00546330">
        <w:rPr>
          <w:lang w:val="fr-FR"/>
        </w:rPr>
        <w:tab/>
      </w:r>
      <w:r w:rsidRPr="00546330">
        <w:rPr>
          <w:i/>
          <w:iCs/>
          <w:lang w:val="fr-FR"/>
        </w:rPr>
        <w:t xml:space="preserve">Prie </w:t>
      </w:r>
      <w:r w:rsidRPr="00546330">
        <w:rPr>
          <w:lang w:val="fr-FR"/>
        </w:rPr>
        <w:t>la Secrétaire exécutive, sous la direction du Bureau, de consulter les membres de la Plateforme qui pourraient, durant l</w:t>
      </w:r>
      <w:r w:rsidR="00AE5B70" w:rsidRPr="00546330">
        <w:rPr>
          <w:lang w:val="fr-FR"/>
        </w:rPr>
        <w:t>a période précédant sa huitième </w:t>
      </w:r>
      <w:r w:rsidRPr="00546330">
        <w:rPr>
          <w:lang w:val="fr-FR"/>
        </w:rPr>
        <w:t>session, proposer d</w:t>
      </w:r>
      <w:r w:rsidR="00275DBD" w:rsidRPr="00546330">
        <w:rPr>
          <w:lang w:val="fr-FR"/>
        </w:rPr>
        <w:t>’</w:t>
      </w:r>
      <w:r w:rsidR="00AE5B70" w:rsidRPr="00546330">
        <w:rPr>
          <w:lang w:val="fr-FR"/>
        </w:rPr>
        <w:t>accueillir sa neuvième </w:t>
      </w:r>
      <w:r w:rsidRPr="00546330">
        <w:rPr>
          <w:lang w:val="fr-FR"/>
        </w:rPr>
        <w:t>session ;</w:t>
      </w:r>
    </w:p>
    <w:p w14:paraId="61C6CEC8" w14:textId="1442CD51"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00"/>
        <w:ind w:left="1871" w:firstLine="624"/>
        <w:rPr>
          <w:color w:val="000000"/>
          <w:lang w:val="fr-FR"/>
        </w:rPr>
      </w:pPr>
      <w:r w:rsidRPr="00546330">
        <w:rPr>
          <w:lang w:val="fr-FR"/>
        </w:rPr>
        <w:t>6.</w:t>
      </w:r>
      <w:r w:rsidRPr="00546330">
        <w:rPr>
          <w:lang w:val="fr-FR"/>
        </w:rPr>
        <w:tab/>
      </w:r>
      <w:r w:rsidRPr="00546330">
        <w:rPr>
          <w:i/>
          <w:iCs/>
          <w:lang w:val="fr-FR"/>
        </w:rPr>
        <w:t xml:space="preserve">Prie également </w:t>
      </w:r>
      <w:r w:rsidRPr="00546330">
        <w:rPr>
          <w:lang w:val="fr-FR"/>
        </w:rPr>
        <w:t>la Secrétaire exécutive de l</w:t>
      </w:r>
      <w:r w:rsidR="00AE5B70" w:rsidRPr="00546330">
        <w:rPr>
          <w:lang w:val="fr-FR"/>
        </w:rPr>
        <w:t>ui faire rapport, à sa huitième </w:t>
      </w:r>
      <w:r w:rsidRPr="00546330">
        <w:rPr>
          <w:lang w:val="fr-FR"/>
        </w:rPr>
        <w:t>session, sur l</w:t>
      </w:r>
      <w:r w:rsidR="00275DBD" w:rsidRPr="00546330">
        <w:rPr>
          <w:lang w:val="fr-FR"/>
        </w:rPr>
        <w:t>’</w:t>
      </w:r>
      <w:r w:rsidRPr="00546330">
        <w:rPr>
          <w:lang w:val="fr-FR"/>
        </w:rPr>
        <w:t>état d</w:t>
      </w:r>
      <w:r w:rsidR="00275DBD" w:rsidRPr="00546330">
        <w:rPr>
          <w:lang w:val="fr-FR"/>
        </w:rPr>
        <w:t>’</w:t>
      </w:r>
      <w:r w:rsidRPr="00546330">
        <w:rPr>
          <w:lang w:val="fr-FR"/>
        </w:rPr>
        <w:t>avancement des consultations mentionnées au paragraphe 5 ci</w:t>
      </w:r>
      <w:r w:rsidRPr="00546330">
        <w:rPr>
          <w:lang w:val="fr-FR"/>
        </w:rPr>
        <w:noBreakHyphen/>
        <w:t>dessus, pour qu</w:t>
      </w:r>
      <w:r w:rsidR="00275DBD" w:rsidRPr="00546330">
        <w:rPr>
          <w:lang w:val="fr-FR"/>
        </w:rPr>
        <w:t>’</w:t>
      </w:r>
      <w:r w:rsidRPr="00546330">
        <w:rPr>
          <w:lang w:val="fr-FR"/>
        </w:rPr>
        <w:t>elle puisse adopter, à cette session, une décision concernant la date et</w:t>
      </w:r>
      <w:r w:rsidR="00AE5B70" w:rsidRPr="00546330">
        <w:rPr>
          <w:lang w:val="fr-FR"/>
        </w:rPr>
        <w:t xml:space="preserve"> le lieu de sa neuvième </w:t>
      </w:r>
      <w:r w:rsidRPr="00546330">
        <w:rPr>
          <w:lang w:val="fr-FR"/>
        </w:rPr>
        <w:t>session ;</w:t>
      </w:r>
    </w:p>
    <w:p w14:paraId="22F7C5A5" w14:textId="3EE07287"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00"/>
        <w:ind w:left="1871" w:firstLine="624"/>
        <w:rPr>
          <w:color w:val="000000"/>
          <w:lang w:val="fr-FR"/>
        </w:rPr>
      </w:pPr>
      <w:r w:rsidRPr="00546330">
        <w:rPr>
          <w:lang w:val="fr-FR"/>
        </w:rPr>
        <w:t>7.</w:t>
      </w:r>
      <w:r w:rsidRPr="00546330">
        <w:rPr>
          <w:lang w:val="fr-FR"/>
        </w:rPr>
        <w:tab/>
      </w:r>
      <w:r w:rsidRPr="00546330">
        <w:rPr>
          <w:i/>
          <w:iCs/>
          <w:lang w:val="fr-FR"/>
        </w:rPr>
        <w:t xml:space="preserve">Prend note </w:t>
      </w:r>
      <w:r w:rsidRPr="00546330">
        <w:rPr>
          <w:lang w:val="fr-FR"/>
        </w:rPr>
        <w:t>du projet d</w:t>
      </w:r>
      <w:r w:rsidR="00275DBD" w:rsidRPr="00546330">
        <w:rPr>
          <w:lang w:val="fr-FR"/>
        </w:rPr>
        <w:t>’</w:t>
      </w:r>
      <w:r w:rsidRPr="00546330">
        <w:rPr>
          <w:lang w:val="fr-FR"/>
        </w:rPr>
        <w:t>ordre du</w:t>
      </w:r>
      <w:r w:rsidR="00AE5B70" w:rsidRPr="00546330">
        <w:rPr>
          <w:lang w:val="fr-FR"/>
        </w:rPr>
        <w:t xml:space="preserve"> jour provisoire de sa huitième </w:t>
      </w:r>
      <w:r w:rsidRPr="00546330">
        <w:rPr>
          <w:lang w:val="fr-FR"/>
        </w:rPr>
        <w:t>session, qui figure dans l</w:t>
      </w:r>
      <w:r w:rsidR="00275DBD" w:rsidRPr="00546330">
        <w:rPr>
          <w:lang w:val="fr-FR"/>
        </w:rPr>
        <w:t>’</w:t>
      </w:r>
      <w:r w:rsidRPr="00546330">
        <w:rPr>
          <w:lang w:val="fr-FR"/>
        </w:rPr>
        <w:t>annexe de la présente décision</w:t>
      </w:r>
      <w:r w:rsidRPr="00546330">
        <w:rPr>
          <w:szCs w:val="18"/>
          <w:vertAlign w:val="superscript"/>
          <w:lang w:val="fr-FR"/>
        </w:rPr>
        <w:footnoteReference w:id="38"/>
      </w:r>
      <w:r w:rsidRPr="00546330">
        <w:rPr>
          <w:lang w:val="fr-FR"/>
        </w:rPr>
        <w:t> ;</w:t>
      </w:r>
    </w:p>
    <w:p w14:paraId="16660F81" w14:textId="62CB0657" w:rsidR="00464576" w:rsidRPr="00546330" w:rsidRDefault="00464576" w:rsidP="00464576">
      <w:pPr>
        <w:pStyle w:val="Normal-pool"/>
        <w:keepNext/>
        <w:keepLines/>
        <w:tabs>
          <w:tab w:val="clear" w:pos="1247"/>
          <w:tab w:val="clear" w:pos="1814"/>
          <w:tab w:val="clear" w:pos="2381"/>
          <w:tab w:val="clear" w:pos="2948"/>
          <w:tab w:val="clear" w:pos="3515"/>
          <w:tab w:val="clear" w:pos="4082"/>
          <w:tab w:val="left" w:pos="624"/>
        </w:tabs>
        <w:spacing w:after="100"/>
        <w:ind w:left="1871" w:firstLine="624"/>
        <w:rPr>
          <w:color w:val="000000"/>
          <w:lang w:val="fr-FR"/>
        </w:rPr>
      </w:pPr>
      <w:r w:rsidRPr="00546330">
        <w:rPr>
          <w:lang w:val="fr-FR"/>
        </w:rPr>
        <w:t>8.</w:t>
      </w:r>
      <w:r w:rsidRPr="00546330">
        <w:rPr>
          <w:lang w:val="fr-FR"/>
        </w:rPr>
        <w:tab/>
      </w:r>
      <w:r w:rsidRPr="00546330">
        <w:rPr>
          <w:i/>
          <w:iCs/>
          <w:lang w:val="fr-FR"/>
        </w:rPr>
        <w:t xml:space="preserve">Prie </w:t>
      </w:r>
      <w:r w:rsidRPr="00546330">
        <w:rPr>
          <w:lang w:val="fr-FR"/>
        </w:rPr>
        <w:t>la Secrétaire exécutive d</w:t>
      </w:r>
      <w:r w:rsidR="00275DBD" w:rsidRPr="00546330">
        <w:rPr>
          <w:lang w:val="fr-FR"/>
        </w:rPr>
        <w:t>’</w:t>
      </w:r>
      <w:r w:rsidRPr="00546330">
        <w:rPr>
          <w:lang w:val="fr-FR"/>
        </w:rPr>
        <w:t>inviter les membres et les observateurs qui sont l</w:t>
      </w:r>
      <w:r w:rsidR="00275DBD" w:rsidRPr="00546330">
        <w:rPr>
          <w:lang w:val="fr-FR"/>
        </w:rPr>
        <w:t>’</w:t>
      </w:r>
      <w:r w:rsidRPr="00546330">
        <w:rPr>
          <w:lang w:val="fr-FR"/>
        </w:rPr>
        <w:t>objet du mécanisme de participation renforcée prévu</w:t>
      </w:r>
      <w:r w:rsidR="00AE5B70" w:rsidRPr="00546330">
        <w:rPr>
          <w:lang w:val="fr-FR"/>
        </w:rPr>
        <w:t xml:space="preserve"> dans la décision </w:t>
      </w:r>
      <w:r w:rsidRPr="00546330">
        <w:rPr>
          <w:lang w:val="fr-FR"/>
        </w:rPr>
        <w:t>IPBES-5/4 à communiquer par écrit, d</w:t>
      </w:r>
      <w:r w:rsidR="00275DBD" w:rsidRPr="00546330">
        <w:rPr>
          <w:lang w:val="fr-FR"/>
        </w:rPr>
        <w:t>’</w:t>
      </w:r>
      <w:r w:rsidRPr="00546330">
        <w:rPr>
          <w:lang w:val="fr-FR"/>
        </w:rPr>
        <w:t>ici au 1</w:t>
      </w:r>
      <w:r w:rsidRPr="00546330">
        <w:rPr>
          <w:vertAlign w:val="superscript"/>
          <w:lang w:val="fr-FR"/>
        </w:rPr>
        <w:t>er</w:t>
      </w:r>
      <w:r w:rsidRPr="00546330">
        <w:rPr>
          <w:lang w:val="fr-FR"/>
        </w:rPr>
        <w:t> juillet 2019, des observations sur le projet d</w:t>
      </w:r>
      <w:r w:rsidR="00275DBD" w:rsidRPr="00546330">
        <w:rPr>
          <w:lang w:val="fr-FR"/>
        </w:rPr>
        <w:t>’</w:t>
      </w:r>
      <w:r w:rsidRPr="00546330">
        <w:rPr>
          <w:lang w:val="fr-FR"/>
        </w:rPr>
        <w:t>organisation des travaux de sa huitième</w:t>
      </w:r>
      <w:r w:rsidR="00AE5B70" w:rsidRPr="00546330">
        <w:rPr>
          <w:lang w:val="fr-FR"/>
        </w:rPr>
        <w:t> </w:t>
      </w:r>
      <w:r w:rsidRPr="00546330">
        <w:rPr>
          <w:lang w:val="fr-FR"/>
        </w:rPr>
        <w:t>session ;</w:t>
      </w:r>
    </w:p>
    <w:p w14:paraId="646D830E" w14:textId="4DAF48F7" w:rsidR="00464576" w:rsidRPr="00546330" w:rsidRDefault="00464576" w:rsidP="00464576">
      <w:pPr>
        <w:pStyle w:val="Normal-pool"/>
        <w:tabs>
          <w:tab w:val="clear" w:pos="1247"/>
          <w:tab w:val="clear" w:pos="1814"/>
          <w:tab w:val="clear" w:pos="2381"/>
          <w:tab w:val="clear" w:pos="2948"/>
          <w:tab w:val="clear" w:pos="3515"/>
          <w:tab w:val="clear" w:pos="4082"/>
          <w:tab w:val="left" w:pos="624"/>
        </w:tabs>
        <w:spacing w:after="100"/>
        <w:ind w:left="1871" w:firstLine="624"/>
        <w:rPr>
          <w:color w:val="000000"/>
          <w:lang w:val="fr-FR"/>
        </w:rPr>
      </w:pPr>
      <w:r w:rsidRPr="00546330">
        <w:rPr>
          <w:lang w:val="fr-FR"/>
        </w:rPr>
        <w:t>9.</w:t>
      </w:r>
      <w:r w:rsidRPr="00546330">
        <w:rPr>
          <w:lang w:val="fr-FR"/>
        </w:rPr>
        <w:tab/>
      </w:r>
      <w:r w:rsidRPr="00546330">
        <w:rPr>
          <w:i/>
          <w:iCs/>
          <w:lang w:val="fr-FR"/>
        </w:rPr>
        <w:t xml:space="preserve">Prie également </w:t>
      </w:r>
      <w:r w:rsidRPr="00546330">
        <w:rPr>
          <w:lang w:val="fr-FR"/>
        </w:rPr>
        <w:t>la Secrétaire exécutive d</w:t>
      </w:r>
      <w:r w:rsidR="00275DBD" w:rsidRPr="00546330">
        <w:rPr>
          <w:lang w:val="fr-FR"/>
        </w:rPr>
        <w:t>’</w:t>
      </w:r>
      <w:r w:rsidRPr="00546330">
        <w:rPr>
          <w:lang w:val="fr-FR"/>
        </w:rPr>
        <w:t>établir la version finale du projet d</w:t>
      </w:r>
      <w:r w:rsidR="00275DBD" w:rsidRPr="00546330">
        <w:rPr>
          <w:lang w:val="fr-FR"/>
        </w:rPr>
        <w:t>’</w:t>
      </w:r>
      <w:r w:rsidRPr="00546330">
        <w:rPr>
          <w:lang w:val="fr-FR"/>
        </w:rPr>
        <w:t>organisation des travaux de sa huitième session à la lumière des observations reçues pendant sa septième session et des observations reçues par écrit comme suite à l</w:t>
      </w:r>
      <w:r w:rsidR="00275DBD" w:rsidRPr="00546330">
        <w:rPr>
          <w:lang w:val="fr-FR"/>
        </w:rPr>
        <w:t>’</w:t>
      </w:r>
      <w:r w:rsidRPr="00546330">
        <w:rPr>
          <w:lang w:val="fr-FR"/>
        </w:rPr>
        <w:t>invitation visée au paragraphe 8 de la présente décision.</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9"/>
        <w:gridCol w:w="1898"/>
        <w:gridCol w:w="1899"/>
        <w:gridCol w:w="1900"/>
        <w:gridCol w:w="1900"/>
      </w:tblGrid>
      <w:tr w:rsidR="00464576" w:rsidRPr="00546330" w14:paraId="5C4713A6" w14:textId="77777777" w:rsidTr="00001D99">
        <w:tc>
          <w:tcPr>
            <w:tcW w:w="1899" w:type="dxa"/>
          </w:tcPr>
          <w:p w14:paraId="58499CF5" w14:textId="77777777" w:rsidR="00464576" w:rsidRPr="00546330" w:rsidRDefault="00464576" w:rsidP="00275DBD">
            <w:pPr>
              <w:pStyle w:val="Normal-pool"/>
              <w:spacing w:before="240" w:after="0"/>
              <w:rPr>
                <w:lang w:val="fr-FR"/>
              </w:rPr>
            </w:pPr>
          </w:p>
        </w:tc>
        <w:tc>
          <w:tcPr>
            <w:tcW w:w="1898" w:type="dxa"/>
          </w:tcPr>
          <w:p w14:paraId="1B1739EC" w14:textId="77777777" w:rsidR="00464576" w:rsidRPr="00546330" w:rsidRDefault="00464576" w:rsidP="00275DBD">
            <w:pPr>
              <w:pStyle w:val="Normal-pool"/>
              <w:spacing w:before="240" w:after="0"/>
              <w:rPr>
                <w:lang w:val="fr-FR"/>
              </w:rPr>
            </w:pPr>
          </w:p>
        </w:tc>
        <w:tc>
          <w:tcPr>
            <w:tcW w:w="1899" w:type="dxa"/>
            <w:tcBorders>
              <w:bottom w:val="single" w:sz="4" w:space="0" w:color="auto"/>
            </w:tcBorders>
          </w:tcPr>
          <w:p w14:paraId="6515E12F" w14:textId="77777777" w:rsidR="00464576" w:rsidRPr="00546330" w:rsidRDefault="00464576" w:rsidP="00275DBD">
            <w:pPr>
              <w:pStyle w:val="Normal-pool"/>
              <w:spacing w:before="240" w:after="0"/>
              <w:rPr>
                <w:lang w:val="fr-FR"/>
              </w:rPr>
            </w:pPr>
          </w:p>
        </w:tc>
        <w:tc>
          <w:tcPr>
            <w:tcW w:w="1900" w:type="dxa"/>
          </w:tcPr>
          <w:p w14:paraId="136CA8BC" w14:textId="77777777" w:rsidR="00464576" w:rsidRPr="00546330" w:rsidRDefault="00464576" w:rsidP="00275DBD">
            <w:pPr>
              <w:pStyle w:val="Normal-pool"/>
              <w:spacing w:before="240" w:after="0"/>
              <w:rPr>
                <w:lang w:val="fr-FR"/>
              </w:rPr>
            </w:pPr>
          </w:p>
        </w:tc>
        <w:tc>
          <w:tcPr>
            <w:tcW w:w="1900" w:type="dxa"/>
          </w:tcPr>
          <w:p w14:paraId="4A91F3E9" w14:textId="77777777" w:rsidR="00464576" w:rsidRPr="00546330" w:rsidRDefault="00464576" w:rsidP="00275DBD">
            <w:pPr>
              <w:pStyle w:val="Normal-pool"/>
              <w:spacing w:before="240" w:after="0"/>
              <w:rPr>
                <w:lang w:val="fr-FR"/>
              </w:rPr>
            </w:pPr>
          </w:p>
        </w:tc>
      </w:tr>
    </w:tbl>
    <w:p w14:paraId="19766901" w14:textId="77777777" w:rsidR="00464576" w:rsidRPr="00546330" w:rsidRDefault="00464576" w:rsidP="00DF4270">
      <w:pPr>
        <w:pStyle w:val="AATitle"/>
        <w:ind w:right="4160"/>
        <w:rPr>
          <w:b w:val="0"/>
          <w:lang w:val="fr-FR" w:eastAsia="ja-JP"/>
        </w:rPr>
      </w:pPr>
    </w:p>
    <w:sectPr w:rsidR="00464576" w:rsidRPr="00546330" w:rsidSect="00DA3F7A">
      <w:headerReference w:type="even" r:id="rId16"/>
      <w:headerReference w:type="default" r:id="rId17"/>
      <w:footerReference w:type="even" r:id="rId18"/>
      <w:footerReference w:type="default" r:id="rId19"/>
      <w:footerReference w:type="first" r:id="rId20"/>
      <w:type w:val="continuous"/>
      <w:pgSz w:w="11906" w:h="16838" w:code="9"/>
      <w:pgMar w:top="907" w:right="851"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79D75" w14:textId="77777777" w:rsidR="00455328" w:rsidRDefault="00455328">
      <w:r>
        <w:separator/>
      </w:r>
    </w:p>
  </w:endnote>
  <w:endnote w:type="continuationSeparator" w:id="0">
    <w:p w14:paraId="52899924" w14:textId="77777777" w:rsidR="00455328" w:rsidRDefault="0045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60D9" w14:textId="790503EE" w:rsidR="00123699" w:rsidRDefault="00123699">
    <w:pPr>
      <w:pStyle w:val="Footer"/>
    </w:pPr>
    <w:r>
      <w:rPr>
        <w:rStyle w:val="PageNumber"/>
      </w:rPr>
      <w:fldChar w:fldCharType="begin"/>
    </w:r>
    <w:r>
      <w:rPr>
        <w:rStyle w:val="PageNumber"/>
      </w:rPr>
      <w:instrText xml:space="preserve"> PAGE </w:instrText>
    </w:r>
    <w:r>
      <w:rPr>
        <w:rStyle w:val="PageNumber"/>
      </w:rPr>
      <w:fldChar w:fldCharType="separate"/>
    </w:r>
    <w:r w:rsidR="00803E7A">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6185" w14:textId="27734852" w:rsidR="00123699" w:rsidRDefault="0012369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803E7A">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69AF1725" w:rsidR="005F06C5" w:rsidRDefault="00471270" w:rsidP="005F06C5">
    <w:pPr>
      <w:pStyle w:val="Normal-pool"/>
      <w:tabs>
        <w:tab w:val="clear" w:pos="1247"/>
        <w:tab w:val="clear" w:pos="1814"/>
        <w:tab w:val="clear" w:pos="2381"/>
        <w:tab w:val="clear" w:pos="2948"/>
        <w:tab w:val="clear" w:pos="3515"/>
        <w:tab w:val="clear" w:pos="4082"/>
        <w:tab w:val="left" w:pos="624"/>
      </w:tabs>
      <w:spacing w:before="60" w:after="120"/>
    </w:pPr>
    <w:r>
      <w:t>K1</w:t>
    </w:r>
    <w:r w:rsidR="00275DBD">
      <w:t>900333</w:t>
    </w:r>
    <w:r>
      <w:tab/>
    </w:r>
    <w:r w:rsidR="00275DBD">
      <w:t>2</w:t>
    </w:r>
    <w:r w:rsidR="00CC2C8B">
      <w:t>9</w:t>
    </w:r>
    <w:r w:rsidR="00275DBD">
      <w:t>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E0681" w14:textId="77777777" w:rsidR="00455328" w:rsidRDefault="00455328" w:rsidP="00D92DE0">
      <w:pPr>
        <w:ind w:left="624"/>
      </w:pPr>
      <w:r>
        <w:separator/>
      </w:r>
    </w:p>
  </w:footnote>
  <w:footnote w:type="continuationSeparator" w:id="0">
    <w:p w14:paraId="0B4F5858" w14:textId="77777777" w:rsidR="00455328" w:rsidRDefault="00455328">
      <w:r>
        <w:continuationSeparator/>
      </w:r>
    </w:p>
  </w:footnote>
  <w:footnote w:id="1">
    <w:p w14:paraId="2E963351" w14:textId="2272E041" w:rsidR="00464576" w:rsidRPr="0012125D" w:rsidRDefault="00464576" w:rsidP="00464576">
      <w:pPr>
        <w:pStyle w:val="NormalNonumber"/>
        <w:tabs>
          <w:tab w:val="left" w:pos="624"/>
        </w:tabs>
        <w:spacing w:before="20" w:after="40"/>
        <w:rPr>
          <w:sz w:val="18"/>
          <w:szCs w:val="18"/>
          <w:lang w:val="fr-FR"/>
        </w:rPr>
      </w:pPr>
      <w:r w:rsidRPr="0012125D">
        <w:rPr>
          <w:sz w:val="18"/>
          <w:szCs w:val="18"/>
          <w:lang w:val="fr-FR"/>
        </w:rPr>
        <w:t>* IPBES/7/1</w:t>
      </w:r>
      <w:r w:rsidR="00FA524F">
        <w:rPr>
          <w:sz w:val="18"/>
          <w:szCs w:val="18"/>
          <w:lang w:val="fr-FR"/>
        </w:rPr>
        <w:t>/Rev.1</w:t>
      </w:r>
      <w:r w:rsidRPr="0012125D">
        <w:rPr>
          <w:sz w:val="18"/>
          <w:szCs w:val="18"/>
          <w:lang w:val="fr-FR"/>
        </w:rPr>
        <w:t>.</w:t>
      </w:r>
    </w:p>
  </w:footnote>
  <w:footnote w:id="2">
    <w:p w14:paraId="533B7B1F" w14:textId="77777777" w:rsidR="00464576" w:rsidRPr="0012125D" w:rsidRDefault="00464576" w:rsidP="00464576">
      <w:pPr>
        <w:pStyle w:val="FootnoteText"/>
        <w:rPr>
          <w:szCs w:val="18"/>
        </w:rPr>
      </w:pPr>
      <w:r w:rsidRPr="0012125D">
        <w:rPr>
          <w:rStyle w:val="FootnoteReference"/>
          <w:sz w:val="18"/>
        </w:rPr>
        <w:footnoteRef/>
      </w:r>
      <w:r w:rsidRPr="0012125D">
        <w:rPr>
          <w:szCs w:val="18"/>
        </w:rPr>
        <w:t xml:space="preserve"> IPBES/7/2.</w:t>
      </w:r>
    </w:p>
  </w:footnote>
  <w:footnote w:id="3">
    <w:p w14:paraId="2BEF4627" w14:textId="77777777" w:rsidR="00464576" w:rsidRPr="0012125D" w:rsidRDefault="00464576" w:rsidP="00464576">
      <w:pPr>
        <w:pStyle w:val="FootnoteText"/>
        <w:tabs>
          <w:tab w:val="clear" w:pos="1247"/>
          <w:tab w:val="clear" w:pos="1814"/>
          <w:tab w:val="clear" w:pos="2381"/>
          <w:tab w:val="clear" w:pos="2948"/>
          <w:tab w:val="clear" w:pos="3515"/>
          <w:tab w:val="clear" w:pos="4082"/>
        </w:tabs>
        <w:rPr>
          <w:szCs w:val="18"/>
        </w:rPr>
      </w:pPr>
      <w:r w:rsidRPr="0012125D">
        <w:rPr>
          <w:rStyle w:val="FootnoteReference"/>
          <w:sz w:val="18"/>
        </w:rPr>
        <w:footnoteRef/>
      </w:r>
      <w:r w:rsidRPr="0012125D">
        <w:rPr>
          <w:szCs w:val="18"/>
        </w:rPr>
        <w:t xml:space="preserve"> IPBES/6/INF/32.</w:t>
      </w:r>
    </w:p>
  </w:footnote>
  <w:footnote w:id="4">
    <w:p w14:paraId="1563239B" w14:textId="77777777" w:rsidR="00464576" w:rsidRPr="0012125D" w:rsidRDefault="00464576" w:rsidP="00464576">
      <w:pPr>
        <w:pStyle w:val="FootnoteText"/>
        <w:tabs>
          <w:tab w:val="clear" w:pos="1247"/>
          <w:tab w:val="clear" w:pos="1814"/>
          <w:tab w:val="clear" w:pos="2381"/>
          <w:tab w:val="clear" w:pos="2948"/>
          <w:tab w:val="clear" w:pos="3515"/>
          <w:tab w:val="clear" w:pos="4082"/>
        </w:tabs>
        <w:rPr>
          <w:szCs w:val="18"/>
        </w:rPr>
      </w:pPr>
      <w:r w:rsidRPr="0012125D">
        <w:rPr>
          <w:rStyle w:val="FootnoteReference"/>
          <w:sz w:val="18"/>
        </w:rPr>
        <w:footnoteRef/>
      </w:r>
      <w:r w:rsidRPr="0012125D">
        <w:rPr>
          <w:szCs w:val="18"/>
        </w:rPr>
        <w:t xml:space="preserve"> IPBES/7/INF/17.</w:t>
      </w:r>
    </w:p>
  </w:footnote>
  <w:footnote w:id="5">
    <w:p w14:paraId="1759B832" w14:textId="77777777" w:rsidR="00464576" w:rsidRPr="0012125D" w:rsidRDefault="00464576" w:rsidP="00464576">
      <w:pPr>
        <w:pStyle w:val="FootnoteText"/>
        <w:tabs>
          <w:tab w:val="clear" w:pos="1247"/>
          <w:tab w:val="clear" w:pos="1814"/>
          <w:tab w:val="clear" w:pos="2381"/>
          <w:tab w:val="clear" w:pos="2948"/>
          <w:tab w:val="clear" w:pos="3515"/>
          <w:tab w:val="clear" w:pos="4082"/>
        </w:tabs>
        <w:rPr>
          <w:szCs w:val="18"/>
        </w:rPr>
      </w:pPr>
      <w:r w:rsidRPr="0012125D">
        <w:rPr>
          <w:rStyle w:val="FootnoteReference"/>
          <w:sz w:val="18"/>
        </w:rPr>
        <w:footnoteRef/>
      </w:r>
      <w:r w:rsidRPr="0012125D">
        <w:rPr>
          <w:szCs w:val="18"/>
        </w:rPr>
        <w:t xml:space="preserve"> IPBES/7/INF/18.</w:t>
      </w:r>
    </w:p>
  </w:footnote>
  <w:footnote w:id="6">
    <w:p w14:paraId="67FC0332" w14:textId="77777777" w:rsidR="00464576" w:rsidRPr="0012125D" w:rsidRDefault="00464576" w:rsidP="00464576">
      <w:pPr>
        <w:pStyle w:val="FootnoteText"/>
        <w:tabs>
          <w:tab w:val="clear" w:pos="1247"/>
          <w:tab w:val="clear" w:pos="1814"/>
          <w:tab w:val="clear" w:pos="2381"/>
          <w:tab w:val="clear" w:pos="2948"/>
          <w:tab w:val="clear" w:pos="3515"/>
          <w:tab w:val="clear" w:pos="4082"/>
        </w:tabs>
        <w:rPr>
          <w:szCs w:val="18"/>
        </w:rPr>
      </w:pPr>
      <w:r w:rsidRPr="0012125D">
        <w:rPr>
          <w:rStyle w:val="FootnoteReference"/>
          <w:sz w:val="18"/>
        </w:rPr>
        <w:footnoteRef/>
      </w:r>
      <w:r w:rsidRPr="0012125D">
        <w:rPr>
          <w:szCs w:val="18"/>
        </w:rPr>
        <w:t xml:space="preserve"> IPBES/7/INF/19.</w:t>
      </w:r>
    </w:p>
  </w:footnote>
  <w:footnote w:id="7">
    <w:p w14:paraId="4A13755F" w14:textId="77777777" w:rsidR="00464576" w:rsidRPr="0012125D" w:rsidRDefault="00464576" w:rsidP="00464576">
      <w:pPr>
        <w:pStyle w:val="FootnoteText"/>
        <w:tabs>
          <w:tab w:val="clear" w:pos="1247"/>
          <w:tab w:val="clear" w:pos="1814"/>
          <w:tab w:val="clear" w:pos="2381"/>
          <w:tab w:val="clear" w:pos="2948"/>
          <w:tab w:val="clear" w:pos="3515"/>
          <w:tab w:val="clear" w:pos="4082"/>
        </w:tabs>
        <w:rPr>
          <w:szCs w:val="18"/>
        </w:rPr>
      </w:pPr>
      <w:r w:rsidRPr="0012125D">
        <w:rPr>
          <w:rStyle w:val="FootnoteReference"/>
          <w:sz w:val="18"/>
        </w:rPr>
        <w:footnoteRef/>
      </w:r>
      <w:r w:rsidRPr="0012125D">
        <w:rPr>
          <w:szCs w:val="18"/>
        </w:rPr>
        <w:t xml:space="preserve"> IPBES/7/INF/20.</w:t>
      </w:r>
    </w:p>
  </w:footnote>
  <w:footnote w:id="8">
    <w:p w14:paraId="678AA00A" w14:textId="77777777" w:rsidR="00464576" w:rsidRPr="00464576" w:rsidRDefault="00464576" w:rsidP="00464576">
      <w:pPr>
        <w:pStyle w:val="FootnoteText"/>
        <w:rPr>
          <w:lang w:val="fr-FR"/>
        </w:rPr>
      </w:pPr>
      <w:r>
        <w:rPr>
          <w:rStyle w:val="FootnoteReference"/>
        </w:rPr>
        <w:footnoteRef/>
      </w:r>
      <w:r>
        <w:t xml:space="preserve"> Voir IPBES/7/5.</w:t>
      </w:r>
    </w:p>
  </w:footnote>
  <w:footnote w:id="9">
    <w:p w14:paraId="4C2A9A5D" w14:textId="77777777" w:rsidR="00464576" w:rsidRPr="0012125D" w:rsidRDefault="00464576" w:rsidP="00464576">
      <w:pPr>
        <w:pStyle w:val="FootnoteText"/>
        <w:tabs>
          <w:tab w:val="clear" w:pos="1247"/>
          <w:tab w:val="clear" w:pos="1814"/>
          <w:tab w:val="clear" w:pos="2381"/>
          <w:tab w:val="clear" w:pos="2948"/>
          <w:tab w:val="clear" w:pos="3515"/>
          <w:tab w:val="clear" w:pos="4082"/>
        </w:tabs>
        <w:rPr>
          <w:szCs w:val="18"/>
        </w:rPr>
      </w:pPr>
      <w:r w:rsidRPr="0012125D">
        <w:rPr>
          <w:rStyle w:val="FootnoteReference"/>
          <w:sz w:val="18"/>
        </w:rPr>
        <w:footnoteRef/>
      </w:r>
      <w:r w:rsidRPr="0012125D">
        <w:rPr>
          <w:szCs w:val="18"/>
        </w:rPr>
        <w:t xml:space="preserve"> IPBES/7/6/Add.1.</w:t>
      </w:r>
    </w:p>
  </w:footnote>
  <w:footnote w:id="10">
    <w:p w14:paraId="1970CFDC" w14:textId="649F8C4E" w:rsidR="00464576" w:rsidRPr="0012125D" w:rsidRDefault="00464576" w:rsidP="00464576">
      <w:pPr>
        <w:pStyle w:val="FootnoteText"/>
        <w:tabs>
          <w:tab w:val="clear" w:pos="1247"/>
          <w:tab w:val="clear" w:pos="1814"/>
          <w:tab w:val="clear" w:pos="2381"/>
          <w:tab w:val="clear" w:pos="2948"/>
          <w:tab w:val="clear" w:pos="3515"/>
          <w:tab w:val="clear" w:pos="4082"/>
        </w:tabs>
        <w:rPr>
          <w:szCs w:val="18"/>
        </w:rPr>
      </w:pPr>
      <w:r w:rsidRPr="0012125D">
        <w:rPr>
          <w:rStyle w:val="FootnoteReference"/>
          <w:sz w:val="18"/>
        </w:rPr>
        <w:footnoteRef/>
      </w:r>
      <w:r w:rsidRPr="0012125D">
        <w:rPr>
          <w:szCs w:val="18"/>
        </w:rPr>
        <w:t xml:space="preserve"> Le projet de texte du programme de travail figure dans l</w:t>
      </w:r>
      <w:r w:rsidR="008B0064">
        <w:rPr>
          <w:szCs w:val="18"/>
        </w:rPr>
        <w:t>’</w:t>
      </w:r>
      <w:r w:rsidR="00881550">
        <w:rPr>
          <w:szCs w:val="18"/>
        </w:rPr>
        <w:t>annexe du document </w:t>
      </w:r>
      <w:r w:rsidRPr="0012125D">
        <w:rPr>
          <w:szCs w:val="18"/>
        </w:rPr>
        <w:t>IPBES/7/6.</w:t>
      </w:r>
    </w:p>
  </w:footnote>
  <w:footnote w:id="11">
    <w:p w14:paraId="17E2D7E2" w14:textId="2FF49F1C" w:rsidR="00464576" w:rsidRPr="0012125D" w:rsidRDefault="00464576" w:rsidP="00464576">
      <w:pPr>
        <w:pStyle w:val="FootnoteText"/>
        <w:rPr>
          <w:szCs w:val="18"/>
        </w:rPr>
      </w:pPr>
      <w:r w:rsidRPr="0012125D">
        <w:rPr>
          <w:rStyle w:val="FootnoteReference"/>
          <w:sz w:val="18"/>
        </w:rPr>
        <w:footnoteRef/>
      </w:r>
      <w:r w:rsidRPr="0012125D">
        <w:rPr>
          <w:szCs w:val="18"/>
        </w:rPr>
        <w:t xml:space="preserve"> IPBES/7/10/Add.1. Le projet de texte du résumé à l</w:t>
      </w:r>
      <w:r w:rsidR="008B0064">
        <w:rPr>
          <w:szCs w:val="18"/>
        </w:rPr>
        <w:t>’</w:t>
      </w:r>
      <w:r w:rsidRPr="0012125D">
        <w:rPr>
          <w:szCs w:val="18"/>
        </w:rPr>
        <w:t>intention des décideurs figure dans l</w:t>
      </w:r>
      <w:r w:rsidR="008B0064">
        <w:rPr>
          <w:szCs w:val="18"/>
        </w:rPr>
        <w:t>’</w:t>
      </w:r>
      <w:r w:rsidRPr="0012125D">
        <w:rPr>
          <w:szCs w:val="18"/>
        </w:rPr>
        <w:t>annexe du document IPBES/7/3.</w:t>
      </w:r>
    </w:p>
  </w:footnote>
  <w:footnote w:id="12">
    <w:p w14:paraId="7480ABFA" w14:textId="7566F3B0" w:rsidR="00464576" w:rsidRPr="0012125D" w:rsidRDefault="00464576" w:rsidP="00464576">
      <w:pPr>
        <w:pStyle w:val="FootnoteText"/>
        <w:tabs>
          <w:tab w:val="left" w:pos="624"/>
        </w:tabs>
        <w:rPr>
          <w:szCs w:val="18"/>
        </w:rPr>
      </w:pPr>
      <w:r w:rsidRPr="0012125D">
        <w:rPr>
          <w:rStyle w:val="FootnoteReference"/>
          <w:sz w:val="18"/>
        </w:rPr>
        <w:footnoteRef/>
      </w:r>
      <w:r w:rsidRPr="0012125D">
        <w:rPr>
          <w:szCs w:val="18"/>
        </w:rPr>
        <w:t xml:space="preserve"> Voir IPBES/7/INF/1/Rev.1, qui comprendra les différents chapitres et leurs résumés analytiques, reflétant le résumé à l</w:t>
      </w:r>
      <w:r w:rsidR="008B0064">
        <w:rPr>
          <w:szCs w:val="18"/>
        </w:rPr>
        <w:t>’</w:t>
      </w:r>
      <w:r w:rsidRPr="0012125D">
        <w:rPr>
          <w:szCs w:val="18"/>
        </w:rPr>
        <w:t>intention des décideurs tel qu</w:t>
      </w:r>
      <w:r w:rsidR="008B0064">
        <w:rPr>
          <w:szCs w:val="18"/>
        </w:rPr>
        <w:t>’</w:t>
      </w:r>
      <w:r w:rsidRPr="0012125D">
        <w:rPr>
          <w:szCs w:val="18"/>
        </w:rPr>
        <w:t>approuvé.</w:t>
      </w:r>
    </w:p>
  </w:footnote>
  <w:footnote w:id="13">
    <w:p w14:paraId="07527C7A" w14:textId="264F14F6" w:rsidR="00464576" w:rsidRPr="001E2937" w:rsidRDefault="00464576" w:rsidP="00464576">
      <w:pPr>
        <w:pStyle w:val="FootnoteText"/>
        <w:rPr>
          <w:szCs w:val="18"/>
          <w:lang w:val="en-GB"/>
        </w:rPr>
      </w:pPr>
      <w:r w:rsidRPr="0012125D">
        <w:rPr>
          <w:rStyle w:val="FootnoteReference"/>
          <w:sz w:val="18"/>
        </w:rPr>
        <w:footnoteRef/>
      </w:r>
      <w:r w:rsidRPr="0012125D">
        <w:rPr>
          <w:szCs w:val="18"/>
        </w:rPr>
        <w:t xml:space="preserve"> </w:t>
      </w:r>
      <w:r w:rsidR="009E319B" w:rsidRPr="0012125D">
        <w:rPr>
          <w:szCs w:val="18"/>
        </w:rPr>
        <w:t>Voir décision IPBES-3/3, annexe</w:t>
      </w:r>
      <w:r w:rsidR="009E319B">
        <w:rPr>
          <w:szCs w:val="18"/>
        </w:rPr>
        <w:t> I, sect</w:t>
      </w:r>
      <w:r w:rsidR="00FF159A">
        <w:rPr>
          <w:szCs w:val="18"/>
        </w:rPr>
        <w:t>.</w:t>
      </w:r>
      <w:r w:rsidR="009E319B">
        <w:rPr>
          <w:szCs w:val="18"/>
        </w:rPr>
        <w:t> </w:t>
      </w:r>
      <w:r w:rsidR="009E319B" w:rsidRPr="001E2937">
        <w:rPr>
          <w:szCs w:val="18"/>
          <w:lang w:val="en-GB"/>
        </w:rPr>
        <w:t>3.4.</w:t>
      </w:r>
    </w:p>
  </w:footnote>
  <w:footnote w:id="14">
    <w:p w14:paraId="027E021B" w14:textId="2C5BF09E" w:rsidR="00464576" w:rsidRPr="001E2937" w:rsidRDefault="00464576" w:rsidP="00464576">
      <w:pPr>
        <w:pStyle w:val="FootnoteText"/>
        <w:rPr>
          <w:szCs w:val="18"/>
          <w:lang w:val="en-GB"/>
        </w:rPr>
      </w:pPr>
      <w:r w:rsidRPr="0012125D">
        <w:rPr>
          <w:rStyle w:val="FootnoteReference"/>
          <w:sz w:val="18"/>
        </w:rPr>
        <w:footnoteRef/>
      </w:r>
      <w:r w:rsidRPr="001E2937">
        <w:rPr>
          <w:szCs w:val="18"/>
          <w:lang w:val="en-GB"/>
        </w:rPr>
        <w:t xml:space="preserve"> </w:t>
      </w:r>
      <w:r w:rsidR="009E319B" w:rsidRPr="001E2937">
        <w:rPr>
          <w:szCs w:val="18"/>
          <w:lang w:val="en-GB"/>
        </w:rPr>
        <w:t>IPBES/7/6, appendice II, sect</w:t>
      </w:r>
      <w:r w:rsidR="00FF159A" w:rsidRPr="001E2937">
        <w:rPr>
          <w:szCs w:val="18"/>
          <w:lang w:val="en-GB"/>
        </w:rPr>
        <w:t>.</w:t>
      </w:r>
      <w:r w:rsidR="009E319B" w:rsidRPr="001E2937">
        <w:rPr>
          <w:szCs w:val="18"/>
          <w:lang w:val="en-GB"/>
        </w:rPr>
        <w:t> I.</w:t>
      </w:r>
    </w:p>
  </w:footnote>
  <w:footnote w:id="15">
    <w:p w14:paraId="3723789C" w14:textId="18DAC1BB" w:rsidR="00464576" w:rsidRPr="0012125D" w:rsidRDefault="00464576" w:rsidP="00464576">
      <w:pPr>
        <w:pStyle w:val="FootnoteText"/>
        <w:rPr>
          <w:szCs w:val="18"/>
        </w:rPr>
      </w:pPr>
      <w:r w:rsidRPr="0012125D">
        <w:rPr>
          <w:rStyle w:val="FootnoteReference"/>
          <w:sz w:val="18"/>
        </w:rPr>
        <w:footnoteRef/>
      </w:r>
      <w:r w:rsidRPr="0012125D">
        <w:rPr>
          <w:szCs w:val="18"/>
        </w:rPr>
        <w:t xml:space="preserve"> </w:t>
      </w:r>
      <w:r w:rsidR="009E319B" w:rsidRPr="0012125D">
        <w:rPr>
          <w:szCs w:val="18"/>
        </w:rPr>
        <w:t>Voir décisi</w:t>
      </w:r>
      <w:r w:rsidR="009E319B">
        <w:rPr>
          <w:szCs w:val="18"/>
        </w:rPr>
        <w:t>on IPBES-3/3, annexe I, sect</w:t>
      </w:r>
      <w:r w:rsidR="00FF159A">
        <w:rPr>
          <w:szCs w:val="18"/>
        </w:rPr>
        <w:t>.</w:t>
      </w:r>
      <w:r w:rsidR="009E319B">
        <w:rPr>
          <w:szCs w:val="18"/>
        </w:rPr>
        <w:t> </w:t>
      </w:r>
      <w:r w:rsidR="009E319B" w:rsidRPr="0012125D">
        <w:rPr>
          <w:szCs w:val="18"/>
        </w:rPr>
        <w:t>3.4.</w:t>
      </w:r>
      <w:r w:rsidR="009E319B">
        <w:rPr>
          <w:szCs w:val="18"/>
        </w:rPr>
        <w:t xml:space="preserve"> </w:t>
      </w:r>
    </w:p>
  </w:footnote>
  <w:footnote w:id="16">
    <w:p w14:paraId="66D6D85B" w14:textId="6FC37F41" w:rsidR="00464576" w:rsidRPr="0012125D" w:rsidRDefault="00464576" w:rsidP="00464576">
      <w:pPr>
        <w:pStyle w:val="FootnoteText"/>
        <w:rPr>
          <w:szCs w:val="18"/>
        </w:rPr>
      </w:pPr>
      <w:r w:rsidRPr="0012125D">
        <w:rPr>
          <w:rStyle w:val="FootnoteReference"/>
          <w:sz w:val="18"/>
        </w:rPr>
        <w:footnoteRef/>
      </w:r>
      <w:r w:rsidRPr="0012125D">
        <w:rPr>
          <w:szCs w:val="18"/>
        </w:rPr>
        <w:t xml:space="preserve"> </w:t>
      </w:r>
      <w:r w:rsidR="00FA524F" w:rsidRPr="0012125D">
        <w:rPr>
          <w:szCs w:val="18"/>
        </w:rPr>
        <w:t>IPBES</w:t>
      </w:r>
      <w:r w:rsidR="00881550">
        <w:rPr>
          <w:szCs w:val="18"/>
        </w:rPr>
        <w:t>/7/6, appendice II, sect</w:t>
      </w:r>
      <w:r w:rsidR="00FF159A">
        <w:rPr>
          <w:szCs w:val="18"/>
        </w:rPr>
        <w:t>.</w:t>
      </w:r>
      <w:r w:rsidR="00881550">
        <w:rPr>
          <w:szCs w:val="18"/>
        </w:rPr>
        <w:t> </w:t>
      </w:r>
      <w:r w:rsidR="00FA524F">
        <w:rPr>
          <w:szCs w:val="18"/>
        </w:rPr>
        <w:t>IV.</w:t>
      </w:r>
    </w:p>
  </w:footnote>
  <w:footnote w:id="17">
    <w:p w14:paraId="5B370A2D" w14:textId="4FE93484" w:rsidR="00464576" w:rsidRPr="0012125D" w:rsidRDefault="00464576" w:rsidP="00464576">
      <w:pPr>
        <w:pStyle w:val="FootnoteText"/>
        <w:rPr>
          <w:szCs w:val="18"/>
        </w:rPr>
      </w:pPr>
      <w:r w:rsidRPr="0012125D">
        <w:rPr>
          <w:rStyle w:val="FootnoteReference"/>
          <w:sz w:val="18"/>
        </w:rPr>
        <w:footnoteRef/>
      </w:r>
      <w:r w:rsidRPr="0012125D">
        <w:rPr>
          <w:szCs w:val="18"/>
        </w:rPr>
        <w:t xml:space="preserve"> </w:t>
      </w:r>
      <w:r w:rsidR="00FA524F" w:rsidRPr="0012125D">
        <w:rPr>
          <w:szCs w:val="18"/>
        </w:rPr>
        <w:t>Voir décisi</w:t>
      </w:r>
      <w:r w:rsidR="00FA524F">
        <w:rPr>
          <w:szCs w:val="18"/>
        </w:rPr>
        <w:t>on IPBES-3/3, annexe I, sect</w:t>
      </w:r>
      <w:r w:rsidR="00FF159A">
        <w:rPr>
          <w:szCs w:val="18"/>
        </w:rPr>
        <w:t>.</w:t>
      </w:r>
      <w:r w:rsidR="00FA524F">
        <w:rPr>
          <w:szCs w:val="18"/>
        </w:rPr>
        <w:t> </w:t>
      </w:r>
      <w:r w:rsidR="00FA524F" w:rsidRPr="0012125D">
        <w:rPr>
          <w:szCs w:val="18"/>
        </w:rPr>
        <w:t>3.2.</w:t>
      </w:r>
    </w:p>
  </w:footnote>
  <w:footnote w:id="18">
    <w:p w14:paraId="698E487F" w14:textId="3102568B" w:rsidR="00464576" w:rsidRPr="0012125D" w:rsidRDefault="00464576" w:rsidP="00464576">
      <w:pPr>
        <w:pStyle w:val="FootnoteText"/>
        <w:rPr>
          <w:szCs w:val="18"/>
        </w:rPr>
      </w:pPr>
      <w:r w:rsidRPr="0012125D">
        <w:rPr>
          <w:rStyle w:val="FootnoteReference"/>
          <w:sz w:val="18"/>
        </w:rPr>
        <w:footnoteRef/>
      </w:r>
      <w:r w:rsidRPr="0012125D">
        <w:rPr>
          <w:szCs w:val="18"/>
        </w:rPr>
        <w:t xml:space="preserve"> Décision IPBES-3/</w:t>
      </w:r>
      <w:r>
        <w:rPr>
          <w:szCs w:val="18"/>
        </w:rPr>
        <w:t xml:space="preserve">3, </w:t>
      </w:r>
      <w:r w:rsidR="00B27619">
        <w:rPr>
          <w:szCs w:val="18"/>
        </w:rPr>
        <w:t>annexe </w:t>
      </w:r>
      <w:r>
        <w:rPr>
          <w:szCs w:val="18"/>
        </w:rPr>
        <w:t xml:space="preserve">I, </w:t>
      </w:r>
      <w:r w:rsidR="00B27619">
        <w:rPr>
          <w:szCs w:val="18"/>
        </w:rPr>
        <w:t>sect</w:t>
      </w:r>
      <w:r w:rsidR="00FF159A">
        <w:rPr>
          <w:szCs w:val="18"/>
        </w:rPr>
        <w:t>.</w:t>
      </w:r>
      <w:r w:rsidR="00B27619">
        <w:rPr>
          <w:szCs w:val="18"/>
        </w:rPr>
        <w:t> </w:t>
      </w:r>
      <w:r>
        <w:rPr>
          <w:szCs w:val="18"/>
        </w:rPr>
        <w:t>4.</w:t>
      </w:r>
    </w:p>
  </w:footnote>
  <w:footnote w:id="19">
    <w:p w14:paraId="12801C69" w14:textId="35D5CECA" w:rsidR="00464576" w:rsidRPr="0012125D" w:rsidRDefault="00464576" w:rsidP="00464576">
      <w:pPr>
        <w:pStyle w:val="FootnoteText"/>
        <w:rPr>
          <w:szCs w:val="18"/>
        </w:rPr>
      </w:pPr>
      <w:r w:rsidRPr="0012125D">
        <w:rPr>
          <w:rStyle w:val="FootnoteReference"/>
          <w:sz w:val="18"/>
        </w:rPr>
        <w:footnoteRef/>
      </w:r>
      <w:r w:rsidRPr="0012125D">
        <w:rPr>
          <w:szCs w:val="18"/>
        </w:rPr>
        <w:t xml:space="preserve"> </w:t>
      </w:r>
      <w:r w:rsidR="009A61C4" w:rsidRPr="0012125D">
        <w:rPr>
          <w:szCs w:val="18"/>
        </w:rPr>
        <w:t>IPBES</w:t>
      </w:r>
      <w:r w:rsidR="009A61C4">
        <w:rPr>
          <w:szCs w:val="18"/>
        </w:rPr>
        <w:t>/7/6, appendice II, sect</w:t>
      </w:r>
      <w:r w:rsidR="00FF159A">
        <w:rPr>
          <w:szCs w:val="18"/>
        </w:rPr>
        <w:t>.</w:t>
      </w:r>
      <w:r w:rsidR="009A61C4">
        <w:rPr>
          <w:szCs w:val="18"/>
        </w:rPr>
        <w:t> II.</w:t>
      </w:r>
    </w:p>
  </w:footnote>
  <w:footnote w:id="20">
    <w:p w14:paraId="57CEADAD" w14:textId="0E7D7CF2" w:rsidR="00464576" w:rsidRPr="0012125D" w:rsidRDefault="00464576" w:rsidP="00464576">
      <w:pPr>
        <w:pStyle w:val="FootnoteText"/>
        <w:tabs>
          <w:tab w:val="clear" w:pos="1247"/>
          <w:tab w:val="clear" w:pos="1814"/>
          <w:tab w:val="clear" w:pos="2381"/>
          <w:tab w:val="clear" w:pos="2948"/>
          <w:tab w:val="clear" w:pos="3515"/>
          <w:tab w:val="clear" w:pos="4082"/>
        </w:tabs>
        <w:rPr>
          <w:szCs w:val="18"/>
        </w:rPr>
      </w:pPr>
      <w:r w:rsidRPr="0012125D">
        <w:rPr>
          <w:rStyle w:val="FootnoteReference"/>
          <w:sz w:val="18"/>
        </w:rPr>
        <w:footnoteRef/>
      </w:r>
      <w:r w:rsidR="00B27619">
        <w:rPr>
          <w:szCs w:val="18"/>
        </w:rPr>
        <w:t xml:space="preserve"> </w:t>
      </w:r>
      <w:r w:rsidR="009A61C4">
        <w:rPr>
          <w:szCs w:val="18"/>
        </w:rPr>
        <w:t>Décision IPBES-3/3, annexe I, sect</w:t>
      </w:r>
      <w:r w:rsidR="00FF159A">
        <w:rPr>
          <w:szCs w:val="18"/>
        </w:rPr>
        <w:t>.</w:t>
      </w:r>
      <w:r w:rsidR="009A61C4">
        <w:rPr>
          <w:szCs w:val="18"/>
        </w:rPr>
        <w:t> 4.</w:t>
      </w:r>
    </w:p>
  </w:footnote>
  <w:footnote w:id="21">
    <w:p w14:paraId="2EE9B544" w14:textId="4C46599A" w:rsidR="00464576" w:rsidRPr="0012125D" w:rsidRDefault="00464576" w:rsidP="00464576">
      <w:pPr>
        <w:pStyle w:val="FootnoteText"/>
        <w:tabs>
          <w:tab w:val="clear" w:pos="1247"/>
          <w:tab w:val="clear" w:pos="1814"/>
          <w:tab w:val="clear" w:pos="2381"/>
          <w:tab w:val="clear" w:pos="2948"/>
          <w:tab w:val="clear" w:pos="3515"/>
          <w:tab w:val="clear" w:pos="4082"/>
        </w:tabs>
        <w:rPr>
          <w:szCs w:val="18"/>
        </w:rPr>
      </w:pPr>
      <w:r w:rsidRPr="0012125D">
        <w:rPr>
          <w:rStyle w:val="FootnoteReference"/>
          <w:sz w:val="18"/>
        </w:rPr>
        <w:footnoteRef/>
      </w:r>
      <w:r w:rsidRPr="0012125D">
        <w:rPr>
          <w:szCs w:val="18"/>
        </w:rPr>
        <w:t xml:space="preserve"> </w:t>
      </w:r>
      <w:r w:rsidR="009A61C4" w:rsidRPr="0012125D">
        <w:rPr>
          <w:szCs w:val="18"/>
        </w:rPr>
        <w:t>Disponible à l</w:t>
      </w:r>
      <w:r w:rsidR="009A61C4">
        <w:rPr>
          <w:szCs w:val="18"/>
        </w:rPr>
        <w:t>’</w:t>
      </w:r>
      <w:r w:rsidR="009A61C4" w:rsidRPr="0012125D">
        <w:rPr>
          <w:szCs w:val="18"/>
        </w:rPr>
        <w:t xml:space="preserve">adresse suivante : </w:t>
      </w:r>
      <w:hyperlink r:id="rId1" w:history="1">
        <w:r w:rsidR="009A61C4" w:rsidRPr="00241D7E">
          <w:rPr>
            <w:rStyle w:val="Hyperlink"/>
            <w:sz w:val="18"/>
            <w:szCs w:val="18"/>
            <w:lang w:val="fr-CA"/>
          </w:rPr>
          <w:t>https://www.ipbes.net/guide-production-assessments</w:t>
        </w:r>
      </w:hyperlink>
      <w:r w:rsidR="009A61C4">
        <w:rPr>
          <w:szCs w:val="18"/>
        </w:rPr>
        <w:t>.</w:t>
      </w:r>
    </w:p>
  </w:footnote>
  <w:footnote w:id="22">
    <w:p w14:paraId="56DBCF5D" w14:textId="3D799998" w:rsidR="00464576" w:rsidRPr="0012125D" w:rsidRDefault="00464576" w:rsidP="00464576">
      <w:pPr>
        <w:pStyle w:val="FootnoteText"/>
        <w:tabs>
          <w:tab w:val="clear" w:pos="1247"/>
          <w:tab w:val="clear" w:pos="1814"/>
          <w:tab w:val="clear" w:pos="2381"/>
          <w:tab w:val="clear" w:pos="2948"/>
          <w:tab w:val="clear" w:pos="3515"/>
          <w:tab w:val="clear" w:pos="4082"/>
        </w:tabs>
        <w:rPr>
          <w:szCs w:val="18"/>
        </w:rPr>
      </w:pPr>
      <w:r w:rsidRPr="0012125D">
        <w:rPr>
          <w:rStyle w:val="FootnoteReference"/>
          <w:sz w:val="18"/>
        </w:rPr>
        <w:footnoteRef/>
      </w:r>
      <w:r w:rsidRPr="0012125D">
        <w:rPr>
          <w:szCs w:val="18"/>
        </w:rPr>
        <w:t xml:space="preserve"> </w:t>
      </w:r>
      <w:r w:rsidR="009A61C4" w:rsidRPr="0012125D">
        <w:rPr>
          <w:szCs w:val="18"/>
        </w:rPr>
        <w:t>Le projet de mandat figure dans la section II de l</w:t>
      </w:r>
      <w:r w:rsidR="009A61C4">
        <w:rPr>
          <w:szCs w:val="18"/>
        </w:rPr>
        <w:t>’</w:t>
      </w:r>
      <w:r w:rsidR="009A61C4" w:rsidRPr="0012125D">
        <w:rPr>
          <w:szCs w:val="18"/>
        </w:rPr>
        <w:t>app</w:t>
      </w:r>
      <w:r w:rsidR="009A61C4">
        <w:rPr>
          <w:szCs w:val="18"/>
        </w:rPr>
        <w:t>endice I du document IPBES/7/6.</w:t>
      </w:r>
    </w:p>
  </w:footnote>
  <w:footnote w:id="23">
    <w:p w14:paraId="49AEFE92" w14:textId="136291D5" w:rsidR="00464576" w:rsidRPr="0012125D" w:rsidRDefault="00464576" w:rsidP="00464576">
      <w:pPr>
        <w:pStyle w:val="FootnoteText"/>
        <w:tabs>
          <w:tab w:val="clear" w:pos="1247"/>
          <w:tab w:val="clear" w:pos="1814"/>
          <w:tab w:val="clear" w:pos="2381"/>
          <w:tab w:val="clear" w:pos="2948"/>
          <w:tab w:val="clear" w:pos="3515"/>
          <w:tab w:val="clear" w:pos="4082"/>
        </w:tabs>
        <w:rPr>
          <w:szCs w:val="18"/>
        </w:rPr>
      </w:pPr>
      <w:r w:rsidRPr="0012125D">
        <w:rPr>
          <w:rStyle w:val="FootnoteReference"/>
          <w:sz w:val="18"/>
        </w:rPr>
        <w:footnoteRef/>
      </w:r>
      <w:r w:rsidRPr="0012125D">
        <w:rPr>
          <w:szCs w:val="18"/>
        </w:rPr>
        <w:t xml:space="preserve"> </w:t>
      </w:r>
      <w:r w:rsidR="009A61C4" w:rsidRPr="0012125D">
        <w:rPr>
          <w:szCs w:val="18"/>
        </w:rPr>
        <w:t>IPBES/7/INF/7, sect</w:t>
      </w:r>
      <w:r w:rsidR="00FF159A">
        <w:rPr>
          <w:szCs w:val="18"/>
        </w:rPr>
        <w:t>.</w:t>
      </w:r>
      <w:r w:rsidR="009A61C4" w:rsidRPr="0012125D">
        <w:rPr>
          <w:szCs w:val="18"/>
        </w:rPr>
        <w:t xml:space="preserve"> [   ].</w:t>
      </w:r>
    </w:p>
  </w:footnote>
  <w:footnote w:id="24">
    <w:p w14:paraId="5969146F" w14:textId="35C39C19" w:rsidR="00464576" w:rsidRPr="0012125D" w:rsidRDefault="00464576" w:rsidP="009E319B">
      <w:pPr>
        <w:pStyle w:val="FootnoteText"/>
        <w:tabs>
          <w:tab w:val="clear" w:pos="1247"/>
          <w:tab w:val="clear" w:pos="1814"/>
          <w:tab w:val="clear" w:pos="2381"/>
          <w:tab w:val="clear" w:pos="2948"/>
          <w:tab w:val="clear" w:pos="3515"/>
          <w:tab w:val="clear" w:pos="4082"/>
        </w:tabs>
        <w:rPr>
          <w:szCs w:val="18"/>
        </w:rPr>
      </w:pPr>
      <w:r w:rsidRPr="0012125D">
        <w:rPr>
          <w:rStyle w:val="FootnoteReference"/>
          <w:sz w:val="18"/>
        </w:rPr>
        <w:footnoteRef/>
      </w:r>
      <w:r w:rsidRPr="0012125D">
        <w:rPr>
          <w:szCs w:val="18"/>
        </w:rPr>
        <w:t xml:space="preserve"> </w:t>
      </w:r>
      <w:r w:rsidR="009A61C4" w:rsidRPr="0012125D">
        <w:rPr>
          <w:szCs w:val="18"/>
        </w:rPr>
        <w:t>Le projet de mandat figure dans la section</w:t>
      </w:r>
      <w:r w:rsidR="009A61C4">
        <w:rPr>
          <w:szCs w:val="18"/>
        </w:rPr>
        <w:t> </w:t>
      </w:r>
      <w:r w:rsidR="009A61C4" w:rsidRPr="0012125D">
        <w:rPr>
          <w:szCs w:val="18"/>
        </w:rPr>
        <w:t>III de l</w:t>
      </w:r>
      <w:r w:rsidR="009A61C4">
        <w:rPr>
          <w:szCs w:val="18"/>
        </w:rPr>
        <w:t>’</w:t>
      </w:r>
      <w:r w:rsidR="009A61C4" w:rsidRPr="0012125D">
        <w:rPr>
          <w:szCs w:val="18"/>
        </w:rPr>
        <w:t>app</w:t>
      </w:r>
      <w:r w:rsidR="009A61C4">
        <w:rPr>
          <w:szCs w:val="18"/>
        </w:rPr>
        <w:t>endice I du document IPBES/7/6.</w:t>
      </w:r>
    </w:p>
  </w:footnote>
  <w:footnote w:id="25">
    <w:p w14:paraId="2F41C7A8" w14:textId="2E6B1549" w:rsidR="00464576" w:rsidRPr="0012125D" w:rsidRDefault="00464576" w:rsidP="00464576">
      <w:pPr>
        <w:pStyle w:val="FootnoteText"/>
        <w:tabs>
          <w:tab w:val="clear" w:pos="1247"/>
          <w:tab w:val="clear" w:pos="1814"/>
          <w:tab w:val="clear" w:pos="2381"/>
          <w:tab w:val="clear" w:pos="2948"/>
          <w:tab w:val="clear" w:pos="3515"/>
          <w:tab w:val="clear" w:pos="4082"/>
        </w:tabs>
        <w:rPr>
          <w:szCs w:val="18"/>
        </w:rPr>
      </w:pPr>
      <w:r w:rsidRPr="0012125D">
        <w:rPr>
          <w:rStyle w:val="FootnoteReference"/>
          <w:sz w:val="18"/>
        </w:rPr>
        <w:footnoteRef/>
      </w:r>
      <w:r w:rsidRPr="0012125D">
        <w:rPr>
          <w:szCs w:val="18"/>
        </w:rPr>
        <w:t xml:space="preserve"> </w:t>
      </w:r>
      <w:r w:rsidR="009A61C4" w:rsidRPr="0012125D">
        <w:rPr>
          <w:szCs w:val="18"/>
        </w:rPr>
        <w:t>Le projet d</w:t>
      </w:r>
      <w:r w:rsidR="009A61C4">
        <w:rPr>
          <w:szCs w:val="18"/>
        </w:rPr>
        <w:t>e mandat figure dans la section </w:t>
      </w:r>
      <w:r w:rsidR="009A61C4" w:rsidRPr="0012125D">
        <w:rPr>
          <w:szCs w:val="18"/>
        </w:rPr>
        <w:t>IV de l</w:t>
      </w:r>
      <w:r w:rsidR="009A61C4">
        <w:rPr>
          <w:szCs w:val="18"/>
        </w:rPr>
        <w:t>’</w:t>
      </w:r>
      <w:r w:rsidR="009A61C4" w:rsidRPr="0012125D">
        <w:rPr>
          <w:szCs w:val="18"/>
        </w:rPr>
        <w:t>app</w:t>
      </w:r>
      <w:r w:rsidR="009A61C4">
        <w:rPr>
          <w:szCs w:val="18"/>
        </w:rPr>
        <w:t>endice I du document IPBES/7/6.</w:t>
      </w:r>
    </w:p>
  </w:footnote>
  <w:footnote w:id="26">
    <w:p w14:paraId="09955000" w14:textId="42FB20CC" w:rsidR="00464576" w:rsidRPr="0012125D" w:rsidRDefault="00464576" w:rsidP="00464576">
      <w:pPr>
        <w:pStyle w:val="FootnoteText"/>
        <w:tabs>
          <w:tab w:val="clear" w:pos="1247"/>
          <w:tab w:val="clear" w:pos="1814"/>
          <w:tab w:val="clear" w:pos="2381"/>
          <w:tab w:val="clear" w:pos="2948"/>
          <w:tab w:val="clear" w:pos="3515"/>
          <w:tab w:val="clear" w:pos="4082"/>
        </w:tabs>
        <w:rPr>
          <w:szCs w:val="18"/>
        </w:rPr>
      </w:pPr>
      <w:r w:rsidRPr="0012125D">
        <w:rPr>
          <w:rStyle w:val="FootnoteReference"/>
          <w:sz w:val="18"/>
        </w:rPr>
        <w:footnoteRef/>
      </w:r>
      <w:r w:rsidRPr="0012125D">
        <w:rPr>
          <w:szCs w:val="18"/>
        </w:rPr>
        <w:t xml:space="preserve"> </w:t>
      </w:r>
      <w:r w:rsidR="009A61C4" w:rsidRPr="0012125D">
        <w:rPr>
          <w:szCs w:val="18"/>
        </w:rPr>
        <w:t>IPBES/7/INF/9, sect</w:t>
      </w:r>
      <w:r w:rsidR="00FF159A">
        <w:rPr>
          <w:szCs w:val="18"/>
        </w:rPr>
        <w:t>.</w:t>
      </w:r>
      <w:r w:rsidR="009A61C4" w:rsidRPr="0012125D">
        <w:rPr>
          <w:szCs w:val="18"/>
        </w:rPr>
        <w:t xml:space="preserve"> [   ].</w:t>
      </w:r>
    </w:p>
  </w:footnote>
  <w:footnote w:id="27">
    <w:p w14:paraId="402ACCEB" w14:textId="5F9F5263" w:rsidR="00464576" w:rsidRPr="0012125D" w:rsidRDefault="00464576" w:rsidP="00464576">
      <w:pPr>
        <w:pStyle w:val="FootnoteText"/>
        <w:tabs>
          <w:tab w:val="clear" w:pos="1247"/>
          <w:tab w:val="clear" w:pos="1814"/>
          <w:tab w:val="clear" w:pos="2381"/>
          <w:tab w:val="clear" w:pos="2948"/>
          <w:tab w:val="clear" w:pos="3515"/>
          <w:tab w:val="clear" w:pos="4082"/>
        </w:tabs>
        <w:rPr>
          <w:szCs w:val="18"/>
        </w:rPr>
      </w:pPr>
      <w:r w:rsidRPr="0012125D">
        <w:rPr>
          <w:rStyle w:val="FootnoteReference"/>
          <w:sz w:val="18"/>
        </w:rPr>
        <w:footnoteRef/>
      </w:r>
      <w:r w:rsidRPr="0012125D">
        <w:rPr>
          <w:szCs w:val="18"/>
        </w:rPr>
        <w:t xml:space="preserve"> </w:t>
      </w:r>
      <w:r w:rsidR="009A61C4" w:rsidRPr="0012125D">
        <w:rPr>
          <w:szCs w:val="18"/>
        </w:rPr>
        <w:t>IPBES/7/INF/8, sect</w:t>
      </w:r>
      <w:r w:rsidR="00FF159A">
        <w:rPr>
          <w:szCs w:val="18"/>
        </w:rPr>
        <w:t>.</w:t>
      </w:r>
      <w:r w:rsidR="009A61C4" w:rsidRPr="0012125D">
        <w:rPr>
          <w:szCs w:val="18"/>
        </w:rPr>
        <w:t xml:space="preserve"> [   ].</w:t>
      </w:r>
    </w:p>
  </w:footnote>
  <w:footnote w:id="28">
    <w:p w14:paraId="450420B2" w14:textId="6B7C8588" w:rsidR="00464576" w:rsidRPr="0012125D" w:rsidRDefault="00464576" w:rsidP="00464576">
      <w:pPr>
        <w:pStyle w:val="FootnoteText"/>
        <w:tabs>
          <w:tab w:val="clear" w:pos="1247"/>
          <w:tab w:val="clear" w:pos="1814"/>
          <w:tab w:val="clear" w:pos="2381"/>
          <w:tab w:val="clear" w:pos="2948"/>
          <w:tab w:val="clear" w:pos="3515"/>
          <w:tab w:val="clear" w:pos="4082"/>
        </w:tabs>
        <w:rPr>
          <w:szCs w:val="18"/>
        </w:rPr>
      </w:pPr>
      <w:r w:rsidRPr="0012125D">
        <w:rPr>
          <w:rStyle w:val="FootnoteReference"/>
          <w:sz w:val="18"/>
        </w:rPr>
        <w:footnoteRef/>
      </w:r>
      <w:r w:rsidRPr="0012125D">
        <w:rPr>
          <w:szCs w:val="18"/>
        </w:rPr>
        <w:t xml:space="preserve"> </w:t>
      </w:r>
      <w:r w:rsidR="002D552B" w:rsidRPr="0012125D">
        <w:rPr>
          <w:szCs w:val="18"/>
        </w:rPr>
        <w:t>Le projet d</w:t>
      </w:r>
      <w:r w:rsidR="002D552B">
        <w:rPr>
          <w:szCs w:val="18"/>
        </w:rPr>
        <w:t>e mandat figure dans la section </w:t>
      </w:r>
      <w:r w:rsidR="002D552B" w:rsidRPr="0012125D">
        <w:rPr>
          <w:szCs w:val="18"/>
        </w:rPr>
        <w:t>VI de l</w:t>
      </w:r>
      <w:r w:rsidR="002D552B">
        <w:rPr>
          <w:szCs w:val="18"/>
        </w:rPr>
        <w:t>’</w:t>
      </w:r>
      <w:r w:rsidR="002D552B" w:rsidRPr="0012125D">
        <w:rPr>
          <w:szCs w:val="18"/>
        </w:rPr>
        <w:t>app</w:t>
      </w:r>
      <w:r w:rsidR="002D552B">
        <w:rPr>
          <w:szCs w:val="18"/>
        </w:rPr>
        <w:t>endice I du document IPBES/7/6.</w:t>
      </w:r>
    </w:p>
  </w:footnote>
  <w:footnote w:id="29">
    <w:p w14:paraId="4A6737E3" w14:textId="01BE42EE" w:rsidR="00464576" w:rsidRPr="0012125D" w:rsidRDefault="00464576" w:rsidP="00464576">
      <w:pPr>
        <w:pStyle w:val="FootnoteText"/>
        <w:rPr>
          <w:szCs w:val="18"/>
        </w:rPr>
      </w:pPr>
      <w:r w:rsidRPr="0012125D">
        <w:rPr>
          <w:rStyle w:val="FootnoteReference"/>
          <w:sz w:val="18"/>
        </w:rPr>
        <w:footnoteRef/>
      </w:r>
      <w:r w:rsidRPr="0012125D">
        <w:rPr>
          <w:szCs w:val="18"/>
        </w:rPr>
        <w:t xml:space="preserve"> </w:t>
      </w:r>
      <w:r w:rsidR="002D552B" w:rsidRPr="0012125D">
        <w:rPr>
          <w:szCs w:val="18"/>
        </w:rPr>
        <w:t>Le projet de mandat figure dans la section V de l</w:t>
      </w:r>
      <w:r w:rsidR="002D552B">
        <w:rPr>
          <w:szCs w:val="18"/>
        </w:rPr>
        <w:t>’</w:t>
      </w:r>
      <w:r w:rsidR="002D552B" w:rsidRPr="0012125D">
        <w:rPr>
          <w:szCs w:val="18"/>
        </w:rPr>
        <w:t>appendice</w:t>
      </w:r>
      <w:r w:rsidR="002D552B">
        <w:rPr>
          <w:szCs w:val="18"/>
        </w:rPr>
        <w:t xml:space="preserve"> I du document IPBES/7/6.</w:t>
      </w:r>
    </w:p>
  </w:footnote>
  <w:footnote w:id="30">
    <w:p w14:paraId="74D7D687" w14:textId="6DF12873" w:rsidR="00464576" w:rsidRPr="0012125D" w:rsidRDefault="00464576" w:rsidP="00464576">
      <w:pPr>
        <w:pStyle w:val="FootnoteText"/>
        <w:rPr>
          <w:szCs w:val="18"/>
        </w:rPr>
      </w:pPr>
      <w:r w:rsidRPr="0012125D">
        <w:rPr>
          <w:rStyle w:val="FootnoteReference"/>
          <w:sz w:val="18"/>
        </w:rPr>
        <w:footnoteRef/>
      </w:r>
      <w:r w:rsidRPr="0012125D">
        <w:rPr>
          <w:szCs w:val="18"/>
        </w:rPr>
        <w:t xml:space="preserve"> </w:t>
      </w:r>
      <w:r w:rsidR="002D552B" w:rsidRPr="0012125D">
        <w:rPr>
          <w:szCs w:val="18"/>
        </w:rPr>
        <w:t>IPBES/7/INF/13, sect</w:t>
      </w:r>
      <w:r w:rsidR="00FF159A">
        <w:rPr>
          <w:szCs w:val="18"/>
        </w:rPr>
        <w:t>.</w:t>
      </w:r>
      <w:r w:rsidR="002D552B" w:rsidRPr="0012125D">
        <w:rPr>
          <w:szCs w:val="18"/>
        </w:rPr>
        <w:t xml:space="preserve"> [   ].</w:t>
      </w:r>
    </w:p>
  </w:footnote>
  <w:footnote w:id="31">
    <w:p w14:paraId="174DFBCC" w14:textId="51C6470D" w:rsidR="00464576" w:rsidRPr="0012125D" w:rsidRDefault="00464576" w:rsidP="00464576">
      <w:pPr>
        <w:pStyle w:val="FootnoteText"/>
        <w:rPr>
          <w:szCs w:val="18"/>
        </w:rPr>
      </w:pPr>
      <w:r w:rsidRPr="0012125D">
        <w:rPr>
          <w:rStyle w:val="FootnoteReference"/>
          <w:sz w:val="18"/>
        </w:rPr>
        <w:footnoteRef/>
      </w:r>
      <w:r w:rsidRPr="0012125D">
        <w:rPr>
          <w:szCs w:val="18"/>
        </w:rPr>
        <w:t xml:space="preserve"> </w:t>
      </w:r>
      <w:r w:rsidR="002D552B" w:rsidRPr="0012125D">
        <w:rPr>
          <w:szCs w:val="18"/>
        </w:rPr>
        <w:t>IPBES/7/INF/11, sect</w:t>
      </w:r>
      <w:r w:rsidR="00FF159A">
        <w:rPr>
          <w:szCs w:val="18"/>
        </w:rPr>
        <w:t>.</w:t>
      </w:r>
      <w:r w:rsidR="002D552B" w:rsidRPr="0012125D">
        <w:rPr>
          <w:szCs w:val="18"/>
        </w:rPr>
        <w:t xml:space="preserve"> [   ].</w:t>
      </w:r>
    </w:p>
  </w:footnote>
  <w:footnote w:id="32">
    <w:p w14:paraId="25C1733D" w14:textId="147B8040" w:rsidR="00464576" w:rsidRPr="0012125D" w:rsidRDefault="00464576" w:rsidP="00464576">
      <w:pPr>
        <w:pStyle w:val="FootnoteText"/>
        <w:rPr>
          <w:szCs w:val="18"/>
        </w:rPr>
      </w:pPr>
      <w:r w:rsidRPr="0012125D">
        <w:rPr>
          <w:rStyle w:val="FootnoteReference"/>
          <w:sz w:val="18"/>
        </w:rPr>
        <w:footnoteRef/>
      </w:r>
      <w:r w:rsidRPr="0012125D">
        <w:rPr>
          <w:szCs w:val="18"/>
        </w:rPr>
        <w:t xml:space="preserve"> </w:t>
      </w:r>
      <w:r w:rsidR="0065219F" w:rsidRPr="0012125D">
        <w:rPr>
          <w:szCs w:val="18"/>
        </w:rPr>
        <w:t>Voir UNEP/IPBES.MI/2/9, annexe</w:t>
      </w:r>
      <w:r w:rsidR="0065219F">
        <w:rPr>
          <w:szCs w:val="18"/>
        </w:rPr>
        <w:t> I, appendice I, sect</w:t>
      </w:r>
      <w:r w:rsidR="00FF159A">
        <w:rPr>
          <w:szCs w:val="18"/>
        </w:rPr>
        <w:t>.</w:t>
      </w:r>
      <w:r w:rsidR="0065219F">
        <w:rPr>
          <w:szCs w:val="18"/>
        </w:rPr>
        <w:t> </w:t>
      </w:r>
      <w:r w:rsidR="0065219F" w:rsidRPr="0012125D">
        <w:rPr>
          <w:szCs w:val="18"/>
        </w:rPr>
        <w:t>II.</w:t>
      </w:r>
    </w:p>
  </w:footnote>
  <w:footnote w:id="33">
    <w:p w14:paraId="096EB27F" w14:textId="018E0257" w:rsidR="00464576" w:rsidRPr="0012125D" w:rsidRDefault="00464576" w:rsidP="00464576">
      <w:pPr>
        <w:pStyle w:val="FootnoteText"/>
        <w:tabs>
          <w:tab w:val="left" w:pos="624"/>
        </w:tabs>
        <w:rPr>
          <w:szCs w:val="18"/>
        </w:rPr>
      </w:pPr>
      <w:r w:rsidRPr="0012125D">
        <w:rPr>
          <w:rStyle w:val="FootnoteReference"/>
          <w:sz w:val="18"/>
        </w:rPr>
        <w:footnoteRef/>
      </w:r>
      <w:r w:rsidRPr="0012125D">
        <w:rPr>
          <w:szCs w:val="18"/>
        </w:rPr>
        <w:t xml:space="preserve"> </w:t>
      </w:r>
      <w:r w:rsidR="0065219F" w:rsidRPr="0012125D">
        <w:rPr>
          <w:szCs w:val="18"/>
        </w:rPr>
        <w:t>La ve</w:t>
      </w:r>
      <w:r w:rsidR="0065219F">
        <w:rPr>
          <w:szCs w:val="18"/>
        </w:rPr>
        <w:t>rsion préliminaire des tableaux </w:t>
      </w:r>
      <w:r w:rsidR="0065219F" w:rsidRPr="0012125D">
        <w:rPr>
          <w:szCs w:val="18"/>
        </w:rPr>
        <w:t>1, 2 et 3 est reprodu</w:t>
      </w:r>
      <w:r w:rsidR="0065219F">
        <w:rPr>
          <w:szCs w:val="18"/>
        </w:rPr>
        <w:t>ite dans le document IPBES/7/4.</w:t>
      </w:r>
    </w:p>
  </w:footnote>
  <w:footnote w:id="34">
    <w:p w14:paraId="76C2629D" w14:textId="5FECF3C9" w:rsidR="00464576" w:rsidRPr="0012125D" w:rsidRDefault="00464576" w:rsidP="00464576">
      <w:pPr>
        <w:pStyle w:val="FootnoteText"/>
        <w:tabs>
          <w:tab w:val="left" w:pos="624"/>
        </w:tabs>
        <w:rPr>
          <w:szCs w:val="18"/>
        </w:rPr>
      </w:pPr>
      <w:r w:rsidRPr="0012125D">
        <w:rPr>
          <w:rStyle w:val="FootnoteReference"/>
          <w:sz w:val="18"/>
        </w:rPr>
        <w:footnoteRef/>
      </w:r>
      <w:r w:rsidRPr="0012125D">
        <w:rPr>
          <w:szCs w:val="18"/>
        </w:rPr>
        <w:t xml:space="preserve"> </w:t>
      </w:r>
      <w:r w:rsidR="0065219F" w:rsidRPr="0012125D">
        <w:rPr>
          <w:szCs w:val="18"/>
        </w:rPr>
        <w:t>La ve</w:t>
      </w:r>
      <w:r w:rsidR="0065219F">
        <w:rPr>
          <w:szCs w:val="18"/>
        </w:rPr>
        <w:t>rsion préliminaire des tableaux </w:t>
      </w:r>
      <w:r w:rsidR="0065219F" w:rsidRPr="0012125D">
        <w:rPr>
          <w:szCs w:val="18"/>
        </w:rPr>
        <w:t>5 et 6 est reproduite dans le document IPBES/7/4.</w:t>
      </w:r>
    </w:p>
  </w:footnote>
  <w:footnote w:id="35">
    <w:p w14:paraId="1A4E0EE2" w14:textId="146FA85A" w:rsidR="00464576" w:rsidRPr="0012125D" w:rsidRDefault="00464576" w:rsidP="00464576">
      <w:pPr>
        <w:pStyle w:val="FootnoteText"/>
        <w:tabs>
          <w:tab w:val="left" w:pos="624"/>
        </w:tabs>
        <w:rPr>
          <w:szCs w:val="18"/>
        </w:rPr>
      </w:pPr>
      <w:r w:rsidRPr="0012125D">
        <w:rPr>
          <w:rStyle w:val="FootnoteReference"/>
          <w:sz w:val="18"/>
        </w:rPr>
        <w:footnoteRef/>
      </w:r>
      <w:r w:rsidRPr="0012125D">
        <w:rPr>
          <w:szCs w:val="18"/>
        </w:rPr>
        <w:t xml:space="preserve"> </w:t>
      </w:r>
      <w:r w:rsidR="0065219F" w:rsidRPr="0012125D">
        <w:rPr>
          <w:szCs w:val="18"/>
        </w:rPr>
        <w:t xml:space="preserve">Le projet de budget révisé </w:t>
      </w:r>
      <w:r w:rsidR="0065219F">
        <w:rPr>
          <w:szCs w:val="18"/>
        </w:rPr>
        <w:t>de</w:t>
      </w:r>
      <w:r w:rsidR="00881550">
        <w:rPr>
          <w:szCs w:val="18"/>
        </w:rPr>
        <w:t xml:space="preserve"> 2019 figure au tableau </w:t>
      </w:r>
      <w:r w:rsidR="0065219F" w:rsidRPr="0012125D">
        <w:rPr>
          <w:szCs w:val="18"/>
        </w:rPr>
        <w:t>7 du document IPBES/7/4.</w:t>
      </w:r>
    </w:p>
  </w:footnote>
  <w:footnote w:id="36">
    <w:p w14:paraId="3F9DB2AB" w14:textId="68032492" w:rsidR="00464576" w:rsidRPr="0012125D" w:rsidRDefault="00464576" w:rsidP="00464576">
      <w:pPr>
        <w:pStyle w:val="FootnoteText"/>
        <w:tabs>
          <w:tab w:val="left" w:pos="624"/>
        </w:tabs>
        <w:rPr>
          <w:szCs w:val="18"/>
        </w:rPr>
      </w:pPr>
      <w:r w:rsidRPr="0012125D">
        <w:rPr>
          <w:rStyle w:val="FootnoteReference"/>
          <w:sz w:val="18"/>
        </w:rPr>
        <w:footnoteRef/>
      </w:r>
      <w:r w:rsidRPr="0012125D">
        <w:rPr>
          <w:szCs w:val="18"/>
        </w:rPr>
        <w:t xml:space="preserve"> </w:t>
      </w:r>
      <w:r w:rsidR="0065219F" w:rsidRPr="0012125D">
        <w:rPr>
          <w:szCs w:val="18"/>
        </w:rPr>
        <w:t>La version préliminaire du projet de bud</w:t>
      </w:r>
      <w:r w:rsidR="0065219F">
        <w:rPr>
          <w:szCs w:val="18"/>
        </w:rPr>
        <w:t>get pour 2020 figure au tableau </w:t>
      </w:r>
      <w:r w:rsidR="0065219F" w:rsidRPr="0012125D">
        <w:rPr>
          <w:szCs w:val="18"/>
        </w:rPr>
        <w:t>9 du document IPBES/7/4.</w:t>
      </w:r>
    </w:p>
  </w:footnote>
  <w:footnote w:id="37">
    <w:p w14:paraId="1FDC174D" w14:textId="6810D524" w:rsidR="00464576" w:rsidRPr="0012125D" w:rsidRDefault="00464576" w:rsidP="00464576">
      <w:pPr>
        <w:pStyle w:val="FootnoteText"/>
        <w:rPr>
          <w:szCs w:val="18"/>
        </w:rPr>
      </w:pPr>
      <w:r w:rsidRPr="0012125D">
        <w:rPr>
          <w:rStyle w:val="FootnoteReference"/>
          <w:sz w:val="18"/>
        </w:rPr>
        <w:footnoteRef/>
      </w:r>
      <w:r w:rsidRPr="0012125D">
        <w:rPr>
          <w:szCs w:val="18"/>
        </w:rPr>
        <w:t xml:space="preserve"> </w:t>
      </w:r>
      <w:r w:rsidR="0065219F" w:rsidRPr="0012125D">
        <w:rPr>
          <w:szCs w:val="18"/>
        </w:rPr>
        <w:t>La huitième sessio</w:t>
      </w:r>
      <w:r w:rsidR="0065219F">
        <w:rPr>
          <w:szCs w:val="18"/>
        </w:rPr>
        <w:t>n se tiendra en juin ou juillet </w:t>
      </w:r>
      <w:r w:rsidR="0065219F" w:rsidRPr="0012125D">
        <w:rPr>
          <w:szCs w:val="18"/>
        </w:rPr>
        <w:t>2020 si elle est accueillie par un membre de la Pla</w:t>
      </w:r>
      <w:r w:rsidR="0065219F">
        <w:rPr>
          <w:szCs w:val="18"/>
        </w:rPr>
        <w:t>teforme ou en</w:t>
      </w:r>
      <w:r w:rsidR="00590F72">
        <w:rPr>
          <w:szCs w:val="18"/>
        </w:rPr>
        <w:t> </w:t>
      </w:r>
      <w:r w:rsidR="0065219F">
        <w:rPr>
          <w:szCs w:val="18"/>
        </w:rPr>
        <w:t>août ou septembre </w:t>
      </w:r>
      <w:r w:rsidR="0065219F" w:rsidRPr="0012125D">
        <w:rPr>
          <w:szCs w:val="18"/>
        </w:rPr>
        <w:t>2020 si elle est accueillie par le secrétariat à Bonn.</w:t>
      </w:r>
    </w:p>
  </w:footnote>
  <w:footnote w:id="38">
    <w:p w14:paraId="59769BE5" w14:textId="546DA66D" w:rsidR="00464576" w:rsidRPr="0012125D" w:rsidRDefault="00464576" w:rsidP="00464576">
      <w:pPr>
        <w:pStyle w:val="FootnoteText"/>
        <w:tabs>
          <w:tab w:val="left" w:pos="624"/>
        </w:tabs>
        <w:rPr>
          <w:szCs w:val="18"/>
        </w:rPr>
      </w:pPr>
      <w:r w:rsidRPr="0012125D">
        <w:rPr>
          <w:rStyle w:val="FootnoteReference"/>
          <w:sz w:val="18"/>
        </w:rPr>
        <w:footnoteRef/>
      </w:r>
      <w:r w:rsidRPr="0012125D">
        <w:rPr>
          <w:szCs w:val="18"/>
        </w:rPr>
        <w:t xml:space="preserve"> Le projet d</w:t>
      </w:r>
      <w:r w:rsidR="008B0064">
        <w:rPr>
          <w:szCs w:val="18"/>
        </w:rPr>
        <w:t>’</w:t>
      </w:r>
      <w:r w:rsidRPr="0012125D">
        <w:rPr>
          <w:szCs w:val="18"/>
        </w:rPr>
        <w:t>ordre du jour provisoire figure également dans l</w:t>
      </w:r>
      <w:r w:rsidR="008B0064">
        <w:rPr>
          <w:szCs w:val="18"/>
        </w:rPr>
        <w:t>’</w:t>
      </w:r>
      <w:r w:rsidRPr="0012125D">
        <w:rPr>
          <w:szCs w:val="18"/>
        </w:rPr>
        <w:t>annexe I du document IPBES/7/7.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0E020A23" w:rsidR="00123699" w:rsidRPr="00275DBD" w:rsidRDefault="00275DBD" w:rsidP="00275DBD">
    <w:pPr>
      <w:pStyle w:val="Header"/>
    </w:pPr>
    <w:r w:rsidRPr="00D24464">
      <w:t>IPBES/7/1/Add.2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08ED3614" w:rsidR="00123699" w:rsidRPr="00275DBD" w:rsidRDefault="00275DBD" w:rsidP="00275DBD">
    <w:pPr>
      <w:pStyle w:val="Header"/>
      <w:jc w:val="right"/>
    </w:pPr>
    <w:r w:rsidRPr="00D24464">
      <w:t>IPBES/7/1/Add.2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0643E"/>
    <w:multiLevelType w:val="hybridMultilevel"/>
    <w:tmpl w:val="C268C8A6"/>
    <w:lvl w:ilvl="0" w:tplc="8DCC61BE">
      <w:start w:val="1"/>
      <w:numFmt w:val="decimal"/>
      <w:lvlText w:val="%1."/>
      <w:lvlJc w:val="left"/>
      <w:pPr>
        <w:ind w:left="720" w:hanging="360"/>
      </w:pPr>
    </w:lvl>
    <w:lvl w:ilvl="1" w:tplc="136C8672">
      <w:start w:val="1"/>
      <w:numFmt w:val="lowerLetter"/>
      <w:lvlText w:val="(%2)"/>
      <w:lvlJc w:val="left"/>
      <w:pPr>
        <w:ind w:left="1440" w:hanging="360"/>
      </w:pPr>
      <w:rPr>
        <w:rFonts w:ascii="Times New Roman" w:eastAsia="Times New Roman" w:hAnsi="Times New Roman" w:cs="Times New Roman"/>
      </w:rPr>
    </w:lvl>
    <w:lvl w:ilvl="2" w:tplc="3BA0B906">
      <w:start w:val="1"/>
      <w:numFmt w:val="lowerRoman"/>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71867"/>
    <w:multiLevelType w:val="singleLevel"/>
    <w:tmpl w:val="74682C76"/>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0A04E13"/>
    <w:multiLevelType w:val="hybridMultilevel"/>
    <w:tmpl w:val="E196E8FC"/>
    <w:lvl w:ilvl="0" w:tplc="9A2AA36C">
      <w:start w:val="1"/>
      <w:numFmt w:val="upperRoman"/>
      <w:lvlText w:val="%1."/>
      <w:lvlJc w:val="left"/>
      <w:pPr>
        <w:ind w:left="1215" w:hanging="855"/>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71603"/>
    <w:multiLevelType w:val="singleLevel"/>
    <w:tmpl w:val="212E553C"/>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49283F01"/>
    <w:multiLevelType w:val="hybridMultilevel"/>
    <w:tmpl w:val="B510A346"/>
    <w:lvl w:ilvl="0" w:tplc="138C4B3C">
      <w:start w:val="3"/>
      <w:numFmt w:val="upperRoman"/>
      <w:lvlText w:val="%1."/>
      <w:lvlJc w:val="left"/>
      <w:pPr>
        <w:ind w:left="1080" w:hanging="7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62291BF8"/>
    <w:multiLevelType w:val="multilevel"/>
    <w:tmpl w:val="F4ACF36E"/>
    <w:numStyleLink w:val="Normallist"/>
  </w:abstractNum>
  <w:abstractNum w:abstractNumId="7" w15:restartNumberingAfterBreak="0">
    <w:nsid w:val="6CA840FB"/>
    <w:multiLevelType w:val="hybridMultilevel"/>
    <w:tmpl w:val="1CE6F5C2"/>
    <w:lvl w:ilvl="0" w:tplc="BCF0BB76">
      <w:start w:val="1"/>
      <w:numFmt w:val="decimal"/>
      <w:lvlText w:val="%1."/>
      <w:lvlJc w:val="left"/>
      <w:pPr>
        <w:ind w:left="3125" w:hanging="630"/>
      </w:pPr>
      <w:rPr>
        <w:rFonts w:hint="default"/>
        <w:i w:val="0"/>
      </w:rPr>
    </w:lvl>
    <w:lvl w:ilvl="1" w:tplc="20000019" w:tentative="1">
      <w:start w:val="1"/>
      <w:numFmt w:val="lowerLetter"/>
      <w:lvlText w:val="%2."/>
      <w:lvlJc w:val="left"/>
      <w:pPr>
        <w:ind w:left="3575" w:hanging="360"/>
      </w:pPr>
    </w:lvl>
    <w:lvl w:ilvl="2" w:tplc="2000001B" w:tentative="1">
      <w:start w:val="1"/>
      <w:numFmt w:val="lowerRoman"/>
      <w:lvlText w:val="%3."/>
      <w:lvlJc w:val="right"/>
      <w:pPr>
        <w:ind w:left="4295" w:hanging="180"/>
      </w:pPr>
    </w:lvl>
    <w:lvl w:ilvl="3" w:tplc="2000000F" w:tentative="1">
      <w:start w:val="1"/>
      <w:numFmt w:val="decimal"/>
      <w:lvlText w:val="%4."/>
      <w:lvlJc w:val="left"/>
      <w:pPr>
        <w:ind w:left="5015" w:hanging="360"/>
      </w:pPr>
    </w:lvl>
    <w:lvl w:ilvl="4" w:tplc="20000019" w:tentative="1">
      <w:start w:val="1"/>
      <w:numFmt w:val="lowerLetter"/>
      <w:lvlText w:val="%5."/>
      <w:lvlJc w:val="left"/>
      <w:pPr>
        <w:ind w:left="5735" w:hanging="360"/>
      </w:pPr>
    </w:lvl>
    <w:lvl w:ilvl="5" w:tplc="2000001B" w:tentative="1">
      <w:start w:val="1"/>
      <w:numFmt w:val="lowerRoman"/>
      <w:lvlText w:val="%6."/>
      <w:lvlJc w:val="right"/>
      <w:pPr>
        <w:ind w:left="6455" w:hanging="180"/>
      </w:pPr>
    </w:lvl>
    <w:lvl w:ilvl="6" w:tplc="2000000F" w:tentative="1">
      <w:start w:val="1"/>
      <w:numFmt w:val="decimal"/>
      <w:lvlText w:val="%7."/>
      <w:lvlJc w:val="left"/>
      <w:pPr>
        <w:ind w:left="7175" w:hanging="360"/>
      </w:pPr>
    </w:lvl>
    <w:lvl w:ilvl="7" w:tplc="20000019" w:tentative="1">
      <w:start w:val="1"/>
      <w:numFmt w:val="lowerLetter"/>
      <w:lvlText w:val="%8."/>
      <w:lvlJc w:val="left"/>
      <w:pPr>
        <w:ind w:left="7895" w:hanging="360"/>
      </w:pPr>
    </w:lvl>
    <w:lvl w:ilvl="8" w:tplc="2000001B" w:tentative="1">
      <w:start w:val="1"/>
      <w:numFmt w:val="lowerRoman"/>
      <w:lvlText w:val="%9."/>
      <w:lvlJc w:val="right"/>
      <w:pPr>
        <w:ind w:left="8615" w:hanging="180"/>
      </w:pPr>
    </w:lvl>
  </w:abstractNum>
  <w:num w:numId="1">
    <w:abstractNumId w:val="1"/>
  </w:num>
  <w:num w:numId="2">
    <w:abstractNumId w:val="3"/>
  </w:num>
  <w:num w:numId="3">
    <w:abstractNumId w:val="5"/>
  </w:num>
  <w:num w:numId="4">
    <w:abstractNumId w:val="6"/>
  </w:num>
  <w:num w:numId="5">
    <w:abstractNumId w:val="5"/>
    <w:lvlOverride w:ilvl="0">
      <w:lvl w:ilvl="0">
        <w:start w:val="1"/>
        <w:numFmt w:val="decimal"/>
        <w:pStyle w:val="Normalnumber"/>
        <w:lvlText w:val="%1."/>
        <w:lvlJc w:val="left"/>
        <w:pPr>
          <w:tabs>
            <w:tab w:val="num" w:pos="1134"/>
          </w:tabs>
          <w:ind w:left="1247" w:firstLine="0"/>
        </w:pPr>
        <w:rPr>
          <w:rFonts w:hint="default"/>
        </w:rPr>
      </w:lvl>
    </w:lvlOverride>
  </w:num>
  <w:num w:numId="6">
    <w:abstractNumId w:val="0"/>
  </w:num>
  <w:num w:numId="7">
    <w:abstractNumId w:val="7"/>
    <w:lvlOverride w:ilvl="0">
      <w:lvl w:ilvl="0" w:tplc="BCF0BB76">
        <w:start w:val="1"/>
        <w:numFmt w:val="decimal"/>
        <w:lvlText w:val="%1."/>
        <w:lvlJc w:val="left"/>
        <w:pPr>
          <w:ind w:left="3125" w:hanging="630"/>
        </w:pPr>
        <w:rPr>
          <w:rFonts w:hint="default"/>
          <w:i w:val="0"/>
        </w:rPr>
      </w:lvl>
    </w:lvlOverride>
  </w:num>
  <w:num w:numId="8">
    <w:abstractNumId w:val="2"/>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149E6"/>
    <w:rsid w:val="000247B0"/>
    <w:rsid w:val="00026997"/>
    <w:rsid w:val="00033E0B"/>
    <w:rsid w:val="00035EDE"/>
    <w:rsid w:val="000509B4"/>
    <w:rsid w:val="0006035B"/>
    <w:rsid w:val="00065148"/>
    <w:rsid w:val="00071886"/>
    <w:rsid w:val="000742BC"/>
    <w:rsid w:val="00082A0C"/>
    <w:rsid w:val="00083504"/>
    <w:rsid w:val="0009640C"/>
    <w:rsid w:val="000B22A2"/>
    <w:rsid w:val="000C2A52"/>
    <w:rsid w:val="000D33C0"/>
    <w:rsid w:val="000D6941"/>
    <w:rsid w:val="001146ED"/>
    <w:rsid w:val="001202E3"/>
    <w:rsid w:val="00123699"/>
    <w:rsid w:val="0013059D"/>
    <w:rsid w:val="00141A55"/>
    <w:rsid w:val="001446A3"/>
    <w:rsid w:val="00155395"/>
    <w:rsid w:val="00160D74"/>
    <w:rsid w:val="00167D02"/>
    <w:rsid w:val="00181EC8"/>
    <w:rsid w:val="00184349"/>
    <w:rsid w:val="00195F33"/>
    <w:rsid w:val="001A1536"/>
    <w:rsid w:val="001B1617"/>
    <w:rsid w:val="001B504B"/>
    <w:rsid w:val="001D3874"/>
    <w:rsid w:val="001D7E75"/>
    <w:rsid w:val="001E2937"/>
    <w:rsid w:val="001E3656"/>
    <w:rsid w:val="001E56D2"/>
    <w:rsid w:val="001E7D56"/>
    <w:rsid w:val="001F75DE"/>
    <w:rsid w:val="00200D58"/>
    <w:rsid w:val="002013BE"/>
    <w:rsid w:val="002063A4"/>
    <w:rsid w:val="0021145B"/>
    <w:rsid w:val="00243D36"/>
    <w:rsid w:val="00247707"/>
    <w:rsid w:val="0026018E"/>
    <w:rsid w:val="00275DBD"/>
    <w:rsid w:val="00286740"/>
    <w:rsid w:val="002874CC"/>
    <w:rsid w:val="002929D8"/>
    <w:rsid w:val="002A237D"/>
    <w:rsid w:val="002A4C53"/>
    <w:rsid w:val="002B0672"/>
    <w:rsid w:val="002B247F"/>
    <w:rsid w:val="002C145D"/>
    <w:rsid w:val="002C2C3E"/>
    <w:rsid w:val="002C533E"/>
    <w:rsid w:val="002D027F"/>
    <w:rsid w:val="002D552B"/>
    <w:rsid w:val="002D7A85"/>
    <w:rsid w:val="002D7B60"/>
    <w:rsid w:val="002E7175"/>
    <w:rsid w:val="002F4761"/>
    <w:rsid w:val="002F5C79"/>
    <w:rsid w:val="003019E2"/>
    <w:rsid w:val="0031413F"/>
    <w:rsid w:val="003148BB"/>
    <w:rsid w:val="00317976"/>
    <w:rsid w:val="00354680"/>
    <w:rsid w:val="00355EA9"/>
    <w:rsid w:val="003578DE"/>
    <w:rsid w:val="00396257"/>
    <w:rsid w:val="00396929"/>
    <w:rsid w:val="00397EB8"/>
    <w:rsid w:val="003A4FD0"/>
    <w:rsid w:val="003A69D1"/>
    <w:rsid w:val="003A7705"/>
    <w:rsid w:val="003A77F1"/>
    <w:rsid w:val="003B1545"/>
    <w:rsid w:val="003C409D"/>
    <w:rsid w:val="003C5BA6"/>
    <w:rsid w:val="003E43C0"/>
    <w:rsid w:val="003F0E85"/>
    <w:rsid w:val="00401DCA"/>
    <w:rsid w:val="00410C55"/>
    <w:rsid w:val="00416854"/>
    <w:rsid w:val="00417725"/>
    <w:rsid w:val="00437F26"/>
    <w:rsid w:val="00444097"/>
    <w:rsid w:val="00445487"/>
    <w:rsid w:val="00454769"/>
    <w:rsid w:val="00455328"/>
    <w:rsid w:val="00463008"/>
    <w:rsid w:val="00464576"/>
    <w:rsid w:val="00466991"/>
    <w:rsid w:val="0047064C"/>
    <w:rsid w:val="00471270"/>
    <w:rsid w:val="004A345B"/>
    <w:rsid w:val="004A42E1"/>
    <w:rsid w:val="004B162C"/>
    <w:rsid w:val="004C3DBE"/>
    <w:rsid w:val="004C5C96"/>
    <w:rsid w:val="004D06A4"/>
    <w:rsid w:val="004F1A81"/>
    <w:rsid w:val="004F35F1"/>
    <w:rsid w:val="005218D9"/>
    <w:rsid w:val="00536186"/>
    <w:rsid w:val="00544CBB"/>
    <w:rsid w:val="00546330"/>
    <w:rsid w:val="0056088A"/>
    <w:rsid w:val="0057315F"/>
    <w:rsid w:val="00576104"/>
    <w:rsid w:val="00590F72"/>
    <w:rsid w:val="005A1727"/>
    <w:rsid w:val="005B034F"/>
    <w:rsid w:val="005B7C64"/>
    <w:rsid w:val="005C67C8"/>
    <w:rsid w:val="005D0249"/>
    <w:rsid w:val="005D2E05"/>
    <w:rsid w:val="005D6E8C"/>
    <w:rsid w:val="005F06C5"/>
    <w:rsid w:val="005F100C"/>
    <w:rsid w:val="005F68DA"/>
    <w:rsid w:val="0060773B"/>
    <w:rsid w:val="006157B5"/>
    <w:rsid w:val="00626FC6"/>
    <w:rsid w:val="006303B4"/>
    <w:rsid w:val="00633D3D"/>
    <w:rsid w:val="00641703"/>
    <w:rsid w:val="006431A6"/>
    <w:rsid w:val="006459F6"/>
    <w:rsid w:val="006501AD"/>
    <w:rsid w:val="00651BFA"/>
    <w:rsid w:val="0065219F"/>
    <w:rsid w:val="00654475"/>
    <w:rsid w:val="00661A50"/>
    <w:rsid w:val="00665A4B"/>
    <w:rsid w:val="00674D0B"/>
    <w:rsid w:val="00676210"/>
    <w:rsid w:val="00692E2A"/>
    <w:rsid w:val="006A76F2"/>
    <w:rsid w:val="006B2AD2"/>
    <w:rsid w:val="006B3D7A"/>
    <w:rsid w:val="006C10B1"/>
    <w:rsid w:val="006D7EFB"/>
    <w:rsid w:val="006E6672"/>
    <w:rsid w:val="006E6722"/>
    <w:rsid w:val="007027B9"/>
    <w:rsid w:val="00715E88"/>
    <w:rsid w:val="00722CFE"/>
    <w:rsid w:val="00725844"/>
    <w:rsid w:val="00734CAA"/>
    <w:rsid w:val="0075533C"/>
    <w:rsid w:val="00757581"/>
    <w:rsid w:val="007611A0"/>
    <w:rsid w:val="00764A22"/>
    <w:rsid w:val="00791E11"/>
    <w:rsid w:val="00796D3F"/>
    <w:rsid w:val="007A1683"/>
    <w:rsid w:val="007A5C12"/>
    <w:rsid w:val="007A7CB0"/>
    <w:rsid w:val="007B68A3"/>
    <w:rsid w:val="007C2541"/>
    <w:rsid w:val="007D66A8"/>
    <w:rsid w:val="007E003F"/>
    <w:rsid w:val="00803E7A"/>
    <w:rsid w:val="0081058C"/>
    <w:rsid w:val="008164F2"/>
    <w:rsid w:val="00821395"/>
    <w:rsid w:val="00830E26"/>
    <w:rsid w:val="00843576"/>
    <w:rsid w:val="00843B64"/>
    <w:rsid w:val="008478FC"/>
    <w:rsid w:val="00867BFF"/>
    <w:rsid w:val="00881550"/>
    <w:rsid w:val="0088480A"/>
    <w:rsid w:val="0088757A"/>
    <w:rsid w:val="0089346D"/>
    <w:rsid w:val="008957DD"/>
    <w:rsid w:val="00897D98"/>
    <w:rsid w:val="008A6DF2"/>
    <w:rsid w:val="008A7807"/>
    <w:rsid w:val="008B0064"/>
    <w:rsid w:val="008B4CC9"/>
    <w:rsid w:val="008D7C99"/>
    <w:rsid w:val="008E0FCB"/>
    <w:rsid w:val="008F0D0A"/>
    <w:rsid w:val="0092178C"/>
    <w:rsid w:val="00930B88"/>
    <w:rsid w:val="00940DCC"/>
    <w:rsid w:val="0094179A"/>
    <w:rsid w:val="0094459E"/>
    <w:rsid w:val="00944DBC"/>
    <w:rsid w:val="00950977"/>
    <w:rsid w:val="00951A7B"/>
    <w:rsid w:val="009564A6"/>
    <w:rsid w:val="00967621"/>
    <w:rsid w:val="00967E6A"/>
    <w:rsid w:val="009A61C4"/>
    <w:rsid w:val="009B4A0F"/>
    <w:rsid w:val="009C11D2"/>
    <w:rsid w:val="009C6C70"/>
    <w:rsid w:val="009D0B63"/>
    <w:rsid w:val="009E307E"/>
    <w:rsid w:val="009E319B"/>
    <w:rsid w:val="00A07870"/>
    <w:rsid w:val="00A07F19"/>
    <w:rsid w:val="00A1348D"/>
    <w:rsid w:val="00A232EE"/>
    <w:rsid w:val="00A4175F"/>
    <w:rsid w:val="00A44411"/>
    <w:rsid w:val="00A444C1"/>
    <w:rsid w:val="00A46953"/>
    <w:rsid w:val="00A469FA"/>
    <w:rsid w:val="00A55B01"/>
    <w:rsid w:val="00A56B5B"/>
    <w:rsid w:val="00A603FF"/>
    <w:rsid w:val="00A653CB"/>
    <w:rsid w:val="00A657DD"/>
    <w:rsid w:val="00A666A6"/>
    <w:rsid w:val="00A675FD"/>
    <w:rsid w:val="00A72437"/>
    <w:rsid w:val="00A73C3E"/>
    <w:rsid w:val="00A80611"/>
    <w:rsid w:val="00AB5340"/>
    <w:rsid w:val="00AC0A89"/>
    <w:rsid w:val="00AC7C96"/>
    <w:rsid w:val="00AE237D"/>
    <w:rsid w:val="00AE502A"/>
    <w:rsid w:val="00AE5B70"/>
    <w:rsid w:val="00AF7C07"/>
    <w:rsid w:val="00B1147B"/>
    <w:rsid w:val="00B22C93"/>
    <w:rsid w:val="00B27589"/>
    <w:rsid w:val="00B27619"/>
    <w:rsid w:val="00B405B7"/>
    <w:rsid w:val="00B52222"/>
    <w:rsid w:val="00B54FE7"/>
    <w:rsid w:val="00B66901"/>
    <w:rsid w:val="00B71E6D"/>
    <w:rsid w:val="00B72070"/>
    <w:rsid w:val="00B779E1"/>
    <w:rsid w:val="00B91AA6"/>
    <w:rsid w:val="00B91EE1"/>
    <w:rsid w:val="00BA0090"/>
    <w:rsid w:val="00BA1A67"/>
    <w:rsid w:val="00BE5B5F"/>
    <w:rsid w:val="00C26F55"/>
    <w:rsid w:val="00C30C63"/>
    <w:rsid w:val="00C36B8B"/>
    <w:rsid w:val="00C415C1"/>
    <w:rsid w:val="00C47DBF"/>
    <w:rsid w:val="00C552FF"/>
    <w:rsid w:val="00C558DA"/>
    <w:rsid w:val="00C55AF3"/>
    <w:rsid w:val="00C84759"/>
    <w:rsid w:val="00CA22CD"/>
    <w:rsid w:val="00CA6C7F"/>
    <w:rsid w:val="00CC10A6"/>
    <w:rsid w:val="00CC2C8B"/>
    <w:rsid w:val="00CD5EB8"/>
    <w:rsid w:val="00CD7044"/>
    <w:rsid w:val="00CE08B9"/>
    <w:rsid w:val="00CE404F"/>
    <w:rsid w:val="00CE524C"/>
    <w:rsid w:val="00CF141F"/>
    <w:rsid w:val="00CF4777"/>
    <w:rsid w:val="00D067BB"/>
    <w:rsid w:val="00D1352A"/>
    <w:rsid w:val="00D169AF"/>
    <w:rsid w:val="00D25249"/>
    <w:rsid w:val="00D44172"/>
    <w:rsid w:val="00D63B8C"/>
    <w:rsid w:val="00D705CF"/>
    <w:rsid w:val="00D739CC"/>
    <w:rsid w:val="00D8093D"/>
    <w:rsid w:val="00D8108C"/>
    <w:rsid w:val="00D842AE"/>
    <w:rsid w:val="00D9211C"/>
    <w:rsid w:val="00D92DE0"/>
    <w:rsid w:val="00D92FEF"/>
    <w:rsid w:val="00D93A0F"/>
    <w:rsid w:val="00DA1BCA"/>
    <w:rsid w:val="00DA3EA9"/>
    <w:rsid w:val="00DA3F7A"/>
    <w:rsid w:val="00DC1A57"/>
    <w:rsid w:val="00DC46FF"/>
    <w:rsid w:val="00DC5254"/>
    <w:rsid w:val="00DD1A4F"/>
    <w:rsid w:val="00DD3107"/>
    <w:rsid w:val="00DD7C2C"/>
    <w:rsid w:val="00DF1E4C"/>
    <w:rsid w:val="00DF4270"/>
    <w:rsid w:val="00E06797"/>
    <w:rsid w:val="00E1265B"/>
    <w:rsid w:val="00E13B48"/>
    <w:rsid w:val="00E1404F"/>
    <w:rsid w:val="00E21C83"/>
    <w:rsid w:val="00E2405C"/>
    <w:rsid w:val="00E24ADA"/>
    <w:rsid w:val="00E32F59"/>
    <w:rsid w:val="00E46D9A"/>
    <w:rsid w:val="00E565FF"/>
    <w:rsid w:val="00E65388"/>
    <w:rsid w:val="00E85B7D"/>
    <w:rsid w:val="00E9121B"/>
    <w:rsid w:val="00EA0AE2"/>
    <w:rsid w:val="00EA39E5"/>
    <w:rsid w:val="00EC5A46"/>
    <w:rsid w:val="00EC63E2"/>
    <w:rsid w:val="00EC740C"/>
    <w:rsid w:val="00EF22B3"/>
    <w:rsid w:val="00F03B69"/>
    <w:rsid w:val="00F07A50"/>
    <w:rsid w:val="00F113DA"/>
    <w:rsid w:val="00F16722"/>
    <w:rsid w:val="00F277EB"/>
    <w:rsid w:val="00F37DC8"/>
    <w:rsid w:val="00F439B3"/>
    <w:rsid w:val="00F650C3"/>
    <w:rsid w:val="00F65D85"/>
    <w:rsid w:val="00F8091E"/>
    <w:rsid w:val="00F8615C"/>
    <w:rsid w:val="00F874E0"/>
    <w:rsid w:val="00F91BD8"/>
    <w:rsid w:val="00F969E5"/>
    <w:rsid w:val="00FA524F"/>
    <w:rsid w:val="00FA6BB0"/>
    <w:rsid w:val="00FB61A2"/>
    <w:rsid w:val="00FC0D95"/>
    <w:rsid w:val="00FD5860"/>
    <w:rsid w:val="00FE352D"/>
    <w:rsid w:val="00FE40EB"/>
    <w:rsid w:val="00FE4D02"/>
    <w:rsid w:val="00FE7D62"/>
    <w:rsid w:val="00FF159A"/>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3F7A"/>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DA3F7A"/>
    <w:pPr>
      <w:keepNext/>
      <w:spacing w:before="240" w:after="120"/>
      <w:ind w:left="1247" w:hanging="680"/>
      <w:outlineLvl w:val="0"/>
    </w:pPr>
    <w:rPr>
      <w:b/>
      <w:sz w:val="28"/>
    </w:rPr>
  </w:style>
  <w:style w:type="paragraph" w:styleId="Heading2">
    <w:name w:val="heading 2"/>
    <w:basedOn w:val="Normal"/>
    <w:next w:val="Normalnumber"/>
    <w:qFormat/>
    <w:rsid w:val="00DA3F7A"/>
    <w:pPr>
      <w:keepNext/>
      <w:spacing w:before="240" w:after="120"/>
      <w:ind w:left="1247" w:hanging="680"/>
      <w:outlineLvl w:val="1"/>
    </w:pPr>
    <w:rPr>
      <w:b/>
      <w:sz w:val="24"/>
      <w:szCs w:val="24"/>
    </w:rPr>
  </w:style>
  <w:style w:type="paragraph" w:styleId="Heading3">
    <w:name w:val="heading 3"/>
    <w:basedOn w:val="Normal"/>
    <w:next w:val="Normalnumber"/>
    <w:qFormat/>
    <w:rsid w:val="00DA3F7A"/>
    <w:pPr>
      <w:spacing w:after="120"/>
      <w:ind w:left="1247" w:hanging="680"/>
      <w:outlineLvl w:val="2"/>
    </w:pPr>
    <w:rPr>
      <w:b/>
    </w:rPr>
  </w:style>
  <w:style w:type="paragraph" w:styleId="Heading4">
    <w:name w:val="heading 4"/>
    <w:basedOn w:val="Heading3"/>
    <w:next w:val="Normalnumber"/>
    <w:qFormat/>
    <w:rsid w:val="00DA3F7A"/>
    <w:pPr>
      <w:keepNext/>
      <w:outlineLvl w:val="3"/>
    </w:pPr>
  </w:style>
  <w:style w:type="paragraph" w:styleId="Heading5">
    <w:name w:val="heading 5"/>
    <w:basedOn w:val="Normal"/>
    <w:next w:val="Normal"/>
    <w:qFormat/>
    <w:rsid w:val="00DA3F7A"/>
    <w:pPr>
      <w:keepNext/>
      <w:outlineLvl w:val="4"/>
    </w:pPr>
    <w:rPr>
      <w:rFonts w:ascii="Univers" w:hAnsi="Univers"/>
      <w:b/>
      <w:sz w:val="24"/>
    </w:rPr>
  </w:style>
  <w:style w:type="paragraph" w:styleId="Heading6">
    <w:name w:val="heading 6"/>
    <w:basedOn w:val="Normal"/>
    <w:next w:val="Normal"/>
    <w:qFormat/>
    <w:rsid w:val="00DA3F7A"/>
    <w:pPr>
      <w:keepNext/>
      <w:ind w:left="578"/>
      <w:outlineLvl w:val="5"/>
    </w:pPr>
    <w:rPr>
      <w:b/>
      <w:bCs/>
      <w:sz w:val="24"/>
    </w:rPr>
  </w:style>
  <w:style w:type="paragraph" w:styleId="Heading7">
    <w:name w:val="heading 7"/>
    <w:basedOn w:val="Normal"/>
    <w:next w:val="Normal"/>
    <w:qFormat/>
    <w:rsid w:val="00DA3F7A"/>
    <w:pPr>
      <w:keepNext/>
      <w:widowControl w:val="0"/>
      <w:jc w:val="center"/>
      <w:outlineLvl w:val="6"/>
    </w:pPr>
    <w:rPr>
      <w:snapToGrid w:val="0"/>
      <w:u w:val="single"/>
      <w:lang w:val="en-US"/>
    </w:rPr>
  </w:style>
  <w:style w:type="paragraph" w:styleId="Heading8">
    <w:name w:val="heading 8"/>
    <w:basedOn w:val="Normal"/>
    <w:next w:val="Normal"/>
    <w:qFormat/>
    <w:rsid w:val="00DA3F7A"/>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DA3F7A"/>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DA3F7A"/>
    <w:rPr>
      <w:rFonts w:ascii="Times New Roman" w:hAnsi="Times New Roman"/>
      <w:b/>
      <w:sz w:val="18"/>
    </w:rPr>
  </w:style>
  <w:style w:type="table" w:customStyle="1" w:styleId="Tabledocright">
    <w:name w:val="Table_doc_right"/>
    <w:basedOn w:val="TableNormal"/>
    <w:rsid w:val="00DA3F7A"/>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DA3F7A"/>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DA3F7A"/>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DA3F7A"/>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DA3F7A"/>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A3F7A"/>
    <w:rPr>
      <w:bCs w:val="0"/>
    </w:rPr>
  </w:style>
  <w:style w:type="paragraph" w:styleId="TableofFigures">
    <w:name w:val="table of figures"/>
    <w:basedOn w:val="Normal"/>
    <w:next w:val="Normal"/>
    <w:autoRedefine/>
    <w:semiHidden/>
    <w:rsid w:val="00DA3F7A"/>
    <w:pPr>
      <w:tabs>
        <w:tab w:val="clear" w:pos="1814"/>
        <w:tab w:val="clear" w:pos="2381"/>
        <w:tab w:val="clear" w:pos="2948"/>
        <w:tab w:val="clear" w:pos="3515"/>
      </w:tabs>
      <w:ind w:left="1814" w:hanging="567"/>
    </w:pPr>
  </w:style>
  <w:style w:type="paragraph" w:customStyle="1" w:styleId="CH1">
    <w:name w:val="CH1"/>
    <w:basedOn w:val="Normalpool"/>
    <w:next w:val="CH2"/>
    <w:qFormat/>
    <w:rsid w:val="00DA3F7A"/>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A3F7A"/>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A3F7A"/>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A3F7A"/>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A3F7A"/>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A3F7A"/>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A3F7A"/>
    <w:pPr>
      <w:tabs>
        <w:tab w:val="left" w:pos="4321"/>
        <w:tab w:val="right" w:pos="8641"/>
      </w:tabs>
      <w:spacing w:before="60" w:after="120"/>
    </w:pPr>
    <w:rPr>
      <w:b/>
      <w:sz w:val="18"/>
    </w:rPr>
  </w:style>
  <w:style w:type="paragraph" w:customStyle="1" w:styleId="Headerpool">
    <w:name w:val="Header_pool"/>
    <w:basedOn w:val="Normal"/>
    <w:next w:val="Normal"/>
    <w:semiHidden/>
    <w:rsid w:val="00DA3F7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DA3F7A"/>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A3F7A"/>
    <w:pPr>
      <w:tabs>
        <w:tab w:val="left" w:pos="4321"/>
        <w:tab w:val="right" w:pos="8641"/>
      </w:tabs>
      <w:spacing w:before="60" w:after="120"/>
    </w:pPr>
    <w:rPr>
      <w:b/>
      <w:sz w:val="18"/>
    </w:rPr>
  </w:style>
  <w:style w:type="paragraph" w:customStyle="1" w:styleId="Header-pool">
    <w:name w:val="Header-pool"/>
    <w:basedOn w:val="Normal-pool"/>
    <w:next w:val="Normal-pool"/>
    <w:rsid w:val="00DA3F7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DA3F7A"/>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number,SUPERS,Footnote Reference Superscript"/>
    <w:rsid w:val="00DA3F7A"/>
    <w:rPr>
      <w:rFonts w:ascii="Times New Roman" w:hAnsi="Times New Roman"/>
      <w:color w:val="auto"/>
      <w:sz w:val="20"/>
      <w:szCs w:val="18"/>
      <w:vertAlign w:val="superscript"/>
    </w:rPr>
  </w:style>
  <w:style w:type="paragraph" w:styleId="FootnoteText">
    <w:name w:val="footnote text"/>
    <w:basedOn w:val="Normalpool"/>
    <w:link w:val="FootnoteTextChar"/>
    <w:semiHidden/>
    <w:rsid w:val="00DA3F7A"/>
    <w:pPr>
      <w:spacing w:before="20" w:after="40"/>
      <w:ind w:left="1247"/>
    </w:pPr>
    <w:rPr>
      <w:sz w:val="18"/>
    </w:rPr>
  </w:style>
  <w:style w:type="character" w:customStyle="1" w:styleId="Normal-poolChar">
    <w:name w:val="Normal-pool Char"/>
    <w:link w:val="Normal-pool"/>
    <w:rsid w:val="00396929"/>
    <w:rPr>
      <w:lang w:val="fr-CA" w:eastAsia="en-US"/>
    </w:rPr>
  </w:style>
  <w:style w:type="table" w:customStyle="1" w:styleId="AATable">
    <w:name w:val="AA_Table"/>
    <w:basedOn w:val="TableNormal"/>
    <w:semiHidden/>
    <w:rsid w:val="00DA3F7A"/>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A3F7A"/>
    <w:pPr>
      <w:keepNext/>
      <w:keepLines/>
      <w:suppressAutoHyphens/>
      <w:ind w:right="5103"/>
    </w:pPr>
    <w:rPr>
      <w:b/>
    </w:rPr>
  </w:style>
  <w:style w:type="paragraph" w:customStyle="1" w:styleId="AATitle2">
    <w:name w:val="AA_Title2"/>
    <w:basedOn w:val="AATitle"/>
    <w:rsid w:val="00DA3F7A"/>
    <w:pPr>
      <w:tabs>
        <w:tab w:val="clear" w:pos="4082"/>
      </w:tabs>
      <w:spacing w:before="120" w:after="120"/>
      <w:ind w:right="4536"/>
    </w:pPr>
  </w:style>
  <w:style w:type="paragraph" w:customStyle="1" w:styleId="BBTitle">
    <w:name w:val="BB_Title"/>
    <w:basedOn w:val="Normalpool"/>
    <w:rsid w:val="00DA3F7A"/>
    <w:pPr>
      <w:keepNext/>
      <w:keepLines/>
      <w:suppressAutoHyphens/>
      <w:spacing w:before="320" w:after="240"/>
      <w:ind w:left="1247" w:right="567"/>
    </w:pPr>
    <w:rPr>
      <w:b/>
      <w:sz w:val="28"/>
      <w:szCs w:val="28"/>
    </w:rPr>
  </w:style>
  <w:style w:type="paragraph" w:styleId="Footer">
    <w:name w:val="footer"/>
    <w:basedOn w:val="Normal"/>
    <w:semiHidden/>
    <w:rsid w:val="00DA3F7A"/>
    <w:pPr>
      <w:tabs>
        <w:tab w:val="center" w:pos="4320"/>
        <w:tab w:val="right" w:pos="8640"/>
      </w:tabs>
      <w:spacing w:before="60" w:after="120"/>
    </w:pPr>
    <w:rPr>
      <w:sz w:val="18"/>
    </w:rPr>
  </w:style>
  <w:style w:type="paragraph" w:styleId="Header">
    <w:name w:val="header"/>
    <w:basedOn w:val="Normal"/>
    <w:semiHidden/>
    <w:rsid w:val="00DA3F7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DA3F7A"/>
    <w:rPr>
      <w:rFonts w:ascii="Times New Roman" w:hAnsi="Times New Roman"/>
      <w:color w:val="auto"/>
      <w:sz w:val="20"/>
      <w:szCs w:val="20"/>
      <w:u w:val="none"/>
      <w:lang w:val="fr-FR"/>
    </w:rPr>
  </w:style>
  <w:style w:type="numbering" w:customStyle="1" w:styleId="Normallist">
    <w:name w:val="Normal_list"/>
    <w:basedOn w:val="NoList"/>
    <w:rsid w:val="00DA3F7A"/>
    <w:pPr>
      <w:numPr>
        <w:numId w:val="3"/>
      </w:numPr>
    </w:pPr>
  </w:style>
  <w:style w:type="paragraph" w:customStyle="1" w:styleId="NormalNonumber">
    <w:name w:val="Normal_No_number"/>
    <w:basedOn w:val="Normalpool"/>
    <w:rsid w:val="00DA3F7A"/>
    <w:pPr>
      <w:spacing w:after="120"/>
      <w:ind w:left="1247"/>
    </w:pPr>
  </w:style>
  <w:style w:type="paragraph" w:customStyle="1" w:styleId="Normalnumber">
    <w:name w:val="Normal_number"/>
    <w:basedOn w:val="Normalpool"/>
    <w:link w:val="NormalnumberChar"/>
    <w:qFormat/>
    <w:rsid w:val="00DA3F7A"/>
    <w:pPr>
      <w:numPr>
        <w:numId w:val="4"/>
      </w:numPr>
      <w:spacing w:after="120"/>
    </w:pPr>
  </w:style>
  <w:style w:type="paragraph" w:customStyle="1" w:styleId="Titletable">
    <w:name w:val="Title_table"/>
    <w:basedOn w:val="Normalpool"/>
    <w:rsid w:val="00DA3F7A"/>
    <w:pPr>
      <w:keepNext/>
      <w:keepLines/>
      <w:suppressAutoHyphens/>
      <w:spacing w:after="60"/>
      <w:ind w:left="1247"/>
    </w:pPr>
    <w:rPr>
      <w:b/>
      <w:bCs/>
    </w:rPr>
  </w:style>
  <w:style w:type="paragraph" w:styleId="TOC1">
    <w:name w:val="toc 1"/>
    <w:basedOn w:val="Normalpool"/>
    <w:next w:val="Normalpool"/>
    <w:rsid w:val="00DA3F7A"/>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DA3F7A"/>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DA3F7A"/>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DA3F7A"/>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DA3F7A"/>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A3F7A"/>
    <w:rPr>
      <w:b/>
      <w:bCs/>
      <w:sz w:val="28"/>
      <w:szCs w:val="22"/>
    </w:rPr>
  </w:style>
  <w:style w:type="paragraph" w:customStyle="1" w:styleId="ZZAnxtitle">
    <w:name w:val="ZZ_Anx_title"/>
    <w:basedOn w:val="Normalpool"/>
    <w:rsid w:val="00DA3F7A"/>
    <w:pPr>
      <w:spacing w:before="360" w:after="120"/>
      <w:ind w:left="1247"/>
    </w:pPr>
    <w:rPr>
      <w:b/>
      <w:bCs/>
      <w:sz w:val="28"/>
      <w:szCs w:val="26"/>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FootnoteTextChar">
    <w:name w:val="Footnote Text Char"/>
    <w:basedOn w:val="DefaultParagraphFont"/>
    <w:link w:val="FootnoteText"/>
    <w:semiHidden/>
    <w:rsid w:val="004F35F1"/>
    <w:rPr>
      <w:sz w:val="18"/>
      <w:lang w:val="fr-CA" w:eastAsia="en-US"/>
    </w:rPr>
  </w:style>
  <w:style w:type="character" w:customStyle="1" w:styleId="NormalnumberChar">
    <w:name w:val="Normal_number Char"/>
    <w:link w:val="Normalnumber"/>
    <w:locked/>
    <w:rsid w:val="00464576"/>
    <w:rPr>
      <w:lang w:val="fr-CA" w:eastAsia="en-US"/>
    </w:rPr>
  </w:style>
  <w:style w:type="character" w:customStyle="1" w:styleId="CH2Char">
    <w:name w:val="CH2 Char"/>
    <w:link w:val="CH2"/>
    <w:locked/>
    <w:rsid w:val="00464576"/>
    <w:rPr>
      <w:b/>
      <w:sz w:val="24"/>
      <w:szCs w:val="24"/>
      <w:lang w:val="fr-CA" w:eastAsia="en-US"/>
    </w:rPr>
  </w:style>
  <w:style w:type="paragraph" w:styleId="Revision">
    <w:name w:val="Revision"/>
    <w:hidden/>
    <w:uiPriority w:val="99"/>
    <w:semiHidden/>
    <w:rsid w:val="005B7C64"/>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pbes.net/guide-produc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8C647-D70D-4E6C-94EF-23FF4AAA7CC4}">
  <ds:schemaRefs>
    <ds:schemaRef ds:uri="http://schemas.openxmlformats.org/officeDocument/2006/bibliography"/>
  </ds:schemaRefs>
</ds:datastoreItem>
</file>

<file path=customXml/itemProps2.xml><?xml version="1.0" encoding="utf-8"?>
<ds:datastoreItem xmlns:ds="http://schemas.openxmlformats.org/officeDocument/2006/customXml" ds:itemID="{52506CE4-AF98-4EE2-A600-EA33E5C01337}"/>
</file>

<file path=customXml/itemProps3.xml><?xml version="1.0" encoding="utf-8"?>
<ds:datastoreItem xmlns:ds="http://schemas.openxmlformats.org/officeDocument/2006/customXml" ds:itemID="{5F71253C-E58B-4666-8ADF-3A9716DA9F70}"/>
</file>

<file path=customXml/itemProps4.xml><?xml version="1.0" encoding="utf-8"?>
<ds:datastoreItem xmlns:ds="http://schemas.openxmlformats.org/officeDocument/2006/customXml" ds:itemID="{AEAF2A7C-CD35-4D91-B9F3-78D0982D1E7A}"/>
</file>

<file path=docProps/app.xml><?xml version="1.0" encoding="utf-8"?>
<Properties xmlns="http://schemas.openxmlformats.org/officeDocument/2006/extended-properties" xmlns:vt="http://schemas.openxmlformats.org/officeDocument/2006/docPropsVTypes">
  <Template>Normal</Template>
  <TotalTime>0</TotalTime>
  <Pages>7</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2019-03-27T12:58:00Z</cp:lastPrinted>
  <dcterms:created xsi:type="dcterms:W3CDTF">2019-04-01T13:10:00Z</dcterms:created>
  <dcterms:modified xsi:type="dcterms:W3CDTF">2019-04-01T13:10:00Z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9/12/2018 3:09:10 PM</vt:lpwstr>
  </property>
  <property fmtid="{D5CDD505-2E9C-101B-9397-08002B2CF9AE}" pid="5" name="OriginalDocID">
    <vt:lpwstr>95ae6e0b-9fca-41c8-aeb1-e9a23b3f7317</vt:lpwstr>
  </property>
  <property fmtid="{D5CDD505-2E9C-101B-9397-08002B2CF9AE}" pid="6" name="ContentTypeId">
    <vt:lpwstr>0x010100A93145753B523F4A8341B4F287D94C5D</vt:lpwstr>
  </property>
</Properties>
</file>