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Pr="009E1644"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9E1644" w14:paraId="03107217" w14:textId="77777777" w:rsidTr="00056FD8">
        <w:trPr>
          <w:cantSplit/>
          <w:trHeight w:val="1079"/>
          <w:jc w:val="right"/>
        </w:trPr>
        <w:tc>
          <w:tcPr>
            <w:tcW w:w="1526" w:type="dxa"/>
          </w:tcPr>
          <w:p w14:paraId="43289B2B" w14:textId="77777777" w:rsidR="00396929" w:rsidRPr="009E1644" w:rsidRDefault="00396929" w:rsidP="00056FD8">
            <w:pPr>
              <w:pStyle w:val="Normal-pool"/>
              <w:rPr>
                <w:rFonts w:ascii="Arial" w:hAnsi="Arial" w:cs="Arial"/>
                <w:b/>
                <w:sz w:val="27"/>
                <w:szCs w:val="27"/>
              </w:rPr>
            </w:pPr>
            <w:r w:rsidRPr="009E1644">
              <w:rPr>
                <w:rFonts w:ascii="Arial" w:hAnsi="Arial" w:cs="Arial"/>
                <w:b/>
                <w:noProof/>
                <w:sz w:val="27"/>
                <w:szCs w:val="27"/>
              </w:rPr>
              <w:t xml:space="preserve">UNITED </w:t>
            </w:r>
            <w:r w:rsidRPr="009E1644">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9E1644" w:rsidRDefault="00396929" w:rsidP="00056FD8">
            <w:pPr>
              <w:pStyle w:val="Normal-pool"/>
              <w:ind w:left="-108"/>
              <w:jc w:val="both"/>
            </w:pPr>
            <w:r w:rsidRPr="009E1644">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9E1644" w:rsidRDefault="00396929" w:rsidP="00056FD8">
            <w:pPr>
              <w:pStyle w:val="Normal-pool"/>
              <w:ind w:left="-108"/>
            </w:pPr>
            <w:r w:rsidRPr="009E1644">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9E1644" w:rsidRDefault="00396929" w:rsidP="00056FD8">
            <w:pPr>
              <w:pStyle w:val="Normal-pool"/>
              <w:ind w:left="-108"/>
            </w:pPr>
            <w:r w:rsidRPr="009E1644">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9E1644" w:rsidRDefault="00396929" w:rsidP="00056FD8">
            <w:pPr>
              <w:pStyle w:val="Normal-pool"/>
              <w:ind w:left="-108"/>
            </w:pPr>
            <w:r w:rsidRPr="009E1644">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9E1644" w:rsidRDefault="00396929" w:rsidP="00056FD8">
            <w:pPr>
              <w:pStyle w:val="Normal-pool"/>
            </w:pPr>
            <w:r w:rsidRPr="009E1644">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9E1644" w:rsidRDefault="00396929" w:rsidP="00056FD8">
            <w:pPr>
              <w:pStyle w:val="Normal-pool"/>
            </w:pPr>
          </w:p>
        </w:tc>
        <w:tc>
          <w:tcPr>
            <w:tcW w:w="1666" w:type="dxa"/>
          </w:tcPr>
          <w:p w14:paraId="2B76AE7B" w14:textId="77777777" w:rsidR="00396929" w:rsidRPr="009E1644" w:rsidRDefault="00396929" w:rsidP="00056FD8">
            <w:pPr>
              <w:pStyle w:val="Normal-pool"/>
              <w:rPr>
                <w:rFonts w:ascii="Arial" w:hAnsi="Arial" w:cs="Arial"/>
                <w:b/>
                <w:sz w:val="64"/>
                <w:szCs w:val="64"/>
              </w:rPr>
            </w:pPr>
            <w:r w:rsidRPr="009E1644">
              <w:rPr>
                <w:rFonts w:ascii="Arial" w:hAnsi="Arial" w:cs="Arial"/>
                <w:b/>
                <w:sz w:val="64"/>
                <w:szCs w:val="64"/>
              </w:rPr>
              <w:t>BES</w:t>
            </w:r>
          </w:p>
        </w:tc>
      </w:tr>
      <w:tr w:rsidR="00396929" w:rsidRPr="009E1644" w14:paraId="1E9A5538" w14:textId="77777777" w:rsidTr="00056FD8">
        <w:trPr>
          <w:cantSplit/>
          <w:trHeight w:val="282"/>
          <w:jc w:val="right"/>
        </w:trPr>
        <w:tc>
          <w:tcPr>
            <w:tcW w:w="1526" w:type="dxa"/>
            <w:tcBorders>
              <w:bottom w:val="single" w:sz="2" w:space="0" w:color="auto"/>
            </w:tcBorders>
          </w:tcPr>
          <w:p w14:paraId="28F581D2" w14:textId="77777777" w:rsidR="00396929" w:rsidRPr="009E1644" w:rsidRDefault="00396929" w:rsidP="00056FD8">
            <w:pPr>
              <w:pStyle w:val="Normal-pool"/>
              <w:rPr>
                <w:noProof/>
              </w:rPr>
            </w:pPr>
          </w:p>
        </w:tc>
        <w:tc>
          <w:tcPr>
            <w:tcW w:w="5953" w:type="dxa"/>
            <w:gridSpan w:val="6"/>
            <w:tcBorders>
              <w:bottom w:val="single" w:sz="2" w:space="0" w:color="auto"/>
            </w:tcBorders>
          </w:tcPr>
          <w:p w14:paraId="6D82283C" w14:textId="77777777" w:rsidR="00396929" w:rsidRPr="009E1644" w:rsidRDefault="00396929" w:rsidP="00056FD8">
            <w:pPr>
              <w:pStyle w:val="Normal-pool"/>
              <w:rPr>
                <w:sz w:val="24"/>
                <w:szCs w:val="24"/>
              </w:rPr>
            </w:pPr>
          </w:p>
        </w:tc>
        <w:tc>
          <w:tcPr>
            <w:tcW w:w="2233" w:type="dxa"/>
            <w:gridSpan w:val="2"/>
            <w:tcBorders>
              <w:bottom w:val="single" w:sz="2" w:space="0" w:color="auto"/>
            </w:tcBorders>
          </w:tcPr>
          <w:p w14:paraId="354E7990" w14:textId="151DF984" w:rsidR="00396929" w:rsidRPr="009E1644" w:rsidRDefault="00396929" w:rsidP="00065C7B">
            <w:pPr>
              <w:pStyle w:val="Normal-pool"/>
              <w:rPr>
                <w:sz w:val="24"/>
                <w:szCs w:val="24"/>
              </w:rPr>
            </w:pPr>
            <w:r w:rsidRPr="009E1644">
              <w:rPr>
                <w:b/>
                <w:sz w:val="24"/>
                <w:szCs w:val="24"/>
              </w:rPr>
              <w:t>IPBES</w:t>
            </w:r>
            <w:r w:rsidRPr="009E1644">
              <w:t>/</w:t>
            </w:r>
            <w:r w:rsidR="005F06C5" w:rsidRPr="009E1644">
              <w:t>7</w:t>
            </w:r>
            <w:r w:rsidRPr="009E1644">
              <w:t>/</w:t>
            </w:r>
            <w:r w:rsidR="00E65D3E" w:rsidRPr="009E1644">
              <w:t>INF/</w:t>
            </w:r>
            <w:r w:rsidR="00065C7B" w:rsidRPr="009E1644">
              <w:t>11</w:t>
            </w:r>
          </w:p>
        </w:tc>
      </w:tr>
      <w:tr w:rsidR="00396929" w:rsidRPr="009E1644" w14:paraId="44558741" w14:textId="77777777" w:rsidTr="00056FD8">
        <w:trPr>
          <w:cantSplit/>
          <w:trHeight w:val="1433"/>
          <w:jc w:val="right"/>
        </w:trPr>
        <w:tc>
          <w:tcPr>
            <w:tcW w:w="2009" w:type="dxa"/>
            <w:gridSpan w:val="2"/>
            <w:tcBorders>
              <w:top w:val="single" w:sz="2" w:space="0" w:color="auto"/>
              <w:bottom w:val="single" w:sz="24" w:space="0" w:color="auto"/>
            </w:tcBorders>
          </w:tcPr>
          <w:p w14:paraId="21C3F8E6" w14:textId="77777777" w:rsidR="00396929" w:rsidRPr="009E1644" w:rsidRDefault="00396929" w:rsidP="00056FD8">
            <w:pPr>
              <w:pStyle w:val="Normal-pool"/>
              <w:spacing w:before="240" w:after="240"/>
              <w:rPr>
                <w:sz w:val="28"/>
                <w:szCs w:val="28"/>
              </w:rPr>
            </w:pPr>
            <w:r w:rsidRPr="009E1644">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9E1644" w:rsidRDefault="00396929" w:rsidP="00056FD8">
            <w:pPr>
              <w:pStyle w:val="Normal-pool"/>
              <w:spacing w:before="120" w:after="240"/>
              <w:rPr>
                <w:rFonts w:ascii="Arial" w:hAnsi="Arial" w:cs="Arial"/>
                <w:b/>
              </w:rPr>
            </w:pPr>
            <w:r w:rsidRPr="009E164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1843973D" w:rsidR="00396929" w:rsidRPr="009E1644" w:rsidRDefault="00396929" w:rsidP="00471270">
            <w:pPr>
              <w:pStyle w:val="Normal-pool"/>
              <w:spacing w:before="120"/>
            </w:pPr>
            <w:r w:rsidRPr="009E1644">
              <w:t>Distr.: General</w:t>
            </w:r>
            <w:r w:rsidR="005F06C5" w:rsidRPr="009E1644">
              <w:t xml:space="preserve"> </w:t>
            </w:r>
            <w:r w:rsidRPr="009E1644">
              <w:br/>
            </w:r>
            <w:r w:rsidR="009436C2" w:rsidRPr="009E1644">
              <w:t>2</w:t>
            </w:r>
            <w:r w:rsidR="0032647B" w:rsidRPr="009E1644">
              <w:t>5</w:t>
            </w:r>
            <w:r w:rsidR="006E470C" w:rsidRPr="009E1644">
              <w:t xml:space="preserve"> March 2019</w:t>
            </w:r>
          </w:p>
          <w:p w14:paraId="09C7780F" w14:textId="5F89AD7F" w:rsidR="00396929" w:rsidRPr="009E1644" w:rsidRDefault="00396929" w:rsidP="00471270">
            <w:pPr>
              <w:pStyle w:val="Normal-pool"/>
              <w:spacing w:before="120"/>
            </w:pPr>
            <w:r w:rsidRPr="009E1644">
              <w:t>English</w:t>
            </w:r>
            <w:r w:rsidR="00E3616B" w:rsidRPr="009E1644">
              <w:t xml:space="preserve"> only</w:t>
            </w:r>
          </w:p>
        </w:tc>
      </w:tr>
    </w:tbl>
    <w:p w14:paraId="20329E1C" w14:textId="77777777" w:rsidR="00396929" w:rsidRPr="009E1644" w:rsidRDefault="00396929" w:rsidP="00396929">
      <w:pPr>
        <w:pStyle w:val="AATitle"/>
      </w:pPr>
      <w:r w:rsidRPr="009E1644">
        <w:t>Plenary of the Intergovernmental Science-Policy</w:t>
      </w:r>
    </w:p>
    <w:p w14:paraId="50E85550" w14:textId="77777777" w:rsidR="00396929" w:rsidRPr="009E1644" w:rsidRDefault="00396929" w:rsidP="00396929">
      <w:pPr>
        <w:pStyle w:val="AATitle"/>
      </w:pPr>
      <w:r w:rsidRPr="009E1644">
        <w:t>Platform on Biodiversity and Ecosystem Services</w:t>
      </w:r>
    </w:p>
    <w:p w14:paraId="7C1DC04A" w14:textId="3C1B9560" w:rsidR="00396929" w:rsidRPr="009E1644" w:rsidRDefault="005F06C5" w:rsidP="00396929">
      <w:pPr>
        <w:pStyle w:val="AATitle"/>
      </w:pPr>
      <w:r w:rsidRPr="009E1644">
        <w:t xml:space="preserve">Seventh </w:t>
      </w:r>
      <w:r w:rsidR="00396929" w:rsidRPr="009E1644">
        <w:t>session</w:t>
      </w:r>
    </w:p>
    <w:p w14:paraId="0580BFEB" w14:textId="77777777" w:rsidR="00A378D4" w:rsidRPr="009E1644" w:rsidRDefault="00A378D4" w:rsidP="00A378D4">
      <w:pPr>
        <w:pStyle w:val="AATitle"/>
        <w:rPr>
          <w:b w:val="0"/>
        </w:rPr>
      </w:pPr>
      <w:r w:rsidRPr="009E1644">
        <w:rPr>
          <w:b w:val="0"/>
          <w:lang w:eastAsia="ja-JP"/>
        </w:rPr>
        <w:t>Paris, 29 April–4 May 2019</w:t>
      </w:r>
    </w:p>
    <w:p w14:paraId="374F435C" w14:textId="70B01B2C" w:rsidR="00A378D4" w:rsidRPr="009E1644"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9E1644">
        <w:rPr>
          <w:rFonts w:ascii="Times New Roman" w:eastAsia="Times New Roman" w:hAnsi="Times New Roman"/>
          <w:sz w:val="20"/>
          <w:szCs w:val="20"/>
          <w:lang w:val="en-GB"/>
        </w:rPr>
        <w:t>Item 5</w:t>
      </w:r>
      <w:r w:rsidR="00A378D4" w:rsidRPr="009E1644">
        <w:rPr>
          <w:rFonts w:ascii="Times New Roman" w:eastAsia="Times New Roman" w:hAnsi="Times New Roman"/>
          <w:sz w:val="20"/>
          <w:szCs w:val="20"/>
          <w:lang w:val="en-GB"/>
        </w:rPr>
        <w:t xml:space="preserve"> of the provisional agenda</w:t>
      </w:r>
      <w:r w:rsidR="00A378D4" w:rsidRPr="009E1644">
        <w:rPr>
          <w:rFonts w:ascii="Times New Roman" w:eastAsia="Times New Roman" w:hAnsi="Times New Roman"/>
          <w:sz w:val="20"/>
          <w:szCs w:val="18"/>
          <w:lang w:val="en-GB"/>
        </w:rPr>
        <w:footnoteReference w:customMarkFollows="1" w:id="1"/>
        <w:t>*</w:t>
      </w:r>
    </w:p>
    <w:p w14:paraId="1D2FEB80" w14:textId="6F30F25A" w:rsidR="00B86535" w:rsidRPr="009E1644" w:rsidRDefault="00130063" w:rsidP="00B97AC6">
      <w:pPr>
        <w:pStyle w:val="AATitle2"/>
        <w:spacing w:before="60"/>
        <w:ind w:right="3686"/>
      </w:pPr>
      <w:r w:rsidRPr="009E1644">
        <w:t xml:space="preserve">Report of the Executive Secretary on the implementation </w:t>
      </w:r>
      <w:r w:rsidR="00010790" w:rsidRPr="009E1644">
        <w:br/>
      </w:r>
      <w:r w:rsidRPr="009E1644">
        <w:t>of the first work programme for the period 2014–2018</w:t>
      </w:r>
    </w:p>
    <w:p w14:paraId="0CC873E9" w14:textId="77777777" w:rsidR="009E552A" w:rsidRPr="009E1644" w:rsidRDefault="009E552A" w:rsidP="00B97AC6">
      <w:pPr>
        <w:pStyle w:val="BBTitle"/>
      </w:pPr>
      <w:r w:rsidRPr="009E1644">
        <w:t>Information on work related to scenarios and models</w:t>
      </w:r>
    </w:p>
    <w:p w14:paraId="011367D2" w14:textId="77777777" w:rsidR="009E552A" w:rsidRPr="009E1644" w:rsidRDefault="009E552A" w:rsidP="00010790">
      <w:pPr>
        <w:pStyle w:val="CH2"/>
      </w:pPr>
      <w:r w:rsidRPr="009E1644">
        <w:tab/>
      </w:r>
      <w:r w:rsidRPr="009E1644">
        <w:tab/>
        <w:t>Note by the secretariat</w:t>
      </w:r>
    </w:p>
    <w:p w14:paraId="6082A347" w14:textId="19B951C6" w:rsidR="009E552A" w:rsidRPr="009E1644" w:rsidRDefault="009E552A" w:rsidP="009E1644">
      <w:pPr>
        <w:pStyle w:val="Normalnumber"/>
        <w:tabs>
          <w:tab w:val="clear" w:pos="567"/>
          <w:tab w:val="clear" w:pos="1247"/>
          <w:tab w:val="clear" w:pos="1814"/>
          <w:tab w:val="clear" w:pos="2381"/>
          <w:tab w:val="clear" w:pos="2948"/>
          <w:tab w:val="clear" w:pos="3515"/>
          <w:tab w:val="num" w:pos="624"/>
        </w:tabs>
      </w:pPr>
      <w:r w:rsidRPr="009E1644">
        <w:t xml:space="preserve">In </w:t>
      </w:r>
      <w:r w:rsidR="00E3616B" w:rsidRPr="009E1644">
        <w:t xml:space="preserve">section V of </w:t>
      </w:r>
      <w:r w:rsidR="000146C1" w:rsidRPr="009E1644">
        <w:t xml:space="preserve">its </w:t>
      </w:r>
      <w:r w:rsidRPr="009E1644">
        <w:t>decision IPBES-4/1, the Plenary of the Intergovernmental Science-Policy Platform on Biodiversity and Ecosystem Services (IPBES) approved the summary for policymakers of the methodological assessment of scenarios and models and accepted the individual chapters of the assessment.</w:t>
      </w:r>
    </w:p>
    <w:p w14:paraId="0EBEB948" w14:textId="7F6B15EC" w:rsidR="009E552A" w:rsidRPr="009E1644" w:rsidRDefault="009E552A" w:rsidP="009E1644">
      <w:pPr>
        <w:pStyle w:val="Normalnumber"/>
        <w:tabs>
          <w:tab w:val="clear" w:pos="567"/>
          <w:tab w:val="clear" w:pos="1247"/>
          <w:tab w:val="clear" w:pos="1814"/>
          <w:tab w:val="clear" w:pos="2381"/>
          <w:tab w:val="clear" w:pos="2948"/>
          <w:tab w:val="clear" w:pos="3515"/>
          <w:tab w:val="num" w:pos="624"/>
        </w:tabs>
      </w:pPr>
      <w:r w:rsidRPr="009E1644">
        <w:t>In the same decision, the Plenary requested the Multidisciplinary Expert Panel to oversee further work related to scenarios and models, according to the terms of reference set out in annex V to the decision, and to appoint an expert group to perform that work. At its eighth meeting</w:t>
      </w:r>
      <w:r w:rsidR="00F0035B" w:rsidRPr="009E1644">
        <w:t>,</w:t>
      </w:r>
      <w:r w:rsidRPr="009E1644">
        <w:t xml:space="preserve"> in October 2016, the P</w:t>
      </w:r>
      <w:r w:rsidR="003118F1" w:rsidRPr="009E1644">
        <w:t>anel</w:t>
      </w:r>
      <w:r w:rsidRPr="009E1644">
        <w:t xml:space="preserve"> approved the composition of the expert group. Further work</w:t>
      </w:r>
      <w:r w:rsidR="003118F1" w:rsidRPr="009E1644">
        <w:t xml:space="preserve">, </w:t>
      </w:r>
      <w:r w:rsidRPr="009E1644">
        <w:t>referred to as</w:t>
      </w:r>
      <w:r w:rsidR="00AB3607" w:rsidRPr="009E1644">
        <w:t xml:space="preserve"> the</w:t>
      </w:r>
      <w:r w:rsidRPr="009E1644">
        <w:t xml:space="preserve"> </w:t>
      </w:r>
      <w:r w:rsidR="000F1C69" w:rsidRPr="009E1644">
        <w:t>“</w:t>
      </w:r>
      <w:r w:rsidRPr="009E1644">
        <w:t>second phase</w:t>
      </w:r>
      <w:r w:rsidR="000F1C69" w:rsidRPr="009E1644">
        <w:t>”</w:t>
      </w:r>
      <w:r w:rsidR="003118F1" w:rsidRPr="009E1644">
        <w:t>,</w:t>
      </w:r>
      <w:r w:rsidRPr="009E1644">
        <w:t xml:space="preserve"> has focused on two activities: to provide advice to all IPBES expert groups, in particular those working on the thematic, regional and global assessments on the use of scenarios (activity 1); and to catalyse the further development of scenarios and models of biodiversity and ecosystem services (activity 2). </w:t>
      </w:r>
    </w:p>
    <w:p w14:paraId="45D6BFF8" w14:textId="6D5EB7EE" w:rsidR="009E552A" w:rsidRPr="009E1644" w:rsidRDefault="009E552A" w:rsidP="009E1644">
      <w:pPr>
        <w:pStyle w:val="Normalnumber"/>
        <w:tabs>
          <w:tab w:val="clear" w:pos="567"/>
          <w:tab w:val="clear" w:pos="1247"/>
          <w:tab w:val="clear" w:pos="1814"/>
          <w:tab w:val="clear" w:pos="2381"/>
          <w:tab w:val="clear" w:pos="2948"/>
          <w:tab w:val="clear" w:pos="3515"/>
          <w:tab w:val="num" w:pos="624"/>
        </w:tabs>
      </w:pPr>
      <w:r w:rsidRPr="009E1644">
        <w:t xml:space="preserve">In </w:t>
      </w:r>
      <w:r w:rsidR="004118E7" w:rsidRPr="009E1644">
        <w:t xml:space="preserve">section VI of </w:t>
      </w:r>
      <w:r w:rsidR="00B00CE6" w:rsidRPr="009E1644">
        <w:t xml:space="preserve">its </w:t>
      </w:r>
      <w:r w:rsidRPr="009E1644">
        <w:t xml:space="preserve">decision IPBES-5/1, the Plenary requested the expert group on scenarios and models to continue its work and to report on progress at the sixth and seventh sessions of the Plenary. In </w:t>
      </w:r>
      <w:r w:rsidR="004118E7" w:rsidRPr="009E1644">
        <w:t xml:space="preserve">section VI of </w:t>
      </w:r>
      <w:r w:rsidR="009436C2" w:rsidRPr="009E1644">
        <w:t xml:space="preserve">its </w:t>
      </w:r>
      <w:r w:rsidRPr="009E1644">
        <w:t>decision IPBES-6/1, the Plenary welcomed the progress made and next steps planned by the expert group on scenarios and models based on document IPBES/6/INF/15, and on presentation of these next steps to the Plenary by the Executive Secretary in her report (</w:t>
      </w:r>
      <w:r w:rsidR="000F1C69" w:rsidRPr="009E1644">
        <w:t xml:space="preserve">document </w:t>
      </w:r>
      <w:r w:rsidRPr="009E1644">
        <w:t>IPBES/6/2).</w:t>
      </w:r>
    </w:p>
    <w:p w14:paraId="5A8F6B81" w14:textId="740DC298" w:rsidR="009E552A" w:rsidRPr="009E1644" w:rsidRDefault="009E552A" w:rsidP="009E1644">
      <w:pPr>
        <w:pStyle w:val="Normalnumber"/>
        <w:tabs>
          <w:tab w:val="clear" w:pos="567"/>
          <w:tab w:val="clear" w:pos="1247"/>
          <w:tab w:val="clear" w:pos="1814"/>
          <w:tab w:val="clear" w:pos="2381"/>
          <w:tab w:val="clear" w:pos="2948"/>
          <w:tab w:val="clear" w:pos="3515"/>
          <w:tab w:val="num" w:pos="624"/>
        </w:tabs>
      </w:pPr>
      <w:r w:rsidRPr="009E1644">
        <w:t xml:space="preserve">At their </w:t>
      </w:r>
      <w:r w:rsidR="00B00CE6" w:rsidRPr="009E1644">
        <w:t xml:space="preserve">eleventh </w:t>
      </w:r>
      <w:r w:rsidRPr="009E1644">
        <w:t>meeting</w:t>
      </w:r>
      <w:r w:rsidR="00B00CE6" w:rsidRPr="009E1644">
        <w:t>s</w:t>
      </w:r>
      <w:r w:rsidRPr="009E1644">
        <w:t>, the M</w:t>
      </w:r>
      <w:r w:rsidR="00B00CE6" w:rsidRPr="009E1644">
        <w:t xml:space="preserve">ultidisciplinary </w:t>
      </w:r>
      <w:r w:rsidRPr="009E1644">
        <w:t>E</w:t>
      </w:r>
      <w:r w:rsidR="00B00CE6" w:rsidRPr="009E1644">
        <w:t xml:space="preserve">xpert </w:t>
      </w:r>
      <w:r w:rsidRPr="009E1644">
        <w:t>P</w:t>
      </w:r>
      <w:r w:rsidR="00B00CE6" w:rsidRPr="009E1644">
        <w:t>anel</w:t>
      </w:r>
      <w:r w:rsidRPr="009E1644">
        <w:t xml:space="preserve"> and </w:t>
      </w:r>
      <w:r w:rsidR="00B00CE6" w:rsidRPr="009E1644">
        <w:t xml:space="preserve">the </w:t>
      </w:r>
      <w:r w:rsidRPr="009E1644">
        <w:t>Bureau welcomed the plans of the expert group to continue support</w:t>
      </w:r>
      <w:r w:rsidR="009436C2" w:rsidRPr="009E1644">
        <w:t>ing</w:t>
      </w:r>
      <w:r w:rsidRPr="009E1644">
        <w:t xml:space="preserve"> the global assessment and to consider supporting the assessment on values and the assessment of the sustainable use of wild species, as appropriate; </w:t>
      </w:r>
      <w:r w:rsidR="00D12CA4" w:rsidRPr="009E1644">
        <w:t xml:space="preserve">and </w:t>
      </w:r>
      <w:r w:rsidRPr="009E1644">
        <w:t xml:space="preserve">to continue the work on scenario development, including the development of storylines and a modelling exercise for the construction of nature futures scenarios. </w:t>
      </w:r>
    </w:p>
    <w:p w14:paraId="0D830CDC" w14:textId="76527F1D" w:rsidR="009E552A" w:rsidRPr="009E1644" w:rsidRDefault="009E552A" w:rsidP="009E1644">
      <w:pPr>
        <w:pStyle w:val="Normalnumber"/>
        <w:tabs>
          <w:tab w:val="clear" w:pos="567"/>
          <w:tab w:val="clear" w:pos="1247"/>
          <w:tab w:val="clear" w:pos="1814"/>
          <w:tab w:val="clear" w:pos="2381"/>
          <w:tab w:val="clear" w:pos="2948"/>
          <w:tab w:val="clear" w:pos="3515"/>
          <w:tab w:val="num" w:pos="624"/>
        </w:tabs>
      </w:pPr>
      <w:r w:rsidRPr="009E1644">
        <w:t>The annex to the present note, which is presented without formal editing</w:t>
      </w:r>
      <w:r w:rsidR="00E22AEA" w:rsidRPr="009E1644">
        <w:t>,</w:t>
      </w:r>
      <w:r w:rsidRPr="009E1644">
        <w:t xml:space="preserve"> sets out information on the </w:t>
      </w:r>
      <w:r w:rsidR="00E22AEA" w:rsidRPr="009E1644">
        <w:t xml:space="preserve">progress </w:t>
      </w:r>
      <w:r w:rsidR="00E052BD" w:rsidRPr="009E1644">
        <w:t>in</w:t>
      </w:r>
      <w:r w:rsidR="00E22AEA" w:rsidRPr="009E1644">
        <w:t xml:space="preserve"> the</w:t>
      </w:r>
      <w:r w:rsidR="00E052BD" w:rsidRPr="009E1644">
        <w:t xml:space="preserve"> work of the</w:t>
      </w:r>
      <w:r w:rsidR="00E22AEA" w:rsidRPr="009E1644">
        <w:t xml:space="preserve"> expert group on scenarios and models, as well as </w:t>
      </w:r>
      <w:r w:rsidR="006C7110" w:rsidRPr="009E1644">
        <w:t xml:space="preserve">suggested </w:t>
      </w:r>
      <w:r w:rsidR="00E052BD" w:rsidRPr="009E1644">
        <w:t xml:space="preserve">next steps </w:t>
      </w:r>
      <w:r w:rsidR="006C7110" w:rsidRPr="009E1644">
        <w:t>that would be undertaken by</w:t>
      </w:r>
      <w:r w:rsidR="000F1C69" w:rsidRPr="009E1644">
        <w:t xml:space="preserve"> </w:t>
      </w:r>
      <w:r w:rsidR="003118F1" w:rsidRPr="009E1644">
        <w:t xml:space="preserve">a </w:t>
      </w:r>
      <w:r w:rsidRPr="009E1644">
        <w:t xml:space="preserve">task </w:t>
      </w:r>
      <w:r w:rsidR="00E22AEA" w:rsidRPr="009E1644">
        <w:t>force</w:t>
      </w:r>
      <w:r w:rsidRPr="009E1644">
        <w:t xml:space="preserve"> on scenarios and models</w:t>
      </w:r>
      <w:r w:rsidR="000F1C69" w:rsidRPr="009E1644">
        <w:t>, should</w:t>
      </w:r>
      <w:r w:rsidR="003118F1" w:rsidRPr="009E1644">
        <w:t xml:space="preserve"> the Plenary </w:t>
      </w:r>
      <w:r w:rsidR="000F1C69" w:rsidRPr="009E1644">
        <w:t>decide</w:t>
      </w:r>
      <w:r w:rsidR="003118F1" w:rsidRPr="009E1644">
        <w:t xml:space="preserve"> to establish </w:t>
      </w:r>
      <w:r w:rsidR="000F1C69" w:rsidRPr="009E1644">
        <w:t xml:space="preserve">such a task force </w:t>
      </w:r>
      <w:r w:rsidR="003118F1" w:rsidRPr="009E1644">
        <w:t>as part of the next work programme of IPBES</w:t>
      </w:r>
      <w:r w:rsidRPr="009E1644">
        <w:t xml:space="preserve">. </w:t>
      </w:r>
    </w:p>
    <w:p w14:paraId="1384D255" w14:textId="77777777" w:rsidR="009E552A" w:rsidRPr="009E1644" w:rsidRDefault="009E552A" w:rsidP="009E552A">
      <w:pPr>
        <w:spacing w:after="0" w:line="240" w:lineRule="auto"/>
        <w:rPr>
          <w:rFonts w:ascii="Times New Roman" w:eastAsia="Times New Roman" w:hAnsi="Times New Roman" w:cs="Arial"/>
          <w:sz w:val="20"/>
          <w:szCs w:val="20"/>
          <w:lang w:val="en-GB"/>
        </w:rPr>
      </w:pPr>
      <w:r w:rsidRPr="009E1644">
        <w:rPr>
          <w:rFonts w:cs="Arial"/>
          <w:lang w:val="en-GB"/>
        </w:rPr>
        <w:br w:type="page"/>
      </w:r>
    </w:p>
    <w:p w14:paraId="6985B58F" w14:textId="50F374F0" w:rsidR="009E552A" w:rsidRPr="009E1644" w:rsidRDefault="009E552A" w:rsidP="00010790">
      <w:pPr>
        <w:pStyle w:val="ZZAnxheader"/>
      </w:pPr>
      <w:r w:rsidRPr="009E1644">
        <w:lastRenderedPageBreak/>
        <w:t>Annex</w:t>
      </w:r>
    </w:p>
    <w:p w14:paraId="49930F02" w14:textId="77777777" w:rsidR="009E552A" w:rsidRPr="009E1644" w:rsidRDefault="009E552A" w:rsidP="00010790">
      <w:pPr>
        <w:pStyle w:val="ZZAnxtitle"/>
      </w:pPr>
      <w:r w:rsidRPr="009E1644">
        <w:rPr>
          <w:lang w:eastAsia="en-GB"/>
        </w:rPr>
        <w:t>Information on work related to scenarios and models of biodiversity and ecosystem services</w:t>
      </w:r>
    </w:p>
    <w:p w14:paraId="29B39453" w14:textId="77777777" w:rsidR="009E552A" w:rsidRPr="009E1644" w:rsidRDefault="009E552A" w:rsidP="00010790">
      <w:pPr>
        <w:pStyle w:val="CH1"/>
        <w:rPr>
          <w:lang w:eastAsia="en-GB"/>
        </w:rPr>
      </w:pPr>
      <w:r w:rsidRPr="009E1644">
        <w:rPr>
          <w:lang w:eastAsia="en-GB"/>
        </w:rPr>
        <w:tab/>
        <w:t>I.</w:t>
      </w:r>
      <w:r w:rsidRPr="009E1644">
        <w:rPr>
          <w:lang w:eastAsia="en-GB"/>
        </w:rPr>
        <w:tab/>
        <w:t xml:space="preserve">The expert group on scenarios and models </w:t>
      </w:r>
    </w:p>
    <w:p w14:paraId="694DEA66" w14:textId="0233F6FF" w:rsidR="009E552A" w:rsidRPr="009E1644" w:rsidRDefault="009E552A" w:rsidP="009E1644">
      <w:pPr>
        <w:pStyle w:val="Normalnumber"/>
        <w:numPr>
          <w:ilvl w:val="0"/>
          <w:numId w:val="9"/>
        </w:numPr>
        <w:tabs>
          <w:tab w:val="clear" w:pos="567"/>
          <w:tab w:val="clear" w:pos="1247"/>
          <w:tab w:val="clear" w:pos="1814"/>
          <w:tab w:val="clear" w:pos="2381"/>
          <w:tab w:val="clear" w:pos="2948"/>
          <w:tab w:val="clear" w:pos="3515"/>
          <w:tab w:val="num" w:pos="624"/>
        </w:tabs>
      </w:pPr>
      <w:r w:rsidRPr="009E1644">
        <w:t xml:space="preserve">At its eighth meeting, the Multidisciplinary Expert Panel approved the list of members of the expert group on scenarios and models for the second phase of IPBES work on scenarios and models of biodiversity and ecosystem services. </w:t>
      </w:r>
      <w:r w:rsidR="00AD5AC5" w:rsidRPr="009E1644">
        <w:t>T</w:t>
      </w:r>
      <w:r w:rsidRPr="009E1644">
        <w:t>he final list of 23 experts</w:t>
      </w:r>
      <w:r w:rsidR="00AD5AC5" w:rsidRPr="009E1644">
        <w:t xml:space="preserve"> is set out in appendix II to IPBES/5/INF/2</w:t>
      </w:r>
      <w:r w:rsidRPr="009E1644">
        <w:t xml:space="preserve">. The expert group </w:t>
      </w:r>
      <w:r w:rsidR="00AD5AC5" w:rsidRPr="009E1644">
        <w:t xml:space="preserve">was </w:t>
      </w:r>
      <w:r w:rsidRPr="009E1644">
        <w:t xml:space="preserve">co-chaired by Carolyn Lundquist and Henrique Pereira. Rovshan Abbasov, </w:t>
      </w:r>
      <w:proofErr w:type="spellStart"/>
      <w:r w:rsidRPr="009E1644">
        <w:t>Chimère</w:t>
      </w:r>
      <w:proofErr w:type="spellEnd"/>
      <w:r w:rsidRPr="009E1644">
        <w:t xml:space="preserve"> Diaw, Shizuka Hashimoto, Sandra Lavorel </w:t>
      </w:r>
      <w:r w:rsidR="00AD5AC5" w:rsidRPr="009E1644">
        <w:t xml:space="preserve">and </w:t>
      </w:r>
      <w:r w:rsidR="009436C2" w:rsidRPr="009E1644">
        <w:t xml:space="preserve">Roldán Chacón </w:t>
      </w:r>
      <w:r w:rsidR="00002836" w:rsidRPr="009E1644">
        <w:t>oversaw</w:t>
      </w:r>
      <w:r w:rsidR="00AD5AC5" w:rsidRPr="009E1644">
        <w:t xml:space="preserve"> progress in the implementation of the second phase of deliverable 3(c) of the first work programme of IPBES on behalf of</w:t>
      </w:r>
      <w:r w:rsidRPr="009E1644">
        <w:t xml:space="preserve"> the Multidisciplinary Expert Panel</w:t>
      </w:r>
      <w:r w:rsidR="00AD5AC5" w:rsidRPr="009E1644">
        <w:t>;</w:t>
      </w:r>
      <w:r w:rsidRPr="009E1644">
        <w:t xml:space="preserve"> Asghar </w:t>
      </w:r>
      <w:proofErr w:type="spellStart"/>
      <w:r w:rsidRPr="009E1644">
        <w:t>Mohammadi</w:t>
      </w:r>
      <w:proofErr w:type="spellEnd"/>
      <w:r w:rsidRPr="009E1644">
        <w:t xml:space="preserve"> Fazel and Robert Watson </w:t>
      </w:r>
      <w:r w:rsidR="00AD5AC5" w:rsidRPr="009E1644">
        <w:t>on behalf of</w:t>
      </w:r>
      <w:r w:rsidRPr="009E1644">
        <w:t xml:space="preserve"> the Bureau.</w:t>
      </w:r>
    </w:p>
    <w:p w14:paraId="6D26385F" w14:textId="55708E09" w:rsidR="009E552A" w:rsidRPr="009E1644" w:rsidRDefault="009E552A" w:rsidP="009E1644">
      <w:pPr>
        <w:pStyle w:val="Normalnumber"/>
        <w:numPr>
          <w:ilvl w:val="0"/>
          <w:numId w:val="9"/>
        </w:numPr>
        <w:tabs>
          <w:tab w:val="clear" w:pos="567"/>
          <w:tab w:val="clear" w:pos="1247"/>
          <w:tab w:val="clear" w:pos="1814"/>
          <w:tab w:val="clear" w:pos="2381"/>
          <w:tab w:val="clear" w:pos="2948"/>
          <w:tab w:val="clear" w:pos="3515"/>
          <w:tab w:val="num" w:pos="624"/>
        </w:tabs>
      </w:pPr>
      <w:r w:rsidRPr="009E1644">
        <w:t>The technical support unit for the IPBES work on scenarios and models, based at PBL – the Netherlands Environmental Assessment Agency, continued its support during this second phase of work. Its members include</w:t>
      </w:r>
      <w:r w:rsidR="00AD5AC5" w:rsidRPr="009E1644">
        <w:t>d</w:t>
      </w:r>
      <w:r w:rsidRPr="009E1644">
        <w:t xml:space="preserve"> Eefje den Belder, Rob Alkemade, since 6 November 2017 Machteld Schoolenberg, since 1 March 2018 Rainer Krug and since 1 August 2018 Sana Okayasu.</w:t>
      </w:r>
    </w:p>
    <w:p w14:paraId="6E4D953C" w14:textId="4EEF2D57" w:rsidR="009E552A" w:rsidRPr="009E1644" w:rsidRDefault="009E552A" w:rsidP="009E1644">
      <w:pPr>
        <w:pStyle w:val="Normalnumber"/>
        <w:numPr>
          <w:ilvl w:val="0"/>
          <w:numId w:val="9"/>
        </w:numPr>
        <w:tabs>
          <w:tab w:val="clear" w:pos="567"/>
          <w:tab w:val="clear" w:pos="1247"/>
          <w:tab w:val="clear" w:pos="1814"/>
          <w:tab w:val="clear" w:pos="2381"/>
          <w:tab w:val="clear" w:pos="2948"/>
          <w:tab w:val="clear" w:pos="3515"/>
          <w:tab w:val="num" w:pos="624"/>
        </w:tabs>
      </w:pPr>
      <w:r w:rsidRPr="009E1644">
        <w:t>The mandate</w:t>
      </w:r>
      <w:r w:rsidR="009436C2" w:rsidRPr="009E1644">
        <w:t>s</w:t>
      </w:r>
      <w:r w:rsidRPr="009E1644">
        <w:t xml:space="preserve"> of the expert group</w:t>
      </w:r>
      <w:r w:rsidR="00AD5AC5" w:rsidRPr="009E1644">
        <w:t xml:space="preserve"> and </w:t>
      </w:r>
      <w:r w:rsidR="00346B07" w:rsidRPr="009E1644">
        <w:t xml:space="preserve">of </w:t>
      </w:r>
      <w:r w:rsidR="00AD5AC5" w:rsidRPr="009E1644">
        <w:t>the technical support unit</w:t>
      </w:r>
      <w:r w:rsidRPr="009E1644">
        <w:t xml:space="preserve"> on scenarios and models come to an end at the </w:t>
      </w:r>
      <w:r w:rsidR="00B00CE6" w:rsidRPr="009E1644">
        <w:t xml:space="preserve">seventh </w:t>
      </w:r>
      <w:r w:rsidRPr="009E1644">
        <w:t xml:space="preserve">session of the Plenary. </w:t>
      </w:r>
    </w:p>
    <w:p w14:paraId="31632166" w14:textId="2CB54F3E" w:rsidR="009E552A" w:rsidRPr="009E1644" w:rsidRDefault="00AD5AC5" w:rsidP="009E1644">
      <w:pPr>
        <w:pStyle w:val="Normalnumber"/>
        <w:numPr>
          <w:ilvl w:val="0"/>
          <w:numId w:val="9"/>
        </w:numPr>
        <w:tabs>
          <w:tab w:val="clear" w:pos="567"/>
          <w:tab w:val="clear" w:pos="1247"/>
          <w:tab w:val="clear" w:pos="1814"/>
          <w:tab w:val="clear" w:pos="2381"/>
          <w:tab w:val="clear" w:pos="2948"/>
          <w:tab w:val="clear" w:pos="3515"/>
          <w:tab w:val="num" w:pos="624"/>
        </w:tabs>
      </w:pPr>
      <w:r w:rsidRPr="009E1644">
        <w:t xml:space="preserve">The draft work programme for IPBES up to 2030 includes a proposal for the establishment of a </w:t>
      </w:r>
      <w:r w:rsidR="009E552A" w:rsidRPr="009E1644">
        <w:t xml:space="preserve">task force on scenarios and models of biodiversity and ecosystem services. The </w:t>
      </w:r>
      <w:r w:rsidR="00C92F9A" w:rsidRPr="009E1644">
        <w:t xml:space="preserve">proposed </w:t>
      </w:r>
      <w:r w:rsidR="009E552A" w:rsidRPr="009E1644">
        <w:t xml:space="preserve">terms of reference for this task force and the necessary institutional arrangements for a </w:t>
      </w:r>
      <w:r w:rsidR="00C92F9A" w:rsidRPr="009E1644">
        <w:t xml:space="preserve">technical support unit </w:t>
      </w:r>
      <w:r w:rsidR="009E552A" w:rsidRPr="009E1644">
        <w:t xml:space="preserve">on scenarios and models are set out in document IPBES/7/6. </w:t>
      </w:r>
    </w:p>
    <w:p w14:paraId="4305109C" w14:textId="5115F2EE" w:rsidR="009E552A" w:rsidRPr="009E1644" w:rsidRDefault="001A6E9D" w:rsidP="00010790">
      <w:pPr>
        <w:pStyle w:val="CH1"/>
      </w:pPr>
      <w:r w:rsidRPr="009E1644">
        <w:tab/>
      </w:r>
      <w:r w:rsidR="009E552A" w:rsidRPr="009E1644">
        <w:t>II.</w:t>
      </w:r>
      <w:r w:rsidR="009E552A" w:rsidRPr="009E1644">
        <w:tab/>
        <w:t xml:space="preserve">Progress </w:t>
      </w:r>
      <w:r w:rsidR="00D06CCB" w:rsidRPr="009E1644">
        <w:t>in</w:t>
      </w:r>
      <w:r w:rsidR="009E552A" w:rsidRPr="009E1644">
        <w:t xml:space="preserve"> supporting the use of scenarios and models in IPBES assessments: Activity 1</w:t>
      </w:r>
    </w:p>
    <w:p w14:paraId="222546FB" w14:textId="43223AFA" w:rsidR="009E552A" w:rsidRPr="009E1644" w:rsidRDefault="001A6E9D" w:rsidP="00010790">
      <w:pPr>
        <w:pStyle w:val="CH2"/>
        <w:rPr>
          <w:rFonts w:eastAsia="Calibri"/>
        </w:rPr>
      </w:pPr>
      <w:bookmarkStart w:id="1" w:name="_Hlk3993063"/>
      <w:r w:rsidRPr="009E1644">
        <w:tab/>
      </w:r>
      <w:r w:rsidR="009E552A" w:rsidRPr="009E1644">
        <w:rPr>
          <w:rFonts w:eastAsia="Calibri"/>
        </w:rPr>
        <w:t>A.</w:t>
      </w:r>
      <w:r w:rsidR="009E552A" w:rsidRPr="009E1644">
        <w:rPr>
          <w:rFonts w:eastAsia="Calibri"/>
        </w:rPr>
        <w:tab/>
      </w:r>
      <w:bookmarkEnd w:id="1"/>
      <w:r w:rsidR="009E552A" w:rsidRPr="009E1644">
        <w:rPr>
          <w:rFonts w:eastAsia="Calibri"/>
        </w:rPr>
        <w:t>Specific support to assessment expert groups</w:t>
      </w:r>
    </w:p>
    <w:p w14:paraId="0B20D9B6" w14:textId="4A6C78FC" w:rsidR="009E552A" w:rsidRPr="009E1644" w:rsidRDefault="009E552A" w:rsidP="009E1644">
      <w:pPr>
        <w:pStyle w:val="Normalnumber"/>
        <w:tabs>
          <w:tab w:val="clear" w:pos="567"/>
          <w:tab w:val="clear" w:pos="1247"/>
          <w:tab w:val="clear" w:pos="1814"/>
          <w:tab w:val="clear" w:pos="2381"/>
          <w:tab w:val="clear" w:pos="2948"/>
          <w:tab w:val="clear" w:pos="3515"/>
          <w:tab w:val="num" w:pos="624"/>
        </w:tabs>
      </w:pPr>
      <w:r w:rsidRPr="009E1644">
        <w:t xml:space="preserve">Technical support for </w:t>
      </w:r>
      <w:r w:rsidR="00726D46" w:rsidRPr="009E1644">
        <w:t>c</w:t>
      </w:r>
      <w:r w:rsidRPr="009E1644">
        <w:t>hapter 4</w:t>
      </w:r>
      <w:r w:rsidR="00CE2AB8" w:rsidRPr="009E1644">
        <w:t>, and to a lesser extent chapter 5,</w:t>
      </w:r>
      <w:r w:rsidRPr="009E1644">
        <w:t xml:space="preserve"> of the </w:t>
      </w:r>
      <w:r w:rsidR="00726D46" w:rsidRPr="009E1644">
        <w:t>global assessment of biodiversity and ecosystem services included</w:t>
      </w:r>
      <w:r w:rsidRPr="009E1644">
        <w:t xml:space="preserve"> </w:t>
      </w:r>
      <w:r w:rsidR="00346B07" w:rsidRPr="009E1644">
        <w:t>support to mobilising literature for experts</w:t>
      </w:r>
      <w:r w:rsidR="005F551F" w:rsidRPr="009E1644">
        <w:t xml:space="preserve">, support </w:t>
      </w:r>
      <w:r w:rsidR="009436C2" w:rsidRPr="009E1644">
        <w:t xml:space="preserve">to </w:t>
      </w:r>
      <w:r w:rsidR="005F551F" w:rsidRPr="009E1644">
        <w:t xml:space="preserve">the </w:t>
      </w:r>
      <w:r w:rsidR="00CD5754" w:rsidRPr="009E1644">
        <w:t xml:space="preserve">literature </w:t>
      </w:r>
      <w:r w:rsidR="005F551F" w:rsidRPr="009E1644">
        <w:t>review</w:t>
      </w:r>
      <w:r w:rsidR="00346B07" w:rsidRPr="009E1644">
        <w:t xml:space="preserve">, </w:t>
      </w:r>
      <w:r w:rsidRPr="009E1644">
        <w:t xml:space="preserve">maintenance of </w:t>
      </w:r>
      <w:r w:rsidR="00DB4DA9" w:rsidRPr="009E1644">
        <w:t xml:space="preserve">the literature </w:t>
      </w:r>
      <w:r w:rsidR="00F648F2" w:rsidRPr="009E1644">
        <w:t>references used</w:t>
      </w:r>
      <w:r w:rsidR="00DB4DA9" w:rsidRPr="009E1644">
        <w:t>, compilation of all contributions from authors into a chapter</w:t>
      </w:r>
      <w:r w:rsidR="005F551F" w:rsidRPr="009E1644">
        <w:t>,</w:t>
      </w:r>
      <w:r w:rsidR="002A4567" w:rsidRPr="009E1644">
        <w:t xml:space="preserve"> </w:t>
      </w:r>
      <w:r w:rsidR="005F551F" w:rsidRPr="009E1644">
        <w:t xml:space="preserve">and production of </w:t>
      </w:r>
      <w:r w:rsidR="00E20B95" w:rsidRPr="009E1644">
        <w:t>graphics.</w:t>
      </w:r>
      <w:r w:rsidR="005F551F" w:rsidRPr="009E1644">
        <w:t xml:space="preserve"> </w:t>
      </w:r>
      <w:r w:rsidR="009436C2" w:rsidRPr="009E1644">
        <w:t>Support to the literature</w:t>
      </w:r>
      <w:r w:rsidR="005F551F" w:rsidRPr="009E1644">
        <w:t xml:space="preserve"> review </w:t>
      </w:r>
      <w:r w:rsidR="009436C2" w:rsidRPr="009E1644">
        <w:t xml:space="preserve">included an </w:t>
      </w:r>
      <w:r w:rsidR="00DB4DA9" w:rsidRPr="009E1644">
        <w:t>analys</w:t>
      </w:r>
      <w:r w:rsidR="005F551F" w:rsidRPr="009E1644">
        <w:t>i</w:t>
      </w:r>
      <w:r w:rsidR="009436C2" w:rsidRPr="009E1644">
        <w:t>s</w:t>
      </w:r>
      <w:r w:rsidR="00DB4DA9" w:rsidRPr="009E1644">
        <w:t xml:space="preserve"> </w:t>
      </w:r>
      <w:r w:rsidR="009436C2" w:rsidRPr="009E1644">
        <w:t xml:space="preserve">of </w:t>
      </w:r>
      <w:r w:rsidR="00DB4DA9" w:rsidRPr="009E1644">
        <w:t xml:space="preserve">data </w:t>
      </w:r>
      <w:r w:rsidR="005F551F" w:rsidRPr="009E1644">
        <w:t>retrieved from the literature by the experts</w:t>
      </w:r>
      <w:r w:rsidR="00C56D03" w:rsidRPr="009E1644">
        <w:t>.</w:t>
      </w:r>
      <w:r w:rsidRPr="009E1644">
        <w:t xml:space="preserve"> The literature list, reviews, and code used for the processing, analysis and </w:t>
      </w:r>
      <w:r w:rsidR="00DB4DA9" w:rsidRPr="009E1644">
        <w:t xml:space="preserve">production of graphics </w:t>
      </w:r>
      <w:r w:rsidRPr="009E1644">
        <w:t xml:space="preserve">will be available as </w:t>
      </w:r>
      <w:r w:rsidR="00726D46" w:rsidRPr="009E1644">
        <w:t xml:space="preserve">open source </w:t>
      </w:r>
      <w:r w:rsidRPr="009E1644">
        <w:t>in a repository on GitHub</w:t>
      </w:r>
      <w:r w:rsidR="00F648F2" w:rsidRPr="009E1644">
        <w:t xml:space="preserve">, a web-based </w:t>
      </w:r>
      <w:hyperlink r:id="rId14" w:tooltip="Internet hosting service" w:history="1">
        <w:r w:rsidR="00F648F2" w:rsidRPr="009E1644">
          <w:rPr>
            <w:rStyle w:val="Hyperlink"/>
            <w:lang w:val="en-GB"/>
          </w:rPr>
          <w:t>hosting service</w:t>
        </w:r>
      </w:hyperlink>
      <w:r w:rsidR="00F648F2" w:rsidRPr="009E1644">
        <w:t xml:space="preserve"> for </w:t>
      </w:r>
      <w:hyperlink r:id="rId15" w:tooltip="Version control" w:history="1">
        <w:r w:rsidR="00F648F2" w:rsidRPr="009E1644">
          <w:rPr>
            <w:rStyle w:val="Hyperlink"/>
            <w:lang w:val="en-GB"/>
          </w:rPr>
          <w:t>version control</w:t>
        </w:r>
      </w:hyperlink>
      <w:r w:rsidRPr="009E1644">
        <w:t xml:space="preserve">. Members of the </w:t>
      </w:r>
      <w:r w:rsidR="00726D46" w:rsidRPr="009E1644">
        <w:t xml:space="preserve">technical support unit </w:t>
      </w:r>
      <w:r w:rsidRPr="009E1644">
        <w:t>on scenarios and models attended the third author meeting of the global assessment (</w:t>
      </w:r>
      <w:r w:rsidR="009436C2" w:rsidRPr="009E1644">
        <w:t>30 </w:t>
      </w:r>
      <w:r w:rsidRPr="009E1644">
        <w:t xml:space="preserve">July </w:t>
      </w:r>
      <w:r w:rsidR="009436C2" w:rsidRPr="009E1644">
        <w:t>-</w:t>
      </w:r>
      <w:r w:rsidR="00B00CE6" w:rsidRPr="009E1644">
        <w:t xml:space="preserve"> </w:t>
      </w:r>
      <w:r w:rsidRPr="009E1644">
        <w:t xml:space="preserve">3 August 2018, Frankfurt, Germany) to provide support to chapters 4 and 5. </w:t>
      </w:r>
    </w:p>
    <w:p w14:paraId="064CDC62" w14:textId="48318FF9" w:rsidR="009E552A" w:rsidRPr="009E1644" w:rsidRDefault="00726D46" w:rsidP="009E1644">
      <w:pPr>
        <w:pStyle w:val="Normalnumber"/>
        <w:tabs>
          <w:tab w:val="clear" w:pos="567"/>
          <w:tab w:val="clear" w:pos="1247"/>
          <w:tab w:val="clear" w:pos="1814"/>
          <w:tab w:val="clear" w:pos="2381"/>
          <w:tab w:val="clear" w:pos="2948"/>
          <w:tab w:val="clear" w:pos="3515"/>
          <w:tab w:val="num" w:pos="624"/>
        </w:tabs>
      </w:pPr>
      <w:r w:rsidRPr="009E1644">
        <w:t>Technical support</w:t>
      </w:r>
      <w:r w:rsidR="009E552A" w:rsidRPr="009E1644">
        <w:t xml:space="preserve"> to </w:t>
      </w:r>
      <w:r w:rsidR="00BD4A4B" w:rsidRPr="009E1644">
        <w:t>c</w:t>
      </w:r>
      <w:r w:rsidR="009E552A" w:rsidRPr="009E1644">
        <w:t>hapter 5 of the thematic assessment o</w:t>
      </w:r>
      <w:r w:rsidRPr="009E1644">
        <w:t>f</w:t>
      </w:r>
      <w:r w:rsidR="009E552A" w:rsidRPr="009E1644">
        <w:t xml:space="preserve"> the sustainable use of wild species </w:t>
      </w:r>
      <w:r w:rsidR="000C7316" w:rsidRPr="009E1644">
        <w:t xml:space="preserve">included support to the management committee of the assessment </w:t>
      </w:r>
      <w:r w:rsidR="00337BEE" w:rsidRPr="009E1644">
        <w:t xml:space="preserve">by suggesting names of experts on scenarios and models to </w:t>
      </w:r>
      <w:r w:rsidR="009E552A" w:rsidRPr="009E1644">
        <w:t xml:space="preserve">fill gaps in expertise and regional balance. Informal exchanges </w:t>
      </w:r>
      <w:r w:rsidR="000C7316" w:rsidRPr="009E1644">
        <w:t>between the assessment expert group and the expert group on scenarios and models were</w:t>
      </w:r>
      <w:r w:rsidR="009E552A" w:rsidRPr="009E1644">
        <w:t xml:space="preserve"> initiated to guide the application of the results of the methodological assessment on scenarios and models of biodiversity and ecosystem services and the framing of </w:t>
      </w:r>
      <w:r w:rsidR="00B00CE6" w:rsidRPr="009E1644">
        <w:t>chapter </w:t>
      </w:r>
      <w:r w:rsidR="009E552A" w:rsidRPr="009E1644">
        <w:t xml:space="preserve">5 based on content on scenarios and models </w:t>
      </w:r>
      <w:r w:rsidR="009436C2" w:rsidRPr="009E1644">
        <w:t>from</w:t>
      </w:r>
      <w:r w:rsidR="009E552A" w:rsidRPr="009E1644">
        <w:t xml:space="preserve"> other </w:t>
      </w:r>
      <w:r w:rsidR="009436C2" w:rsidRPr="009E1644">
        <w:t xml:space="preserve">completed </w:t>
      </w:r>
      <w:r w:rsidR="009E552A" w:rsidRPr="009E1644">
        <w:t xml:space="preserve">assessments. </w:t>
      </w:r>
    </w:p>
    <w:p w14:paraId="46F9A95E" w14:textId="7869D5BB" w:rsidR="00637E4C" w:rsidRPr="009E1644" w:rsidRDefault="00637E4C" w:rsidP="00637E4C">
      <w:pPr>
        <w:pStyle w:val="CH2"/>
        <w:rPr>
          <w:rFonts w:eastAsia="Calibri"/>
          <w:lang w:eastAsia="ko-KR"/>
        </w:rPr>
      </w:pPr>
      <w:r w:rsidRPr="009E1644">
        <w:rPr>
          <w:rFonts w:eastAsia="Calibri"/>
          <w:lang w:eastAsia="ko-KR"/>
        </w:rPr>
        <w:tab/>
        <w:t>B.</w:t>
      </w:r>
      <w:r w:rsidRPr="009E1644">
        <w:rPr>
          <w:rFonts w:eastAsia="Calibri"/>
          <w:lang w:eastAsia="ko-KR"/>
        </w:rPr>
        <w:tab/>
        <w:t>Additional work in support of IPBES assessments</w:t>
      </w:r>
    </w:p>
    <w:p w14:paraId="21EC6AB4" w14:textId="306D1342" w:rsidR="00907880" w:rsidRPr="009E1644" w:rsidRDefault="008B0B47" w:rsidP="009E1644">
      <w:pPr>
        <w:pStyle w:val="Normalnumber"/>
        <w:tabs>
          <w:tab w:val="clear" w:pos="567"/>
          <w:tab w:val="clear" w:pos="1247"/>
          <w:tab w:val="clear" w:pos="1814"/>
          <w:tab w:val="clear" w:pos="2381"/>
          <w:tab w:val="clear" w:pos="2948"/>
          <w:tab w:val="clear" w:pos="3515"/>
          <w:tab w:val="num" w:pos="624"/>
        </w:tabs>
      </w:pPr>
      <w:r w:rsidRPr="009E1644">
        <w:t xml:space="preserve">The expert group on scenarios and models, supported by the </w:t>
      </w:r>
      <w:r w:rsidR="006373A3" w:rsidRPr="009E1644">
        <w:t xml:space="preserve">technical support unit, </w:t>
      </w:r>
      <w:r w:rsidRPr="009E1644">
        <w:t>mobiliz</w:t>
      </w:r>
      <w:r w:rsidR="006373A3" w:rsidRPr="009E1644">
        <w:t>ed</w:t>
      </w:r>
      <w:r w:rsidRPr="009E1644">
        <w:t xml:space="preserve"> research groups to apply an array of different biodiversity and ecosystem services models to evaluate the Shared Socioeconomic Pathways scenarios developed for the Intergovernmental Panel on Climate Change (IPCC) in a consistent and harmonized fashion. Two workshops on ‘Biodiversity and Ecosystem Services Scenarios for IPBES using the </w:t>
      </w:r>
      <w:r w:rsidR="006373A3" w:rsidRPr="009E1644">
        <w:t>Shared Socioeconomic Pathways scenarios</w:t>
      </w:r>
      <w:r w:rsidRPr="009E1644">
        <w:t xml:space="preserve">’ </w:t>
      </w:r>
      <w:r w:rsidR="006373A3" w:rsidRPr="009E1644">
        <w:t>were</w:t>
      </w:r>
      <w:r w:rsidRPr="009E1644">
        <w:t xml:space="preserve"> held in Leipzig, Germany (4-6 Oct</w:t>
      </w:r>
      <w:r w:rsidR="006373A3" w:rsidRPr="009E1644">
        <w:t>ober</w:t>
      </w:r>
      <w:r w:rsidRPr="009E1644">
        <w:t xml:space="preserve"> 2017) and in Cambridge, U</w:t>
      </w:r>
      <w:r w:rsidR="006373A3" w:rsidRPr="009E1644">
        <w:t xml:space="preserve">nited </w:t>
      </w:r>
      <w:r w:rsidRPr="009E1644">
        <w:t>K</w:t>
      </w:r>
      <w:r w:rsidR="006373A3" w:rsidRPr="009E1644">
        <w:t>ingdom of Great Britain and Northern Ireland</w:t>
      </w:r>
      <w:r w:rsidRPr="009E1644">
        <w:t xml:space="preserve"> </w:t>
      </w:r>
      <w:r w:rsidR="009436C2" w:rsidRPr="009E1644">
        <w:t>(</w:t>
      </w:r>
      <w:r w:rsidRPr="009E1644">
        <w:t>10-11 Jan</w:t>
      </w:r>
      <w:r w:rsidR="006373A3" w:rsidRPr="009E1644">
        <w:t>uary</w:t>
      </w:r>
      <w:r w:rsidRPr="009E1644">
        <w:t xml:space="preserve"> 2018). The results of both workshops serve</w:t>
      </w:r>
      <w:r w:rsidR="00FE5C8E" w:rsidRPr="009E1644">
        <w:t>d</w:t>
      </w:r>
      <w:r w:rsidRPr="009E1644">
        <w:t xml:space="preserve"> as an input to </w:t>
      </w:r>
      <w:r w:rsidR="00DF7243" w:rsidRPr="009E1644">
        <w:t>c</w:t>
      </w:r>
      <w:r w:rsidRPr="009E1644">
        <w:t>hapter</w:t>
      </w:r>
      <w:r w:rsidR="008D3D25" w:rsidRPr="009E1644">
        <w:t>s</w:t>
      </w:r>
      <w:r w:rsidRPr="009E1644">
        <w:t xml:space="preserve"> 4</w:t>
      </w:r>
      <w:r w:rsidR="00FE5C8E" w:rsidRPr="009E1644">
        <w:t xml:space="preserve"> and 5</w:t>
      </w:r>
      <w:r w:rsidRPr="009E1644">
        <w:t xml:space="preserve"> of the global assessment and strengthen</w:t>
      </w:r>
      <w:r w:rsidR="008D3D25" w:rsidRPr="009E1644">
        <w:t>ed</w:t>
      </w:r>
      <w:r w:rsidRPr="009E1644">
        <w:t xml:space="preserve"> the ties between</w:t>
      </w:r>
      <w:r w:rsidR="008D3D25" w:rsidRPr="009E1644">
        <w:t xml:space="preserve"> the expert communities of</w:t>
      </w:r>
      <w:r w:rsidRPr="009E1644">
        <w:t xml:space="preserve"> IPBES and IPCC. In total, 15 research groups participated</w:t>
      </w:r>
      <w:r w:rsidR="009436C2" w:rsidRPr="009E1644">
        <w:t xml:space="preserve"> in this exercise</w:t>
      </w:r>
      <w:r w:rsidRPr="009E1644">
        <w:t xml:space="preserve"> and delivered harmonized results to the authors of chapter 4 of the global assessment. The methodology of this multi-model analysis </w:t>
      </w:r>
      <w:r w:rsidR="0036111B" w:rsidRPr="009E1644">
        <w:t xml:space="preserve">was </w:t>
      </w:r>
      <w:r w:rsidRPr="009E1644">
        <w:t xml:space="preserve">published as Kim et al. </w:t>
      </w:r>
      <w:r w:rsidR="00C41E30" w:rsidRPr="009E1644">
        <w:t>(</w:t>
      </w:r>
      <w:r w:rsidRPr="009E1644">
        <w:t>2018</w:t>
      </w:r>
      <w:r w:rsidR="00C41E30" w:rsidRPr="009E1644">
        <w:t>)</w:t>
      </w:r>
      <w:r w:rsidR="00F30A6C" w:rsidRPr="009E1644">
        <w:rPr>
          <w:rStyle w:val="FootnoteReference"/>
        </w:rPr>
        <w:footnoteReference w:id="2"/>
      </w:r>
      <w:r w:rsidRPr="009E1644">
        <w:t xml:space="preserve"> in </w:t>
      </w:r>
      <w:r w:rsidR="0036111B" w:rsidRPr="009E1644">
        <w:t xml:space="preserve">the </w:t>
      </w:r>
      <w:r w:rsidR="00A6409E" w:rsidRPr="009E1644">
        <w:t>open access</w:t>
      </w:r>
      <w:r w:rsidRPr="009E1644">
        <w:t xml:space="preserve"> journal </w:t>
      </w:r>
      <w:r w:rsidR="004900E5" w:rsidRPr="009E1644">
        <w:rPr>
          <w:i/>
        </w:rPr>
        <w:t>Geoscientific Model Development</w:t>
      </w:r>
      <w:r w:rsidRPr="009E1644">
        <w:t>. The overall results, as well as the results from each of the research groups, will be published in scientific papers</w:t>
      </w:r>
      <w:r w:rsidR="004900E5" w:rsidRPr="009E1644">
        <w:t xml:space="preserve"> and a special issue is being prepared in a journal to bring many of these papers together</w:t>
      </w:r>
      <w:r w:rsidR="00637E4C" w:rsidRPr="009E1644">
        <w:t xml:space="preserve">. </w:t>
      </w:r>
    </w:p>
    <w:p w14:paraId="6F13130A" w14:textId="157FFDBE" w:rsidR="003C5008" w:rsidRPr="009E1644" w:rsidRDefault="003C5008" w:rsidP="009E1644">
      <w:pPr>
        <w:pStyle w:val="Normalnumber"/>
        <w:tabs>
          <w:tab w:val="clear" w:pos="567"/>
          <w:tab w:val="clear" w:pos="1247"/>
          <w:tab w:val="clear" w:pos="1814"/>
          <w:tab w:val="clear" w:pos="2381"/>
          <w:tab w:val="clear" w:pos="2948"/>
          <w:tab w:val="clear" w:pos="3515"/>
          <w:tab w:val="num" w:pos="624"/>
        </w:tabs>
      </w:pPr>
      <w:r w:rsidRPr="009E1644">
        <w:t xml:space="preserve">In line with the aforementioned activity, the </w:t>
      </w:r>
      <w:r w:rsidR="009447FD" w:rsidRPr="009E1644">
        <w:t xml:space="preserve">technical support unit </w:t>
      </w:r>
      <w:r w:rsidRPr="009E1644">
        <w:t xml:space="preserve">and expert group on scenarios and models </w:t>
      </w:r>
      <w:r w:rsidR="009447FD" w:rsidRPr="009E1644">
        <w:t>engaged</w:t>
      </w:r>
      <w:r w:rsidRPr="009E1644">
        <w:t xml:space="preserve"> IPBES stakeholders </w:t>
      </w:r>
      <w:r w:rsidR="009447FD" w:rsidRPr="009E1644">
        <w:t xml:space="preserve">in </w:t>
      </w:r>
      <w:r w:rsidRPr="009E1644">
        <w:t>identify</w:t>
      </w:r>
      <w:r w:rsidR="009447FD" w:rsidRPr="009E1644">
        <w:t>ing</w:t>
      </w:r>
      <w:r w:rsidRPr="009E1644">
        <w:t xml:space="preserve"> policy options to enrich the </w:t>
      </w:r>
      <w:r w:rsidR="006373A3" w:rsidRPr="009E1644">
        <w:t>Shared Socioeconomic Pathways</w:t>
      </w:r>
      <w:r w:rsidRPr="009E1644">
        <w:t xml:space="preserve"> scenarios </w:t>
      </w:r>
      <w:r w:rsidR="009447FD" w:rsidRPr="009E1644">
        <w:t xml:space="preserve">through </w:t>
      </w:r>
      <w:r w:rsidRPr="009E1644">
        <w:t xml:space="preserve">an online questionnaire which was made available on the IPBES website. </w:t>
      </w:r>
      <w:r w:rsidR="009447FD" w:rsidRPr="009E1644">
        <w:t xml:space="preserve">Responses were received from </w:t>
      </w:r>
      <w:r w:rsidRPr="009E1644">
        <w:t>174 stakeholders and analysed by the expert group. These outputs will serve as an input to activity 2 of this group on catalysing the further development of scenarios and models</w:t>
      </w:r>
      <w:r w:rsidR="00C41E30" w:rsidRPr="009E1644">
        <w:t>.</w:t>
      </w:r>
    </w:p>
    <w:p w14:paraId="2BBCE86C" w14:textId="18C1E78B" w:rsidR="008B0B47" w:rsidRPr="009E1644" w:rsidRDefault="003C5008" w:rsidP="009E1644">
      <w:pPr>
        <w:pStyle w:val="Normalnumber"/>
        <w:tabs>
          <w:tab w:val="clear" w:pos="567"/>
          <w:tab w:val="clear" w:pos="1247"/>
          <w:tab w:val="clear" w:pos="1814"/>
          <w:tab w:val="clear" w:pos="2381"/>
          <w:tab w:val="clear" w:pos="2948"/>
          <w:tab w:val="clear" w:pos="3515"/>
          <w:tab w:val="num" w:pos="624"/>
        </w:tabs>
      </w:pPr>
      <w:r w:rsidRPr="009E1644">
        <w:t>O</w:t>
      </w:r>
      <w:r w:rsidR="008B0B47" w:rsidRPr="009E1644">
        <w:t xml:space="preserve">n behalf of the expert group, a member of the </w:t>
      </w:r>
      <w:r w:rsidR="007018C2" w:rsidRPr="009E1644">
        <w:t xml:space="preserve">technical support unit </w:t>
      </w:r>
      <w:r w:rsidR="008B0B47" w:rsidRPr="009E1644">
        <w:t>on scenarios and models attended the meeting of the expert group on policy support tools and methodologies (7</w:t>
      </w:r>
      <w:r w:rsidR="007018C2" w:rsidRPr="009E1644">
        <w:t>-</w:t>
      </w:r>
      <w:r w:rsidR="008B0B47" w:rsidRPr="009E1644">
        <w:t>9 August 2018, Cambridge, U</w:t>
      </w:r>
      <w:r w:rsidR="007018C2" w:rsidRPr="009E1644">
        <w:t xml:space="preserve">nited </w:t>
      </w:r>
      <w:r w:rsidR="008B0B47" w:rsidRPr="009E1644">
        <w:t>K</w:t>
      </w:r>
      <w:r w:rsidR="007018C2" w:rsidRPr="009E1644">
        <w:t>ingdom</w:t>
      </w:r>
      <w:r w:rsidR="008B0B47" w:rsidRPr="009E1644">
        <w:t xml:space="preserve">). At the meeting, the </w:t>
      </w:r>
      <w:r w:rsidR="007018C2" w:rsidRPr="009E1644">
        <w:t xml:space="preserve">technical support unit </w:t>
      </w:r>
      <w:r w:rsidR="008B0B47" w:rsidRPr="009E1644">
        <w:t xml:space="preserve">contributed to the discussions on the further development of the policy support </w:t>
      </w:r>
      <w:r w:rsidR="00337BEE" w:rsidRPr="009E1644">
        <w:t>gateway</w:t>
      </w:r>
      <w:r w:rsidR="008B0B47" w:rsidRPr="009E1644">
        <w:t xml:space="preserve">, </w:t>
      </w:r>
      <w:r w:rsidR="00337BEE" w:rsidRPr="009E1644">
        <w:t>and on</w:t>
      </w:r>
      <w:r w:rsidR="008B0B47" w:rsidRPr="009E1644">
        <w:t xml:space="preserve"> how to link information on scenarios </w:t>
      </w:r>
      <w:r w:rsidR="00D12CA4" w:rsidRPr="009E1644">
        <w:t xml:space="preserve">and </w:t>
      </w:r>
      <w:r w:rsidR="008B0B47" w:rsidRPr="009E1644">
        <w:t xml:space="preserve">models contained in the </w:t>
      </w:r>
      <w:r w:rsidR="00337BEE" w:rsidRPr="009E1644">
        <w:t>gateway</w:t>
      </w:r>
      <w:r w:rsidR="007018C2" w:rsidRPr="009E1644">
        <w:t xml:space="preserve"> </w:t>
      </w:r>
      <w:r w:rsidR="008B0B47" w:rsidRPr="009E1644">
        <w:t xml:space="preserve">to other information on scenarios and models on the IPBES website. For next steps in the work on policy support tools and methodologies see document </w:t>
      </w:r>
      <w:r w:rsidR="00C41E30" w:rsidRPr="009E1644">
        <w:t>IPBES/7/INF/</w:t>
      </w:r>
      <w:r w:rsidR="007018C2" w:rsidRPr="009E1644">
        <w:t>13</w:t>
      </w:r>
      <w:r w:rsidR="008B0B47" w:rsidRPr="009E1644">
        <w:t xml:space="preserve"> </w:t>
      </w:r>
    </w:p>
    <w:p w14:paraId="0F7D8EF0" w14:textId="1DF739E5" w:rsidR="002813DD" w:rsidRPr="009E1644" w:rsidRDefault="002813DD" w:rsidP="002813DD">
      <w:pPr>
        <w:pStyle w:val="CH1"/>
      </w:pPr>
      <w:r w:rsidRPr="009E1644">
        <w:tab/>
        <w:t>III.</w:t>
      </w:r>
      <w:r w:rsidRPr="009E1644">
        <w:tab/>
      </w:r>
      <w:r w:rsidR="003C5008" w:rsidRPr="009E1644">
        <w:t>Progress in c</w:t>
      </w:r>
      <w:r w:rsidRPr="009E1644">
        <w:t xml:space="preserve">atalysing the development of scenarios and models by the broader scientific community: </w:t>
      </w:r>
      <w:r w:rsidR="003C5008" w:rsidRPr="009E1644">
        <w:t>Activity 2</w:t>
      </w:r>
    </w:p>
    <w:p w14:paraId="2CAEA66B" w14:textId="0A6AF94B" w:rsidR="003C5008" w:rsidRPr="009E1644" w:rsidRDefault="00C52276" w:rsidP="00C52276">
      <w:pPr>
        <w:pStyle w:val="CH2"/>
        <w:tabs>
          <w:tab w:val="clear" w:pos="1247"/>
          <w:tab w:val="left" w:pos="1276"/>
        </w:tabs>
      </w:pPr>
      <w:r w:rsidRPr="009E1644">
        <w:tab/>
      </w:r>
      <w:r w:rsidRPr="009E1644">
        <w:rPr>
          <w:rFonts w:eastAsia="Calibri"/>
        </w:rPr>
        <w:t>A.</w:t>
      </w:r>
      <w:r w:rsidRPr="009E1644">
        <w:rPr>
          <w:rFonts w:eastAsia="Calibri"/>
        </w:rPr>
        <w:tab/>
      </w:r>
      <w:r w:rsidR="003C5008" w:rsidRPr="009E1644">
        <w:rPr>
          <w:color w:val="000000"/>
        </w:rPr>
        <w:t>Meeting on Nature Futures</w:t>
      </w:r>
    </w:p>
    <w:p w14:paraId="44B8D475" w14:textId="782EB60C" w:rsidR="002813DD" w:rsidRPr="009E1644" w:rsidRDefault="002813DD" w:rsidP="009E1644">
      <w:pPr>
        <w:pStyle w:val="Normalnumber"/>
        <w:tabs>
          <w:tab w:val="clear" w:pos="567"/>
          <w:tab w:val="clear" w:pos="1247"/>
          <w:tab w:val="clear" w:pos="1814"/>
          <w:tab w:val="clear" w:pos="2381"/>
          <w:tab w:val="clear" w:pos="2948"/>
          <w:tab w:val="clear" w:pos="3515"/>
          <w:tab w:val="num" w:pos="624"/>
        </w:tabs>
      </w:pPr>
      <w:r w:rsidRPr="009E1644">
        <w:t>The first workshop on scenario development for IPBES</w:t>
      </w:r>
      <w:r w:rsidR="009436C2" w:rsidRPr="009E1644">
        <w:t>,</w:t>
      </w:r>
      <w:r w:rsidRPr="009E1644">
        <w:t xml:space="preserve"> held from 3 to 6 October 2016</w:t>
      </w:r>
      <w:r w:rsidR="00F50ACF" w:rsidRPr="009E1644">
        <w:t xml:space="preserve"> in Leipzig, Germany</w:t>
      </w:r>
      <w:r w:rsidRPr="009E1644">
        <w:t>, resulted in the scientific paper ‘Multi-scale scenarios for nature and nature’s contributions to people’</w:t>
      </w:r>
      <w:r w:rsidR="001E0800" w:rsidRPr="009E1644">
        <w:t xml:space="preserve"> (Rosa et al., 2017</w:t>
      </w:r>
      <w:r w:rsidR="00F30A6C" w:rsidRPr="009E1644">
        <w:rPr>
          <w:rStyle w:val="FootnoteReference"/>
        </w:rPr>
        <w:footnoteReference w:id="3"/>
      </w:r>
      <w:r w:rsidR="001E0800" w:rsidRPr="009E1644">
        <w:t>)</w:t>
      </w:r>
      <w:r w:rsidRPr="009E1644">
        <w:t xml:space="preserve"> which present</w:t>
      </w:r>
      <w:r w:rsidR="00F50ACF" w:rsidRPr="009E1644">
        <w:t>ed</w:t>
      </w:r>
      <w:r w:rsidRPr="009E1644">
        <w:t xml:space="preserve"> a way forward for IPBES scenario development. </w:t>
      </w:r>
    </w:p>
    <w:p w14:paraId="11FBC164" w14:textId="63888F9C" w:rsidR="00F50ACF" w:rsidRPr="009E1644" w:rsidRDefault="00F50ACF" w:rsidP="009E1644">
      <w:pPr>
        <w:pStyle w:val="Normalnumber"/>
        <w:tabs>
          <w:tab w:val="clear" w:pos="567"/>
          <w:tab w:val="clear" w:pos="1247"/>
          <w:tab w:val="clear" w:pos="1814"/>
          <w:tab w:val="clear" w:pos="2381"/>
          <w:tab w:val="clear" w:pos="2948"/>
          <w:tab w:val="clear" w:pos="3515"/>
          <w:tab w:val="num" w:pos="624"/>
        </w:tabs>
      </w:pPr>
      <w:r w:rsidRPr="009E1644">
        <w:t xml:space="preserve">The development of scenarios comprises </w:t>
      </w:r>
      <w:r w:rsidR="00B243E9" w:rsidRPr="009E1644">
        <w:t>three</w:t>
      </w:r>
      <w:r w:rsidR="00932F73" w:rsidRPr="009E1644">
        <w:t xml:space="preserve"> </w:t>
      </w:r>
      <w:r w:rsidRPr="009E1644">
        <w:t>steps</w:t>
      </w:r>
      <w:r w:rsidR="00932F73" w:rsidRPr="009E1644">
        <w:t xml:space="preserve">, </w:t>
      </w:r>
      <w:r w:rsidR="00764418" w:rsidRPr="009E1644">
        <w:t xml:space="preserve">with repeating </w:t>
      </w:r>
      <w:r w:rsidR="00932F73" w:rsidRPr="009E1644">
        <w:t>stakeholder consultations</w:t>
      </w:r>
      <w:r w:rsidR="001A6E9D" w:rsidRPr="009E1644">
        <w:t xml:space="preserve"> at each step</w:t>
      </w:r>
      <w:r w:rsidR="00A35FA8" w:rsidRPr="009E1644">
        <w:t xml:space="preserve"> (see </w:t>
      </w:r>
      <w:r w:rsidR="009436C2" w:rsidRPr="009E1644">
        <w:t>a</w:t>
      </w:r>
      <w:r w:rsidR="00A35FA8" w:rsidRPr="009E1644">
        <w:t>ppendix III)</w:t>
      </w:r>
      <w:r w:rsidRPr="009E1644">
        <w:t xml:space="preserve">: </w:t>
      </w:r>
    </w:p>
    <w:p w14:paraId="1408DB74" w14:textId="69E826F6" w:rsidR="006E470C" w:rsidRPr="009E1644" w:rsidRDefault="00F50ACF" w:rsidP="009E1644">
      <w:pPr>
        <w:pStyle w:val="Normalnumber"/>
        <w:numPr>
          <w:ilvl w:val="1"/>
          <w:numId w:val="4"/>
        </w:numPr>
        <w:tabs>
          <w:tab w:val="clear" w:pos="567"/>
          <w:tab w:val="clear" w:pos="1247"/>
          <w:tab w:val="clear" w:pos="1814"/>
          <w:tab w:val="clear" w:pos="2381"/>
          <w:tab w:val="clear" w:pos="2948"/>
          <w:tab w:val="clear" w:pos="3515"/>
          <w:tab w:val="left" w:pos="624"/>
        </w:tabs>
        <w:ind w:firstLine="624"/>
      </w:pPr>
      <w:r w:rsidRPr="009E1644">
        <w:rPr>
          <w:b/>
        </w:rPr>
        <w:t>The definition of a set of visions</w:t>
      </w:r>
      <w:r w:rsidRPr="009E1644">
        <w:t xml:space="preserve">. Visions are </w:t>
      </w:r>
      <w:r w:rsidR="00E20B95" w:rsidRPr="009E1644">
        <w:t>qualitative descriptions of desirable futures</w:t>
      </w:r>
      <w:r w:rsidRPr="009E1644">
        <w:t xml:space="preserve">. Building on the outcomes of the first workshop held in 2016 in Leipzig, the process for the development of </w:t>
      </w:r>
      <w:r w:rsidR="002A3876" w:rsidRPr="009E1644">
        <w:t xml:space="preserve">scenarios supporting </w:t>
      </w:r>
      <w:r w:rsidRPr="009E1644">
        <w:t xml:space="preserve">IPBES’ </w:t>
      </w:r>
      <w:r w:rsidR="002A3876" w:rsidRPr="009E1644">
        <w:t>objectives</w:t>
      </w:r>
      <w:r w:rsidRPr="009E1644">
        <w:t xml:space="preserve"> started by consulting stakeholders to define a set of visions</w:t>
      </w:r>
      <w:r w:rsidR="00EA08D1" w:rsidRPr="009E1644">
        <w:t>. The expert group on scenarios and models supported by the technical support unit organized a workshop on ‘New visions for nature and nature’s contributions to people for the 21</w:t>
      </w:r>
      <w:r w:rsidR="00EA08D1" w:rsidRPr="009E1644">
        <w:rPr>
          <w:vertAlign w:val="superscript"/>
        </w:rPr>
        <w:t>st</w:t>
      </w:r>
      <w:r w:rsidR="00EA08D1" w:rsidRPr="009E1644">
        <w:t xml:space="preserve"> century’ hosted by the National Institute of Water and Atmospheric Research of New Zealand and the University of Auckland </w:t>
      </w:r>
      <w:r w:rsidR="00B00CE6" w:rsidRPr="009E1644">
        <w:t>from</w:t>
      </w:r>
      <w:r w:rsidR="00EA08D1" w:rsidRPr="009E1644">
        <w:t xml:space="preserve"> 4</w:t>
      </w:r>
      <w:r w:rsidR="00B00CE6" w:rsidRPr="009E1644">
        <w:t xml:space="preserve"> to </w:t>
      </w:r>
      <w:r w:rsidR="00EA08D1" w:rsidRPr="009E1644">
        <w:t>8 September 2017 in Auckland, New Zealand. The workshop engaged 73 participants with a diversity of views on nature and its contributions to people from international organizations, governments, the private sector, indigenous and local communities, non-governmental organizations and the wider scientific community from the local to the global scale. The full report can be found on the website of the National Institute of Water and Atmospheric Research</w:t>
      </w:r>
      <w:r w:rsidR="009436C2" w:rsidRPr="009E1644">
        <w:t>.</w:t>
      </w:r>
      <w:r w:rsidR="00EA08D1" w:rsidRPr="009E1644">
        <w:rPr>
          <w:rStyle w:val="FootnoteReference"/>
        </w:rPr>
        <w:footnoteReference w:id="4"/>
      </w:r>
      <w:r w:rsidR="00A757AD" w:rsidRPr="009E1644">
        <w:t xml:space="preserve"> Multiple consultations were held on the initial set of visions. Using a booth set-up in the margins of the sixth session of the Plenary of IPBES (17-24 March 2018, Medellin, Colombia), participants were invited to provide feedback through an offline and online survey on the visions developed during the workshop held in 2017 in Auckland, presented on a poster, as well as </w:t>
      </w:r>
      <w:r w:rsidR="003820FE" w:rsidRPr="009E1644">
        <w:t xml:space="preserve">to </w:t>
      </w:r>
      <w:r w:rsidR="00A757AD" w:rsidRPr="009E1644">
        <w:t xml:space="preserve">propose additional visions. Ultimately, 78 respondents completed the survey. At the Natural Capital Symposium held at Stanford University (19-22 March 2018, Palo Alto, United States of America), symposium participants were invited to further enrich, complement, and fill the gaps in the set of visions from the Auckland workshop. Twenty people participated in </w:t>
      </w:r>
      <w:r w:rsidR="009436C2" w:rsidRPr="009E1644">
        <w:t xml:space="preserve">a </w:t>
      </w:r>
      <w:r w:rsidR="00A757AD" w:rsidRPr="009E1644">
        <w:t>workshop</w:t>
      </w:r>
      <w:r w:rsidR="009436C2" w:rsidRPr="009E1644">
        <w:t xml:space="preserve"> at the symposium</w:t>
      </w:r>
      <w:r w:rsidR="00A757AD" w:rsidRPr="009E1644">
        <w:t xml:space="preserve"> organized by the expert group on scenarios and models. The outcomes of both consultations contributed to the design of a more complete set of visions reflecting a diversity of views</w:t>
      </w:r>
      <w:r w:rsidR="009436C2" w:rsidRPr="009E1644">
        <w:t>;</w:t>
      </w:r>
    </w:p>
    <w:p w14:paraId="0B9D234D" w14:textId="607F12D0" w:rsidR="002813DD" w:rsidRPr="009E1644" w:rsidRDefault="00303BE6" w:rsidP="009E1644">
      <w:pPr>
        <w:pStyle w:val="Normalnumber"/>
        <w:numPr>
          <w:ilvl w:val="1"/>
          <w:numId w:val="4"/>
        </w:numPr>
        <w:tabs>
          <w:tab w:val="clear" w:pos="567"/>
          <w:tab w:val="clear" w:pos="1247"/>
          <w:tab w:val="clear" w:pos="1814"/>
          <w:tab w:val="clear" w:pos="2381"/>
          <w:tab w:val="clear" w:pos="2948"/>
          <w:tab w:val="clear" w:pos="3515"/>
          <w:tab w:val="left" w:pos="624"/>
        </w:tabs>
        <w:ind w:firstLine="624"/>
      </w:pPr>
      <w:r w:rsidRPr="009E1644">
        <w:rPr>
          <w:b/>
        </w:rPr>
        <w:t xml:space="preserve">The construction </w:t>
      </w:r>
      <w:r w:rsidR="00EE4475" w:rsidRPr="009E1644">
        <w:rPr>
          <w:b/>
        </w:rPr>
        <w:t xml:space="preserve">of </w:t>
      </w:r>
      <w:r w:rsidR="00353350" w:rsidRPr="009E1644">
        <w:rPr>
          <w:b/>
        </w:rPr>
        <w:t xml:space="preserve">consistent storylines from </w:t>
      </w:r>
      <w:r w:rsidRPr="009E1644">
        <w:rPr>
          <w:b/>
        </w:rPr>
        <w:t>the</w:t>
      </w:r>
      <w:r w:rsidR="00353350" w:rsidRPr="009E1644">
        <w:rPr>
          <w:b/>
        </w:rPr>
        <w:t>se</w:t>
      </w:r>
      <w:r w:rsidRPr="009E1644">
        <w:rPr>
          <w:b/>
        </w:rPr>
        <w:t xml:space="preserve"> visions</w:t>
      </w:r>
      <w:r w:rsidRPr="009E1644">
        <w:t xml:space="preserve"> through</w:t>
      </w:r>
      <w:r w:rsidR="00353350" w:rsidRPr="009E1644">
        <w:t xml:space="preserve"> consultation of relevant stakeholders and the broad scientific community. </w:t>
      </w:r>
      <w:r w:rsidRPr="009E1644">
        <w:t xml:space="preserve">Storylines consist of </w:t>
      </w:r>
      <w:r w:rsidR="00353350" w:rsidRPr="009E1644">
        <w:t>corresponding visions developed for different sectors or topics</w:t>
      </w:r>
      <w:r w:rsidRPr="009E1644">
        <w:t xml:space="preserve"> follow</w:t>
      </w:r>
      <w:r w:rsidR="00353350" w:rsidRPr="009E1644">
        <w:t>ing</w:t>
      </w:r>
      <w:r w:rsidRPr="009E1644">
        <w:t xml:space="preserve"> the same </w:t>
      </w:r>
      <w:r w:rsidR="00353350" w:rsidRPr="009E1644">
        <w:t xml:space="preserve">basic </w:t>
      </w:r>
      <w:r w:rsidRPr="009E1644">
        <w:t>idea</w:t>
      </w:r>
      <w:r w:rsidR="00482AF3" w:rsidRPr="009E1644">
        <w:t>.</w:t>
      </w:r>
      <w:r w:rsidR="00353350" w:rsidRPr="009E1644">
        <w:t xml:space="preserve"> </w:t>
      </w:r>
      <w:r w:rsidR="00482AF3" w:rsidRPr="009E1644">
        <w:t>The technical support unit on scenarios and models organized a meeting of the expert group on the ‘Next steps in developing Nature Futures’ from 25 to 28 June 2018 in The Hague to discuss the three steps of the process</w:t>
      </w:r>
      <w:r w:rsidR="009436C2" w:rsidRPr="009E1644">
        <w:t xml:space="preserve"> for building scenarios</w:t>
      </w:r>
      <w:r w:rsidR="00482AF3" w:rsidRPr="009E1644">
        <w:t>. The meeting was hosted by PBL</w:t>
      </w:r>
      <w:r w:rsidR="009436C2" w:rsidRPr="009E1644">
        <w:t xml:space="preserve"> - the</w:t>
      </w:r>
      <w:r w:rsidR="00482AF3" w:rsidRPr="009E1644">
        <w:t xml:space="preserve"> Netherlands Environmental Assessment Agency and aimed at the development of a detailed work plan for scenario development for IPBES, including stakeholder consultations and the engagement of modelers’ working groups, and the development of a conceptual </w:t>
      </w:r>
      <w:r w:rsidR="00111A88" w:rsidRPr="009E1644">
        <w:t>nature f</w:t>
      </w:r>
      <w:r w:rsidR="00482AF3" w:rsidRPr="009E1644">
        <w:t>utures framework</w:t>
      </w:r>
      <w:r w:rsidR="0087542C" w:rsidRPr="009E1644">
        <w:t xml:space="preserve"> </w:t>
      </w:r>
      <w:r w:rsidR="00482AF3" w:rsidRPr="009E1644">
        <w:t>build</w:t>
      </w:r>
      <w:r w:rsidR="002542CC" w:rsidRPr="009E1644">
        <w:t>ing</w:t>
      </w:r>
      <w:r w:rsidR="00482AF3" w:rsidRPr="009E1644">
        <w:t xml:space="preserve"> on positive visions from earlier consultations</w:t>
      </w:r>
      <w:r w:rsidR="00350704" w:rsidRPr="009E1644">
        <w:t>,</w:t>
      </w:r>
      <w:r w:rsidR="00482AF3" w:rsidRPr="009E1644">
        <w:t xml:space="preserve"> and support</w:t>
      </w:r>
      <w:r w:rsidR="002542CC" w:rsidRPr="009E1644">
        <w:t>ing</w:t>
      </w:r>
      <w:r w:rsidR="00482AF3" w:rsidRPr="009E1644">
        <w:t xml:space="preserve"> further iterative cycles of stakeholder consultation, modelling and analysis.</w:t>
      </w:r>
      <w:r w:rsidR="00A35FA8" w:rsidRPr="009E1644">
        <w:t xml:space="preserve"> The nature futures f</w:t>
      </w:r>
      <w:r w:rsidR="003E5CB0" w:rsidRPr="009E1644">
        <w:t>ramework consists of three different perspectives on how people value nature</w:t>
      </w:r>
      <w:r w:rsidR="0087542C" w:rsidRPr="009E1644">
        <w:rPr>
          <w:rStyle w:val="FootnoteReference"/>
        </w:rPr>
        <w:footnoteReference w:id="5"/>
      </w:r>
      <w:r w:rsidR="003E5CB0" w:rsidRPr="009E1644">
        <w:t xml:space="preserve"> (see also Pascual et al., 2017).</w:t>
      </w:r>
      <w:r w:rsidR="00482AF3" w:rsidRPr="009E1644">
        <w:t xml:space="preserve"> The main outputs of the workshop were (</w:t>
      </w:r>
      <w:proofErr w:type="spellStart"/>
      <w:r w:rsidR="00482AF3" w:rsidRPr="009E1644">
        <w:t>i</w:t>
      </w:r>
      <w:proofErr w:type="spellEnd"/>
      <w:r w:rsidR="00482AF3" w:rsidRPr="009E1644">
        <w:t>) a proposal for the organisation of working groups for the implementation of activities by experts in the coming years (appendix I), (ii) a proposed timeline and a list of proposed activities as well as their interconnections across working groups (appendix II), and (iii) a plan to draft a high-impact paper on the</w:t>
      </w:r>
      <w:r w:rsidR="00AF2F8F" w:rsidRPr="009E1644">
        <w:t xml:space="preserve"> nature f</w:t>
      </w:r>
      <w:r w:rsidR="00A35FA8" w:rsidRPr="009E1644">
        <w:t>utures f</w:t>
      </w:r>
      <w:r w:rsidR="00482AF3" w:rsidRPr="009E1644">
        <w:t xml:space="preserve">ramework developed during the workshop. The full report can be found on the website of </w:t>
      </w:r>
      <w:r w:rsidR="002542CC" w:rsidRPr="009E1644">
        <w:t xml:space="preserve">PBL- </w:t>
      </w:r>
      <w:r w:rsidR="00482AF3" w:rsidRPr="009E1644">
        <w:t>the Netherlands Environmental Assessment Agency.</w:t>
      </w:r>
      <w:r w:rsidR="00482AF3" w:rsidRPr="009E1644">
        <w:rPr>
          <w:rStyle w:val="FootnoteReference"/>
        </w:rPr>
        <w:footnoteReference w:id="6"/>
      </w:r>
      <w:r w:rsidR="00482AF3" w:rsidRPr="009E1644">
        <w:t xml:space="preserve"> </w:t>
      </w:r>
      <w:r w:rsidR="00364476" w:rsidRPr="009E1644">
        <w:t xml:space="preserve">The technical support unit on scenarios and models together with the expert group organized a full-day programme at the Rio Conventions Pavilion, held as part of the United Nations Biodiversity Conference 2018 (20 November 2018, Sharm El-Sheik, Egypt), in which they presented the </w:t>
      </w:r>
      <w:r w:rsidR="0087558F" w:rsidRPr="009E1644">
        <w:t>n</w:t>
      </w:r>
      <w:r w:rsidR="00364476" w:rsidRPr="009E1644">
        <w:t xml:space="preserve">ature </w:t>
      </w:r>
      <w:r w:rsidR="0087558F" w:rsidRPr="009E1644">
        <w:t xml:space="preserve">futures </w:t>
      </w:r>
      <w:r w:rsidR="00364476" w:rsidRPr="009E1644">
        <w:t>framework. Also, as consultation activity, a participatory scenario building exercise was organized with stakeholders to explore policy options and identify pathways for achieving positive future visions for human-nature relationships, of relevance across different regions and sectors. The objective was to illustrate the power of scenario building approaches in informing policies and targets for the post-2020 strategy for biodiversity. Results of this ‘Nature Futures day’ was covered extensively in the Earth Negotiations Bulletin</w:t>
      </w:r>
      <w:r w:rsidR="002542CC" w:rsidRPr="009E1644">
        <w:t>;</w:t>
      </w:r>
      <w:r w:rsidR="00364476" w:rsidRPr="009E1644">
        <w:rPr>
          <w:rStyle w:val="FootnoteReference"/>
        </w:rPr>
        <w:footnoteReference w:id="7"/>
      </w:r>
    </w:p>
    <w:p w14:paraId="5719781E" w14:textId="59160B23" w:rsidR="00371082" w:rsidRPr="009E1644" w:rsidRDefault="00482AF3" w:rsidP="009E1644">
      <w:pPr>
        <w:pStyle w:val="Normalnumber"/>
        <w:numPr>
          <w:ilvl w:val="1"/>
          <w:numId w:val="4"/>
        </w:numPr>
        <w:tabs>
          <w:tab w:val="clear" w:pos="567"/>
          <w:tab w:val="clear" w:pos="1247"/>
          <w:tab w:val="clear" w:pos="1814"/>
          <w:tab w:val="clear" w:pos="2381"/>
          <w:tab w:val="clear" w:pos="2948"/>
          <w:tab w:val="clear" w:pos="3515"/>
          <w:tab w:val="left" w:pos="624"/>
        </w:tabs>
        <w:ind w:firstLine="624"/>
      </w:pPr>
      <w:r w:rsidRPr="009E1644">
        <w:rPr>
          <w:b/>
        </w:rPr>
        <w:t xml:space="preserve">The </w:t>
      </w:r>
      <w:r w:rsidR="00EF7F59" w:rsidRPr="009E1644">
        <w:rPr>
          <w:b/>
        </w:rPr>
        <w:t>combination</w:t>
      </w:r>
      <w:r w:rsidRPr="009E1644">
        <w:rPr>
          <w:b/>
        </w:rPr>
        <w:t xml:space="preserve"> of</w:t>
      </w:r>
      <w:r w:rsidR="00EF7F59" w:rsidRPr="009E1644">
        <w:rPr>
          <w:b/>
        </w:rPr>
        <w:t xml:space="preserve"> model projections and</w:t>
      </w:r>
      <w:r w:rsidRPr="009E1644">
        <w:rPr>
          <w:b/>
        </w:rPr>
        <w:t xml:space="preserve"> storylines into scenarios</w:t>
      </w:r>
      <w:r w:rsidRPr="009E1644">
        <w:t xml:space="preserve">. Scenarios are representations of possible futures for one or more components of a system, particularly, in the case of IPBES, for drivers of change in nature and nature’s contributions to people, including alternative policy or management options. Scenarios include a </w:t>
      </w:r>
      <w:r w:rsidR="0087558F" w:rsidRPr="009E1644">
        <w:t>set</w:t>
      </w:r>
      <w:r w:rsidR="00E20B95" w:rsidRPr="009E1644">
        <w:t xml:space="preserve"> of</w:t>
      </w:r>
      <w:r w:rsidR="0087558F" w:rsidRPr="009E1644">
        <w:t xml:space="preserve"> </w:t>
      </w:r>
      <w:r w:rsidRPr="009E1644">
        <w:t>consistent storylines and a quantitative analys</w:t>
      </w:r>
      <w:r w:rsidR="00425B28" w:rsidRPr="009E1644">
        <w:t>i</w:t>
      </w:r>
      <w:r w:rsidRPr="009E1644">
        <w:t xml:space="preserve">s of its consequences by using models. The expert group </w:t>
      </w:r>
      <w:r w:rsidR="00350704" w:rsidRPr="009E1644">
        <w:t xml:space="preserve">has </w:t>
      </w:r>
      <w:r w:rsidRPr="009E1644">
        <w:t xml:space="preserve">started to </w:t>
      </w:r>
      <w:r w:rsidR="00B621C3" w:rsidRPr="009E1644">
        <w:t>involve modelling groups for scenario analysis</w:t>
      </w:r>
      <w:r w:rsidR="003E5CB0" w:rsidRPr="009E1644">
        <w:t xml:space="preserve">. The storylines need to be quantified by using a series of indicators to describe biodiversity and ecosystem services relevant to the three perspectives of the </w:t>
      </w:r>
      <w:r w:rsidR="0087558F" w:rsidRPr="009E1644">
        <w:t>n</w:t>
      </w:r>
      <w:r w:rsidR="003E5CB0" w:rsidRPr="009E1644">
        <w:t xml:space="preserve">ature </w:t>
      </w:r>
      <w:r w:rsidR="0087558F" w:rsidRPr="009E1644">
        <w:t>futures f</w:t>
      </w:r>
      <w:r w:rsidR="003E5CB0" w:rsidRPr="009E1644">
        <w:t xml:space="preserve">ramework. These indicators </w:t>
      </w:r>
      <w:r w:rsidR="008333C9" w:rsidRPr="009E1644">
        <w:t xml:space="preserve">serve as </w:t>
      </w:r>
      <w:r w:rsidR="003E5CB0" w:rsidRPr="009E1644">
        <w:t xml:space="preserve">the inputs to models that will provide future projections for biodiversity and ecosystem services. </w:t>
      </w:r>
      <w:r w:rsidR="00DB0EC2" w:rsidRPr="009E1644">
        <w:t>Based on</w:t>
      </w:r>
      <w:r w:rsidR="008333C9" w:rsidRPr="009E1644">
        <w:t xml:space="preserve"> both </w:t>
      </w:r>
      <w:r w:rsidR="00DB0EC2" w:rsidRPr="009E1644">
        <w:t>t</w:t>
      </w:r>
      <w:r w:rsidR="003E5CB0" w:rsidRPr="009E1644">
        <w:t>hese</w:t>
      </w:r>
      <w:r w:rsidR="00DB0EC2" w:rsidRPr="009E1644">
        <w:t xml:space="preserve"> qualitative</w:t>
      </w:r>
      <w:r w:rsidR="003E5CB0" w:rsidRPr="009E1644">
        <w:t xml:space="preserve"> </w:t>
      </w:r>
      <w:r w:rsidR="00DB0EC2" w:rsidRPr="009E1644">
        <w:t xml:space="preserve">storylines and quantitative </w:t>
      </w:r>
      <w:r w:rsidR="003E5CB0" w:rsidRPr="009E1644">
        <w:t>projections</w:t>
      </w:r>
      <w:r w:rsidR="00DB0EC2" w:rsidRPr="009E1644">
        <w:t>, scenarios will be</w:t>
      </w:r>
      <w:r w:rsidR="003E5CB0" w:rsidRPr="009E1644">
        <w:t xml:space="preserve"> </w:t>
      </w:r>
      <w:r w:rsidRPr="009E1644">
        <w:t>develop</w:t>
      </w:r>
      <w:r w:rsidR="00DB0EC2" w:rsidRPr="009E1644">
        <w:t xml:space="preserve">ed through </w:t>
      </w:r>
      <w:r w:rsidRPr="009E1644">
        <w:t xml:space="preserve">an iterative consultation process with a network of modelling groups and </w:t>
      </w:r>
      <w:r w:rsidR="008333C9" w:rsidRPr="009E1644">
        <w:t>with</w:t>
      </w:r>
      <w:r w:rsidRPr="009E1644">
        <w:t xml:space="preserve"> stakeholders in all stages of the process. </w:t>
      </w:r>
      <w:r w:rsidR="00DB0EC2" w:rsidRPr="009E1644">
        <w:t xml:space="preserve">These new scenarios </w:t>
      </w:r>
      <w:r w:rsidRPr="009E1644">
        <w:t>may</w:t>
      </w:r>
      <w:r w:rsidR="00DB0EC2" w:rsidRPr="009E1644">
        <w:t xml:space="preserve"> also</w:t>
      </w:r>
      <w:r w:rsidRPr="009E1644">
        <w:t xml:space="preserve"> correspond to plausible socio-economic developments as explored in other scenario exercises, including</w:t>
      </w:r>
      <w:r w:rsidR="008333C9" w:rsidRPr="009E1644">
        <w:t xml:space="preserve"> those</w:t>
      </w:r>
      <w:r w:rsidRPr="009E1644">
        <w:t xml:space="preserve"> </w:t>
      </w:r>
      <w:r w:rsidR="008333C9" w:rsidRPr="009E1644">
        <w:t>of</w:t>
      </w:r>
      <w:r w:rsidRPr="009E1644">
        <w:t xml:space="preserve"> the IPCC. </w:t>
      </w:r>
      <w:r w:rsidR="00EF7F59" w:rsidRPr="009E1644">
        <w:t>The expert group meeting</w:t>
      </w:r>
      <w:r w:rsidR="00111A88" w:rsidRPr="009E1644">
        <w:t xml:space="preserve"> “From visions to scenarios for nature and nature’s contributions to people for the 21st </w:t>
      </w:r>
      <w:r w:rsidR="00E20B95" w:rsidRPr="009E1644">
        <w:t>century” (</w:t>
      </w:r>
      <w:r w:rsidR="00BA10AA" w:rsidRPr="009E1644">
        <w:t>25-27 March 2019, Vancouver, Canada</w:t>
      </w:r>
      <w:r w:rsidR="00111A88" w:rsidRPr="009E1644">
        <w:t>)</w:t>
      </w:r>
      <w:r w:rsidR="000769DF" w:rsidRPr="009E1644">
        <w:t xml:space="preserve"> </w:t>
      </w:r>
      <w:r w:rsidRPr="009E1644">
        <w:t>is the first step towards modelling</w:t>
      </w:r>
      <w:r w:rsidR="00DB0EC2" w:rsidRPr="009E1644">
        <w:t>,</w:t>
      </w:r>
      <w:r w:rsidR="00EF7F59" w:rsidRPr="009E1644">
        <w:t xml:space="preserve"> which w</w:t>
      </w:r>
      <w:r w:rsidR="002542CC" w:rsidRPr="009E1644">
        <w:t>ould</w:t>
      </w:r>
      <w:r w:rsidR="00EF7F59" w:rsidRPr="009E1644">
        <w:t xml:space="preserve"> be implemented from 2019 onwards,</w:t>
      </w:r>
      <w:r w:rsidR="00DB0EC2" w:rsidRPr="009E1644">
        <w:t xml:space="preserve"> </w:t>
      </w:r>
      <w:r w:rsidR="002542CC" w:rsidRPr="009E1644">
        <w:t xml:space="preserve">with </w:t>
      </w:r>
      <w:r w:rsidR="00395B76" w:rsidRPr="009E1644">
        <w:t xml:space="preserve">the </w:t>
      </w:r>
      <w:r w:rsidR="00E45644" w:rsidRPr="009E1644">
        <w:t>delivery</w:t>
      </w:r>
      <w:r w:rsidR="00395B76" w:rsidRPr="009E1644">
        <w:t xml:space="preserve"> of </w:t>
      </w:r>
      <w:r w:rsidR="00DB0EC2" w:rsidRPr="009E1644">
        <w:t>scenarios</w:t>
      </w:r>
      <w:r w:rsidR="00E45644" w:rsidRPr="009E1644">
        <w:t xml:space="preserve"> </w:t>
      </w:r>
      <w:r w:rsidR="00DB0EC2" w:rsidRPr="009E1644">
        <w:t xml:space="preserve">foreseen </w:t>
      </w:r>
      <w:r w:rsidR="00EF7F59" w:rsidRPr="009E1644">
        <w:t>for</w:t>
      </w:r>
      <w:r w:rsidR="00DB0EC2" w:rsidRPr="009E1644">
        <w:t xml:space="preserve"> 2021/22.</w:t>
      </w:r>
    </w:p>
    <w:p w14:paraId="62CE2589" w14:textId="51C6201A" w:rsidR="00254515" w:rsidRPr="009E1644" w:rsidRDefault="00254515" w:rsidP="00010790">
      <w:pPr>
        <w:pStyle w:val="CH1"/>
        <w:rPr>
          <w:lang w:eastAsia="en-GB"/>
        </w:rPr>
      </w:pPr>
      <w:bookmarkStart w:id="2" w:name="_Toc526858252"/>
      <w:r w:rsidRPr="009E1644">
        <w:rPr>
          <w:lang w:eastAsia="en-GB"/>
        </w:rPr>
        <w:tab/>
        <w:t>IV.</w:t>
      </w:r>
      <w:r w:rsidRPr="009E1644">
        <w:rPr>
          <w:lang w:eastAsia="en-GB"/>
        </w:rPr>
        <w:tab/>
        <w:t xml:space="preserve">Suggested activities under the </w:t>
      </w:r>
      <w:r w:rsidR="003579DC" w:rsidRPr="009E1644">
        <w:rPr>
          <w:lang w:eastAsia="en-GB"/>
        </w:rPr>
        <w:t>second</w:t>
      </w:r>
      <w:r w:rsidRPr="009E1644">
        <w:rPr>
          <w:lang w:eastAsia="en-GB"/>
        </w:rPr>
        <w:t xml:space="preserve"> work programme of IPBES</w:t>
      </w:r>
    </w:p>
    <w:p w14:paraId="38CA70AB" w14:textId="4322F0E5" w:rsidR="008A2823" w:rsidRPr="009E1644" w:rsidRDefault="00C52276" w:rsidP="00010790">
      <w:pPr>
        <w:pStyle w:val="CH2"/>
        <w:rPr>
          <w:lang w:eastAsia="en-GB"/>
        </w:rPr>
      </w:pPr>
      <w:r w:rsidRPr="009E1644">
        <w:rPr>
          <w:lang w:eastAsia="en-GB"/>
        </w:rPr>
        <w:tab/>
        <w:t>A.</w:t>
      </w:r>
      <w:r w:rsidRPr="009E1644">
        <w:rPr>
          <w:lang w:eastAsia="en-GB"/>
        </w:rPr>
        <w:tab/>
      </w:r>
      <w:r w:rsidR="008A2823" w:rsidRPr="009E1644">
        <w:rPr>
          <w:lang w:eastAsia="en-GB"/>
        </w:rPr>
        <w:t>Task force</w:t>
      </w:r>
    </w:p>
    <w:p w14:paraId="77C46276" w14:textId="307C8F48" w:rsidR="00F9609D" w:rsidRPr="009E1644" w:rsidRDefault="00E0027E" w:rsidP="009E1644">
      <w:pPr>
        <w:pStyle w:val="Normalnumber"/>
        <w:tabs>
          <w:tab w:val="clear" w:pos="567"/>
          <w:tab w:val="clear" w:pos="1247"/>
          <w:tab w:val="clear" w:pos="1814"/>
          <w:tab w:val="clear" w:pos="2381"/>
          <w:tab w:val="clear" w:pos="2948"/>
          <w:tab w:val="clear" w:pos="3515"/>
          <w:tab w:val="num" w:pos="624"/>
        </w:tabs>
      </w:pPr>
      <w:r w:rsidRPr="009E1644">
        <w:t>I</w:t>
      </w:r>
      <w:r w:rsidR="00823174" w:rsidRPr="009E1644">
        <w:t xml:space="preserve">ncreased awareness of nature’s role in </w:t>
      </w:r>
      <w:r w:rsidR="00F21414" w:rsidRPr="009E1644">
        <w:t xml:space="preserve">ensuring a </w:t>
      </w:r>
      <w:r w:rsidR="00823174" w:rsidRPr="009E1644">
        <w:t xml:space="preserve">sustainable future, such as in Sustainable Development Goals, </w:t>
      </w:r>
      <w:r w:rsidRPr="009E1644">
        <w:t>provides</w:t>
      </w:r>
      <w:r w:rsidR="00823174" w:rsidRPr="009E1644">
        <w:t xml:space="preserve"> an opportun</w:t>
      </w:r>
      <w:r w:rsidRPr="009E1644">
        <w:t>ity</w:t>
      </w:r>
      <w:r w:rsidR="00823174" w:rsidRPr="009E1644">
        <w:t xml:space="preserve"> where the value of biodiversity can be better acknowledged </w:t>
      </w:r>
      <w:r w:rsidR="00F21414" w:rsidRPr="009E1644">
        <w:t xml:space="preserve">within </w:t>
      </w:r>
      <w:r w:rsidR="00823174" w:rsidRPr="009E1644">
        <w:t xml:space="preserve">the global governance of human and societal development. </w:t>
      </w:r>
      <w:r w:rsidRPr="009E1644">
        <w:t xml:space="preserve">A continuation of the </w:t>
      </w:r>
      <w:r w:rsidR="002542CC" w:rsidRPr="009E1644">
        <w:t xml:space="preserve">IPBES </w:t>
      </w:r>
      <w:r w:rsidRPr="009E1644">
        <w:t xml:space="preserve">work on scenarios and models would </w:t>
      </w:r>
      <w:r w:rsidR="00236FDD" w:rsidRPr="009E1644">
        <w:t>produce</w:t>
      </w:r>
      <w:r w:rsidR="00A31275" w:rsidRPr="009E1644">
        <w:t xml:space="preserve"> a next generation of scenarios</w:t>
      </w:r>
      <w:r w:rsidR="00236FDD" w:rsidRPr="009E1644">
        <w:t xml:space="preserve"> that</w:t>
      </w:r>
      <w:r w:rsidR="00A31275" w:rsidRPr="009E1644">
        <w:t xml:space="preserve"> </w:t>
      </w:r>
      <w:r w:rsidR="00823174" w:rsidRPr="009E1644">
        <w:t xml:space="preserve">explore alternative visions to reach intertwined global targets, including potential synergies and trade-offs between nature conservation and other development goals. Ultimately, these scenarios </w:t>
      </w:r>
      <w:r w:rsidRPr="009E1644">
        <w:t xml:space="preserve">would </w:t>
      </w:r>
      <w:r w:rsidR="00823174" w:rsidRPr="009E1644">
        <w:t>support future assessments of IPBES with modelled results on status</w:t>
      </w:r>
      <w:r w:rsidR="00236FDD" w:rsidRPr="009E1644">
        <w:t>,</w:t>
      </w:r>
      <w:r w:rsidR="00823174" w:rsidRPr="009E1644">
        <w:t xml:space="preserve"> </w:t>
      </w:r>
      <w:r w:rsidR="002542CC" w:rsidRPr="009E1644">
        <w:t xml:space="preserve">trends, </w:t>
      </w:r>
      <w:r w:rsidR="00823174" w:rsidRPr="009E1644">
        <w:t xml:space="preserve">and projections of interactive impacts of nature and society. This </w:t>
      </w:r>
      <w:r w:rsidRPr="009E1644">
        <w:t xml:space="preserve">would </w:t>
      </w:r>
      <w:r w:rsidR="00823174" w:rsidRPr="009E1644">
        <w:t xml:space="preserve">help researchers, policymakers and practitioners to identify areas of concern based on scientific evidence </w:t>
      </w:r>
      <w:r w:rsidR="002542CC" w:rsidRPr="009E1644">
        <w:t xml:space="preserve">and </w:t>
      </w:r>
      <w:r w:rsidR="00823174" w:rsidRPr="009E1644">
        <w:t>to further explore alternative pathways.</w:t>
      </w:r>
    </w:p>
    <w:p w14:paraId="2212DE65" w14:textId="35918BFB" w:rsidR="008A2823" w:rsidRPr="009E1644" w:rsidRDefault="008A2823" w:rsidP="009E1644">
      <w:pPr>
        <w:pStyle w:val="Normalnumber"/>
        <w:tabs>
          <w:tab w:val="clear" w:pos="567"/>
          <w:tab w:val="clear" w:pos="1247"/>
          <w:tab w:val="clear" w:pos="1814"/>
          <w:tab w:val="clear" w:pos="2381"/>
          <w:tab w:val="clear" w:pos="2948"/>
          <w:tab w:val="clear" w:pos="3515"/>
          <w:tab w:val="num" w:pos="624"/>
        </w:tabs>
      </w:pPr>
      <w:r w:rsidRPr="009E1644">
        <w:t xml:space="preserve">To ensure continuity, this work </w:t>
      </w:r>
      <w:r w:rsidR="00E0027E" w:rsidRPr="009E1644">
        <w:t xml:space="preserve">would </w:t>
      </w:r>
      <w:r w:rsidRPr="009E1644">
        <w:t>be implemented by a task force consisting of 2</w:t>
      </w:r>
      <w:r w:rsidR="003612FC" w:rsidRPr="009E1644">
        <w:t>4</w:t>
      </w:r>
      <w:r w:rsidRPr="009E1644">
        <w:t xml:space="preserve"> members</w:t>
      </w:r>
      <w:r w:rsidR="00C067A6" w:rsidRPr="009E1644">
        <w:t>.</w:t>
      </w:r>
      <w:r w:rsidRPr="009E1644">
        <w:t xml:space="preserve"> </w:t>
      </w:r>
      <w:r w:rsidR="00E0027E" w:rsidRPr="009E1644">
        <w:t>The proposed terms of reference for this task force and the necessary institutional arrangements for a technical support unit on scenarios and models are set out in document IPBES/7/6.</w:t>
      </w:r>
    </w:p>
    <w:p w14:paraId="75E0CB94" w14:textId="2E94B718" w:rsidR="00E1091E" w:rsidRPr="009E1644" w:rsidRDefault="00E1091E" w:rsidP="009E1644">
      <w:pPr>
        <w:pStyle w:val="Normalnumber"/>
        <w:tabs>
          <w:tab w:val="clear" w:pos="567"/>
          <w:tab w:val="clear" w:pos="1247"/>
          <w:tab w:val="clear" w:pos="1814"/>
          <w:tab w:val="clear" w:pos="2381"/>
          <w:tab w:val="clear" w:pos="2948"/>
          <w:tab w:val="clear" w:pos="3515"/>
          <w:tab w:val="num" w:pos="624"/>
        </w:tabs>
      </w:pPr>
      <w:r w:rsidRPr="009E1644">
        <w:t xml:space="preserve">The work on scenarios and models in the period up to 2030 </w:t>
      </w:r>
      <w:r w:rsidR="008E31EE" w:rsidRPr="009E1644">
        <w:t>build</w:t>
      </w:r>
      <w:r w:rsidR="000C18C0" w:rsidRPr="009E1644">
        <w:t>s</w:t>
      </w:r>
      <w:r w:rsidR="008E31EE" w:rsidRPr="009E1644">
        <w:t xml:space="preserve"> on the two main activities of the expert gro</w:t>
      </w:r>
      <w:r w:rsidR="007037A3" w:rsidRPr="009E1644">
        <w:t xml:space="preserve">up as outlined under </w:t>
      </w:r>
      <w:r w:rsidR="000C18C0" w:rsidRPr="009E1644">
        <w:t>section</w:t>
      </w:r>
      <w:r w:rsidR="00D71AE0" w:rsidRPr="009E1644">
        <w:t>s</w:t>
      </w:r>
      <w:r w:rsidR="000C18C0" w:rsidRPr="009E1644">
        <w:t xml:space="preserve"> </w:t>
      </w:r>
      <w:r w:rsidR="00E20B95" w:rsidRPr="009E1644">
        <w:t>II</w:t>
      </w:r>
      <w:r w:rsidR="00D71AE0" w:rsidRPr="009E1644">
        <w:t xml:space="preserve"> and III</w:t>
      </w:r>
      <w:r w:rsidR="000C18C0" w:rsidRPr="009E1644">
        <w:t>,</w:t>
      </w:r>
      <w:r w:rsidR="00E20B95" w:rsidRPr="009E1644">
        <w:t xml:space="preserve"> and</w:t>
      </w:r>
      <w:r w:rsidR="008E31EE" w:rsidRPr="009E1644">
        <w:t xml:space="preserve"> </w:t>
      </w:r>
      <w:r w:rsidRPr="009E1644">
        <w:t>would include:</w:t>
      </w:r>
    </w:p>
    <w:p w14:paraId="7199DD49" w14:textId="680EBBE6" w:rsidR="00E1091E" w:rsidRPr="009E1644" w:rsidRDefault="00E1091E" w:rsidP="001A6E9D">
      <w:pPr>
        <w:pStyle w:val="Normalnumber"/>
        <w:numPr>
          <w:ilvl w:val="0"/>
          <w:numId w:val="0"/>
        </w:numPr>
        <w:ind w:left="1260"/>
      </w:pPr>
      <w:r w:rsidRPr="009E1644">
        <w:rPr>
          <w:b/>
        </w:rPr>
        <w:t>For activity 1:</w:t>
      </w:r>
      <w:r w:rsidRPr="009E1644">
        <w:t xml:space="preserve"> to support authors of chapters on scenarios and models in ongoing assessments. In particular:</w:t>
      </w:r>
    </w:p>
    <w:p w14:paraId="36CB31C8" w14:textId="1CD22A43" w:rsidR="00E1091E" w:rsidRPr="009E1644" w:rsidRDefault="00B00CE6" w:rsidP="009E1644">
      <w:pPr>
        <w:pStyle w:val="Normalnumber"/>
        <w:numPr>
          <w:ilvl w:val="1"/>
          <w:numId w:val="4"/>
        </w:numPr>
        <w:tabs>
          <w:tab w:val="clear" w:pos="567"/>
          <w:tab w:val="clear" w:pos="1247"/>
          <w:tab w:val="clear" w:pos="1814"/>
          <w:tab w:val="clear" w:pos="2381"/>
          <w:tab w:val="clear" w:pos="2948"/>
          <w:tab w:val="clear" w:pos="3515"/>
          <w:tab w:val="left" w:pos="624"/>
        </w:tabs>
        <w:ind w:firstLine="624"/>
      </w:pPr>
      <w:r w:rsidRPr="009E1644">
        <w:t>T</w:t>
      </w:r>
      <w:r w:rsidR="00E1091E" w:rsidRPr="009E1644">
        <w:t>o provide technical support for chapters 4 and 5 of the global assessment (until 1 August</w:t>
      </w:r>
      <w:r w:rsidRPr="009E1644">
        <w:t xml:space="preserve"> </w:t>
      </w:r>
      <w:r w:rsidR="00E1091E" w:rsidRPr="009E1644">
        <w:t xml:space="preserve">2019); </w:t>
      </w:r>
    </w:p>
    <w:p w14:paraId="2C418DAA" w14:textId="14ADC010" w:rsidR="00E1091E" w:rsidRPr="009E1644" w:rsidRDefault="00B00CE6" w:rsidP="009E1644">
      <w:pPr>
        <w:pStyle w:val="Normalnumber"/>
        <w:numPr>
          <w:ilvl w:val="1"/>
          <w:numId w:val="4"/>
        </w:numPr>
        <w:tabs>
          <w:tab w:val="clear" w:pos="567"/>
          <w:tab w:val="clear" w:pos="1247"/>
          <w:tab w:val="clear" w:pos="1814"/>
          <w:tab w:val="clear" w:pos="2381"/>
          <w:tab w:val="clear" w:pos="2948"/>
          <w:tab w:val="clear" w:pos="3515"/>
          <w:tab w:val="left" w:pos="624"/>
        </w:tabs>
        <w:ind w:firstLine="624"/>
      </w:pPr>
      <w:r w:rsidRPr="009E1644">
        <w:t>T</w:t>
      </w:r>
      <w:r w:rsidR="00E1091E" w:rsidRPr="009E1644">
        <w:t>o facilitate access to scenarios and model</w:t>
      </w:r>
      <w:r w:rsidR="002542CC" w:rsidRPr="009E1644">
        <w:t>s</w:t>
      </w:r>
      <w:r w:rsidR="00E1091E" w:rsidRPr="009E1644">
        <w:t xml:space="preserve"> outputs;</w:t>
      </w:r>
    </w:p>
    <w:p w14:paraId="69E47B96" w14:textId="1A2B1EFD" w:rsidR="00E1091E" w:rsidRPr="009E1644" w:rsidRDefault="00B00CE6" w:rsidP="009E1644">
      <w:pPr>
        <w:pStyle w:val="Normalnumber"/>
        <w:numPr>
          <w:ilvl w:val="1"/>
          <w:numId w:val="4"/>
        </w:numPr>
        <w:tabs>
          <w:tab w:val="left" w:pos="624"/>
        </w:tabs>
        <w:ind w:firstLine="624"/>
      </w:pPr>
      <w:r w:rsidRPr="009E1644">
        <w:t>T</w:t>
      </w:r>
      <w:r w:rsidR="00E1091E" w:rsidRPr="009E1644">
        <w:t xml:space="preserve">o provide support to </w:t>
      </w:r>
      <w:r w:rsidR="007037A3" w:rsidRPr="009E1644">
        <w:t xml:space="preserve">new and ongoing </w:t>
      </w:r>
      <w:r w:rsidR="00E1091E" w:rsidRPr="009E1644">
        <w:t>assessments addressing scenarios and models by (</w:t>
      </w:r>
      <w:proofErr w:type="spellStart"/>
      <w:r w:rsidR="00E1091E" w:rsidRPr="009E1644">
        <w:t>i</w:t>
      </w:r>
      <w:proofErr w:type="spellEnd"/>
      <w:r w:rsidR="00E1091E" w:rsidRPr="009E1644">
        <w:t xml:space="preserve">) sharing experiences of the assessment process on scenarios and models, and (ii) ensuring the results of the methodological assessment of scenarios and models are used; </w:t>
      </w:r>
    </w:p>
    <w:p w14:paraId="7D66189B" w14:textId="2BB3F952" w:rsidR="00E1091E" w:rsidRPr="009E1644" w:rsidRDefault="00B00CE6" w:rsidP="009E1644">
      <w:pPr>
        <w:pStyle w:val="Normalnumber"/>
        <w:numPr>
          <w:ilvl w:val="1"/>
          <w:numId w:val="4"/>
        </w:numPr>
        <w:tabs>
          <w:tab w:val="left" w:pos="624"/>
        </w:tabs>
        <w:ind w:firstLine="624"/>
      </w:pPr>
      <w:r w:rsidRPr="009E1644">
        <w:t>T</w:t>
      </w:r>
      <w:r w:rsidR="00E1091E" w:rsidRPr="009E1644">
        <w:t xml:space="preserve">o support the development of an online guidance tool in co-operation with the technical support unit on policy support tools. </w:t>
      </w:r>
      <w:r w:rsidR="00774CAC" w:rsidRPr="009E1644">
        <w:t xml:space="preserve"> </w:t>
      </w:r>
    </w:p>
    <w:p w14:paraId="50CB00D2" w14:textId="3270902A" w:rsidR="00E1091E" w:rsidRPr="009E1644" w:rsidRDefault="00E1091E" w:rsidP="009E1644">
      <w:pPr>
        <w:pStyle w:val="Normalnumber"/>
        <w:numPr>
          <w:ilvl w:val="0"/>
          <w:numId w:val="0"/>
        </w:numPr>
        <w:tabs>
          <w:tab w:val="left" w:pos="624"/>
        </w:tabs>
        <w:ind w:left="1247" w:firstLine="624"/>
      </w:pPr>
      <w:r w:rsidRPr="009E1644">
        <w:rPr>
          <w:b/>
        </w:rPr>
        <w:t>For activity 2</w:t>
      </w:r>
      <w:r w:rsidRPr="009E1644">
        <w:t>: to further cataly</w:t>
      </w:r>
      <w:r w:rsidR="00BD139A" w:rsidRPr="009E1644">
        <w:t>s</w:t>
      </w:r>
      <w:r w:rsidRPr="009E1644">
        <w:t xml:space="preserve">e, support and facilitate the development of </w:t>
      </w:r>
      <w:r w:rsidR="007860A4" w:rsidRPr="009E1644">
        <w:t>scenarios</w:t>
      </w:r>
      <w:r w:rsidR="00BD139A" w:rsidRPr="009E1644">
        <w:t xml:space="preserve">, such as the </w:t>
      </w:r>
      <w:r w:rsidR="00475669" w:rsidRPr="009E1644">
        <w:t>n</w:t>
      </w:r>
      <w:r w:rsidRPr="009E1644">
        <w:t xml:space="preserve">ature </w:t>
      </w:r>
      <w:r w:rsidR="00475669" w:rsidRPr="009E1644">
        <w:t>f</w:t>
      </w:r>
      <w:r w:rsidRPr="009E1644">
        <w:t xml:space="preserve">utures scenarios, </w:t>
      </w:r>
      <w:r w:rsidR="002542CC" w:rsidRPr="009E1644">
        <w:t xml:space="preserve">and models </w:t>
      </w:r>
      <w:r w:rsidRPr="009E1644">
        <w:t xml:space="preserve">including: </w:t>
      </w:r>
    </w:p>
    <w:p w14:paraId="16EB64B7" w14:textId="68F582A3" w:rsidR="00E1091E" w:rsidRPr="009E1644" w:rsidRDefault="00E1091E" w:rsidP="009E1644">
      <w:pPr>
        <w:pStyle w:val="Normalnumber"/>
        <w:numPr>
          <w:ilvl w:val="1"/>
          <w:numId w:val="10"/>
        </w:numPr>
        <w:tabs>
          <w:tab w:val="clear" w:pos="567"/>
          <w:tab w:val="clear" w:pos="1247"/>
          <w:tab w:val="clear" w:pos="1814"/>
          <w:tab w:val="clear" w:pos="2381"/>
          <w:tab w:val="clear" w:pos="2948"/>
          <w:tab w:val="clear" w:pos="3515"/>
          <w:tab w:val="left" w:pos="624"/>
        </w:tabs>
        <w:ind w:firstLine="624"/>
      </w:pPr>
      <w:r w:rsidRPr="009E1644">
        <w:t>To continue catalys</w:t>
      </w:r>
      <w:r w:rsidR="002542CC" w:rsidRPr="009E1644">
        <w:t>ing</w:t>
      </w:r>
      <w:r w:rsidRPr="009E1644">
        <w:t xml:space="preserve"> the filling of gaps in knowledge on scenarios and models, including by communicating the gaps identified in the assessment report on scenarios and models as well as future gaps identified through the work of </w:t>
      </w:r>
      <w:r w:rsidR="00B00CE6" w:rsidRPr="009E1644">
        <w:t xml:space="preserve">IPBES </w:t>
      </w:r>
      <w:r w:rsidRPr="009E1644">
        <w:t xml:space="preserve">to the scientific community; </w:t>
      </w:r>
    </w:p>
    <w:p w14:paraId="5F836D96" w14:textId="2B4AA072" w:rsidR="00E1091E" w:rsidRPr="009E1644" w:rsidRDefault="00E1091E" w:rsidP="009E1644">
      <w:pPr>
        <w:pStyle w:val="Normalnumber"/>
        <w:numPr>
          <w:ilvl w:val="1"/>
          <w:numId w:val="4"/>
        </w:numPr>
        <w:tabs>
          <w:tab w:val="clear" w:pos="567"/>
          <w:tab w:val="clear" w:pos="1247"/>
          <w:tab w:val="clear" w:pos="1814"/>
          <w:tab w:val="clear" w:pos="2381"/>
          <w:tab w:val="clear" w:pos="2948"/>
          <w:tab w:val="clear" w:pos="3515"/>
          <w:tab w:val="left" w:pos="624"/>
        </w:tabs>
        <w:ind w:firstLine="624"/>
      </w:pPr>
      <w:r w:rsidRPr="009E1644">
        <w:t xml:space="preserve">To continue </w:t>
      </w:r>
      <w:bookmarkStart w:id="3" w:name="_Hlk532297297"/>
      <w:r w:rsidRPr="009E1644">
        <w:t>catalys</w:t>
      </w:r>
      <w:r w:rsidR="002542CC" w:rsidRPr="009E1644">
        <w:t>ing</w:t>
      </w:r>
      <w:r w:rsidRPr="009E1644">
        <w:t xml:space="preserve"> the development</w:t>
      </w:r>
      <w:r w:rsidR="002542CC" w:rsidRPr="009E1644">
        <w:t>,</w:t>
      </w:r>
      <w:r w:rsidRPr="009E1644">
        <w:t xml:space="preserve"> for future use by </w:t>
      </w:r>
      <w:r w:rsidR="00B00CE6" w:rsidRPr="009E1644">
        <w:t>IPBES</w:t>
      </w:r>
      <w:r w:rsidR="002542CC" w:rsidRPr="009E1644">
        <w:t>,</w:t>
      </w:r>
      <w:r w:rsidRPr="009E1644">
        <w:t xml:space="preserve"> of new scenarios of direct and indirect drivers, in collaboration with research centres working on relevant scenarios, including in collaboration with researchers developing the shared socioeconomic pathways being catalysed by </w:t>
      </w:r>
      <w:r w:rsidR="00B00CE6" w:rsidRPr="009E1644">
        <w:t>IPCC</w:t>
      </w:r>
      <w:r w:rsidRPr="009E1644">
        <w:t xml:space="preserve">; </w:t>
      </w:r>
    </w:p>
    <w:bookmarkEnd w:id="3"/>
    <w:p w14:paraId="500FFAAB" w14:textId="2A6A97E3" w:rsidR="00E1091E" w:rsidRPr="009E1644" w:rsidRDefault="00E1091E" w:rsidP="009E1644">
      <w:pPr>
        <w:pStyle w:val="Normalnumber"/>
        <w:numPr>
          <w:ilvl w:val="1"/>
          <w:numId w:val="4"/>
        </w:numPr>
        <w:tabs>
          <w:tab w:val="clear" w:pos="567"/>
          <w:tab w:val="clear" w:pos="1247"/>
          <w:tab w:val="clear" w:pos="1814"/>
          <w:tab w:val="clear" w:pos="2381"/>
          <w:tab w:val="clear" w:pos="2948"/>
          <w:tab w:val="clear" w:pos="3515"/>
          <w:tab w:val="left" w:pos="624"/>
        </w:tabs>
        <w:ind w:firstLine="624"/>
      </w:pPr>
      <w:r w:rsidRPr="009E1644">
        <w:t>To support the organization of follow-up activities on both existing and new scenarios, including capacity-building aimed at improving the uptake and use of scenarios and models by a broad range of policymakers and stakeholders</w:t>
      </w:r>
    </w:p>
    <w:p w14:paraId="76A86C15" w14:textId="024DF0C8" w:rsidR="002F4DB5" w:rsidRPr="009E1644" w:rsidRDefault="00E0027E" w:rsidP="009E1644">
      <w:pPr>
        <w:pStyle w:val="Normalnumber"/>
        <w:tabs>
          <w:tab w:val="clear" w:pos="567"/>
          <w:tab w:val="clear" w:pos="1247"/>
          <w:tab w:val="clear" w:pos="1814"/>
          <w:tab w:val="clear" w:pos="2381"/>
          <w:tab w:val="clear" w:pos="2948"/>
          <w:tab w:val="clear" w:pos="3515"/>
          <w:tab w:val="num" w:pos="624"/>
        </w:tabs>
      </w:pPr>
      <w:r w:rsidRPr="009E1644">
        <w:t>The</w:t>
      </w:r>
      <w:r w:rsidR="00BB03D8" w:rsidRPr="009E1644">
        <w:t xml:space="preserve"> work on scenarios and models in the period </w:t>
      </w:r>
      <w:r w:rsidR="00827BE7" w:rsidRPr="009E1644">
        <w:t>up to 2030</w:t>
      </w:r>
      <w:r w:rsidR="00BB03D8" w:rsidRPr="009E1644">
        <w:t xml:space="preserve"> would </w:t>
      </w:r>
      <w:r w:rsidR="00E1091E" w:rsidRPr="009E1644">
        <w:t>be</w:t>
      </w:r>
      <w:r w:rsidR="008274E6" w:rsidRPr="009E1644">
        <w:t xml:space="preserve"> implement</w:t>
      </w:r>
      <w:r w:rsidR="00E1091E" w:rsidRPr="009E1644">
        <w:t xml:space="preserve">ed in line with </w:t>
      </w:r>
      <w:r w:rsidR="008274E6" w:rsidRPr="009E1644">
        <w:t>the work plan set out in appendix II.</w:t>
      </w:r>
      <w:r w:rsidR="00CC5798" w:rsidRPr="009E1644">
        <w:t xml:space="preserve"> </w:t>
      </w:r>
      <w:r w:rsidR="007677B1" w:rsidRPr="009E1644">
        <w:t>The work would include</w:t>
      </w:r>
      <w:r w:rsidR="00835C95" w:rsidRPr="009E1644">
        <w:t xml:space="preserve"> support</w:t>
      </w:r>
      <w:r w:rsidR="002F4DB5" w:rsidRPr="009E1644">
        <w:t xml:space="preserve"> </w:t>
      </w:r>
      <w:r w:rsidR="005038DA" w:rsidRPr="009E1644">
        <w:t xml:space="preserve">regarding </w:t>
      </w:r>
      <w:r w:rsidR="002F4DB5" w:rsidRPr="009E1644">
        <w:t>existing scenarios</w:t>
      </w:r>
      <w:r w:rsidR="00835C95" w:rsidRPr="009E1644">
        <w:t xml:space="preserve"> </w:t>
      </w:r>
      <w:r w:rsidR="00480478" w:rsidRPr="009E1644">
        <w:t xml:space="preserve">to </w:t>
      </w:r>
      <w:r w:rsidR="00970DE5" w:rsidRPr="009E1644">
        <w:t>the chapters</w:t>
      </w:r>
      <w:r w:rsidR="00E85CD5" w:rsidRPr="009E1644">
        <w:t xml:space="preserve"> on scenarios and model</w:t>
      </w:r>
      <w:r w:rsidR="005038DA" w:rsidRPr="009E1644">
        <w:t>s</w:t>
      </w:r>
      <w:r w:rsidR="00970DE5" w:rsidRPr="009E1644">
        <w:t xml:space="preserve"> of the </w:t>
      </w:r>
      <w:r w:rsidR="003A26EA" w:rsidRPr="009E1644">
        <w:t>assessment o</w:t>
      </w:r>
      <w:r w:rsidR="005038DA" w:rsidRPr="009E1644">
        <w:t>f</w:t>
      </w:r>
      <w:r w:rsidR="003A26EA" w:rsidRPr="009E1644">
        <w:t xml:space="preserve"> </w:t>
      </w:r>
      <w:r w:rsidR="00264464" w:rsidRPr="009E1644">
        <w:t xml:space="preserve">the </w:t>
      </w:r>
      <w:r w:rsidR="003A26EA" w:rsidRPr="009E1644">
        <w:t>sustainable use of wild species</w:t>
      </w:r>
      <w:r w:rsidR="00264464" w:rsidRPr="009E1644">
        <w:t>,</w:t>
      </w:r>
      <w:r w:rsidR="001944AF" w:rsidRPr="009E1644">
        <w:t xml:space="preserve"> </w:t>
      </w:r>
      <w:r w:rsidR="003A26EA" w:rsidRPr="009E1644">
        <w:t xml:space="preserve">scheduled for </w:t>
      </w:r>
      <w:r w:rsidR="005038DA" w:rsidRPr="009E1644">
        <w:t xml:space="preserve">consideration </w:t>
      </w:r>
      <w:r w:rsidR="003A26EA" w:rsidRPr="009E1644">
        <w:t>at</w:t>
      </w:r>
      <w:r w:rsidR="00480478" w:rsidRPr="009E1644">
        <w:t xml:space="preserve"> the ninth session</w:t>
      </w:r>
      <w:r w:rsidR="005038DA" w:rsidRPr="009E1644">
        <w:t xml:space="preserve"> of the Plenary</w:t>
      </w:r>
      <w:r w:rsidR="00264464" w:rsidRPr="009E1644">
        <w:t>,</w:t>
      </w:r>
      <w:r w:rsidR="007677B1" w:rsidRPr="009E1644">
        <w:t xml:space="preserve"> and</w:t>
      </w:r>
      <w:r w:rsidR="003A26EA" w:rsidRPr="009E1644">
        <w:t xml:space="preserve"> </w:t>
      </w:r>
      <w:r w:rsidR="00264464" w:rsidRPr="009E1644">
        <w:t xml:space="preserve">of </w:t>
      </w:r>
      <w:r w:rsidR="003A26EA" w:rsidRPr="009E1644">
        <w:t>the</w:t>
      </w:r>
      <w:r w:rsidR="007677B1" w:rsidRPr="009E1644">
        <w:t xml:space="preserve"> </w:t>
      </w:r>
      <w:r w:rsidR="003A26EA" w:rsidRPr="009E1644">
        <w:t>assessment of invasive alien species</w:t>
      </w:r>
      <w:r w:rsidR="00264464" w:rsidRPr="009E1644">
        <w:t>,</w:t>
      </w:r>
      <w:r w:rsidR="003A26EA" w:rsidRPr="009E1644">
        <w:t xml:space="preserve"> </w:t>
      </w:r>
      <w:r w:rsidR="00264464" w:rsidRPr="009E1644">
        <w:t xml:space="preserve">for </w:t>
      </w:r>
      <w:r w:rsidR="005038DA" w:rsidRPr="009E1644">
        <w:t xml:space="preserve">consideration </w:t>
      </w:r>
      <w:r w:rsidR="00264464" w:rsidRPr="009E1644">
        <w:t>at</w:t>
      </w:r>
      <w:r w:rsidR="003A26EA" w:rsidRPr="009E1644">
        <w:t xml:space="preserve"> the tenth session</w:t>
      </w:r>
      <w:r w:rsidR="00970DE5" w:rsidRPr="009E1644">
        <w:t xml:space="preserve"> of the Plenary</w:t>
      </w:r>
      <w:r w:rsidR="009C31E1" w:rsidRPr="009E1644">
        <w:t xml:space="preserve">. </w:t>
      </w:r>
      <w:r w:rsidR="00264464" w:rsidRPr="009E1644">
        <w:t>Support would also be provided</w:t>
      </w:r>
      <w:r w:rsidR="001944AF" w:rsidRPr="009E1644">
        <w:t xml:space="preserve"> </w:t>
      </w:r>
      <w:r w:rsidR="00E85CD5" w:rsidRPr="009E1644">
        <w:t xml:space="preserve">to </w:t>
      </w:r>
      <w:r w:rsidR="001944AF" w:rsidRPr="009E1644">
        <w:t>the assessment on values</w:t>
      </w:r>
      <w:r w:rsidR="009A635C" w:rsidRPr="009E1644">
        <w:t>,</w:t>
      </w:r>
      <w:r w:rsidR="001944AF" w:rsidRPr="009E1644">
        <w:t xml:space="preserve"> where appropriate</w:t>
      </w:r>
      <w:r w:rsidR="00264464" w:rsidRPr="009E1644">
        <w:t xml:space="preserve">, </w:t>
      </w:r>
      <w:r w:rsidR="00C3391C" w:rsidRPr="009E1644">
        <w:t xml:space="preserve">until </w:t>
      </w:r>
      <w:r w:rsidR="009E1450" w:rsidRPr="009E1644">
        <w:t>the ninth session of the Plenary</w:t>
      </w:r>
      <w:r w:rsidR="001944AF" w:rsidRPr="009E1644">
        <w:t>.</w:t>
      </w:r>
      <w:r w:rsidR="007677B1" w:rsidRPr="009E1644">
        <w:t xml:space="preserve"> </w:t>
      </w:r>
      <w:r w:rsidR="002F4DB5" w:rsidRPr="009E1644">
        <w:t xml:space="preserve">The work would </w:t>
      </w:r>
      <w:r w:rsidR="00264464" w:rsidRPr="009E1644">
        <w:t xml:space="preserve">also </w:t>
      </w:r>
      <w:r w:rsidR="002F4DB5" w:rsidRPr="009E1644">
        <w:t xml:space="preserve">include support </w:t>
      </w:r>
      <w:r w:rsidR="003A26EA" w:rsidRPr="009E1644">
        <w:t xml:space="preserve">to </w:t>
      </w:r>
      <w:r w:rsidR="009A635C" w:rsidRPr="009E1644">
        <w:t>any future</w:t>
      </w:r>
      <w:r w:rsidR="00C3391C" w:rsidRPr="009E1644">
        <w:t xml:space="preserve"> assessments</w:t>
      </w:r>
      <w:r w:rsidR="009E1450" w:rsidRPr="009E1644">
        <w:t xml:space="preserve"> </w:t>
      </w:r>
      <w:r w:rsidR="005C5BFE" w:rsidRPr="009E1644">
        <w:t>using</w:t>
      </w:r>
      <w:r w:rsidR="003A26EA" w:rsidRPr="009E1644">
        <w:t xml:space="preserve"> the new scenarios</w:t>
      </w:r>
      <w:r w:rsidR="005C5BFE" w:rsidRPr="009E1644">
        <w:t xml:space="preserve"> </w:t>
      </w:r>
      <w:r w:rsidR="00264464" w:rsidRPr="009E1644">
        <w:t>rooted in</w:t>
      </w:r>
      <w:r w:rsidR="005C5BFE" w:rsidRPr="009E1644">
        <w:t xml:space="preserve"> the nature futures framework. </w:t>
      </w:r>
    </w:p>
    <w:p w14:paraId="7B51F317" w14:textId="6FFDB383" w:rsidR="008274E6" w:rsidRPr="009E1644" w:rsidRDefault="008274E6" w:rsidP="009E1644">
      <w:pPr>
        <w:pStyle w:val="Normalnumber"/>
        <w:tabs>
          <w:tab w:val="clear" w:pos="567"/>
          <w:tab w:val="clear" w:pos="1247"/>
          <w:tab w:val="clear" w:pos="1814"/>
          <w:tab w:val="clear" w:pos="2381"/>
          <w:tab w:val="clear" w:pos="2948"/>
          <w:tab w:val="clear" w:pos="3515"/>
          <w:tab w:val="num" w:pos="624"/>
        </w:tabs>
        <w:rPr>
          <w:rFonts w:eastAsiaTheme="minorHAnsi"/>
        </w:rPr>
      </w:pPr>
      <w:r w:rsidRPr="009E1644">
        <w:t xml:space="preserve">The </w:t>
      </w:r>
      <w:r w:rsidR="00FA7EE3" w:rsidRPr="009E1644">
        <w:t xml:space="preserve">work </w:t>
      </w:r>
      <w:r w:rsidRPr="009E1644">
        <w:t xml:space="preserve">plan </w:t>
      </w:r>
      <w:r w:rsidR="00CD3C22" w:rsidRPr="009E1644">
        <w:t xml:space="preserve">assumes that the task force on scenarios and models would work in four working groups and allocates </w:t>
      </w:r>
      <w:r w:rsidRPr="009E1644">
        <w:t xml:space="preserve">several tasks </w:t>
      </w:r>
      <w:r w:rsidR="00CD3C22" w:rsidRPr="009E1644">
        <w:t>to each of them.</w:t>
      </w:r>
      <w:r w:rsidRPr="009E1644">
        <w:t xml:space="preserve"> </w:t>
      </w:r>
      <w:r w:rsidR="00CD3C22" w:rsidRPr="009E1644">
        <w:t>A</w:t>
      </w:r>
      <w:r w:rsidRPr="009E1644">
        <w:t xml:space="preserve">dditional groups </w:t>
      </w:r>
      <w:r w:rsidR="00CD3C22" w:rsidRPr="009E1644">
        <w:t xml:space="preserve">may be created </w:t>
      </w:r>
      <w:r w:rsidRPr="009E1644">
        <w:t xml:space="preserve">in the future. Each working group </w:t>
      </w:r>
      <w:r w:rsidR="0014641D" w:rsidRPr="009E1644">
        <w:t xml:space="preserve">would </w:t>
      </w:r>
      <w:r w:rsidRPr="009E1644">
        <w:t xml:space="preserve">consist of a small team of experts from the </w:t>
      </w:r>
      <w:r w:rsidR="00CD3C22" w:rsidRPr="009E1644">
        <w:t>task force</w:t>
      </w:r>
      <w:r w:rsidRPr="009E1644">
        <w:t xml:space="preserve"> and two members of the </w:t>
      </w:r>
      <w:r w:rsidR="00CD3C22" w:rsidRPr="009E1644">
        <w:t>technical support unit</w:t>
      </w:r>
      <w:r w:rsidRPr="009E1644">
        <w:t>. All working groups w</w:t>
      </w:r>
      <w:r w:rsidR="0014641D" w:rsidRPr="009E1644">
        <w:t>ould</w:t>
      </w:r>
      <w:r w:rsidRPr="009E1644">
        <w:t xml:space="preserve"> support </w:t>
      </w:r>
      <w:r w:rsidR="00CD3C22" w:rsidRPr="009E1644">
        <w:t>a</w:t>
      </w:r>
      <w:r w:rsidRPr="009E1644">
        <w:t>ctivit</w:t>
      </w:r>
      <w:r w:rsidR="008A1E86" w:rsidRPr="009E1644">
        <w:t>ies</w:t>
      </w:r>
      <w:r w:rsidRPr="009E1644">
        <w:t xml:space="preserve"> 1 and 2. See appendix </w:t>
      </w:r>
      <w:r w:rsidR="00B00CE6" w:rsidRPr="009E1644">
        <w:t>I</w:t>
      </w:r>
      <w:r w:rsidRPr="009E1644">
        <w:t xml:space="preserve"> for the organization of the four working groups for the implementation of activities by experts in the coming years. </w:t>
      </w:r>
    </w:p>
    <w:p w14:paraId="11E7BFB4" w14:textId="72DC92AF" w:rsidR="008274E6" w:rsidRPr="009E1644" w:rsidRDefault="008274E6" w:rsidP="009E1644">
      <w:pPr>
        <w:pStyle w:val="Normalnumber"/>
        <w:tabs>
          <w:tab w:val="clear" w:pos="567"/>
          <w:tab w:val="clear" w:pos="1247"/>
          <w:tab w:val="clear" w:pos="1814"/>
          <w:tab w:val="clear" w:pos="2381"/>
          <w:tab w:val="clear" w:pos="2948"/>
          <w:tab w:val="clear" w:pos="3515"/>
          <w:tab w:val="num" w:pos="624"/>
        </w:tabs>
      </w:pPr>
      <w:r w:rsidRPr="009E1644">
        <w:t xml:space="preserve">The timeline in appendix II provides an overview of the nature futures scenario development process </w:t>
      </w:r>
      <w:r w:rsidR="008970F5" w:rsidRPr="009E1644">
        <w:t xml:space="preserve">up to 2021. </w:t>
      </w:r>
      <w:r w:rsidR="006E2BDB" w:rsidRPr="009E1644">
        <w:t>The work</w:t>
      </w:r>
      <w:r w:rsidR="00473FCC" w:rsidRPr="009E1644">
        <w:t xml:space="preserve"> is</w:t>
      </w:r>
      <w:r w:rsidR="006E2BDB" w:rsidRPr="009E1644">
        <w:t xml:space="preserve"> organized in iterative cycles of stakeholder consultation, modelling and analysis, an</w:t>
      </w:r>
      <w:r w:rsidR="00FD64CA" w:rsidRPr="009E1644">
        <w:t xml:space="preserve">d </w:t>
      </w:r>
      <w:r w:rsidR="008C5AAE" w:rsidRPr="009E1644">
        <w:t xml:space="preserve">storyline </w:t>
      </w:r>
      <w:r w:rsidR="00FD64CA" w:rsidRPr="009E1644">
        <w:t>development of the nature f</w:t>
      </w:r>
      <w:r w:rsidR="006E2BDB" w:rsidRPr="009E1644">
        <w:t xml:space="preserve">utures, which will result in a set of </w:t>
      </w:r>
      <w:r w:rsidR="002E4774" w:rsidRPr="009E1644">
        <w:t>n</w:t>
      </w:r>
      <w:r w:rsidR="006E2BDB" w:rsidRPr="009E1644">
        <w:t xml:space="preserve">ature </w:t>
      </w:r>
      <w:r w:rsidR="002E4774" w:rsidRPr="009E1644">
        <w:t>f</w:t>
      </w:r>
      <w:r w:rsidR="006E2BDB" w:rsidRPr="009E1644">
        <w:t xml:space="preserve">utures scenarios. </w:t>
      </w:r>
      <w:r w:rsidR="00632758" w:rsidRPr="009E1644">
        <w:t>These scenarios will be connected to the SSP-RCP scenario framework developed for IPCC</w:t>
      </w:r>
      <w:r w:rsidR="002E4774" w:rsidRPr="009E1644">
        <w:t>, where appropriate</w:t>
      </w:r>
      <w:r w:rsidR="00B71F82" w:rsidRPr="009E1644">
        <w:t xml:space="preserve"> (</w:t>
      </w:r>
      <w:r w:rsidR="00023A6F" w:rsidRPr="009E1644">
        <w:t>SSP: S</w:t>
      </w:r>
      <w:r w:rsidR="00B71F82" w:rsidRPr="009E1644">
        <w:t xml:space="preserve">hared </w:t>
      </w:r>
      <w:r w:rsidR="00023A6F" w:rsidRPr="009E1644">
        <w:t>S</w:t>
      </w:r>
      <w:r w:rsidR="00B71F82" w:rsidRPr="009E1644">
        <w:t xml:space="preserve">ocio-economic </w:t>
      </w:r>
      <w:r w:rsidR="00023A6F" w:rsidRPr="009E1644">
        <w:t>P</w:t>
      </w:r>
      <w:r w:rsidR="00B71F82" w:rsidRPr="009E1644">
        <w:t>athways</w:t>
      </w:r>
      <w:r w:rsidR="00023A6F" w:rsidRPr="009E1644">
        <w:t>; RCP: Representative Concentrations Pathways)</w:t>
      </w:r>
      <w:r w:rsidR="00632758" w:rsidRPr="009E1644">
        <w:t xml:space="preserve">. </w:t>
      </w:r>
      <w:r w:rsidRPr="009E1644">
        <w:t xml:space="preserve">The initial visions developed from the Auckland workshop and the expert group meeting on the ‘Next steps in developing Nature Futures’ (The Hague, 25-28 June 2018) are </w:t>
      </w:r>
      <w:r w:rsidR="00473FCC" w:rsidRPr="009E1644">
        <w:t>the</w:t>
      </w:r>
      <w:r w:rsidRPr="009E1644">
        <w:t xml:space="preserve"> first step</w:t>
      </w:r>
      <w:r w:rsidR="00473FCC" w:rsidRPr="009E1644">
        <w:t>s</w:t>
      </w:r>
      <w:r w:rsidRPr="009E1644">
        <w:t xml:space="preserve"> in </w:t>
      </w:r>
      <w:r w:rsidR="00473FCC" w:rsidRPr="009E1644">
        <w:t xml:space="preserve">the </w:t>
      </w:r>
      <w:r w:rsidR="00E20B95" w:rsidRPr="009E1644">
        <w:t>4-year</w:t>
      </w:r>
      <w:r w:rsidRPr="009E1644">
        <w:t xml:space="preserve"> process </w:t>
      </w:r>
      <w:r w:rsidR="00FD64CA" w:rsidRPr="009E1644">
        <w:t>of developing scenarios for nature f</w:t>
      </w:r>
      <w:r w:rsidRPr="009E1644">
        <w:t>utures</w:t>
      </w:r>
      <w:r w:rsidR="00473FCC" w:rsidRPr="009E1644">
        <w:t xml:space="preserve">. The set of scenarios will become available in 2021 as </w:t>
      </w:r>
      <w:r w:rsidR="0014641D" w:rsidRPr="009E1644">
        <w:t xml:space="preserve">an </w:t>
      </w:r>
      <w:r w:rsidR="00473FCC" w:rsidRPr="009E1644">
        <w:t xml:space="preserve">input </w:t>
      </w:r>
      <w:r w:rsidR="0014641D" w:rsidRPr="009E1644">
        <w:t>to</w:t>
      </w:r>
      <w:r w:rsidR="00473FCC" w:rsidRPr="009E1644">
        <w:t xml:space="preserve"> new IPBES assessments.</w:t>
      </w:r>
    </w:p>
    <w:p w14:paraId="59092FB4" w14:textId="00320578" w:rsidR="00FB3675" w:rsidRPr="009E1644" w:rsidRDefault="008274E6" w:rsidP="009E1644">
      <w:pPr>
        <w:pStyle w:val="Normalnumber"/>
        <w:tabs>
          <w:tab w:val="clear" w:pos="567"/>
          <w:tab w:val="clear" w:pos="1247"/>
          <w:tab w:val="clear" w:pos="1814"/>
          <w:tab w:val="clear" w:pos="2381"/>
          <w:tab w:val="clear" w:pos="2948"/>
          <w:tab w:val="clear" w:pos="3515"/>
          <w:tab w:val="num" w:pos="624"/>
        </w:tabs>
      </w:pPr>
      <w:r w:rsidRPr="009E1644">
        <w:t>Th</w:t>
      </w:r>
      <w:r w:rsidR="00473FCC" w:rsidRPr="009E1644">
        <w:t xml:space="preserve">e </w:t>
      </w:r>
      <w:r w:rsidR="00E20B95" w:rsidRPr="009E1644">
        <w:t>stakeholders’</w:t>
      </w:r>
      <w:r w:rsidRPr="009E1644">
        <w:t xml:space="preserve"> </w:t>
      </w:r>
      <w:r w:rsidR="00473FCC" w:rsidRPr="009E1644">
        <w:t xml:space="preserve">consultations include representatives </w:t>
      </w:r>
      <w:r w:rsidRPr="009E1644">
        <w:t>from different sectors</w:t>
      </w:r>
      <w:r w:rsidR="00473FCC" w:rsidRPr="009E1644">
        <w:t xml:space="preserve"> operating </w:t>
      </w:r>
      <w:r w:rsidRPr="009E1644">
        <w:t>at</w:t>
      </w:r>
      <w:r w:rsidR="00473FCC" w:rsidRPr="009E1644">
        <w:t xml:space="preserve"> various levels, </w:t>
      </w:r>
      <w:r w:rsidRPr="009E1644">
        <w:t xml:space="preserve">including </w:t>
      </w:r>
      <w:r w:rsidR="0014641D" w:rsidRPr="009E1644">
        <w:t xml:space="preserve">from </w:t>
      </w:r>
      <w:r w:rsidRPr="009E1644">
        <w:t xml:space="preserve">public administration agencies, intergovernmental organizations, non-governmental organizations, </w:t>
      </w:r>
      <w:r w:rsidR="0014641D" w:rsidRPr="009E1644">
        <w:t xml:space="preserve">the </w:t>
      </w:r>
      <w:r w:rsidRPr="009E1644">
        <w:t>private sector, civil society, indigenous peoples and local communities, as well as</w:t>
      </w:r>
      <w:r w:rsidR="0014641D" w:rsidRPr="009E1644">
        <w:t xml:space="preserve"> from</w:t>
      </w:r>
      <w:r w:rsidRPr="009E1644">
        <w:t xml:space="preserve"> the scientific community.</w:t>
      </w:r>
      <w:r w:rsidR="00D871DF" w:rsidRPr="009E1644">
        <w:t xml:space="preserve"> </w:t>
      </w:r>
    </w:p>
    <w:p w14:paraId="4EE49093" w14:textId="778DFC7B" w:rsidR="00353350" w:rsidRPr="009E1644" w:rsidRDefault="00473FCC" w:rsidP="009E1644">
      <w:pPr>
        <w:pStyle w:val="Normalnumber"/>
        <w:tabs>
          <w:tab w:val="clear" w:pos="567"/>
          <w:tab w:val="clear" w:pos="1247"/>
          <w:tab w:val="clear" w:pos="1814"/>
          <w:tab w:val="clear" w:pos="2381"/>
          <w:tab w:val="clear" w:pos="2948"/>
          <w:tab w:val="clear" w:pos="3515"/>
          <w:tab w:val="num" w:pos="624"/>
        </w:tabs>
      </w:pPr>
      <w:r w:rsidRPr="009E1644">
        <w:t xml:space="preserve">The </w:t>
      </w:r>
      <w:r w:rsidR="00632758" w:rsidRPr="009E1644">
        <w:t>t</w:t>
      </w:r>
      <w:r w:rsidRPr="009E1644">
        <w:t>askforce w</w:t>
      </w:r>
      <w:r w:rsidR="0014641D" w:rsidRPr="009E1644">
        <w:t>ould</w:t>
      </w:r>
      <w:r w:rsidRPr="009E1644">
        <w:t xml:space="preserve"> focus on catalysing the development of </w:t>
      </w:r>
      <w:r w:rsidR="008274E6" w:rsidRPr="009E1644">
        <w:t xml:space="preserve">global </w:t>
      </w:r>
      <w:r w:rsidR="008970F5" w:rsidRPr="009E1644">
        <w:t>level</w:t>
      </w:r>
      <w:r w:rsidRPr="009E1644">
        <w:t xml:space="preserve"> </w:t>
      </w:r>
      <w:r w:rsidR="008274E6" w:rsidRPr="009E1644">
        <w:t>nature futures</w:t>
      </w:r>
      <w:r w:rsidR="00775B8D" w:rsidRPr="009E1644">
        <w:t xml:space="preserve"> scenarios</w:t>
      </w:r>
      <w:r w:rsidR="008274E6" w:rsidRPr="009E1644">
        <w:t xml:space="preserve"> explor</w:t>
      </w:r>
      <w:r w:rsidRPr="009E1644">
        <w:t>ing</w:t>
      </w:r>
      <w:r w:rsidR="008274E6" w:rsidRPr="009E1644">
        <w:t xml:space="preserve"> pathways to</w:t>
      </w:r>
      <w:r w:rsidRPr="009E1644">
        <w:t xml:space="preserve">wards </w:t>
      </w:r>
      <w:r w:rsidR="008274E6" w:rsidRPr="009E1644">
        <w:t>achiev</w:t>
      </w:r>
      <w:r w:rsidRPr="009E1644">
        <w:t>ing</w:t>
      </w:r>
      <w:r w:rsidR="008274E6" w:rsidRPr="009E1644">
        <w:t xml:space="preserve"> the 2050 </w:t>
      </w:r>
      <w:r w:rsidR="009636FF" w:rsidRPr="009E1644">
        <w:t>v</w:t>
      </w:r>
      <w:r w:rsidR="008274E6" w:rsidRPr="009E1644">
        <w:t xml:space="preserve">ision </w:t>
      </w:r>
      <w:r w:rsidR="009636FF" w:rsidRPr="009E1644">
        <w:t>for Biodiversity, adopted as part of the Strategic Plan for Biodiversity 2011-2020 under</w:t>
      </w:r>
      <w:r w:rsidR="008274E6" w:rsidRPr="009E1644">
        <w:t xml:space="preserve"> the Convention on Biological Diversity</w:t>
      </w:r>
      <w:r w:rsidR="009636FF" w:rsidRPr="009E1644">
        <w:t>,</w:t>
      </w:r>
      <w:r w:rsidR="008274E6" w:rsidRPr="009E1644">
        <w:t xml:space="preserve"> in the context of the Sustainable Development Goals. </w:t>
      </w:r>
      <w:r w:rsidR="00632758" w:rsidRPr="009E1644">
        <w:t xml:space="preserve">The development of </w:t>
      </w:r>
      <w:r w:rsidR="008274E6" w:rsidRPr="009E1644">
        <w:t>regional</w:t>
      </w:r>
      <w:r w:rsidR="0014641D" w:rsidRPr="009E1644">
        <w:t xml:space="preserve"> and</w:t>
      </w:r>
      <w:r w:rsidR="00632758" w:rsidRPr="009E1644">
        <w:t xml:space="preserve"> national</w:t>
      </w:r>
      <w:r w:rsidR="008274E6" w:rsidRPr="009E1644">
        <w:t xml:space="preserve"> nature futures</w:t>
      </w:r>
      <w:r w:rsidR="00775B8D" w:rsidRPr="009E1644">
        <w:t xml:space="preserve"> scenarios</w:t>
      </w:r>
      <w:r w:rsidR="00632758" w:rsidRPr="009E1644">
        <w:t xml:space="preserve"> will not be initiated</w:t>
      </w:r>
      <w:r w:rsidR="0014641D" w:rsidRPr="009E1644">
        <w:t>.</w:t>
      </w:r>
      <w:r w:rsidR="00632758" w:rsidRPr="009E1644">
        <w:t xml:space="preserve"> </w:t>
      </w:r>
      <w:r w:rsidR="0014641D" w:rsidRPr="009E1644">
        <w:t>However, such initiatives, if undertaken by others, could be</w:t>
      </w:r>
      <w:r w:rsidR="00632758" w:rsidRPr="009E1644">
        <w:t xml:space="preserve"> supported </w:t>
      </w:r>
      <w:r w:rsidR="0014641D" w:rsidRPr="009E1644">
        <w:t>e</w:t>
      </w:r>
      <w:r w:rsidR="00632758" w:rsidRPr="009E1644">
        <w:t>specially if n</w:t>
      </w:r>
      <w:r w:rsidR="00C11160" w:rsidRPr="009E1644">
        <w:t>ational scenario exercises c</w:t>
      </w:r>
      <w:r w:rsidR="00632758" w:rsidRPr="009E1644">
        <w:t>an</w:t>
      </w:r>
      <w:r w:rsidR="00C11160" w:rsidRPr="009E1644">
        <w:t xml:space="preserve"> serve as case studies </w:t>
      </w:r>
      <w:r w:rsidR="008274E6" w:rsidRPr="009E1644">
        <w:t xml:space="preserve">on how to link biodiversity scenarios to decision-making, while being inclusive of the diversity of values held by different local actors. </w:t>
      </w:r>
    </w:p>
    <w:p w14:paraId="08059C0F" w14:textId="7D3CA924" w:rsidR="008274E6" w:rsidRPr="009E1644" w:rsidRDefault="00476003" w:rsidP="009E1644">
      <w:pPr>
        <w:pStyle w:val="Normalnumber"/>
        <w:tabs>
          <w:tab w:val="clear" w:pos="567"/>
          <w:tab w:val="clear" w:pos="1247"/>
          <w:tab w:val="clear" w:pos="1814"/>
          <w:tab w:val="clear" w:pos="2381"/>
          <w:tab w:val="clear" w:pos="2948"/>
          <w:tab w:val="clear" w:pos="3515"/>
          <w:tab w:val="num" w:pos="624"/>
        </w:tabs>
      </w:pPr>
      <w:r w:rsidRPr="009E1644">
        <w:t xml:space="preserve">The tasks </w:t>
      </w:r>
      <w:r w:rsidR="0014641D" w:rsidRPr="009E1644">
        <w:t xml:space="preserve">planned for </w:t>
      </w:r>
      <w:r w:rsidRPr="009E1644">
        <w:t xml:space="preserve">the first 4 years </w:t>
      </w:r>
      <w:r w:rsidR="0014641D" w:rsidRPr="009E1644">
        <w:t>are</w:t>
      </w:r>
      <w:r w:rsidRPr="009E1644">
        <w:t xml:space="preserve"> organised along </w:t>
      </w:r>
      <w:r w:rsidR="0014641D" w:rsidRPr="009E1644">
        <w:t>four</w:t>
      </w:r>
      <w:r w:rsidR="008274E6" w:rsidRPr="009E1644">
        <w:t xml:space="preserve"> </w:t>
      </w:r>
      <w:r w:rsidRPr="009E1644">
        <w:t xml:space="preserve">topics and corresponding </w:t>
      </w:r>
      <w:r w:rsidR="008274E6" w:rsidRPr="009E1644">
        <w:t xml:space="preserve">working groups: </w:t>
      </w:r>
    </w:p>
    <w:p w14:paraId="462E2460" w14:textId="3C3DB8BE" w:rsidR="008274E6" w:rsidRPr="009E1644" w:rsidRDefault="007506ED" w:rsidP="009E1644">
      <w:pPr>
        <w:pStyle w:val="Normalnumber"/>
        <w:numPr>
          <w:ilvl w:val="1"/>
          <w:numId w:val="4"/>
        </w:numPr>
        <w:tabs>
          <w:tab w:val="clear" w:pos="567"/>
          <w:tab w:val="clear" w:pos="1247"/>
          <w:tab w:val="clear" w:pos="1814"/>
          <w:tab w:val="clear" w:pos="2381"/>
          <w:tab w:val="clear" w:pos="2948"/>
          <w:tab w:val="clear" w:pos="3515"/>
          <w:tab w:val="num" w:pos="624"/>
        </w:tabs>
      </w:pPr>
      <w:r w:rsidRPr="009E1644">
        <w:rPr>
          <w:b/>
        </w:rPr>
        <w:t xml:space="preserve">Working Group 1 (WG1): </w:t>
      </w:r>
      <w:r w:rsidRPr="009E1644">
        <w:t xml:space="preserve">Facilitating the development and rolling-out of a long-term research agenda on methodologies </w:t>
      </w:r>
      <w:r w:rsidR="009F6B76" w:rsidRPr="009E1644">
        <w:t xml:space="preserve">to formulate positive scenarios for nature and </w:t>
      </w:r>
      <w:r w:rsidR="00476003" w:rsidRPr="009E1644">
        <w:t>natures</w:t>
      </w:r>
      <w:r w:rsidR="008C3279" w:rsidRPr="009E1644">
        <w:t>’</w:t>
      </w:r>
      <w:r w:rsidR="00476003" w:rsidRPr="009E1644">
        <w:t xml:space="preserve"> contributions to </w:t>
      </w:r>
      <w:r w:rsidR="009F6B76" w:rsidRPr="009E1644">
        <w:t xml:space="preserve">people </w:t>
      </w:r>
      <w:r w:rsidR="0086365F" w:rsidRPr="009E1644">
        <w:t xml:space="preserve">in conjunction </w:t>
      </w:r>
      <w:r w:rsidR="009F6B76" w:rsidRPr="009E1644">
        <w:t xml:space="preserve">with stakeholders. </w:t>
      </w:r>
      <w:r w:rsidR="00A77D52" w:rsidRPr="009E1644">
        <w:t>The role of this working group will be to ensure overall coordination and coherence between the participatory development of qualitative storylines, and their translation into quantitative terms through models and indicators. Through</w:t>
      </w:r>
      <w:r w:rsidR="009912E7" w:rsidRPr="009E1644">
        <w:t xml:space="preserve"> this</w:t>
      </w:r>
      <w:r w:rsidR="00F417BD" w:rsidRPr="009E1644">
        <w:t xml:space="preserve"> process, this working group will </w:t>
      </w:r>
      <w:r w:rsidR="00A77D52" w:rsidRPr="009E1644">
        <w:t>outline</w:t>
      </w:r>
      <w:r w:rsidR="008274E6" w:rsidRPr="009E1644">
        <w:t xml:space="preserve"> a methodology </w:t>
      </w:r>
      <w:r w:rsidR="0086365F" w:rsidRPr="009E1644">
        <w:t xml:space="preserve">that encompasses the overall cycle of </w:t>
      </w:r>
      <w:r w:rsidR="00A77D52" w:rsidRPr="009E1644">
        <w:t>envisioning positive futures for nature and people in collaboration with stakeholders, identifying pathways towards its realisation, and applying them to</w:t>
      </w:r>
      <w:r w:rsidR="00483FCF" w:rsidRPr="009E1644">
        <w:t xml:space="preserve"> quantitative</w:t>
      </w:r>
      <w:r w:rsidR="00A77D52" w:rsidRPr="009E1644">
        <w:t xml:space="preserve"> models. </w:t>
      </w:r>
      <w:r w:rsidR="00483FCF" w:rsidRPr="009E1644">
        <w:t xml:space="preserve">This working group will also facilitate the alignment between </w:t>
      </w:r>
      <w:r w:rsidR="00D276D0" w:rsidRPr="009E1644">
        <w:t>the nature futures f</w:t>
      </w:r>
      <w:r w:rsidR="008274E6" w:rsidRPr="009E1644">
        <w:t xml:space="preserve">ramework </w:t>
      </w:r>
      <w:r w:rsidR="00483FCF" w:rsidRPr="009E1644">
        <w:t xml:space="preserve">and other </w:t>
      </w:r>
      <w:r w:rsidR="008274E6" w:rsidRPr="009E1644">
        <w:t>global scenario processes (</w:t>
      </w:r>
      <w:r w:rsidR="00A23D07" w:rsidRPr="009E1644">
        <w:t>working group 1 covers</w:t>
      </w:r>
      <w:r w:rsidR="008274E6" w:rsidRPr="009E1644">
        <w:t xml:space="preserve"> activities 2(a), (b), (c)</w:t>
      </w:r>
      <w:r w:rsidR="00E1091E" w:rsidRPr="009E1644">
        <w:t xml:space="preserve"> set out in paragraph </w:t>
      </w:r>
      <w:r w:rsidR="00D276D0" w:rsidRPr="009E1644">
        <w:t>14</w:t>
      </w:r>
      <w:r w:rsidR="00E1091E" w:rsidRPr="009E1644">
        <w:t xml:space="preserve"> above</w:t>
      </w:r>
      <w:r w:rsidR="008274E6" w:rsidRPr="009E1644">
        <w:t>);</w:t>
      </w:r>
    </w:p>
    <w:p w14:paraId="6DEDC48E" w14:textId="7076F74F" w:rsidR="008274E6" w:rsidRPr="009E1644" w:rsidRDefault="008274E6" w:rsidP="009E1644">
      <w:pPr>
        <w:pStyle w:val="Normalnumber"/>
        <w:numPr>
          <w:ilvl w:val="1"/>
          <w:numId w:val="4"/>
        </w:numPr>
        <w:tabs>
          <w:tab w:val="clear" w:pos="567"/>
          <w:tab w:val="clear" w:pos="1247"/>
          <w:tab w:val="clear" w:pos="1814"/>
          <w:tab w:val="clear" w:pos="2381"/>
          <w:tab w:val="clear" w:pos="2948"/>
          <w:tab w:val="clear" w:pos="3515"/>
          <w:tab w:val="num" w:pos="624"/>
        </w:tabs>
      </w:pPr>
      <w:r w:rsidRPr="009E1644">
        <w:rPr>
          <w:b/>
        </w:rPr>
        <w:t xml:space="preserve">Working Group 2 (WG2): </w:t>
      </w:r>
      <w:r w:rsidRPr="009E1644">
        <w:t xml:space="preserve">Facilitating engagement of stakeholders and broad scale consultations to further </w:t>
      </w:r>
      <w:r w:rsidR="00596689" w:rsidRPr="009E1644">
        <w:t xml:space="preserve">flesh out </w:t>
      </w:r>
      <w:r w:rsidRPr="009E1644">
        <w:t xml:space="preserve">the </w:t>
      </w:r>
      <w:r w:rsidR="00596689" w:rsidRPr="009E1644">
        <w:t xml:space="preserve">positive future </w:t>
      </w:r>
      <w:r w:rsidRPr="009E1644">
        <w:t>visions into c</w:t>
      </w:r>
      <w:r w:rsidR="00D276D0" w:rsidRPr="009E1644">
        <w:t>onsistent storylines using the nature futures f</w:t>
      </w:r>
      <w:r w:rsidRPr="009E1644">
        <w:t xml:space="preserve">ramework (focusing on activity 2 (b) </w:t>
      </w:r>
      <w:r w:rsidR="00484FC6" w:rsidRPr="009E1644">
        <w:t xml:space="preserve">set out </w:t>
      </w:r>
      <w:r w:rsidRPr="009E1644">
        <w:t xml:space="preserve">in </w:t>
      </w:r>
      <w:r w:rsidR="00E1091E" w:rsidRPr="009E1644">
        <w:t xml:space="preserve">paragraph </w:t>
      </w:r>
      <w:r w:rsidR="0073094E" w:rsidRPr="009E1644">
        <w:t>14</w:t>
      </w:r>
      <w:r w:rsidR="00E1091E" w:rsidRPr="009E1644">
        <w:t xml:space="preserve"> above</w:t>
      </w:r>
      <w:r w:rsidRPr="009E1644">
        <w:t>)</w:t>
      </w:r>
      <w:r w:rsidR="00596689" w:rsidRPr="009E1644">
        <w:t>. This will</w:t>
      </w:r>
      <w:r w:rsidR="00484FC6" w:rsidRPr="009E1644">
        <w:t xml:space="preserve"> includ</w:t>
      </w:r>
      <w:r w:rsidR="00596689" w:rsidRPr="009E1644">
        <w:t>e</w:t>
      </w:r>
      <w:r w:rsidR="004F1012" w:rsidRPr="009E1644">
        <w:t xml:space="preserve"> e</w:t>
      </w:r>
      <w:r w:rsidRPr="009E1644">
        <w:t>ngag</w:t>
      </w:r>
      <w:r w:rsidR="004F1012" w:rsidRPr="009E1644">
        <w:t>ement of</w:t>
      </w:r>
      <w:r w:rsidRPr="009E1644">
        <w:t xml:space="preserve"> global, regional and national stakeholders and other networks </w:t>
      </w:r>
      <w:r w:rsidR="0014641D" w:rsidRPr="009E1644">
        <w:t>with</w:t>
      </w:r>
      <w:r w:rsidR="004F1012" w:rsidRPr="009E1644">
        <w:t xml:space="preserve"> potential </w:t>
      </w:r>
      <w:r w:rsidR="0014641D" w:rsidRPr="009E1644">
        <w:t xml:space="preserve">for </w:t>
      </w:r>
      <w:r w:rsidR="004F1012" w:rsidRPr="009E1644">
        <w:t xml:space="preserve">synergies with the work of the task </w:t>
      </w:r>
      <w:r w:rsidR="00E20B95" w:rsidRPr="009E1644">
        <w:t>force and</w:t>
      </w:r>
      <w:r w:rsidR="004F1012" w:rsidRPr="009E1644">
        <w:t xml:space="preserve"> consultations with thus far underrepresented stakeholders such as the private sector and other sector groups</w:t>
      </w:r>
      <w:r w:rsidR="00775B8D" w:rsidRPr="009E1644">
        <w:t xml:space="preserve">. The working group will facilitate this through iterative cycles </w:t>
      </w:r>
      <w:r w:rsidR="0086365F" w:rsidRPr="009E1644">
        <w:t>taking into account</w:t>
      </w:r>
      <w:r w:rsidR="00775B8D" w:rsidRPr="009E1644">
        <w:t xml:space="preserve"> different contexts and geographies (with </w:t>
      </w:r>
      <w:r w:rsidR="00AD53F7" w:rsidRPr="009E1644">
        <w:t xml:space="preserve">working groups </w:t>
      </w:r>
      <w:r w:rsidR="00775B8D" w:rsidRPr="009E1644">
        <w:t xml:space="preserve">1 and 4) </w:t>
      </w:r>
      <w:r w:rsidRPr="009E1644">
        <w:t>in</w:t>
      </w:r>
      <w:r w:rsidR="004F1012" w:rsidRPr="009E1644">
        <w:t xml:space="preserve"> order to ensure the inclusiveness of </w:t>
      </w:r>
      <w:r w:rsidR="00775B8D" w:rsidRPr="009E1644">
        <w:t xml:space="preserve">resulting </w:t>
      </w:r>
      <w:r w:rsidR="004F1012" w:rsidRPr="009E1644">
        <w:t>visions and scenarios.</w:t>
      </w:r>
      <w:r w:rsidR="00467660" w:rsidRPr="009E1644">
        <w:t xml:space="preserve"> </w:t>
      </w:r>
      <w:r w:rsidR="003E3675" w:rsidRPr="009E1644">
        <w:t>In parallel,</w:t>
      </w:r>
      <w:r w:rsidR="00467660" w:rsidRPr="009E1644">
        <w:t xml:space="preserve"> th</w:t>
      </w:r>
      <w:r w:rsidR="003E3675" w:rsidRPr="009E1644">
        <w:t>is</w:t>
      </w:r>
      <w:r w:rsidR="00467660" w:rsidRPr="009E1644">
        <w:t xml:space="preserve"> working group will c</w:t>
      </w:r>
      <w:r w:rsidRPr="009E1644">
        <w:t>rea</w:t>
      </w:r>
      <w:r w:rsidR="00467660" w:rsidRPr="009E1644">
        <w:t>te</w:t>
      </w:r>
      <w:r w:rsidRPr="009E1644">
        <w:t xml:space="preserve"> communication and engagement materials</w:t>
      </w:r>
      <w:r w:rsidR="00467660" w:rsidRPr="009E1644">
        <w:t xml:space="preserve"> based on</w:t>
      </w:r>
      <w:r w:rsidRPr="009E1644">
        <w:t xml:space="preserve"> the outcomes of the other working groups. This may include the creation of a stakeholder engagement platform on scenarios and models and of </w:t>
      </w:r>
      <w:r w:rsidR="003E3675" w:rsidRPr="009E1644">
        <w:t>online resources</w:t>
      </w:r>
      <w:r w:rsidRPr="009E1644">
        <w:t xml:space="preserve"> on scenarios and models</w:t>
      </w:r>
      <w:r w:rsidR="00AD53F7" w:rsidRPr="009E1644">
        <w:t>;</w:t>
      </w:r>
    </w:p>
    <w:p w14:paraId="1799C14A" w14:textId="1EFA86D1" w:rsidR="008274E6" w:rsidRPr="009E1644" w:rsidRDefault="008274E6" w:rsidP="009E1644">
      <w:pPr>
        <w:pStyle w:val="Normalnumber"/>
        <w:numPr>
          <w:ilvl w:val="1"/>
          <w:numId w:val="4"/>
        </w:numPr>
        <w:tabs>
          <w:tab w:val="clear" w:pos="567"/>
          <w:tab w:val="clear" w:pos="1247"/>
          <w:tab w:val="clear" w:pos="1814"/>
          <w:tab w:val="clear" w:pos="2381"/>
          <w:tab w:val="clear" w:pos="2948"/>
          <w:tab w:val="clear" w:pos="3515"/>
          <w:tab w:val="num" w:pos="624"/>
        </w:tabs>
      </w:pPr>
      <w:r w:rsidRPr="009E1644">
        <w:rPr>
          <w:b/>
        </w:rPr>
        <w:t>Working Group 3 (WG3):</w:t>
      </w:r>
      <w:r w:rsidRPr="009E1644">
        <w:t xml:space="preserve"> Facilitating </w:t>
      </w:r>
      <w:r w:rsidR="000C3A64" w:rsidRPr="009E1644">
        <w:t xml:space="preserve">the iterative development of </w:t>
      </w:r>
      <w:r w:rsidRPr="009E1644">
        <w:t>indicators and model</w:t>
      </w:r>
      <w:r w:rsidR="000C3A64" w:rsidRPr="009E1644">
        <w:t>s</w:t>
      </w:r>
      <w:r w:rsidRPr="009E1644">
        <w:t xml:space="preserve"> to support the nature futures framework (focusing on activity 2 (a) </w:t>
      </w:r>
      <w:r w:rsidR="00484FC6" w:rsidRPr="009E1644">
        <w:t xml:space="preserve">set out in paragraph </w:t>
      </w:r>
      <w:r w:rsidR="0078242D" w:rsidRPr="009E1644">
        <w:t>14</w:t>
      </w:r>
      <w:r w:rsidR="00484FC6" w:rsidRPr="009E1644">
        <w:t xml:space="preserve"> above</w:t>
      </w:r>
      <w:r w:rsidRPr="009E1644">
        <w:t>)</w:t>
      </w:r>
      <w:r w:rsidR="009831E5" w:rsidRPr="009E1644">
        <w:t xml:space="preserve">. This working group will facilitate the translation of positive visions and storylines into quantitative terms, through </w:t>
      </w:r>
      <w:r w:rsidRPr="009E1644">
        <w:t xml:space="preserve">mobilization of a </w:t>
      </w:r>
      <w:r w:rsidR="00192AF7" w:rsidRPr="009E1644">
        <w:t xml:space="preserve">broad </w:t>
      </w:r>
      <w:r w:rsidR="000C3A64" w:rsidRPr="009E1644">
        <w:t>community of modelling experts</w:t>
      </w:r>
      <w:r w:rsidR="00192AF7" w:rsidRPr="009E1644">
        <w:t>. This community will contribute to the d</w:t>
      </w:r>
      <w:r w:rsidRPr="009E1644">
        <w:t>evelop</w:t>
      </w:r>
      <w:r w:rsidR="00192AF7" w:rsidRPr="009E1644">
        <w:t xml:space="preserve">ment of </w:t>
      </w:r>
      <w:r w:rsidRPr="009E1644">
        <w:t xml:space="preserve">indicators </w:t>
      </w:r>
      <w:r w:rsidR="00192AF7" w:rsidRPr="009E1644">
        <w:t xml:space="preserve">to measure progress towards the positive future visions, and to the </w:t>
      </w:r>
      <w:r w:rsidR="003E3675" w:rsidRPr="009E1644">
        <w:t xml:space="preserve">production of </w:t>
      </w:r>
      <w:r w:rsidR="00192AF7" w:rsidRPr="009E1644">
        <w:t>future p</w:t>
      </w:r>
      <w:r w:rsidRPr="009E1644">
        <w:t>rojection</w:t>
      </w:r>
      <w:r w:rsidR="003E3675" w:rsidRPr="009E1644">
        <w:t>s</w:t>
      </w:r>
      <w:r w:rsidRPr="009E1644">
        <w:t xml:space="preserve"> </w:t>
      </w:r>
      <w:r w:rsidR="00192AF7" w:rsidRPr="009E1644">
        <w:t>o</w:t>
      </w:r>
      <w:r w:rsidR="0086365F" w:rsidRPr="009E1644">
        <w:t>f</w:t>
      </w:r>
      <w:r w:rsidR="00192AF7" w:rsidRPr="009E1644">
        <w:t xml:space="preserve"> </w:t>
      </w:r>
      <w:r w:rsidRPr="009E1644">
        <w:t>drivers</w:t>
      </w:r>
      <w:r w:rsidR="00192AF7" w:rsidRPr="009E1644">
        <w:t xml:space="preserve"> of change</w:t>
      </w:r>
      <w:r w:rsidRPr="009E1644">
        <w:t xml:space="preserve"> and associated policy options</w:t>
      </w:r>
      <w:r w:rsidR="00192AF7" w:rsidRPr="009E1644">
        <w:t xml:space="preserve">. </w:t>
      </w:r>
      <w:r w:rsidR="003E3675" w:rsidRPr="009E1644">
        <w:t>For each nature futures scenario, detailed projections will be produced at global and sub-global scales focusing on changes in</w:t>
      </w:r>
      <w:r w:rsidR="0006434E" w:rsidRPr="009E1644">
        <w:t xml:space="preserve"> both</w:t>
      </w:r>
      <w:r w:rsidR="003E3675" w:rsidRPr="009E1644">
        <w:t xml:space="preserve"> </w:t>
      </w:r>
      <w:r w:rsidRPr="009E1644">
        <w:t>biodiversity</w:t>
      </w:r>
      <w:r w:rsidR="003E3675" w:rsidRPr="009E1644">
        <w:t xml:space="preserve"> and </w:t>
      </w:r>
      <w:r w:rsidR="0006434E" w:rsidRPr="009E1644">
        <w:t xml:space="preserve">in </w:t>
      </w:r>
      <w:r w:rsidRPr="009E1644">
        <w:t>ecosystem services</w:t>
      </w:r>
      <w:r w:rsidR="0006434E" w:rsidRPr="009E1644">
        <w:t xml:space="preserve">. This will further be used to analyse </w:t>
      </w:r>
      <w:r w:rsidRPr="009E1644">
        <w:t>socio-ecological feedbacks to the human system</w:t>
      </w:r>
      <w:r w:rsidR="0006434E" w:rsidRPr="009E1644">
        <w:t>,</w:t>
      </w:r>
      <w:r w:rsidRPr="009E1644">
        <w:t xml:space="preserve"> such as health, livelihoods and social attitudes towards nature and decision-making</w:t>
      </w:r>
      <w:r w:rsidR="00AD53F7" w:rsidRPr="009E1644">
        <w:t>;</w:t>
      </w:r>
    </w:p>
    <w:p w14:paraId="472BA38A" w14:textId="0C12AFCF" w:rsidR="008274E6" w:rsidRPr="009E1644" w:rsidRDefault="008274E6" w:rsidP="009E1644">
      <w:pPr>
        <w:pStyle w:val="Normalnumber"/>
        <w:numPr>
          <w:ilvl w:val="1"/>
          <w:numId w:val="4"/>
        </w:numPr>
        <w:tabs>
          <w:tab w:val="clear" w:pos="567"/>
          <w:tab w:val="clear" w:pos="1247"/>
          <w:tab w:val="clear" w:pos="1814"/>
          <w:tab w:val="clear" w:pos="2381"/>
          <w:tab w:val="clear" w:pos="2948"/>
          <w:tab w:val="clear" w:pos="3515"/>
          <w:tab w:val="num" w:pos="624"/>
        </w:tabs>
      </w:pPr>
      <w:r w:rsidRPr="009E1644">
        <w:rPr>
          <w:b/>
        </w:rPr>
        <w:t xml:space="preserve">Working group 4 (WG4): </w:t>
      </w:r>
      <w:r w:rsidRPr="009E1644">
        <w:t xml:space="preserve">Facilitating </w:t>
      </w:r>
      <w:r w:rsidR="00095986" w:rsidRPr="009E1644">
        <w:t>engagement of a</w:t>
      </w:r>
      <w:r w:rsidRPr="009E1644">
        <w:t xml:space="preserve"> network of existing scenario</w:t>
      </w:r>
      <w:r w:rsidR="0047036A" w:rsidRPr="009E1644">
        <w:t xml:space="preserve"> development</w:t>
      </w:r>
      <w:r w:rsidRPr="009E1644">
        <w:t xml:space="preserve"> </w:t>
      </w:r>
      <w:r w:rsidR="0047036A" w:rsidRPr="009E1644">
        <w:t xml:space="preserve">initiatives </w:t>
      </w:r>
      <w:r w:rsidR="00095986" w:rsidRPr="009E1644">
        <w:t>across various scales.</w:t>
      </w:r>
      <w:r w:rsidR="0047036A" w:rsidRPr="009E1644">
        <w:t xml:space="preserve"> This working group will focus on the</w:t>
      </w:r>
      <w:r w:rsidR="001405D7" w:rsidRPr="009E1644">
        <w:t xml:space="preserve"> d</w:t>
      </w:r>
      <w:r w:rsidRPr="009E1644">
        <w:t xml:space="preserve">evelopment of a strategy for </w:t>
      </w:r>
      <w:r w:rsidR="001405D7" w:rsidRPr="009E1644">
        <w:t xml:space="preserve">promoting and supporting </w:t>
      </w:r>
      <w:r w:rsidRPr="009E1644">
        <w:t xml:space="preserve">sub-global </w:t>
      </w:r>
      <w:r w:rsidR="00820DAA" w:rsidRPr="009E1644">
        <w:t xml:space="preserve">scenario-building </w:t>
      </w:r>
      <w:r w:rsidR="001405D7" w:rsidRPr="009E1644">
        <w:t>initiatives</w:t>
      </w:r>
      <w:r w:rsidR="00C938AD" w:rsidRPr="009E1644">
        <w:t xml:space="preserve"> </w:t>
      </w:r>
      <w:r w:rsidRPr="009E1644">
        <w:t xml:space="preserve">that </w:t>
      </w:r>
      <w:r w:rsidR="00C938AD" w:rsidRPr="009E1644">
        <w:t xml:space="preserve">serve as case studies to </w:t>
      </w:r>
      <w:r w:rsidRPr="009E1644">
        <w:t xml:space="preserve">introduce and </w:t>
      </w:r>
      <w:r w:rsidR="00820DAA" w:rsidRPr="009E1644">
        <w:t>adapt</w:t>
      </w:r>
      <w:r w:rsidR="001405D7" w:rsidRPr="009E1644">
        <w:t xml:space="preserve"> </w:t>
      </w:r>
      <w:r w:rsidR="00E35F5E" w:rsidRPr="009E1644">
        <w:t>the nature futures f</w:t>
      </w:r>
      <w:r w:rsidRPr="009E1644">
        <w:t xml:space="preserve">ramework across various </w:t>
      </w:r>
      <w:r w:rsidR="001405D7" w:rsidRPr="009E1644">
        <w:t xml:space="preserve">geographical </w:t>
      </w:r>
      <w:r w:rsidRPr="009E1644">
        <w:t xml:space="preserve">scales (focusing on activity 2 (c) </w:t>
      </w:r>
      <w:r w:rsidR="00484FC6" w:rsidRPr="009E1644">
        <w:t xml:space="preserve">set out in paragraph </w:t>
      </w:r>
      <w:r w:rsidR="001405D7" w:rsidRPr="009E1644">
        <w:t>1</w:t>
      </w:r>
      <w:r w:rsidR="00AD53F7" w:rsidRPr="009E1644">
        <w:t>4</w:t>
      </w:r>
      <w:r w:rsidR="00484FC6" w:rsidRPr="009E1644">
        <w:t xml:space="preserve"> above</w:t>
      </w:r>
      <w:r w:rsidRPr="009E1644">
        <w:t>).</w:t>
      </w:r>
      <w:r w:rsidR="00820DAA" w:rsidRPr="009E1644">
        <w:t xml:space="preserve"> </w:t>
      </w:r>
      <w:r w:rsidR="00C938AD" w:rsidRPr="009E1644">
        <w:t>Coordination</w:t>
      </w:r>
      <w:r w:rsidRPr="009E1644">
        <w:t xml:space="preserve"> across case studies</w:t>
      </w:r>
      <w:r w:rsidR="00C938AD" w:rsidRPr="009E1644">
        <w:t xml:space="preserve"> will be sought through the development of a common toolkit</w:t>
      </w:r>
      <w:r w:rsidR="00977346" w:rsidRPr="009E1644">
        <w:t xml:space="preserve"> which can guide the scenario-building process while being tailored to the needs of the</w:t>
      </w:r>
      <w:r w:rsidR="00AD7C65" w:rsidRPr="009E1644">
        <w:t xml:space="preserve"> specific</w:t>
      </w:r>
      <w:r w:rsidR="00977346" w:rsidRPr="009E1644">
        <w:t xml:space="preserve"> initiative</w:t>
      </w:r>
      <w:r w:rsidR="00C938AD" w:rsidRPr="009E1644">
        <w:t xml:space="preserve">. </w:t>
      </w:r>
    </w:p>
    <w:p w14:paraId="1CFD152A" w14:textId="400935E4" w:rsidR="00632758" w:rsidRPr="009E1644" w:rsidRDefault="00632758" w:rsidP="009E1644">
      <w:pPr>
        <w:pStyle w:val="Normalnumber"/>
        <w:tabs>
          <w:tab w:val="clear" w:pos="567"/>
          <w:tab w:val="clear" w:pos="1247"/>
          <w:tab w:val="clear" w:pos="1814"/>
          <w:tab w:val="clear" w:pos="2381"/>
          <w:tab w:val="clear" w:pos="2948"/>
          <w:tab w:val="clear" w:pos="3515"/>
          <w:tab w:val="num" w:pos="624"/>
        </w:tabs>
      </w:pPr>
      <w:r w:rsidRPr="009E1644">
        <w:t xml:space="preserve">Implementation of the nature futures scenarios </w:t>
      </w:r>
      <w:r w:rsidR="00AD53F7" w:rsidRPr="009E1644">
        <w:t>in</w:t>
      </w:r>
      <w:r w:rsidRPr="009E1644">
        <w:t xml:space="preserve"> new IPBES assessments </w:t>
      </w:r>
      <w:r w:rsidR="00AD53F7" w:rsidRPr="009E1644">
        <w:t xml:space="preserve">is expected to </w:t>
      </w:r>
      <w:r w:rsidR="00353350" w:rsidRPr="009E1644">
        <w:t xml:space="preserve">lead to new questions and pathways to explore, which </w:t>
      </w:r>
      <w:r w:rsidR="00AD53F7" w:rsidRPr="009E1644">
        <w:t xml:space="preserve">would </w:t>
      </w:r>
      <w:r w:rsidR="00353350" w:rsidRPr="009E1644">
        <w:t xml:space="preserve">form </w:t>
      </w:r>
      <w:r w:rsidR="008C3279" w:rsidRPr="009E1644">
        <w:t xml:space="preserve">the </w:t>
      </w:r>
      <w:r w:rsidR="00353350" w:rsidRPr="009E1644">
        <w:t xml:space="preserve">basis of a </w:t>
      </w:r>
      <w:r w:rsidR="00E20B95" w:rsidRPr="009E1644">
        <w:t>second-round</w:t>
      </w:r>
      <w:r w:rsidR="00353350" w:rsidRPr="009E1644">
        <w:t xml:space="preserve"> development of nature futures scenarios after 2021</w:t>
      </w:r>
      <w:r w:rsidR="008C3279" w:rsidRPr="009E1644">
        <w:t>.</w:t>
      </w:r>
    </w:p>
    <w:bookmarkEnd w:id="2"/>
    <w:p w14:paraId="5F8D30E3" w14:textId="049B6EBE" w:rsidR="00D93BF9" w:rsidRPr="009E1644" w:rsidRDefault="00D820EE" w:rsidP="0032647B">
      <w:pPr>
        <w:keepNext/>
        <w:keepLines/>
        <w:tabs>
          <w:tab w:val="right" w:pos="851"/>
          <w:tab w:val="left" w:pos="1276"/>
          <w:tab w:val="left" w:pos="1814"/>
          <w:tab w:val="left" w:pos="2381"/>
          <w:tab w:val="left" w:pos="2948"/>
          <w:tab w:val="left" w:pos="3515"/>
        </w:tabs>
        <w:suppressAutoHyphens/>
        <w:spacing w:before="240" w:after="120" w:line="240" w:lineRule="auto"/>
        <w:ind w:right="284"/>
        <w:rPr>
          <w:szCs w:val="28"/>
          <w:lang w:val="en-GB" w:eastAsia="en-GB"/>
        </w:rPr>
      </w:pPr>
      <w:r w:rsidRPr="009E1644">
        <w:rPr>
          <w:rFonts w:ascii="Times New Roman" w:eastAsia="Times New Roman" w:hAnsi="Times New Roman"/>
          <w:b/>
          <w:sz w:val="24"/>
          <w:szCs w:val="28"/>
          <w:lang w:val="en-GB" w:eastAsia="en-GB"/>
        </w:rPr>
        <w:tab/>
      </w:r>
      <w:r w:rsidR="00C52276" w:rsidRPr="009E1644">
        <w:rPr>
          <w:rFonts w:ascii="Times New Roman" w:eastAsia="Times New Roman" w:hAnsi="Times New Roman"/>
          <w:b/>
          <w:sz w:val="24"/>
          <w:szCs w:val="28"/>
          <w:lang w:val="en-GB" w:eastAsia="en-GB"/>
        </w:rPr>
        <w:t>B.</w:t>
      </w:r>
      <w:r w:rsidR="00C52276" w:rsidRPr="009E1644">
        <w:rPr>
          <w:rFonts w:ascii="Times New Roman" w:eastAsia="Times New Roman" w:hAnsi="Times New Roman"/>
          <w:b/>
          <w:sz w:val="24"/>
          <w:szCs w:val="28"/>
          <w:lang w:val="en-GB" w:eastAsia="en-GB"/>
        </w:rPr>
        <w:tab/>
      </w:r>
      <w:r w:rsidR="00D567B7" w:rsidRPr="009E1644">
        <w:rPr>
          <w:rFonts w:ascii="Times New Roman" w:eastAsia="Times New Roman" w:hAnsi="Times New Roman"/>
          <w:b/>
          <w:sz w:val="24"/>
          <w:szCs w:val="28"/>
          <w:lang w:val="en-GB" w:eastAsia="en-GB"/>
        </w:rPr>
        <w:t>Proposed s</w:t>
      </w:r>
      <w:r w:rsidR="00D93BF9" w:rsidRPr="009E1644">
        <w:rPr>
          <w:rFonts w:ascii="Times New Roman" w:eastAsia="Times New Roman" w:hAnsi="Times New Roman"/>
          <w:b/>
          <w:sz w:val="24"/>
          <w:szCs w:val="28"/>
          <w:lang w:val="en-GB" w:eastAsia="en-GB"/>
        </w:rPr>
        <w:t>chedule of work</w:t>
      </w:r>
      <w:r w:rsidR="00D567B7" w:rsidRPr="009E1644">
        <w:rPr>
          <w:rFonts w:ascii="Times New Roman" w:eastAsia="Times New Roman" w:hAnsi="Times New Roman"/>
          <w:b/>
          <w:sz w:val="24"/>
          <w:szCs w:val="28"/>
          <w:lang w:val="en-GB" w:eastAsia="en-GB"/>
        </w:rPr>
        <w:t xml:space="preserve"> 2019-2020</w:t>
      </w:r>
    </w:p>
    <w:p w14:paraId="46994FE1" w14:textId="59F41CCE" w:rsidR="00D93BF9" w:rsidRPr="009E1644" w:rsidRDefault="00D567B7" w:rsidP="009E1644">
      <w:pPr>
        <w:pStyle w:val="Normalnumber"/>
        <w:tabs>
          <w:tab w:val="clear" w:pos="567"/>
          <w:tab w:val="clear" w:pos="1247"/>
          <w:tab w:val="clear" w:pos="1814"/>
          <w:tab w:val="clear" w:pos="2381"/>
          <w:tab w:val="clear" w:pos="2948"/>
          <w:tab w:val="clear" w:pos="3515"/>
          <w:tab w:val="num" w:pos="624"/>
        </w:tabs>
      </w:pPr>
      <w:r w:rsidRPr="009E1644">
        <w:t>The following table sets out a proposed schedule of activities for the intersessional period 2019-2020.</w:t>
      </w:r>
      <w:r w:rsidR="00D93BF9" w:rsidRPr="009E1644">
        <w:t xml:space="preserve">  Elements in bold </w:t>
      </w:r>
      <w:r w:rsidR="00DE543F" w:rsidRPr="009E1644">
        <w:t xml:space="preserve">in the table below </w:t>
      </w:r>
      <w:r w:rsidR="00D93BF9" w:rsidRPr="009E1644">
        <w:t xml:space="preserve">indicate activities that will require funding from the trust fund or </w:t>
      </w:r>
      <w:r w:rsidR="004E609A" w:rsidRPr="009E1644">
        <w:t>from other sources</w:t>
      </w:r>
      <w:r w:rsidR="00D93BF9" w:rsidRPr="009E1644">
        <w:t>.</w:t>
      </w:r>
      <w:r w:rsidR="007B1CCF" w:rsidRPr="009E1644">
        <w:t xml:space="preserve"> These activities would be </w:t>
      </w:r>
      <w:r w:rsidR="00AA768A" w:rsidRPr="009E1644">
        <w:t>implemented by</w:t>
      </w:r>
      <w:r w:rsidR="007B1CCF" w:rsidRPr="009E1644">
        <w:t xml:space="preserve"> different working groups within the task force.</w:t>
      </w:r>
    </w:p>
    <w:tbl>
      <w:tblPr>
        <w:tblW w:w="4328" w:type="pct"/>
        <w:tblInd w:w="1276" w:type="dxa"/>
        <w:tblLook w:val="04A0" w:firstRow="1" w:lastRow="0" w:firstColumn="1" w:lastColumn="0" w:noHBand="0" w:noVBand="1"/>
      </w:tblPr>
      <w:tblGrid>
        <w:gridCol w:w="1134"/>
        <w:gridCol w:w="7086"/>
      </w:tblGrid>
      <w:tr w:rsidR="00095732" w:rsidRPr="009E1644" w14:paraId="708BC75B" w14:textId="77777777" w:rsidTr="00DE49E5">
        <w:trPr>
          <w:tblHeader/>
        </w:trPr>
        <w:tc>
          <w:tcPr>
            <w:tcW w:w="5000" w:type="pct"/>
            <w:gridSpan w:val="2"/>
            <w:tcBorders>
              <w:top w:val="single" w:sz="4" w:space="0" w:color="auto"/>
              <w:bottom w:val="single" w:sz="4" w:space="0" w:color="auto"/>
            </w:tcBorders>
            <w:shd w:val="clear" w:color="auto" w:fill="auto"/>
          </w:tcPr>
          <w:p w14:paraId="12876DCB" w14:textId="77777777" w:rsidR="00095732" w:rsidRPr="009E1644" w:rsidRDefault="00095732" w:rsidP="00DE49E5">
            <w:pPr>
              <w:pStyle w:val="Normal-pool"/>
              <w:keepNext/>
              <w:keepLines/>
              <w:spacing w:before="60" w:after="60"/>
              <w:rPr>
                <w:sz w:val="18"/>
                <w:szCs w:val="18"/>
              </w:rPr>
            </w:pPr>
            <w:r w:rsidRPr="009E1644">
              <w:rPr>
                <w:rFonts w:eastAsia="SimSun"/>
                <w:sz w:val="18"/>
                <w:szCs w:val="18"/>
              </w:rPr>
              <w:t>Actions and institutional arrangements</w:t>
            </w:r>
          </w:p>
        </w:tc>
      </w:tr>
      <w:tr w:rsidR="00095732" w:rsidRPr="009E1644" w14:paraId="3F490ACB" w14:textId="77777777" w:rsidTr="00FE08C3">
        <w:trPr>
          <w:trHeight w:val="5392"/>
        </w:trPr>
        <w:tc>
          <w:tcPr>
            <w:tcW w:w="690" w:type="pct"/>
            <w:tcBorders>
              <w:top w:val="single" w:sz="12" w:space="0" w:color="auto"/>
              <w:bottom w:val="single" w:sz="4" w:space="0" w:color="auto"/>
            </w:tcBorders>
          </w:tcPr>
          <w:p w14:paraId="3D6BDA41" w14:textId="77777777" w:rsidR="00095732" w:rsidRPr="009E1644" w:rsidRDefault="00095732" w:rsidP="00DE49E5">
            <w:pPr>
              <w:pStyle w:val="Normal-pool"/>
              <w:keepNext/>
              <w:keepLines/>
              <w:spacing w:before="60" w:after="60"/>
              <w:rPr>
                <w:sz w:val="18"/>
                <w:szCs w:val="18"/>
              </w:rPr>
            </w:pPr>
            <w:bookmarkStart w:id="4" w:name="_Toc499898978"/>
            <w:r w:rsidRPr="009E1644">
              <w:rPr>
                <w:sz w:val="18"/>
                <w:szCs w:val="18"/>
              </w:rPr>
              <w:t>201</w:t>
            </w:r>
            <w:bookmarkEnd w:id="4"/>
            <w:r w:rsidRPr="009E1644">
              <w:rPr>
                <w:sz w:val="18"/>
                <w:szCs w:val="18"/>
              </w:rPr>
              <w:t>9</w:t>
            </w:r>
          </w:p>
        </w:tc>
        <w:tc>
          <w:tcPr>
            <w:tcW w:w="4310" w:type="pct"/>
            <w:tcBorders>
              <w:top w:val="single" w:sz="12" w:space="0" w:color="auto"/>
            </w:tcBorders>
            <w:shd w:val="clear" w:color="auto" w:fill="auto"/>
          </w:tcPr>
          <w:p w14:paraId="1201E64E" w14:textId="68173B38" w:rsidR="00532254" w:rsidRPr="009E1644" w:rsidRDefault="00532254" w:rsidP="00DE49E5">
            <w:pPr>
              <w:pStyle w:val="Normal-pool"/>
              <w:keepNext/>
              <w:keepLines/>
              <w:spacing w:before="60" w:after="60"/>
              <w:rPr>
                <w:sz w:val="18"/>
                <w:szCs w:val="18"/>
              </w:rPr>
            </w:pPr>
            <w:r w:rsidRPr="009E1644">
              <w:rPr>
                <w:sz w:val="18"/>
                <w:szCs w:val="18"/>
              </w:rPr>
              <w:t>Continuation of:</w:t>
            </w:r>
          </w:p>
          <w:p w14:paraId="6DA0D48A" w14:textId="001C069F" w:rsidR="00095732" w:rsidRPr="009E1644" w:rsidRDefault="00532254" w:rsidP="00DE49E5">
            <w:pPr>
              <w:pStyle w:val="Normal-pool"/>
              <w:keepNext/>
              <w:keepLines/>
              <w:spacing w:before="60" w:after="60"/>
              <w:rPr>
                <w:b/>
                <w:sz w:val="18"/>
                <w:szCs w:val="18"/>
              </w:rPr>
            </w:pPr>
            <w:r w:rsidRPr="009E1644">
              <w:rPr>
                <w:b/>
                <w:sz w:val="18"/>
                <w:szCs w:val="18"/>
              </w:rPr>
              <w:t>A</w:t>
            </w:r>
            <w:r w:rsidR="00095732" w:rsidRPr="009E1644">
              <w:rPr>
                <w:b/>
                <w:sz w:val="18"/>
                <w:szCs w:val="18"/>
              </w:rPr>
              <w:t xml:space="preserve">ctivity 1 (a): facilitate access to relevant literature on scenarios and models </w:t>
            </w:r>
          </w:p>
          <w:p w14:paraId="4E06A5AC" w14:textId="2F82F7C9" w:rsidR="00095732" w:rsidRPr="009E1644" w:rsidRDefault="00532254" w:rsidP="00DE49E5">
            <w:pPr>
              <w:pStyle w:val="Normal-pool"/>
              <w:keepNext/>
              <w:keepLines/>
              <w:spacing w:before="60" w:after="60"/>
              <w:rPr>
                <w:b/>
                <w:sz w:val="18"/>
                <w:szCs w:val="18"/>
              </w:rPr>
            </w:pPr>
            <w:r w:rsidRPr="009E1644">
              <w:rPr>
                <w:b/>
                <w:sz w:val="18"/>
                <w:szCs w:val="18"/>
              </w:rPr>
              <w:t>A</w:t>
            </w:r>
            <w:r w:rsidR="00095732" w:rsidRPr="009E1644">
              <w:rPr>
                <w:b/>
                <w:sz w:val="18"/>
                <w:szCs w:val="18"/>
              </w:rPr>
              <w:t>ctivity 1 (b): facilitat</w:t>
            </w:r>
            <w:r w:rsidR="00E20B95" w:rsidRPr="009E1644">
              <w:rPr>
                <w:b/>
                <w:sz w:val="18"/>
                <w:szCs w:val="18"/>
              </w:rPr>
              <w:t>e access to scenarios and model</w:t>
            </w:r>
            <w:r w:rsidR="00095732" w:rsidRPr="009E1644">
              <w:rPr>
                <w:b/>
                <w:sz w:val="18"/>
                <w:szCs w:val="18"/>
              </w:rPr>
              <w:t xml:space="preserve"> outputs </w:t>
            </w:r>
          </w:p>
          <w:p w14:paraId="700E94EB" w14:textId="06BC48BE" w:rsidR="00095732" w:rsidRPr="009E1644" w:rsidRDefault="00532254" w:rsidP="00532254">
            <w:pPr>
              <w:pStyle w:val="Normal-pool"/>
              <w:keepNext/>
              <w:keepLines/>
              <w:spacing w:before="120"/>
              <w:ind w:left="1134" w:hanging="1134"/>
              <w:rPr>
                <w:b/>
                <w:sz w:val="18"/>
                <w:szCs w:val="18"/>
              </w:rPr>
            </w:pPr>
            <w:r w:rsidRPr="009E1644">
              <w:rPr>
                <w:b/>
                <w:sz w:val="18"/>
                <w:szCs w:val="18"/>
              </w:rPr>
              <w:t>A</w:t>
            </w:r>
            <w:r w:rsidR="00095732" w:rsidRPr="009E1644">
              <w:rPr>
                <w:b/>
                <w:sz w:val="18"/>
                <w:szCs w:val="18"/>
              </w:rPr>
              <w:t>ctivity 1 (c): coordinate the use of scenarios and models within the Platform</w:t>
            </w:r>
          </w:p>
          <w:p w14:paraId="7A73E89D" w14:textId="02BF8C98" w:rsidR="00095732" w:rsidRPr="009E1644" w:rsidRDefault="00095732" w:rsidP="00B97AC6">
            <w:pPr>
              <w:pStyle w:val="Normal-pool"/>
              <w:keepNext/>
              <w:keepLines/>
              <w:numPr>
                <w:ilvl w:val="0"/>
                <w:numId w:val="7"/>
              </w:numPr>
              <w:rPr>
                <w:sz w:val="18"/>
                <w:szCs w:val="18"/>
              </w:rPr>
            </w:pPr>
            <w:r w:rsidRPr="009E1644">
              <w:rPr>
                <w:sz w:val="18"/>
                <w:szCs w:val="18"/>
              </w:rPr>
              <w:t xml:space="preserve">Finalise support </w:t>
            </w:r>
            <w:r w:rsidR="004E609A" w:rsidRPr="009E1644">
              <w:rPr>
                <w:sz w:val="18"/>
                <w:szCs w:val="18"/>
              </w:rPr>
              <w:t xml:space="preserve">to </w:t>
            </w:r>
            <w:r w:rsidRPr="009E1644">
              <w:rPr>
                <w:sz w:val="18"/>
                <w:szCs w:val="18"/>
              </w:rPr>
              <w:t>the global assessment</w:t>
            </w:r>
          </w:p>
          <w:p w14:paraId="4BAFC8F1" w14:textId="440FA382" w:rsidR="00095732" w:rsidRPr="009E1644" w:rsidRDefault="00095732" w:rsidP="00B97AC6">
            <w:pPr>
              <w:pStyle w:val="Normal-pool"/>
              <w:keepNext/>
              <w:keepLines/>
              <w:numPr>
                <w:ilvl w:val="0"/>
                <w:numId w:val="7"/>
              </w:numPr>
              <w:rPr>
                <w:sz w:val="18"/>
                <w:szCs w:val="18"/>
              </w:rPr>
            </w:pPr>
            <w:r w:rsidRPr="009E1644">
              <w:rPr>
                <w:sz w:val="18"/>
                <w:szCs w:val="18"/>
              </w:rPr>
              <w:t>Support sustainable use assessment</w:t>
            </w:r>
          </w:p>
          <w:p w14:paraId="31BCB3C6" w14:textId="5AD3404B" w:rsidR="00095732" w:rsidRPr="009E1644" w:rsidRDefault="00095732" w:rsidP="00B97AC6">
            <w:pPr>
              <w:pStyle w:val="Normal-pool"/>
              <w:keepNext/>
              <w:keepLines/>
              <w:numPr>
                <w:ilvl w:val="0"/>
                <w:numId w:val="7"/>
              </w:numPr>
              <w:rPr>
                <w:sz w:val="18"/>
                <w:szCs w:val="18"/>
              </w:rPr>
            </w:pPr>
            <w:r w:rsidRPr="009E1644">
              <w:rPr>
                <w:sz w:val="18"/>
                <w:szCs w:val="18"/>
              </w:rPr>
              <w:t>Support values assessment</w:t>
            </w:r>
          </w:p>
          <w:p w14:paraId="2F496DD3" w14:textId="0C325A59" w:rsidR="00095732" w:rsidRPr="009E1644" w:rsidRDefault="00095732" w:rsidP="00B97AC6">
            <w:pPr>
              <w:pStyle w:val="Normal-pool"/>
              <w:keepNext/>
              <w:keepLines/>
              <w:numPr>
                <w:ilvl w:val="0"/>
                <w:numId w:val="7"/>
              </w:numPr>
              <w:rPr>
                <w:sz w:val="18"/>
                <w:szCs w:val="18"/>
              </w:rPr>
            </w:pPr>
            <w:r w:rsidRPr="009E1644">
              <w:rPr>
                <w:sz w:val="18"/>
                <w:szCs w:val="18"/>
              </w:rPr>
              <w:t>Support invasive alien species assessment</w:t>
            </w:r>
          </w:p>
          <w:p w14:paraId="2F0708A7" w14:textId="32B08325" w:rsidR="00095732" w:rsidRPr="009E1644" w:rsidRDefault="00532254" w:rsidP="00532254">
            <w:pPr>
              <w:pStyle w:val="Normal-pool"/>
              <w:keepNext/>
              <w:keepLines/>
              <w:spacing w:before="60" w:after="60"/>
              <w:ind w:left="1134" w:hanging="1134"/>
              <w:rPr>
                <w:b/>
                <w:sz w:val="18"/>
                <w:szCs w:val="18"/>
              </w:rPr>
            </w:pPr>
            <w:r w:rsidRPr="009E1644">
              <w:rPr>
                <w:b/>
                <w:sz w:val="18"/>
                <w:szCs w:val="18"/>
              </w:rPr>
              <w:t>A</w:t>
            </w:r>
            <w:r w:rsidR="00095732" w:rsidRPr="009E1644">
              <w:rPr>
                <w:b/>
                <w:sz w:val="18"/>
                <w:szCs w:val="18"/>
              </w:rPr>
              <w:t xml:space="preserve">ctivity 1 (d): further </w:t>
            </w:r>
            <w:r w:rsidR="007111CD" w:rsidRPr="009E1644">
              <w:rPr>
                <w:b/>
                <w:sz w:val="18"/>
                <w:szCs w:val="18"/>
              </w:rPr>
              <w:t>support the development of an online guidance tool</w:t>
            </w:r>
            <w:r w:rsidR="00095732" w:rsidRPr="009E1644">
              <w:rPr>
                <w:b/>
                <w:sz w:val="18"/>
                <w:szCs w:val="18"/>
              </w:rPr>
              <w:t xml:space="preserve"> on the use of scenarios and models </w:t>
            </w:r>
          </w:p>
          <w:p w14:paraId="28D87FB5" w14:textId="415D7CA7" w:rsidR="00095732" w:rsidRPr="009E1644" w:rsidRDefault="00532254" w:rsidP="00532254">
            <w:pPr>
              <w:pStyle w:val="Normal-pool"/>
              <w:keepNext/>
              <w:keepLines/>
              <w:spacing w:before="120"/>
              <w:ind w:left="1134" w:hanging="1134"/>
              <w:rPr>
                <w:b/>
                <w:sz w:val="18"/>
                <w:szCs w:val="18"/>
              </w:rPr>
            </w:pPr>
            <w:r w:rsidRPr="009E1644">
              <w:rPr>
                <w:b/>
                <w:sz w:val="18"/>
                <w:szCs w:val="18"/>
              </w:rPr>
              <w:t>A</w:t>
            </w:r>
            <w:r w:rsidR="00095732" w:rsidRPr="009E1644">
              <w:rPr>
                <w:b/>
                <w:sz w:val="18"/>
                <w:szCs w:val="18"/>
              </w:rPr>
              <w:t>ctivity 2 (a): catalyse the filling of gaps in knowledge on scenarios and models</w:t>
            </w:r>
          </w:p>
          <w:p w14:paraId="14A80B23" w14:textId="3ECE4D8F" w:rsidR="00095732" w:rsidRPr="009E1644" w:rsidRDefault="00095732" w:rsidP="00B97AC6">
            <w:pPr>
              <w:pStyle w:val="Normal-pool"/>
              <w:keepNext/>
              <w:keepLines/>
              <w:numPr>
                <w:ilvl w:val="0"/>
                <w:numId w:val="7"/>
              </w:numPr>
              <w:rPr>
                <w:sz w:val="18"/>
                <w:szCs w:val="18"/>
              </w:rPr>
            </w:pPr>
            <w:r w:rsidRPr="009E1644">
              <w:rPr>
                <w:sz w:val="18"/>
                <w:szCs w:val="18"/>
              </w:rPr>
              <w:t>Modellers’ workshop</w:t>
            </w:r>
          </w:p>
          <w:p w14:paraId="0DC00307" w14:textId="57D5EB3A" w:rsidR="00095732" w:rsidRPr="009E1644" w:rsidRDefault="00532254" w:rsidP="00532254">
            <w:pPr>
              <w:pStyle w:val="Normal-pool"/>
              <w:keepNext/>
              <w:keepLines/>
              <w:spacing w:before="120"/>
              <w:ind w:left="1134" w:hanging="1134"/>
              <w:rPr>
                <w:b/>
                <w:sz w:val="18"/>
                <w:szCs w:val="18"/>
              </w:rPr>
            </w:pPr>
            <w:r w:rsidRPr="009E1644">
              <w:rPr>
                <w:b/>
                <w:sz w:val="18"/>
                <w:szCs w:val="18"/>
              </w:rPr>
              <w:t>A</w:t>
            </w:r>
            <w:r w:rsidR="00095732" w:rsidRPr="009E1644">
              <w:rPr>
                <w:b/>
                <w:sz w:val="18"/>
                <w:szCs w:val="18"/>
              </w:rPr>
              <w:t>ctivity 2 (b): catalyse the development of new scenarios</w:t>
            </w:r>
          </w:p>
          <w:p w14:paraId="1A40D7B2" w14:textId="0501E401" w:rsidR="00095732" w:rsidRPr="009E1644" w:rsidRDefault="00095732" w:rsidP="00B97AC6">
            <w:pPr>
              <w:pStyle w:val="Normal-pool"/>
              <w:keepNext/>
              <w:keepLines/>
              <w:numPr>
                <w:ilvl w:val="0"/>
                <w:numId w:val="7"/>
              </w:numPr>
              <w:ind w:left="1247" w:hanging="113"/>
              <w:rPr>
                <w:sz w:val="18"/>
                <w:szCs w:val="18"/>
              </w:rPr>
            </w:pPr>
            <w:r w:rsidRPr="009E1644">
              <w:rPr>
                <w:sz w:val="18"/>
                <w:szCs w:val="18"/>
              </w:rPr>
              <w:t xml:space="preserve">Workshop of the </w:t>
            </w:r>
            <w:r w:rsidR="00AA768A" w:rsidRPr="009E1644">
              <w:rPr>
                <w:sz w:val="18"/>
                <w:szCs w:val="18"/>
              </w:rPr>
              <w:t>task force</w:t>
            </w:r>
            <w:r w:rsidRPr="009E1644">
              <w:rPr>
                <w:sz w:val="18"/>
                <w:szCs w:val="18"/>
              </w:rPr>
              <w:t xml:space="preserve">, other scientists, and stakeholders on developing new scenarios for </w:t>
            </w:r>
            <w:r w:rsidR="004E609A" w:rsidRPr="009E1644">
              <w:rPr>
                <w:sz w:val="18"/>
                <w:szCs w:val="18"/>
              </w:rPr>
              <w:t>IPBES</w:t>
            </w:r>
          </w:p>
          <w:p w14:paraId="449F8B53" w14:textId="77777777" w:rsidR="00095732" w:rsidRPr="009E1644" w:rsidRDefault="00095732" w:rsidP="00B97AC6">
            <w:pPr>
              <w:pStyle w:val="Normal-pool"/>
              <w:keepNext/>
              <w:keepLines/>
              <w:numPr>
                <w:ilvl w:val="0"/>
                <w:numId w:val="7"/>
              </w:numPr>
              <w:ind w:left="1247" w:hanging="113"/>
              <w:rPr>
                <w:sz w:val="18"/>
                <w:szCs w:val="18"/>
              </w:rPr>
            </w:pPr>
            <w:r w:rsidRPr="009E1644">
              <w:rPr>
                <w:sz w:val="18"/>
                <w:szCs w:val="18"/>
              </w:rPr>
              <w:t>Support the participation of IPBES fellows in the scenario development process</w:t>
            </w:r>
          </w:p>
          <w:p w14:paraId="37B0C9D1" w14:textId="052BDDD9" w:rsidR="00095732" w:rsidRPr="009E1644" w:rsidRDefault="00532254" w:rsidP="00532254">
            <w:pPr>
              <w:pStyle w:val="Normal-pool"/>
              <w:keepNext/>
              <w:keepLines/>
              <w:spacing w:before="120"/>
              <w:ind w:left="1134" w:hanging="1134"/>
              <w:rPr>
                <w:b/>
                <w:sz w:val="18"/>
                <w:szCs w:val="18"/>
              </w:rPr>
            </w:pPr>
            <w:r w:rsidRPr="009E1644">
              <w:rPr>
                <w:b/>
                <w:sz w:val="18"/>
                <w:szCs w:val="18"/>
              </w:rPr>
              <w:t>A</w:t>
            </w:r>
            <w:r w:rsidR="00095732" w:rsidRPr="009E1644">
              <w:rPr>
                <w:b/>
                <w:sz w:val="18"/>
                <w:szCs w:val="18"/>
              </w:rPr>
              <w:t>ctivity 2 (c): capacity-building to improve the uptake of participatory scenarios development</w:t>
            </w:r>
          </w:p>
          <w:p w14:paraId="143B2887" w14:textId="1254633F" w:rsidR="00095732" w:rsidRPr="009E1644" w:rsidRDefault="00095732" w:rsidP="00B97AC6">
            <w:pPr>
              <w:pStyle w:val="Normal-pool"/>
              <w:keepNext/>
              <w:keepLines/>
              <w:numPr>
                <w:ilvl w:val="0"/>
                <w:numId w:val="7"/>
              </w:numPr>
              <w:ind w:left="1247" w:hanging="113"/>
              <w:rPr>
                <w:sz w:val="18"/>
                <w:szCs w:val="18"/>
              </w:rPr>
            </w:pPr>
            <w:r w:rsidRPr="009E1644">
              <w:rPr>
                <w:sz w:val="18"/>
                <w:szCs w:val="18"/>
              </w:rPr>
              <w:t>Sub-global case studies to in</w:t>
            </w:r>
            <w:r w:rsidR="00E35F5E" w:rsidRPr="009E1644">
              <w:rPr>
                <w:sz w:val="18"/>
                <w:szCs w:val="18"/>
              </w:rPr>
              <w:t>troduce and/or regionalize the nature futures f</w:t>
            </w:r>
            <w:r w:rsidRPr="009E1644">
              <w:rPr>
                <w:sz w:val="18"/>
                <w:szCs w:val="18"/>
              </w:rPr>
              <w:t>ramework across various scales</w:t>
            </w:r>
          </w:p>
          <w:p w14:paraId="3C8E6F1A" w14:textId="16C139DF" w:rsidR="00095732" w:rsidRPr="009E1644" w:rsidRDefault="002F0B8A" w:rsidP="009E1644">
            <w:pPr>
              <w:pStyle w:val="Normal-pool"/>
              <w:keepNext/>
              <w:keepLines/>
              <w:numPr>
                <w:ilvl w:val="0"/>
                <w:numId w:val="7"/>
              </w:numPr>
              <w:ind w:left="1247" w:hanging="113"/>
              <w:rPr>
                <w:sz w:val="18"/>
                <w:szCs w:val="18"/>
              </w:rPr>
            </w:pPr>
            <w:r w:rsidRPr="009E1644">
              <w:rPr>
                <w:sz w:val="18"/>
                <w:szCs w:val="18"/>
              </w:rPr>
              <w:t xml:space="preserve">Support scenario training fellows/young scientists </w:t>
            </w:r>
          </w:p>
        </w:tc>
      </w:tr>
      <w:tr w:rsidR="00095732" w:rsidRPr="009E1644" w14:paraId="5D3F4AD3" w14:textId="77777777" w:rsidTr="007F3044">
        <w:tc>
          <w:tcPr>
            <w:tcW w:w="690" w:type="pct"/>
            <w:vMerge w:val="restart"/>
            <w:tcBorders>
              <w:top w:val="single" w:sz="4" w:space="0" w:color="auto"/>
            </w:tcBorders>
          </w:tcPr>
          <w:p w14:paraId="702FD91F" w14:textId="77777777" w:rsidR="00095732" w:rsidRPr="009E1644" w:rsidRDefault="00095732" w:rsidP="00DE49E5">
            <w:pPr>
              <w:pStyle w:val="Normal-pool"/>
              <w:keepNext/>
              <w:keepLines/>
              <w:spacing w:before="60" w:after="60"/>
              <w:rPr>
                <w:sz w:val="18"/>
                <w:szCs w:val="18"/>
              </w:rPr>
            </w:pPr>
            <w:r w:rsidRPr="009E1644">
              <w:rPr>
                <w:sz w:val="18"/>
                <w:szCs w:val="18"/>
              </w:rPr>
              <w:t xml:space="preserve">2020 </w:t>
            </w:r>
          </w:p>
        </w:tc>
        <w:tc>
          <w:tcPr>
            <w:tcW w:w="4310" w:type="pct"/>
            <w:tcBorders>
              <w:top w:val="single" w:sz="4" w:space="0" w:color="auto"/>
            </w:tcBorders>
            <w:shd w:val="clear" w:color="auto" w:fill="auto"/>
          </w:tcPr>
          <w:p w14:paraId="0A44AF3F" w14:textId="77777777" w:rsidR="00532254" w:rsidRPr="009E1644" w:rsidRDefault="00532254" w:rsidP="00532254">
            <w:pPr>
              <w:pStyle w:val="Normal-pool"/>
              <w:keepNext/>
              <w:keepLines/>
              <w:spacing w:before="60" w:after="60"/>
              <w:rPr>
                <w:sz w:val="18"/>
                <w:szCs w:val="18"/>
              </w:rPr>
            </w:pPr>
            <w:r w:rsidRPr="009E1644">
              <w:rPr>
                <w:sz w:val="18"/>
                <w:szCs w:val="18"/>
              </w:rPr>
              <w:t>Continuation of:</w:t>
            </w:r>
          </w:p>
          <w:p w14:paraId="76A9701F" w14:textId="2F3586D2" w:rsidR="00095732" w:rsidRPr="009E1644" w:rsidRDefault="00095732" w:rsidP="00532254">
            <w:pPr>
              <w:pStyle w:val="Normal-pool"/>
              <w:keepNext/>
              <w:keepLines/>
              <w:spacing w:before="60" w:after="60"/>
              <w:rPr>
                <w:b/>
                <w:bCs/>
                <w:sz w:val="18"/>
                <w:szCs w:val="18"/>
              </w:rPr>
            </w:pPr>
            <w:r w:rsidRPr="009E1644">
              <w:rPr>
                <w:b/>
                <w:bCs/>
                <w:sz w:val="18"/>
                <w:szCs w:val="18"/>
              </w:rPr>
              <w:t>All activity 1 components</w:t>
            </w:r>
          </w:p>
        </w:tc>
      </w:tr>
      <w:tr w:rsidR="00095732" w:rsidRPr="009E1644" w14:paraId="5D0C2523" w14:textId="77777777" w:rsidTr="007F3044">
        <w:tc>
          <w:tcPr>
            <w:tcW w:w="690" w:type="pct"/>
            <w:vMerge/>
            <w:tcBorders>
              <w:top w:val="single" w:sz="6" w:space="0" w:color="auto"/>
              <w:bottom w:val="single" w:sz="6" w:space="0" w:color="auto"/>
            </w:tcBorders>
          </w:tcPr>
          <w:p w14:paraId="60265A57" w14:textId="77777777" w:rsidR="00095732" w:rsidRPr="009E1644" w:rsidRDefault="00095732" w:rsidP="00DE49E5">
            <w:pPr>
              <w:pStyle w:val="Normal-pool"/>
              <w:keepNext/>
              <w:keepLines/>
              <w:spacing w:before="60" w:after="60"/>
              <w:rPr>
                <w:sz w:val="18"/>
                <w:szCs w:val="18"/>
              </w:rPr>
            </w:pPr>
          </w:p>
        </w:tc>
        <w:tc>
          <w:tcPr>
            <w:tcW w:w="4310" w:type="pct"/>
            <w:tcBorders>
              <w:bottom w:val="single" w:sz="6" w:space="0" w:color="auto"/>
            </w:tcBorders>
            <w:shd w:val="clear" w:color="auto" w:fill="auto"/>
          </w:tcPr>
          <w:p w14:paraId="3A64A5B4" w14:textId="0E15EEE5" w:rsidR="00095732" w:rsidRPr="009E1644" w:rsidRDefault="00532254" w:rsidP="00532254">
            <w:pPr>
              <w:pStyle w:val="Normal-pool"/>
              <w:keepNext/>
              <w:keepLines/>
              <w:spacing w:before="120"/>
              <w:rPr>
                <w:b/>
                <w:sz w:val="18"/>
                <w:szCs w:val="18"/>
              </w:rPr>
            </w:pPr>
            <w:r w:rsidRPr="009E1644">
              <w:rPr>
                <w:b/>
                <w:sz w:val="18"/>
                <w:szCs w:val="18"/>
              </w:rPr>
              <w:t>A</w:t>
            </w:r>
            <w:r w:rsidR="00095732" w:rsidRPr="009E1644">
              <w:rPr>
                <w:b/>
                <w:sz w:val="18"/>
                <w:szCs w:val="18"/>
              </w:rPr>
              <w:t>ctivity 2 (a): catalyse the filling of gaps in knowledge on scenarios and models</w:t>
            </w:r>
          </w:p>
          <w:p w14:paraId="4235CC06" w14:textId="77777777" w:rsidR="00095732" w:rsidRPr="009E1644" w:rsidRDefault="00095732" w:rsidP="00B97AC6">
            <w:pPr>
              <w:pStyle w:val="Normal-pool"/>
              <w:keepNext/>
              <w:keepLines/>
              <w:numPr>
                <w:ilvl w:val="0"/>
                <w:numId w:val="7"/>
              </w:numPr>
              <w:ind w:left="1247" w:hanging="113"/>
              <w:rPr>
                <w:sz w:val="18"/>
                <w:szCs w:val="18"/>
              </w:rPr>
            </w:pPr>
            <w:r w:rsidRPr="009E1644">
              <w:rPr>
                <w:sz w:val="18"/>
                <w:szCs w:val="18"/>
              </w:rPr>
              <w:t>Workshop with stakeholders on gap filling based on previous consultation rounds</w:t>
            </w:r>
          </w:p>
          <w:p w14:paraId="24E0CFA8" w14:textId="3F891A1E" w:rsidR="00095732" w:rsidRPr="009E1644" w:rsidRDefault="00532254" w:rsidP="00532254">
            <w:pPr>
              <w:pStyle w:val="Normal-pool"/>
              <w:keepNext/>
              <w:keepLines/>
              <w:spacing w:before="120"/>
              <w:rPr>
                <w:b/>
                <w:sz w:val="18"/>
                <w:szCs w:val="18"/>
              </w:rPr>
            </w:pPr>
            <w:r w:rsidRPr="009E1644">
              <w:rPr>
                <w:b/>
                <w:sz w:val="18"/>
                <w:szCs w:val="18"/>
              </w:rPr>
              <w:t>A</w:t>
            </w:r>
            <w:r w:rsidR="00095732" w:rsidRPr="009E1644">
              <w:rPr>
                <w:b/>
                <w:sz w:val="18"/>
                <w:szCs w:val="18"/>
              </w:rPr>
              <w:t>ctivity 2 (b): catalyse the development of new scenarios</w:t>
            </w:r>
          </w:p>
          <w:p w14:paraId="5F8B32D3" w14:textId="77777777" w:rsidR="00095732" w:rsidRPr="009E1644" w:rsidRDefault="00095732" w:rsidP="00B97AC6">
            <w:pPr>
              <w:pStyle w:val="Normal-pool"/>
              <w:keepNext/>
              <w:keepLines/>
              <w:numPr>
                <w:ilvl w:val="0"/>
                <w:numId w:val="7"/>
              </w:numPr>
              <w:ind w:left="1247" w:hanging="113"/>
              <w:rPr>
                <w:sz w:val="18"/>
                <w:szCs w:val="18"/>
              </w:rPr>
            </w:pPr>
            <w:r w:rsidRPr="009E1644">
              <w:rPr>
                <w:sz w:val="18"/>
                <w:szCs w:val="18"/>
              </w:rPr>
              <w:t>Task force meeting to coordinate the analysis of storylines/scenarios</w:t>
            </w:r>
          </w:p>
          <w:p w14:paraId="28D430EC" w14:textId="77777777" w:rsidR="00D83355" w:rsidRPr="009E1644" w:rsidRDefault="00D83355" w:rsidP="00D83355">
            <w:pPr>
              <w:pStyle w:val="Normal-pool"/>
              <w:keepNext/>
              <w:keepLines/>
              <w:spacing w:before="120"/>
              <w:ind w:left="1134" w:hanging="1134"/>
              <w:rPr>
                <w:b/>
                <w:sz w:val="18"/>
                <w:szCs w:val="18"/>
              </w:rPr>
            </w:pPr>
            <w:r w:rsidRPr="009E1644">
              <w:rPr>
                <w:b/>
                <w:sz w:val="18"/>
                <w:szCs w:val="18"/>
              </w:rPr>
              <w:t>Activity 2 (c): capacity-building to improve the uptake of participatory scenarios development</w:t>
            </w:r>
          </w:p>
          <w:p w14:paraId="2E64BE3E" w14:textId="79214551" w:rsidR="00095732" w:rsidRPr="009E1644" w:rsidRDefault="00095732" w:rsidP="00B97AC6">
            <w:pPr>
              <w:pStyle w:val="Normal-pool"/>
              <w:keepNext/>
              <w:keepLines/>
              <w:numPr>
                <w:ilvl w:val="0"/>
                <w:numId w:val="7"/>
              </w:numPr>
              <w:ind w:left="1247" w:hanging="113"/>
              <w:rPr>
                <w:sz w:val="18"/>
                <w:szCs w:val="18"/>
              </w:rPr>
            </w:pPr>
            <w:r w:rsidRPr="009E1644">
              <w:rPr>
                <w:sz w:val="18"/>
                <w:szCs w:val="18"/>
              </w:rPr>
              <w:t>Sub-global case studies to in</w:t>
            </w:r>
            <w:r w:rsidR="00E35F5E" w:rsidRPr="009E1644">
              <w:rPr>
                <w:sz w:val="18"/>
                <w:szCs w:val="18"/>
              </w:rPr>
              <w:t>troduce and/or regionalize the nature futures f</w:t>
            </w:r>
            <w:r w:rsidRPr="009E1644">
              <w:rPr>
                <w:sz w:val="18"/>
                <w:szCs w:val="18"/>
              </w:rPr>
              <w:t>ramework across various scales</w:t>
            </w:r>
          </w:p>
          <w:p w14:paraId="6B8D80AB" w14:textId="5B5DF1E9" w:rsidR="009021C1" w:rsidRPr="009E1644" w:rsidRDefault="009021C1" w:rsidP="00B97AC6">
            <w:pPr>
              <w:pStyle w:val="Normal-pool"/>
              <w:keepNext/>
              <w:keepLines/>
              <w:numPr>
                <w:ilvl w:val="0"/>
                <w:numId w:val="7"/>
              </w:numPr>
              <w:ind w:left="1247" w:hanging="113"/>
              <w:rPr>
                <w:sz w:val="18"/>
                <w:szCs w:val="18"/>
              </w:rPr>
            </w:pPr>
            <w:r w:rsidRPr="009E1644">
              <w:rPr>
                <w:sz w:val="18"/>
                <w:szCs w:val="18"/>
              </w:rPr>
              <w:t>Improve the uptake of participatory scenario development outcomes in modelling and analysis</w:t>
            </w:r>
          </w:p>
          <w:p w14:paraId="499B11F1" w14:textId="409C3E4A" w:rsidR="00095732" w:rsidRPr="009E1644" w:rsidRDefault="00095732" w:rsidP="00532254">
            <w:pPr>
              <w:pStyle w:val="Normal-pool"/>
              <w:keepNext/>
              <w:keepLines/>
              <w:spacing w:before="120" w:after="60"/>
              <w:rPr>
                <w:sz w:val="18"/>
                <w:szCs w:val="18"/>
              </w:rPr>
            </w:pPr>
            <w:r w:rsidRPr="009E1644">
              <w:rPr>
                <w:sz w:val="18"/>
                <w:szCs w:val="18"/>
              </w:rPr>
              <w:t xml:space="preserve">Presentation of progress </w:t>
            </w:r>
            <w:r w:rsidR="00AA768A" w:rsidRPr="009E1644">
              <w:rPr>
                <w:sz w:val="18"/>
                <w:szCs w:val="18"/>
              </w:rPr>
              <w:t>in</w:t>
            </w:r>
            <w:r w:rsidRPr="009E1644">
              <w:rPr>
                <w:sz w:val="18"/>
                <w:szCs w:val="18"/>
              </w:rPr>
              <w:t xml:space="preserve"> the work of the </w:t>
            </w:r>
            <w:r w:rsidR="00AA768A" w:rsidRPr="009E1644">
              <w:rPr>
                <w:sz w:val="18"/>
                <w:szCs w:val="18"/>
              </w:rPr>
              <w:t>task force to the Plenary at its</w:t>
            </w:r>
            <w:r w:rsidRPr="009E1644">
              <w:rPr>
                <w:sz w:val="18"/>
                <w:szCs w:val="18"/>
              </w:rPr>
              <w:t xml:space="preserve"> 8</w:t>
            </w:r>
            <w:r w:rsidRPr="009E1644">
              <w:rPr>
                <w:sz w:val="18"/>
                <w:szCs w:val="18"/>
                <w:vertAlign w:val="superscript"/>
              </w:rPr>
              <w:t>th</w:t>
            </w:r>
            <w:r w:rsidRPr="009E1644">
              <w:rPr>
                <w:sz w:val="18"/>
                <w:szCs w:val="18"/>
              </w:rPr>
              <w:t xml:space="preserve"> session</w:t>
            </w:r>
          </w:p>
        </w:tc>
      </w:tr>
    </w:tbl>
    <w:p w14:paraId="67BC3EA7" w14:textId="6A1144F3" w:rsidR="00FB6E86" w:rsidRPr="009E1644" w:rsidRDefault="00FB6E86" w:rsidP="00010790">
      <w:pPr>
        <w:pStyle w:val="Normal-pool"/>
      </w:pPr>
    </w:p>
    <w:p w14:paraId="7B5372B3" w14:textId="77777777" w:rsidR="003507FE" w:rsidRPr="009E1644" w:rsidRDefault="003507FE">
      <w:pPr>
        <w:spacing w:after="0" w:line="240" w:lineRule="auto"/>
        <w:rPr>
          <w:lang w:val="en-GB"/>
        </w:rPr>
      </w:pPr>
      <w:r w:rsidRPr="009E1644">
        <w:rPr>
          <w:lang w:val="en-GB"/>
        </w:rPr>
        <w:br w:type="page"/>
      </w:r>
    </w:p>
    <w:p w14:paraId="1A97D9C9" w14:textId="77777777" w:rsidR="00AA768A" w:rsidRPr="009E1644" w:rsidRDefault="009B7AEE" w:rsidP="00010790">
      <w:pPr>
        <w:pStyle w:val="Heading2"/>
        <w:rPr>
          <w:sz w:val="24"/>
          <w:szCs w:val="24"/>
        </w:rPr>
      </w:pPr>
      <w:bookmarkStart w:id="5" w:name="_Toc526858256"/>
      <w:r w:rsidRPr="009E1644">
        <w:rPr>
          <w:sz w:val="24"/>
          <w:szCs w:val="24"/>
        </w:rPr>
        <w:t>Appendix</w:t>
      </w:r>
      <w:r w:rsidR="003507FE" w:rsidRPr="009E1644">
        <w:rPr>
          <w:sz w:val="24"/>
          <w:szCs w:val="24"/>
        </w:rPr>
        <w:t xml:space="preserve"> I</w:t>
      </w:r>
    </w:p>
    <w:p w14:paraId="4B6426C0" w14:textId="450E790B" w:rsidR="003507FE" w:rsidRPr="009E1644" w:rsidRDefault="00671495" w:rsidP="00010790">
      <w:pPr>
        <w:pStyle w:val="ZZAnxtitle"/>
      </w:pPr>
      <w:r w:rsidRPr="009E1644">
        <w:t>Proposed w</w:t>
      </w:r>
      <w:r w:rsidR="000566F8" w:rsidRPr="009E1644">
        <w:t xml:space="preserve">ork </w:t>
      </w:r>
      <w:r w:rsidR="003507FE" w:rsidRPr="009E1644">
        <w:t xml:space="preserve">plan </w:t>
      </w:r>
      <w:r w:rsidRPr="009E1644">
        <w:t xml:space="preserve">of the </w:t>
      </w:r>
      <w:r w:rsidR="00C8525A" w:rsidRPr="009E1644">
        <w:t xml:space="preserve">IPBES </w:t>
      </w:r>
      <w:r w:rsidRPr="009E1644">
        <w:t xml:space="preserve">task force </w:t>
      </w:r>
      <w:r w:rsidR="003507FE" w:rsidRPr="009E1644">
        <w:t>on scenarios and models of biodiversity and ecosystems services</w:t>
      </w:r>
      <w:bookmarkEnd w:id="5"/>
    </w:p>
    <w:p w14:paraId="756BA82A" w14:textId="574684DE" w:rsidR="00AA768A" w:rsidRPr="009E1644" w:rsidRDefault="003507FE" w:rsidP="00AA768A">
      <w:pPr>
        <w:pStyle w:val="Normalnumber"/>
        <w:numPr>
          <w:ilvl w:val="0"/>
          <w:numId w:val="0"/>
        </w:numPr>
        <w:spacing w:after="240"/>
        <w:ind w:left="1253"/>
      </w:pPr>
      <w:r w:rsidRPr="009E1644">
        <w:t xml:space="preserve">Building on the activities </w:t>
      </w:r>
      <w:r w:rsidR="00671495" w:rsidRPr="009E1644">
        <w:t>from</w:t>
      </w:r>
      <w:r w:rsidRPr="009E1644">
        <w:t xml:space="preserve"> the work plan</w:t>
      </w:r>
      <w:r w:rsidR="00C8525A" w:rsidRPr="009E1644">
        <w:t xml:space="preserve"> </w:t>
      </w:r>
      <w:r w:rsidR="00671495" w:rsidRPr="009E1644">
        <w:t xml:space="preserve">of the expert group </w:t>
      </w:r>
      <w:r w:rsidR="00C8525A" w:rsidRPr="009E1644">
        <w:t>on scenarios and models</w:t>
      </w:r>
      <w:r w:rsidRPr="009E1644">
        <w:t xml:space="preserve"> as </w:t>
      </w:r>
      <w:r w:rsidR="00671495" w:rsidRPr="009E1644">
        <w:t xml:space="preserve">formulated </w:t>
      </w:r>
      <w:r w:rsidRPr="009E1644">
        <w:t xml:space="preserve">during the expert meeting in </w:t>
      </w:r>
      <w:r w:rsidR="00C8525A" w:rsidRPr="009E1644">
        <w:t xml:space="preserve">2018 in </w:t>
      </w:r>
      <w:r w:rsidRPr="009E1644">
        <w:t>The Hague</w:t>
      </w:r>
      <w:r w:rsidR="0094177C" w:rsidRPr="009E1644">
        <w:t>,</w:t>
      </w:r>
      <w:r w:rsidR="00671495" w:rsidRPr="009E1644">
        <w:t xml:space="preserve"> the proposed plan lays out the activities foreseen for the task force </w:t>
      </w:r>
      <w:r w:rsidR="0094177C" w:rsidRPr="009E1644">
        <w:t xml:space="preserve">on </w:t>
      </w:r>
      <w:r w:rsidR="00671495" w:rsidRPr="009E1644">
        <w:t xml:space="preserve">scenarios and models as part of </w:t>
      </w:r>
      <w:r w:rsidR="0094177C" w:rsidRPr="009E1644">
        <w:t xml:space="preserve">the </w:t>
      </w:r>
      <w:r w:rsidR="00671495" w:rsidRPr="009E1644">
        <w:t>IPBES work</w:t>
      </w:r>
      <w:r w:rsidR="004A67E5" w:rsidRPr="009E1644">
        <w:t xml:space="preserve"> </w:t>
      </w:r>
      <w:r w:rsidR="00671495" w:rsidRPr="009E1644">
        <w:t>programme</w:t>
      </w:r>
      <w:r w:rsidR="00A43F4B" w:rsidRPr="009E1644">
        <w:t xml:space="preserve"> up to 2030</w:t>
      </w:r>
      <w:r w:rsidRPr="009E1644">
        <w:t xml:space="preserve">. The plan </w:t>
      </w:r>
      <w:r w:rsidR="0094177C" w:rsidRPr="009E1644">
        <w:t xml:space="preserve">consists </w:t>
      </w:r>
      <w:r w:rsidRPr="009E1644">
        <w:t xml:space="preserve">of several tasks allocated to four working groups, which </w:t>
      </w:r>
      <w:r w:rsidR="00671495" w:rsidRPr="009E1644">
        <w:t>are</w:t>
      </w:r>
      <w:r w:rsidR="00C8525A" w:rsidRPr="009E1644">
        <w:t xml:space="preserve"> envisaged to </w:t>
      </w:r>
      <w:r w:rsidRPr="009E1644">
        <w:t xml:space="preserve">be complemented by additional </w:t>
      </w:r>
      <w:r w:rsidR="00671495" w:rsidRPr="009E1644">
        <w:t xml:space="preserve">tasks </w:t>
      </w:r>
      <w:r w:rsidRPr="009E1644">
        <w:t xml:space="preserve">in </w:t>
      </w:r>
      <w:r w:rsidR="00C8525A" w:rsidRPr="009E1644">
        <w:t xml:space="preserve">the </w:t>
      </w:r>
      <w:r w:rsidRPr="009E1644">
        <w:t>future</w:t>
      </w:r>
      <w:r w:rsidR="00C8525A" w:rsidRPr="009E1644">
        <w:t xml:space="preserve">, as </w:t>
      </w:r>
      <w:r w:rsidR="00671495" w:rsidRPr="009E1644">
        <w:t xml:space="preserve">requested or </w:t>
      </w:r>
      <w:r w:rsidR="00C8525A" w:rsidRPr="009E1644">
        <w:t>needed</w:t>
      </w:r>
      <w:r w:rsidRPr="009E1644">
        <w:t xml:space="preserve">. </w:t>
      </w:r>
      <w:r w:rsidR="00C8525A" w:rsidRPr="009E1644">
        <w:t xml:space="preserve"> </w:t>
      </w:r>
    </w:p>
    <w:tbl>
      <w:tblPr>
        <w:tblStyle w:val="TableGrid1"/>
        <w:tblW w:w="8282" w:type="dxa"/>
        <w:tblInd w:w="1253" w:type="dxa"/>
        <w:tblLook w:val="04A0" w:firstRow="1" w:lastRow="0" w:firstColumn="1" w:lastColumn="0" w:noHBand="0" w:noVBand="1"/>
      </w:tblPr>
      <w:tblGrid>
        <w:gridCol w:w="6752"/>
        <w:gridCol w:w="1530"/>
      </w:tblGrid>
      <w:tr w:rsidR="003507FE" w:rsidRPr="009E1644" w14:paraId="1874701B" w14:textId="77777777" w:rsidTr="00AA768A">
        <w:trPr>
          <w:trHeight w:val="497"/>
        </w:trPr>
        <w:tc>
          <w:tcPr>
            <w:tcW w:w="8282" w:type="dxa"/>
            <w:gridSpan w:val="2"/>
            <w:shd w:val="clear" w:color="auto" w:fill="FBE4D5"/>
          </w:tcPr>
          <w:p w14:paraId="0D448379" w14:textId="1EF19151" w:rsidR="003507FE" w:rsidRPr="009E1644" w:rsidRDefault="007506ED" w:rsidP="00005961">
            <w:pPr>
              <w:keepNext/>
              <w:keepLines/>
              <w:spacing w:before="120" w:after="120" w:line="240" w:lineRule="auto"/>
              <w:outlineLvl w:val="1"/>
              <w:rPr>
                <w:rFonts w:ascii="Times New Roman" w:eastAsia="Yu Gothic Light" w:hAnsi="Times New Roman"/>
                <w:b/>
                <w:sz w:val="18"/>
                <w:szCs w:val="18"/>
                <w:lang w:val="en-GB"/>
              </w:rPr>
            </w:pPr>
            <w:bookmarkStart w:id="6" w:name="_Toc525291169"/>
            <w:bookmarkStart w:id="7" w:name="_Toc526858257"/>
            <w:r w:rsidRPr="009E1644">
              <w:rPr>
                <w:rFonts w:ascii="Times New Roman" w:eastAsia="Yu Gothic Light" w:hAnsi="Times New Roman"/>
                <w:b/>
                <w:sz w:val="18"/>
                <w:szCs w:val="18"/>
                <w:lang w:val="en-GB"/>
              </w:rPr>
              <w:t>Working Group 1: Overa</w:t>
            </w:r>
            <w:bookmarkEnd w:id="6"/>
            <w:bookmarkEnd w:id="7"/>
            <w:r w:rsidR="009912E7" w:rsidRPr="009E1644">
              <w:rPr>
                <w:rFonts w:ascii="Times New Roman" w:eastAsia="Yu Gothic Light" w:hAnsi="Times New Roman"/>
                <w:b/>
                <w:sz w:val="18"/>
                <w:szCs w:val="18"/>
                <w:lang w:val="en-GB"/>
              </w:rPr>
              <w:t xml:space="preserve">ll coordination of a </w:t>
            </w:r>
            <w:r w:rsidR="00E20B95" w:rsidRPr="009E1644">
              <w:rPr>
                <w:rFonts w:ascii="Times New Roman" w:eastAsia="Yu Gothic Light" w:hAnsi="Times New Roman"/>
                <w:b/>
                <w:sz w:val="18"/>
                <w:szCs w:val="18"/>
                <w:lang w:val="en-GB"/>
              </w:rPr>
              <w:t>long-term</w:t>
            </w:r>
            <w:r w:rsidRPr="009E1644">
              <w:rPr>
                <w:rFonts w:ascii="Times New Roman" w:eastAsia="Yu Gothic Light" w:hAnsi="Times New Roman"/>
                <w:b/>
                <w:sz w:val="18"/>
                <w:szCs w:val="18"/>
                <w:lang w:val="en-GB"/>
              </w:rPr>
              <w:t xml:space="preserve"> research agenda on </w:t>
            </w:r>
            <w:r w:rsidR="00476003" w:rsidRPr="009E1644">
              <w:rPr>
                <w:rFonts w:ascii="Times New Roman" w:eastAsia="Yu Gothic Light" w:hAnsi="Times New Roman"/>
                <w:b/>
                <w:sz w:val="18"/>
                <w:szCs w:val="18"/>
                <w:lang w:val="en-GB"/>
              </w:rPr>
              <w:t>scenarios for nature and nature’s contributions to people</w:t>
            </w:r>
          </w:p>
        </w:tc>
      </w:tr>
      <w:tr w:rsidR="003507FE" w:rsidRPr="009E1644" w14:paraId="7A426BB3" w14:textId="77777777" w:rsidTr="00005961">
        <w:trPr>
          <w:trHeight w:val="406"/>
        </w:trPr>
        <w:tc>
          <w:tcPr>
            <w:tcW w:w="6752" w:type="dxa"/>
            <w:shd w:val="clear" w:color="auto" w:fill="E7E6E6"/>
          </w:tcPr>
          <w:p w14:paraId="45FD89A9" w14:textId="711FACE3"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8" w:name="_Toc525291171"/>
            <w:bookmarkStart w:id="9" w:name="_Toc526858258"/>
            <w:r w:rsidRPr="009E1644">
              <w:rPr>
                <w:rFonts w:ascii="Times New Roman" w:eastAsia="Yu Gothic Light" w:hAnsi="Times New Roman"/>
                <w:b/>
                <w:sz w:val="18"/>
                <w:szCs w:val="18"/>
                <w:lang w:val="en-GB"/>
              </w:rPr>
              <w:t>Task 1.1 Long term research agenda for development of new scenarios</w:t>
            </w:r>
            <w:bookmarkEnd w:id="8"/>
            <w:bookmarkEnd w:id="9"/>
          </w:p>
        </w:tc>
        <w:tc>
          <w:tcPr>
            <w:tcW w:w="1530" w:type="dxa"/>
            <w:shd w:val="clear" w:color="auto" w:fill="E7E6E6"/>
          </w:tcPr>
          <w:p w14:paraId="2A96E7AC" w14:textId="1399798F"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10" w:name="_Toc525291172"/>
            <w:bookmarkStart w:id="11" w:name="_Toc526858259"/>
            <w:r w:rsidRPr="009E1644">
              <w:rPr>
                <w:rFonts w:ascii="Times New Roman" w:eastAsia="Yu Gothic Light" w:hAnsi="Times New Roman"/>
                <w:b/>
                <w:sz w:val="18"/>
                <w:szCs w:val="18"/>
                <w:lang w:val="en-GB"/>
              </w:rPr>
              <w:t xml:space="preserve">Date </w:t>
            </w:r>
            <w:bookmarkEnd w:id="10"/>
            <w:bookmarkEnd w:id="11"/>
          </w:p>
        </w:tc>
      </w:tr>
      <w:tr w:rsidR="003507FE" w:rsidRPr="009E1644" w14:paraId="10255248" w14:textId="77777777" w:rsidTr="00AA768A">
        <w:trPr>
          <w:trHeight w:val="1558"/>
        </w:trPr>
        <w:tc>
          <w:tcPr>
            <w:tcW w:w="6752" w:type="dxa"/>
          </w:tcPr>
          <w:p w14:paraId="25736CBF" w14:textId="4388F27D" w:rsidR="003507FE" w:rsidRPr="009E1644" w:rsidRDefault="003507FE"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Sc</w:t>
            </w:r>
            <w:r w:rsidR="00D85EB6" w:rsidRPr="009E1644">
              <w:rPr>
                <w:rFonts w:ascii="Times New Roman" w:eastAsia="Yu Mincho" w:hAnsi="Times New Roman"/>
                <w:b/>
                <w:sz w:val="18"/>
                <w:szCs w:val="18"/>
                <w:lang w:val="en-GB"/>
              </w:rPr>
              <w:t>ientific paper ‘nature futures f</w:t>
            </w:r>
            <w:r w:rsidRPr="009E1644">
              <w:rPr>
                <w:rFonts w:ascii="Times New Roman" w:eastAsia="Yu Mincho" w:hAnsi="Times New Roman"/>
                <w:b/>
                <w:sz w:val="18"/>
                <w:szCs w:val="18"/>
                <w:lang w:val="en-GB"/>
              </w:rPr>
              <w:t xml:space="preserve">ramework’ (and report) </w:t>
            </w:r>
          </w:p>
          <w:p w14:paraId="4F73320A" w14:textId="2C53351A" w:rsidR="003507FE" w:rsidRPr="009E1644" w:rsidRDefault="003507FE" w:rsidP="00AA768A">
            <w:pPr>
              <w:spacing w:before="120" w:after="120" w:line="240" w:lineRule="auto"/>
              <w:ind w:left="432"/>
              <w:rPr>
                <w:rFonts w:ascii="Times New Roman" w:eastAsia="Yu Mincho" w:hAnsi="Times New Roman"/>
                <w:sz w:val="18"/>
                <w:szCs w:val="18"/>
                <w:lang w:val="en-GB"/>
              </w:rPr>
            </w:pPr>
            <w:r w:rsidRPr="009E1644">
              <w:rPr>
                <w:rFonts w:ascii="Times New Roman" w:eastAsia="Yu Mincho" w:hAnsi="Times New Roman"/>
                <w:sz w:val="18"/>
                <w:szCs w:val="18"/>
                <w:lang w:val="en-GB"/>
              </w:rPr>
              <w:t xml:space="preserve">The </w:t>
            </w:r>
            <w:r w:rsidR="004B273A" w:rsidRPr="009E1644">
              <w:rPr>
                <w:rFonts w:ascii="Times New Roman" w:eastAsia="Yu Mincho" w:hAnsi="Times New Roman"/>
                <w:sz w:val="18"/>
                <w:szCs w:val="18"/>
                <w:lang w:val="en-GB"/>
              </w:rPr>
              <w:t xml:space="preserve">nature futures framework </w:t>
            </w:r>
            <w:r w:rsidR="00A43F4B" w:rsidRPr="009E1644">
              <w:rPr>
                <w:rFonts w:ascii="Times New Roman" w:eastAsia="Yu Mincho" w:hAnsi="Times New Roman"/>
                <w:sz w:val="18"/>
                <w:szCs w:val="18"/>
                <w:lang w:val="en-GB"/>
              </w:rPr>
              <w:t xml:space="preserve">developed during the workshop “Next steps in developing Nature Futures” (June 2018, The Hague) </w:t>
            </w:r>
            <w:r w:rsidR="00C8525A" w:rsidRPr="009E1644">
              <w:rPr>
                <w:rFonts w:ascii="Times New Roman" w:eastAsia="Yu Mincho" w:hAnsi="Times New Roman"/>
                <w:sz w:val="18"/>
                <w:szCs w:val="18"/>
                <w:lang w:val="en-GB"/>
              </w:rPr>
              <w:t xml:space="preserve">would </w:t>
            </w:r>
            <w:r w:rsidRPr="009E1644">
              <w:rPr>
                <w:rFonts w:ascii="Times New Roman" w:eastAsia="Yu Mincho" w:hAnsi="Times New Roman"/>
                <w:sz w:val="18"/>
                <w:szCs w:val="18"/>
                <w:lang w:val="en-GB"/>
              </w:rPr>
              <w:t xml:space="preserve">be laid out in a scientific paper. The paper </w:t>
            </w:r>
            <w:r w:rsidR="00C8525A" w:rsidRPr="009E1644">
              <w:rPr>
                <w:rFonts w:ascii="Times New Roman" w:eastAsia="Yu Mincho" w:hAnsi="Times New Roman"/>
                <w:sz w:val="18"/>
                <w:szCs w:val="18"/>
                <w:lang w:val="en-GB"/>
              </w:rPr>
              <w:t xml:space="preserve">would </w:t>
            </w:r>
            <w:r w:rsidRPr="009E1644">
              <w:rPr>
                <w:rFonts w:ascii="Times New Roman" w:eastAsia="Yu Mincho" w:hAnsi="Times New Roman"/>
                <w:sz w:val="18"/>
                <w:szCs w:val="18"/>
                <w:lang w:val="en-GB"/>
              </w:rPr>
              <w:t xml:space="preserve">introduce the new framework, </w:t>
            </w:r>
            <w:r w:rsidR="00E20B95" w:rsidRPr="009E1644">
              <w:rPr>
                <w:rFonts w:ascii="Times New Roman" w:eastAsia="Yu Mincho" w:hAnsi="Times New Roman"/>
                <w:sz w:val="18"/>
                <w:szCs w:val="18"/>
                <w:lang w:val="en-GB"/>
              </w:rPr>
              <w:t>summarizing</w:t>
            </w:r>
            <w:r w:rsidRPr="009E1644">
              <w:rPr>
                <w:rFonts w:ascii="Times New Roman" w:eastAsia="Yu Mincho" w:hAnsi="Times New Roman"/>
                <w:sz w:val="18"/>
                <w:szCs w:val="18"/>
                <w:lang w:val="en-GB"/>
              </w:rPr>
              <w:t xml:space="preserve"> how the expert group arrived at this framework using the visions from the workshop</w:t>
            </w:r>
            <w:r w:rsidR="00A43F4B" w:rsidRPr="009E1644">
              <w:rPr>
                <w:rFonts w:ascii="Times New Roman" w:eastAsia="Yu Mincho" w:hAnsi="Times New Roman"/>
                <w:sz w:val="18"/>
                <w:szCs w:val="18"/>
                <w:lang w:val="en-GB"/>
              </w:rPr>
              <w:t xml:space="preserve"> held in Auckland, New Zealand, in 2017</w:t>
            </w:r>
            <w:r w:rsidRPr="009E1644">
              <w:rPr>
                <w:rFonts w:ascii="Times New Roman" w:eastAsia="Yu Mincho" w:hAnsi="Times New Roman"/>
                <w:sz w:val="18"/>
                <w:szCs w:val="18"/>
                <w:lang w:val="en-GB"/>
              </w:rPr>
              <w:t>, and briefly discuss key aspects of new research need</w:t>
            </w:r>
            <w:r w:rsidR="00A43F4B" w:rsidRPr="009E1644">
              <w:rPr>
                <w:rFonts w:ascii="Times New Roman" w:eastAsia="Yu Mincho" w:hAnsi="Times New Roman"/>
                <w:sz w:val="18"/>
                <w:szCs w:val="18"/>
                <w:lang w:val="en-GB"/>
              </w:rPr>
              <w:t>ed</w:t>
            </w:r>
            <w:r w:rsidRPr="009E1644">
              <w:rPr>
                <w:rFonts w:ascii="Times New Roman" w:eastAsia="Yu Mincho" w:hAnsi="Times New Roman"/>
                <w:sz w:val="18"/>
                <w:szCs w:val="18"/>
                <w:lang w:val="en-GB"/>
              </w:rPr>
              <w:t xml:space="preserve"> to </w:t>
            </w:r>
            <w:r w:rsidR="00A43F4B" w:rsidRPr="009E1644">
              <w:rPr>
                <w:rFonts w:ascii="Times New Roman" w:eastAsia="Yu Mincho" w:hAnsi="Times New Roman"/>
                <w:sz w:val="18"/>
                <w:szCs w:val="18"/>
                <w:lang w:val="en-GB"/>
              </w:rPr>
              <w:t>support</w:t>
            </w:r>
            <w:r w:rsidRPr="009E1644">
              <w:rPr>
                <w:rFonts w:ascii="Times New Roman" w:eastAsia="Yu Mincho" w:hAnsi="Times New Roman"/>
                <w:sz w:val="18"/>
                <w:szCs w:val="18"/>
                <w:lang w:val="en-GB"/>
              </w:rPr>
              <w:t xml:space="preserve"> this new scenario framework.</w:t>
            </w:r>
          </w:p>
        </w:tc>
        <w:tc>
          <w:tcPr>
            <w:tcW w:w="1530" w:type="dxa"/>
          </w:tcPr>
          <w:p w14:paraId="37DB0975" w14:textId="1196C42D" w:rsidR="003E05AA" w:rsidRPr="009E1644" w:rsidRDefault="003507FE" w:rsidP="003E05AA">
            <w:pPr>
              <w:spacing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Q</w:t>
            </w:r>
            <w:r w:rsidR="00DE543F" w:rsidRPr="009E1644">
              <w:rPr>
                <w:rFonts w:ascii="Times New Roman" w:eastAsia="Yu Mincho" w:hAnsi="Times New Roman"/>
                <w:b/>
                <w:sz w:val="18"/>
                <w:szCs w:val="18"/>
                <w:lang w:val="en-GB"/>
              </w:rPr>
              <w:t>3</w:t>
            </w:r>
            <w:r w:rsidRPr="009E1644">
              <w:rPr>
                <w:rFonts w:ascii="Times New Roman" w:eastAsia="Yu Mincho" w:hAnsi="Times New Roman"/>
                <w:b/>
                <w:sz w:val="18"/>
                <w:szCs w:val="18"/>
                <w:lang w:val="en-GB"/>
              </w:rPr>
              <w:t>/2019</w:t>
            </w:r>
          </w:p>
          <w:p w14:paraId="4C8B1EB1" w14:textId="5DFC262D" w:rsidR="003507FE" w:rsidRPr="009E1644" w:rsidRDefault="003507FE" w:rsidP="003E05AA">
            <w:pPr>
              <w:spacing w:line="240" w:lineRule="auto"/>
              <w:rPr>
                <w:rFonts w:ascii="Times New Roman" w:eastAsia="Yu Mincho" w:hAnsi="Times New Roman"/>
                <w:sz w:val="18"/>
                <w:szCs w:val="18"/>
                <w:lang w:val="en-GB"/>
              </w:rPr>
            </w:pPr>
          </w:p>
        </w:tc>
      </w:tr>
      <w:tr w:rsidR="003507FE" w:rsidRPr="009E1644" w14:paraId="5BAA7B27" w14:textId="77777777" w:rsidTr="00AA768A">
        <w:tc>
          <w:tcPr>
            <w:tcW w:w="6752" w:type="dxa"/>
            <w:shd w:val="clear" w:color="auto" w:fill="E7E6E6"/>
          </w:tcPr>
          <w:p w14:paraId="02D24FCE" w14:textId="5226589C"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12" w:name="_Toc525291173"/>
            <w:bookmarkStart w:id="13" w:name="_Toc526858260"/>
            <w:r w:rsidRPr="009E1644">
              <w:rPr>
                <w:rFonts w:ascii="Times New Roman" w:eastAsia="Yu Gothic Light" w:hAnsi="Times New Roman"/>
                <w:b/>
                <w:sz w:val="18"/>
                <w:szCs w:val="18"/>
                <w:lang w:val="en-GB"/>
              </w:rPr>
              <w:t xml:space="preserve">Task 1.2 Methodology development for </w:t>
            </w:r>
            <w:r w:rsidR="008E2530" w:rsidRPr="009E1644">
              <w:rPr>
                <w:rFonts w:ascii="Times New Roman" w:eastAsia="Yu Gothic Light" w:hAnsi="Times New Roman"/>
                <w:b/>
                <w:sz w:val="18"/>
                <w:szCs w:val="18"/>
                <w:lang w:val="en-GB"/>
              </w:rPr>
              <w:t xml:space="preserve">envisioning futures for </w:t>
            </w:r>
            <w:r w:rsidRPr="009E1644">
              <w:rPr>
                <w:rFonts w:ascii="Times New Roman" w:eastAsia="Yu Gothic Light" w:hAnsi="Times New Roman"/>
                <w:b/>
                <w:sz w:val="18"/>
                <w:szCs w:val="18"/>
                <w:lang w:val="en-GB"/>
              </w:rPr>
              <w:t xml:space="preserve">nature </w:t>
            </w:r>
            <w:r w:rsidR="00524EC8" w:rsidRPr="009E1644">
              <w:rPr>
                <w:rFonts w:ascii="Times New Roman" w:eastAsia="Yu Gothic Light" w:hAnsi="Times New Roman"/>
                <w:b/>
                <w:sz w:val="18"/>
                <w:szCs w:val="18"/>
                <w:lang w:val="en-GB"/>
              </w:rPr>
              <w:t xml:space="preserve">and people </w:t>
            </w:r>
            <w:r w:rsidRPr="009E1644">
              <w:rPr>
                <w:rFonts w:ascii="Times New Roman" w:eastAsia="Yu Gothic Light" w:hAnsi="Times New Roman"/>
                <w:b/>
                <w:sz w:val="18"/>
                <w:szCs w:val="18"/>
                <w:lang w:val="en-GB"/>
              </w:rPr>
              <w:t>with stakeholders</w:t>
            </w:r>
            <w:bookmarkEnd w:id="12"/>
            <w:bookmarkEnd w:id="13"/>
          </w:p>
        </w:tc>
        <w:tc>
          <w:tcPr>
            <w:tcW w:w="1530" w:type="dxa"/>
            <w:shd w:val="clear" w:color="auto" w:fill="E7E6E6"/>
          </w:tcPr>
          <w:p w14:paraId="594C356D" w14:textId="27CDF72C"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14" w:name="_Toc525291174"/>
            <w:bookmarkStart w:id="15" w:name="_Toc526858261"/>
            <w:r w:rsidRPr="009E1644">
              <w:rPr>
                <w:rFonts w:ascii="Times New Roman" w:eastAsia="Yu Gothic Light" w:hAnsi="Times New Roman"/>
                <w:b/>
                <w:sz w:val="18"/>
                <w:szCs w:val="18"/>
                <w:lang w:val="en-GB"/>
              </w:rPr>
              <w:t xml:space="preserve">Date </w:t>
            </w:r>
            <w:bookmarkEnd w:id="14"/>
            <w:bookmarkEnd w:id="15"/>
          </w:p>
        </w:tc>
      </w:tr>
      <w:tr w:rsidR="003507FE" w:rsidRPr="009E1644" w14:paraId="583C958C" w14:textId="77777777" w:rsidTr="00AA768A">
        <w:tc>
          <w:tcPr>
            <w:tcW w:w="6752" w:type="dxa"/>
          </w:tcPr>
          <w:p w14:paraId="36436EDF" w14:textId="43C44003" w:rsidR="003507FE" w:rsidRPr="009E1644" w:rsidRDefault="003507FE"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 xml:space="preserve">Follow up on development of tools used in the </w:t>
            </w:r>
            <w:r w:rsidR="00503CCE" w:rsidRPr="009E1644">
              <w:rPr>
                <w:rFonts w:ascii="Times New Roman" w:eastAsia="Yu Mincho" w:hAnsi="Times New Roman"/>
                <w:b/>
                <w:sz w:val="18"/>
                <w:szCs w:val="18"/>
                <w:lang w:val="en-GB"/>
              </w:rPr>
              <w:t xml:space="preserve">formulation </w:t>
            </w:r>
            <w:r w:rsidRPr="009E1644">
              <w:rPr>
                <w:rFonts w:ascii="Times New Roman" w:eastAsia="Yu Mincho" w:hAnsi="Times New Roman"/>
                <w:b/>
                <w:sz w:val="18"/>
                <w:szCs w:val="18"/>
                <w:lang w:val="en-GB"/>
              </w:rPr>
              <w:t>of visions for nature futures</w:t>
            </w:r>
          </w:p>
          <w:p w14:paraId="4ABAB737" w14:textId="29FCE7BF" w:rsidR="003507FE" w:rsidRPr="009E1644" w:rsidRDefault="003507FE" w:rsidP="00005961">
            <w:pPr>
              <w:spacing w:before="120" w:after="120" w:line="240" w:lineRule="auto"/>
              <w:ind w:left="432"/>
              <w:rPr>
                <w:rFonts w:ascii="Times New Roman" w:eastAsia="Yu Mincho" w:hAnsi="Times New Roman"/>
                <w:sz w:val="18"/>
                <w:szCs w:val="18"/>
                <w:lang w:val="en-GB"/>
              </w:rPr>
            </w:pPr>
            <w:r w:rsidRPr="009E1644">
              <w:rPr>
                <w:rFonts w:ascii="Times New Roman" w:eastAsia="Yu Mincho" w:hAnsi="Times New Roman"/>
                <w:sz w:val="18"/>
                <w:szCs w:val="18"/>
                <w:lang w:val="en-GB"/>
              </w:rPr>
              <w:t xml:space="preserve">Outputs could include </w:t>
            </w:r>
            <w:r w:rsidR="00A43F4B" w:rsidRPr="009E1644">
              <w:rPr>
                <w:rFonts w:ascii="Times New Roman" w:eastAsia="Yu Mincho" w:hAnsi="Times New Roman"/>
                <w:sz w:val="18"/>
                <w:szCs w:val="18"/>
                <w:lang w:val="en-GB"/>
              </w:rPr>
              <w:t xml:space="preserve">a </w:t>
            </w:r>
            <w:r w:rsidRPr="009E1644">
              <w:rPr>
                <w:rFonts w:ascii="Times New Roman" w:eastAsia="Yu Mincho" w:hAnsi="Times New Roman"/>
                <w:sz w:val="18"/>
                <w:szCs w:val="18"/>
                <w:lang w:val="en-GB"/>
              </w:rPr>
              <w:t xml:space="preserve">methodology for developing nature futures visions, mapping the </w:t>
            </w:r>
            <w:r w:rsidR="004B273A" w:rsidRPr="009E1644">
              <w:rPr>
                <w:rFonts w:ascii="Times New Roman" w:eastAsia="Yu Mincho" w:hAnsi="Times New Roman"/>
                <w:sz w:val="18"/>
                <w:szCs w:val="18"/>
                <w:lang w:val="en-GB"/>
              </w:rPr>
              <w:t xml:space="preserve">nature futures framework </w:t>
            </w:r>
            <w:r w:rsidRPr="009E1644">
              <w:rPr>
                <w:rFonts w:ascii="Times New Roman" w:eastAsia="Yu Mincho" w:hAnsi="Times New Roman"/>
                <w:sz w:val="18"/>
                <w:szCs w:val="18"/>
                <w:lang w:val="en-GB"/>
              </w:rPr>
              <w:t>into a global scenarios process, and the outcomes of the policy options survey</w:t>
            </w:r>
            <w:r w:rsidR="00A43F4B" w:rsidRPr="009E1644">
              <w:rPr>
                <w:rFonts w:ascii="Times New Roman" w:eastAsia="Yu Mincho" w:hAnsi="Times New Roman"/>
                <w:sz w:val="18"/>
                <w:szCs w:val="18"/>
                <w:lang w:val="en-GB"/>
              </w:rPr>
              <w:t xml:space="preserve"> conducted by the expert group in 2018</w:t>
            </w:r>
            <w:r w:rsidRPr="009E1644">
              <w:rPr>
                <w:rFonts w:ascii="Times New Roman" w:eastAsia="Yu Mincho" w:hAnsi="Times New Roman"/>
                <w:sz w:val="18"/>
                <w:szCs w:val="18"/>
                <w:lang w:val="en-GB"/>
              </w:rPr>
              <w:t xml:space="preserve">. </w:t>
            </w:r>
          </w:p>
        </w:tc>
        <w:tc>
          <w:tcPr>
            <w:tcW w:w="1530" w:type="dxa"/>
          </w:tcPr>
          <w:p w14:paraId="7813A626" w14:textId="40025F60" w:rsidR="003507FE" w:rsidRPr="009E1644" w:rsidRDefault="00503CCE" w:rsidP="009F6A85">
            <w:pPr>
              <w:spacing w:after="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2019</w:t>
            </w:r>
            <w:r w:rsidR="00661F2F" w:rsidRPr="009E1644">
              <w:rPr>
                <w:rFonts w:ascii="Times New Roman" w:eastAsia="Yu Mincho" w:hAnsi="Times New Roman"/>
                <w:b/>
                <w:sz w:val="18"/>
                <w:szCs w:val="18"/>
                <w:lang w:val="en-GB"/>
              </w:rPr>
              <w:t xml:space="preserve"> onwards</w:t>
            </w:r>
          </w:p>
          <w:p w14:paraId="24D9F299" w14:textId="3611BFDD" w:rsidR="003507FE" w:rsidRPr="009E1644" w:rsidRDefault="003507FE" w:rsidP="009F6A85">
            <w:pPr>
              <w:spacing w:after="0" w:line="240" w:lineRule="auto"/>
              <w:rPr>
                <w:rFonts w:ascii="Times New Roman" w:eastAsia="Yu Mincho" w:hAnsi="Times New Roman"/>
                <w:sz w:val="18"/>
                <w:szCs w:val="18"/>
                <w:lang w:val="en-GB"/>
              </w:rPr>
            </w:pPr>
          </w:p>
        </w:tc>
      </w:tr>
      <w:tr w:rsidR="003507FE" w:rsidRPr="009E1644" w14:paraId="7B188747" w14:textId="77777777" w:rsidTr="00005961">
        <w:tc>
          <w:tcPr>
            <w:tcW w:w="6752" w:type="dxa"/>
            <w:tcBorders>
              <w:bottom w:val="single" w:sz="4" w:space="0" w:color="auto"/>
            </w:tcBorders>
            <w:shd w:val="clear" w:color="auto" w:fill="E7E6E6"/>
          </w:tcPr>
          <w:p w14:paraId="2741FE04" w14:textId="3F8D7309"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16" w:name="_Toc525291175"/>
            <w:bookmarkStart w:id="17" w:name="_Toc526858262"/>
            <w:r w:rsidRPr="009E1644">
              <w:rPr>
                <w:rFonts w:ascii="Times New Roman" w:eastAsia="Yu Gothic Light" w:hAnsi="Times New Roman"/>
                <w:b/>
                <w:sz w:val="18"/>
                <w:szCs w:val="18"/>
                <w:lang w:val="en-GB"/>
              </w:rPr>
              <w:t xml:space="preserve">Task 1.3 Conceptual development to support </w:t>
            </w:r>
            <w:r w:rsidR="008E2530" w:rsidRPr="009E1644">
              <w:rPr>
                <w:rFonts w:ascii="Times New Roman" w:eastAsia="Yu Gothic Light" w:hAnsi="Times New Roman"/>
                <w:b/>
                <w:sz w:val="18"/>
                <w:szCs w:val="18"/>
                <w:lang w:val="en-GB"/>
              </w:rPr>
              <w:t xml:space="preserve">the </w:t>
            </w:r>
            <w:r w:rsidR="004B273A" w:rsidRPr="009E1644">
              <w:rPr>
                <w:rFonts w:ascii="Times New Roman" w:eastAsia="Yu Gothic Light" w:hAnsi="Times New Roman"/>
                <w:b/>
                <w:sz w:val="18"/>
                <w:szCs w:val="18"/>
                <w:lang w:val="en-GB"/>
              </w:rPr>
              <w:t xml:space="preserve">nature futures </w:t>
            </w:r>
            <w:bookmarkEnd w:id="16"/>
            <w:bookmarkEnd w:id="17"/>
            <w:r w:rsidR="00C8525A" w:rsidRPr="009E1644">
              <w:rPr>
                <w:rFonts w:ascii="Times New Roman" w:eastAsia="Yu Gothic Light" w:hAnsi="Times New Roman"/>
                <w:b/>
                <w:sz w:val="18"/>
                <w:szCs w:val="18"/>
                <w:lang w:val="en-GB"/>
              </w:rPr>
              <w:t>framework</w:t>
            </w:r>
          </w:p>
        </w:tc>
        <w:tc>
          <w:tcPr>
            <w:tcW w:w="1530" w:type="dxa"/>
            <w:tcBorders>
              <w:bottom w:val="single" w:sz="4" w:space="0" w:color="auto"/>
            </w:tcBorders>
            <w:shd w:val="clear" w:color="auto" w:fill="E7E6E6"/>
          </w:tcPr>
          <w:p w14:paraId="29BAB758" w14:textId="63D61AC6"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18" w:name="_Toc525291176"/>
            <w:bookmarkStart w:id="19" w:name="_Toc526858263"/>
            <w:r w:rsidRPr="009E1644">
              <w:rPr>
                <w:rFonts w:ascii="Times New Roman" w:eastAsia="Yu Gothic Light" w:hAnsi="Times New Roman"/>
                <w:b/>
                <w:sz w:val="18"/>
                <w:szCs w:val="18"/>
                <w:lang w:val="en-GB"/>
              </w:rPr>
              <w:t xml:space="preserve">Date </w:t>
            </w:r>
            <w:bookmarkEnd w:id="18"/>
            <w:bookmarkEnd w:id="19"/>
          </w:p>
        </w:tc>
      </w:tr>
      <w:tr w:rsidR="003507FE" w:rsidRPr="009E1644" w14:paraId="39ECD6C5" w14:textId="77777777" w:rsidTr="00005961">
        <w:trPr>
          <w:trHeight w:val="1306"/>
        </w:trPr>
        <w:tc>
          <w:tcPr>
            <w:tcW w:w="6752" w:type="dxa"/>
            <w:tcBorders>
              <w:bottom w:val="nil"/>
            </w:tcBorders>
          </w:tcPr>
          <w:p w14:paraId="770AA69A" w14:textId="03FF3166" w:rsidR="003507FE" w:rsidRPr="009E1644" w:rsidRDefault="00E20B95"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Conceptualization</w:t>
            </w:r>
            <w:r w:rsidR="003507FE" w:rsidRPr="009E1644">
              <w:rPr>
                <w:rFonts w:ascii="Times New Roman" w:eastAsia="Yu Mincho" w:hAnsi="Times New Roman"/>
                <w:b/>
                <w:sz w:val="18"/>
                <w:szCs w:val="18"/>
                <w:lang w:val="en-GB"/>
              </w:rPr>
              <w:t xml:space="preserve"> of </w:t>
            </w:r>
            <w:r w:rsidR="00503CCE" w:rsidRPr="009E1644">
              <w:rPr>
                <w:rFonts w:ascii="Times New Roman" w:eastAsia="Yu Mincho" w:hAnsi="Times New Roman"/>
                <w:b/>
                <w:sz w:val="18"/>
                <w:szCs w:val="18"/>
                <w:lang w:val="en-GB"/>
              </w:rPr>
              <w:t xml:space="preserve">the nature futures </w:t>
            </w:r>
            <w:r w:rsidR="003507FE" w:rsidRPr="009E1644">
              <w:rPr>
                <w:rFonts w:ascii="Times New Roman" w:eastAsia="Yu Mincho" w:hAnsi="Times New Roman"/>
                <w:b/>
                <w:sz w:val="18"/>
                <w:szCs w:val="18"/>
                <w:lang w:val="en-GB"/>
              </w:rPr>
              <w:t>framework</w:t>
            </w:r>
          </w:p>
          <w:p w14:paraId="62032432" w14:textId="66535EE7" w:rsidR="003507FE" w:rsidRPr="009E1644" w:rsidRDefault="003507FE" w:rsidP="00005961">
            <w:pPr>
              <w:spacing w:before="120" w:after="120" w:line="240" w:lineRule="auto"/>
              <w:ind w:left="432"/>
              <w:rPr>
                <w:rFonts w:ascii="Times New Roman" w:eastAsia="Yu Mincho" w:hAnsi="Times New Roman"/>
                <w:sz w:val="18"/>
                <w:szCs w:val="18"/>
                <w:lang w:val="en-GB"/>
              </w:rPr>
            </w:pPr>
            <w:r w:rsidRPr="009E1644">
              <w:rPr>
                <w:rFonts w:ascii="Times New Roman" w:eastAsia="Yu Mincho" w:hAnsi="Times New Roman"/>
                <w:sz w:val="18"/>
                <w:szCs w:val="18"/>
                <w:lang w:val="en-GB"/>
              </w:rPr>
              <w:t xml:space="preserve">The </w:t>
            </w:r>
            <w:r w:rsidR="00503CCE" w:rsidRPr="009E1644">
              <w:rPr>
                <w:rFonts w:ascii="Times New Roman" w:eastAsia="Yu Mincho" w:hAnsi="Times New Roman"/>
                <w:sz w:val="18"/>
                <w:szCs w:val="18"/>
                <w:lang w:val="en-GB"/>
              </w:rPr>
              <w:t>task force</w:t>
            </w:r>
            <w:r w:rsidRPr="009E1644">
              <w:rPr>
                <w:rFonts w:ascii="Times New Roman" w:eastAsia="Yu Mincho" w:hAnsi="Times New Roman"/>
                <w:sz w:val="18"/>
                <w:szCs w:val="18"/>
                <w:lang w:val="en-GB"/>
              </w:rPr>
              <w:t xml:space="preserve"> </w:t>
            </w:r>
            <w:r w:rsidR="00C8525A" w:rsidRPr="009E1644">
              <w:rPr>
                <w:rFonts w:ascii="Times New Roman" w:eastAsia="Yu Mincho" w:hAnsi="Times New Roman"/>
                <w:sz w:val="18"/>
                <w:szCs w:val="18"/>
                <w:lang w:val="en-GB"/>
              </w:rPr>
              <w:t xml:space="preserve">would </w:t>
            </w:r>
            <w:r w:rsidRPr="009E1644">
              <w:rPr>
                <w:rFonts w:ascii="Times New Roman" w:eastAsia="Yu Mincho" w:hAnsi="Times New Roman"/>
                <w:sz w:val="18"/>
                <w:szCs w:val="18"/>
                <w:lang w:val="en-GB"/>
              </w:rPr>
              <w:t>address how th</w:t>
            </w:r>
            <w:r w:rsidR="00C8525A" w:rsidRPr="009E1644">
              <w:rPr>
                <w:rFonts w:ascii="Times New Roman" w:eastAsia="Yu Mincho" w:hAnsi="Times New Roman"/>
                <w:sz w:val="18"/>
                <w:szCs w:val="18"/>
                <w:lang w:val="en-GB"/>
              </w:rPr>
              <w:t>e</w:t>
            </w:r>
            <w:r w:rsidRPr="009E1644">
              <w:rPr>
                <w:rFonts w:ascii="Times New Roman" w:eastAsia="Yu Mincho" w:hAnsi="Times New Roman"/>
                <w:sz w:val="18"/>
                <w:szCs w:val="18"/>
                <w:lang w:val="en-GB"/>
              </w:rPr>
              <w:t xml:space="preserve"> </w:t>
            </w:r>
            <w:r w:rsidR="004B273A" w:rsidRPr="009E1644">
              <w:rPr>
                <w:rFonts w:ascii="Times New Roman" w:eastAsia="Yu Mincho" w:hAnsi="Times New Roman"/>
                <w:sz w:val="18"/>
                <w:szCs w:val="18"/>
                <w:lang w:val="en-GB"/>
              </w:rPr>
              <w:t>n</w:t>
            </w:r>
            <w:r w:rsidR="00C8525A" w:rsidRPr="009E1644">
              <w:rPr>
                <w:rFonts w:ascii="Times New Roman" w:eastAsia="Yu Mincho" w:hAnsi="Times New Roman"/>
                <w:sz w:val="18"/>
                <w:szCs w:val="18"/>
                <w:lang w:val="en-GB"/>
              </w:rPr>
              <w:t xml:space="preserve">ature </w:t>
            </w:r>
            <w:r w:rsidR="004B273A" w:rsidRPr="009E1644">
              <w:rPr>
                <w:rFonts w:ascii="Times New Roman" w:eastAsia="Yu Mincho" w:hAnsi="Times New Roman"/>
                <w:sz w:val="18"/>
                <w:szCs w:val="18"/>
                <w:lang w:val="en-GB"/>
              </w:rPr>
              <w:t>f</w:t>
            </w:r>
            <w:r w:rsidR="00C8525A" w:rsidRPr="009E1644">
              <w:rPr>
                <w:rFonts w:ascii="Times New Roman" w:eastAsia="Yu Mincho" w:hAnsi="Times New Roman"/>
                <w:sz w:val="18"/>
                <w:szCs w:val="18"/>
                <w:lang w:val="en-GB"/>
              </w:rPr>
              <w:t xml:space="preserve">utures </w:t>
            </w:r>
            <w:r w:rsidRPr="009E1644">
              <w:rPr>
                <w:rFonts w:ascii="Times New Roman" w:eastAsia="Yu Mincho" w:hAnsi="Times New Roman"/>
                <w:sz w:val="18"/>
                <w:szCs w:val="18"/>
                <w:lang w:val="en-GB"/>
              </w:rPr>
              <w:t>framework connects across scales</w:t>
            </w:r>
            <w:r w:rsidR="00C8525A" w:rsidRPr="009E1644">
              <w:rPr>
                <w:rFonts w:ascii="Times New Roman" w:eastAsia="Yu Mincho" w:hAnsi="Times New Roman"/>
                <w:sz w:val="18"/>
                <w:szCs w:val="18"/>
                <w:lang w:val="en-GB"/>
              </w:rPr>
              <w:t xml:space="preserve"> (</w:t>
            </w:r>
            <w:r w:rsidRPr="009E1644">
              <w:rPr>
                <w:rFonts w:ascii="Times New Roman" w:eastAsia="Yu Mincho" w:hAnsi="Times New Roman"/>
                <w:sz w:val="18"/>
                <w:szCs w:val="18"/>
                <w:lang w:val="en-GB"/>
              </w:rPr>
              <w:t>multi-scale functionality</w:t>
            </w:r>
            <w:r w:rsidR="00C8525A" w:rsidRPr="009E1644">
              <w:rPr>
                <w:rFonts w:ascii="Times New Roman" w:eastAsia="Yu Mincho" w:hAnsi="Times New Roman"/>
                <w:sz w:val="18"/>
                <w:szCs w:val="18"/>
                <w:lang w:val="en-GB"/>
              </w:rPr>
              <w:t>)</w:t>
            </w:r>
            <w:r w:rsidRPr="009E1644">
              <w:rPr>
                <w:rFonts w:ascii="Times New Roman" w:eastAsia="Yu Mincho" w:hAnsi="Times New Roman"/>
                <w:sz w:val="18"/>
                <w:szCs w:val="18"/>
                <w:lang w:val="en-GB"/>
              </w:rPr>
              <w:t xml:space="preserve"> and how it </w:t>
            </w:r>
            <w:r w:rsidR="00C8525A" w:rsidRPr="009E1644">
              <w:rPr>
                <w:rFonts w:ascii="Times New Roman" w:eastAsia="Yu Mincho" w:hAnsi="Times New Roman"/>
                <w:sz w:val="18"/>
                <w:szCs w:val="18"/>
                <w:lang w:val="en-GB"/>
              </w:rPr>
              <w:t xml:space="preserve">could </w:t>
            </w:r>
            <w:r w:rsidRPr="009E1644">
              <w:rPr>
                <w:rFonts w:ascii="Times New Roman" w:eastAsia="Yu Mincho" w:hAnsi="Times New Roman"/>
                <w:sz w:val="18"/>
                <w:szCs w:val="18"/>
                <w:lang w:val="en-GB"/>
              </w:rPr>
              <w:t>be used to develop scenarios</w:t>
            </w:r>
            <w:r w:rsidR="00C8525A" w:rsidRPr="009E1644">
              <w:rPr>
                <w:rFonts w:ascii="Times New Roman" w:eastAsia="Yu Mincho" w:hAnsi="Times New Roman"/>
                <w:sz w:val="18"/>
                <w:szCs w:val="18"/>
                <w:lang w:val="en-GB"/>
              </w:rPr>
              <w:t xml:space="preserve"> and </w:t>
            </w:r>
            <w:r w:rsidRPr="009E1644">
              <w:rPr>
                <w:rFonts w:ascii="Times New Roman" w:eastAsia="Yu Mincho" w:hAnsi="Times New Roman"/>
                <w:sz w:val="18"/>
                <w:szCs w:val="18"/>
                <w:lang w:val="en-GB"/>
              </w:rPr>
              <w:t xml:space="preserve">integrate interventions (proof of concept). The </w:t>
            </w:r>
            <w:r w:rsidR="00503CCE" w:rsidRPr="009E1644">
              <w:rPr>
                <w:rFonts w:ascii="Times New Roman" w:eastAsia="Yu Mincho" w:hAnsi="Times New Roman"/>
                <w:sz w:val="18"/>
                <w:szCs w:val="18"/>
                <w:lang w:val="en-GB"/>
              </w:rPr>
              <w:t xml:space="preserve">task force </w:t>
            </w:r>
            <w:r w:rsidR="00C8525A" w:rsidRPr="009E1644">
              <w:rPr>
                <w:rFonts w:ascii="Times New Roman" w:eastAsia="Yu Mincho" w:hAnsi="Times New Roman"/>
                <w:sz w:val="18"/>
                <w:szCs w:val="18"/>
                <w:lang w:val="en-GB"/>
              </w:rPr>
              <w:t xml:space="preserve">would </w:t>
            </w:r>
            <w:r w:rsidRPr="009E1644">
              <w:rPr>
                <w:rFonts w:ascii="Times New Roman" w:eastAsia="Yu Mincho" w:hAnsi="Times New Roman"/>
                <w:sz w:val="18"/>
                <w:szCs w:val="18"/>
                <w:lang w:val="en-GB"/>
              </w:rPr>
              <w:t xml:space="preserve">also set out how to </w:t>
            </w:r>
            <w:r w:rsidR="00A43F4B" w:rsidRPr="009E1644">
              <w:rPr>
                <w:rFonts w:ascii="Times New Roman" w:eastAsia="Yu Mincho" w:hAnsi="Times New Roman"/>
                <w:sz w:val="18"/>
                <w:szCs w:val="18"/>
                <w:lang w:val="en-GB"/>
              </w:rPr>
              <w:t xml:space="preserve">transition </w:t>
            </w:r>
            <w:r w:rsidRPr="009E1644">
              <w:rPr>
                <w:rFonts w:ascii="Times New Roman" w:eastAsia="Yu Mincho" w:hAnsi="Times New Roman"/>
                <w:sz w:val="18"/>
                <w:szCs w:val="18"/>
                <w:lang w:val="en-GB"/>
              </w:rPr>
              <w:t xml:space="preserve">from scenarios to using </w:t>
            </w:r>
            <w:r w:rsidR="00C8525A" w:rsidRPr="009E1644">
              <w:rPr>
                <w:rFonts w:ascii="Times New Roman" w:eastAsia="Yu Mincho" w:hAnsi="Times New Roman"/>
                <w:sz w:val="18"/>
                <w:szCs w:val="18"/>
                <w:lang w:val="en-GB"/>
              </w:rPr>
              <w:t xml:space="preserve">the </w:t>
            </w:r>
            <w:r w:rsidR="004B273A" w:rsidRPr="009E1644">
              <w:rPr>
                <w:rFonts w:ascii="Times New Roman" w:eastAsia="Yu Mincho" w:hAnsi="Times New Roman"/>
                <w:sz w:val="18"/>
                <w:szCs w:val="18"/>
                <w:lang w:val="en-GB"/>
              </w:rPr>
              <w:t xml:space="preserve">nature futures framework </w:t>
            </w:r>
            <w:r w:rsidRPr="009E1644">
              <w:rPr>
                <w:rFonts w:ascii="Times New Roman" w:eastAsia="Yu Mincho" w:hAnsi="Times New Roman"/>
                <w:sz w:val="18"/>
                <w:szCs w:val="18"/>
                <w:lang w:val="en-GB"/>
              </w:rPr>
              <w:t>to inform nature assessments.</w:t>
            </w:r>
          </w:p>
        </w:tc>
        <w:tc>
          <w:tcPr>
            <w:tcW w:w="1530" w:type="dxa"/>
            <w:tcBorders>
              <w:bottom w:val="nil"/>
            </w:tcBorders>
          </w:tcPr>
          <w:p w14:paraId="5F495D94" w14:textId="6D5E1F71" w:rsidR="00C8525A" w:rsidRPr="009E1644" w:rsidRDefault="003507FE" w:rsidP="00B46DE5">
            <w:pPr>
              <w:spacing w:after="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Q</w:t>
            </w:r>
            <w:r w:rsidR="003A6BA1" w:rsidRPr="009E1644">
              <w:rPr>
                <w:rFonts w:ascii="Times New Roman" w:eastAsia="Yu Mincho" w:hAnsi="Times New Roman"/>
                <w:b/>
                <w:sz w:val="18"/>
                <w:szCs w:val="18"/>
                <w:lang w:val="en-GB"/>
              </w:rPr>
              <w:t>2</w:t>
            </w:r>
            <w:r w:rsidRPr="009E1644">
              <w:rPr>
                <w:rFonts w:ascii="Times New Roman" w:eastAsia="Yu Mincho" w:hAnsi="Times New Roman"/>
                <w:b/>
                <w:sz w:val="18"/>
                <w:szCs w:val="18"/>
                <w:lang w:val="en-GB"/>
              </w:rPr>
              <w:t>/201</w:t>
            </w:r>
            <w:r w:rsidR="00DE543F" w:rsidRPr="009E1644">
              <w:rPr>
                <w:rFonts w:ascii="Times New Roman" w:eastAsia="Yu Mincho" w:hAnsi="Times New Roman"/>
                <w:b/>
                <w:sz w:val="18"/>
                <w:szCs w:val="18"/>
                <w:lang w:val="en-GB"/>
              </w:rPr>
              <w:t>9</w:t>
            </w:r>
            <w:r w:rsidR="00101BE9" w:rsidRPr="009E1644">
              <w:rPr>
                <w:rFonts w:ascii="Times New Roman" w:eastAsia="Yu Mincho" w:hAnsi="Times New Roman"/>
                <w:b/>
                <w:sz w:val="18"/>
                <w:szCs w:val="18"/>
                <w:lang w:val="en-GB"/>
              </w:rPr>
              <w:t xml:space="preserve"> </w:t>
            </w:r>
          </w:p>
          <w:p w14:paraId="7244DF4C" w14:textId="77777777" w:rsidR="004B273A" w:rsidRPr="009E1644" w:rsidRDefault="004B273A" w:rsidP="00B46DE5">
            <w:pPr>
              <w:spacing w:after="0" w:line="240" w:lineRule="auto"/>
              <w:rPr>
                <w:rFonts w:ascii="Times New Roman" w:eastAsia="Yu Mincho" w:hAnsi="Times New Roman"/>
                <w:sz w:val="18"/>
                <w:szCs w:val="18"/>
                <w:lang w:val="en-GB"/>
              </w:rPr>
            </w:pPr>
          </w:p>
          <w:p w14:paraId="3F444A8D" w14:textId="6FFFF727" w:rsidR="009E103A" w:rsidRPr="009E1644" w:rsidRDefault="009E103A" w:rsidP="004B273A">
            <w:pPr>
              <w:spacing w:after="0" w:line="240" w:lineRule="auto"/>
              <w:rPr>
                <w:rFonts w:ascii="Times New Roman" w:eastAsia="Yu Mincho" w:hAnsi="Times New Roman"/>
                <w:b/>
                <w:sz w:val="18"/>
                <w:szCs w:val="18"/>
                <w:lang w:val="en-GB"/>
              </w:rPr>
            </w:pPr>
          </w:p>
        </w:tc>
      </w:tr>
      <w:tr w:rsidR="00005961" w:rsidRPr="009E1644" w14:paraId="370C6897" w14:textId="77777777" w:rsidTr="00005961">
        <w:trPr>
          <w:trHeight w:val="1063"/>
        </w:trPr>
        <w:tc>
          <w:tcPr>
            <w:tcW w:w="6752" w:type="dxa"/>
            <w:tcBorders>
              <w:top w:val="nil"/>
              <w:bottom w:val="nil"/>
            </w:tcBorders>
          </w:tcPr>
          <w:p w14:paraId="7DCA15F6" w14:textId="77777777" w:rsidR="00005961" w:rsidRPr="009E1644" w:rsidRDefault="00005961"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 xml:space="preserve">Initial storyline development </w:t>
            </w:r>
          </w:p>
          <w:p w14:paraId="6AFB6555" w14:textId="276CBFED" w:rsidR="00005961" w:rsidRPr="009E1644" w:rsidRDefault="00005961" w:rsidP="00005961">
            <w:pPr>
              <w:spacing w:before="120" w:after="120" w:line="240" w:lineRule="auto"/>
              <w:ind w:left="432"/>
              <w:rPr>
                <w:rFonts w:ascii="Times New Roman" w:eastAsia="Yu Mincho" w:hAnsi="Times New Roman"/>
                <w:sz w:val="18"/>
                <w:szCs w:val="18"/>
                <w:lang w:val="en-GB"/>
              </w:rPr>
            </w:pPr>
            <w:r w:rsidRPr="009E1644">
              <w:rPr>
                <w:rFonts w:ascii="Times New Roman" w:eastAsia="Yu Mincho" w:hAnsi="Times New Roman"/>
                <w:sz w:val="18"/>
                <w:szCs w:val="18"/>
                <w:lang w:val="en-GB"/>
              </w:rPr>
              <w:t xml:space="preserve">Development of storylines on </w:t>
            </w:r>
            <w:r w:rsidR="00A43F4B" w:rsidRPr="009E1644">
              <w:rPr>
                <w:rFonts w:ascii="Times New Roman" w:eastAsia="Yu Mincho" w:hAnsi="Times New Roman"/>
                <w:sz w:val="18"/>
                <w:szCs w:val="18"/>
                <w:lang w:val="en-GB"/>
              </w:rPr>
              <w:t>“</w:t>
            </w:r>
            <w:r w:rsidRPr="009E1644">
              <w:rPr>
                <w:rFonts w:ascii="Times New Roman" w:eastAsia="Yu Mincho" w:hAnsi="Times New Roman"/>
                <w:sz w:val="18"/>
                <w:szCs w:val="18"/>
                <w:lang w:val="en-GB"/>
              </w:rPr>
              <w:t>what the world looks like</w:t>
            </w:r>
            <w:r w:rsidR="00A43F4B" w:rsidRPr="009E1644">
              <w:rPr>
                <w:rFonts w:ascii="Times New Roman" w:eastAsia="Yu Mincho" w:hAnsi="Times New Roman"/>
                <w:sz w:val="18"/>
                <w:szCs w:val="18"/>
                <w:lang w:val="en-GB"/>
              </w:rPr>
              <w:t>”</w:t>
            </w:r>
            <w:r w:rsidRPr="009E1644">
              <w:rPr>
                <w:rFonts w:ascii="Times New Roman" w:eastAsia="Yu Mincho" w:hAnsi="Times New Roman"/>
                <w:sz w:val="18"/>
                <w:szCs w:val="18"/>
                <w:lang w:val="en-GB"/>
              </w:rPr>
              <w:t xml:space="preserve"> within each of the nature perspectives, and policy options and interventions </w:t>
            </w:r>
            <w:r w:rsidR="00A43F4B" w:rsidRPr="009E1644">
              <w:rPr>
                <w:rFonts w:ascii="Times New Roman" w:eastAsia="Yu Mincho" w:hAnsi="Times New Roman"/>
                <w:sz w:val="18"/>
                <w:szCs w:val="18"/>
                <w:lang w:val="en-GB"/>
              </w:rPr>
              <w:t>required for</w:t>
            </w:r>
            <w:r w:rsidRPr="009E1644">
              <w:rPr>
                <w:rFonts w:ascii="Times New Roman" w:eastAsia="Yu Mincho" w:hAnsi="Times New Roman"/>
                <w:sz w:val="18"/>
                <w:szCs w:val="18"/>
                <w:lang w:val="en-GB"/>
              </w:rPr>
              <w:t xml:space="preserve"> these visions.</w:t>
            </w:r>
          </w:p>
        </w:tc>
        <w:tc>
          <w:tcPr>
            <w:tcW w:w="1530" w:type="dxa"/>
            <w:tcBorders>
              <w:top w:val="nil"/>
              <w:bottom w:val="nil"/>
            </w:tcBorders>
          </w:tcPr>
          <w:p w14:paraId="496B5E45" w14:textId="4EE91721" w:rsidR="00005961" w:rsidRPr="009E1644" w:rsidRDefault="00005961" w:rsidP="00C8525A">
            <w:pPr>
              <w:spacing w:after="0" w:line="240" w:lineRule="auto"/>
              <w:rPr>
                <w:rFonts w:ascii="Times New Roman" w:eastAsia="Yu Mincho" w:hAnsi="Times New Roman"/>
                <w:sz w:val="18"/>
                <w:szCs w:val="18"/>
                <w:lang w:val="en-GB"/>
              </w:rPr>
            </w:pPr>
            <w:r w:rsidRPr="009E1644">
              <w:rPr>
                <w:rFonts w:ascii="Times New Roman" w:eastAsia="Yu Mincho" w:hAnsi="Times New Roman"/>
                <w:b/>
                <w:sz w:val="18"/>
                <w:szCs w:val="18"/>
                <w:lang w:val="en-GB"/>
              </w:rPr>
              <w:t xml:space="preserve">Q3/2019 </w:t>
            </w:r>
          </w:p>
        </w:tc>
      </w:tr>
      <w:tr w:rsidR="00005961" w:rsidRPr="009E1644" w14:paraId="09D6E19A" w14:textId="77777777" w:rsidTr="00005961">
        <w:trPr>
          <w:trHeight w:val="595"/>
        </w:trPr>
        <w:tc>
          <w:tcPr>
            <w:tcW w:w="6752" w:type="dxa"/>
            <w:tcBorders>
              <w:top w:val="nil"/>
            </w:tcBorders>
          </w:tcPr>
          <w:p w14:paraId="18E21E10" w14:textId="120BB22E" w:rsidR="00005961" w:rsidRPr="009E1644" w:rsidRDefault="00005961"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 xml:space="preserve">Ongoing </w:t>
            </w:r>
            <w:r w:rsidR="00A43F4B" w:rsidRPr="009E1644">
              <w:rPr>
                <w:rFonts w:ascii="Times New Roman" w:eastAsia="Yu Mincho" w:hAnsi="Times New Roman"/>
                <w:b/>
                <w:sz w:val="18"/>
                <w:szCs w:val="18"/>
                <w:lang w:val="en-GB"/>
              </w:rPr>
              <w:t>exchange</w:t>
            </w:r>
            <w:r w:rsidRPr="009E1644">
              <w:rPr>
                <w:rFonts w:ascii="Times New Roman" w:eastAsia="Yu Mincho" w:hAnsi="Times New Roman"/>
                <w:b/>
                <w:sz w:val="18"/>
                <w:szCs w:val="18"/>
                <w:lang w:val="en-GB"/>
              </w:rPr>
              <w:t xml:space="preserve"> between storyline development, indicator development and models</w:t>
            </w:r>
          </w:p>
        </w:tc>
        <w:tc>
          <w:tcPr>
            <w:tcW w:w="1530" w:type="dxa"/>
            <w:tcBorders>
              <w:top w:val="nil"/>
            </w:tcBorders>
          </w:tcPr>
          <w:p w14:paraId="35A8050F" w14:textId="49B97566" w:rsidR="00005961" w:rsidRPr="009E1644" w:rsidRDefault="00005961" w:rsidP="00C8525A">
            <w:pPr>
              <w:spacing w:after="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2019 and onwards</w:t>
            </w:r>
          </w:p>
        </w:tc>
      </w:tr>
    </w:tbl>
    <w:p w14:paraId="4DF80B59" w14:textId="77777777" w:rsidR="003507FE" w:rsidRPr="009E1644" w:rsidRDefault="003507FE" w:rsidP="003507FE">
      <w:pPr>
        <w:autoSpaceDE w:val="0"/>
        <w:autoSpaceDN w:val="0"/>
        <w:adjustRightInd w:val="0"/>
        <w:jc w:val="both"/>
        <w:rPr>
          <w:rFonts w:ascii="Times New Roman" w:hAnsi="Times New Roman"/>
          <w:lang w:val="en-GB"/>
        </w:rPr>
      </w:pPr>
    </w:p>
    <w:tbl>
      <w:tblPr>
        <w:tblStyle w:val="TableGrid1"/>
        <w:tblW w:w="8280" w:type="dxa"/>
        <w:tblInd w:w="1253" w:type="dxa"/>
        <w:tblLook w:val="04A0" w:firstRow="1" w:lastRow="0" w:firstColumn="1" w:lastColumn="0" w:noHBand="0" w:noVBand="1"/>
      </w:tblPr>
      <w:tblGrid>
        <w:gridCol w:w="6754"/>
        <w:gridCol w:w="1526"/>
      </w:tblGrid>
      <w:tr w:rsidR="003507FE" w:rsidRPr="009E1644" w14:paraId="63A7BBE1" w14:textId="77777777" w:rsidTr="00F03FF8">
        <w:trPr>
          <w:tblHeader/>
        </w:trPr>
        <w:tc>
          <w:tcPr>
            <w:tcW w:w="8280" w:type="dxa"/>
            <w:gridSpan w:val="2"/>
            <w:shd w:val="clear" w:color="auto" w:fill="E2EFD9" w:themeFill="accent6" w:themeFillTint="33"/>
          </w:tcPr>
          <w:p w14:paraId="3FD82F9F" w14:textId="3508179A"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20" w:name="_Toc525291177"/>
            <w:bookmarkStart w:id="21" w:name="_Toc526858264"/>
            <w:r w:rsidRPr="009E1644">
              <w:rPr>
                <w:rFonts w:ascii="Times New Roman" w:eastAsia="Yu Gothic Light" w:hAnsi="Times New Roman"/>
                <w:b/>
                <w:sz w:val="18"/>
                <w:szCs w:val="18"/>
                <w:lang w:val="en-GB"/>
              </w:rPr>
              <w:t>Working Group 2: Stakeholder engagement and consultation</w:t>
            </w:r>
            <w:r w:rsidR="001C0D99" w:rsidRPr="009E1644">
              <w:rPr>
                <w:rFonts w:ascii="Times New Roman" w:eastAsia="Yu Gothic Light" w:hAnsi="Times New Roman"/>
                <w:b/>
                <w:sz w:val="18"/>
                <w:szCs w:val="18"/>
                <w:lang w:val="en-GB"/>
              </w:rPr>
              <w:t>s to further elaborate</w:t>
            </w:r>
            <w:r w:rsidRPr="009E1644">
              <w:rPr>
                <w:rFonts w:ascii="Times New Roman" w:eastAsia="Yu Gothic Light" w:hAnsi="Times New Roman"/>
                <w:b/>
                <w:sz w:val="18"/>
                <w:szCs w:val="18"/>
                <w:lang w:val="en-GB"/>
              </w:rPr>
              <w:t xml:space="preserve"> on</w:t>
            </w:r>
            <w:r w:rsidR="004B273A" w:rsidRPr="009E1644">
              <w:rPr>
                <w:rFonts w:ascii="Times New Roman" w:eastAsia="Yu Gothic Light" w:hAnsi="Times New Roman"/>
                <w:b/>
                <w:sz w:val="18"/>
                <w:szCs w:val="18"/>
                <w:lang w:val="en-GB"/>
              </w:rPr>
              <w:t xml:space="preserve"> the</w:t>
            </w:r>
            <w:r w:rsidRPr="009E1644">
              <w:rPr>
                <w:rFonts w:ascii="Times New Roman" w:eastAsia="Yu Gothic Light" w:hAnsi="Times New Roman"/>
                <w:b/>
                <w:sz w:val="18"/>
                <w:szCs w:val="18"/>
                <w:lang w:val="en-GB"/>
              </w:rPr>
              <w:t xml:space="preserve"> </w:t>
            </w:r>
            <w:r w:rsidR="004B273A" w:rsidRPr="009E1644">
              <w:rPr>
                <w:rFonts w:ascii="Times New Roman" w:eastAsia="Yu Gothic Light" w:hAnsi="Times New Roman"/>
                <w:b/>
                <w:sz w:val="18"/>
                <w:szCs w:val="18"/>
                <w:lang w:val="en-GB"/>
              </w:rPr>
              <w:t>nature futures framework</w:t>
            </w:r>
            <w:r w:rsidRPr="009E1644">
              <w:rPr>
                <w:rFonts w:ascii="Times New Roman" w:eastAsia="Yu Gothic Light" w:hAnsi="Times New Roman"/>
                <w:b/>
                <w:sz w:val="18"/>
                <w:szCs w:val="18"/>
                <w:lang w:val="en-GB"/>
              </w:rPr>
              <w:t xml:space="preserve">, </w:t>
            </w:r>
            <w:r w:rsidR="001C0D99" w:rsidRPr="009E1644">
              <w:rPr>
                <w:rFonts w:ascii="Times New Roman" w:eastAsia="Yu Gothic Light" w:hAnsi="Times New Roman"/>
                <w:b/>
                <w:sz w:val="18"/>
                <w:szCs w:val="18"/>
                <w:lang w:val="en-GB"/>
              </w:rPr>
              <w:t xml:space="preserve">visions, </w:t>
            </w:r>
            <w:r w:rsidRPr="009E1644">
              <w:rPr>
                <w:rFonts w:ascii="Times New Roman" w:eastAsia="Yu Gothic Light" w:hAnsi="Times New Roman"/>
                <w:b/>
                <w:sz w:val="18"/>
                <w:szCs w:val="18"/>
                <w:lang w:val="en-GB"/>
              </w:rPr>
              <w:t xml:space="preserve">and </w:t>
            </w:r>
            <w:bookmarkEnd w:id="20"/>
            <w:bookmarkEnd w:id="21"/>
            <w:r w:rsidR="008C5AAE" w:rsidRPr="009E1644">
              <w:rPr>
                <w:rFonts w:ascii="Times New Roman" w:eastAsia="Yu Gothic Light" w:hAnsi="Times New Roman"/>
                <w:b/>
                <w:sz w:val="18"/>
                <w:szCs w:val="18"/>
                <w:lang w:val="en-GB"/>
              </w:rPr>
              <w:t>storylines</w:t>
            </w:r>
          </w:p>
        </w:tc>
      </w:tr>
      <w:tr w:rsidR="003507FE" w:rsidRPr="009E1644" w14:paraId="7E1291D5" w14:textId="77777777" w:rsidTr="00005961">
        <w:tc>
          <w:tcPr>
            <w:tcW w:w="6754" w:type="dxa"/>
            <w:tcBorders>
              <w:bottom w:val="single" w:sz="4" w:space="0" w:color="auto"/>
            </w:tcBorders>
            <w:shd w:val="clear" w:color="auto" w:fill="E7E6E6"/>
          </w:tcPr>
          <w:p w14:paraId="34DF8DC4" w14:textId="7560BCD9"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22" w:name="_Toc525291179"/>
            <w:bookmarkStart w:id="23" w:name="_Toc526858265"/>
            <w:r w:rsidRPr="009E1644">
              <w:rPr>
                <w:rFonts w:ascii="Times New Roman" w:eastAsia="Yu Gothic Light" w:hAnsi="Times New Roman"/>
                <w:b/>
                <w:sz w:val="18"/>
                <w:szCs w:val="18"/>
                <w:lang w:val="en-GB"/>
              </w:rPr>
              <w:t xml:space="preserve">Task 2.1 Stakeholder strategy and in-depth consultations on iterative </w:t>
            </w:r>
            <w:r w:rsidR="004B273A" w:rsidRPr="009E1644">
              <w:rPr>
                <w:rFonts w:ascii="Times New Roman" w:eastAsia="Yu Gothic Light" w:hAnsi="Times New Roman"/>
                <w:b/>
                <w:sz w:val="18"/>
                <w:szCs w:val="18"/>
                <w:lang w:val="en-GB"/>
              </w:rPr>
              <w:t xml:space="preserve">nature </w:t>
            </w:r>
            <w:r w:rsidRPr="009E1644">
              <w:rPr>
                <w:rFonts w:ascii="Times New Roman" w:eastAsia="Yu Gothic Light" w:hAnsi="Times New Roman"/>
                <w:b/>
                <w:sz w:val="18"/>
                <w:szCs w:val="18"/>
                <w:lang w:val="en-GB"/>
              </w:rPr>
              <w:t xml:space="preserve">futures </w:t>
            </w:r>
            <w:r w:rsidR="008C5AAE" w:rsidRPr="009E1644">
              <w:rPr>
                <w:rFonts w:ascii="Times New Roman" w:eastAsia="Yu Gothic Light" w:hAnsi="Times New Roman"/>
                <w:b/>
                <w:sz w:val="18"/>
                <w:szCs w:val="18"/>
                <w:lang w:val="en-GB"/>
              </w:rPr>
              <w:t xml:space="preserve">storyline </w:t>
            </w:r>
            <w:r w:rsidRPr="009E1644">
              <w:rPr>
                <w:rFonts w:ascii="Times New Roman" w:eastAsia="Yu Gothic Light" w:hAnsi="Times New Roman"/>
                <w:b/>
                <w:sz w:val="18"/>
                <w:szCs w:val="18"/>
                <w:lang w:val="en-GB"/>
              </w:rPr>
              <w:t>development</w:t>
            </w:r>
            <w:bookmarkEnd w:id="22"/>
            <w:bookmarkEnd w:id="23"/>
          </w:p>
        </w:tc>
        <w:tc>
          <w:tcPr>
            <w:tcW w:w="1526" w:type="dxa"/>
            <w:tcBorders>
              <w:bottom w:val="single" w:sz="4" w:space="0" w:color="auto"/>
            </w:tcBorders>
            <w:shd w:val="clear" w:color="auto" w:fill="E7E6E6"/>
          </w:tcPr>
          <w:p w14:paraId="7F4E68AC" w14:textId="2216CADB"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24" w:name="_Toc525291180"/>
            <w:bookmarkStart w:id="25" w:name="_Toc526858266"/>
            <w:r w:rsidRPr="009E1644">
              <w:rPr>
                <w:rFonts w:ascii="Times New Roman" w:eastAsia="Yu Gothic Light" w:hAnsi="Times New Roman"/>
                <w:b/>
                <w:sz w:val="18"/>
                <w:szCs w:val="18"/>
                <w:lang w:val="en-GB"/>
              </w:rPr>
              <w:t xml:space="preserve">Date </w:t>
            </w:r>
            <w:bookmarkEnd w:id="24"/>
            <w:bookmarkEnd w:id="25"/>
          </w:p>
        </w:tc>
      </w:tr>
      <w:tr w:rsidR="000A2141" w:rsidRPr="009E1644" w14:paraId="19CDFD6F" w14:textId="77777777" w:rsidTr="00005961">
        <w:trPr>
          <w:trHeight w:val="1198"/>
        </w:trPr>
        <w:tc>
          <w:tcPr>
            <w:tcW w:w="6754" w:type="dxa"/>
            <w:tcBorders>
              <w:bottom w:val="nil"/>
            </w:tcBorders>
            <w:shd w:val="clear" w:color="auto" w:fill="auto"/>
          </w:tcPr>
          <w:p w14:paraId="00DD9F18" w14:textId="1FDE195E" w:rsidR="00DD183C" w:rsidRPr="009E1644" w:rsidRDefault="00410646"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 xml:space="preserve">Stakeholder consultation workshop on </w:t>
            </w:r>
            <w:r w:rsidR="00404E4F" w:rsidRPr="009E1644">
              <w:rPr>
                <w:rFonts w:ascii="Times New Roman" w:eastAsia="Yu Mincho" w:hAnsi="Times New Roman"/>
                <w:b/>
                <w:sz w:val="18"/>
                <w:szCs w:val="18"/>
                <w:lang w:val="en-GB"/>
              </w:rPr>
              <w:t>storylines</w:t>
            </w:r>
            <w:r w:rsidR="00DD183C" w:rsidRPr="009E1644">
              <w:rPr>
                <w:rFonts w:ascii="Times New Roman" w:eastAsia="Yu Mincho" w:hAnsi="Times New Roman"/>
                <w:b/>
                <w:sz w:val="18"/>
                <w:szCs w:val="18"/>
                <w:lang w:val="en-GB"/>
              </w:rPr>
              <w:t xml:space="preserve"> </w:t>
            </w:r>
          </w:p>
          <w:p w14:paraId="3D3082C5" w14:textId="105F367F" w:rsidR="004B273A" w:rsidRPr="009E1644" w:rsidRDefault="00A43F4B" w:rsidP="00005961">
            <w:pPr>
              <w:spacing w:before="120" w:after="120" w:line="240" w:lineRule="auto"/>
              <w:ind w:left="432"/>
              <w:rPr>
                <w:rFonts w:ascii="Times New Roman" w:eastAsia="Yu Mincho" w:hAnsi="Times New Roman"/>
                <w:sz w:val="18"/>
                <w:szCs w:val="18"/>
                <w:lang w:val="en-GB"/>
              </w:rPr>
            </w:pPr>
            <w:r w:rsidRPr="009E1644">
              <w:rPr>
                <w:rFonts w:ascii="Times New Roman" w:eastAsia="Yu Mincho" w:hAnsi="Times New Roman"/>
                <w:sz w:val="18"/>
                <w:szCs w:val="18"/>
                <w:lang w:val="en-GB"/>
              </w:rPr>
              <w:t>S</w:t>
            </w:r>
            <w:r w:rsidR="00DD183C" w:rsidRPr="009E1644">
              <w:rPr>
                <w:rFonts w:ascii="Times New Roman" w:eastAsia="Yu Mincho" w:hAnsi="Times New Roman"/>
                <w:sz w:val="18"/>
                <w:szCs w:val="18"/>
                <w:lang w:val="en-GB"/>
              </w:rPr>
              <w:t xml:space="preserve">takeholder consultation workshops </w:t>
            </w:r>
            <w:r w:rsidR="004B273A" w:rsidRPr="009E1644">
              <w:rPr>
                <w:rFonts w:ascii="Times New Roman" w:eastAsia="Yu Mincho" w:hAnsi="Times New Roman"/>
                <w:sz w:val="18"/>
                <w:szCs w:val="18"/>
                <w:lang w:val="en-GB"/>
              </w:rPr>
              <w:t xml:space="preserve">would </w:t>
            </w:r>
            <w:r w:rsidR="00DD183C" w:rsidRPr="009E1644">
              <w:rPr>
                <w:rFonts w:ascii="Times New Roman" w:eastAsia="Yu Mincho" w:hAnsi="Times New Roman"/>
                <w:sz w:val="18"/>
                <w:szCs w:val="18"/>
                <w:lang w:val="en-GB"/>
              </w:rPr>
              <w:t xml:space="preserve">be organized to integrate the outcomes of previous consultations and expert meetings (see task 2.2 below) into </w:t>
            </w:r>
            <w:r w:rsidR="00032506" w:rsidRPr="009E1644">
              <w:rPr>
                <w:rFonts w:ascii="Times New Roman" w:eastAsia="Yu Mincho" w:hAnsi="Times New Roman"/>
                <w:sz w:val="18"/>
                <w:szCs w:val="18"/>
                <w:lang w:val="en-GB"/>
              </w:rPr>
              <w:t>storylines</w:t>
            </w:r>
            <w:r w:rsidR="00DD183C" w:rsidRPr="009E1644">
              <w:rPr>
                <w:rFonts w:ascii="Times New Roman" w:eastAsia="Yu Mincho" w:hAnsi="Times New Roman"/>
                <w:sz w:val="18"/>
                <w:szCs w:val="18"/>
                <w:lang w:val="en-GB"/>
              </w:rPr>
              <w:t xml:space="preserve">, consult on these </w:t>
            </w:r>
            <w:r w:rsidR="00404E4F" w:rsidRPr="009E1644">
              <w:rPr>
                <w:rFonts w:ascii="Times New Roman" w:eastAsia="Yu Mincho" w:hAnsi="Times New Roman"/>
                <w:sz w:val="18"/>
                <w:szCs w:val="18"/>
                <w:lang w:val="en-GB"/>
              </w:rPr>
              <w:t>storylines</w:t>
            </w:r>
            <w:r w:rsidR="00032506" w:rsidRPr="009E1644">
              <w:rPr>
                <w:rFonts w:ascii="Times New Roman" w:eastAsia="Yu Mincho" w:hAnsi="Times New Roman"/>
                <w:sz w:val="18"/>
                <w:szCs w:val="18"/>
                <w:lang w:val="en-GB"/>
              </w:rPr>
              <w:t>,</w:t>
            </w:r>
            <w:r w:rsidR="00DD183C" w:rsidRPr="009E1644">
              <w:rPr>
                <w:rFonts w:ascii="Times New Roman" w:eastAsia="Yu Mincho" w:hAnsi="Times New Roman"/>
                <w:sz w:val="18"/>
                <w:szCs w:val="18"/>
                <w:lang w:val="en-GB"/>
              </w:rPr>
              <w:t xml:space="preserve"> and integrate these into models</w:t>
            </w:r>
            <w:r w:rsidR="00005961" w:rsidRPr="009E1644">
              <w:rPr>
                <w:rFonts w:ascii="Times New Roman" w:eastAsia="Yu Mincho" w:hAnsi="Times New Roman"/>
                <w:sz w:val="18"/>
                <w:szCs w:val="18"/>
                <w:lang w:val="en-GB"/>
              </w:rPr>
              <w:t>.</w:t>
            </w:r>
          </w:p>
        </w:tc>
        <w:tc>
          <w:tcPr>
            <w:tcW w:w="1526" w:type="dxa"/>
            <w:tcBorders>
              <w:bottom w:val="nil"/>
            </w:tcBorders>
            <w:shd w:val="clear" w:color="auto" w:fill="auto"/>
          </w:tcPr>
          <w:p w14:paraId="63288B7D" w14:textId="129C3B78" w:rsidR="00DD183C" w:rsidRPr="009E1644" w:rsidRDefault="00404E4F"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2019 and onwards</w:t>
            </w:r>
            <w:r w:rsidRPr="009E1644" w:rsidDel="00404E4F">
              <w:rPr>
                <w:rFonts w:ascii="Times New Roman" w:eastAsia="Yu Mincho" w:hAnsi="Times New Roman"/>
                <w:b/>
                <w:sz w:val="18"/>
                <w:szCs w:val="18"/>
                <w:lang w:val="en-GB"/>
              </w:rPr>
              <w:t xml:space="preserve"> </w:t>
            </w:r>
          </w:p>
          <w:p w14:paraId="0DC48BC4" w14:textId="52C6E0C3" w:rsidR="00DD183C" w:rsidRPr="009E1644" w:rsidRDefault="00DD183C" w:rsidP="00005961">
            <w:pPr>
              <w:keepNext/>
              <w:keepLines/>
              <w:tabs>
                <w:tab w:val="left" w:pos="4395"/>
              </w:tabs>
              <w:spacing w:before="60" w:after="60" w:line="240" w:lineRule="auto"/>
              <w:outlineLvl w:val="1"/>
              <w:rPr>
                <w:rFonts w:ascii="Times New Roman" w:eastAsia="Yu Mincho" w:hAnsi="Times New Roman"/>
                <w:b/>
                <w:sz w:val="18"/>
                <w:szCs w:val="18"/>
                <w:lang w:val="en-GB"/>
              </w:rPr>
            </w:pPr>
          </w:p>
          <w:p w14:paraId="0915864D" w14:textId="1F76A58C" w:rsidR="0066351C" w:rsidRPr="009E1644" w:rsidRDefault="0066351C" w:rsidP="00005961">
            <w:pPr>
              <w:keepNext/>
              <w:keepLines/>
              <w:tabs>
                <w:tab w:val="left" w:pos="4395"/>
              </w:tabs>
              <w:spacing w:before="60" w:after="60" w:line="240" w:lineRule="auto"/>
              <w:outlineLvl w:val="1"/>
              <w:rPr>
                <w:rFonts w:ascii="Times New Roman" w:eastAsia="Yu Gothic Light" w:hAnsi="Times New Roman"/>
                <w:b/>
                <w:sz w:val="18"/>
                <w:szCs w:val="18"/>
                <w:lang w:val="en-GB"/>
              </w:rPr>
            </w:pPr>
          </w:p>
        </w:tc>
      </w:tr>
      <w:tr w:rsidR="00005961" w:rsidRPr="009E1644" w14:paraId="362E6270" w14:textId="77777777" w:rsidTr="00005961">
        <w:tc>
          <w:tcPr>
            <w:tcW w:w="6754" w:type="dxa"/>
            <w:tcBorders>
              <w:top w:val="nil"/>
              <w:bottom w:val="nil"/>
            </w:tcBorders>
            <w:shd w:val="clear" w:color="auto" w:fill="auto"/>
          </w:tcPr>
          <w:p w14:paraId="730D7D16" w14:textId="77777777" w:rsidR="00005961" w:rsidRPr="009E1644" w:rsidRDefault="00005961"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Regular task force meetings</w:t>
            </w:r>
          </w:p>
          <w:p w14:paraId="7F76A20E" w14:textId="77777777" w:rsidR="00005961" w:rsidRPr="009E1644" w:rsidRDefault="00005961" w:rsidP="00005961">
            <w:pPr>
              <w:tabs>
                <w:tab w:val="left" w:pos="4395"/>
              </w:tabs>
              <w:spacing w:after="0" w:line="240" w:lineRule="auto"/>
              <w:ind w:left="360"/>
              <w:rPr>
                <w:rFonts w:ascii="Times New Roman" w:eastAsia="Yu Mincho" w:hAnsi="Times New Roman"/>
                <w:b/>
                <w:sz w:val="18"/>
                <w:szCs w:val="18"/>
                <w:lang w:val="en-GB"/>
              </w:rPr>
            </w:pPr>
          </w:p>
        </w:tc>
        <w:tc>
          <w:tcPr>
            <w:tcW w:w="1526" w:type="dxa"/>
            <w:tcBorders>
              <w:top w:val="nil"/>
              <w:bottom w:val="nil"/>
            </w:tcBorders>
            <w:shd w:val="clear" w:color="auto" w:fill="auto"/>
          </w:tcPr>
          <w:p w14:paraId="0533FAEF" w14:textId="4E11EABE" w:rsidR="00005961" w:rsidRPr="009E1644" w:rsidRDefault="00005961"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2019 and onwards</w:t>
            </w:r>
            <w:r w:rsidRPr="009E1644" w:rsidDel="00404E4F">
              <w:rPr>
                <w:rFonts w:ascii="Times New Roman" w:eastAsia="Yu Mincho" w:hAnsi="Times New Roman"/>
                <w:b/>
                <w:sz w:val="18"/>
                <w:szCs w:val="18"/>
                <w:lang w:val="en-GB"/>
              </w:rPr>
              <w:t xml:space="preserve"> </w:t>
            </w:r>
          </w:p>
        </w:tc>
      </w:tr>
      <w:tr w:rsidR="00005961" w:rsidRPr="009E1644" w14:paraId="13AEBD36" w14:textId="77777777" w:rsidTr="00005961">
        <w:tc>
          <w:tcPr>
            <w:tcW w:w="6754" w:type="dxa"/>
            <w:tcBorders>
              <w:top w:val="nil"/>
            </w:tcBorders>
            <w:shd w:val="clear" w:color="auto" w:fill="auto"/>
          </w:tcPr>
          <w:p w14:paraId="1E691406" w14:textId="77777777" w:rsidR="00005961" w:rsidRPr="009E1644" w:rsidRDefault="00005961"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Stakeholder consultation workshops on scenarios &amp; model trials</w:t>
            </w:r>
          </w:p>
          <w:p w14:paraId="6C42D3F3" w14:textId="77777777" w:rsidR="00005961" w:rsidRPr="009E1644" w:rsidRDefault="00005961" w:rsidP="00005961">
            <w:pPr>
              <w:tabs>
                <w:tab w:val="left" w:pos="4395"/>
              </w:tabs>
              <w:spacing w:after="0" w:line="240" w:lineRule="auto"/>
              <w:ind w:left="360"/>
              <w:rPr>
                <w:rFonts w:ascii="Times New Roman" w:eastAsia="Yu Mincho" w:hAnsi="Times New Roman"/>
                <w:b/>
                <w:sz w:val="18"/>
                <w:szCs w:val="18"/>
                <w:lang w:val="en-GB"/>
              </w:rPr>
            </w:pPr>
          </w:p>
        </w:tc>
        <w:tc>
          <w:tcPr>
            <w:tcW w:w="1526" w:type="dxa"/>
            <w:tcBorders>
              <w:top w:val="nil"/>
            </w:tcBorders>
            <w:shd w:val="clear" w:color="auto" w:fill="auto"/>
          </w:tcPr>
          <w:p w14:paraId="5ACA0856" w14:textId="3B1ABBAC" w:rsidR="00005961" w:rsidRPr="009E1644" w:rsidRDefault="00005961"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2020 and onwards</w:t>
            </w:r>
          </w:p>
        </w:tc>
      </w:tr>
      <w:tr w:rsidR="003507FE" w:rsidRPr="009E1644" w14:paraId="7DA5A4C8" w14:textId="77777777" w:rsidTr="00AA768A">
        <w:tc>
          <w:tcPr>
            <w:tcW w:w="6754" w:type="dxa"/>
            <w:shd w:val="clear" w:color="auto" w:fill="E7E6E6"/>
          </w:tcPr>
          <w:p w14:paraId="2108E93A" w14:textId="5F4B7102"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26" w:name="_Toc525291181"/>
            <w:bookmarkStart w:id="27" w:name="_Toc526858267"/>
            <w:r w:rsidRPr="009E1644">
              <w:rPr>
                <w:rFonts w:ascii="Times New Roman" w:eastAsia="Yu Gothic Light" w:hAnsi="Times New Roman"/>
                <w:b/>
                <w:sz w:val="18"/>
                <w:szCs w:val="18"/>
                <w:lang w:val="en-GB"/>
              </w:rPr>
              <w:t>Task 2.2 Stakeholder engagement and broad scale outreach/consultations on nature Futures Framework</w:t>
            </w:r>
            <w:bookmarkEnd w:id="26"/>
            <w:bookmarkEnd w:id="27"/>
          </w:p>
        </w:tc>
        <w:tc>
          <w:tcPr>
            <w:tcW w:w="1526" w:type="dxa"/>
            <w:shd w:val="clear" w:color="auto" w:fill="E7E6E6"/>
          </w:tcPr>
          <w:p w14:paraId="6DE82378" w14:textId="29E7D0A5"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28" w:name="_Toc525291182"/>
            <w:bookmarkStart w:id="29" w:name="_Toc526858268"/>
            <w:r w:rsidRPr="009E1644">
              <w:rPr>
                <w:rFonts w:ascii="Times New Roman" w:eastAsia="Yu Gothic Light" w:hAnsi="Times New Roman"/>
                <w:b/>
                <w:sz w:val="18"/>
                <w:szCs w:val="18"/>
                <w:lang w:val="en-GB"/>
              </w:rPr>
              <w:t xml:space="preserve">Date </w:t>
            </w:r>
            <w:bookmarkEnd w:id="28"/>
            <w:bookmarkEnd w:id="29"/>
          </w:p>
        </w:tc>
      </w:tr>
      <w:tr w:rsidR="003507FE" w:rsidRPr="009E1644" w14:paraId="411BE9D0" w14:textId="77777777" w:rsidTr="00AA768A">
        <w:trPr>
          <w:trHeight w:val="1106"/>
        </w:trPr>
        <w:tc>
          <w:tcPr>
            <w:tcW w:w="6754" w:type="dxa"/>
          </w:tcPr>
          <w:p w14:paraId="6F12F64F" w14:textId="77777777" w:rsidR="00191B3F" w:rsidRPr="009E1644" w:rsidRDefault="00191B3F" w:rsidP="004B273A">
            <w:pPr>
              <w:spacing w:after="0" w:line="240" w:lineRule="auto"/>
              <w:rPr>
                <w:rFonts w:ascii="Times New Roman" w:eastAsia="Yu Mincho" w:hAnsi="Times New Roman"/>
                <w:sz w:val="18"/>
                <w:szCs w:val="18"/>
                <w:lang w:val="en-GB"/>
              </w:rPr>
            </w:pPr>
          </w:p>
          <w:p w14:paraId="24BBB8A8" w14:textId="3D3C15D8" w:rsidR="00410646" w:rsidRPr="009E1644" w:rsidRDefault="00191B3F" w:rsidP="00B46DE5">
            <w:pPr>
              <w:pStyle w:val="ListParagraph"/>
              <w:spacing w:after="0" w:line="240" w:lineRule="auto"/>
              <w:ind w:left="360"/>
              <w:contextualSpacing w:val="0"/>
              <w:rPr>
                <w:rFonts w:ascii="Times New Roman" w:eastAsia="Yu Mincho" w:hAnsi="Times New Roman"/>
                <w:i/>
                <w:sz w:val="18"/>
                <w:szCs w:val="18"/>
                <w:lang w:val="en-GB"/>
              </w:rPr>
            </w:pPr>
            <w:r w:rsidRPr="009E1644">
              <w:rPr>
                <w:rFonts w:ascii="Times New Roman" w:eastAsia="Yu Mincho" w:hAnsi="Times New Roman"/>
                <w:b/>
                <w:color w:val="000000" w:themeColor="text1"/>
                <w:sz w:val="18"/>
                <w:szCs w:val="18"/>
                <w:lang w:val="en-GB"/>
              </w:rPr>
              <w:t>Consultation</w:t>
            </w:r>
            <w:r w:rsidR="00973879" w:rsidRPr="009E1644">
              <w:rPr>
                <w:rFonts w:ascii="Times New Roman" w:eastAsia="Yu Mincho" w:hAnsi="Times New Roman"/>
                <w:b/>
                <w:color w:val="000000" w:themeColor="text1"/>
                <w:sz w:val="18"/>
                <w:szCs w:val="18"/>
                <w:lang w:val="en-GB"/>
              </w:rPr>
              <w:t xml:space="preserve">s at relevant meetings of </w:t>
            </w:r>
            <w:r w:rsidRPr="009E1644">
              <w:rPr>
                <w:rFonts w:ascii="Times New Roman" w:eastAsia="Yu Mincho" w:hAnsi="Times New Roman"/>
                <w:b/>
                <w:color w:val="000000" w:themeColor="text1"/>
                <w:sz w:val="18"/>
                <w:szCs w:val="18"/>
                <w:lang w:val="en-GB"/>
              </w:rPr>
              <w:t>the</w:t>
            </w:r>
            <w:r w:rsidR="00973879" w:rsidRPr="009E1644">
              <w:rPr>
                <w:rFonts w:ascii="Times New Roman" w:eastAsia="Yu Mincho" w:hAnsi="Times New Roman"/>
                <w:b/>
                <w:color w:val="000000" w:themeColor="text1"/>
                <w:sz w:val="18"/>
                <w:szCs w:val="18"/>
                <w:lang w:val="en-GB"/>
              </w:rPr>
              <w:t xml:space="preserve"> Conference of the Parties and the</w:t>
            </w:r>
            <w:r w:rsidRPr="009E1644">
              <w:rPr>
                <w:rFonts w:ascii="Times New Roman" w:eastAsia="Yu Mincho" w:hAnsi="Times New Roman"/>
                <w:b/>
                <w:color w:val="000000" w:themeColor="text1"/>
                <w:sz w:val="18"/>
                <w:szCs w:val="18"/>
                <w:lang w:val="en-GB"/>
              </w:rPr>
              <w:t xml:space="preserve"> Subsidiary Body for Scientific, Technical and Technological Advice of the Convention on Biological Diversity</w:t>
            </w:r>
          </w:p>
        </w:tc>
        <w:tc>
          <w:tcPr>
            <w:tcW w:w="1526" w:type="dxa"/>
          </w:tcPr>
          <w:p w14:paraId="2A1241D3" w14:textId="77777777" w:rsidR="00191B3F" w:rsidRPr="009E1644" w:rsidRDefault="00191B3F" w:rsidP="004B273A">
            <w:pPr>
              <w:spacing w:after="0" w:line="240" w:lineRule="auto"/>
              <w:rPr>
                <w:rFonts w:ascii="Times New Roman" w:eastAsia="Yu Mincho" w:hAnsi="Times New Roman"/>
                <w:b/>
                <w:sz w:val="18"/>
                <w:szCs w:val="18"/>
                <w:lang w:val="en-GB"/>
              </w:rPr>
            </w:pPr>
          </w:p>
          <w:p w14:paraId="60268728" w14:textId="473592C3" w:rsidR="00410646" w:rsidRPr="009E1644" w:rsidRDefault="00404E4F"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2019 and onwards</w:t>
            </w:r>
          </w:p>
        </w:tc>
      </w:tr>
      <w:tr w:rsidR="003507FE" w:rsidRPr="009E1644" w14:paraId="5C4AD5E4" w14:textId="77777777" w:rsidTr="00AA768A">
        <w:tc>
          <w:tcPr>
            <w:tcW w:w="6754" w:type="dxa"/>
            <w:shd w:val="clear" w:color="auto" w:fill="E7E6E6"/>
          </w:tcPr>
          <w:p w14:paraId="66E5BA0F" w14:textId="5AE369F7"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30" w:name="_Toc525291183"/>
            <w:bookmarkStart w:id="31" w:name="_Toc526858269"/>
            <w:r w:rsidRPr="009E1644">
              <w:rPr>
                <w:rFonts w:ascii="Times New Roman" w:eastAsia="Yu Gothic Light" w:hAnsi="Times New Roman"/>
                <w:b/>
                <w:sz w:val="18"/>
                <w:szCs w:val="18"/>
                <w:lang w:val="en-GB"/>
              </w:rPr>
              <w:t>Task 2.3 Internal communication of these activities</w:t>
            </w:r>
            <w:bookmarkEnd w:id="30"/>
            <w:bookmarkEnd w:id="31"/>
          </w:p>
        </w:tc>
        <w:tc>
          <w:tcPr>
            <w:tcW w:w="1526" w:type="dxa"/>
            <w:shd w:val="clear" w:color="auto" w:fill="E7E6E6"/>
          </w:tcPr>
          <w:p w14:paraId="161FC810" w14:textId="451ED962"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32" w:name="_Toc525291184"/>
            <w:bookmarkStart w:id="33" w:name="_Toc526858270"/>
            <w:r w:rsidRPr="009E1644">
              <w:rPr>
                <w:rFonts w:ascii="Times New Roman" w:eastAsia="Yu Gothic Light" w:hAnsi="Times New Roman"/>
                <w:b/>
                <w:sz w:val="18"/>
                <w:szCs w:val="18"/>
                <w:lang w:val="en-GB"/>
              </w:rPr>
              <w:t xml:space="preserve">Date </w:t>
            </w:r>
            <w:bookmarkEnd w:id="32"/>
            <w:bookmarkEnd w:id="33"/>
          </w:p>
        </w:tc>
      </w:tr>
      <w:tr w:rsidR="003507FE" w:rsidRPr="009E1644" w14:paraId="1E8EA055" w14:textId="77777777" w:rsidTr="00AA768A">
        <w:tc>
          <w:tcPr>
            <w:tcW w:w="6754" w:type="dxa"/>
          </w:tcPr>
          <w:p w14:paraId="1B13B1E9" w14:textId="695DFCB8" w:rsidR="003507FE" w:rsidRPr="009E1644" w:rsidRDefault="00A43F4B"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Preparation of documents and reports to IPBES bodies</w:t>
            </w:r>
            <w:r w:rsidR="003507FE" w:rsidRPr="009E1644">
              <w:rPr>
                <w:rFonts w:ascii="Times New Roman" w:eastAsia="Yu Mincho" w:hAnsi="Times New Roman"/>
                <w:b/>
                <w:sz w:val="18"/>
                <w:szCs w:val="18"/>
                <w:lang w:val="en-GB"/>
              </w:rPr>
              <w:t xml:space="preserve"> by the </w:t>
            </w:r>
            <w:r w:rsidR="00191B3F" w:rsidRPr="009E1644">
              <w:rPr>
                <w:rFonts w:ascii="Times New Roman" w:eastAsia="Yu Mincho" w:hAnsi="Times New Roman"/>
                <w:b/>
                <w:sz w:val="18"/>
                <w:szCs w:val="18"/>
                <w:lang w:val="en-GB"/>
              </w:rPr>
              <w:t xml:space="preserve">technical support unit </w:t>
            </w:r>
            <w:r w:rsidR="003507FE" w:rsidRPr="009E1644">
              <w:rPr>
                <w:rFonts w:ascii="Times New Roman" w:eastAsia="Yu Mincho" w:hAnsi="Times New Roman"/>
                <w:b/>
                <w:sz w:val="18"/>
                <w:szCs w:val="18"/>
                <w:lang w:val="en-GB"/>
              </w:rPr>
              <w:t>on scenarios and models</w:t>
            </w:r>
            <w:r w:rsidRPr="009E1644">
              <w:rPr>
                <w:rFonts w:ascii="Times New Roman" w:eastAsia="Yu Mincho" w:hAnsi="Times New Roman"/>
                <w:b/>
                <w:sz w:val="18"/>
                <w:szCs w:val="18"/>
                <w:lang w:val="en-GB"/>
              </w:rPr>
              <w:t>, including</w:t>
            </w:r>
            <w:r w:rsidR="003507FE" w:rsidRPr="009E1644">
              <w:rPr>
                <w:rFonts w:ascii="Times New Roman" w:eastAsia="Yu Mincho" w:hAnsi="Times New Roman"/>
                <w:b/>
                <w:sz w:val="18"/>
                <w:szCs w:val="18"/>
                <w:lang w:val="en-GB"/>
              </w:rPr>
              <w:t>:</w:t>
            </w:r>
          </w:p>
          <w:p w14:paraId="5D9CF9CE" w14:textId="55B50A4A" w:rsidR="003507FE" w:rsidRPr="009E1644" w:rsidRDefault="003507FE" w:rsidP="00B97AC6">
            <w:pPr>
              <w:pStyle w:val="ListParagraph"/>
              <w:numPr>
                <w:ilvl w:val="0"/>
                <w:numId w:val="6"/>
              </w:numPr>
              <w:spacing w:after="160" w:line="240" w:lineRule="auto"/>
              <w:rPr>
                <w:rFonts w:ascii="Times New Roman" w:eastAsia="Yu Mincho" w:hAnsi="Times New Roman"/>
                <w:sz w:val="18"/>
                <w:szCs w:val="18"/>
                <w:lang w:val="en-GB"/>
              </w:rPr>
            </w:pPr>
            <w:r w:rsidRPr="009E1644">
              <w:rPr>
                <w:rFonts w:ascii="Times New Roman" w:eastAsia="Yu Mincho" w:hAnsi="Times New Roman"/>
                <w:sz w:val="18"/>
                <w:szCs w:val="18"/>
                <w:lang w:val="en-GB"/>
              </w:rPr>
              <w:t xml:space="preserve">Information documents and presentations </w:t>
            </w:r>
            <w:r w:rsidR="00A43F4B" w:rsidRPr="009E1644">
              <w:rPr>
                <w:rFonts w:ascii="Times New Roman" w:eastAsia="Yu Mincho" w:hAnsi="Times New Roman"/>
                <w:sz w:val="18"/>
                <w:szCs w:val="18"/>
                <w:lang w:val="en-GB"/>
              </w:rPr>
              <w:t>to</w:t>
            </w:r>
            <w:r w:rsidR="00191B3F" w:rsidRPr="009E1644">
              <w:rPr>
                <w:rFonts w:ascii="Times New Roman" w:eastAsia="Yu Mincho" w:hAnsi="Times New Roman"/>
                <w:sz w:val="18"/>
                <w:szCs w:val="18"/>
                <w:lang w:val="en-GB"/>
              </w:rPr>
              <w:t xml:space="preserve"> the </w:t>
            </w:r>
            <w:r w:rsidRPr="009E1644">
              <w:rPr>
                <w:rFonts w:ascii="Times New Roman" w:eastAsia="Yu Mincho" w:hAnsi="Times New Roman"/>
                <w:sz w:val="18"/>
                <w:szCs w:val="18"/>
                <w:lang w:val="en-GB"/>
              </w:rPr>
              <w:t>M</w:t>
            </w:r>
            <w:r w:rsidR="00191B3F" w:rsidRPr="009E1644">
              <w:rPr>
                <w:rFonts w:ascii="Times New Roman" w:eastAsia="Yu Mincho" w:hAnsi="Times New Roman"/>
                <w:sz w:val="18"/>
                <w:szCs w:val="18"/>
                <w:lang w:val="en-GB"/>
              </w:rPr>
              <w:t xml:space="preserve">ultidisciplinary </w:t>
            </w:r>
            <w:r w:rsidRPr="009E1644">
              <w:rPr>
                <w:rFonts w:ascii="Times New Roman" w:eastAsia="Yu Mincho" w:hAnsi="Times New Roman"/>
                <w:sz w:val="18"/>
                <w:szCs w:val="18"/>
                <w:lang w:val="en-GB"/>
              </w:rPr>
              <w:t>E</w:t>
            </w:r>
            <w:r w:rsidR="00191B3F" w:rsidRPr="009E1644">
              <w:rPr>
                <w:rFonts w:ascii="Times New Roman" w:eastAsia="Yu Mincho" w:hAnsi="Times New Roman"/>
                <w:sz w:val="18"/>
                <w:szCs w:val="18"/>
                <w:lang w:val="en-GB"/>
              </w:rPr>
              <w:t xml:space="preserve">xpert </w:t>
            </w:r>
            <w:r w:rsidRPr="009E1644">
              <w:rPr>
                <w:rFonts w:ascii="Times New Roman" w:eastAsia="Yu Mincho" w:hAnsi="Times New Roman"/>
                <w:sz w:val="18"/>
                <w:szCs w:val="18"/>
                <w:lang w:val="en-GB"/>
              </w:rPr>
              <w:t>P</w:t>
            </w:r>
            <w:r w:rsidR="00191B3F" w:rsidRPr="009E1644">
              <w:rPr>
                <w:rFonts w:ascii="Times New Roman" w:eastAsia="Yu Mincho" w:hAnsi="Times New Roman"/>
                <w:sz w:val="18"/>
                <w:szCs w:val="18"/>
                <w:lang w:val="en-GB"/>
              </w:rPr>
              <w:t>anel</w:t>
            </w:r>
          </w:p>
          <w:p w14:paraId="6A283C95" w14:textId="18496EAC" w:rsidR="003507FE" w:rsidRPr="009E1644" w:rsidRDefault="003507FE" w:rsidP="00B97AC6">
            <w:pPr>
              <w:pStyle w:val="ListParagraph"/>
              <w:numPr>
                <w:ilvl w:val="0"/>
                <w:numId w:val="6"/>
              </w:numPr>
              <w:spacing w:after="160" w:line="240" w:lineRule="auto"/>
              <w:rPr>
                <w:rFonts w:ascii="Times New Roman" w:eastAsia="Yu Mincho" w:hAnsi="Times New Roman"/>
                <w:sz w:val="18"/>
                <w:szCs w:val="18"/>
                <w:lang w:val="en-GB"/>
              </w:rPr>
            </w:pPr>
            <w:r w:rsidRPr="009E1644">
              <w:rPr>
                <w:rFonts w:ascii="Times New Roman" w:eastAsia="Yu Mincho" w:hAnsi="Times New Roman"/>
                <w:sz w:val="18"/>
                <w:szCs w:val="18"/>
                <w:lang w:val="en-GB"/>
              </w:rPr>
              <w:t xml:space="preserve">Information documents and presentations </w:t>
            </w:r>
            <w:r w:rsidR="00A43F4B" w:rsidRPr="009E1644">
              <w:rPr>
                <w:rFonts w:ascii="Times New Roman" w:eastAsia="Yu Mincho" w:hAnsi="Times New Roman"/>
                <w:sz w:val="18"/>
                <w:szCs w:val="18"/>
                <w:lang w:val="en-GB"/>
              </w:rPr>
              <w:t>to</w:t>
            </w:r>
            <w:r w:rsidRPr="009E1644">
              <w:rPr>
                <w:rFonts w:ascii="Times New Roman" w:eastAsia="Yu Mincho" w:hAnsi="Times New Roman"/>
                <w:sz w:val="18"/>
                <w:szCs w:val="18"/>
                <w:lang w:val="en-GB"/>
              </w:rPr>
              <w:t xml:space="preserve"> the Plenary of IPBES</w:t>
            </w:r>
          </w:p>
          <w:p w14:paraId="24A91DC9" w14:textId="0567C76E" w:rsidR="003507FE" w:rsidRPr="009E1644" w:rsidRDefault="003507FE" w:rsidP="00B97AC6">
            <w:pPr>
              <w:pStyle w:val="ListParagraph"/>
              <w:numPr>
                <w:ilvl w:val="0"/>
                <w:numId w:val="6"/>
              </w:numPr>
              <w:spacing w:after="160" w:line="240" w:lineRule="auto"/>
              <w:rPr>
                <w:rFonts w:ascii="Times New Roman" w:eastAsia="Yu Mincho" w:hAnsi="Times New Roman"/>
                <w:sz w:val="18"/>
                <w:szCs w:val="18"/>
                <w:lang w:val="en-GB"/>
              </w:rPr>
            </w:pPr>
            <w:r w:rsidRPr="009E1644">
              <w:rPr>
                <w:rFonts w:ascii="Times New Roman" w:eastAsia="Yu Mincho" w:hAnsi="Times New Roman"/>
                <w:sz w:val="18"/>
                <w:szCs w:val="18"/>
                <w:lang w:val="en-GB"/>
              </w:rPr>
              <w:t xml:space="preserve">Newsletter for members of the </w:t>
            </w:r>
            <w:r w:rsidR="00191B3F" w:rsidRPr="009E1644">
              <w:rPr>
                <w:rFonts w:ascii="Times New Roman" w:eastAsia="Yu Mincho" w:hAnsi="Times New Roman"/>
                <w:sz w:val="18"/>
                <w:szCs w:val="18"/>
                <w:lang w:val="en-GB"/>
              </w:rPr>
              <w:t>task force</w:t>
            </w:r>
          </w:p>
        </w:tc>
        <w:tc>
          <w:tcPr>
            <w:tcW w:w="1526" w:type="dxa"/>
          </w:tcPr>
          <w:p w14:paraId="5E17067A" w14:textId="77777777" w:rsidR="00823174" w:rsidRPr="009E1644" w:rsidRDefault="00823174" w:rsidP="00B21D25">
            <w:pPr>
              <w:spacing w:line="240" w:lineRule="auto"/>
              <w:rPr>
                <w:rFonts w:ascii="Times New Roman" w:eastAsia="Yu Mincho" w:hAnsi="Times New Roman"/>
                <w:sz w:val="18"/>
                <w:szCs w:val="18"/>
                <w:lang w:val="en-GB"/>
              </w:rPr>
            </w:pPr>
          </w:p>
          <w:p w14:paraId="06E872F4" w14:textId="5A8A10C6" w:rsidR="00823174" w:rsidRPr="009E1644" w:rsidRDefault="00823174"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2019 and onwards</w:t>
            </w:r>
          </w:p>
        </w:tc>
      </w:tr>
      <w:tr w:rsidR="003507FE" w:rsidRPr="009E1644" w14:paraId="72DE6CE0" w14:textId="77777777" w:rsidTr="00AA768A">
        <w:tc>
          <w:tcPr>
            <w:tcW w:w="6754" w:type="dxa"/>
            <w:shd w:val="clear" w:color="auto" w:fill="E7E6E6"/>
          </w:tcPr>
          <w:p w14:paraId="60A99E5D" w14:textId="228017CB"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34" w:name="_Toc525291185"/>
            <w:bookmarkStart w:id="35" w:name="_Toc526858271"/>
            <w:r w:rsidRPr="009E1644">
              <w:rPr>
                <w:rFonts w:ascii="Times New Roman" w:eastAsia="Yu Gothic Light" w:hAnsi="Times New Roman"/>
                <w:b/>
                <w:sz w:val="18"/>
                <w:szCs w:val="18"/>
                <w:lang w:val="en-GB"/>
              </w:rPr>
              <w:t>Task 2.4 External communications to stakeholders, governments etc. to enable</w:t>
            </w:r>
            <w:r w:rsidR="00191B3F" w:rsidRPr="009E1644">
              <w:rPr>
                <w:rFonts w:ascii="Times New Roman" w:eastAsia="Yu Gothic Light" w:hAnsi="Times New Roman"/>
                <w:b/>
                <w:sz w:val="18"/>
                <w:szCs w:val="18"/>
                <w:lang w:val="en-GB"/>
              </w:rPr>
              <w:t xml:space="preserve"> or </w:t>
            </w:r>
            <w:r w:rsidRPr="009E1644">
              <w:rPr>
                <w:rFonts w:ascii="Times New Roman" w:eastAsia="Yu Gothic Light" w:hAnsi="Times New Roman"/>
                <w:b/>
                <w:sz w:val="18"/>
                <w:szCs w:val="18"/>
                <w:lang w:val="en-GB"/>
              </w:rPr>
              <w:t>enhance</w:t>
            </w:r>
            <w:r w:rsidR="00191B3F" w:rsidRPr="009E1644">
              <w:rPr>
                <w:rFonts w:ascii="Times New Roman" w:eastAsia="Yu Gothic Light" w:hAnsi="Times New Roman"/>
                <w:b/>
                <w:sz w:val="18"/>
                <w:szCs w:val="18"/>
                <w:lang w:val="en-GB"/>
              </w:rPr>
              <w:t xml:space="preserve"> the</w:t>
            </w:r>
            <w:r w:rsidRPr="009E1644">
              <w:rPr>
                <w:rFonts w:ascii="Times New Roman" w:eastAsia="Yu Gothic Light" w:hAnsi="Times New Roman"/>
                <w:b/>
                <w:sz w:val="18"/>
                <w:szCs w:val="18"/>
                <w:lang w:val="en-GB"/>
              </w:rPr>
              <w:t xml:space="preserve"> uptake of </w:t>
            </w:r>
            <w:r w:rsidR="00191B3F" w:rsidRPr="009E1644">
              <w:rPr>
                <w:rFonts w:ascii="Times New Roman" w:eastAsia="Yu Gothic Light" w:hAnsi="Times New Roman"/>
                <w:b/>
                <w:sz w:val="18"/>
                <w:szCs w:val="18"/>
                <w:lang w:val="en-GB"/>
              </w:rPr>
              <w:t>the n</w:t>
            </w:r>
            <w:r w:rsidRPr="009E1644">
              <w:rPr>
                <w:rFonts w:ascii="Times New Roman" w:eastAsia="Yu Gothic Light" w:hAnsi="Times New Roman"/>
                <w:b/>
                <w:sz w:val="18"/>
                <w:szCs w:val="18"/>
                <w:lang w:val="en-GB"/>
              </w:rPr>
              <w:t xml:space="preserve">ature </w:t>
            </w:r>
            <w:r w:rsidR="00191B3F" w:rsidRPr="009E1644">
              <w:rPr>
                <w:rFonts w:ascii="Times New Roman" w:eastAsia="Yu Gothic Light" w:hAnsi="Times New Roman"/>
                <w:b/>
                <w:sz w:val="18"/>
                <w:szCs w:val="18"/>
                <w:lang w:val="en-GB"/>
              </w:rPr>
              <w:t>f</w:t>
            </w:r>
            <w:r w:rsidRPr="009E1644">
              <w:rPr>
                <w:rFonts w:ascii="Times New Roman" w:eastAsia="Yu Gothic Light" w:hAnsi="Times New Roman"/>
                <w:b/>
                <w:sz w:val="18"/>
                <w:szCs w:val="18"/>
                <w:lang w:val="en-GB"/>
              </w:rPr>
              <w:t xml:space="preserve">utures </w:t>
            </w:r>
            <w:r w:rsidR="00191B3F" w:rsidRPr="009E1644">
              <w:rPr>
                <w:rFonts w:ascii="Times New Roman" w:eastAsia="Yu Gothic Light" w:hAnsi="Times New Roman"/>
                <w:b/>
                <w:sz w:val="18"/>
                <w:szCs w:val="18"/>
                <w:lang w:val="en-GB"/>
              </w:rPr>
              <w:t>f</w:t>
            </w:r>
            <w:r w:rsidRPr="009E1644">
              <w:rPr>
                <w:rFonts w:ascii="Times New Roman" w:eastAsia="Yu Gothic Light" w:hAnsi="Times New Roman"/>
                <w:b/>
                <w:sz w:val="18"/>
                <w:szCs w:val="18"/>
                <w:lang w:val="en-GB"/>
              </w:rPr>
              <w:t>ramework</w:t>
            </w:r>
            <w:bookmarkEnd w:id="34"/>
            <w:bookmarkEnd w:id="35"/>
          </w:p>
        </w:tc>
        <w:tc>
          <w:tcPr>
            <w:tcW w:w="1526" w:type="dxa"/>
            <w:shd w:val="clear" w:color="auto" w:fill="E7E6E6"/>
          </w:tcPr>
          <w:p w14:paraId="662D4C8B" w14:textId="4B865D3E"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36" w:name="_Toc525291186"/>
            <w:bookmarkStart w:id="37" w:name="_Toc526858272"/>
            <w:r w:rsidRPr="009E1644">
              <w:rPr>
                <w:rFonts w:ascii="Times New Roman" w:eastAsia="Yu Gothic Light" w:hAnsi="Times New Roman"/>
                <w:b/>
                <w:sz w:val="18"/>
                <w:szCs w:val="18"/>
                <w:lang w:val="en-GB"/>
              </w:rPr>
              <w:t xml:space="preserve">Date </w:t>
            </w:r>
            <w:bookmarkEnd w:id="36"/>
            <w:bookmarkEnd w:id="37"/>
          </w:p>
        </w:tc>
      </w:tr>
      <w:tr w:rsidR="003507FE" w:rsidRPr="009E1644" w14:paraId="3B61D7E8" w14:textId="77777777" w:rsidTr="00AA768A">
        <w:tc>
          <w:tcPr>
            <w:tcW w:w="6754" w:type="dxa"/>
          </w:tcPr>
          <w:p w14:paraId="5C351811" w14:textId="2FAEE420" w:rsidR="003507FE" w:rsidRPr="009E1644" w:rsidRDefault="00A43F4B" w:rsidP="00005961">
            <w:pPr>
              <w:spacing w:before="120" w:after="120" w:line="240" w:lineRule="auto"/>
              <w:ind w:left="432"/>
              <w:rPr>
                <w:rFonts w:ascii="Times New Roman" w:eastAsia="Yu Mincho" w:hAnsi="Times New Roman"/>
                <w:sz w:val="18"/>
                <w:szCs w:val="18"/>
                <w:lang w:val="en-GB"/>
              </w:rPr>
            </w:pPr>
            <w:r w:rsidRPr="009E1644">
              <w:rPr>
                <w:rFonts w:ascii="Times New Roman" w:eastAsia="Yu Mincho" w:hAnsi="Times New Roman"/>
                <w:sz w:val="18"/>
                <w:szCs w:val="18"/>
                <w:lang w:val="en-GB"/>
              </w:rPr>
              <w:t>O</w:t>
            </w:r>
            <w:r w:rsidR="00410646" w:rsidRPr="009E1644">
              <w:rPr>
                <w:rFonts w:ascii="Times New Roman" w:eastAsia="Yu Mincho" w:hAnsi="Times New Roman"/>
                <w:sz w:val="18"/>
                <w:szCs w:val="18"/>
                <w:lang w:val="en-GB"/>
              </w:rPr>
              <w:t xml:space="preserve">utreach for and </w:t>
            </w:r>
            <w:r w:rsidR="003507FE" w:rsidRPr="009E1644">
              <w:rPr>
                <w:rFonts w:ascii="Times New Roman" w:eastAsia="Yu Mincho" w:hAnsi="Times New Roman"/>
                <w:sz w:val="18"/>
                <w:szCs w:val="18"/>
                <w:lang w:val="en-GB"/>
              </w:rPr>
              <w:t>the creation of communication and engagement material for the events under tasks 2.1 and 2.2</w:t>
            </w:r>
            <w:r w:rsidRPr="009E1644">
              <w:rPr>
                <w:rFonts w:ascii="Times New Roman" w:eastAsia="Yu Mincho" w:hAnsi="Times New Roman"/>
                <w:sz w:val="18"/>
                <w:szCs w:val="18"/>
                <w:lang w:val="en-GB"/>
              </w:rPr>
              <w:t xml:space="preserve"> and </w:t>
            </w:r>
            <w:r w:rsidR="003507FE" w:rsidRPr="009E1644">
              <w:rPr>
                <w:rFonts w:ascii="Times New Roman" w:eastAsia="Yu Mincho" w:hAnsi="Times New Roman"/>
                <w:sz w:val="18"/>
                <w:szCs w:val="18"/>
                <w:lang w:val="en-GB"/>
              </w:rPr>
              <w:t>the creation</w:t>
            </w:r>
            <w:r w:rsidR="00410646" w:rsidRPr="009E1644">
              <w:rPr>
                <w:rFonts w:ascii="Times New Roman" w:eastAsia="Yu Mincho" w:hAnsi="Times New Roman"/>
                <w:sz w:val="18"/>
                <w:szCs w:val="18"/>
                <w:lang w:val="en-GB"/>
              </w:rPr>
              <w:t xml:space="preserve"> and dissemination of</w:t>
            </w:r>
            <w:r w:rsidR="003507FE" w:rsidRPr="009E1644">
              <w:rPr>
                <w:rFonts w:ascii="Times New Roman" w:eastAsia="Yu Mincho" w:hAnsi="Times New Roman"/>
                <w:sz w:val="18"/>
                <w:szCs w:val="18"/>
                <w:lang w:val="en-GB"/>
              </w:rPr>
              <w:t xml:space="preserve"> laid out versions and final reporting of the outcomes of the other working groups. This may include the creation of a stakeholder engagement platform on scenarios and models and</w:t>
            </w:r>
            <w:r w:rsidR="00191B3F" w:rsidRPr="009E1644">
              <w:rPr>
                <w:rFonts w:ascii="Times New Roman" w:eastAsia="Yu Mincho" w:hAnsi="Times New Roman"/>
                <w:sz w:val="18"/>
                <w:szCs w:val="18"/>
                <w:lang w:val="en-GB"/>
              </w:rPr>
              <w:t xml:space="preserve"> would </w:t>
            </w:r>
            <w:r w:rsidR="003507FE" w:rsidRPr="009E1644">
              <w:rPr>
                <w:rFonts w:ascii="Times New Roman" w:eastAsia="Yu Mincho" w:hAnsi="Times New Roman"/>
                <w:sz w:val="18"/>
                <w:szCs w:val="18"/>
                <w:lang w:val="en-GB"/>
              </w:rPr>
              <w:t>include regular updates of the IPBES webpages on scenarios and models.</w:t>
            </w:r>
          </w:p>
        </w:tc>
        <w:tc>
          <w:tcPr>
            <w:tcW w:w="1526" w:type="dxa"/>
          </w:tcPr>
          <w:p w14:paraId="430E4C94" w14:textId="77777777" w:rsidR="00191B3F" w:rsidRPr="009E1644" w:rsidRDefault="00191B3F" w:rsidP="00005961">
            <w:pPr>
              <w:keepNext/>
              <w:keepLines/>
              <w:tabs>
                <w:tab w:val="left" w:pos="4395"/>
              </w:tabs>
              <w:spacing w:before="60" w:after="60" w:line="240" w:lineRule="auto"/>
              <w:outlineLvl w:val="1"/>
              <w:rPr>
                <w:rFonts w:ascii="Times New Roman" w:eastAsia="Yu Mincho" w:hAnsi="Times New Roman"/>
                <w:b/>
                <w:sz w:val="18"/>
                <w:szCs w:val="18"/>
                <w:lang w:val="en-GB"/>
              </w:rPr>
            </w:pPr>
          </w:p>
          <w:p w14:paraId="7BE92C9F" w14:textId="20C08267" w:rsidR="00B401F9" w:rsidRPr="009E1644" w:rsidRDefault="00B401F9" w:rsidP="00005961">
            <w:pPr>
              <w:keepNext/>
              <w:keepLines/>
              <w:tabs>
                <w:tab w:val="left" w:pos="4395"/>
              </w:tabs>
              <w:spacing w:before="60" w:after="60" w:line="240" w:lineRule="auto"/>
              <w:outlineLvl w:val="1"/>
              <w:rPr>
                <w:rFonts w:ascii="Times New Roman" w:eastAsia="Yu Gothic Light" w:hAnsi="Times New Roman"/>
                <w:b/>
                <w:sz w:val="18"/>
                <w:szCs w:val="18"/>
                <w:lang w:val="en-GB"/>
              </w:rPr>
            </w:pPr>
            <w:r w:rsidRPr="009E1644">
              <w:rPr>
                <w:rFonts w:ascii="Times New Roman" w:eastAsia="Yu Mincho" w:hAnsi="Times New Roman"/>
                <w:b/>
                <w:sz w:val="18"/>
                <w:szCs w:val="18"/>
                <w:lang w:val="en-GB"/>
              </w:rPr>
              <w:t>2019 and onwards</w:t>
            </w:r>
          </w:p>
        </w:tc>
      </w:tr>
    </w:tbl>
    <w:p w14:paraId="33A4BAC5" w14:textId="77777777" w:rsidR="003507FE" w:rsidRPr="009E1644" w:rsidRDefault="003507FE" w:rsidP="003507FE">
      <w:pPr>
        <w:autoSpaceDE w:val="0"/>
        <w:autoSpaceDN w:val="0"/>
        <w:adjustRightInd w:val="0"/>
        <w:jc w:val="both"/>
        <w:rPr>
          <w:rFonts w:ascii="Times New Roman" w:hAnsi="Times New Roman"/>
          <w:lang w:val="en-GB"/>
        </w:rPr>
      </w:pPr>
    </w:p>
    <w:tbl>
      <w:tblPr>
        <w:tblStyle w:val="TableGrid1"/>
        <w:tblW w:w="8280" w:type="dxa"/>
        <w:tblInd w:w="1253" w:type="dxa"/>
        <w:tblLook w:val="04A0" w:firstRow="1" w:lastRow="0" w:firstColumn="1" w:lastColumn="0" w:noHBand="0" w:noVBand="1"/>
      </w:tblPr>
      <w:tblGrid>
        <w:gridCol w:w="6754"/>
        <w:gridCol w:w="1526"/>
      </w:tblGrid>
      <w:tr w:rsidR="003507FE" w:rsidRPr="009E1644" w14:paraId="3203E2CF" w14:textId="77777777" w:rsidTr="00F03FF8">
        <w:trPr>
          <w:trHeight w:val="560"/>
          <w:tblHeader/>
        </w:trPr>
        <w:tc>
          <w:tcPr>
            <w:tcW w:w="8280" w:type="dxa"/>
            <w:gridSpan w:val="2"/>
            <w:shd w:val="clear" w:color="auto" w:fill="FFF2CC" w:themeFill="accent4" w:themeFillTint="33"/>
          </w:tcPr>
          <w:p w14:paraId="519DE916" w14:textId="33EB0757"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38" w:name="_Toc525291187"/>
            <w:bookmarkStart w:id="39" w:name="_Toc526858273"/>
            <w:r w:rsidRPr="009E1644">
              <w:rPr>
                <w:rFonts w:ascii="Times New Roman" w:eastAsia="Yu Gothic Light" w:hAnsi="Times New Roman"/>
                <w:b/>
                <w:sz w:val="18"/>
                <w:szCs w:val="18"/>
                <w:lang w:val="en-GB"/>
              </w:rPr>
              <w:t xml:space="preserve">Working Group 3: </w:t>
            </w:r>
            <w:r w:rsidR="001C0D99" w:rsidRPr="009E1644">
              <w:rPr>
                <w:rFonts w:ascii="Times New Roman" w:eastAsia="Yu Gothic Light" w:hAnsi="Times New Roman"/>
                <w:b/>
                <w:sz w:val="18"/>
                <w:szCs w:val="18"/>
                <w:lang w:val="en-GB"/>
              </w:rPr>
              <w:t>I</w:t>
            </w:r>
            <w:r w:rsidRPr="009E1644">
              <w:rPr>
                <w:rFonts w:ascii="Times New Roman" w:eastAsia="Yu Gothic Light" w:hAnsi="Times New Roman"/>
                <w:b/>
                <w:sz w:val="18"/>
                <w:szCs w:val="18"/>
                <w:lang w:val="en-GB"/>
              </w:rPr>
              <w:t xml:space="preserve">terative model development </w:t>
            </w:r>
            <w:r w:rsidR="001C0D99" w:rsidRPr="009E1644">
              <w:rPr>
                <w:rFonts w:ascii="Times New Roman" w:eastAsia="Yu Gothic Light" w:hAnsi="Times New Roman"/>
                <w:b/>
                <w:sz w:val="18"/>
                <w:szCs w:val="18"/>
                <w:lang w:val="en-GB"/>
              </w:rPr>
              <w:t xml:space="preserve">between scenario outcomes and the participating stakeholders and </w:t>
            </w:r>
            <w:r w:rsidR="00E20B95" w:rsidRPr="009E1644">
              <w:rPr>
                <w:rFonts w:ascii="Times New Roman" w:eastAsia="Yu Gothic Light" w:hAnsi="Times New Roman"/>
                <w:b/>
                <w:sz w:val="18"/>
                <w:szCs w:val="18"/>
                <w:lang w:val="en-GB"/>
              </w:rPr>
              <w:t>modeler</w:t>
            </w:r>
            <w:r w:rsidR="001C0D99" w:rsidRPr="009E1644">
              <w:rPr>
                <w:rFonts w:ascii="Times New Roman" w:eastAsia="Yu Gothic Light" w:hAnsi="Times New Roman"/>
                <w:b/>
                <w:sz w:val="18"/>
                <w:szCs w:val="18"/>
                <w:lang w:val="en-GB"/>
              </w:rPr>
              <w:t xml:space="preserve"> groups using the</w:t>
            </w:r>
            <w:r w:rsidRPr="009E1644">
              <w:rPr>
                <w:rFonts w:ascii="Times New Roman" w:eastAsia="Yu Gothic Light" w:hAnsi="Times New Roman"/>
                <w:b/>
                <w:sz w:val="18"/>
                <w:szCs w:val="18"/>
                <w:lang w:val="en-GB"/>
              </w:rPr>
              <w:t xml:space="preserve"> nature futures framework</w:t>
            </w:r>
            <w:bookmarkEnd w:id="38"/>
            <w:bookmarkEnd w:id="39"/>
          </w:p>
        </w:tc>
      </w:tr>
      <w:tr w:rsidR="003507FE" w:rsidRPr="009E1644" w14:paraId="0FA9DAA6" w14:textId="77777777" w:rsidTr="00005961">
        <w:tc>
          <w:tcPr>
            <w:tcW w:w="6754" w:type="dxa"/>
            <w:tcBorders>
              <w:bottom w:val="single" w:sz="4" w:space="0" w:color="auto"/>
            </w:tcBorders>
            <w:shd w:val="clear" w:color="auto" w:fill="E7E6E6"/>
          </w:tcPr>
          <w:p w14:paraId="5A20F5AA" w14:textId="77777777"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40" w:name="_Toc525291189"/>
            <w:bookmarkStart w:id="41" w:name="_Toc526858274"/>
            <w:r w:rsidRPr="009E1644">
              <w:rPr>
                <w:rFonts w:ascii="Times New Roman" w:eastAsia="Yu Gothic Light" w:hAnsi="Times New Roman"/>
                <w:b/>
                <w:sz w:val="18"/>
                <w:szCs w:val="18"/>
                <w:lang w:val="en-GB"/>
              </w:rPr>
              <w:t>Task 3.1 Coordination of modelling community</w:t>
            </w:r>
            <w:bookmarkEnd w:id="40"/>
            <w:bookmarkEnd w:id="41"/>
          </w:p>
        </w:tc>
        <w:tc>
          <w:tcPr>
            <w:tcW w:w="1526" w:type="dxa"/>
            <w:tcBorders>
              <w:bottom w:val="single" w:sz="4" w:space="0" w:color="auto"/>
            </w:tcBorders>
            <w:shd w:val="clear" w:color="auto" w:fill="E7E6E6"/>
          </w:tcPr>
          <w:p w14:paraId="3D7D6C20" w14:textId="67F8DB78"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42" w:name="_Toc525291190"/>
            <w:bookmarkStart w:id="43" w:name="_Toc526858275"/>
            <w:r w:rsidRPr="009E1644">
              <w:rPr>
                <w:rFonts w:ascii="Times New Roman" w:eastAsia="Yu Gothic Light" w:hAnsi="Times New Roman"/>
                <w:b/>
                <w:sz w:val="18"/>
                <w:szCs w:val="18"/>
                <w:lang w:val="en-GB"/>
              </w:rPr>
              <w:t xml:space="preserve">Date </w:t>
            </w:r>
            <w:bookmarkEnd w:id="42"/>
            <w:bookmarkEnd w:id="43"/>
          </w:p>
        </w:tc>
      </w:tr>
      <w:tr w:rsidR="003507FE" w:rsidRPr="009E1644" w14:paraId="7AEFCA45" w14:textId="77777777" w:rsidTr="00005961">
        <w:trPr>
          <w:trHeight w:val="775"/>
        </w:trPr>
        <w:tc>
          <w:tcPr>
            <w:tcW w:w="6754" w:type="dxa"/>
            <w:tcBorders>
              <w:bottom w:val="nil"/>
            </w:tcBorders>
          </w:tcPr>
          <w:p w14:paraId="656CCA41" w14:textId="2FE0F375" w:rsidR="00191B3F" w:rsidRPr="009E1644" w:rsidRDefault="003507FE"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The mobilization of</w:t>
            </w:r>
            <w:r w:rsidR="003019A4" w:rsidRPr="009E1644">
              <w:rPr>
                <w:rFonts w:ascii="Times New Roman" w:eastAsia="Yu Mincho" w:hAnsi="Times New Roman"/>
                <w:b/>
                <w:sz w:val="18"/>
                <w:szCs w:val="18"/>
                <w:lang w:val="en-GB"/>
              </w:rPr>
              <w:t xml:space="preserve"> relevant modelling communities </w:t>
            </w:r>
            <w:r w:rsidRPr="009E1644">
              <w:rPr>
                <w:rFonts w:ascii="Times New Roman" w:eastAsia="Yu Mincho" w:hAnsi="Times New Roman"/>
                <w:b/>
                <w:sz w:val="18"/>
                <w:szCs w:val="18"/>
                <w:lang w:val="en-GB"/>
              </w:rPr>
              <w:t xml:space="preserve">(e.g. </w:t>
            </w:r>
            <w:r w:rsidR="00191B3F" w:rsidRPr="009E1644">
              <w:rPr>
                <w:rFonts w:ascii="Times New Roman" w:eastAsia="Yu Mincho" w:hAnsi="Times New Roman"/>
                <w:b/>
                <w:sz w:val="18"/>
                <w:szCs w:val="18"/>
                <w:lang w:val="en-GB"/>
              </w:rPr>
              <w:t xml:space="preserve">integrated assessment models </w:t>
            </w:r>
            <w:r w:rsidRPr="009E1644">
              <w:rPr>
                <w:rFonts w:ascii="Times New Roman" w:eastAsia="Yu Mincho" w:hAnsi="Times New Roman"/>
                <w:b/>
                <w:sz w:val="18"/>
                <w:szCs w:val="18"/>
                <w:lang w:val="en-GB"/>
              </w:rPr>
              <w:t xml:space="preserve">community) to determine which models </w:t>
            </w:r>
            <w:r w:rsidR="00191B3F" w:rsidRPr="009E1644">
              <w:rPr>
                <w:rFonts w:ascii="Times New Roman" w:eastAsia="Yu Mincho" w:hAnsi="Times New Roman"/>
                <w:b/>
                <w:sz w:val="18"/>
                <w:szCs w:val="18"/>
                <w:lang w:val="en-GB"/>
              </w:rPr>
              <w:t xml:space="preserve">would </w:t>
            </w:r>
            <w:r w:rsidRPr="009E1644">
              <w:rPr>
                <w:rFonts w:ascii="Times New Roman" w:eastAsia="Yu Mincho" w:hAnsi="Times New Roman"/>
                <w:b/>
                <w:sz w:val="18"/>
                <w:szCs w:val="18"/>
                <w:lang w:val="en-GB"/>
              </w:rPr>
              <w:t>be run</w:t>
            </w:r>
            <w:r w:rsidR="00191B3F" w:rsidRPr="009E1644">
              <w:rPr>
                <w:rFonts w:ascii="Times New Roman" w:eastAsia="Yu Mincho" w:hAnsi="Times New Roman"/>
                <w:b/>
                <w:sz w:val="18"/>
                <w:szCs w:val="18"/>
                <w:lang w:val="en-GB"/>
              </w:rPr>
              <w:t xml:space="preserve"> and</w:t>
            </w:r>
            <w:r w:rsidRPr="009E1644">
              <w:rPr>
                <w:rFonts w:ascii="Times New Roman" w:eastAsia="Yu Mincho" w:hAnsi="Times New Roman"/>
                <w:b/>
                <w:sz w:val="18"/>
                <w:szCs w:val="18"/>
                <w:lang w:val="en-GB"/>
              </w:rPr>
              <w:t xml:space="preserve"> engagement with other communities to inform models</w:t>
            </w:r>
            <w:r w:rsidR="00191B3F" w:rsidRPr="009E1644">
              <w:rPr>
                <w:rFonts w:ascii="Times New Roman" w:eastAsia="Yu Mincho" w:hAnsi="Times New Roman"/>
                <w:b/>
                <w:sz w:val="18"/>
                <w:szCs w:val="18"/>
                <w:lang w:val="en-GB"/>
              </w:rPr>
              <w:t xml:space="preserve"> and </w:t>
            </w:r>
            <w:r w:rsidRPr="009E1644">
              <w:rPr>
                <w:rFonts w:ascii="Times New Roman" w:eastAsia="Yu Mincho" w:hAnsi="Times New Roman"/>
                <w:b/>
                <w:sz w:val="18"/>
                <w:szCs w:val="18"/>
                <w:lang w:val="en-GB"/>
              </w:rPr>
              <w:t>scenarios</w:t>
            </w:r>
          </w:p>
        </w:tc>
        <w:tc>
          <w:tcPr>
            <w:tcW w:w="1526" w:type="dxa"/>
            <w:tcBorders>
              <w:bottom w:val="nil"/>
            </w:tcBorders>
          </w:tcPr>
          <w:p w14:paraId="72536A3C" w14:textId="77777777" w:rsidR="00326B06" w:rsidRPr="009E1644" w:rsidRDefault="00973879"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 xml:space="preserve">Up to </w:t>
            </w:r>
            <w:r w:rsidR="00B401F9" w:rsidRPr="009E1644">
              <w:rPr>
                <w:rFonts w:ascii="Times New Roman" w:eastAsia="Yu Mincho" w:hAnsi="Times New Roman"/>
                <w:b/>
                <w:sz w:val="18"/>
                <w:szCs w:val="18"/>
                <w:lang w:val="en-GB"/>
              </w:rPr>
              <w:t xml:space="preserve">Q4/2019 </w:t>
            </w:r>
          </w:p>
          <w:p w14:paraId="6E6B6469" w14:textId="143719E5" w:rsidR="00326B06" w:rsidRPr="009E1644" w:rsidRDefault="00326B06" w:rsidP="00005961">
            <w:pPr>
              <w:keepNext/>
              <w:keepLines/>
              <w:tabs>
                <w:tab w:val="left" w:pos="4395"/>
              </w:tabs>
              <w:spacing w:before="60" w:after="60" w:line="240" w:lineRule="auto"/>
              <w:outlineLvl w:val="1"/>
              <w:rPr>
                <w:rFonts w:ascii="Times New Roman" w:eastAsia="Yu Mincho" w:hAnsi="Times New Roman"/>
                <w:sz w:val="18"/>
                <w:szCs w:val="18"/>
                <w:lang w:val="en-GB"/>
              </w:rPr>
            </w:pPr>
            <w:r w:rsidRPr="009E1644">
              <w:rPr>
                <w:rFonts w:ascii="Times New Roman" w:eastAsia="Yu Mincho" w:hAnsi="Times New Roman"/>
                <w:b/>
                <w:sz w:val="18"/>
                <w:szCs w:val="18"/>
                <w:lang w:val="en-GB"/>
              </w:rPr>
              <w:t xml:space="preserve">                   </w:t>
            </w:r>
          </w:p>
        </w:tc>
      </w:tr>
      <w:tr w:rsidR="00005961" w:rsidRPr="009E1644" w14:paraId="7EF498AA" w14:textId="77777777" w:rsidTr="00005961">
        <w:trPr>
          <w:trHeight w:val="280"/>
        </w:trPr>
        <w:tc>
          <w:tcPr>
            <w:tcW w:w="6754" w:type="dxa"/>
            <w:tcBorders>
              <w:top w:val="nil"/>
            </w:tcBorders>
          </w:tcPr>
          <w:p w14:paraId="62945EE2" w14:textId="1B90DF42" w:rsidR="00005961" w:rsidRPr="009E1644" w:rsidRDefault="00005961"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Ensuring the interoperability of models and the linking or harmonizing of models</w:t>
            </w:r>
          </w:p>
        </w:tc>
        <w:tc>
          <w:tcPr>
            <w:tcW w:w="1526" w:type="dxa"/>
            <w:tcBorders>
              <w:top w:val="nil"/>
            </w:tcBorders>
          </w:tcPr>
          <w:p w14:paraId="7108F038" w14:textId="20E91686" w:rsidR="00005961" w:rsidRPr="009E1644" w:rsidRDefault="00005961"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2020 and onwards</w:t>
            </w:r>
          </w:p>
        </w:tc>
      </w:tr>
      <w:tr w:rsidR="003507FE" w:rsidRPr="009E1644" w14:paraId="1FEADB28" w14:textId="77777777" w:rsidTr="00005961">
        <w:tc>
          <w:tcPr>
            <w:tcW w:w="6754" w:type="dxa"/>
            <w:tcBorders>
              <w:bottom w:val="single" w:sz="4" w:space="0" w:color="auto"/>
            </w:tcBorders>
            <w:shd w:val="clear" w:color="auto" w:fill="E7E6E6"/>
          </w:tcPr>
          <w:p w14:paraId="5C2FC3FB" w14:textId="77777777"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44" w:name="_Toc525291191"/>
            <w:bookmarkStart w:id="45" w:name="_Toc526858276"/>
            <w:r w:rsidRPr="009E1644">
              <w:rPr>
                <w:rFonts w:ascii="Times New Roman" w:eastAsia="Yu Gothic Light" w:hAnsi="Times New Roman"/>
                <w:b/>
                <w:sz w:val="18"/>
                <w:szCs w:val="18"/>
                <w:lang w:val="en-GB"/>
              </w:rPr>
              <w:t>Task 3.2 Indicators for successful nature futures based on three perspectives</w:t>
            </w:r>
            <w:bookmarkEnd w:id="44"/>
            <w:bookmarkEnd w:id="45"/>
          </w:p>
        </w:tc>
        <w:tc>
          <w:tcPr>
            <w:tcW w:w="1526" w:type="dxa"/>
            <w:tcBorders>
              <w:bottom w:val="single" w:sz="4" w:space="0" w:color="auto"/>
            </w:tcBorders>
            <w:shd w:val="clear" w:color="auto" w:fill="E7E6E6"/>
          </w:tcPr>
          <w:p w14:paraId="2F7E6B65" w14:textId="3ABA2246"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46" w:name="_Toc525291192"/>
            <w:bookmarkStart w:id="47" w:name="_Toc526858277"/>
            <w:r w:rsidRPr="009E1644">
              <w:rPr>
                <w:rFonts w:ascii="Times New Roman" w:eastAsia="Yu Gothic Light" w:hAnsi="Times New Roman"/>
                <w:b/>
                <w:sz w:val="18"/>
                <w:szCs w:val="18"/>
                <w:lang w:val="en-GB"/>
              </w:rPr>
              <w:t xml:space="preserve">Date </w:t>
            </w:r>
            <w:bookmarkEnd w:id="46"/>
            <w:bookmarkEnd w:id="47"/>
          </w:p>
        </w:tc>
      </w:tr>
      <w:tr w:rsidR="003507FE" w:rsidRPr="009E1644" w14:paraId="06A4D26A" w14:textId="77777777" w:rsidTr="00005961">
        <w:trPr>
          <w:trHeight w:val="2080"/>
        </w:trPr>
        <w:tc>
          <w:tcPr>
            <w:tcW w:w="6754" w:type="dxa"/>
            <w:tcBorders>
              <w:bottom w:val="nil"/>
            </w:tcBorders>
          </w:tcPr>
          <w:p w14:paraId="0FE662BA" w14:textId="77777777" w:rsidR="003507FE" w:rsidRPr="009E1644" w:rsidRDefault="003507FE"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 xml:space="preserve">Indicator development </w:t>
            </w:r>
          </w:p>
          <w:p w14:paraId="3771C361" w14:textId="5670BE31" w:rsidR="00191B3F" w:rsidRPr="009E1644" w:rsidRDefault="003507FE" w:rsidP="00005961">
            <w:pPr>
              <w:spacing w:before="120" w:after="120" w:line="240" w:lineRule="auto"/>
              <w:ind w:left="432"/>
              <w:rPr>
                <w:rFonts w:ascii="Times New Roman" w:eastAsia="Yu Mincho" w:hAnsi="Times New Roman"/>
                <w:b/>
                <w:sz w:val="18"/>
                <w:szCs w:val="18"/>
                <w:lang w:val="en-GB"/>
              </w:rPr>
            </w:pPr>
            <w:r w:rsidRPr="009E1644">
              <w:rPr>
                <w:rFonts w:ascii="Times New Roman" w:eastAsia="Yu Mincho" w:hAnsi="Times New Roman"/>
                <w:sz w:val="18"/>
                <w:szCs w:val="18"/>
                <w:lang w:val="en-GB"/>
              </w:rPr>
              <w:t>Developing indicators w</w:t>
            </w:r>
            <w:r w:rsidR="00191B3F" w:rsidRPr="009E1644">
              <w:rPr>
                <w:rFonts w:ascii="Times New Roman" w:eastAsia="Yu Mincho" w:hAnsi="Times New Roman"/>
                <w:sz w:val="18"/>
                <w:szCs w:val="18"/>
                <w:lang w:val="en-GB"/>
              </w:rPr>
              <w:t>ould</w:t>
            </w:r>
            <w:r w:rsidRPr="009E1644">
              <w:rPr>
                <w:rFonts w:ascii="Times New Roman" w:eastAsia="Yu Mincho" w:hAnsi="Times New Roman"/>
                <w:sz w:val="18"/>
                <w:szCs w:val="18"/>
                <w:lang w:val="en-GB"/>
              </w:rPr>
              <w:t xml:space="preserve"> </w:t>
            </w:r>
            <w:r w:rsidR="00A43F4B" w:rsidRPr="009E1644">
              <w:rPr>
                <w:rFonts w:ascii="Times New Roman" w:eastAsia="Yu Mincho" w:hAnsi="Times New Roman"/>
                <w:sz w:val="18"/>
                <w:szCs w:val="18"/>
                <w:lang w:val="en-GB"/>
              </w:rPr>
              <w:t>include</w:t>
            </w:r>
            <w:r w:rsidRPr="009E1644">
              <w:rPr>
                <w:rFonts w:ascii="Times New Roman" w:eastAsia="Yu Mincho" w:hAnsi="Times New Roman"/>
                <w:sz w:val="18"/>
                <w:szCs w:val="18"/>
                <w:lang w:val="en-GB"/>
              </w:rPr>
              <w:t xml:space="preserve"> an inventory of </w:t>
            </w:r>
            <w:r w:rsidR="00191B3F" w:rsidRPr="009E1644">
              <w:rPr>
                <w:rFonts w:ascii="Times New Roman" w:eastAsia="Yu Mincho" w:hAnsi="Times New Roman"/>
                <w:sz w:val="18"/>
                <w:szCs w:val="18"/>
                <w:lang w:val="en-GB"/>
              </w:rPr>
              <w:t xml:space="preserve">existing </w:t>
            </w:r>
            <w:r w:rsidRPr="009E1644">
              <w:rPr>
                <w:rFonts w:ascii="Times New Roman" w:eastAsia="Yu Mincho" w:hAnsi="Times New Roman"/>
                <w:sz w:val="18"/>
                <w:szCs w:val="18"/>
                <w:lang w:val="en-GB"/>
              </w:rPr>
              <w:t xml:space="preserve">indicators </w:t>
            </w:r>
            <w:r w:rsidR="00191B3F" w:rsidRPr="009E1644">
              <w:rPr>
                <w:rFonts w:ascii="Times New Roman" w:eastAsia="Yu Mincho" w:hAnsi="Times New Roman"/>
                <w:sz w:val="18"/>
                <w:szCs w:val="18"/>
                <w:lang w:val="en-GB"/>
              </w:rPr>
              <w:t xml:space="preserve">for models </w:t>
            </w:r>
            <w:r w:rsidRPr="009E1644">
              <w:rPr>
                <w:rFonts w:ascii="Times New Roman" w:eastAsia="Yu Mincho" w:hAnsi="Times New Roman"/>
                <w:sz w:val="18"/>
                <w:szCs w:val="18"/>
                <w:lang w:val="en-GB"/>
              </w:rPr>
              <w:t>across three perspectives</w:t>
            </w:r>
            <w:r w:rsidR="000C3A64" w:rsidRPr="009E1644">
              <w:rPr>
                <w:rFonts w:ascii="Times New Roman" w:eastAsia="Yu Mincho" w:hAnsi="Times New Roman"/>
                <w:sz w:val="18"/>
                <w:szCs w:val="18"/>
                <w:lang w:val="en-GB"/>
              </w:rPr>
              <w:t xml:space="preserve"> identified in the nature futures framework</w:t>
            </w:r>
            <w:r w:rsidR="00A43F4B" w:rsidRPr="009E1644">
              <w:rPr>
                <w:rFonts w:ascii="Times New Roman" w:eastAsia="Yu Mincho" w:hAnsi="Times New Roman"/>
                <w:sz w:val="18"/>
                <w:szCs w:val="18"/>
                <w:lang w:val="en-GB"/>
              </w:rPr>
              <w:t>; the identification of</w:t>
            </w:r>
            <w:r w:rsidRPr="009E1644">
              <w:rPr>
                <w:rFonts w:ascii="Times New Roman" w:eastAsia="Yu Mincho" w:hAnsi="Times New Roman"/>
                <w:sz w:val="18"/>
                <w:szCs w:val="18"/>
                <w:lang w:val="en-GB"/>
              </w:rPr>
              <w:t xml:space="preserve"> </w:t>
            </w:r>
            <w:r w:rsidR="00A43F4B" w:rsidRPr="009E1644">
              <w:rPr>
                <w:rFonts w:ascii="Times New Roman" w:eastAsia="Yu Mincho" w:hAnsi="Times New Roman"/>
                <w:sz w:val="18"/>
                <w:szCs w:val="18"/>
                <w:lang w:val="en-GB"/>
              </w:rPr>
              <w:t>g</w:t>
            </w:r>
            <w:r w:rsidRPr="009E1644">
              <w:rPr>
                <w:rFonts w:ascii="Times New Roman" w:eastAsia="Yu Mincho" w:hAnsi="Times New Roman"/>
                <w:sz w:val="18"/>
                <w:szCs w:val="18"/>
                <w:lang w:val="en-GB"/>
              </w:rPr>
              <w:t>aps in indicators relevant to perspectives</w:t>
            </w:r>
            <w:r w:rsidR="000C3A64" w:rsidRPr="009E1644">
              <w:rPr>
                <w:rFonts w:ascii="Times New Roman" w:eastAsia="Yu Mincho" w:hAnsi="Times New Roman"/>
                <w:sz w:val="18"/>
                <w:szCs w:val="18"/>
                <w:lang w:val="en-GB"/>
              </w:rPr>
              <w:t xml:space="preserve"> on the relational and intrinsic values of nature</w:t>
            </w:r>
            <w:r w:rsidR="00A43F4B" w:rsidRPr="009E1644">
              <w:rPr>
                <w:rFonts w:ascii="Times New Roman" w:eastAsia="Yu Mincho" w:hAnsi="Times New Roman"/>
                <w:sz w:val="18"/>
                <w:szCs w:val="18"/>
                <w:lang w:val="en-GB"/>
              </w:rPr>
              <w:t xml:space="preserve">; </w:t>
            </w:r>
            <w:r w:rsidR="00E53EDA" w:rsidRPr="009E1644">
              <w:rPr>
                <w:rFonts w:ascii="Times New Roman" w:eastAsia="Yu Mincho" w:hAnsi="Times New Roman"/>
                <w:sz w:val="18"/>
                <w:szCs w:val="18"/>
                <w:lang w:val="en-GB"/>
              </w:rPr>
              <w:t xml:space="preserve">and </w:t>
            </w:r>
            <w:r w:rsidR="00A43F4B" w:rsidRPr="009E1644">
              <w:rPr>
                <w:rFonts w:ascii="Times New Roman" w:eastAsia="Yu Mincho" w:hAnsi="Times New Roman"/>
                <w:sz w:val="18"/>
                <w:szCs w:val="18"/>
                <w:lang w:val="en-GB"/>
              </w:rPr>
              <w:t>a process for incorporating</w:t>
            </w:r>
            <w:r w:rsidR="00191B3F" w:rsidRPr="009E1644">
              <w:rPr>
                <w:rFonts w:ascii="Times New Roman" w:eastAsia="Yu Mincho" w:hAnsi="Times New Roman"/>
                <w:sz w:val="18"/>
                <w:szCs w:val="18"/>
                <w:lang w:val="en-GB"/>
              </w:rPr>
              <w:t xml:space="preserve"> </w:t>
            </w:r>
            <w:r w:rsidRPr="009E1644">
              <w:rPr>
                <w:rFonts w:ascii="Times New Roman" w:eastAsia="Yu Mincho" w:hAnsi="Times New Roman"/>
                <w:sz w:val="18"/>
                <w:szCs w:val="18"/>
                <w:lang w:val="en-GB"/>
              </w:rPr>
              <w:t>qualitative indicators</w:t>
            </w:r>
            <w:r w:rsidR="000C3A64" w:rsidRPr="009E1644">
              <w:rPr>
                <w:rFonts w:ascii="Times New Roman" w:eastAsia="Yu Mincho" w:hAnsi="Times New Roman"/>
                <w:sz w:val="18"/>
                <w:szCs w:val="18"/>
                <w:lang w:val="en-GB"/>
              </w:rPr>
              <w:t>,</w:t>
            </w:r>
            <w:r w:rsidRPr="009E1644">
              <w:rPr>
                <w:rFonts w:ascii="Times New Roman" w:eastAsia="Yu Mincho" w:hAnsi="Times New Roman"/>
                <w:sz w:val="18"/>
                <w:szCs w:val="18"/>
                <w:lang w:val="en-GB"/>
              </w:rPr>
              <w:t xml:space="preserve"> </w:t>
            </w:r>
            <w:r w:rsidR="000C3A64" w:rsidRPr="009E1644">
              <w:rPr>
                <w:rFonts w:ascii="Times New Roman" w:eastAsia="Yu Mincho" w:hAnsi="Times New Roman"/>
                <w:sz w:val="18"/>
                <w:szCs w:val="18"/>
                <w:lang w:val="en-GB"/>
              </w:rPr>
              <w:t xml:space="preserve">data-poor </w:t>
            </w:r>
            <w:r w:rsidRPr="009E1644">
              <w:rPr>
                <w:rFonts w:ascii="Times New Roman" w:eastAsia="Yu Mincho" w:hAnsi="Times New Roman"/>
                <w:sz w:val="18"/>
                <w:szCs w:val="18"/>
                <w:lang w:val="en-GB"/>
              </w:rPr>
              <w:t>indicators</w:t>
            </w:r>
            <w:r w:rsidR="000C3A64" w:rsidRPr="009E1644">
              <w:rPr>
                <w:rFonts w:ascii="Times New Roman" w:eastAsia="Yu Mincho" w:hAnsi="Times New Roman"/>
                <w:sz w:val="18"/>
                <w:szCs w:val="18"/>
                <w:lang w:val="en-GB"/>
              </w:rPr>
              <w:t>,</w:t>
            </w:r>
            <w:r w:rsidRPr="009E1644">
              <w:rPr>
                <w:rFonts w:ascii="Times New Roman" w:eastAsia="Yu Mincho" w:hAnsi="Times New Roman"/>
                <w:sz w:val="18"/>
                <w:szCs w:val="18"/>
                <w:lang w:val="en-GB"/>
              </w:rPr>
              <w:t xml:space="preserve"> </w:t>
            </w:r>
            <w:r w:rsidR="000C3A64" w:rsidRPr="009E1644">
              <w:rPr>
                <w:rFonts w:ascii="Times New Roman" w:eastAsia="Yu Mincho" w:hAnsi="Times New Roman"/>
                <w:sz w:val="18"/>
                <w:szCs w:val="18"/>
                <w:lang w:val="en-GB"/>
              </w:rPr>
              <w:t>and indicators</w:t>
            </w:r>
            <w:r w:rsidR="00191B3F" w:rsidRPr="009E1644">
              <w:rPr>
                <w:rFonts w:ascii="Times New Roman" w:eastAsia="Yu Mincho" w:hAnsi="Times New Roman"/>
                <w:sz w:val="18"/>
                <w:szCs w:val="18"/>
                <w:lang w:val="en-GB"/>
              </w:rPr>
              <w:t xml:space="preserve"> </w:t>
            </w:r>
            <w:r w:rsidR="000C3A64" w:rsidRPr="009E1644">
              <w:rPr>
                <w:rFonts w:ascii="Times New Roman" w:eastAsia="Yu Mincho" w:hAnsi="Times New Roman"/>
                <w:sz w:val="18"/>
                <w:szCs w:val="18"/>
                <w:lang w:val="en-GB"/>
              </w:rPr>
              <w:t xml:space="preserve">which </w:t>
            </w:r>
            <w:r w:rsidRPr="009E1644">
              <w:rPr>
                <w:rFonts w:ascii="Times New Roman" w:eastAsia="Yu Mincho" w:hAnsi="Times New Roman"/>
                <w:sz w:val="18"/>
                <w:szCs w:val="18"/>
                <w:lang w:val="en-GB"/>
              </w:rPr>
              <w:t xml:space="preserve">cannot yet be modelled. </w:t>
            </w:r>
            <w:r w:rsidR="00E53EDA" w:rsidRPr="009E1644">
              <w:rPr>
                <w:rFonts w:ascii="Times New Roman" w:eastAsia="Yu Mincho" w:hAnsi="Times New Roman"/>
                <w:sz w:val="18"/>
                <w:szCs w:val="18"/>
                <w:lang w:val="en-GB"/>
              </w:rPr>
              <w:t>A</w:t>
            </w:r>
            <w:r w:rsidRPr="009E1644">
              <w:rPr>
                <w:rFonts w:ascii="Times New Roman" w:eastAsia="Yu Mincho" w:hAnsi="Times New Roman"/>
                <w:sz w:val="18"/>
                <w:szCs w:val="18"/>
                <w:lang w:val="en-GB"/>
              </w:rPr>
              <w:t xml:space="preserve"> paper proposing indicators for </w:t>
            </w:r>
            <w:r w:rsidR="000C3A64" w:rsidRPr="009E1644">
              <w:rPr>
                <w:rFonts w:ascii="Times New Roman" w:eastAsia="Yu Mincho" w:hAnsi="Times New Roman"/>
                <w:sz w:val="18"/>
                <w:szCs w:val="18"/>
                <w:lang w:val="en-GB"/>
              </w:rPr>
              <w:t xml:space="preserve">different </w:t>
            </w:r>
            <w:r w:rsidRPr="009E1644">
              <w:rPr>
                <w:rFonts w:ascii="Times New Roman" w:eastAsia="Yu Mincho" w:hAnsi="Times New Roman"/>
                <w:sz w:val="18"/>
                <w:szCs w:val="18"/>
                <w:lang w:val="en-GB"/>
              </w:rPr>
              <w:t>perspectives</w:t>
            </w:r>
            <w:r w:rsidR="000C3A64" w:rsidRPr="009E1644">
              <w:rPr>
                <w:rFonts w:ascii="Times New Roman" w:eastAsia="Yu Mincho" w:hAnsi="Times New Roman"/>
                <w:sz w:val="18"/>
                <w:szCs w:val="18"/>
                <w:lang w:val="en-GB"/>
              </w:rPr>
              <w:t xml:space="preserve"> under the nature futures framework</w:t>
            </w:r>
            <w:r w:rsidR="00E53EDA" w:rsidRPr="009E1644">
              <w:rPr>
                <w:rFonts w:ascii="Times New Roman" w:eastAsia="Yu Mincho" w:hAnsi="Times New Roman"/>
                <w:sz w:val="18"/>
                <w:szCs w:val="18"/>
                <w:lang w:val="en-GB"/>
              </w:rPr>
              <w:t xml:space="preserve"> would be developed</w:t>
            </w:r>
            <w:r w:rsidRPr="009E1644">
              <w:rPr>
                <w:rFonts w:ascii="Times New Roman" w:eastAsia="Yu Mincho" w:hAnsi="Times New Roman"/>
                <w:sz w:val="18"/>
                <w:szCs w:val="18"/>
                <w:lang w:val="en-GB"/>
              </w:rPr>
              <w:t>.</w:t>
            </w:r>
          </w:p>
        </w:tc>
        <w:tc>
          <w:tcPr>
            <w:tcW w:w="1526" w:type="dxa"/>
            <w:tcBorders>
              <w:bottom w:val="nil"/>
            </w:tcBorders>
          </w:tcPr>
          <w:p w14:paraId="53E46DE3" w14:textId="77777777" w:rsidR="00C4704F" w:rsidRPr="009E1644" w:rsidRDefault="00973879"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 xml:space="preserve">Up to </w:t>
            </w:r>
            <w:r w:rsidR="000F595A" w:rsidRPr="009E1644">
              <w:rPr>
                <w:rFonts w:ascii="Times New Roman" w:eastAsia="Yu Mincho" w:hAnsi="Times New Roman"/>
                <w:b/>
                <w:sz w:val="18"/>
                <w:szCs w:val="18"/>
                <w:lang w:val="en-GB"/>
              </w:rPr>
              <w:t>Q</w:t>
            </w:r>
            <w:r w:rsidR="00B070AE" w:rsidRPr="009E1644">
              <w:rPr>
                <w:rFonts w:ascii="Times New Roman" w:eastAsia="Yu Mincho" w:hAnsi="Times New Roman"/>
                <w:b/>
                <w:sz w:val="18"/>
                <w:szCs w:val="18"/>
                <w:lang w:val="en-GB"/>
              </w:rPr>
              <w:t>3</w:t>
            </w:r>
            <w:r w:rsidR="000F595A" w:rsidRPr="009E1644">
              <w:rPr>
                <w:rFonts w:ascii="Times New Roman" w:eastAsia="Yu Mincho" w:hAnsi="Times New Roman"/>
                <w:b/>
                <w:sz w:val="18"/>
                <w:szCs w:val="18"/>
                <w:lang w:val="en-GB"/>
              </w:rPr>
              <w:t>/2019</w:t>
            </w:r>
          </w:p>
          <w:p w14:paraId="46B79391" w14:textId="77777777" w:rsidR="00C4704F" w:rsidRPr="009E1644" w:rsidRDefault="00C4704F" w:rsidP="00005961">
            <w:pPr>
              <w:keepNext/>
              <w:keepLines/>
              <w:tabs>
                <w:tab w:val="left" w:pos="4395"/>
              </w:tabs>
              <w:spacing w:before="60" w:after="60" w:line="240" w:lineRule="auto"/>
              <w:outlineLvl w:val="1"/>
              <w:rPr>
                <w:rFonts w:ascii="Times New Roman" w:eastAsia="Yu Mincho" w:hAnsi="Times New Roman"/>
                <w:b/>
                <w:sz w:val="18"/>
                <w:szCs w:val="18"/>
                <w:lang w:val="en-GB"/>
              </w:rPr>
            </w:pPr>
          </w:p>
          <w:p w14:paraId="542C3ECC" w14:textId="77777777" w:rsidR="00C4704F" w:rsidRPr="009E1644" w:rsidRDefault="00C4704F" w:rsidP="00005961">
            <w:pPr>
              <w:keepNext/>
              <w:keepLines/>
              <w:tabs>
                <w:tab w:val="left" w:pos="4395"/>
              </w:tabs>
              <w:spacing w:before="60" w:after="60" w:line="240" w:lineRule="auto"/>
              <w:outlineLvl w:val="1"/>
              <w:rPr>
                <w:rFonts w:ascii="Times New Roman" w:eastAsia="Yu Mincho" w:hAnsi="Times New Roman"/>
                <w:b/>
                <w:sz w:val="18"/>
                <w:szCs w:val="18"/>
                <w:lang w:val="en-GB"/>
              </w:rPr>
            </w:pPr>
          </w:p>
          <w:p w14:paraId="6D591496" w14:textId="77777777" w:rsidR="00C4704F" w:rsidRPr="009E1644" w:rsidRDefault="00C4704F" w:rsidP="00005961">
            <w:pPr>
              <w:keepNext/>
              <w:keepLines/>
              <w:tabs>
                <w:tab w:val="left" w:pos="4395"/>
              </w:tabs>
              <w:spacing w:before="60" w:after="60" w:line="240" w:lineRule="auto"/>
              <w:outlineLvl w:val="1"/>
              <w:rPr>
                <w:rFonts w:ascii="Times New Roman" w:eastAsia="Yu Mincho" w:hAnsi="Times New Roman"/>
                <w:b/>
                <w:sz w:val="18"/>
                <w:szCs w:val="18"/>
                <w:lang w:val="en-GB"/>
              </w:rPr>
            </w:pPr>
          </w:p>
          <w:p w14:paraId="43E19B2C" w14:textId="77777777" w:rsidR="00C4704F" w:rsidRPr="009E1644" w:rsidRDefault="00C4704F" w:rsidP="00005961">
            <w:pPr>
              <w:keepNext/>
              <w:keepLines/>
              <w:tabs>
                <w:tab w:val="left" w:pos="4395"/>
              </w:tabs>
              <w:spacing w:before="60" w:after="60" w:line="240" w:lineRule="auto"/>
              <w:outlineLvl w:val="1"/>
              <w:rPr>
                <w:rFonts w:ascii="Times New Roman" w:eastAsia="Yu Mincho" w:hAnsi="Times New Roman"/>
                <w:b/>
                <w:sz w:val="18"/>
                <w:szCs w:val="18"/>
                <w:lang w:val="en-GB"/>
              </w:rPr>
            </w:pPr>
          </w:p>
          <w:p w14:paraId="226137C2" w14:textId="76339201" w:rsidR="003507FE" w:rsidRPr="009E1644" w:rsidRDefault="003507FE" w:rsidP="00005961">
            <w:pPr>
              <w:keepNext/>
              <w:keepLines/>
              <w:tabs>
                <w:tab w:val="left" w:pos="4395"/>
              </w:tabs>
              <w:spacing w:before="60" w:after="60" w:line="240" w:lineRule="auto"/>
              <w:outlineLvl w:val="1"/>
              <w:rPr>
                <w:rFonts w:ascii="Times New Roman" w:eastAsia="Yu Mincho" w:hAnsi="Times New Roman"/>
                <w:sz w:val="18"/>
                <w:szCs w:val="18"/>
                <w:lang w:val="en-GB"/>
              </w:rPr>
            </w:pPr>
          </w:p>
        </w:tc>
      </w:tr>
      <w:tr w:rsidR="00005961" w:rsidRPr="009E1644" w14:paraId="62B35260" w14:textId="77777777" w:rsidTr="00005961">
        <w:trPr>
          <w:trHeight w:val="523"/>
        </w:trPr>
        <w:tc>
          <w:tcPr>
            <w:tcW w:w="6754" w:type="dxa"/>
            <w:tcBorders>
              <w:top w:val="nil"/>
            </w:tcBorders>
          </w:tcPr>
          <w:p w14:paraId="78548BF2" w14:textId="0AAF273C" w:rsidR="00005961" w:rsidRPr="009E1644" w:rsidRDefault="00005961"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Develop simple policy options using these indicators within the nature futures framework.</w:t>
            </w:r>
          </w:p>
        </w:tc>
        <w:tc>
          <w:tcPr>
            <w:tcW w:w="1526" w:type="dxa"/>
            <w:tcBorders>
              <w:top w:val="nil"/>
            </w:tcBorders>
          </w:tcPr>
          <w:p w14:paraId="5E89ACB4" w14:textId="33751A3E" w:rsidR="00005961" w:rsidRPr="009E1644" w:rsidRDefault="00005961"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2021 and onwards</w:t>
            </w:r>
          </w:p>
        </w:tc>
      </w:tr>
      <w:tr w:rsidR="003507FE" w:rsidRPr="009E1644" w14:paraId="27B49FC3" w14:textId="77777777" w:rsidTr="00AA768A">
        <w:tc>
          <w:tcPr>
            <w:tcW w:w="6754" w:type="dxa"/>
            <w:shd w:val="clear" w:color="auto" w:fill="E7E6E6"/>
          </w:tcPr>
          <w:p w14:paraId="7C28E42D" w14:textId="77777777"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48" w:name="_Toc525291193"/>
            <w:bookmarkStart w:id="49" w:name="_Toc526858278"/>
            <w:r w:rsidRPr="009E1644">
              <w:rPr>
                <w:rFonts w:ascii="Times New Roman" w:eastAsia="Yu Gothic Light" w:hAnsi="Times New Roman"/>
                <w:b/>
                <w:sz w:val="18"/>
                <w:szCs w:val="18"/>
                <w:lang w:val="en-GB"/>
              </w:rPr>
              <w:t>Task 3.3 Drivers and policy options</w:t>
            </w:r>
            <w:bookmarkEnd w:id="48"/>
            <w:bookmarkEnd w:id="49"/>
          </w:p>
        </w:tc>
        <w:tc>
          <w:tcPr>
            <w:tcW w:w="1526" w:type="dxa"/>
            <w:shd w:val="clear" w:color="auto" w:fill="E7E6E6"/>
          </w:tcPr>
          <w:p w14:paraId="47C690FA" w14:textId="602D69BF"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50" w:name="_Toc525291194"/>
            <w:bookmarkStart w:id="51" w:name="_Toc526858279"/>
            <w:r w:rsidRPr="009E1644">
              <w:rPr>
                <w:rFonts w:ascii="Times New Roman" w:eastAsia="Yu Gothic Light" w:hAnsi="Times New Roman"/>
                <w:b/>
                <w:sz w:val="18"/>
                <w:szCs w:val="18"/>
                <w:lang w:val="en-GB"/>
              </w:rPr>
              <w:t xml:space="preserve">Date </w:t>
            </w:r>
            <w:bookmarkEnd w:id="50"/>
            <w:bookmarkEnd w:id="51"/>
          </w:p>
        </w:tc>
      </w:tr>
      <w:tr w:rsidR="003507FE" w:rsidRPr="009E1644" w14:paraId="69EFA477" w14:textId="77777777" w:rsidTr="00AA768A">
        <w:tc>
          <w:tcPr>
            <w:tcW w:w="6754" w:type="dxa"/>
          </w:tcPr>
          <w:p w14:paraId="5761C69E" w14:textId="4521D805" w:rsidR="003507FE" w:rsidRPr="009E1644" w:rsidRDefault="003507FE" w:rsidP="00005961">
            <w:pPr>
              <w:spacing w:before="120" w:after="120" w:line="240" w:lineRule="auto"/>
              <w:ind w:left="432"/>
              <w:rPr>
                <w:rFonts w:ascii="Times New Roman" w:eastAsia="Yu Mincho" w:hAnsi="Times New Roman"/>
                <w:sz w:val="18"/>
                <w:szCs w:val="18"/>
                <w:lang w:val="en-GB"/>
              </w:rPr>
            </w:pPr>
            <w:r w:rsidRPr="009E1644">
              <w:rPr>
                <w:rFonts w:ascii="Times New Roman" w:eastAsia="Yu Mincho" w:hAnsi="Times New Roman"/>
                <w:sz w:val="18"/>
                <w:szCs w:val="18"/>
                <w:lang w:val="en-GB"/>
              </w:rPr>
              <w:t>P</w:t>
            </w:r>
            <w:r w:rsidR="00E53EDA" w:rsidRPr="009E1644">
              <w:rPr>
                <w:rFonts w:ascii="Times New Roman" w:eastAsia="Yu Mincho" w:hAnsi="Times New Roman"/>
                <w:sz w:val="18"/>
                <w:szCs w:val="18"/>
                <w:lang w:val="en-GB"/>
              </w:rPr>
              <w:t>roduction of p</w:t>
            </w:r>
            <w:r w:rsidRPr="009E1644">
              <w:rPr>
                <w:rFonts w:ascii="Times New Roman" w:eastAsia="Yu Mincho" w:hAnsi="Times New Roman"/>
                <w:sz w:val="18"/>
                <w:szCs w:val="18"/>
                <w:lang w:val="en-GB"/>
              </w:rPr>
              <w:t>rojections for trajectories of drivers</w:t>
            </w:r>
            <w:r w:rsidR="00192AF7" w:rsidRPr="009E1644">
              <w:rPr>
                <w:rFonts w:ascii="Times New Roman" w:eastAsia="Yu Mincho" w:hAnsi="Times New Roman"/>
                <w:sz w:val="18"/>
                <w:szCs w:val="18"/>
                <w:lang w:val="en-GB"/>
              </w:rPr>
              <w:t xml:space="preserve"> of change</w:t>
            </w:r>
            <w:r w:rsidRPr="009E1644">
              <w:rPr>
                <w:rFonts w:ascii="Times New Roman" w:eastAsia="Yu Mincho" w:hAnsi="Times New Roman"/>
                <w:sz w:val="18"/>
                <w:szCs w:val="18"/>
                <w:lang w:val="en-GB"/>
              </w:rPr>
              <w:t xml:space="preserve"> (</w:t>
            </w:r>
            <w:r w:rsidR="00E53EDA" w:rsidRPr="009E1644">
              <w:rPr>
                <w:rFonts w:ascii="Times New Roman" w:eastAsia="Yu Mincho" w:hAnsi="Times New Roman"/>
                <w:sz w:val="18"/>
                <w:szCs w:val="18"/>
                <w:lang w:val="en-GB"/>
              </w:rPr>
              <w:t xml:space="preserve">e.g. </w:t>
            </w:r>
            <w:r w:rsidRPr="009E1644">
              <w:rPr>
                <w:rFonts w:ascii="Times New Roman" w:eastAsia="Yu Mincho" w:hAnsi="Times New Roman"/>
                <w:sz w:val="18"/>
                <w:szCs w:val="18"/>
                <w:lang w:val="en-GB"/>
              </w:rPr>
              <w:t>land-use change</w:t>
            </w:r>
            <w:r w:rsidR="00E53EDA" w:rsidRPr="009E1644">
              <w:rPr>
                <w:rFonts w:ascii="Times New Roman" w:eastAsia="Yu Mincho" w:hAnsi="Times New Roman"/>
                <w:sz w:val="18"/>
                <w:szCs w:val="18"/>
                <w:lang w:val="en-GB"/>
              </w:rPr>
              <w:t xml:space="preserve"> or </w:t>
            </w:r>
            <w:r w:rsidRPr="009E1644">
              <w:rPr>
                <w:rFonts w:ascii="Times New Roman" w:eastAsia="Yu Mincho" w:hAnsi="Times New Roman"/>
                <w:sz w:val="18"/>
                <w:szCs w:val="18"/>
                <w:lang w:val="en-GB"/>
              </w:rPr>
              <w:t xml:space="preserve">harvesting of natural resources) and associated policy options </w:t>
            </w:r>
            <w:r w:rsidR="00E53EDA" w:rsidRPr="009E1644">
              <w:rPr>
                <w:rFonts w:ascii="Times New Roman" w:eastAsia="Yu Mincho" w:hAnsi="Times New Roman"/>
                <w:sz w:val="18"/>
                <w:szCs w:val="18"/>
                <w:lang w:val="en-GB"/>
              </w:rPr>
              <w:t>related to</w:t>
            </w:r>
            <w:r w:rsidRPr="009E1644">
              <w:rPr>
                <w:rFonts w:ascii="Times New Roman" w:eastAsia="Yu Mincho" w:hAnsi="Times New Roman"/>
                <w:sz w:val="18"/>
                <w:szCs w:val="18"/>
                <w:lang w:val="en-GB"/>
              </w:rPr>
              <w:t xml:space="preserve"> each of </w:t>
            </w:r>
            <w:r w:rsidR="00191B3F" w:rsidRPr="009E1644">
              <w:rPr>
                <w:rFonts w:ascii="Times New Roman" w:eastAsia="Yu Mincho" w:hAnsi="Times New Roman"/>
                <w:sz w:val="18"/>
                <w:szCs w:val="18"/>
                <w:lang w:val="en-GB"/>
              </w:rPr>
              <w:t xml:space="preserve">the </w:t>
            </w:r>
            <w:r w:rsidRPr="009E1644">
              <w:rPr>
                <w:rFonts w:ascii="Times New Roman" w:eastAsia="Yu Mincho" w:hAnsi="Times New Roman"/>
                <w:sz w:val="18"/>
                <w:szCs w:val="18"/>
                <w:lang w:val="en-GB"/>
              </w:rPr>
              <w:t>nature future scenario</w:t>
            </w:r>
            <w:r w:rsidR="00C12619" w:rsidRPr="009E1644">
              <w:rPr>
                <w:rFonts w:ascii="Times New Roman" w:eastAsia="Yu Mincho" w:hAnsi="Times New Roman"/>
                <w:sz w:val="18"/>
                <w:szCs w:val="18"/>
                <w:lang w:val="en-GB"/>
              </w:rPr>
              <w:t>s</w:t>
            </w:r>
            <w:r w:rsidR="0086365F" w:rsidRPr="009E1644">
              <w:rPr>
                <w:rFonts w:ascii="Times New Roman" w:eastAsia="Yu Mincho" w:hAnsi="Times New Roman"/>
                <w:sz w:val="18"/>
                <w:szCs w:val="18"/>
                <w:lang w:val="en-GB"/>
              </w:rPr>
              <w:t xml:space="preserve">. This will be piloted </w:t>
            </w:r>
            <w:r w:rsidRPr="009E1644">
              <w:rPr>
                <w:rFonts w:ascii="Times New Roman" w:eastAsia="Yu Mincho" w:hAnsi="Times New Roman"/>
                <w:sz w:val="18"/>
                <w:szCs w:val="18"/>
                <w:lang w:val="en-GB"/>
              </w:rPr>
              <w:t xml:space="preserve">at multiple scales in coordination with </w:t>
            </w:r>
            <w:r w:rsidR="00191B3F" w:rsidRPr="009E1644">
              <w:rPr>
                <w:rFonts w:ascii="Times New Roman" w:eastAsia="Yu Mincho" w:hAnsi="Times New Roman"/>
                <w:sz w:val="18"/>
                <w:szCs w:val="18"/>
                <w:lang w:val="en-GB"/>
              </w:rPr>
              <w:t xml:space="preserve">working group </w:t>
            </w:r>
            <w:r w:rsidRPr="009E1644">
              <w:rPr>
                <w:rFonts w:ascii="Times New Roman" w:eastAsia="Yu Mincho" w:hAnsi="Times New Roman"/>
                <w:sz w:val="18"/>
                <w:szCs w:val="18"/>
                <w:lang w:val="en-GB"/>
              </w:rPr>
              <w:t xml:space="preserve">4 of the </w:t>
            </w:r>
            <w:r w:rsidR="00191B3F" w:rsidRPr="009E1644">
              <w:rPr>
                <w:rFonts w:ascii="Times New Roman" w:eastAsia="Yu Mincho" w:hAnsi="Times New Roman"/>
                <w:sz w:val="18"/>
                <w:szCs w:val="18"/>
                <w:lang w:val="en-GB"/>
              </w:rPr>
              <w:t>task force.</w:t>
            </w:r>
            <w:r w:rsidRPr="009E1644">
              <w:rPr>
                <w:rFonts w:ascii="Times New Roman" w:eastAsia="Yu Mincho" w:hAnsi="Times New Roman"/>
                <w:sz w:val="18"/>
                <w:szCs w:val="18"/>
                <w:lang w:val="en-GB"/>
              </w:rPr>
              <w:t xml:space="preserve"> These projections </w:t>
            </w:r>
            <w:r w:rsidR="00191B3F" w:rsidRPr="009E1644">
              <w:rPr>
                <w:rFonts w:ascii="Times New Roman" w:eastAsia="Yu Mincho" w:hAnsi="Times New Roman"/>
                <w:sz w:val="18"/>
                <w:szCs w:val="18"/>
                <w:lang w:val="en-GB"/>
              </w:rPr>
              <w:t xml:space="preserve">would </w:t>
            </w:r>
            <w:r w:rsidRPr="009E1644">
              <w:rPr>
                <w:rFonts w:ascii="Times New Roman" w:eastAsia="Yu Mincho" w:hAnsi="Times New Roman"/>
                <w:sz w:val="18"/>
                <w:szCs w:val="18"/>
                <w:lang w:val="en-GB"/>
              </w:rPr>
              <w:t>also link to other scenarios work on indirect and direct drivers (e.g. Shared</w:t>
            </w:r>
            <w:r w:rsidR="00191B3F" w:rsidRPr="009E1644">
              <w:rPr>
                <w:rFonts w:ascii="Times New Roman" w:eastAsia="Yu Mincho" w:hAnsi="Times New Roman"/>
                <w:sz w:val="18"/>
                <w:szCs w:val="18"/>
                <w:lang w:val="en-GB"/>
              </w:rPr>
              <w:t xml:space="preserve"> </w:t>
            </w:r>
            <w:r w:rsidRPr="009E1644">
              <w:rPr>
                <w:rFonts w:ascii="Times New Roman" w:eastAsia="Yu Mincho" w:hAnsi="Times New Roman"/>
                <w:sz w:val="18"/>
                <w:szCs w:val="18"/>
                <w:lang w:val="en-GB"/>
              </w:rPr>
              <w:t>Socioeconomic Pathways).</w:t>
            </w:r>
          </w:p>
        </w:tc>
        <w:tc>
          <w:tcPr>
            <w:tcW w:w="1526" w:type="dxa"/>
          </w:tcPr>
          <w:p w14:paraId="5D0D7FE0" w14:textId="42DA4175" w:rsidR="003507FE" w:rsidRPr="009E1644" w:rsidRDefault="00410646"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2019</w:t>
            </w:r>
            <w:r w:rsidR="00B070AE" w:rsidRPr="009E1644">
              <w:rPr>
                <w:rFonts w:ascii="Times New Roman" w:eastAsia="Yu Mincho" w:hAnsi="Times New Roman"/>
                <w:b/>
                <w:sz w:val="18"/>
                <w:szCs w:val="18"/>
                <w:lang w:val="en-GB"/>
              </w:rPr>
              <w:t>-2020</w:t>
            </w:r>
          </w:p>
        </w:tc>
      </w:tr>
      <w:tr w:rsidR="003507FE" w:rsidRPr="009E1644" w14:paraId="2DD406E6" w14:textId="77777777" w:rsidTr="00AA768A">
        <w:tc>
          <w:tcPr>
            <w:tcW w:w="6754" w:type="dxa"/>
            <w:shd w:val="clear" w:color="auto" w:fill="E7E6E6"/>
          </w:tcPr>
          <w:p w14:paraId="29855F3F" w14:textId="77777777"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52" w:name="_Toc525291195"/>
            <w:bookmarkStart w:id="53" w:name="_Toc526858280"/>
            <w:r w:rsidRPr="009E1644">
              <w:rPr>
                <w:rFonts w:ascii="Times New Roman" w:eastAsia="Yu Gothic Light" w:hAnsi="Times New Roman"/>
                <w:b/>
                <w:sz w:val="18"/>
                <w:szCs w:val="18"/>
                <w:lang w:val="en-GB"/>
              </w:rPr>
              <w:t>Task 3.4 Biodiversity, ecosystem services and their interlinkages</w:t>
            </w:r>
            <w:bookmarkEnd w:id="52"/>
            <w:bookmarkEnd w:id="53"/>
          </w:p>
        </w:tc>
        <w:tc>
          <w:tcPr>
            <w:tcW w:w="1526" w:type="dxa"/>
            <w:shd w:val="clear" w:color="auto" w:fill="E7E6E6"/>
          </w:tcPr>
          <w:p w14:paraId="7CA3AA95" w14:textId="4F281840"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54" w:name="_Toc525291196"/>
            <w:bookmarkStart w:id="55" w:name="_Toc526858281"/>
            <w:r w:rsidRPr="009E1644">
              <w:rPr>
                <w:rFonts w:ascii="Times New Roman" w:eastAsia="Yu Gothic Light" w:hAnsi="Times New Roman"/>
                <w:b/>
                <w:sz w:val="18"/>
                <w:szCs w:val="18"/>
                <w:lang w:val="en-GB"/>
              </w:rPr>
              <w:t xml:space="preserve">Date </w:t>
            </w:r>
            <w:bookmarkEnd w:id="54"/>
            <w:bookmarkEnd w:id="55"/>
          </w:p>
        </w:tc>
      </w:tr>
      <w:tr w:rsidR="003507FE" w:rsidRPr="009E1644" w14:paraId="17B0F362" w14:textId="77777777" w:rsidTr="00AA768A">
        <w:tc>
          <w:tcPr>
            <w:tcW w:w="6754" w:type="dxa"/>
          </w:tcPr>
          <w:p w14:paraId="3A196744" w14:textId="1E0EDCC9" w:rsidR="003507FE" w:rsidRPr="009E1644" w:rsidRDefault="007C2E5C" w:rsidP="00005961">
            <w:pPr>
              <w:spacing w:before="120" w:after="120" w:line="240" w:lineRule="auto"/>
              <w:ind w:left="432"/>
              <w:rPr>
                <w:rFonts w:ascii="Times New Roman" w:eastAsia="Yu Mincho" w:hAnsi="Times New Roman"/>
                <w:sz w:val="18"/>
                <w:szCs w:val="18"/>
                <w:lang w:val="en-GB"/>
              </w:rPr>
            </w:pPr>
            <w:r w:rsidRPr="009E1644">
              <w:rPr>
                <w:rFonts w:ascii="Times New Roman" w:eastAsia="Yu Mincho" w:hAnsi="Times New Roman"/>
                <w:sz w:val="18"/>
                <w:szCs w:val="18"/>
                <w:lang w:val="en-GB"/>
              </w:rPr>
              <w:t>D</w:t>
            </w:r>
            <w:r w:rsidR="003507FE" w:rsidRPr="009E1644">
              <w:rPr>
                <w:rFonts w:ascii="Times New Roman" w:eastAsia="Yu Mincho" w:hAnsi="Times New Roman"/>
                <w:sz w:val="18"/>
                <w:szCs w:val="18"/>
                <w:lang w:val="en-GB"/>
              </w:rPr>
              <w:t>etailed biodiversity projections for each nature future at the global scale and at sub-global scales w</w:t>
            </w:r>
            <w:r w:rsidR="00191B3F" w:rsidRPr="009E1644">
              <w:rPr>
                <w:rFonts w:ascii="Times New Roman" w:eastAsia="Yu Mincho" w:hAnsi="Times New Roman"/>
                <w:sz w:val="18"/>
                <w:szCs w:val="18"/>
                <w:lang w:val="en-GB"/>
              </w:rPr>
              <w:t>ould</w:t>
            </w:r>
            <w:r w:rsidR="003507FE" w:rsidRPr="009E1644">
              <w:rPr>
                <w:rFonts w:ascii="Times New Roman" w:eastAsia="Yu Mincho" w:hAnsi="Times New Roman"/>
                <w:sz w:val="18"/>
                <w:szCs w:val="18"/>
                <w:lang w:val="en-GB"/>
              </w:rPr>
              <w:t xml:space="preserve"> be developed in coordination with </w:t>
            </w:r>
            <w:r w:rsidR="00191B3F" w:rsidRPr="009E1644">
              <w:rPr>
                <w:rFonts w:ascii="Times New Roman" w:eastAsia="Yu Mincho" w:hAnsi="Times New Roman"/>
                <w:sz w:val="18"/>
                <w:szCs w:val="18"/>
                <w:lang w:val="en-GB"/>
              </w:rPr>
              <w:t xml:space="preserve">working group </w:t>
            </w:r>
            <w:r w:rsidR="003507FE" w:rsidRPr="009E1644">
              <w:rPr>
                <w:rFonts w:ascii="Times New Roman" w:eastAsia="Yu Mincho" w:hAnsi="Times New Roman"/>
                <w:sz w:val="18"/>
                <w:szCs w:val="18"/>
                <w:lang w:val="en-GB"/>
              </w:rPr>
              <w:t xml:space="preserve">4 of the </w:t>
            </w:r>
            <w:r w:rsidR="00191B3F" w:rsidRPr="009E1644">
              <w:rPr>
                <w:rFonts w:ascii="Times New Roman" w:eastAsia="Yu Mincho" w:hAnsi="Times New Roman"/>
                <w:sz w:val="18"/>
                <w:szCs w:val="18"/>
                <w:lang w:val="en-GB"/>
              </w:rPr>
              <w:t>task force</w:t>
            </w:r>
            <w:r w:rsidR="003507FE" w:rsidRPr="009E1644">
              <w:rPr>
                <w:rFonts w:ascii="Times New Roman" w:eastAsia="Yu Mincho" w:hAnsi="Times New Roman"/>
                <w:sz w:val="18"/>
                <w:szCs w:val="18"/>
                <w:lang w:val="en-GB"/>
              </w:rPr>
              <w:t xml:space="preserve">. </w:t>
            </w:r>
            <w:r w:rsidR="00191B3F" w:rsidRPr="009E1644">
              <w:rPr>
                <w:rFonts w:ascii="Times New Roman" w:eastAsia="Yu Mincho" w:hAnsi="Times New Roman"/>
                <w:sz w:val="18"/>
                <w:szCs w:val="18"/>
                <w:lang w:val="en-GB"/>
              </w:rPr>
              <w:t>C</w:t>
            </w:r>
            <w:r w:rsidR="003507FE" w:rsidRPr="009E1644">
              <w:rPr>
                <w:rFonts w:ascii="Times New Roman" w:eastAsia="Yu Mincho" w:hAnsi="Times New Roman"/>
                <w:sz w:val="18"/>
                <w:szCs w:val="18"/>
                <w:lang w:val="en-GB"/>
              </w:rPr>
              <w:t xml:space="preserve">hanges in ecosystem services </w:t>
            </w:r>
            <w:r w:rsidR="00191B3F" w:rsidRPr="009E1644">
              <w:rPr>
                <w:rFonts w:ascii="Times New Roman" w:eastAsia="Yu Mincho" w:hAnsi="Times New Roman"/>
                <w:sz w:val="18"/>
                <w:szCs w:val="18"/>
                <w:lang w:val="en-GB"/>
              </w:rPr>
              <w:t xml:space="preserve">would be projected </w:t>
            </w:r>
            <w:r w:rsidR="003507FE" w:rsidRPr="009E1644">
              <w:rPr>
                <w:rFonts w:ascii="Times New Roman" w:eastAsia="Yu Mincho" w:hAnsi="Times New Roman"/>
                <w:sz w:val="18"/>
                <w:szCs w:val="18"/>
                <w:lang w:val="en-GB"/>
              </w:rPr>
              <w:t>based on changes in biodiversity and direct drivers in each nature future at the global and sub-global scales.</w:t>
            </w:r>
            <w:r w:rsidR="008E3A54" w:rsidRPr="009E1644">
              <w:rPr>
                <w:rFonts w:ascii="Times New Roman" w:eastAsia="Yu Mincho" w:hAnsi="Times New Roman"/>
                <w:sz w:val="18"/>
                <w:szCs w:val="18"/>
                <w:lang w:val="en-GB"/>
              </w:rPr>
              <w:t xml:space="preserve"> </w:t>
            </w:r>
          </w:p>
        </w:tc>
        <w:tc>
          <w:tcPr>
            <w:tcW w:w="1526" w:type="dxa"/>
          </w:tcPr>
          <w:p w14:paraId="7B9B8101" w14:textId="2CA80EF5" w:rsidR="003507FE" w:rsidRPr="009E1644" w:rsidRDefault="00B070AE"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2020-2022</w:t>
            </w:r>
          </w:p>
        </w:tc>
      </w:tr>
      <w:tr w:rsidR="003507FE" w:rsidRPr="009E1644" w14:paraId="6E83E751" w14:textId="77777777" w:rsidTr="00AA768A">
        <w:tc>
          <w:tcPr>
            <w:tcW w:w="6754" w:type="dxa"/>
            <w:shd w:val="clear" w:color="auto" w:fill="E7E6E6"/>
          </w:tcPr>
          <w:p w14:paraId="123AEE36" w14:textId="15F4A585"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56" w:name="_Toc525291197"/>
            <w:bookmarkStart w:id="57" w:name="_Toc526858282"/>
            <w:r w:rsidRPr="009E1644">
              <w:rPr>
                <w:rFonts w:ascii="Times New Roman" w:eastAsia="Yu Gothic Light" w:hAnsi="Times New Roman"/>
                <w:b/>
                <w:sz w:val="18"/>
                <w:szCs w:val="18"/>
                <w:lang w:val="en-GB"/>
              </w:rPr>
              <w:t>Task 3.5 Socio-ecological feedbacks</w:t>
            </w:r>
            <w:bookmarkEnd w:id="56"/>
            <w:bookmarkEnd w:id="57"/>
          </w:p>
        </w:tc>
        <w:tc>
          <w:tcPr>
            <w:tcW w:w="1526" w:type="dxa"/>
            <w:shd w:val="clear" w:color="auto" w:fill="E7E6E6"/>
          </w:tcPr>
          <w:p w14:paraId="79D153AC" w14:textId="50373334"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58" w:name="_Toc525291198"/>
            <w:bookmarkStart w:id="59" w:name="_Toc526858283"/>
            <w:r w:rsidRPr="009E1644">
              <w:rPr>
                <w:rFonts w:ascii="Times New Roman" w:eastAsia="Yu Gothic Light" w:hAnsi="Times New Roman"/>
                <w:b/>
                <w:sz w:val="18"/>
                <w:szCs w:val="18"/>
                <w:lang w:val="en-GB"/>
              </w:rPr>
              <w:t xml:space="preserve">Date </w:t>
            </w:r>
            <w:bookmarkEnd w:id="58"/>
            <w:bookmarkEnd w:id="59"/>
          </w:p>
        </w:tc>
      </w:tr>
      <w:tr w:rsidR="003507FE" w:rsidRPr="009E1644" w14:paraId="7CBB7273" w14:textId="77777777" w:rsidTr="00AA768A">
        <w:tc>
          <w:tcPr>
            <w:tcW w:w="6754" w:type="dxa"/>
          </w:tcPr>
          <w:p w14:paraId="554DF5C0" w14:textId="0FCD87D0" w:rsidR="003507FE" w:rsidRPr="009E1644" w:rsidRDefault="003507FE" w:rsidP="00005961">
            <w:pPr>
              <w:spacing w:before="120" w:after="120" w:line="240" w:lineRule="auto"/>
              <w:ind w:left="432"/>
              <w:rPr>
                <w:rFonts w:ascii="Times New Roman" w:eastAsia="Yu Mincho" w:hAnsi="Times New Roman"/>
                <w:sz w:val="18"/>
                <w:szCs w:val="18"/>
                <w:lang w:val="en-GB"/>
              </w:rPr>
            </w:pPr>
            <w:r w:rsidRPr="009E1644">
              <w:rPr>
                <w:rFonts w:ascii="Times New Roman" w:eastAsia="Yu Mincho" w:hAnsi="Times New Roman"/>
                <w:sz w:val="18"/>
                <w:szCs w:val="18"/>
                <w:lang w:val="en-GB"/>
              </w:rPr>
              <w:t xml:space="preserve">An analysis of socio-ecological feedbacks </w:t>
            </w:r>
            <w:r w:rsidR="00E53EDA" w:rsidRPr="009E1644">
              <w:rPr>
                <w:rFonts w:ascii="Times New Roman" w:eastAsia="Yu Mincho" w:hAnsi="Times New Roman"/>
                <w:sz w:val="18"/>
                <w:szCs w:val="18"/>
                <w:lang w:val="en-GB"/>
              </w:rPr>
              <w:t xml:space="preserve">in nature futures scenarios </w:t>
            </w:r>
            <w:r w:rsidRPr="009E1644">
              <w:rPr>
                <w:rFonts w:ascii="Times New Roman" w:eastAsia="Yu Mincho" w:hAnsi="Times New Roman"/>
                <w:sz w:val="18"/>
                <w:szCs w:val="18"/>
                <w:lang w:val="en-GB"/>
              </w:rPr>
              <w:t xml:space="preserve">from biodiversity and ecosystem services to </w:t>
            </w:r>
            <w:r w:rsidR="00E53EDA" w:rsidRPr="009E1644">
              <w:rPr>
                <w:rFonts w:ascii="Times New Roman" w:eastAsia="Yu Mincho" w:hAnsi="Times New Roman"/>
                <w:sz w:val="18"/>
                <w:szCs w:val="18"/>
                <w:lang w:val="en-GB"/>
              </w:rPr>
              <w:t>people</w:t>
            </w:r>
            <w:r w:rsidRPr="009E1644">
              <w:rPr>
                <w:rFonts w:ascii="Times New Roman" w:eastAsia="Yu Mincho" w:hAnsi="Times New Roman"/>
                <w:sz w:val="18"/>
                <w:szCs w:val="18"/>
                <w:lang w:val="en-GB"/>
              </w:rPr>
              <w:t xml:space="preserve"> w</w:t>
            </w:r>
            <w:r w:rsidR="00191B3F" w:rsidRPr="009E1644">
              <w:rPr>
                <w:rFonts w:ascii="Times New Roman" w:eastAsia="Yu Mincho" w:hAnsi="Times New Roman"/>
                <w:sz w:val="18"/>
                <w:szCs w:val="18"/>
                <w:lang w:val="en-GB"/>
              </w:rPr>
              <w:t>ould</w:t>
            </w:r>
            <w:r w:rsidRPr="009E1644">
              <w:rPr>
                <w:rFonts w:ascii="Times New Roman" w:eastAsia="Yu Mincho" w:hAnsi="Times New Roman"/>
                <w:sz w:val="18"/>
                <w:szCs w:val="18"/>
                <w:lang w:val="en-GB"/>
              </w:rPr>
              <w:t xml:space="preserve"> be conducted, including aspects such as human health, livelihoods and influence on social attitudes towards nature and decision-making.</w:t>
            </w:r>
          </w:p>
        </w:tc>
        <w:tc>
          <w:tcPr>
            <w:tcW w:w="1526" w:type="dxa"/>
          </w:tcPr>
          <w:p w14:paraId="2AD9B32C" w14:textId="2416AE4B" w:rsidR="003507FE" w:rsidRPr="009E1644" w:rsidRDefault="00410646"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Q3</w:t>
            </w:r>
            <w:r w:rsidR="0075015C" w:rsidRPr="009E1644">
              <w:rPr>
                <w:rFonts w:ascii="Times New Roman" w:eastAsia="Yu Mincho" w:hAnsi="Times New Roman"/>
                <w:b/>
                <w:sz w:val="18"/>
                <w:szCs w:val="18"/>
                <w:lang w:val="en-GB"/>
              </w:rPr>
              <w:t>/</w:t>
            </w:r>
            <w:r w:rsidRPr="009E1644">
              <w:rPr>
                <w:rFonts w:ascii="Times New Roman" w:eastAsia="Yu Mincho" w:hAnsi="Times New Roman"/>
                <w:b/>
                <w:sz w:val="18"/>
                <w:szCs w:val="18"/>
                <w:lang w:val="en-GB"/>
              </w:rPr>
              <w:t xml:space="preserve">2019 </w:t>
            </w:r>
            <w:r w:rsidR="00665639" w:rsidRPr="009E1644">
              <w:rPr>
                <w:rFonts w:ascii="Times New Roman" w:eastAsia="Yu Mincho" w:hAnsi="Times New Roman"/>
                <w:b/>
                <w:sz w:val="18"/>
                <w:szCs w:val="18"/>
                <w:lang w:val="en-GB"/>
              </w:rPr>
              <w:t xml:space="preserve">and </w:t>
            </w:r>
            <w:r w:rsidRPr="009E1644">
              <w:rPr>
                <w:rFonts w:ascii="Times New Roman" w:eastAsia="Yu Mincho" w:hAnsi="Times New Roman"/>
                <w:b/>
                <w:sz w:val="18"/>
                <w:szCs w:val="18"/>
                <w:lang w:val="en-GB"/>
              </w:rPr>
              <w:t>onwards</w:t>
            </w:r>
          </w:p>
        </w:tc>
      </w:tr>
    </w:tbl>
    <w:p w14:paraId="3E22B351" w14:textId="77777777" w:rsidR="003507FE" w:rsidRPr="009E1644" w:rsidRDefault="003507FE" w:rsidP="00010790">
      <w:pPr>
        <w:pStyle w:val="Normal-pool"/>
        <w:rPr>
          <w:sz w:val="24"/>
          <w:szCs w:val="24"/>
        </w:rPr>
      </w:pPr>
    </w:p>
    <w:tbl>
      <w:tblPr>
        <w:tblStyle w:val="TableGrid1"/>
        <w:tblW w:w="8280" w:type="dxa"/>
        <w:tblInd w:w="1253" w:type="dxa"/>
        <w:tblLook w:val="04A0" w:firstRow="1" w:lastRow="0" w:firstColumn="1" w:lastColumn="0" w:noHBand="0" w:noVBand="1"/>
      </w:tblPr>
      <w:tblGrid>
        <w:gridCol w:w="6754"/>
        <w:gridCol w:w="1526"/>
      </w:tblGrid>
      <w:tr w:rsidR="003507FE" w:rsidRPr="009E1644" w14:paraId="1DD0AE5C" w14:textId="77777777" w:rsidTr="00AA768A">
        <w:tc>
          <w:tcPr>
            <w:tcW w:w="8280" w:type="dxa"/>
            <w:gridSpan w:val="2"/>
            <w:shd w:val="clear" w:color="auto" w:fill="DEEAF6"/>
          </w:tcPr>
          <w:p w14:paraId="544608E9" w14:textId="6378FDB8"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60" w:name="_Toc525291199"/>
            <w:bookmarkStart w:id="61" w:name="_Toc526858284"/>
            <w:r w:rsidRPr="009E1644">
              <w:rPr>
                <w:rFonts w:ascii="Times New Roman" w:eastAsia="Yu Gothic Light" w:hAnsi="Times New Roman"/>
                <w:b/>
                <w:sz w:val="18"/>
                <w:szCs w:val="18"/>
                <w:lang w:val="en-GB"/>
              </w:rPr>
              <w:t>Working Group 4: Network of sub-global case studies</w:t>
            </w:r>
            <w:bookmarkEnd w:id="60"/>
            <w:bookmarkEnd w:id="61"/>
            <w:r w:rsidR="001C0D99" w:rsidRPr="009E1644">
              <w:rPr>
                <w:rFonts w:ascii="Times New Roman" w:eastAsia="Yu Gothic Light" w:hAnsi="Times New Roman"/>
                <w:b/>
                <w:sz w:val="18"/>
                <w:szCs w:val="18"/>
                <w:lang w:val="en-GB"/>
              </w:rPr>
              <w:t xml:space="preserve"> that regionalize the nature futures framework across various scales.</w:t>
            </w:r>
          </w:p>
        </w:tc>
      </w:tr>
      <w:tr w:rsidR="003507FE" w:rsidRPr="009E1644" w14:paraId="3EA94F17" w14:textId="77777777" w:rsidTr="00AA768A">
        <w:tc>
          <w:tcPr>
            <w:tcW w:w="6754" w:type="dxa"/>
            <w:shd w:val="clear" w:color="auto" w:fill="E7E6E6"/>
          </w:tcPr>
          <w:p w14:paraId="69BDBF7C" w14:textId="77777777"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62" w:name="_Toc525291201"/>
            <w:bookmarkStart w:id="63" w:name="_Toc526858285"/>
            <w:r w:rsidRPr="009E1644">
              <w:rPr>
                <w:rFonts w:ascii="Times New Roman" w:eastAsia="Yu Gothic Light" w:hAnsi="Times New Roman"/>
                <w:b/>
                <w:sz w:val="18"/>
                <w:szCs w:val="18"/>
                <w:lang w:val="en-GB"/>
              </w:rPr>
              <w:t>Task 4.1 Development of strategy for sub-global nature futures scenarios</w:t>
            </w:r>
            <w:bookmarkEnd w:id="62"/>
            <w:bookmarkEnd w:id="63"/>
          </w:p>
        </w:tc>
        <w:tc>
          <w:tcPr>
            <w:tcW w:w="1526" w:type="dxa"/>
            <w:shd w:val="clear" w:color="auto" w:fill="E7E6E6"/>
          </w:tcPr>
          <w:p w14:paraId="2F67DD80" w14:textId="67C033AC" w:rsidR="003507FE" w:rsidRPr="009E1644" w:rsidRDefault="003507FE" w:rsidP="00005961">
            <w:pPr>
              <w:keepNext/>
              <w:keepLines/>
              <w:spacing w:before="120" w:after="120" w:line="240" w:lineRule="auto"/>
              <w:outlineLvl w:val="1"/>
              <w:rPr>
                <w:rFonts w:ascii="Times New Roman" w:eastAsia="Yu Gothic Light" w:hAnsi="Times New Roman"/>
                <w:b/>
                <w:sz w:val="18"/>
                <w:szCs w:val="18"/>
                <w:lang w:val="en-GB"/>
              </w:rPr>
            </w:pPr>
            <w:bookmarkStart w:id="64" w:name="_Toc525291202"/>
            <w:bookmarkStart w:id="65" w:name="_Toc526858286"/>
            <w:r w:rsidRPr="009E1644">
              <w:rPr>
                <w:rFonts w:ascii="Times New Roman" w:eastAsia="Yu Gothic Light" w:hAnsi="Times New Roman"/>
                <w:b/>
                <w:sz w:val="18"/>
                <w:szCs w:val="18"/>
                <w:lang w:val="en-GB"/>
              </w:rPr>
              <w:t xml:space="preserve">Date </w:t>
            </w:r>
            <w:bookmarkEnd w:id="64"/>
            <w:bookmarkEnd w:id="65"/>
          </w:p>
        </w:tc>
      </w:tr>
      <w:tr w:rsidR="003507FE" w:rsidRPr="009E1644" w14:paraId="12CB6439" w14:textId="77777777" w:rsidTr="00AA768A">
        <w:trPr>
          <w:trHeight w:val="493"/>
        </w:trPr>
        <w:tc>
          <w:tcPr>
            <w:tcW w:w="6754" w:type="dxa"/>
          </w:tcPr>
          <w:p w14:paraId="004C0C29" w14:textId="5BCEBB0C" w:rsidR="003507FE" w:rsidRPr="009E1644" w:rsidRDefault="003507FE" w:rsidP="00B97AC6">
            <w:pPr>
              <w:numPr>
                <w:ilvl w:val="0"/>
                <w:numId w:val="5"/>
              </w:numPr>
              <w:spacing w:before="60" w:after="60" w:line="240" w:lineRule="auto"/>
              <w:rPr>
                <w:rFonts w:ascii="Times New Roman" w:eastAsia="Yu Mincho" w:hAnsi="Times New Roman"/>
                <w:b/>
                <w:sz w:val="18"/>
                <w:szCs w:val="18"/>
                <w:lang w:val="en-GB"/>
              </w:rPr>
            </w:pPr>
            <w:r w:rsidRPr="009E1644">
              <w:rPr>
                <w:rFonts w:ascii="Times New Roman" w:eastAsia="Yu Mincho" w:hAnsi="Times New Roman"/>
                <w:b/>
                <w:sz w:val="18"/>
                <w:szCs w:val="18"/>
                <w:lang w:val="en-GB"/>
              </w:rPr>
              <w:t xml:space="preserve">Development of toolkit to coordinate across case studies, i.e. guidelines for stakeholder workshops that introduce and/or regionalise the </w:t>
            </w:r>
            <w:r w:rsidR="00191B3F" w:rsidRPr="009E1644">
              <w:rPr>
                <w:rFonts w:ascii="Times New Roman" w:eastAsia="Yu Mincho" w:hAnsi="Times New Roman"/>
                <w:b/>
                <w:sz w:val="18"/>
                <w:szCs w:val="18"/>
                <w:lang w:val="en-GB"/>
              </w:rPr>
              <w:t>nature futures framework</w:t>
            </w:r>
            <w:r w:rsidR="00FE08C3" w:rsidRPr="009E1644">
              <w:rPr>
                <w:rFonts w:ascii="Times New Roman" w:eastAsia="Yu Mincho" w:hAnsi="Times New Roman"/>
                <w:b/>
                <w:sz w:val="18"/>
                <w:szCs w:val="18"/>
                <w:lang w:val="en-GB"/>
              </w:rPr>
              <w:t>.</w:t>
            </w:r>
          </w:p>
        </w:tc>
        <w:tc>
          <w:tcPr>
            <w:tcW w:w="1526" w:type="dxa"/>
          </w:tcPr>
          <w:p w14:paraId="007B3C77" w14:textId="56633298" w:rsidR="003507FE" w:rsidRPr="009E1644" w:rsidRDefault="00B401F9" w:rsidP="00005961">
            <w:pPr>
              <w:keepNext/>
              <w:keepLines/>
              <w:tabs>
                <w:tab w:val="left" w:pos="4395"/>
              </w:tabs>
              <w:spacing w:before="60" w:after="60" w:line="240" w:lineRule="auto"/>
              <w:outlineLvl w:val="1"/>
              <w:rPr>
                <w:rFonts w:ascii="Times New Roman" w:eastAsia="Yu Mincho" w:hAnsi="Times New Roman"/>
                <w:b/>
                <w:sz w:val="18"/>
                <w:szCs w:val="18"/>
                <w:lang w:val="en-GB"/>
              </w:rPr>
            </w:pPr>
            <w:r w:rsidRPr="009E1644">
              <w:rPr>
                <w:rFonts w:ascii="Times New Roman" w:eastAsia="Yu Mincho" w:hAnsi="Times New Roman"/>
                <w:b/>
                <w:sz w:val="18"/>
                <w:szCs w:val="18"/>
                <w:lang w:val="en-GB"/>
              </w:rPr>
              <w:t xml:space="preserve">Q1/2019 </w:t>
            </w:r>
            <w:r w:rsidR="00665639" w:rsidRPr="009E1644">
              <w:rPr>
                <w:rFonts w:ascii="Times New Roman" w:eastAsia="Yu Mincho" w:hAnsi="Times New Roman"/>
                <w:b/>
                <w:sz w:val="18"/>
                <w:szCs w:val="18"/>
                <w:lang w:val="en-GB"/>
              </w:rPr>
              <w:t xml:space="preserve">and </w:t>
            </w:r>
            <w:r w:rsidRPr="009E1644">
              <w:rPr>
                <w:rFonts w:ascii="Times New Roman" w:eastAsia="Yu Mincho" w:hAnsi="Times New Roman"/>
                <w:b/>
                <w:sz w:val="18"/>
                <w:szCs w:val="18"/>
                <w:lang w:val="en-GB"/>
              </w:rPr>
              <w:t>onwards</w:t>
            </w:r>
          </w:p>
        </w:tc>
      </w:tr>
      <w:tr w:rsidR="008115EC" w:rsidRPr="009E1644" w14:paraId="41E1F0BE" w14:textId="77777777" w:rsidTr="00AA768A">
        <w:tc>
          <w:tcPr>
            <w:tcW w:w="6754" w:type="dxa"/>
            <w:shd w:val="clear" w:color="auto" w:fill="E7E6E6"/>
          </w:tcPr>
          <w:p w14:paraId="40624647" w14:textId="0074775D" w:rsidR="008115EC" w:rsidRPr="009E1644" w:rsidRDefault="008115EC" w:rsidP="00005961">
            <w:pPr>
              <w:keepNext/>
              <w:keepLines/>
              <w:spacing w:before="120" w:after="120" w:line="240" w:lineRule="auto"/>
              <w:outlineLvl w:val="1"/>
              <w:rPr>
                <w:rFonts w:ascii="Times New Roman" w:eastAsia="Yu Gothic Light" w:hAnsi="Times New Roman"/>
                <w:b/>
                <w:sz w:val="18"/>
                <w:szCs w:val="18"/>
                <w:lang w:val="en-GB"/>
              </w:rPr>
            </w:pPr>
            <w:bookmarkStart w:id="66" w:name="_Toc525291203"/>
            <w:bookmarkStart w:id="67" w:name="_Toc526858287"/>
            <w:r w:rsidRPr="009E1644">
              <w:rPr>
                <w:rFonts w:ascii="Times New Roman" w:eastAsia="Yu Gothic Light" w:hAnsi="Times New Roman"/>
                <w:b/>
                <w:sz w:val="18"/>
                <w:szCs w:val="18"/>
                <w:lang w:val="en-GB"/>
              </w:rPr>
              <w:t xml:space="preserve">Task 4.2 to 4.5 Development of </w:t>
            </w:r>
            <w:r w:rsidR="00191B3F" w:rsidRPr="009E1644">
              <w:rPr>
                <w:rFonts w:ascii="Times New Roman" w:eastAsia="Yu Gothic Light" w:hAnsi="Times New Roman"/>
                <w:b/>
                <w:sz w:val="18"/>
                <w:szCs w:val="18"/>
                <w:lang w:val="en-GB"/>
              </w:rPr>
              <w:t xml:space="preserve">nature futures scenarios </w:t>
            </w:r>
            <w:r w:rsidRPr="009E1644">
              <w:rPr>
                <w:rFonts w:ascii="Times New Roman" w:eastAsia="Yu Gothic Light" w:hAnsi="Times New Roman"/>
                <w:b/>
                <w:sz w:val="18"/>
                <w:szCs w:val="18"/>
                <w:lang w:val="en-GB"/>
              </w:rPr>
              <w:t xml:space="preserve">in </w:t>
            </w:r>
            <w:bookmarkEnd w:id="66"/>
            <w:r w:rsidRPr="009E1644">
              <w:rPr>
                <w:rFonts w:ascii="Times New Roman" w:eastAsia="Yu Gothic Light" w:hAnsi="Times New Roman"/>
                <w:b/>
                <w:sz w:val="18"/>
                <w:szCs w:val="18"/>
                <w:lang w:val="en-GB"/>
              </w:rPr>
              <w:t>several sub-regions</w:t>
            </w:r>
            <w:bookmarkEnd w:id="67"/>
          </w:p>
        </w:tc>
        <w:tc>
          <w:tcPr>
            <w:tcW w:w="1526" w:type="dxa"/>
            <w:shd w:val="clear" w:color="auto" w:fill="E7E6E6"/>
          </w:tcPr>
          <w:p w14:paraId="152EDD06" w14:textId="20CE0682" w:rsidR="008115EC" w:rsidRPr="009E1644" w:rsidRDefault="00FE08C3" w:rsidP="00005961">
            <w:pPr>
              <w:keepNext/>
              <w:keepLines/>
              <w:spacing w:before="120" w:after="120" w:line="240" w:lineRule="auto"/>
              <w:outlineLvl w:val="1"/>
              <w:rPr>
                <w:rFonts w:ascii="Times New Roman" w:eastAsia="Yu Gothic Light" w:hAnsi="Times New Roman"/>
                <w:b/>
                <w:sz w:val="18"/>
                <w:szCs w:val="18"/>
                <w:lang w:val="en-GB"/>
              </w:rPr>
            </w:pPr>
            <w:r w:rsidRPr="009E1644">
              <w:rPr>
                <w:rFonts w:ascii="Times New Roman" w:eastAsia="Yu Gothic Light" w:hAnsi="Times New Roman"/>
                <w:b/>
                <w:sz w:val="18"/>
                <w:szCs w:val="18"/>
                <w:lang w:val="en-GB"/>
              </w:rPr>
              <w:t>2</w:t>
            </w:r>
            <w:r w:rsidRPr="009E1644">
              <w:rPr>
                <w:rFonts w:ascii="Times New Roman" w:eastAsia="Yu Mincho" w:hAnsi="Times New Roman"/>
                <w:b/>
                <w:sz w:val="18"/>
                <w:szCs w:val="18"/>
                <w:lang w:val="en-GB"/>
              </w:rPr>
              <w:t xml:space="preserve">019 </w:t>
            </w:r>
            <w:r w:rsidR="00665639" w:rsidRPr="009E1644">
              <w:rPr>
                <w:rFonts w:ascii="Times New Roman" w:eastAsia="Yu Mincho" w:hAnsi="Times New Roman"/>
                <w:b/>
                <w:sz w:val="18"/>
                <w:szCs w:val="18"/>
                <w:lang w:val="en-GB"/>
              </w:rPr>
              <w:t xml:space="preserve">and </w:t>
            </w:r>
            <w:r w:rsidRPr="009E1644">
              <w:rPr>
                <w:rFonts w:ascii="Times New Roman" w:eastAsia="Yu Mincho" w:hAnsi="Times New Roman"/>
                <w:b/>
                <w:sz w:val="18"/>
                <w:szCs w:val="18"/>
                <w:lang w:val="en-GB"/>
              </w:rPr>
              <w:t>onwards</w:t>
            </w:r>
          </w:p>
        </w:tc>
      </w:tr>
      <w:tr w:rsidR="008115EC" w:rsidRPr="009E1644" w14:paraId="352CCF01" w14:textId="77777777" w:rsidTr="00AA768A">
        <w:tc>
          <w:tcPr>
            <w:tcW w:w="6754" w:type="dxa"/>
            <w:shd w:val="clear" w:color="auto" w:fill="E7E6E6"/>
          </w:tcPr>
          <w:p w14:paraId="13DD8065" w14:textId="77777777" w:rsidR="008115EC" w:rsidRPr="009E1644" w:rsidRDefault="008115EC" w:rsidP="00005961">
            <w:pPr>
              <w:keepNext/>
              <w:keepLines/>
              <w:spacing w:before="120" w:after="120" w:line="240" w:lineRule="auto"/>
              <w:outlineLvl w:val="1"/>
              <w:rPr>
                <w:rFonts w:ascii="Times New Roman" w:eastAsia="Yu Gothic Light" w:hAnsi="Times New Roman"/>
                <w:b/>
                <w:sz w:val="18"/>
                <w:szCs w:val="18"/>
                <w:lang w:val="en-GB"/>
              </w:rPr>
            </w:pPr>
            <w:bookmarkStart w:id="68" w:name="_Toc525291211"/>
            <w:bookmarkStart w:id="69" w:name="_Toc526858289"/>
            <w:r w:rsidRPr="009E1644">
              <w:rPr>
                <w:rFonts w:ascii="Times New Roman" w:eastAsia="Yu Gothic Light" w:hAnsi="Times New Roman"/>
                <w:b/>
                <w:sz w:val="18"/>
                <w:szCs w:val="18"/>
                <w:lang w:val="en-GB"/>
              </w:rPr>
              <w:t>Task 4.6 Broader engagement of partners on biodiversity scenarios</w:t>
            </w:r>
            <w:bookmarkEnd w:id="68"/>
            <w:bookmarkEnd w:id="69"/>
          </w:p>
        </w:tc>
        <w:tc>
          <w:tcPr>
            <w:tcW w:w="1526" w:type="dxa"/>
            <w:shd w:val="clear" w:color="auto" w:fill="E7E6E6"/>
          </w:tcPr>
          <w:p w14:paraId="33934E3A" w14:textId="243BAE70" w:rsidR="008115EC" w:rsidRPr="009E1644" w:rsidRDefault="00FE08C3" w:rsidP="007F3F7E">
            <w:pPr>
              <w:keepNext/>
              <w:keepLines/>
              <w:tabs>
                <w:tab w:val="left" w:pos="4395"/>
              </w:tabs>
              <w:spacing w:before="60" w:after="60" w:line="240" w:lineRule="auto"/>
              <w:outlineLvl w:val="1"/>
              <w:rPr>
                <w:rFonts w:ascii="Times New Roman" w:eastAsia="Yu Gothic Light" w:hAnsi="Times New Roman"/>
                <w:b/>
                <w:sz w:val="18"/>
                <w:szCs w:val="18"/>
                <w:lang w:val="en-GB"/>
              </w:rPr>
            </w:pPr>
            <w:r w:rsidRPr="009E1644">
              <w:rPr>
                <w:rFonts w:ascii="Times New Roman" w:eastAsia="Yu Mincho" w:hAnsi="Times New Roman"/>
                <w:b/>
                <w:sz w:val="18"/>
                <w:szCs w:val="18"/>
                <w:lang w:val="en-GB"/>
              </w:rPr>
              <w:t xml:space="preserve">2019 </w:t>
            </w:r>
            <w:r w:rsidR="00665639" w:rsidRPr="009E1644">
              <w:rPr>
                <w:rFonts w:ascii="Times New Roman" w:eastAsia="Yu Mincho" w:hAnsi="Times New Roman"/>
                <w:b/>
                <w:sz w:val="18"/>
                <w:szCs w:val="18"/>
                <w:lang w:val="en-GB"/>
              </w:rPr>
              <w:t xml:space="preserve">and </w:t>
            </w:r>
            <w:r w:rsidRPr="009E1644">
              <w:rPr>
                <w:rFonts w:ascii="Times New Roman" w:eastAsia="Yu Mincho" w:hAnsi="Times New Roman"/>
                <w:b/>
                <w:sz w:val="18"/>
                <w:szCs w:val="18"/>
                <w:lang w:val="en-GB"/>
              </w:rPr>
              <w:t>onwards</w:t>
            </w:r>
          </w:p>
        </w:tc>
      </w:tr>
    </w:tbl>
    <w:p w14:paraId="78E80B41" w14:textId="77777777" w:rsidR="008115EC" w:rsidRPr="009E1644" w:rsidRDefault="008115EC" w:rsidP="00010790">
      <w:pPr>
        <w:pStyle w:val="Normal-pool"/>
      </w:pPr>
      <w:r w:rsidRPr="009E1644">
        <w:br w:type="page"/>
      </w:r>
    </w:p>
    <w:p w14:paraId="0215364A" w14:textId="77777777" w:rsidR="00AA768A" w:rsidRPr="009E1644" w:rsidRDefault="002F4A45" w:rsidP="002F4A45">
      <w:pPr>
        <w:pStyle w:val="Heading2"/>
        <w:rPr>
          <w:sz w:val="24"/>
          <w:szCs w:val="24"/>
        </w:rPr>
      </w:pPr>
      <w:r w:rsidRPr="009E1644">
        <w:rPr>
          <w:sz w:val="24"/>
          <w:szCs w:val="24"/>
        </w:rPr>
        <w:t xml:space="preserve">Appendix </w:t>
      </w:r>
      <w:r w:rsidR="00C4787D" w:rsidRPr="009E1644">
        <w:rPr>
          <w:sz w:val="24"/>
          <w:szCs w:val="24"/>
        </w:rPr>
        <w:t>I</w:t>
      </w:r>
      <w:r w:rsidR="006E1CE6" w:rsidRPr="009E1644">
        <w:rPr>
          <w:sz w:val="24"/>
          <w:szCs w:val="24"/>
        </w:rPr>
        <w:t>I</w:t>
      </w:r>
    </w:p>
    <w:p w14:paraId="7E53A14B" w14:textId="0B12BF12" w:rsidR="00C4787D" w:rsidRPr="009E1644" w:rsidRDefault="00B56C7C" w:rsidP="00010790">
      <w:pPr>
        <w:pStyle w:val="ZZAnxtitle"/>
      </w:pPr>
      <w:r w:rsidRPr="009E1644">
        <w:t>Timeline of activities on</w:t>
      </w:r>
      <w:r w:rsidR="00C4787D" w:rsidRPr="009E1644">
        <w:t xml:space="preserve"> scenarios and models of biodiversity and ecosystems services </w:t>
      </w:r>
      <w:r w:rsidR="00697EB8" w:rsidRPr="009E1644">
        <w:t xml:space="preserve">towards </w:t>
      </w:r>
      <w:r w:rsidRPr="009E1644">
        <w:t>the</w:t>
      </w:r>
      <w:r w:rsidR="00C4787D" w:rsidRPr="009E1644">
        <w:t xml:space="preserve"> work</w:t>
      </w:r>
      <w:r w:rsidRPr="009E1644">
        <w:t xml:space="preserve"> </w:t>
      </w:r>
      <w:r w:rsidR="00C4787D" w:rsidRPr="009E1644">
        <w:t>programme of IPBES</w:t>
      </w:r>
      <w:r w:rsidR="00CB5C91" w:rsidRPr="009E1644">
        <w:t xml:space="preserve"> up to 2030 (prepared </w:t>
      </w:r>
      <w:r w:rsidR="004A67E5" w:rsidRPr="009E1644">
        <w:t xml:space="preserve">by the expert group </w:t>
      </w:r>
      <w:r w:rsidR="00CB5C91" w:rsidRPr="009E1644">
        <w:t>in</w:t>
      </w:r>
      <w:r w:rsidR="004A67E5" w:rsidRPr="009E1644">
        <w:t xml:space="preserve"> June 2018</w:t>
      </w:r>
      <w:r w:rsidR="00CB5C91" w:rsidRPr="009E1644">
        <w:t>)</w:t>
      </w:r>
    </w:p>
    <w:p w14:paraId="214D7506" w14:textId="5572F62E" w:rsidR="00B21D25" w:rsidRPr="009E1644" w:rsidRDefault="00F05443" w:rsidP="00D93BF9">
      <w:pPr>
        <w:spacing w:after="0" w:line="240" w:lineRule="auto"/>
        <w:rPr>
          <w:lang w:val="en-GB"/>
        </w:rPr>
      </w:pPr>
      <w:r w:rsidRPr="009E1644">
        <w:rPr>
          <w:rFonts w:eastAsia="Yu Mincho"/>
          <w:noProof/>
          <w:szCs w:val="21"/>
          <w:lang w:val="en-GB" w:eastAsia="en-GB"/>
        </w:rPr>
        <w:drawing>
          <wp:inline distT="0" distB="0" distL="0" distR="0" wp14:anchorId="7CC126AD" wp14:editId="48821FCA">
            <wp:extent cx="6029960" cy="4283817"/>
            <wp:effectExtent l="0" t="0" r="889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9960" cy="4283817"/>
                    </a:xfrm>
                    <a:prstGeom prst="rect">
                      <a:avLst/>
                    </a:prstGeom>
                    <a:noFill/>
                  </pic:spPr>
                </pic:pic>
              </a:graphicData>
            </a:graphic>
          </wp:inline>
        </w:drawing>
      </w:r>
    </w:p>
    <w:p w14:paraId="365B32E1" w14:textId="63BBB85B" w:rsidR="00AE0E4E" w:rsidRPr="009E1644" w:rsidRDefault="00AE0E4E" w:rsidP="00D93BF9">
      <w:pPr>
        <w:spacing w:after="0" w:line="240" w:lineRule="auto"/>
        <w:rPr>
          <w:lang w:val="en-GB"/>
        </w:rPr>
      </w:pPr>
    </w:p>
    <w:p w14:paraId="339C5400" w14:textId="0F4F4EC8" w:rsidR="00AE0E4E" w:rsidRPr="009E1644" w:rsidRDefault="00AE0E4E">
      <w:pPr>
        <w:spacing w:after="0" w:line="240" w:lineRule="auto"/>
        <w:rPr>
          <w:lang w:val="en-GB"/>
        </w:rPr>
      </w:pPr>
      <w:r w:rsidRPr="009E1644">
        <w:rPr>
          <w:lang w:val="en-GB"/>
        </w:rPr>
        <w:br w:type="page"/>
      </w:r>
    </w:p>
    <w:p w14:paraId="0450AE1C" w14:textId="77777777" w:rsidR="00AA768A" w:rsidRPr="009E1644" w:rsidRDefault="00AE0E4E" w:rsidP="00812CBD">
      <w:pPr>
        <w:pStyle w:val="Heading2"/>
        <w:rPr>
          <w:sz w:val="24"/>
          <w:szCs w:val="24"/>
        </w:rPr>
      </w:pPr>
      <w:r w:rsidRPr="009E1644">
        <w:rPr>
          <w:sz w:val="24"/>
          <w:szCs w:val="24"/>
        </w:rPr>
        <w:t>Appendix III</w:t>
      </w:r>
    </w:p>
    <w:p w14:paraId="0A0EBF0A" w14:textId="53F1F4FF" w:rsidR="00AE0E4E" w:rsidRPr="009E1644" w:rsidRDefault="00812CBD" w:rsidP="00010790">
      <w:pPr>
        <w:pStyle w:val="ZZAnxtitle"/>
      </w:pPr>
      <w:r w:rsidRPr="009E1644">
        <w:t>Iterative s</w:t>
      </w:r>
      <w:r w:rsidR="00AE0E4E" w:rsidRPr="009E1644">
        <w:t>teps in the participatory development of positive scenarios on the future of nature and nature’s contributions to people</w:t>
      </w:r>
    </w:p>
    <w:p w14:paraId="36964159" w14:textId="77777777" w:rsidR="009A2B61" w:rsidRPr="009E1644" w:rsidRDefault="003E16B6" w:rsidP="00AA768A">
      <w:pPr>
        <w:pStyle w:val="Normalnumber"/>
        <w:numPr>
          <w:ilvl w:val="0"/>
          <w:numId w:val="0"/>
        </w:numPr>
        <w:ind w:left="1253"/>
      </w:pPr>
      <w:r w:rsidRPr="009E1644">
        <w:t>The development of scenarios comprises three steps, with repeating stakeholder consultations</w:t>
      </w:r>
      <w:r w:rsidR="009A2B61" w:rsidRPr="009E1644">
        <w:t>:</w:t>
      </w:r>
    </w:p>
    <w:p w14:paraId="5962C263" w14:textId="39DACB72" w:rsidR="004A67E5" w:rsidRPr="009E1644" w:rsidRDefault="004A67E5" w:rsidP="009E1644">
      <w:pPr>
        <w:pStyle w:val="Normalnumber"/>
        <w:numPr>
          <w:ilvl w:val="0"/>
          <w:numId w:val="8"/>
        </w:numPr>
        <w:tabs>
          <w:tab w:val="clear" w:pos="1247"/>
          <w:tab w:val="clear" w:pos="1814"/>
          <w:tab w:val="clear" w:pos="2381"/>
          <w:tab w:val="clear" w:pos="2948"/>
          <w:tab w:val="clear" w:pos="3515"/>
          <w:tab w:val="left" w:pos="624"/>
        </w:tabs>
        <w:ind w:left="1247" w:firstLine="0"/>
      </w:pPr>
      <w:r w:rsidRPr="009E1644">
        <w:t xml:space="preserve">Formulation of (positive) visions for nature and nature’s contributions to people, based on examples </w:t>
      </w:r>
      <w:r w:rsidR="00A22E18" w:rsidRPr="009E1644">
        <w:t xml:space="preserve">of actions </w:t>
      </w:r>
      <w:r w:rsidRPr="009E1644">
        <w:t>with potential to be expanded</w:t>
      </w:r>
      <w:r w:rsidR="00032506" w:rsidRPr="009E1644">
        <w:t xml:space="preserve"> in the future</w:t>
      </w:r>
      <w:r w:rsidRPr="009E1644">
        <w:t xml:space="preserve"> (seeds). Single visions </w:t>
      </w:r>
      <w:r w:rsidR="00A22E18" w:rsidRPr="009E1644">
        <w:t xml:space="preserve">encompassing </w:t>
      </w:r>
      <w:r w:rsidRPr="009E1644">
        <w:t>various sectors and ecosystems such as agriculture, rural areas, urban areas, marine</w:t>
      </w:r>
      <w:r w:rsidR="00A22E18" w:rsidRPr="009E1644">
        <w:t xml:space="preserve"> areas</w:t>
      </w:r>
      <w:r w:rsidRPr="009E1644">
        <w:t>, etc.</w:t>
      </w:r>
      <w:r w:rsidR="00A22E18" w:rsidRPr="009E1644">
        <w:t xml:space="preserve">, </w:t>
      </w:r>
      <w:r w:rsidR="00032506" w:rsidRPr="009E1644">
        <w:t>can be</w:t>
      </w:r>
      <w:r w:rsidR="00A22E18" w:rsidRPr="009E1644">
        <w:t xml:space="preserve"> developed.</w:t>
      </w:r>
    </w:p>
    <w:p w14:paraId="121D5942" w14:textId="69EA61D0" w:rsidR="005B5381" w:rsidRPr="009E1644" w:rsidRDefault="009A2B61" w:rsidP="009E1644">
      <w:pPr>
        <w:pStyle w:val="Normalnumber"/>
        <w:numPr>
          <w:ilvl w:val="0"/>
          <w:numId w:val="8"/>
        </w:numPr>
        <w:tabs>
          <w:tab w:val="clear" w:pos="1247"/>
          <w:tab w:val="clear" w:pos="1814"/>
          <w:tab w:val="clear" w:pos="2381"/>
          <w:tab w:val="clear" w:pos="2948"/>
          <w:tab w:val="clear" w:pos="3515"/>
          <w:tab w:val="left" w:pos="624"/>
        </w:tabs>
        <w:ind w:left="1247" w:firstLine="0"/>
      </w:pPr>
      <w:r w:rsidRPr="009E1644">
        <w:t xml:space="preserve">Development </w:t>
      </w:r>
      <w:r w:rsidR="00C12802" w:rsidRPr="009E1644">
        <w:t xml:space="preserve">of </w:t>
      </w:r>
      <w:r w:rsidRPr="009E1644">
        <w:t>storylines: describing</w:t>
      </w:r>
      <w:r w:rsidR="005B5381" w:rsidRPr="009E1644">
        <w:t xml:space="preserve"> </w:t>
      </w:r>
      <w:r w:rsidR="00CB5C91" w:rsidRPr="009E1644">
        <w:t>“</w:t>
      </w:r>
      <w:r w:rsidR="005B5381" w:rsidRPr="009E1644">
        <w:t>what the world looks like</w:t>
      </w:r>
      <w:r w:rsidR="00CB5C91" w:rsidRPr="009E1644">
        <w:t>”</w:t>
      </w:r>
      <w:r w:rsidR="004A67E5" w:rsidRPr="009E1644">
        <w:t xml:space="preserve"> as seen from one or a combination of the </w:t>
      </w:r>
      <w:r w:rsidR="005B5381" w:rsidRPr="009E1644">
        <w:t>perspectives</w:t>
      </w:r>
      <w:r w:rsidR="004A67E5" w:rsidRPr="009E1644">
        <w:t xml:space="preserve"> </w:t>
      </w:r>
      <w:r w:rsidR="00032506" w:rsidRPr="009E1644">
        <w:t xml:space="preserve">of </w:t>
      </w:r>
      <w:r w:rsidR="004A67E5" w:rsidRPr="009E1644">
        <w:t>the nature future</w:t>
      </w:r>
      <w:r w:rsidR="00E81C9E" w:rsidRPr="009E1644">
        <w:t>s</w:t>
      </w:r>
      <w:r w:rsidR="004A67E5" w:rsidRPr="009E1644">
        <w:t xml:space="preserve"> framework</w:t>
      </w:r>
      <w:r w:rsidR="00032506" w:rsidRPr="009E1644">
        <w:rPr>
          <w:vertAlign w:val="superscript"/>
        </w:rPr>
        <w:t>4</w:t>
      </w:r>
      <w:r w:rsidR="00772EE1" w:rsidRPr="009E1644">
        <w:t>.</w:t>
      </w:r>
      <w:r w:rsidR="004A67E5" w:rsidRPr="009E1644">
        <w:t xml:space="preserve"> </w:t>
      </w:r>
    </w:p>
    <w:p w14:paraId="28C619C4" w14:textId="6E0EC797" w:rsidR="004A67E5" w:rsidRPr="009E1644" w:rsidRDefault="004A67E5" w:rsidP="009E1644">
      <w:pPr>
        <w:pStyle w:val="Normalnumber"/>
        <w:numPr>
          <w:ilvl w:val="0"/>
          <w:numId w:val="8"/>
        </w:numPr>
        <w:tabs>
          <w:tab w:val="clear" w:pos="1247"/>
          <w:tab w:val="clear" w:pos="1814"/>
          <w:tab w:val="clear" w:pos="2381"/>
          <w:tab w:val="clear" w:pos="2948"/>
          <w:tab w:val="clear" w:pos="3515"/>
          <w:tab w:val="left" w:pos="624"/>
        </w:tabs>
        <w:ind w:left="1247" w:firstLine="0"/>
      </w:pPr>
      <w:r w:rsidRPr="009E1644">
        <w:t xml:space="preserve">Storylines </w:t>
      </w:r>
      <w:r w:rsidR="003D20F8" w:rsidRPr="009E1644">
        <w:t xml:space="preserve">are quantified by assessing plausible socio-economic developments that fit the qualitative storylines. Indirect and direct drivers are described for each storyline, with reference to existing pathways of global change and potential new pathways. For future development this will be based on models such as integrated assessment models. The drivers are linked to biodiversity and ecosystem services models to provide indicators </w:t>
      </w:r>
      <w:r w:rsidR="00FF3C89" w:rsidRPr="009E1644">
        <w:t xml:space="preserve">of </w:t>
      </w:r>
      <w:r w:rsidR="003D20F8" w:rsidRPr="009E1644">
        <w:t>change in nature and nature’s contributions to people.</w:t>
      </w:r>
    </w:p>
    <w:p w14:paraId="6EE6E159" w14:textId="0212D155" w:rsidR="00E232DC" w:rsidRPr="009E1644" w:rsidRDefault="009A2B61" w:rsidP="00AA768A">
      <w:pPr>
        <w:pStyle w:val="Normalnumber"/>
        <w:numPr>
          <w:ilvl w:val="0"/>
          <w:numId w:val="0"/>
        </w:numPr>
        <w:ind w:left="1253"/>
      </w:pPr>
      <w:r w:rsidRPr="009E1644">
        <w:t>Scenario</w:t>
      </w:r>
      <w:r w:rsidR="000504FD" w:rsidRPr="009E1644">
        <w:t>s,</w:t>
      </w:r>
      <w:r w:rsidRPr="009E1644">
        <w:t xml:space="preserve"> </w:t>
      </w:r>
      <w:r w:rsidR="003D20F8" w:rsidRPr="009E1644">
        <w:t xml:space="preserve">defined as </w:t>
      </w:r>
      <w:r w:rsidR="00E232DC" w:rsidRPr="009E1644">
        <w:t>a consistent and plausible picture of a possible future</w:t>
      </w:r>
      <w:r w:rsidR="000504FD" w:rsidRPr="009E1644">
        <w:t>,</w:t>
      </w:r>
      <w:r w:rsidR="003D20F8" w:rsidRPr="009E1644">
        <w:t xml:space="preserve"> are combinations of the qualitative storyline and the quantitative model </w:t>
      </w:r>
      <w:r w:rsidR="00772EE1" w:rsidRPr="009E1644">
        <w:t>o</w:t>
      </w:r>
      <w:r w:rsidR="003D20F8" w:rsidRPr="009E1644">
        <w:t xml:space="preserve">utput. </w:t>
      </w:r>
      <w:r w:rsidR="00A7705B" w:rsidRPr="009E1644">
        <w:t xml:space="preserve"> </w:t>
      </w:r>
    </w:p>
    <w:p w14:paraId="7A81EB24" w14:textId="56E4E78D" w:rsidR="00CD79CB" w:rsidRPr="009E1644" w:rsidRDefault="00A33B48" w:rsidP="00AA768A">
      <w:pPr>
        <w:pStyle w:val="Normalnumber"/>
        <w:numPr>
          <w:ilvl w:val="0"/>
          <w:numId w:val="0"/>
        </w:numPr>
        <w:ind w:left="1260"/>
        <w:jc w:val="both"/>
      </w:pPr>
      <w:r w:rsidRPr="009E1644">
        <w:rPr>
          <w:noProof/>
          <w:lang w:eastAsia="en-GB"/>
        </w:rPr>
        <w:drawing>
          <wp:inline distT="0" distB="0" distL="0" distR="0" wp14:anchorId="1544D1A3" wp14:editId="7AC04B6B">
            <wp:extent cx="5115710" cy="4181291"/>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3580" cy="4220417"/>
                    </a:xfrm>
                    <a:prstGeom prst="rect">
                      <a:avLst/>
                    </a:prstGeom>
                    <a:noFill/>
                  </pic:spPr>
                </pic:pic>
              </a:graphicData>
            </a:graphic>
          </wp:inline>
        </w:drawing>
      </w:r>
    </w:p>
    <w:p w14:paraId="2347FEAD" w14:textId="46D65FCF" w:rsidR="00396929" w:rsidRPr="009E1644" w:rsidRDefault="00396929" w:rsidP="00010790">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010790" w:rsidRPr="009E1644" w14:paraId="37D8C951" w14:textId="77777777" w:rsidTr="00010790">
        <w:tc>
          <w:tcPr>
            <w:tcW w:w="1897" w:type="dxa"/>
          </w:tcPr>
          <w:p w14:paraId="51AC89CA" w14:textId="77777777" w:rsidR="00010790" w:rsidRPr="009E1644" w:rsidRDefault="00010790" w:rsidP="00010790">
            <w:pPr>
              <w:pStyle w:val="Normal-pool"/>
              <w:spacing w:before="520"/>
              <w:rPr>
                <w:lang w:val="en-GB"/>
              </w:rPr>
            </w:pPr>
          </w:p>
        </w:tc>
        <w:tc>
          <w:tcPr>
            <w:tcW w:w="1897" w:type="dxa"/>
          </w:tcPr>
          <w:p w14:paraId="632EE7E4" w14:textId="77777777" w:rsidR="00010790" w:rsidRPr="009E1644" w:rsidRDefault="00010790" w:rsidP="00010790">
            <w:pPr>
              <w:pStyle w:val="Normal-pool"/>
              <w:spacing w:before="520"/>
              <w:rPr>
                <w:lang w:val="en-GB"/>
              </w:rPr>
            </w:pPr>
          </w:p>
        </w:tc>
        <w:tc>
          <w:tcPr>
            <w:tcW w:w="1897" w:type="dxa"/>
            <w:tcBorders>
              <w:bottom w:val="single" w:sz="4" w:space="0" w:color="auto"/>
            </w:tcBorders>
          </w:tcPr>
          <w:p w14:paraId="19830A0B" w14:textId="77777777" w:rsidR="00010790" w:rsidRPr="009E1644" w:rsidRDefault="00010790" w:rsidP="00010790">
            <w:pPr>
              <w:pStyle w:val="Normal-pool"/>
              <w:spacing w:before="520"/>
              <w:rPr>
                <w:lang w:val="en-GB"/>
              </w:rPr>
            </w:pPr>
          </w:p>
        </w:tc>
        <w:tc>
          <w:tcPr>
            <w:tcW w:w="1897" w:type="dxa"/>
          </w:tcPr>
          <w:p w14:paraId="53251745" w14:textId="77777777" w:rsidR="00010790" w:rsidRPr="009E1644" w:rsidRDefault="00010790" w:rsidP="00010790">
            <w:pPr>
              <w:pStyle w:val="Normal-pool"/>
              <w:spacing w:before="520"/>
              <w:rPr>
                <w:lang w:val="en-GB"/>
              </w:rPr>
            </w:pPr>
          </w:p>
        </w:tc>
        <w:tc>
          <w:tcPr>
            <w:tcW w:w="1898" w:type="dxa"/>
          </w:tcPr>
          <w:p w14:paraId="50FA92A6" w14:textId="77777777" w:rsidR="00010790" w:rsidRPr="009E1644" w:rsidRDefault="00010790" w:rsidP="00010790">
            <w:pPr>
              <w:pStyle w:val="Normal-pool"/>
              <w:spacing w:before="520"/>
              <w:rPr>
                <w:lang w:val="en-GB"/>
              </w:rPr>
            </w:pPr>
          </w:p>
        </w:tc>
      </w:tr>
    </w:tbl>
    <w:p w14:paraId="292670CD" w14:textId="77777777" w:rsidR="00010790" w:rsidRPr="009E1644" w:rsidRDefault="00010790" w:rsidP="00010790">
      <w:pPr>
        <w:pStyle w:val="Normal-pool"/>
      </w:pPr>
    </w:p>
    <w:sectPr w:rsidR="00010790" w:rsidRPr="009E1644" w:rsidSect="009E1644">
      <w:headerReference w:type="even" r:id="rId18"/>
      <w:headerReference w:type="default" r:id="rId19"/>
      <w:footerReference w:type="even" r:id="rId20"/>
      <w:footerReference w:type="default" r:id="rId21"/>
      <w:footerReference w:type="first" r:id="rId22"/>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137D" w14:textId="77777777" w:rsidR="00FA050A" w:rsidRDefault="00FA050A">
      <w:r>
        <w:separator/>
      </w:r>
    </w:p>
  </w:endnote>
  <w:endnote w:type="continuationSeparator" w:id="0">
    <w:p w14:paraId="49604546" w14:textId="77777777" w:rsidR="00FA050A" w:rsidRDefault="00FA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Yu Mincho">
    <w:charset w:val="80"/>
    <w:family w:val="roman"/>
    <w:pitch w:val="variable"/>
    <w:sig w:usb0="800002E7" w:usb1="2AC7FCFF"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1063" w14:textId="6287B49C" w:rsidR="00A43F4B" w:rsidRPr="0032647B" w:rsidRDefault="00FA050A" w:rsidP="0032647B">
    <w:pPr>
      <w:pStyle w:val="Footer"/>
      <w:tabs>
        <w:tab w:val="clear" w:pos="4320"/>
        <w:tab w:val="clear" w:pos="8640"/>
        <w:tab w:val="left" w:pos="4215"/>
      </w:tabs>
      <w:rPr>
        <w:rFonts w:ascii="Times New Roman" w:hAnsi="Times New Roman"/>
        <w:b/>
      </w:rPr>
    </w:pPr>
    <w:sdt>
      <w:sdtPr>
        <w:id w:val="-1725830198"/>
        <w:docPartObj>
          <w:docPartGallery w:val="Page Numbers (Bottom of Page)"/>
          <w:docPartUnique/>
        </w:docPartObj>
      </w:sdtPr>
      <w:sdtEndPr>
        <w:rPr>
          <w:rFonts w:ascii="Times New Roman" w:hAnsi="Times New Roman"/>
          <w:b/>
          <w:noProof/>
        </w:rPr>
      </w:sdtEndPr>
      <w:sdtContent>
        <w:r w:rsidR="00A43F4B" w:rsidRPr="0032647B">
          <w:rPr>
            <w:rFonts w:ascii="Times New Roman" w:hAnsi="Times New Roman"/>
            <w:b/>
          </w:rPr>
          <w:fldChar w:fldCharType="begin"/>
        </w:r>
        <w:r w:rsidR="00A43F4B" w:rsidRPr="0032647B">
          <w:rPr>
            <w:rFonts w:ascii="Times New Roman" w:hAnsi="Times New Roman"/>
            <w:b/>
          </w:rPr>
          <w:instrText xml:space="preserve"> PAGE   \* MERGEFORMAT </w:instrText>
        </w:r>
        <w:r w:rsidR="00A43F4B" w:rsidRPr="0032647B">
          <w:rPr>
            <w:rFonts w:ascii="Times New Roman" w:hAnsi="Times New Roman"/>
            <w:b/>
          </w:rPr>
          <w:fldChar w:fldCharType="separate"/>
        </w:r>
        <w:r w:rsidR="00F03FF8">
          <w:rPr>
            <w:rFonts w:ascii="Times New Roman" w:hAnsi="Times New Roman"/>
            <w:b/>
            <w:noProof/>
          </w:rPr>
          <w:t>12</w:t>
        </w:r>
        <w:r w:rsidR="00A43F4B" w:rsidRPr="0032647B">
          <w:rPr>
            <w:rFonts w:ascii="Times New Roman" w:hAnsi="Times New Roman"/>
            <w:b/>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586213"/>
      <w:docPartObj>
        <w:docPartGallery w:val="Page Numbers (Bottom of Page)"/>
        <w:docPartUnique/>
      </w:docPartObj>
    </w:sdtPr>
    <w:sdtEndPr>
      <w:rPr>
        <w:rFonts w:ascii="Times New Roman" w:hAnsi="Times New Roman"/>
        <w:b/>
        <w:noProof/>
      </w:rPr>
    </w:sdtEndPr>
    <w:sdtContent>
      <w:p w14:paraId="33CB3D85" w14:textId="3A9EF8E4" w:rsidR="00A43F4B" w:rsidRPr="009436C2" w:rsidRDefault="00A43F4B" w:rsidP="009436C2">
        <w:pPr>
          <w:pStyle w:val="Footer"/>
          <w:jc w:val="right"/>
          <w:rPr>
            <w:rFonts w:ascii="Times New Roman" w:hAnsi="Times New Roman"/>
            <w:b/>
          </w:rPr>
        </w:pPr>
        <w:r w:rsidRPr="009436C2">
          <w:rPr>
            <w:rFonts w:ascii="Times New Roman" w:hAnsi="Times New Roman"/>
            <w:b/>
          </w:rPr>
          <w:fldChar w:fldCharType="begin"/>
        </w:r>
        <w:r w:rsidRPr="009436C2">
          <w:rPr>
            <w:rFonts w:ascii="Times New Roman" w:hAnsi="Times New Roman"/>
            <w:b/>
          </w:rPr>
          <w:instrText xml:space="preserve"> PAGE   \* MERGEFORMAT </w:instrText>
        </w:r>
        <w:r w:rsidRPr="009436C2">
          <w:rPr>
            <w:rFonts w:ascii="Times New Roman" w:hAnsi="Times New Roman"/>
            <w:b/>
          </w:rPr>
          <w:fldChar w:fldCharType="separate"/>
        </w:r>
        <w:r w:rsidR="00F03FF8">
          <w:rPr>
            <w:rFonts w:ascii="Times New Roman" w:hAnsi="Times New Roman"/>
            <w:b/>
            <w:noProof/>
          </w:rPr>
          <w:t>11</w:t>
        </w:r>
        <w:r w:rsidRPr="009436C2">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E8B8" w14:textId="718ACE7B" w:rsidR="00010790" w:rsidRDefault="00010790" w:rsidP="00010790">
    <w:pPr>
      <w:pStyle w:val="Normal-pool"/>
      <w:spacing w:before="60" w:after="120"/>
    </w:pPr>
    <w:r>
      <w:t>K1901000</w:t>
    </w:r>
    <w:r w:rsidR="009E1644">
      <w:tab/>
      <w:t>29</w:t>
    </w:r>
    <w: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9031" w14:textId="77777777" w:rsidR="00FA050A" w:rsidRPr="00B97AC6" w:rsidRDefault="00FA050A" w:rsidP="00B97AC6">
      <w:pPr>
        <w:spacing w:before="60" w:after="0" w:line="240" w:lineRule="auto"/>
        <w:ind w:left="624"/>
        <w:rPr>
          <w:rFonts w:ascii="Times New Roman" w:hAnsi="Times New Roman"/>
          <w:sz w:val="18"/>
          <w:szCs w:val="18"/>
        </w:rPr>
      </w:pPr>
      <w:r w:rsidRPr="00B97AC6">
        <w:rPr>
          <w:rFonts w:ascii="Times New Roman" w:hAnsi="Times New Roman"/>
          <w:sz w:val="18"/>
          <w:szCs w:val="18"/>
        </w:rPr>
        <w:separator/>
      </w:r>
    </w:p>
  </w:footnote>
  <w:footnote w:type="continuationSeparator" w:id="0">
    <w:p w14:paraId="6562DFAE" w14:textId="77777777" w:rsidR="00FA050A" w:rsidRDefault="00FA050A">
      <w:r>
        <w:continuationSeparator/>
      </w:r>
    </w:p>
  </w:footnote>
  <w:footnote w:id="1">
    <w:p w14:paraId="76D7E19B" w14:textId="3ADBD688" w:rsidR="00A43F4B" w:rsidRPr="00B97AC6" w:rsidRDefault="00A43F4B" w:rsidP="00B97AC6">
      <w:pPr>
        <w:pStyle w:val="NormalNonumber"/>
        <w:tabs>
          <w:tab w:val="left" w:pos="624"/>
        </w:tabs>
        <w:spacing w:before="20" w:after="40"/>
        <w:rPr>
          <w:sz w:val="18"/>
          <w:szCs w:val="18"/>
        </w:rPr>
      </w:pPr>
      <w:r w:rsidRPr="00B97AC6">
        <w:rPr>
          <w:rStyle w:val="FootnoteReference"/>
          <w:sz w:val="18"/>
          <w:vertAlign w:val="baseline"/>
        </w:rPr>
        <w:t>*</w:t>
      </w:r>
      <w:r w:rsidRPr="00B97AC6">
        <w:rPr>
          <w:sz w:val="18"/>
          <w:szCs w:val="18"/>
        </w:rPr>
        <w:t xml:space="preserve"> IPBES/7/1/Rev.1.</w:t>
      </w:r>
    </w:p>
  </w:footnote>
  <w:footnote w:id="2">
    <w:p w14:paraId="3EA4B59B" w14:textId="0C856104" w:rsidR="00A43F4B" w:rsidRPr="00B97AC6" w:rsidRDefault="00A43F4B" w:rsidP="00B97AC6">
      <w:pPr>
        <w:pStyle w:val="FootnoteText"/>
        <w:rPr>
          <w:szCs w:val="18"/>
          <w:lang w:val="en-US"/>
        </w:rPr>
      </w:pPr>
      <w:r w:rsidRPr="00B97AC6">
        <w:rPr>
          <w:rStyle w:val="FootnoteReference"/>
          <w:sz w:val="18"/>
        </w:rPr>
        <w:footnoteRef/>
      </w:r>
      <w:r w:rsidRPr="00B97AC6">
        <w:rPr>
          <w:szCs w:val="18"/>
          <w:lang w:val="en-US"/>
        </w:rPr>
        <w:t xml:space="preserve"> Available at: https://www.biorxiv.org/content/early/2018/04/16/300632.</w:t>
      </w:r>
    </w:p>
  </w:footnote>
  <w:footnote w:id="3">
    <w:p w14:paraId="351F9A59" w14:textId="73E79384" w:rsidR="00A43F4B" w:rsidRPr="00B97AC6" w:rsidRDefault="00A43F4B" w:rsidP="00B97AC6">
      <w:pPr>
        <w:pStyle w:val="FootnoteText"/>
        <w:rPr>
          <w:szCs w:val="18"/>
          <w:lang w:val="en-US"/>
        </w:rPr>
      </w:pPr>
      <w:r w:rsidRPr="00B97AC6">
        <w:rPr>
          <w:rStyle w:val="FootnoteReference"/>
          <w:sz w:val="18"/>
        </w:rPr>
        <w:footnoteRef/>
      </w:r>
      <w:r w:rsidRPr="00B97AC6">
        <w:rPr>
          <w:szCs w:val="18"/>
          <w:lang w:val="en-US"/>
        </w:rPr>
        <w:t xml:space="preserve"> Available at: https://www.nature.com/articles/s41559-017-0273-9.</w:t>
      </w:r>
    </w:p>
  </w:footnote>
  <w:footnote w:id="4">
    <w:p w14:paraId="04C6594C" w14:textId="16133095" w:rsidR="00A43F4B" w:rsidRPr="00B97AC6" w:rsidRDefault="00A43F4B" w:rsidP="00B97AC6">
      <w:pPr>
        <w:pStyle w:val="FootnoteText"/>
        <w:rPr>
          <w:szCs w:val="18"/>
          <w:lang w:val="en-US"/>
        </w:rPr>
      </w:pPr>
      <w:r w:rsidRPr="00B97AC6">
        <w:rPr>
          <w:rStyle w:val="FootnoteReference"/>
          <w:sz w:val="18"/>
        </w:rPr>
        <w:footnoteRef/>
      </w:r>
      <w:r w:rsidRPr="00B97AC6">
        <w:rPr>
          <w:szCs w:val="18"/>
          <w:lang w:val="en-US"/>
        </w:rPr>
        <w:t xml:space="preserve"> Available at: https://www.niwa.co.nz/naturefutures.</w:t>
      </w:r>
    </w:p>
  </w:footnote>
  <w:footnote w:id="5">
    <w:p w14:paraId="69662D07" w14:textId="365C8C4D" w:rsidR="00A43F4B" w:rsidRPr="00B97AC6" w:rsidRDefault="00A43F4B" w:rsidP="00B97AC6">
      <w:pPr>
        <w:pStyle w:val="FootnoteText"/>
        <w:rPr>
          <w:szCs w:val="18"/>
          <w:lang w:val="en-US"/>
        </w:rPr>
      </w:pPr>
      <w:r w:rsidRPr="00B97AC6">
        <w:rPr>
          <w:rStyle w:val="FootnoteReference"/>
          <w:sz w:val="18"/>
        </w:rPr>
        <w:footnoteRef/>
      </w:r>
      <w:r w:rsidRPr="00B97AC6">
        <w:rPr>
          <w:szCs w:val="18"/>
          <w:lang w:val="en-US"/>
        </w:rPr>
        <w:t xml:space="preserve"> These perspectives are: </w:t>
      </w:r>
      <w:r w:rsidRPr="00B97AC6">
        <w:rPr>
          <w:i/>
          <w:szCs w:val="18"/>
          <w:lang w:val="en-US"/>
        </w:rPr>
        <w:t>nature for nature</w:t>
      </w:r>
      <w:r w:rsidRPr="00B97AC6">
        <w:rPr>
          <w:szCs w:val="18"/>
          <w:lang w:val="en-US"/>
        </w:rPr>
        <w:t xml:space="preserve">, in which nature is regarded as having value in and of itself, and the preservation of nature’s functions is of primary importance; </w:t>
      </w:r>
      <w:r w:rsidRPr="00B97AC6">
        <w:rPr>
          <w:i/>
          <w:szCs w:val="18"/>
          <w:lang w:val="en-US"/>
        </w:rPr>
        <w:t>nature for people</w:t>
      </w:r>
      <w:r w:rsidRPr="00B97AC6">
        <w:rPr>
          <w:szCs w:val="18"/>
          <w:lang w:val="en-US"/>
        </w:rPr>
        <w:t xml:space="preserve">, in which nature is primarily valued for the interest of people, and focus is on the multiple uses of nature; and </w:t>
      </w:r>
      <w:r w:rsidRPr="00B97AC6">
        <w:rPr>
          <w:i/>
          <w:szCs w:val="18"/>
          <w:lang w:val="en-US"/>
        </w:rPr>
        <w:t>nature as culture</w:t>
      </w:r>
      <w:r w:rsidRPr="00B97AC6">
        <w:rPr>
          <w:szCs w:val="18"/>
          <w:lang w:val="en-US"/>
        </w:rPr>
        <w:t>, in which humans are perceived as an integral part of nature and its functions. These three perspectives form a continuum, or gradient, that is represented in a triangular nature futures framework, and which can be discussed across different scales and sectors.</w:t>
      </w:r>
    </w:p>
  </w:footnote>
  <w:footnote w:id="6">
    <w:p w14:paraId="1A025FEB" w14:textId="77777777" w:rsidR="00A43F4B" w:rsidRPr="00B97AC6" w:rsidRDefault="00A43F4B" w:rsidP="00B97AC6">
      <w:pPr>
        <w:pStyle w:val="FootnoteText"/>
        <w:rPr>
          <w:szCs w:val="18"/>
          <w:lang w:val="en-US"/>
        </w:rPr>
      </w:pPr>
      <w:r w:rsidRPr="00B97AC6">
        <w:rPr>
          <w:rStyle w:val="FootnoteReference"/>
          <w:sz w:val="18"/>
        </w:rPr>
        <w:footnoteRef/>
      </w:r>
      <w:r w:rsidRPr="00B97AC6">
        <w:rPr>
          <w:szCs w:val="18"/>
          <w:lang w:val="en-US"/>
        </w:rPr>
        <w:t xml:space="preserve"> Available at: https://www.pbl.nl/en/publications/report-on-the-workshop-next-steps-in-developing-nature-futures.</w:t>
      </w:r>
    </w:p>
  </w:footnote>
  <w:footnote w:id="7">
    <w:p w14:paraId="08E53E2E" w14:textId="743C7E3D" w:rsidR="00A43F4B" w:rsidRPr="00B97AC6" w:rsidRDefault="00A43F4B" w:rsidP="00B97AC6">
      <w:pPr>
        <w:pStyle w:val="FootnoteText"/>
        <w:rPr>
          <w:szCs w:val="18"/>
          <w:lang w:val="en-US"/>
        </w:rPr>
      </w:pPr>
      <w:r w:rsidRPr="00B97AC6">
        <w:rPr>
          <w:rStyle w:val="FootnoteReference"/>
          <w:sz w:val="18"/>
        </w:rPr>
        <w:footnoteRef/>
      </w:r>
      <w:r w:rsidRPr="00B97AC6">
        <w:rPr>
          <w:szCs w:val="18"/>
          <w:lang w:val="en-US"/>
        </w:rPr>
        <w:t xml:space="preserve"> Available at: http://enb.iisd.org/biodiv/cop14/riopavilion/20nov.html.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5A1E595F" w:rsidR="00A43F4B" w:rsidRPr="00CB426D" w:rsidRDefault="00A43F4B" w:rsidP="00CB426D">
    <w:pPr>
      <w:pStyle w:val="Header"/>
      <w:tabs>
        <w:tab w:val="left" w:pos="624"/>
      </w:tabs>
      <w:rPr>
        <w:rFonts w:ascii="Times New Roman" w:eastAsiaTheme="minorEastAsia" w:hAnsi="Times New Roman"/>
        <w:szCs w:val="18"/>
        <w:lang w:val="en-GB"/>
      </w:rPr>
    </w:pPr>
    <w:r>
      <w:rPr>
        <w:rFonts w:ascii="Times New Roman" w:hAnsi="Times New Roman"/>
        <w:szCs w:val="18"/>
      </w:rPr>
      <w:t>IPBES/7/INF/</w:t>
    </w:r>
    <w:r w:rsidRPr="00C4725D">
      <w:rPr>
        <w:rFonts w:ascii="Times New Roman" w:hAnsi="Times New Roman"/>
        <w:szCs w:val="18"/>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56C09051" w:rsidR="00A43F4B" w:rsidRPr="00CB426D" w:rsidRDefault="00A43F4B"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w:t>
    </w:r>
    <w:r w:rsidRPr="000D62F6">
      <w:rPr>
        <w:rFonts w:ascii="Times New Roman" w:hAnsi="Times New Roman"/>
        <w:szCs w:val="18"/>
      </w:rPr>
      <w:t>/</w:t>
    </w:r>
    <w:r w:rsidRPr="00774CAC">
      <w:rPr>
        <w:rFonts w:ascii="Times New Roman" w:hAnsi="Times New Roman"/>
        <w:szCs w:val="18"/>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9D64294"/>
    <w:multiLevelType w:val="hybridMultilevel"/>
    <w:tmpl w:val="DA7C770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C3912D5"/>
    <w:multiLevelType w:val="multilevel"/>
    <w:tmpl w:val="940C265E"/>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50D23FD9"/>
    <w:multiLevelType w:val="hybridMultilevel"/>
    <w:tmpl w:val="5588CF2A"/>
    <w:lvl w:ilvl="0" w:tplc="E44CC7F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C5E5238"/>
    <w:multiLevelType w:val="hybridMultilevel"/>
    <w:tmpl w:val="0786D9CC"/>
    <w:lvl w:ilvl="0" w:tplc="9DDEE3EA">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7" w15:restartNumberingAfterBreak="0">
    <w:nsid w:val="6B4921BE"/>
    <w:multiLevelType w:val="hybridMultilevel"/>
    <w:tmpl w:val="43AED23E"/>
    <w:lvl w:ilvl="0" w:tplc="0413000F">
      <w:start w:val="1"/>
      <w:numFmt w:val="decimal"/>
      <w:lvlText w:val="%1."/>
      <w:lvlJc w:val="left"/>
      <w:pPr>
        <w:ind w:left="1074" w:hanging="360"/>
      </w:p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836"/>
    <w:rsid w:val="00005961"/>
    <w:rsid w:val="000070DF"/>
    <w:rsid w:val="00010790"/>
    <w:rsid w:val="00012D46"/>
    <w:rsid w:val="000146C1"/>
    <w:rsid w:val="000149E6"/>
    <w:rsid w:val="00015283"/>
    <w:rsid w:val="00023A6F"/>
    <w:rsid w:val="000241F3"/>
    <w:rsid w:val="000247B0"/>
    <w:rsid w:val="00026997"/>
    <w:rsid w:val="000270BB"/>
    <w:rsid w:val="00032186"/>
    <w:rsid w:val="00032506"/>
    <w:rsid w:val="00033E0B"/>
    <w:rsid w:val="00035EDE"/>
    <w:rsid w:val="00037CC2"/>
    <w:rsid w:val="0004381A"/>
    <w:rsid w:val="00047992"/>
    <w:rsid w:val="000504FD"/>
    <w:rsid w:val="000509B4"/>
    <w:rsid w:val="00052AF9"/>
    <w:rsid w:val="0005318A"/>
    <w:rsid w:val="00053C76"/>
    <w:rsid w:val="000566F8"/>
    <w:rsid w:val="00056B61"/>
    <w:rsid w:val="00056FD8"/>
    <w:rsid w:val="000576DF"/>
    <w:rsid w:val="0006035B"/>
    <w:rsid w:val="0006434E"/>
    <w:rsid w:val="00065148"/>
    <w:rsid w:val="00065C7B"/>
    <w:rsid w:val="00067F9D"/>
    <w:rsid w:val="00071886"/>
    <w:rsid w:val="000725B6"/>
    <w:rsid w:val="000742BC"/>
    <w:rsid w:val="000756B8"/>
    <w:rsid w:val="000769DF"/>
    <w:rsid w:val="00082A0C"/>
    <w:rsid w:val="00083504"/>
    <w:rsid w:val="00083E4A"/>
    <w:rsid w:val="00090668"/>
    <w:rsid w:val="00095732"/>
    <w:rsid w:val="00095986"/>
    <w:rsid w:val="0009640C"/>
    <w:rsid w:val="00097F57"/>
    <w:rsid w:val="000A146D"/>
    <w:rsid w:val="000A2141"/>
    <w:rsid w:val="000A2AD1"/>
    <w:rsid w:val="000B22A2"/>
    <w:rsid w:val="000C18C0"/>
    <w:rsid w:val="000C2A52"/>
    <w:rsid w:val="000C3A64"/>
    <w:rsid w:val="000C7316"/>
    <w:rsid w:val="000D33C0"/>
    <w:rsid w:val="000D3D1A"/>
    <w:rsid w:val="000D463E"/>
    <w:rsid w:val="000D62F6"/>
    <w:rsid w:val="000D6941"/>
    <w:rsid w:val="000E42F4"/>
    <w:rsid w:val="000F1C69"/>
    <w:rsid w:val="000F595A"/>
    <w:rsid w:val="000F6661"/>
    <w:rsid w:val="000F7FE6"/>
    <w:rsid w:val="00101BE9"/>
    <w:rsid w:val="00105E12"/>
    <w:rsid w:val="00111A88"/>
    <w:rsid w:val="0011406C"/>
    <w:rsid w:val="001172A0"/>
    <w:rsid w:val="001202E3"/>
    <w:rsid w:val="00120BD8"/>
    <w:rsid w:val="00123699"/>
    <w:rsid w:val="00130063"/>
    <w:rsid w:val="0013059D"/>
    <w:rsid w:val="0013088E"/>
    <w:rsid w:val="001405D7"/>
    <w:rsid w:val="00141A55"/>
    <w:rsid w:val="001446A3"/>
    <w:rsid w:val="0014641D"/>
    <w:rsid w:val="00152247"/>
    <w:rsid w:val="00154E80"/>
    <w:rsid w:val="00155395"/>
    <w:rsid w:val="00156CFD"/>
    <w:rsid w:val="00157757"/>
    <w:rsid w:val="00160D74"/>
    <w:rsid w:val="00163C96"/>
    <w:rsid w:val="00167D02"/>
    <w:rsid w:val="0017064C"/>
    <w:rsid w:val="00176698"/>
    <w:rsid w:val="00177AB6"/>
    <w:rsid w:val="00181A60"/>
    <w:rsid w:val="00181EC8"/>
    <w:rsid w:val="001823F3"/>
    <w:rsid w:val="00184349"/>
    <w:rsid w:val="00191B3F"/>
    <w:rsid w:val="00192AF7"/>
    <w:rsid w:val="001944AF"/>
    <w:rsid w:val="00195F33"/>
    <w:rsid w:val="001A0322"/>
    <w:rsid w:val="001A1536"/>
    <w:rsid w:val="001A630A"/>
    <w:rsid w:val="001A6C35"/>
    <w:rsid w:val="001A6E9D"/>
    <w:rsid w:val="001B1617"/>
    <w:rsid w:val="001B31A7"/>
    <w:rsid w:val="001B504B"/>
    <w:rsid w:val="001C0D99"/>
    <w:rsid w:val="001C2151"/>
    <w:rsid w:val="001C497E"/>
    <w:rsid w:val="001C71D1"/>
    <w:rsid w:val="001D0FDE"/>
    <w:rsid w:val="001D2D5F"/>
    <w:rsid w:val="001D3874"/>
    <w:rsid w:val="001D7E75"/>
    <w:rsid w:val="001E0800"/>
    <w:rsid w:val="001E1DE7"/>
    <w:rsid w:val="001E29A9"/>
    <w:rsid w:val="001E4552"/>
    <w:rsid w:val="001E5439"/>
    <w:rsid w:val="001E56D2"/>
    <w:rsid w:val="001E6656"/>
    <w:rsid w:val="001E7D56"/>
    <w:rsid w:val="001F030D"/>
    <w:rsid w:val="001F740C"/>
    <w:rsid w:val="001F75DE"/>
    <w:rsid w:val="00200D58"/>
    <w:rsid w:val="002013BE"/>
    <w:rsid w:val="002030D2"/>
    <w:rsid w:val="002063A4"/>
    <w:rsid w:val="00207353"/>
    <w:rsid w:val="0020789F"/>
    <w:rsid w:val="0021145B"/>
    <w:rsid w:val="00212A94"/>
    <w:rsid w:val="00223851"/>
    <w:rsid w:val="00223B0A"/>
    <w:rsid w:val="00226644"/>
    <w:rsid w:val="00226EDA"/>
    <w:rsid w:val="00236FDD"/>
    <w:rsid w:val="00243D36"/>
    <w:rsid w:val="0024513B"/>
    <w:rsid w:val="00247707"/>
    <w:rsid w:val="002542CC"/>
    <w:rsid w:val="00254515"/>
    <w:rsid w:val="00254A73"/>
    <w:rsid w:val="0026018E"/>
    <w:rsid w:val="0026110B"/>
    <w:rsid w:val="0026199B"/>
    <w:rsid w:val="0026226F"/>
    <w:rsid w:val="00264464"/>
    <w:rsid w:val="002720AA"/>
    <w:rsid w:val="002763D8"/>
    <w:rsid w:val="0027671F"/>
    <w:rsid w:val="00277A83"/>
    <w:rsid w:val="00280286"/>
    <w:rsid w:val="002813DD"/>
    <w:rsid w:val="00286740"/>
    <w:rsid w:val="002874CC"/>
    <w:rsid w:val="002929D8"/>
    <w:rsid w:val="0029544B"/>
    <w:rsid w:val="002A237D"/>
    <w:rsid w:val="002A3876"/>
    <w:rsid w:val="002A4519"/>
    <w:rsid w:val="002A4567"/>
    <w:rsid w:val="002A4C53"/>
    <w:rsid w:val="002B0672"/>
    <w:rsid w:val="002B2446"/>
    <w:rsid w:val="002B247F"/>
    <w:rsid w:val="002B27F6"/>
    <w:rsid w:val="002B5257"/>
    <w:rsid w:val="002B72DA"/>
    <w:rsid w:val="002C1316"/>
    <w:rsid w:val="002C145D"/>
    <w:rsid w:val="002C2C3E"/>
    <w:rsid w:val="002C4C60"/>
    <w:rsid w:val="002C533E"/>
    <w:rsid w:val="002D027F"/>
    <w:rsid w:val="002D1755"/>
    <w:rsid w:val="002D1B3A"/>
    <w:rsid w:val="002D54FF"/>
    <w:rsid w:val="002D6E82"/>
    <w:rsid w:val="002D7A85"/>
    <w:rsid w:val="002D7B60"/>
    <w:rsid w:val="002E1711"/>
    <w:rsid w:val="002E2371"/>
    <w:rsid w:val="002E2D54"/>
    <w:rsid w:val="002E4774"/>
    <w:rsid w:val="002E6D30"/>
    <w:rsid w:val="002E740C"/>
    <w:rsid w:val="002F0B8A"/>
    <w:rsid w:val="002F2683"/>
    <w:rsid w:val="002F4761"/>
    <w:rsid w:val="002F4A45"/>
    <w:rsid w:val="002F4DB5"/>
    <w:rsid w:val="002F5C79"/>
    <w:rsid w:val="003019A4"/>
    <w:rsid w:val="003019E2"/>
    <w:rsid w:val="00303337"/>
    <w:rsid w:val="003038D1"/>
    <w:rsid w:val="00303BE6"/>
    <w:rsid w:val="00305695"/>
    <w:rsid w:val="00306862"/>
    <w:rsid w:val="00307FAD"/>
    <w:rsid w:val="003118F1"/>
    <w:rsid w:val="0031413F"/>
    <w:rsid w:val="003148BB"/>
    <w:rsid w:val="00317976"/>
    <w:rsid w:val="00321E34"/>
    <w:rsid w:val="00325541"/>
    <w:rsid w:val="0032647B"/>
    <w:rsid w:val="00326B06"/>
    <w:rsid w:val="00331F81"/>
    <w:rsid w:val="00337BEE"/>
    <w:rsid w:val="003411D9"/>
    <w:rsid w:val="00346B07"/>
    <w:rsid w:val="00350704"/>
    <w:rsid w:val="003507FE"/>
    <w:rsid w:val="00353350"/>
    <w:rsid w:val="00353FB5"/>
    <w:rsid w:val="00354948"/>
    <w:rsid w:val="00355EA9"/>
    <w:rsid w:val="003578DE"/>
    <w:rsid w:val="003579DC"/>
    <w:rsid w:val="0036111B"/>
    <w:rsid w:val="003612FC"/>
    <w:rsid w:val="00361CB5"/>
    <w:rsid w:val="00364356"/>
    <w:rsid w:val="00364476"/>
    <w:rsid w:val="00365846"/>
    <w:rsid w:val="00371082"/>
    <w:rsid w:val="00372792"/>
    <w:rsid w:val="00374255"/>
    <w:rsid w:val="003820FE"/>
    <w:rsid w:val="00395B76"/>
    <w:rsid w:val="00396257"/>
    <w:rsid w:val="00396929"/>
    <w:rsid w:val="00397A9C"/>
    <w:rsid w:val="00397EB8"/>
    <w:rsid w:val="003A25F2"/>
    <w:rsid w:val="003A26EA"/>
    <w:rsid w:val="003A371C"/>
    <w:rsid w:val="003A4FD0"/>
    <w:rsid w:val="003A69D1"/>
    <w:rsid w:val="003A6BA1"/>
    <w:rsid w:val="003A7705"/>
    <w:rsid w:val="003A77F1"/>
    <w:rsid w:val="003A7B83"/>
    <w:rsid w:val="003B1545"/>
    <w:rsid w:val="003B5369"/>
    <w:rsid w:val="003C409D"/>
    <w:rsid w:val="003C5008"/>
    <w:rsid w:val="003C5BA6"/>
    <w:rsid w:val="003C6ABD"/>
    <w:rsid w:val="003C7411"/>
    <w:rsid w:val="003D107C"/>
    <w:rsid w:val="003D1C0C"/>
    <w:rsid w:val="003D20F8"/>
    <w:rsid w:val="003D3EB4"/>
    <w:rsid w:val="003E05AA"/>
    <w:rsid w:val="003E16B6"/>
    <w:rsid w:val="003E3675"/>
    <w:rsid w:val="003E5CB0"/>
    <w:rsid w:val="003E7691"/>
    <w:rsid w:val="003F0E85"/>
    <w:rsid w:val="003F77BE"/>
    <w:rsid w:val="004012BD"/>
    <w:rsid w:val="00403232"/>
    <w:rsid w:val="00404E4F"/>
    <w:rsid w:val="00405068"/>
    <w:rsid w:val="00406C61"/>
    <w:rsid w:val="00410646"/>
    <w:rsid w:val="00410C55"/>
    <w:rsid w:val="004114BF"/>
    <w:rsid w:val="004118E7"/>
    <w:rsid w:val="00416854"/>
    <w:rsid w:val="00416BE7"/>
    <w:rsid w:val="00417725"/>
    <w:rsid w:val="00420536"/>
    <w:rsid w:val="004212BE"/>
    <w:rsid w:val="00425286"/>
    <w:rsid w:val="00425B28"/>
    <w:rsid w:val="00431FDA"/>
    <w:rsid w:val="00436355"/>
    <w:rsid w:val="00437F26"/>
    <w:rsid w:val="004437EC"/>
    <w:rsid w:val="00444097"/>
    <w:rsid w:val="00445487"/>
    <w:rsid w:val="004463BF"/>
    <w:rsid w:val="00454769"/>
    <w:rsid w:val="004559DC"/>
    <w:rsid w:val="00462F13"/>
    <w:rsid w:val="00466991"/>
    <w:rsid w:val="00467660"/>
    <w:rsid w:val="0047036A"/>
    <w:rsid w:val="0047064C"/>
    <w:rsid w:val="00471270"/>
    <w:rsid w:val="004735B3"/>
    <w:rsid w:val="00473FCC"/>
    <w:rsid w:val="00475669"/>
    <w:rsid w:val="00476003"/>
    <w:rsid w:val="00480478"/>
    <w:rsid w:val="00481FD7"/>
    <w:rsid w:val="00482AF3"/>
    <w:rsid w:val="00483FCF"/>
    <w:rsid w:val="00484376"/>
    <w:rsid w:val="00484FC6"/>
    <w:rsid w:val="004854F8"/>
    <w:rsid w:val="004900E5"/>
    <w:rsid w:val="00490359"/>
    <w:rsid w:val="004953CD"/>
    <w:rsid w:val="004979DB"/>
    <w:rsid w:val="004A345B"/>
    <w:rsid w:val="004A42E1"/>
    <w:rsid w:val="004A67E5"/>
    <w:rsid w:val="004A7002"/>
    <w:rsid w:val="004B162C"/>
    <w:rsid w:val="004B273A"/>
    <w:rsid w:val="004B5CE7"/>
    <w:rsid w:val="004C1E7B"/>
    <w:rsid w:val="004C3DBE"/>
    <w:rsid w:val="004C45D9"/>
    <w:rsid w:val="004C5C96"/>
    <w:rsid w:val="004D06A4"/>
    <w:rsid w:val="004D1337"/>
    <w:rsid w:val="004E3753"/>
    <w:rsid w:val="004E45D2"/>
    <w:rsid w:val="004E4FCD"/>
    <w:rsid w:val="004E609A"/>
    <w:rsid w:val="004F0EA1"/>
    <w:rsid w:val="004F1012"/>
    <w:rsid w:val="004F1A81"/>
    <w:rsid w:val="004F36D9"/>
    <w:rsid w:val="0050079D"/>
    <w:rsid w:val="005038DA"/>
    <w:rsid w:val="00503CCE"/>
    <w:rsid w:val="00504857"/>
    <w:rsid w:val="00505ECC"/>
    <w:rsid w:val="00511565"/>
    <w:rsid w:val="0051220F"/>
    <w:rsid w:val="005218D9"/>
    <w:rsid w:val="00524EC8"/>
    <w:rsid w:val="00526981"/>
    <w:rsid w:val="00530A66"/>
    <w:rsid w:val="00531E72"/>
    <w:rsid w:val="00532254"/>
    <w:rsid w:val="00536186"/>
    <w:rsid w:val="00537BCA"/>
    <w:rsid w:val="00537F2D"/>
    <w:rsid w:val="00544CBB"/>
    <w:rsid w:val="0055299A"/>
    <w:rsid w:val="00553606"/>
    <w:rsid w:val="00556952"/>
    <w:rsid w:val="00560599"/>
    <w:rsid w:val="0056673F"/>
    <w:rsid w:val="0057186C"/>
    <w:rsid w:val="0057315F"/>
    <w:rsid w:val="005732D9"/>
    <w:rsid w:val="00576104"/>
    <w:rsid w:val="00595D9E"/>
    <w:rsid w:val="00596689"/>
    <w:rsid w:val="005A1727"/>
    <w:rsid w:val="005A2F6A"/>
    <w:rsid w:val="005A7E83"/>
    <w:rsid w:val="005B0381"/>
    <w:rsid w:val="005B31C7"/>
    <w:rsid w:val="005B5381"/>
    <w:rsid w:val="005C3D8A"/>
    <w:rsid w:val="005C5BFE"/>
    <w:rsid w:val="005C67C8"/>
    <w:rsid w:val="005D0249"/>
    <w:rsid w:val="005D6E8C"/>
    <w:rsid w:val="005E037A"/>
    <w:rsid w:val="005E3211"/>
    <w:rsid w:val="005E3E5D"/>
    <w:rsid w:val="005E6E01"/>
    <w:rsid w:val="005E775D"/>
    <w:rsid w:val="005F06C5"/>
    <w:rsid w:val="005F100C"/>
    <w:rsid w:val="005F1D04"/>
    <w:rsid w:val="005F38F2"/>
    <w:rsid w:val="005F4C22"/>
    <w:rsid w:val="005F551F"/>
    <w:rsid w:val="005F68DA"/>
    <w:rsid w:val="006018C0"/>
    <w:rsid w:val="0060773B"/>
    <w:rsid w:val="006157B5"/>
    <w:rsid w:val="00616371"/>
    <w:rsid w:val="00626FC6"/>
    <w:rsid w:val="006303B4"/>
    <w:rsid w:val="00632246"/>
    <w:rsid w:val="00632758"/>
    <w:rsid w:val="00632CBF"/>
    <w:rsid w:val="00633D3D"/>
    <w:rsid w:val="00635263"/>
    <w:rsid w:val="006373A3"/>
    <w:rsid w:val="00637E4C"/>
    <w:rsid w:val="00641703"/>
    <w:rsid w:val="006431A6"/>
    <w:rsid w:val="006459F6"/>
    <w:rsid w:val="00647627"/>
    <w:rsid w:val="006501AD"/>
    <w:rsid w:val="00651BFA"/>
    <w:rsid w:val="00654475"/>
    <w:rsid w:val="00661A50"/>
    <w:rsid w:val="00661F2F"/>
    <w:rsid w:val="0066351C"/>
    <w:rsid w:val="00665639"/>
    <w:rsid w:val="00665A4B"/>
    <w:rsid w:val="00666F48"/>
    <w:rsid w:val="00671495"/>
    <w:rsid w:val="006716D5"/>
    <w:rsid w:val="00671935"/>
    <w:rsid w:val="00671B82"/>
    <w:rsid w:val="00674D0B"/>
    <w:rsid w:val="006759FE"/>
    <w:rsid w:val="00676210"/>
    <w:rsid w:val="006764EE"/>
    <w:rsid w:val="0068010A"/>
    <w:rsid w:val="0068656E"/>
    <w:rsid w:val="006917A6"/>
    <w:rsid w:val="00692E2A"/>
    <w:rsid w:val="006948A0"/>
    <w:rsid w:val="00696A95"/>
    <w:rsid w:val="006973A7"/>
    <w:rsid w:val="00697EB8"/>
    <w:rsid w:val="006A6BBB"/>
    <w:rsid w:val="006A76F2"/>
    <w:rsid w:val="006C10B1"/>
    <w:rsid w:val="006C28AA"/>
    <w:rsid w:val="006C4F9B"/>
    <w:rsid w:val="006C6189"/>
    <w:rsid w:val="006C7110"/>
    <w:rsid w:val="006D66CD"/>
    <w:rsid w:val="006D7EFB"/>
    <w:rsid w:val="006E0A0C"/>
    <w:rsid w:val="006E1CE6"/>
    <w:rsid w:val="006E2BDB"/>
    <w:rsid w:val="006E470C"/>
    <w:rsid w:val="006E6672"/>
    <w:rsid w:val="006E6722"/>
    <w:rsid w:val="007018C2"/>
    <w:rsid w:val="00701E7A"/>
    <w:rsid w:val="007027B9"/>
    <w:rsid w:val="007032B5"/>
    <w:rsid w:val="00703311"/>
    <w:rsid w:val="007037A3"/>
    <w:rsid w:val="007111CD"/>
    <w:rsid w:val="007133E4"/>
    <w:rsid w:val="00715E88"/>
    <w:rsid w:val="00726D46"/>
    <w:rsid w:val="007306EB"/>
    <w:rsid w:val="0073094E"/>
    <w:rsid w:val="00732336"/>
    <w:rsid w:val="00734CAA"/>
    <w:rsid w:val="007476C3"/>
    <w:rsid w:val="0075015C"/>
    <w:rsid w:val="007506ED"/>
    <w:rsid w:val="007538EE"/>
    <w:rsid w:val="0075533C"/>
    <w:rsid w:val="007555D0"/>
    <w:rsid w:val="00757581"/>
    <w:rsid w:val="007575D6"/>
    <w:rsid w:val="00760581"/>
    <w:rsid w:val="007611A0"/>
    <w:rsid w:val="00763EFF"/>
    <w:rsid w:val="00764418"/>
    <w:rsid w:val="00764A22"/>
    <w:rsid w:val="00766294"/>
    <w:rsid w:val="00766EFA"/>
    <w:rsid w:val="007677B1"/>
    <w:rsid w:val="00772EE1"/>
    <w:rsid w:val="007745F8"/>
    <w:rsid w:val="00774CAC"/>
    <w:rsid w:val="00775B8D"/>
    <w:rsid w:val="0078242D"/>
    <w:rsid w:val="00782732"/>
    <w:rsid w:val="007860A4"/>
    <w:rsid w:val="00796D3F"/>
    <w:rsid w:val="007A1683"/>
    <w:rsid w:val="007A5C12"/>
    <w:rsid w:val="007A7CB0"/>
    <w:rsid w:val="007B1CCF"/>
    <w:rsid w:val="007B497E"/>
    <w:rsid w:val="007B4C66"/>
    <w:rsid w:val="007B5A18"/>
    <w:rsid w:val="007B68A3"/>
    <w:rsid w:val="007B7781"/>
    <w:rsid w:val="007C0CF5"/>
    <w:rsid w:val="007C2541"/>
    <w:rsid w:val="007C2E5C"/>
    <w:rsid w:val="007C71BC"/>
    <w:rsid w:val="007D3FF0"/>
    <w:rsid w:val="007D667B"/>
    <w:rsid w:val="007D66A8"/>
    <w:rsid w:val="007D77FA"/>
    <w:rsid w:val="007D7AC4"/>
    <w:rsid w:val="007E003F"/>
    <w:rsid w:val="007E0F8D"/>
    <w:rsid w:val="007E25F5"/>
    <w:rsid w:val="007F3044"/>
    <w:rsid w:val="007F3F7E"/>
    <w:rsid w:val="008019B7"/>
    <w:rsid w:val="00806AAC"/>
    <w:rsid w:val="0081058C"/>
    <w:rsid w:val="008115EC"/>
    <w:rsid w:val="00812CBD"/>
    <w:rsid w:val="008151D6"/>
    <w:rsid w:val="008164F2"/>
    <w:rsid w:val="00817632"/>
    <w:rsid w:val="00820C9C"/>
    <w:rsid w:val="00820D21"/>
    <w:rsid w:val="00820DAA"/>
    <w:rsid w:val="00821395"/>
    <w:rsid w:val="00823174"/>
    <w:rsid w:val="008274E6"/>
    <w:rsid w:val="00827BE7"/>
    <w:rsid w:val="00830E26"/>
    <w:rsid w:val="008333C9"/>
    <w:rsid w:val="00833650"/>
    <w:rsid w:val="00835C95"/>
    <w:rsid w:val="008417B3"/>
    <w:rsid w:val="008421C3"/>
    <w:rsid w:val="008424F6"/>
    <w:rsid w:val="00843576"/>
    <w:rsid w:val="00843B64"/>
    <w:rsid w:val="008478FC"/>
    <w:rsid w:val="00847CAE"/>
    <w:rsid w:val="008520C8"/>
    <w:rsid w:val="00852950"/>
    <w:rsid w:val="00857D1B"/>
    <w:rsid w:val="0086365F"/>
    <w:rsid w:val="00866E60"/>
    <w:rsid w:val="00867BFF"/>
    <w:rsid w:val="008702B1"/>
    <w:rsid w:val="00872D6D"/>
    <w:rsid w:val="0087542C"/>
    <w:rsid w:val="0087558F"/>
    <w:rsid w:val="00881464"/>
    <w:rsid w:val="0088480A"/>
    <w:rsid w:val="0088757A"/>
    <w:rsid w:val="00892578"/>
    <w:rsid w:val="008942CD"/>
    <w:rsid w:val="008957DD"/>
    <w:rsid w:val="008957F7"/>
    <w:rsid w:val="008970F5"/>
    <w:rsid w:val="00897D98"/>
    <w:rsid w:val="008A1E86"/>
    <w:rsid w:val="008A2823"/>
    <w:rsid w:val="008A6C38"/>
    <w:rsid w:val="008A6DF2"/>
    <w:rsid w:val="008A6FC3"/>
    <w:rsid w:val="008A7807"/>
    <w:rsid w:val="008B0B47"/>
    <w:rsid w:val="008B2DD6"/>
    <w:rsid w:val="008B4CC9"/>
    <w:rsid w:val="008C2016"/>
    <w:rsid w:val="008C3279"/>
    <w:rsid w:val="008C4F46"/>
    <w:rsid w:val="008C5AAE"/>
    <w:rsid w:val="008D24EF"/>
    <w:rsid w:val="008D3D25"/>
    <w:rsid w:val="008D7C99"/>
    <w:rsid w:val="008E0FCB"/>
    <w:rsid w:val="008E2530"/>
    <w:rsid w:val="008E31EE"/>
    <w:rsid w:val="008E3768"/>
    <w:rsid w:val="008E3A54"/>
    <w:rsid w:val="008E3D8C"/>
    <w:rsid w:val="00901E56"/>
    <w:rsid w:val="009021C1"/>
    <w:rsid w:val="009022B6"/>
    <w:rsid w:val="00905079"/>
    <w:rsid w:val="00906C7D"/>
    <w:rsid w:val="00907456"/>
    <w:rsid w:val="00907880"/>
    <w:rsid w:val="009114B4"/>
    <w:rsid w:val="00917DD6"/>
    <w:rsid w:val="0092178C"/>
    <w:rsid w:val="00922DE4"/>
    <w:rsid w:val="00930B88"/>
    <w:rsid w:val="00932F73"/>
    <w:rsid w:val="00933736"/>
    <w:rsid w:val="00935127"/>
    <w:rsid w:val="0093755D"/>
    <w:rsid w:val="00940795"/>
    <w:rsid w:val="00940DCC"/>
    <w:rsid w:val="0094177C"/>
    <w:rsid w:val="0094179A"/>
    <w:rsid w:val="009436C2"/>
    <w:rsid w:val="0094459E"/>
    <w:rsid w:val="009447FD"/>
    <w:rsid w:val="00944DBC"/>
    <w:rsid w:val="00947536"/>
    <w:rsid w:val="00950977"/>
    <w:rsid w:val="00951A7B"/>
    <w:rsid w:val="009564A6"/>
    <w:rsid w:val="00957706"/>
    <w:rsid w:val="00962FDA"/>
    <w:rsid w:val="009636FF"/>
    <w:rsid w:val="00967621"/>
    <w:rsid w:val="00967E6A"/>
    <w:rsid w:val="00970DE5"/>
    <w:rsid w:val="00973879"/>
    <w:rsid w:val="00973CC9"/>
    <w:rsid w:val="00977346"/>
    <w:rsid w:val="009831E5"/>
    <w:rsid w:val="0098741F"/>
    <w:rsid w:val="0098781D"/>
    <w:rsid w:val="009912DB"/>
    <w:rsid w:val="009912E7"/>
    <w:rsid w:val="009A14F5"/>
    <w:rsid w:val="009A2B61"/>
    <w:rsid w:val="009A635C"/>
    <w:rsid w:val="009B4A0F"/>
    <w:rsid w:val="009B7AEE"/>
    <w:rsid w:val="009C11D2"/>
    <w:rsid w:val="009C31E1"/>
    <w:rsid w:val="009C3E29"/>
    <w:rsid w:val="009C68C6"/>
    <w:rsid w:val="009C6C70"/>
    <w:rsid w:val="009D0B63"/>
    <w:rsid w:val="009D2465"/>
    <w:rsid w:val="009E103A"/>
    <w:rsid w:val="009E1450"/>
    <w:rsid w:val="009E1644"/>
    <w:rsid w:val="009E307E"/>
    <w:rsid w:val="009E4C5B"/>
    <w:rsid w:val="009E552A"/>
    <w:rsid w:val="009E56FA"/>
    <w:rsid w:val="009F0E66"/>
    <w:rsid w:val="009F464A"/>
    <w:rsid w:val="009F6A85"/>
    <w:rsid w:val="009F6B76"/>
    <w:rsid w:val="00A010C0"/>
    <w:rsid w:val="00A07870"/>
    <w:rsid w:val="00A07F19"/>
    <w:rsid w:val="00A10870"/>
    <w:rsid w:val="00A12FB9"/>
    <w:rsid w:val="00A1348D"/>
    <w:rsid w:val="00A16DD3"/>
    <w:rsid w:val="00A22E18"/>
    <w:rsid w:val="00A232EE"/>
    <w:rsid w:val="00A23D07"/>
    <w:rsid w:val="00A31182"/>
    <w:rsid w:val="00A31275"/>
    <w:rsid w:val="00A33B48"/>
    <w:rsid w:val="00A35FA8"/>
    <w:rsid w:val="00A3607A"/>
    <w:rsid w:val="00A378D4"/>
    <w:rsid w:val="00A4175F"/>
    <w:rsid w:val="00A43F4B"/>
    <w:rsid w:val="00A44411"/>
    <w:rsid w:val="00A46537"/>
    <w:rsid w:val="00A469FA"/>
    <w:rsid w:val="00A475C7"/>
    <w:rsid w:val="00A47811"/>
    <w:rsid w:val="00A5210E"/>
    <w:rsid w:val="00A53074"/>
    <w:rsid w:val="00A55B01"/>
    <w:rsid w:val="00A56B5B"/>
    <w:rsid w:val="00A600D8"/>
    <w:rsid w:val="00A603FF"/>
    <w:rsid w:val="00A60D1F"/>
    <w:rsid w:val="00A6409E"/>
    <w:rsid w:val="00A653CB"/>
    <w:rsid w:val="00A657DD"/>
    <w:rsid w:val="00A666A6"/>
    <w:rsid w:val="00A675FD"/>
    <w:rsid w:val="00A72437"/>
    <w:rsid w:val="00A72B76"/>
    <w:rsid w:val="00A72FC1"/>
    <w:rsid w:val="00A73C3E"/>
    <w:rsid w:val="00A744D9"/>
    <w:rsid w:val="00A757AD"/>
    <w:rsid w:val="00A7705B"/>
    <w:rsid w:val="00A77D52"/>
    <w:rsid w:val="00A80611"/>
    <w:rsid w:val="00A833DD"/>
    <w:rsid w:val="00A859BA"/>
    <w:rsid w:val="00A901DA"/>
    <w:rsid w:val="00A92B24"/>
    <w:rsid w:val="00A92BCA"/>
    <w:rsid w:val="00A97D9A"/>
    <w:rsid w:val="00AA5BD1"/>
    <w:rsid w:val="00AA6B20"/>
    <w:rsid w:val="00AA768A"/>
    <w:rsid w:val="00AB0E71"/>
    <w:rsid w:val="00AB3453"/>
    <w:rsid w:val="00AB3607"/>
    <w:rsid w:val="00AB5340"/>
    <w:rsid w:val="00AC0A89"/>
    <w:rsid w:val="00AC7C96"/>
    <w:rsid w:val="00AD16FF"/>
    <w:rsid w:val="00AD53F7"/>
    <w:rsid w:val="00AD5AC5"/>
    <w:rsid w:val="00AD7C65"/>
    <w:rsid w:val="00AE0E4E"/>
    <w:rsid w:val="00AE237D"/>
    <w:rsid w:val="00AE4C32"/>
    <w:rsid w:val="00AE502A"/>
    <w:rsid w:val="00AE75CA"/>
    <w:rsid w:val="00AF2384"/>
    <w:rsid w:val="00AF2E3F"/>
    <w:rsid w:val="00AF2F8F"/>
    <w:rsid w:val="00AF7C07"/>
    <w:rsid w:val="00B00CE6"/>
    <w:rsid w:val="00B00FC6"/>
    <w:rsid w:val="00B03BE1"/>
    <w:rsid w:val="00B058B1"/>
    <w:rsid w:val="00B0646E"/>
    <w:rsid w:val="00B0662D"/>
    <w:rsid w:val="00B070AE"/>
    <w:rsid w:val="00B113BB"/>
    <w:rsid w:val="00B1147B"/>
    <w:rsid w:val="00B126F8"/>
    <w:rsid w:val="00B12A15"/>
    <w:rsid w:val="00B13457"/>
    <w:rsid w:val="00B21D25"/>
    <w:rsid w:val="00B22C93"/>
    <w:rsid w:val="00B243E9"/>
    <w:rsid w:val="00B27589"/>
    <w:rsid w:val="00B276F4"/>
    <w:rsid w:val="00B307F9"/>
    <w:rsid w:val="00B30DE3"/>
    <w:rsid w:val="00B401F9"/>
    <w:rsid w:val="00B405B7"/>
    <w:rsid w:val="00B40EC2"/>
    <w:rsid w:val="00B42DD8"/>
    <w:rsid w:val="00B46DE5"/>
    <w:rsid w:val="00B50082"/>
    <w:rsid w:val="00B52222"/>
    <w:rsid w:val="00B5452B"/>
    <w:rsid w:val="00B54FE7"/>
    <w:rsid w:val="00B56C7C"/>
    <w:rsid w:val="00B57359"/>
    <w:rsid w:val="00B61D82"/>
    <w:rsid w:val="00B6215A"/>
    <w:rsid w:val="00B621C3"/>
    <w:rsid w:val="00B66901"/>
    <w:rsid w:val="00B671AA"/>
    <w:rsid w:val="00B71E6D"/>
    <w:rsid w:val="00B71F82"/>
    <w:rsid w:val="00B72070"/>
    <w:rsid w:val="00B72E9A"/>
    <w:rsid w:val="00B779E1"/>
    <w:rsid w:val="00B83797"/>
    <w:rsid w:val="00B8491B"/>
    <w:rsid w:val="00B86535"/>
    <w:rsid w:val="00B90579"/>
    <w:rsid w:val="00B91EE1"/>
    <w:rsid w:val="00B925FF"/>
    <w:rsid w:val="00B97AC6"/>
    <w:rsid w:val="00BA0090"/>
    <w:rsid w:val="00BA04E5"/>
    <w:rsid w:val="00BA10AA"/>
    <w:rsid w:val="00BA1A67"/>
    <w:rsid w:val="00BA2F1D"/>
    <w:rsid w:val="00BA41C2"/>
    <w:rsid w:val="00BB03D8"/>
    <w:rsid w:val="00BB3856"/>
    <w:rsid w:val="00BB44C2"/>
    <w:rsid w:val="00BB6644"/>
    <w:rsid w:val="00BD139A"/>
    <w:rsid w:val="00BD4A4B"/>
    <w:rsid w:val="00BE1B7C"/>
    <w:rsid w:val="00BE59F0"/>
    <w:rsid w:val="00BE5B5F"/>
    <w:rsid w:val="00BE6A70"/>
    <w:rsid w:val="00BF6C7B"/>
    <w:rsid w:val="00C03AF7"/>
    <w:rsid w:val="00C067A6"/>
    <w:rsid w:val="00C0692B"/>
    <w:rsid w:val="00C07A06"/>
    <w:rsid w:val="00C11160"/>
    <w:rsid w:val="00C12619"/>
    <w:rsid w:val="00C126D4"/>
    <w:rsid w:val="00C12802"/>
    <w:rsid w:val="00C17832"/>
    <w:rsid w:val="00C22828"/>
    <w:rsid w:val="00C24D27"/>
    <w:rsid w:val="00C26F55"/>
    <w:rsid w:val="00C2797D"/>
    <w:rsid w:val="00C30C63"/>
    <w:rsid w:val="00C3391C"/>
    <w:rsid w:val="00C36B8B"/>
    <w:rsid w:val="00C415C1"/>
    <w:rsid w:val="00C41E30"/>
    <w:rsid w:val="00C459DD"/>
    <w:rsid w:val="00C4704F"/>
    <w:rsid w:val="00C4725D"/>
    <w:rsid w:val="00C4787D"/>
    <w:rsid w:val="00C47DBF"/>
    <w:rsid w:val="00C52276"/>
    <w:rsid w:val="00C552FF"/>
    <w:rsid w:val="00C558DA"/>
    <w:rsid w:val="00C55AF3"/>
    <w:rsid w:val="00C56D03"/>
    <w:rsid w:val="00C5770D"/>
    <w:rsid w:val="00C610CA"/>
    <w:rsid w:val="00C61697"/>
    <w:rsid w:val="00C61B18"/>
    <w:rsid w:val="00C66E61"/>
    <w:rsid w:val="00C72BB8"/>
    <w:rsid w:val="00C8049E"/>
    <w:rsid w:val="00C811E5"/>
    <w:rsid w:val="00C83085"/>
    <w:rsid w:val="00C83FF9"/>
    <w:rsid w:val="00C84759"/>
    <w:rsid w:val="00C8525A"/>
    <w:rsid w:val="00C90B40"/>
    <w:rsid w:val="00C92F9A"/>
    <w:rsid w:val="00C938AD"/>
    <w:rsid w:val="00C9439D"/>
    <w:rsid w:val="00C94E24"/>
    <w:rsid w:val="00CA0833"/>
    <w:rsid w:val="00CA22CD"/>
    <w:rsid w:val="00CA6C7F"/>
    <w:rsid w:val="00CB426D"/>
    <w:rsid w:val="00CB4F5B"/>
    <w:rsid w:val="00CB5C91"/>
    <w:rsid w:val="00CC049E"/>
    <w:rsid w:val="00CC10A6"/>
    <w:rsid w:val="00CC1C63"/>
    <w:rsid w:val="00CC5798"/>
    <w:rsid w:val="00CC5E27"/>
    <w:rsid w:val="00CD2CD2"/>
    <w:rsid w:val="00CD2F3B"/>
    <w:rsid w:val="00CD3C22"/>
    <w:rsid w:val="00CD4C4E"/>
    <w:rsid w:val="00CD5754"/>
    <w:rsid w:val="00CD5EB8"/>
    <w:rsid w:val="00CD7044"/>
    <w:rsid w:val="00CD79CB"/>
    <w:rsid w:val="00CE08B9"/>
    <w:rsid w:val="00CE1CE9"/>
    <w:rsid w:val="00CE1E81"/>
    <w:rsid w:val="00CE2AB8"/>
    <w:rsid w:val="00CE404F"/>
    <w:rsid w:val="00CE524C"/>
    <w:rsid w:val="00CF141F"/>
    <w:rsid w:val="00CF2A25"/>
    <w:rsid w:val="00CF4777"/>
    <w:rsid w:val="00D04269"/>
    <w:rsid w:val="00D05764"/>
    <w:rsid w:val="00D0590A"/>
    <w:rsid w:val="00D067BB"/>
    <w:rsid w:val="00D06CCB"/>
    <w:rsid w:val="00D112FA"/>
    <w:rsid w:val="00D12CA4"/>
    <w:rsid w:val="00D1352A"/>
    <w:rsid w:val="00D13D35"/>
    <w:rsid w:val="00D169AF"/>
    <w:rsid w:val="00D21E16"/>
    <w:rsid w:val="00D23330"/>
    <w:rsid w:val="00D25249"/>
    <w:rsid w:val="00D276D0"/>
    <w:rsid w:val="00D31564"/>
    <w:rsid w:val="00D348E1"/>
    <w:rsid w:val="00D3777B"/>
    <w:rsid w:val="00D44172"/>
    <w:rsid w:val="00D46CF6"/>
    <w:rsid w:val="00D47991"/>
    <w:rsid w:val="00D47A2F"/>
    <w:rsid w:val="00D47EDC"/>
    <w:rsid w:val="00D53DA4"/>
    <w:rsid w:val="00D5414E"/>
    <w:rsid w:val="00D567B7"/>
    <w:rsid w:val="00D5707B"/>
    <w:rsid w:val="00D62282"/>
    <w:rsid w:val="00D63B8C"/>
    <w:rsid w:val="00D70601"/>
    <w:rsid w:val="00D71AE0"/>
    <w:rsid w:val="00D72FDA"/>
    <w:rsid w:val="00D739CC"/>
    <w:rsid w:val="00D761F6"/>
    <w:rsid w:val="00D77054"/>
    <w:rsid w:val="00D8093D"/>
    <w:rsid w:val="00D8108C"/>
    <w:rsid w:val="00D820EE"/>
    <w:rsid w:val="00D8225B"/>
    <w:rsid w:val="00D83355"/>
    <w:rsid w:val="00D842AE"/>
    <w:rsid w:val="00D85EB6"/>
    <w:rsid w:val="00D871DF"/>
    <w:rsid w:val="00D9143A"/>
    <w:rsid w:val="00D9211C"/>
    <w:rsid w:val="00D92DE0"/>
    <w:rsid w:val="00D92FEF"/>
    <w:rsid w:val="00D93A0F"/>
    <w:rsid w:val="00D93BF9"/>
    <w:rsid w:val="00D93BFF"/>
    <w:rsid w:val="00D9440E"/>
    <w:rsid w:val="00DA0FD8"/>
    <w:rsid w:val="00DA1BCA"/>
    <w:rsid w:val="00DA272D"/>
    <w:rsid w:val="00DA3EA9"/>
    <w:rsid w:val="00DA71F5"/>
    <w:rsid w:val="00DB0EC2"/>
    <w:rsid w:val="00DB1329"/>
    <w:rsid w:val="00DB27F9"/>
    <w:rsid w:val="00DB4DA9"/>
    <w:rsid w:val="00DB6F90"/>
    <w:rsid w:val="00DC03D0"/>
    <w:rsid w:val="00DC1A57"/>
    <w:rsid w:val="00DC1D69"/>
    <w:rsid w:val="00DC46FF"/>
    <w:rsid w:val="00DC48BB"/>
    <w:rsid w:val="00DC5254"/>
    <w:rsid w:val="00DD05F5"/>
    <w:rsid w:val="00DD183C"/>
    <w:rsid w:val="00DD1A4F"/>
    <w:rsid w:val="00DD3107"/>
    <w:rsid w:val="00DD69A3"/>
    <w:rsid w:val="00DD6FD2"/>
    <w:rsid w:val="00DD7C2C"/>
    <w:rsid w:val="00DE11C6"/>
    <w:rsid w:val="00DE49E5"/>
    <w:rsid w:val="00DE543F"/>
    <w:rsid w:val="00DE71CA"/>
    <w:rsid w:val="00DF17EE"/>
    <w:rsid w:val="00DF1E4C"/>
    <w:rsid w:val="00DF228D"/>
    <w:rsid w:val="00DF36BA"/>
    <w:rsid w:val="00DF7243"/>
    <w:rsid w:val="00DF7E30"/>
    <w:rsid w:val="00E0027E"/>
    <w:rsid w:val="00E00E04"/>
    <w:rsid w:val="00E03A0C"/>
    <w:rsid w:val="00E052BD"/>
    <w:rsid w:val="00E06797"/>
    <w:rsid w:val="00E07703"/>
    <w:rsid w:val="00E10207"/>
    <w:rsid w:val="00E1091E"/>
    <w:rsid w:val="00E10D04"/>
    <w:rsid w:val="00E12306"/>
    <w:rsid w:val="00E1265B"/>
    <w:rsid w:val="00E1322D"/>
    <w:rsid w:val="00E13594"/>
    <w:rsid w:val="00E13B48"/>
    <w:rsid w:val="00E13F65"/>
    <w:rsid w:val="00E1404F"/>
    <w:rsid w:val="00E20B95"/>
    <w:rsid w:val="00E21C83"/>
    <w:rsid w:val="00E22AEA"/>
    <w:rsid w:val="00E232DC"/>
    <w:rsid w:val="00E24ADA"/>
    <w:rsid w:val="00E2733F"/>
    <w:rsid w:val="00E32F59"/>
    <w:rsid w:val="00E33514"/>
    <w:rsid w:val="00E35F5E"/>
    <w:rsid w:val="00E3616B"/>
    <w:rsid w:val="00E36DD7"/>
    <w:rsid w:val="00E372DD"/>
    <w:rsid w:val="00E40985"/>
    <w:rsid w:val="00E44C70"/>
    <w:rsid w:val="00E45644"/>
    <w:rsid w:val="00E46A67"/>
    <w:rsid w:val="00E46D9A"/>
    <w:rsid w:val="00E47433"/>
    <w:rsid w:val="00E527F0"/>
    <w:rsid w:val="00E53EDA"/>
    <w:rsid w:val="00E560E5"/>
    <w:rsid w:val="00E565FF"/>
    <w:rsid w:val="00E6359E"/>
    <w:rsid w:val="00E63A8B"/>
    <w:rsid w:val="00E65388"/>
    <w:rsid w:val="00E65D3E"/>
    <w:rsid w:val="00E755A0"/>
    <w:rsid w:val="00E77CC8"/>
    <w:rsid w:val="00E77EE6"/>
    <w:rsid w:val="00E81C9E"/>
    <w:rsid w:val="00E82A4F"/>
    <w:rsid w:val="00E8326E"/>
    <w:rsid w:val="00E839CC"/>
    <w:rsid w:val="00E85B7D"/>
    <w:rsid w:val="00E85CD5"/>
    <w:rsid w:val="00E87B31"/>
    <w:rsid w:val="00E9121B"/>
    <w:rsid w:val="00E922DB"/>
    <w:rsid w:val="00E92894"/>
    <w:rsid w:val="00EA08D1"/>
    <w:rsid w:val="00EA0AE2"/>
    <w:rsid w:val="00EA0B0E"/>
    <w:rsid w:val="00EA0CEA"/>
    <w:rsid w:val="00EA39E5"/>
    <w:rsid w:val="00EB1178"/>
    <w:rsid w:val="00EC5A46"/>
    <w:rsid w:val="00EC62FA"/>
    <w:rsid w:val="00EC63E2"/>
    <w:rsid w:val="00ED0AB8"/>
    <w:rsid w:val="00ED7366"/>
    <w:rsid w:val="00EE01A1"/>
    <w:rsid w:val="00EE092F"/>
    <w:rsid w:val="00EE1806"/>
    <w:rsid w:val="00EE4475"/>
    <w:rsid w:val="00EE5C1C"/>
    <w:rsid w:val="00EE661F"/>
    <w:rsid w:val="00EF22B3"/>
    <w:rsid w:val="00EF7F59"/>
    <w:rsid w:val="00F0035B"/>
    <w:rsid w:val="00F01301"/>
    <w:rsid w:val="00F014E9"/>
    <w:rsid w:val="00F03B69"/>
    <w:rsid w:val="00F03FF8"/>
    <w:rsid w:val="00F0453F"/>
    <w:rsid w:val="00F05443"/>
    <w:rsid w:val="00F07A50"/>
    <w:rsid w:val="00F113DA"/>
    <w:rsid w:val="00F14FF3"/>
    <w:rsid w:val="00F156CE"/>
    <w:rsid w:val="00F17D3C"/>
    <w:rsid w:val="00F20595"/>
    <w:rsid w:val="00F21414"/>
    <w:rsid w:val="00F24E9D"/>
    <w:rsid w:val="00F277EB"/>
    <w:rsid w:val="00F3013A"/>
    <w:rsid w:val="00F30A6C"/>
    <w:rsid w:val="00F32DB7"/>
    <w:rsid w:val="00F37113"/>
    <w:rsid w:val="00F379CA"/>
    <w:rsid w:val="00F37DC8"/>
    <w:rsid w:val="00F416DC"/>
    <w:rsid w:val="00F417BD"/>
    <w:rsid w:val="00F439B3"/>
    <w:rsid w:val="00F44457"/>
    <w:rsid w:val="00F50ACF"/>
    <w:rsid w:val="00F56735"/>
    <w:rsid w:val="00F61341"/>
    <w:rsid w:val="00F64660"/>
    <w:rsid w:val="00F648F2"/>
    <w:rsid w:val="00F650C3"/>
    <w:rsid w:val="00F65D85"/>
    <w:rsid w:val="00F716EE"/>
    <w:rsid w:val="00F748EF"/>
    <w:rsid w:val="00F7492D"/>
    <w:rsid w:val="00F8091E"/>
    <w:rsid w:val="00F80AD1"/>
    <w:rsid w:val="00F8615C"/>
    <w:rsid w:val="00F874E0"/>
    <w:rsid w:val="00F93B3F"/>
    <w:rsid w:val="00F95C64"/>
    <w:rsid w:val="00F9609D"/>
    <w:rsid w:val="00F969E5"/>
    <w:rsid w:val="00FA050A"/>
    <w:rsid w:val="00FA6BB0"/>
    <w:rsid w:val="00FA6DF8"/>
    <w:rsid w:val="00FA7EE3"/>
    <w:rsid w:val="00FB3675"/>
    <w:rsid w:val="00FB69C6"/>
    <w:rsid w:val="00FB6E86"/>
    <w:rsid w:val="00FB7AF6"/>
    <w:rsid w:val="00FC003B"/>
    <w:rsid w:val="00FC0D95"/>
    <w:rsid w:val="00FC5839"/>
    <w:rsid w:val="00FC7CF9"/>
    <w:rsid w:val="00FD0672"/>
    <w:rsid w:val="00FD3B75"/>
    <w:rsid w:val="00FD3F04"/>
    <w:rsid w:val="00FD5860"/>
    <w:rsid w:val="00FD64CA"/>
    <w:rsid w:val="00FD7A9F"/>
    <w:rsid w:val="00FE08C3"/>
    <w:rsid w:val="00FE1542"/>
    <w:rsid w:val="00FE2868"/>
    <w:rsid w:val="00FE352D"/>
    <w:rsid w:val="00FE40EB"/>
    <w:rsid w:val="00FE4D02"/>
    <w:rsid w:val="00FE574D"/>
    <w:rsid w:val="00FE5C8E"/>
    <w:rsid w:val="00FE7D62"/>
    <w:rsid w:val="00FF0933"/>
    <w:rsid w:val="00FF3819"/>
    <w:rsid w:val="00FF3C89"/>
  </w:rsids>
  <m:mathPr>
    <m:mathFont m:val="Cambria Math"/>
    <m:brkBin m:val="before"/>
    <m:brkBinSub m:val="--"/>
    <m:smallFrac m:val="0"/>
    <m:dispDef/>
    <m:lMargin m:val="0"/>
    <m:rMargin m:val="0"/>
    <m:defJc m:val="centerGroup"/>
    <m:wrapIndent m:val="1440"/>
    <m:intLim m:val="subSup"/>
    <m:naryLim m:val="undOvr"/>
  </m:mathPr>
  <w:themeFontLang w:val="en-GB" w:eastAsia="ja-JP" w:bidi="dz-B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1F5B85A7-F73D-4E86-85E7-ACBCF4BF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ZZAnxheader"/>
    <w:next w:val="Normalnumber"/>
    <w:qFormat/>
    <w:rsid w:val="002F4A45"/>
    <w:pPr>
      <w:outlineLvl w:val="0"/>
    </w:pPr>
  </w:style>
  <w:style w:type="paragraph" w:styleId="Heading2">
    <w:name w:val="heading 2"/>
    <w:basedOn w:val="CH1"/>
    <w:next w:val="Normalnumber"/>
    <w:qFormat/>
    <w:rsid w:val="002F4A45"/>
    <w:pPr>
      <w:ind w:left="0" w:firstLine="0"/>
      <w:outlineLvl w:val="1"/>
    </w:pPr>
    <w:rPr>
      <w:rFonts w:eastAsia="Calibri"/>
      <w:w w:val="103"/>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A6E9D"/>
    <w:pPr>
      <w:numPr>
        <w:numId w:val="4"/>
      </w:numPr>
      <w:tabs>
        <w:tab w:val="clear" w:pos="4082"/>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pPr>
      <w:spacing w:line="240" w:lineRule="auto"/>
    </w:pPr>
    <w:rPr>
      <w:sz w:val="20"/>
      <w:szCs w:val="20"/>
    </w:rPr>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1A6E9D"/>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semiHidden/>
    <w:rsid w:val="00CB426D"/>
    <w:rPr>
      <w:rFonts w:ascii="Calibri" w:eastAsia="MS Mincho" w:hAnsi="Calibri"/>
      <w:b/>
      <w:sz w:val="18"/>
      <w:szCs w:val="22"/>
      <w:lang w:val="en-US" w:eastAsia="en-US"/>
    </w:rPr>
  </w:style>
  <w:style w:type="numbering" w:customStyle="1" w:styleId="Normallist1">
    <w:name w:val="Normal_list1"/>
    <w:rsid w:val="00E65D3E"/>
  </w:style>
  <w:style w:type="paragraph" w:styleId="ListParagraph">
    <w:name w:val="List Paragraph"/>
    <w:basedOn w:val="Normal"/>
    <w:link w:val="ListParagraphChar"/>
    <w:uiPriority w:val="34"/>
    <w:qFormat/>
    <w:rsid w:val="007133E4"/>
    <w:pPr>
      <w:ind w:left="720"/>
      <w:contextualSpacing/>
    </w:pPr>
  </w:style>
  <w:style w:type="character" w:customStyle="1" w:styleId="ListParagraphChar">
    <w:name w:val="List Paragraph Char"/>
    <w:basedOn w:val="DefaultParagraphFont"/>
    <w:link w:val="ListParagraph"/>
    <w:uiPriority w:val="34"/>
    <w:locked/>
    <w:rsid w:val="003507FE"/>
    <w:rPr>
      <w:rFonts w:ascii="Calibri" w:eastAsia="MS Mincho" w:hAnsi="Calibri"/>
      <w:sz w:val="22"/>
      <w:szCs w:val="22"/>
      <w:lang w:val="en-US" w:eastAsia="en-US"/>
    </w:rPr>
  </w:style>
  <w:style w:type="table" w:customStyle="1" w:styleId="TableGrid1">
    <w:name w:val="Table Grid1"/>
    <w:basedOn w:val="TableNormal"/>
    <w:next w:val="TableGrid"/>
    <w:uiPriority w:val="39"/>
    <w:rsid w:val="003507F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38F2"/>
    <w:rPr>
      <w:rFonts w:ascii="Calibri" w:eastAsia="MS Mincho" w:hAnsi="Calibri"/>
      <w:sz w:val="22"/>
      <w:szCs w:val="22"/>
      <w:lang w:val="en-US" w:eastAsia="en-US"/>
    </w:rPr>
  </w:style>
  <w:style w:type="character" w:customStyle="1" w:styleId="FooterChar">
    <w:name w:val="Footer Char"/>
    <w:basedOn w:val="DefaultParagraphFont"/>
    <w:link w:val="Footer"/>
    <w:uiPriority w:val="99"/>
    <w:rsid w:val="0017064C"/>
    <w:rPr>
      <w:rFonts w:ascii="Calibri" w:eastAsia="MS Mincho" w:hAnsi="Calibr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19349063">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4485068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010318">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824085740">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Version_contro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Internet_hosting_service"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DD452-8EB4-4140-9E75-5E2C0810F59B}">
  <ds:schemaRefs>
    <ds:schemaRef ds:uri="http://schemas.openxmlformats.org/officeDocument/2006/bibliography"/>
  </ds:schemaRefs>
</ds:datastoreItem>
</file>

<file path=customXml/itemProps2.xml><?xml version="1.0" encoding="utf-8"?>
<ds:datastoreItem xmlns:ds="http://schemas.openxmlformats.org/officeDocument/2006/customXml" ds:itemID="{A618160E-DF52-4688-98D5-323C79F87ACD}"/>
</file>

<file path=customXml/itemProps3.xml><?xml version="1.0" encoding="utf-8"?>
<ds:datastoreItem xmlns:ds="http://schemas.openxmlformats.org/officeDocument/2006/customXml" ds:itemID="{8EB7145F-F7D1-4341-8358-046E56F326B8}"/>
</file>

<file path=customXml/itemProps4.xml><?xml version="1.0" encoding="utf-8"?>
<ds:datastoreItem xmlns:ds="http://schemas.openxmlformats.org/officeDocument/2006/customXml" ds:itemID="{3A94D13D-1DFB-495D-9EBC-6BFC8D46162E}"/>
</file>

<file path=docProps/app.xml><?xml version="1.0" encoding="utf-8"?>
<Properties xmlns="http://schemas.openxmlformats.org/officeDocument/2006/extended-properties" xmlns:vt="http://schemas.openxmlformats.org/officeDocument/2006/docPropsVTypes">
  <Template>Normal</Template>
  <TotalTime>1</TotalTime>
  <Pages>12</Pages>
  <Words>5471</Words>
  <Characters>31187</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NATIONS UNIES</vt:lpstr>
      <vt:lpstr>NATIONS UNIES</vt:lpstr>
    </vt:vector>
  </TitlesOfParts>
  <Company>unon</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2019-03-29T05:56:00Z</cp:lastPrinted>
  <dcterms:created xsi:type="dcterms:W3CDTF">2019-04-01T07:42:00Z</dcterms:created>
  <dcterms:modified xsi:type="dcterms:W3CDTF">2019-04-01T07:42:00Z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