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06"/>
        <w:gridCol w:w="477"/>
        <w:gridCol w:w="502"/>
        <w:gridCol w:w="841"/>
        <w:gridCol w:w="979"/>
        <w:gridCol w:w="2374"/>
        <w:gridCol w:w="700"/>
        <w:gridCol w:w="561"/>
        <w:gridCol w:w="1642"/>
      </w:tblGrid>
      <w:tr w:rsidR="008034CE" w:rsidRPr="008C00D6" w:rsidTr="009527C6">
        <w:trPr>
          <w:cantSplit/>
          <w:trHeight w:val="1079"/>
          <w:jc w:val="right"/>
        </w:trPr>
        <w:tc>
          <w:tcPr>
            <w:tcW w:w="1526" w:type="dxa"/>
          </w:tcPr>
          <w:p w:rsidR="008034CE" w:rsidRPr="00024C14" w:rsidRDefault="008034CE" w:rsidP="00280AD4">
            <w:pPr>
              <w:pStyle w:val="Normal-pool"/>
              <w:tabs>
                <w:tab w:val="left" w:pos="624"/>
                <w:tab w:val="left" w:pos="1871"/>
                <w:tab w:val="left" w:pos="2495"/>
                <w:tab w:val="left" w:pos="3119"/>
              </w:tabs>
              <w:rPr>
                <w:rFonts w:ascii="Arial" w:hAnsi="Arial" w:cs="Arial"/>
                <w:b/>
                <w:sz w:val="27"/>
                <w:szCs w:val="27"/>
              </w:rPr>
            </w:pPr>
            <w:r w:rsidRPr="00024C14">
              <w:rPr>
                <w:rFonts w:ascii="Arial" w:hAnsi="Arial" w:cs="Arial"/>
                <w:b/>
                <w:noProof/>
                <w:sz w:val="27"/>
                <w:szCs w:val="27"/>
              </w:rPr>
              <w:t xml:space="preserve">UNITED </w:t>
            </w:r>
            <w:r w:rsidRPr="00024C14">
              <w:rPr>
                <w:rFonts w:ascii="Arial" w:hAnsi="Arial" w:cs="Arial"/>
                <w:b/>
                <w:noProof/>
                <w:sz w:val="27"/>
                <w:szCs w:val="27"/>
              </w:rPr>
              <w:br/>
              <w:t>NATIONS</w:t>
            </w:r>
          </w:p>
        </w:tc>
        <w:tc>
          <w:tcPr>
            <w:tcW w:w="992" w:type="dxa"/>
            <w:gridSpan w:val="2"/>
            <w:tcBorders>
              <w:left w:val="nil"/>
            </w:tcBorders>
            <w:vAlign w:val="center"/>
          </w:tcPr>
          <w:p w:rsidR="008034CE" w:rsidRPr="0081483A" w:rsidRDefault="008034CE" w:rsidP="00280AD4">
            <w:pPr>
              <w:pStyle w:val="Normal-pool"/>
              <w:tabs>
                <w:tab w:val="left" w:pos="624"/>
                <w:tab w:val="left" w:pos="1871"/>
                <w:tab w:val="left" w:pos="2495"/>
                <w:tab w:val="left" w:pos="3119"/>
              </w:tabs>
              <w:ind w:left="-108"/>
              <w:jc w:val="both"/>
            </w:pPr>
            <w:r>
              <w:rPr>
                <w:noProof/>
                <w:lang w:val="en-GB" w:eastAsia="en-GB"/>
              </w:rPr>
              <w:drawing>
                <wp:inline distT="0" distB="0" distL="0" distR="0" wp14:anchorId="7E3EC16A" wp14:editId="488EF7EB">
                  <wp:extent cx="537932" cy="468923"/>
                  <wp:effectExtent l="0" t="0" r="0" b="7620"/>
                  <wp:docPr id="10"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1" w:type="dxa"/>
            <w:tcBorders>
              <w:left w:val="nil"/>
            </w:tcBorders>
            <w:vAlign w:val="center"/>
          </w:tcPr>
          <w:p w:rsidR="008034CE" w:rsidRPr="0081483A" w:rsidRDefault="008034CE" w:rsidP="00280AD4">
            <w:pPr>
              <w:pStyle w:val="Normal-pool"/>
              <w:tabs>
                <w:tab w:val="left" w:pos="624"/>
                <w:tab w:val="left" w:pos="1871"/>
                <w:tab w:val="left" w:pos="2495"/>
                <w:tab w:val="left" w:pos="3119"/>
              </w:tabs>
              <w:ind w:left="-108"/>
            </w:pPr>
            <w:r>
              <w:rPr>
                <w:noProof/>
                <w:lang w:val="en-GB" w:eastAsia="en-GB"/>
              </w:rPr>
              <w:drawing>
                <wp:inline distT="0" distB="0" distL="0" distR="0" wp14:anchorId="2FC9C851" wp14:editId="6B168C03">
                  <wp:extent cx="468455" cy="492369"/>
                  <wp:effectExtent l="0" t="0" r="8255" b="3175"/>
                  <wp:docPr id="5"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92" w:type="dxa"/>
            <w:tcBorders>
              <w:left w:val="nil"/>
            </w:tcBorders>
            <w:vAlign w:val="center"/>
          </w:tcPr>
          <w:p w:rsidR="008034CE" w:rsidRPr="0081483A" w:rsidRDefault="008034CE" w:rsidP="00280AD4">
            <w:pPr>
              <w:pStyle w:val="Normal-pool"/>
              <w:tabs>
                <w:tab w:val="left" w:pos="624"/>
                <w:tab w:val="left" w:pos="1871"/>
                <w:tab w:val="left" w:pos="2495"/>
                <w:tab w:val="left" w:pos="3119"/>
              </w:tabs>
              <w:ind w:left="-108"/>
            </w:pPr>
            <w:r>
              <w:rPr>
                <w:noProof/>
                <w:lang w:val="en-GB" w:eastAsia="en-GB"/>
              </w:rPr>
              <w:drawing>
                <wp:inline distT="0" distB="0" distL="0" distR="0" wp14:anchorId="5B063EF5" wp14:editId="19AA1E30">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10" w:type="dxa"/>
            <w:tcBorders>
              <w:left w:val="nil"/>
            </w:tcBorders>
            <w:vAlign w:val="center"/>
          </w:tcPr>
          <w:p w:rsidR="008034CE" w:rsidRPr="0081483A" w:rsidRDefault="008034CE" w:rsidP="00280AD4">
            <w:pPr>
              <w:pStyle w:val="Normal-pool"/>
              <w:tabs>
                <w:tab w:val="left" w:pos="624"/>
                <w:tab w:val="left" w:pos="1871"/>
                <w:tab w:val="left" w:pos="2495"/>
                <w:tab w:val="left" w:pos="3119"/>
              </w:tabs>
              <w:ind w:left="-108"/>
            </w:pPr>
            <w:r>
              <w:rPr>
                <w:noProof/>
                <w:lang w:val="en-GB" w:eastAsia="en-GB"/>
              </w:rPr>
              <w:drawing>
                <wp:inline distT="0" distB="0" distL="0" distR="0" wp14:anchorId="2E54E178" wp14:editId="095A7DC2">
                  <wp:extent cx="1518138" cy="527539"/>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08" w:type="dxa"/>
            <w:tcBorders>
              <w:left w:val="nil"/>
              <w:right w:val="nil"/>
            </w:tcBorders>
          </w:tcPr>
          <w:p w:rsidR="008034CE" w:rsidRPr="0081483A" w:rsidRDefault="008034CE" w:rsidP="00280AD4">
            <w:pPr>
              <w:pStyle w:val="Normal-pool"/>
              <w:tabs>
                <w:tab w:val="left" w:pos="624"/>
                <w:tab w:val="left" w:pos="1871"/>
                <w:tab w:val="left" w:pos="2495"/>
                <w:tab w:val="left" w:pos="3119"/>
              </w:tabs>
            </w:pPr>
            <w:r>
              <w:rPr>
                <w:noProof/>
                <w:lang w:val="en-GB" w:eastAsia="en-GB"/>
              </w:rPr>
              <w:drawing>
                <wp:inline distT="0" distB="0" distL="0" distR="0" wp14:anchorId="6F9721B0" wp14:editId="13F44F35">
                  <wp:extent cx="287215" cy="562232"/>
                  <wp:effectExtent l="0" t="0" r="0" b="0"/>
                  <wp:docPr id="12"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67" w:type="dxa"/>
            <w:tcBorders>
              <w:left w:val="nil"/>
            </w:tcBorders>
            <w:vAlign w:val="center"/>
          </w:tcPr>
          <w:p w:rsidR="008034CE" w:rsidRPr="0081483A" w:rsidRDefault="008034CE" w:rsidP="00280AD4">
            <w:pPr>
              <w:pStyle w:val="Normal-pool"/>
              <w:tabs>
                <w:tab w:val="left" w:pos="624"/>
                <w:tab w:val="left" w:pos="1871"/>
                <w:tab w:val="left" w:pos="2495"/>
                <w:tab w:val="left" w:pos="3119"/>
              </w:tabs>
            </w:pPr>
          </w:p>
        </w:tc>
        <w:tc>
          <w:tcPr>
            <w:tcW w:w="1666" w:type="dxa"/>
          </w:tcPr>
          <w:p w:rsidR="008034CE" w:rsidRPr="00024C14" w:rsidRDefault="008034CE" w:rsidP="00280AD4">
            <w:pPr>
              <w:pStyle w:val="Normal-pool"/>
              <w:tabs>
                <w:tab w:val="left" w:pos="624"/>
                <w:tab w:val="left" w:pos="1871"/>
                <w:tab w:val="left" w:pos="2495"/>
                <w:tab w:val="left" w:pos="3119"/>
              </w:tabs>
              <w:rPr>
                <w:rFonts w:ascii="Arial" w:hAnsi="Arial" w:cs="Arial"/>
                <w:b/>
                <w:sz w:val="64"/>
                <w:szCs w:val="64"/>
              </w:rPr>
            </w:pPr>
            <w:r w:rsidRPr="00024C14">
              <w:rPr>
                <w:rFonts w:ascii="Arial" w:hAnsi="Arial" w:cs="Arial"/>
                <w:b/>
                <w:sz w:val="64"/>
                <w:szCs w:val="64"/>
              </w:rPr>
              <w:t>BES</w:t>
            </w:r>
          </w:p>
        </w:tc>
      </w:tr>
      <w:tr w:rsidR="008034CE" w:rsidRPr="008C00D6" w:rsidTr="009527C6">
        <w:trPr>
          <w:cantSplit/>
          <w:trHeight w:val="282"/>
          <w:jc w:val="right"/>
        </w:trPr>
        <w:tc>
          <w:tcPr>
            <w:tcW w:w="1526" w:type="dxa"/>
            <w:tcBorders>
              <w:bottom w:val="single" w:sz="2" w:space="0" w:color="auto"/>
            </w:tcBorders>
          </w:tcPr>
          <w:p w:rsidR="008034CE" w:rsidRPr="0081483A" w:rsidRDefault="008034CE" w:rsidP="00280AD4">
            <w:pPr>
              <w:pStyle w:val="Normal-pool"/>
              <w:tabs>
                <w:tab w:val="left" w:pos="624"/>
                <w:tab w:val="left" w:pos="1871"/>
                <w:tab w:val="left" w:pos="2495"/>
                <w:tab w:val="left" w:pos="3119"/>
              </w:tabs>
              <w:rPr>
                <w:noProof/>
              </w:rPr>
            </w:pPr>
          </w:p>
        </w:tc>
        <w:tc>
          <w:tcPr>
            <w:tcW w:w="5953" w:type="dxa"/>
            <w:gridSpan w:val="6"/>
            <w:tcBorders>
              <w:bottom w:val="single" w:sz="2" w:space="0" w:color="auto"/>
            </w:tcBorders>
          </w:tcPr>
          <w:p w:rsidR="008034CE" w:rsidRPr="00EA5E72" w:rsidRDefault="008034CE" w:rsidP="00280AD4">
            <w:pPr>
              <w:pStyle w:val="Normal-pool"/>
              <w:tabs>
                <w:tab w:val="left" w:pos="624"/>
                <w:tab w:val="left" w:pos="1871"/>
                <w:tab w:val="left" w:pos="2495"/>
                <w:tab w:val="left" w:pos="3119"/>
              </w:tabs>
              <w:rPr>
                <w:sz w:val="24"/>
                <w:szCs w:val="24"/>
              </w:rPr>
            </w:pPr>
          </w:p>
        </w:tc>
        <w:tc>
          <w:tcPr>
            <w:tcW w:w="2233" w:type="dxa"/>
            <w:gridSpan w:val="2"/>
            <w:tcBorders>
              <w:bottom w:val="single" w:sz="2" w:space="0" w:color="auto"/>
            </w:tcBorders>
          </w:tcPr>
          <w:p w:rsidR="008034CE" w:rsidRPr="00BE37BE" w:rsidRDefault="008034CE" w:rsidP="00280AD4">
            <w:pPr>
              <w:pStyle w:val="Normal-pool"/>
              <w:tabs>
                <w:tab w:val="left" w:pos="624"/>
                <w:tab w:val="left" w:pos="1871"/>
                <w:tab w:val="left" w:pos="2495"/>
                <w:tab w:val="left" w:pos="3119"/>
              </w:tabs>
              <w:rPr>
                <w:sz w:val="24"/>
                <w:szCs w:val="24"/>
              </w:rPr>
            </w:pPr>
            <w:r w:rsidRPr="00BE37BE">
              <w:rPr>
                <w:b/>
                <w:sz w:val="24"/>
                <w:szCs w:val="24"/>
              </w:rPr>
              <w:t>IPBES</w:t>
            </w:r>
            <w:r w:rsidR="007E2B3C" w:rsidRPr="00BE37BE">
              <w:t>/6</w:t>
            </w:r>
            <w:r w:rsidR="00A1148A" w:rsidRPr="00BE37BE">
              <w:t>/</w:t>
            </w:r>
            <w:r w:rsidR="00BE37BE" w:rsidRPr="00BE37BE">
              <w:t>INF/17</w:t>
            </w:r>
          </w:p>
        </w:tc>
      </w:tr>
      <w:tr w:rsidR="008034CE" w:rsidRPr="00FA50AA" w:rsidTr="009527C6">
        <w:trPr>
          <w:cantSplit/>
          <w:trHeight w:val="1433"/>
          <w:jc w:val="right"/>
        </w:trPr>
        <w:tc>
          <w:tcPr>
            <w:tcW w:w="2009" w:type="dxa"/>
            <w:gridSpan w:val="2"/>
            <w:tcBorders>
              <w:top w:val="single" w:sz="2" w:space="0" w:color="auto"/>
              <w:bottom w:val="single" w:sz="24" w:space="0" w:color="auto"/>
            </w:tcBorders>
          </w:tcPr>
          <w:p w:rsidR="008034CE" w:rsidRPr="0081483A" w:rsidRDefault="008034CE" w:rsidP="00280AD4">
            <w:pPr>
              <w:pStyle w:val="Normal-pool"/>
              <w:tabs>
                <w:tab w:val="left" w:pos="624"/>
                <w:tab w:val="left" w:pos="1871"/>
                <w:tab w:val="left" w:pos="2495"/>
                <w:tab w:val="left" w:pos="3119"/>
              </w:tabs>
              <w:spacing w:before="240" w:after="240"/>
              <w:rPr>
                <w:sz w:val="28"/>
                <w:szCs w:val="28"/>
              </w:rPr>
            </w:pPr>
            <w:r>
              <w:rPr>
                <w:noProof/>
                <w:sz w:val="28"/>
                <w:szCs w:val="28"/>
                <w:lang w:val="en-GB" w:eastAsia="en-GB"/>
              </w:rPr>
              <w:drawing>
                <wp:inline distT="0" distB="0" distL="0" distR="0" wp14:anchorId="1E8F57E2" wp14:editId="67559D3B">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470" w:type="dxa"/>
            <w:gridSpan w:val="5"/>
            <w:tcBorders>
              <w:top w:val="single" w:sz="2" w:space="0" w:color="auto"/>
              <w:bottom w:val="single" w:sz="24" w:space="0" w:color="auto"/>
            </w:tcBorders>
          </w:tcPr>
          <w:p w:rsidR="008034CE" w:rsidRPr="00280AD4" w:rsidRDefault="008034CE" w:rsidP="00280AD4">
            <w:pPr>
              <w:pStyle w:val="Normal-pool"/>
              <w:tabs>
                <w:tab w:val="left" w:pos="624"/>
                <w:tab w:val="left" w:pos="1871"/>
                <w:tab w:val="left" w:pos="2495"/>
                <w:tab w:val="left" w:pos="3119"/>
              </w:tabs>
              <w:spacing w:before="120" w:after="240"/>
              <w:rPr>
                <w:rFonts w:ascii="Arial" w:hAnsi="Arial" w:cs="Arial"/>
                <w:b/>
                <w:lang w:val="en-GB"/>
              </w:rPr>
            </w:pPr>
            <w:r w:rsidRPr="00280AD4">
              <w:rPr>
                <w:rFonts w:ascii="Arial" w:hAnsi="Arial" w:cs="Arial"/>
                <w:b/>
                <w:sz w:val="28"/>
                <w:szCs w:val="28"/>
                <w:lang w:val="en-GB"/>
              </w:rPr>
              <w:t>Intergovernmental Science-Policy Platform on Biodiversity and Ecosystem Services</w:t>
            </w:r>
          </w:p>
        </w:tc>
        <w:tc>
          <w:tcPr>
            <w:tcW w:w="2233" w:type="dxa"/>
            <w:gridSpan w:val="2"/>
            <w:tcBorders>
              <w:top w:val="single" w:sz="2" w:space="0" w:color="auto"/>
              <w:bottom w:val="single" w:sz="24" w:space="0" w:color="auto"/>
            </w:tcBorders>
          </w:tcPr>
          <w:p w:rsidR="008034CE" w:rsidRPr="00280AD4" w:rsidRDefault="008034CE" w:rsidP="00280AD4">
            <w:pPr>
              <w:pStyle w:val="Normal-pool"/>
              <w:tabs>
                <w:tab w:val="left" w:pos="624"/>
                <w:tab w:val="left" w:pos="1871"/>
                <w:tab w:val="left" w:pos="2495"/>
                <w:tab w:val="left" w:pos="3119"/>
              </w:tabs>
              <w:spacing w:before="120" w:after="120"/>
              <w:rPr>
                <w:lang w:val="en-GB"/>
              </w:rPr>
            </w:pPr>
            <w:r w:rsidRPr="00280AD4">
              <w:rPr>
                <w:lang w:val="en-GB"/>
              </w:rPr>
              <w:t>Distr.: General</w:t>
            </w:r>
            <w:r w:rsidRPr="00280AD4">
              <w:rPr>
                <w:lang w:val="en-GB"/>
              </w:rPr>
              <w:br/>
            </w:r>
            <w:r w:rsidR="00480CDD" w:rsidRPr="00280AD4">
              <w:rPr>
                <w:lang w:val="en-US"/>
              </w:rPr>
              <w:t>30</w:t>
            </w:r>
            <w:r w:rsidR="00A1148A" w:rsidRPr="00280AD4">
              <w:rPr>
                <w:lang w:val="en-GB"/>
              </w:rPr>
              <w:t xml:space="preserve"> January </w:t>
            </w:r>
            <w:r w:rsidR="007E2B3C" w:rsidRPr="00280AD4">
              <w:rPr>
                <w:lang w:val="en-GB"/>
              </w:rPr>
              <w:t>201</w:t>
            </w:r>
            <w:r w:rsidR="00A1148A" w:rsidRPr="00280AD4">
              <w:rPr>
                <w:lang w:val="en-GB"/>
              </w:rPr>
              <w:t>8</w:t>
            </w:r>
          </w:p>
          <w:p w:rsidR="008034CE" w:rsidRPr="00280AD4" w:rsidRDefault="008034CE" w:rsidP="00280AD4">
            <w:pPr>
              <w:pStyle w:val="Normal-pool"/>
              <w:tabs>
                <w:tab w:val="left" w:pos="624"/>
                <w:tab w:val="left" w:pos="1871"/>
                <w:tab w:val="left" w:pos="2495"/>
                <w:tab w:val="left" w:pos="3119"/>
              </w:tabs>
              <w:spacing w:after="240"/>
              <w:rPr>
                <w:lang w:val="en-GB"/>
              </w:rPr>
            </w:pPr>
            <w:r w:rsidRPr="00280AD4">
              <w:rPr>
                <w:lang w:val="en-GB"/>
              </w:rPr>
              <w:t>English</w:t>
            </w:r>
            <w:r w:rsidR="00BE37BE" w:rsidRPr="00280AD4">
              <w:rPr>
                <w:lang w:val="en-GB"/>
              </w:rPr>
              <w:t xml:space="preserve"> only</w:t>
            </w:r>
          </w:p>
        </w:tc>
      </w:tr>
    </w:tbl>
    <w:p w:rsidR="007F3540" w:rsidRPr="00280AD4" w:rsidRDefault="007F3540" w:rsidP="00280AD4">
      <w:pPr>
        <w:pStyle w:val="AATitle"/>
        <w:tabs>
          <w:tab w:val="left" w:pos="624"/>
          <w:tab w:val="left" w:pos="1871"/>
          <w:tab w:val="left" w:pos="2495"/>
          <w:tab w:val="left" w:pos="3119"/>
        </w:tabs>
        <w:rPr>
          <w:lang w:val="en-GB"/>
        </w:rPr>
      </w:pPr>
      <w:r w:rsidRPr="00280AD4">
        <w:rPr>
          <w:lang w:val="en-GB"/>
        </w:rPr>
        <w:t>Plenary of the Intergovernmental Science-Policy</w:t>
      </w:r>
    </w:p>
    <w:p w:rsidR="007F3540" w:rsidRPr="00280AD4" w:rsidRDefault="007F3540" w:rsidP="00280AD4">
      <w:pPr>
        <w:pStyle w:val="AATitle"/>
        <w:tabs>
          <w:tab w:val="left" w:pos="624"/>
          <w:tab w:val="left" w:pos="1871"/>
          <w:tab w:val="left" w:pos="2495"/>
          <w:tab w:val="left" w:pos="3119"/>
        </w:tabs>
        <w:rPr>
          <w:lang w:val="en-GB"/>
        </w:rPr>
      </w:pPr>
      <w:r w:rsidRPr="00280AD4">
        <w:rPr>
          <w:lang w:val="en-GB"/>
        </w:rPr>
        <w:t>Platform on Biodiversity and Ecosystem Services</w:t>
      </w:r>
    </w:p>
    <w:p w:rsidR="007F3540" w:rsidRPr="00280AD4" w:rsidRDefault="007E2B3C" w:rsidP="00280AD4">
      <w:pPr>
        <w:pStyle w:val="AATitle"/>
        <w:tabs>
          <w:tab w:val="left" w:pos="624"/>
          <w:tab w:val="left" w:pos="1871"/>
          <w:tab w:val="left" w:pos="2495"/>
          <w:tab w:val="left" w:pos="3119"/>
        </w:tabs>
        <w:rPr>
          <w:lang w:val="en-GB"/>
        </w:rPr>
      </w:pPr>
      <w:r w:rsidRPr="00280AD4">
        <w:rPr>
          <w:lang w:val="en-GB"/>
        </w:rPr>
        <w:t>Six</w:t>
      </w:r>
      <w:r w:rsidR="007F3540" w:rsidRPr="00280AD4">
        <w:rPr>
          <w:lang w:val="en-GB"/>
        </w:rPr>
        <w:t>th session</w:t>
      </w:r>
    </w:p>
    <w:p w:rsidR="007F3540" w:rsidRPr="00280AD4" w:rsidRDefault="007E2B3C" w:rsidP="00280AD4">
      <w:pPr>
        <w:pStyle w:val="AATitle"/>
        <w:tabs>
          <w:tab w:val="left" w:pos="624"/>
          <w:tab w:val="left" w:pos="1871"/>
          <w:tab w:val="left" w:pos="2495"/>
          <w:tab w:val="left" w:pos="3119"/>
        </w:tabs>
        <w:rPr>
          <w:b w:val="0"/>
          <w:lang w:val="en-GB"/>
        </w:rPr>
      </w:pPr>
      <w:r w:rsidRPr="00280AD4">
        <w:rPr>
          <w:b w:val="0"/>
          <w:lang w:val="en-GB"/>
        </w:rPr>
        <w:t>Medellin</w:t>
      </w:r>
      <w:r w:rsidR="007F3540" w:rsidRPr="00280AD4">
        <w:rPr>
          <w:b w:val="0"/>
          <w:lang w:val="en-GB"/>
        </w:rPr>
        <w:t xml:space="preserve">, </w:t>
      </w:r>
      <w:r w:rsidRPr="00280AD4">
        <w:rPr>
          <w:b w:val="0"/>
          <w:lang w:val="en-GB"/>
        </w:rPr>
        <w:t>Colombia</w:t>
      </w:r>
      <w:r w:rsidR="007F3540" w:rsidRPr="00280AD4">
        <w:rPr>
          <w:b w:val="0"/>
          <w:lang w:val="en-GB"/>
        </w:rPr>
        <w:t xml:space="preserve">, </w:t>
      </w:r>
      <w:r w:rsidR="00B75656" w:rsidRPr="00280AD4">
        <w:rPr>
          <w:b w:val="0"/>
          <w:lang w:val="en-GB"/>
        </w:rPr>
        <w:t>1</w:t>
      </w:r>
      <w:r w:rsidR="00480CDD">
        <w:rPr>
          <w:b w:val="0"/>
          <w:lang w:val="en-GB"/>
        </w:rPr>
        <w:t>8</w:t>
      </w:r>
      <w:r w:rsidR="009E78C3" w:rsidRPr="00280AD4">
        <w:rPr>
          <w:b w:val="0"/>
          <w:lang w:val="en-GB"/>
        </w:rPr>
        <w:t>–</w:t>
      </w:r>
      <w:r w:rsidR="00351B05" w:rsidRPr="00280AD4">
        <w:rPr>
          <w:b w:val="0"/>
          <w:lang w:val="en-GB"/>
        </w:rPr>
        <w:t>24</w:t>
      </w:r>
      <w:r w:rsidR="007F3540" w:rsidRPr="00280AD4">
        <w:rPr>
          <w:b w:val="0"/>
          <w:lang w:val="en-GB"/>
        </w:rPr>
        <w:t xml:space="preserve"> March </w:t>
      </w:r>
      <w:r w:rsidR="00B75656" w:rsidRPr="00280AD4">
        <w:rPr>
          <w:b w:val="0"/>
          <w:lang w:val="en-GB"/>
        </w:rPr>
        <w:t>2018</w:t>
      </w:r>
    </w:p>
    <w:p w:rsidR="00BE37BE" w:rsidRPr="00280AD4" w:rsidRDefault="00BE37BE" w:rsidP="00280AD4">
      <w:pPr>
        <w:pStyle w:val="AgendaItemTitle"/>
        <w:tabs>
          <w:tab w:val="left" w:pos="624"/>
          <w:tab w:val="left" w:pos="1871"/>
          <w:tab w:val="left" w:pos="2495"/>
          <w:tab w:val="left" w:pos="3119"/>
        </w:tabs>
        <w:rPr>
          <w:lang w:val="en-GB"/>
        </w:rPr>
      </w:pPr>
      <w:r w:rsidRPr="00280AD4">
        <w:rPr>
          <w:lang w:val="en-GB"/>
        </w:rPr>
        <w:t>Item 5 of the provisional agenda</w:t>
      </w:r>
      <w:r w:rsidRPr="00280AD4">
        <w:rPr>
          <w:rStyle w:val="FootnoteReference"/>
          <w:vertAlign w:val="baseline"/>
          <w:lang w:val="en-GB"/>
        </w:rPr>
        <w:footnoteReference w:customMarkFollows="1" w:id="1"/>
        <w:t>*</w:t>
      </w:r>
    </w:p>
    <w:p w:rsidR="00BE37BE" w:rsidRPr="006E0D4D" w:rsidRDefault="00BE37BE" w:rsidP="00280AD4">
      <w:pPr>
        <w:tabs>
          <w:tab w:val="left" w:pos="624"/>
          <w:tab w:val="left" w:pos="1871"/>
          <w:tab w:val="left" w:pos="2495"/>
          <w:tab w:val="left" w:pos="3119"/>
        </w:tabs>
        <w:autoSpaceDE w:val="0"/>
        <w:autoSpaceDN w:val="0"/>
        <w:adjustRightInd w:val="0"/>
        <w:rPr>
          <w:rFonts w:eastAsia="Times New Roman"/>
          <w:b/>
          <w:lang w:val="en-GB"/>
        </w:rPr>
      </w:pPr>
      <w:r w:rsidRPr="006E0D4D">
        <w:rPr>
          <w:rFonts w:eastAsia="Times New Roman"/>
          <w:b/>
          <w:lang w:val="en-GB"/>
        </w:rPr>
        <w:t xml:space="preserve">Report of the Executive Secretary on the implementation </w:t>
      </w:r>
    </w:p>
    <w:p w:rsidR="00BE37BE" w:rsidRPr="00280AD4" w:rsidRDefault="00BE37BE" w:rsidP="00280AD4">
      <w:pPr>
        <w:pStyle w:val="AATitle"/>
        <w:tabs>
          <w:tab w:val="left" w:pos="624"/>
          <w:tab w:val="left" w:pos="1871"/>
          <w:tab w:val="left" w:pos="2495"/>
          <w:tab w:val="left" w:pos="3119"/>
        </w:tabs>
        <w:ind w:right="4812"/>
        <w:rPr>
          <w:lang w:val="en-GB"/>
        </w:rPr>
      </w:pPr>
      <w:r w:rsidRPr="00280AD4">
        <w:rPr>
          <w:lang w:val="en-GB"/>
        </w:rPr>
        <w:t>of the first work programme for the period 2014–2018</w:t>
      </w:r>
    </w:p>
    <w:p w:rsidR="006E54C8" w:rsidRPr="00280AD4" w:rsidRDefault="006E54C8" w:rsidP="00280AD4">
      <w:pPr>
        <w:spacing w:before="360" w:after="240"/>
        <w:ind w:left="1247"/>
        <w:rPr>
          <w:sz w:val="28"/>
          <w:szCs w:val="28"/>
          <w:lang w:val="en-GB" w:bidi="he-IL"/>
        </w:rPr>
      </w:pPr>
      <w:r w:rsidRPr="00280AD4">
        <w:rPr>
          <w:b/>
          <w:sz w:val="28"/>
          <w:szCs w:val="28"/>
          <w:lang w:val="en-GB" w:bidi="he-IL"/>
        </w:rPr>
        <w:t xml:space="preserve">Information on work related to the guide on the production of assessments (deliverable 2 (a)) </w:t>
      </w:r>
    </w:p>
    <w:p w:rsidR="006E54C8" w:rsidRPr="00280AD4" w:rsidRDefault="006E54C8" w:rsidP="00280AD4">
      <w:pPr>
        <w:tabs>
          <w:tab w:val="left" w:pos="624"/>
          <w:tab w:val="left" w:pos="1871"/>
          <w:tab w:val="left" w:pos="2495"/>
          <w:tab w:val="left" w:pos="3119"/>
        </w:tabs>
        <w:spacing w:after="120"/>
        <w:ind w:left="1247"/>
        <w:rPr>
          <w:lang w:val="en-GB"/>
        </w:rPr>
      </w:pPr>
      <w:r w:rsidRPr="00280AD4">
        <w:rPr>
          <w:b/>
          <w:sz w:val="24"/>
          <w:szCs w:val="24"/>
          <w:lang w:val="en-GB"/>
        </w:rPr>
        <w:t xml:space="preserve">Note by the secretariat </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color w:val="000000"/>
          <w:sz w:val="24"/>
          <w:szCs w:val="24"/>
          <w:lang w:val="en-GB" w:bidi="he-IL"/>
        </w:rPr>
      </w:pPr>
      <w:r w:rsidRPr="00DD3F88">
        <w:rPr>
          <w:color w:val="000000"/>
          <w:lang w:val="en-GB" w:bidi="he-IL"/>
        </w:rPr>
        <w:t xml:space="preserve">In section III of </w:t>
      </w:r>
      <w:r w:rsidR="00137DF0">
        <w:rPr>
          <w:color w:val="000000"/>
          <w:lang w:val="en-GB" w:bidi="he-IL"/>
        </w:rPr>
        <w:t xml:space="preserve">its </w:t>
      </w:r>
      <w:r w:rsidRPr="00DD3F88">
        <w:rPr>
          <w:color w:val="000000"/>
          <w:lang w:val="en-GB" w:bidi="he-IL"/>
        </w:rPr>
        <w:t xml:space="preserve">decision IPBES-2/5, on the work programme for the period 2014–2018, the Plenary of the Intergovernmental Science-Policy Platform on Biodiversity and Ecosystem Services (IPBES) requested the Multidisciplinary Expert Panel, in consultation with the Bureau, and supported by a time-bound and task-specific expert group, to develop a guide on the production and integration of assessments from and across all levels, thereafter called guide on the production of assessments. The guide was intended to address the practical, procedural, conceptual and thematic aspects of undertaking assessments, drawing on the work of the task forces and other expert groups. </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color w:val="000000"/>
          <w:lang w:val="en-GB" w:bidi="he-IL"/>
        </w:rPr>
      </w:pPr>
      <w:r w:rsidRPr="00DD3F88">
        <w:rPr>
          <w:color w:val="000000"/>
          <w:lang w:val="en-GB" w:bidi="he-IL"/>
        </w:rPr>
        <w:t xml:space="preserve">In section III of decision IPBES-3/1, on the work programme for the period 2014–2018, the Plenary took note, on the basis of document IPBES/3/INF/4, of the development of a draft guide on the production of assessments, and requested that the guide be completed as provided for in decision IPBES-2/5, with a view to becoming a living document that would be regularly reviewed and updated as necessary, building on lessons learned and best practices gleaned from the implementation of the work programme of the Platform. </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color w:val="000000"/>
          <w:lang w:val="en-GB" w:bidi="he-IL"/>
        </w:rPr>
      </w:pPr>
      <w:r w:rsidRPr="00DD3F88">
        <w:rPr>
          <w:color w:val="000000"/>
          <w:lang w:val="en-GB" w:bidi="he-IL"/>
        </w:rPr>
        <w:t xml:space="preserve">In section III of decision IPBES-4/1, on the work programme for the period 2014–2018, the Plenary welcomed the review and updating of the guide, as </w:t>
      </w:r>
      <w:r w:rsidR="004E28B0">
        <w:rPr>
          <w:color w:val="000000"/>
          <w:lang w:val="en-GB" w:bidi="he-IL"/>
        </w:rPr>
        <w:t>set out</w:t>
      </w:r>
      <w:r w:rsidR="004E28B0" w:rsidRPr="00DD3F88">
        <w:rPr>
          <w:color w:val="000000"/>
          <w:lang w:val="en-GB" w:bidi="he-IL"/>
        </w:rPr>
        <w:t xml:space="preserve"> </w:t>
      </w:r>
      <w:r w:rsidRPr="00DD3F88">
        <w:rPr>
          <w:color w:val="000000"/>
          <w:lang w:val="en-GB" w:bidi="he-IL"/>
        </w:rPr>
        <w:t>in the note by the secretariat on the matter (IPBES/4/INF/9), and the plan to make the guide available as an e-book on the Platform’s website and update it regularly.</w:t>
      </w:r>
    </w:p>
    <w:p w:rsidR="004E28B0"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color w:val="000000"/>
          <w:lang w:val="en-GB"/>
        </w:rPr>
      </w:pPr>
      <w:r w:rsidRPr="00DD3F88">
        <w:rPr>
          <w:color w:val="000000"/>
          <w:lang w:val="en-GB" w:bidi="he-IL"/>
        </w:rPr>
        <w:t xml:space="preserve"> </w:t>
      </w:r>
      <w:r w:rsidRPr="00DD3F88">
        <w:rPr>
          <w:lang w:val="en-GB"/>
        </w:rPr>
        <w:t>The core version of the guide on the production of assessments was presented to the Plenary at its fifth session for information (</w:t>
      </w:r>
      <w:r w:rsidRPr="00DD3F88">
        <w:rPr>
          <w:color w:val="000000"/>
          <w:lang w:val="en-GB" w:bidi="he-IL"/>
        </w:rPr>
        <w:t xml:space="preserve">IPBES/5/INF/6). </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color w:val="000000"/>
          <w:lang w:val="en-GB"/>
        </w:rPr>
      </w:pPr>
      <w:r w:rsidRPr="00DD3F88">
        <w:rPr>
          <w:lang w:val="en-GB"/>
        </w:rPr>
        <w:t xml:space="preserve">The annex to the present note, which </w:t>
      </w:r>
      <w:r w:rsidRPr="00DD3F88">
        <w:rPr>
          <w:color w:val="000000"/>
          <w:lang w:val="en-GB"/>
        </w:rPr>
        <w:t>is presented without formal editing,</w:t>
      </w:r>
      <w:r w:rsidRPr="00DD3F88">
        <w:rPr>
          <w:lang w:val="en-GB"/>
        </w:rPr>
        <w:t xml:space="preserve"> sets out information on </w:t>
      </w:r>
      <w:r w:rsidR="004E28B0">
        <w:rPr>
          <w:lang w:val="en-GB"/>
        </w:rPr>
        <w:t xml:space="preserve">the </w:t>
      </w:r>
      <w:r w:rsidRPr="00DD3F88">
        <w:rPr>
          <w:lang w:val="en-GB"/>
        </w:rPr>
        <w:t>progress made in the further development of the guide, including on the IPBES core glossary, and the appendix to the annex sets out the latest version of the guide.</w:t>
      </w:r>
      <w:r w:rsidRPr="00DD3F88">
        <w:rPr>
          <w:color w:val="000000"/>
          <w:lang w:val="en-GB"/>
        </w:rPr>
        <w:t xml:space="preserve"> </w:t>
      </w:r>
    </w:p>
    <w:p w:rsidR="00BE37BE" w:rsidRDefault="00BE37BE" w:rsidP="00280AD4">
      <w:pPr>
        <w:tabs>
          <w:tab w:val="clear" w:pos="1814"/>
          <w:tab w:val="clear" w:pos="2381"/>
          <w:tab w:val="clear" w:pos="2948"/>
          <w:tab w:val="clear" w:pos="3515"/>
          <w:tab w:val="left" w:pos="624"/>
          <w:tab w:val="left" w:pos="1871"/>
          <w:tab w:val="left" w:pos="2495"/>
          <w:tab w:val="left" w:pos="3119"/>
        </w:tabs>
        <w:rPr>
          <w:rFonts w:eastAsia="Calibri" w:cs="Times New Roman"/>
          <w:w w:val="103"/>
          <w:lang w:val="en-GB"/>
        </w:rPr>
      </w:pPr>
      <w:r>
        <w:rPr>
          <w:rFonts w:eastAsia="Calibri"/>
          <w:w w:val="103"/>
          <w:lang w:val="en-GB"/>
        </w:rPr>
        <w:br w:type="page"/>
      </w:r>
    </w:p>
    <w:p w:rsidR="006E54C8" w:rsidRPr="00DD3F88" w:rsidRDefault="006E54C8" w:rsidP="00280AD4">
      <w:pPr>
        <w:pStyle w:val="HCh"/>
        <w:tabs>
          <w:tab w:val="left" w:pos="624"/>
          <w:tab w:val="left" w:pos="1871"/>
          <w:tab w:val="left" w:pos="2495"/>
          <w:tab w:val="left" w:pos="3119"/>
        </w:tabs>
        <w:rPr>
          <w:rFonts w:eastAsia="Calibri"/>
        </w:rPr>
      </w:pPr>
      <w:r w:rsidRPr="00DD3F88">
        <w:rPr>
          <w:rFonts w:eastAsia="Calibri"/>
        </w:rPr>
        <w:lastRenderedPageBreak/>
        <w:t xml:space="preserve">Annex </w:t>
      </w:r>
    </w:p>
    <w:p w:rsidR="006E54C8" w:rsidRPr="00DD3F88" w:rsidRDefault="006E54C8" w:rsidP="00280AD4">
      <w:pPr>
        <w:pStyle w:val="Heading1"/>
        <w:numPr>
          <w:ilvl w:val="0"/>
          <w:numId w:val="6"/>
        </w:numPr>
        <w:tabs>
          <w:tab w:val="clear" w:pos="1247"/>
          <w:tab w:val="clear" w:pos="1814"/>
          <w:tab w:val="clear" w:pos="2381"/>
          <w:tab w:val="clear" w:pos="2948"/>
          <w:tab w:val="clear" w:pos="3515"/>
        </w:tabs>
        <w:ind w:left="1248" w:hanging="624"/>
        <w:rPr>
          <w:lang w:val="en-GB"/>
        </w:rPr>
      </w:pPr>
      <w:r w:rsidRPr="00DD3F88">
        <w:rPr>
          <w:lang w:val="en-GB"/>
        </w:rPr>
        <w:t xml:space="preserve">Update on progress made in the further development of the guide </w:t>
      </w:r>
      <w:r w:rsidRPr="00DD3F88">
        <w:rPr>
          <w:bCs/>
          <w:color w:val="000000"/>
          <w:szCs w:val="28"/>
          <w:lang w:val="en-GB" w:bidi="he-IL"/>
        </w:rPr>
        <w:t>on the production of assessments</w:t>
      </w:r>
    </w:p>
    <w:p w:rsidR="006E54C8" w:rsidRPr="00280AD4" w:rsidRDefault="006E54C8" w:rsidP="00280AD4">
      <w:pPr>
        <w:pStyle w:val="Normalnumber"/>
        <w:numPr>
          <w:ilvl w:val="0"/>
          <w:numId w:val="53"/>
        </w:numPr>
        <w:tabs>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lang w:val="en-GB"/>
        </w:rPr>
      </w:pPr>
      <w:r w:rsidRPr="00280AD4">
        <w:rPr>
          <w:lang w:val="en-GB"/>
        </w:rPr>
        <w:t xml:space="preserve">Following the fifth session of the Plenary, the core version of the guide on the production of assessments has </w:t>
      </w:r>
      <w:r w:rsidRPr="00280AD4">
        <w:rPr>
          <w:color w:val="000000"/>
          <w:lang w:val="en-GB" w:bidi="he-IL"/>
        </w:rPr>
        <w:t>been</w:t>
      </w:r>
      <w:r w:rsidRPr="00280AD4">
        <w:rPr>
          <w:lang w:val="en-GB"/>
        </w:rPr>
        <w:t xml:space="preserve"> edited, finalized, and approved by the Multidisciplinary Expert Panel (MEP) in consultation with the Bureau electronically in November 2017. In addition to its core, the guide will also contain several modules including, for example, one module on “addressing conceptual issues”, which would, among others, introduce the concept of nature’s contributions to people, or one module on the “IPBES core glossary”. A full list of the modules currently under development is presented in box 1.2 in the appendix). </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lang w:val="en-GB"/>
        </w:rPr>
      </w:pPr>
      <w:r w:rsidRPr="00DD3F88">
        <w:rPr>
          <w:lang w:val="en-GB"/>
        </w:rPr>
        <w:t xml:space="preserve">With regards to the module on the IPBES core glossary, the MEP, at its eighth meeting (October 2016) </w:t>
      </w:r>
      <w:r w:rsidRPr="00280AD4">
        <w:rPr>
          <w:color w:val="000000"/>
          <w:lang w:val="en-GB" w:bidi="he-IL"/>
        </w:rPr>
        <w:t>approved</w:t>
      </w:r>
      <w:r w:rsidRPr="00DD3F88">
        <w:rPr>
          <w:lang w:val="en-GB"/>
        </w:rPr>
        <w:t xml:space="preserve"> the establishment and methodology of a glossary committee. That committee is composed of the following members of the MEP: Mark Lonsdale (chair), Brigitte Baptiste, </w:t>
      </w:r>
      <w:proofErr w:type="spellStart"/>
      <w:r w:rsidRPr="00DD3F88">
        <w:rPr>
          <w:lang w:val="en-GB"/>
        </w:rPr>
        <w:t>Mariteuw</w:t>
      </w:r>
      <w:proofErr w:type="spellEnd"/>
      <w:r w:rsidRPr="00DD3F88">
        <w:rPr>
          <w:lang w:val="en-GB"/>
        </w:rPr>
        <w:t xml:space="preserve"> </w:t>
      </w:r>
      <w:proofErr w:type="spellStart"/>
      <w:r w:rsidRPr="00DD3F88">
        <w:rPr>
          <w:lang w:val="en-GB"/>
        </w:rPr>
        <w:t>Chimere</w:t>
      </w:r>
      <w:proofErr w:type="spellEnd"/>
      <w:r w:rsidRPr="00DD3F88">
        <w:rPr>
          <w:lang w:val="en-GB"/>
        </w:rPr>
        <w:t xml:space="preserve"> </w:t>
      </w:r>
      <w:proofErr w:type="spellStart"/>
      <w:r w:rsidRPr="00DD3F88">
        <w:rPr>
          <w:lang w:val="en-GB"/>
        </w:rPr>
        <w:t>Diaw</w:t>
      </w:r>
      <w:proofErr w:type="spellEnd"/>
      <w:r w:rsidRPr="00DD3F88">
        <w:rPr>
          <w:lang w:val="en-GB"/>
        </w:rPr>
        <w:t xml:space="preserve">, and </w:t>
      </w:r>
      <w:proofErr w:type="spellStart"/>
      <w:r w:rsidRPr="00DD3F88">
        <w:rPr>
          <w:lang w:val="en-GB"/>
        </w:rPr>
        <w:t>Leng</w:t>
      </w:r>
      <w:proofErr w:type="spellEnd"/>
      <w:r w:rsidRPr="00DD3F88">
        <w:rPr>
          <w:lang w:val="en-GB"/>
        </w:rPr>
        <w:t xml:space="preserve"> Guan Saw, complemented by at least one expert from each on</w:t>
      </w:r>
      <w:r w:rsidRPr="00DD3F88">
        <w:rPr>
          <w:lang w:val="en-GB"/>
        </w:rPr>
        <w:noBreakHyphen/>
        <w:t>going assessment. The core glossary provides a standard definition for important terms of broad applicability to IPBES outputs. The core glossary does not replace the assessment-specific glossaries, but forms the basis for each assessment’s specific glossary. Each assessment will use the core glossary, and develop a set of specific terms which it will define and whose definitions will only be applied to that assessment. The relevant terms from the core glossary plus the assessment-specific terms, will form the overall glossary of an assessment.</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lang w:val="en-GB"/>
        </w:rPr>
      </w:pPr>
      <w:r w:rsidRPr="00DD3F88">
        <w:rPr>
          <w:lang w:val="en-GB"/>
        </w:rPr>
        <w:t xml:space="preserve">An initial list of terms for the core glossary was prepared based on the glossaries from the previous IPBES, deliverables and previous assessments. Other terms were suggested by the experts of the ongoing </w:t>
      </w:r>
      <w:r w:rsidRPr="00280AD4">
        <w:rPr>
          <w:color w:val="000000"/>
          <w:lang w:val="en-GB" w:bidi="he-IL"/>
        </w:rPr>
        <w:t>IPBES</w:t>
      </w:r>
      <w:r w:rsidRPr="00DD3F88">
        <w:rPr>
          <w:lang w:val="en-GB"/>
        </w:rPr>
        <w:t xml:space="preserve"> assessments. The core glossary was subjected to a number of revisions performed by the glossary committee. The inclusion of the terms and their definitions were agreed by consensus. The current version of the core glossary is available at </w:t>
      </w:r>
      <w:hyperlink r:id="rId14" w:history="1">
        <w:r w:rsidRPr="00DD3F88">
          <w:rPr>
            <w:rStyle w:val="Hyperlink"/>
            <w:lang w:val="en-GB"/>
          </w:rPr>
          <w:t>https://www.ipbes.net/glossary</w:t>
        </w:r>
      </w:hyperlink>
      <w:r w:rsidRPr="00DD3F88">
        <w:rPr>
          <w:lang w:val="en-GB"/>
        </w:rPr>
        <w:t>. It is considered as a living resource that can be updated as needed.</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lang w:val="en-GB"/>
        </w:rPr>
      </w:pPr>
      <w:r w:rsidRPr="00DD3F88">
        <w:rPr>
          <w:lang w:val="en-GB"/>
        </w:rPr>
        <w:t xml:space="preserve">In addition, a summary of the guide has been prepared, which provides a quick overview of major steps and </w:t>
      </w:r>
      <w:r w:rsidRPr="00280AD4">
        <w:rPr>
          <w:color w:val="000000"/>
          <w:lang w:val="en-GB" w:bidi="he-IL"/>
        </w:rPr>
        <w:t>processes</w:t>
      </w:r>
      <w:r w:rsidRPr="00DD3F88">
        <w:rPr>
          <w:lang w:val="en-GB"/>
        </w:rPr>
        <w:t xml:space="preserve"> involved in an IPBES assessment and the overall structure of an IPBES assessment report. The final version of that summary is available on the following webpage: https://www.ipbes.net/sites/default/files/22012018_ipbes_assessment_guide_summary.pdf.</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lang w:val="en-GB"/>
        </w:rPr>
      </w:pPr>
      <w:r w:rsidRPr="00DD3F88">
        <w:rPr>
          <w:lang w:val="en-GB"/>
        </w:rPr>
        <w:t xml:space="preserve">Finally, an e-learning tool on performing an IPBES assessment was developed, to present the information included in the guide in an interactive and attractive way. It is available both online and as a downloadable </w:t>
      </w:r>
      <w:r w:rsidRPr="00280AD4">
        <w:rPr>
          <w:color w:val="000000"/>
          <w:lang w:val="en-GB" w:bidi="he-IL"/>
        </w:rPr>
        <w:t>document</w:t>
      </w:r>
      <w:r w:rsidRPr="00DD3F88">
        <w:rPr>
          <w:lang w:val="en-GB"/>
        </w:rPr>
        <w:t xml:space="preserve"> at www.ipbes.net/</w:t>
      </w:r>
      <w:r w:rsidR="000E03F9">
        <w:rPr>
          <w:lang w:val="en-GB"/>
        </w:rPr>
        <w:t>e-learning</w:t>
      </w:r>
    </w:p>
    <w:p w:rsidR="006E54C8" w:rsidRPr="00DD3F88" w:rsidRDefault="006E54C8" w:rsidP="00280AD4">
      <w:pPr>
        <w:pStyle w:val="Heading1"/>
        <w:numPr>
          <w:ilvl w:val="0"/>
          <w:numId w:val="6"/>
        </w:numPr>
        <w:tabs>
          <w:tab w:val="clear" w:pos="2381"/>
          <w:tab w:val="clear" w:pos="2948"/>
          <w:tab w:val="clear" w:pos="3515"/>
          <w:tab w:val="left" w:pos="624"/>
          <w:tab w:val="left" w:pos="1871"/>
          <w:tab w:val="left" w:pos="2495"/>
          <w:tab w:val="left" w:pos="3119"/>
        </w:tabs>
        <w:ind w:hanging="534"/>
        <w:rPr>
          <w:lang w:val="en-GB"/>
        </w:rPr>
      </w:pPr>
      <w:r w:rsidRPr="00DD3F88">
        <w:rPr>
          <w:lang w:val="en-GB"/>
        </w:rPr>
        <w:t>Next steps</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lang w:val="en-GB"/>
        </w:rPr>
      </w:pPr>
      <w:r w:rsidRPr="00DD3F88">
        <w:rPr>
          <w:lang w:val="en-GB"/>
        </w:rPr>
        <w:t xml:space="preserve">The guide is a living document and it is expected that it will be updated every 12 months, or as necessary under </w:t>
      </w:r>
      <w:r w:rsidRPr="00280AD4">
        <w:rPr>
          <w:color w:val="000000"/>
          <w:lang w:val="en-GB" w:bidi="he-IL"/>
        </w:rPr>
        <w:t>the</w:t>
      </w:r>
      <w:r w:rsidRPr="00DD3F88">
        <w:rPr>
          <w:lang w:val="en-GB"/>
        </w:rPr>
        <w:t xml:space="preserve"> guidance of the MEP, in consultation with the Bureau. Feedback from experts involved in the IPBES assessments will be sought to ensure that the guide remains relevant. </w:t>
      </w:r>
    </w:p>
    <w:p w:rsidR="006E54C8" w:rsidRPr="00DD3F88" w:rsidRDefault="006E54C8" w:rsidP="00280AD4">
      <w:pPr>
        <w:pStyle w:val="Normalnumber"/>
        <w:numPr>
          <w:ilvl w:val="0"/>
          <w:numId w:val="5"/>
        </w:numPr>
        <w:tabs>
          <w:tab w:val="clear" w:pos="567"/>
          <w:tab w:val="clear" w:pos="1814"/>
          <w:tab w:val="clear" w:pos="2381"/>
          <w:tab w:val="clear" w:pos="2948"/>
          <w:tab w:val="clear" w:pos="3515"/>
          <w:tab w:val="clear" w:pos="4082"/>
          <w:tab w:val="left" w:pos="624"/>
          <w:tab w:val="left" w:pos="1871"/>
          <w:tab w:val="left" w:pos="2495"/>
          <w:tab w:val="left" w:pos="3119"/>
        </w:tabs>
        <w:autoSpaceDE w:val="0"/>
        <w:autoSpaceDN w:val="0"/>
        <w:adjustRightInd w:val="0"/>
        <w:rPr>
          <w:lang w:val="en-GB"/>
        </w:rPr>
        <w:sectPr w:rsidR="006E54C8" w:rsidRPr="00DD3F88" w:rsidSect="00280AD4">
          <w:headerReference w:type="even" r:id="rId15"/>
          <w:headerReference w:type="default" r:id="rId16"/>
          <w:footerReference w:type="even" r:id="rId17"/>
          <w:footerReference w:type="default" r:id="rId18"/>
          <w:headerReference w:type="first" r:id="rId19"/>
          <w:footerReference w:type="first" r:id="rId20"/>
          <w:type w:val="continuous"/>
          <w:pgSz w:w="11907" w:h="16840"/>
          <w:pgMar w:top="1418" w:right="907" w:bottom="992" w:left="1418" w:header="539" w:footer="975" w:gutter="0"/>
          <w:cols w:space="720"/>
          <w:titlePg/>
          <w:docGrid w:linePitch="272"/>
        </w:sectPr>
      </w:pPr>
      <w:r w:rsidRPr="00DD3F88">
        <w:rPr>
          <w:lang w:val="en-GB"/>
        </w:rPr>
        <w:t xml:space="preserve">The modules listed in box 1.2 (appendix) will continue to be developed and be posted on the IPBES website </w:t>
      </w:r>
      <w:r w:rsidRPr="00280AD4">
        <w:rPr>
          <w:color w:val="000000"/>
          <w:lang w:val="en-GB" w:bidi="he-IL"/>
        </w:rPr>
        <w:t>as</w:t>
      </w:r>
      <w:r w:rsidRPr="00DD3F88">
        <w:rPr>
          <w:lang w:val="en-GB"/>
        </w:rPr>
        <w:t xml:space="preserve"> living documents, as they become available. </w:t>
      </w:r>
    </w:p>
    <w:p w:rsidR="006E54C8" w:rsidRPr="00DD3F88" w:rsidRDefault="006E54C8" w:rsidP="00280AD4">
      <w:pPr>
        <w:tabs>
          <w:tab w:val="left" w:pos="624"/>
          <w:tab w:val="left" w:pos="1871"/>
          <w:tab w:val="left" w:pos="2495"/>
          <w:tab w:val="left" w:pos="3119"/>
        </w:tabs>
        <w:rPr>
          <w:rFonts w:eastAsia="Calibri"/>
          <w:b/>
          <w:bCs/>
          <w:sz w:val="28"/>
          <w:szCs w:val="22"/>
          <w:lang w:val="en-GB"/>
        </w:rPr>
      </w:pPr>
    </w:p>
    <w:p w:rsidR="006E54C8" w:rsidRPr="00DD3F88" w:rsidRDefault="006E54C8" w:rsidP="00280AD4">
      <w:pPr>
        <w:tabs>
          <w:tab w:val="left" w:pos="624"/>
          <w:tab w:val="left" w:pos="1871"/>
          <w:tab w:val="left" w:pos="2495"/>
          <w:tab w:val="left" w:pos="3119"/>
          <w:tab w:val="left" w:pos="4082"/>
        </w:tabs>
        <w:rPr>
          <w:rFonts w:eastAsia="Calibri"/>
          <w:b/>
          <w:bCs/>
          <w:sz w:val="28"/>
          <w:szCs w:val="22"/>
          <w:lang w:val="en-GB"/>
        </w:rPr>
      </w:pPr>
      <w:r w:rsidRPr="00DD3F88">
        <w:rPr>
          <w:rFonts w:eastAsia="Calibri"/>
          <w:b/>
          <w:bCs/>
          <w:sz w:val="28"/>
          <w:szCs w:val="22"/>
          <w:lang w:val="en-GB"/>
        </w:rPr>
        <w:t xml:space="preserve">Appendix: core version of the guide on the production of assessments </w:t>
      </w:r>
    </w:p>
    <w:p w:rsidR="006E54C8" w:rsidRPr="00DD3F88" w:rsidRDefault="006E54C8" w:rsidP="00280AD4">
      <w:pPr>
        <w:tabs>
          <w:tab w:val="left" w:pos="624"/>
          <w:tab w:val="left" w:pos="1871"/>
          <w:tab w:val="left" w:pos="2495"/>
          <w:tab w:val="left" w:pos="3119"/>
          <w:tab w:val="left" w:pos="4082"/>
        </w:tabs>
        <w:rPr>
          <w:rFonts w:eastAsia="Calibri"/>
          <w:b/>
          <w:bCs/>
          <w:sz w:val="28"/>
          <w:szCs w:val="22"/>
          <w:lang w:val="en-GB"/>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579"/>
      </w:tblGrid>
      <w:tr w:rsidR="006E54C8" w:rsidRPr="00DD3F88" w:rsidTr="00480CDD">
        <w:tc>
          <w:tcPr>
            <w:tcW w:w="7782" w:type="dxa"/>
            <w:tcBorders>
              <w:top w:val="nil"/>
              <w:left w:val="single" w:sz="18" w:space="0" w:color="4F81BD"/>
              <w:bottom w:val="nil"/>
              <w:right w:val="nil"/>
            </w:tcBorders>
            <w:hideMark/>
          </w:tcPr>
          <w:p w:rsidR="006E54C8" w:rsidRPr="00DD3F88" w:rsidRDefault="006E54C8" w:rsidP="00280AD4">
            <w:pPr>
              <w:tabs>
                <w:tab w:val="left" w:pos="624"/>
                <w:tab w:val="left" w:pos="1871"/>
                <w:tab w:val="left" w:pos="2495"/>
                <w:tab w:val="left" w:pos="3119"/>
              </w:tabs>
              <w:rPr>
                <w:rFonts w:eastAsia="Times New Roman"/>
                <w:color w:val="4F81BD"/>
                <w:sz w:val="48"/>
                <w:szCs w:val="48"/>
                <w:lang w:val="en-GB"/>
              </w:rPr>
            </w:pPr>
            <w:r w:rsidRPr="00DD3F88">
              <w:rPr>
                <w:color w:val="4F81BD"/>
                <w:sz w:val="48"/>
                <w:szCs w:val="48"/>
                <w:lang w:val="en-GB"/>
              </w:rPr>
              <w:t xml:space="preserve">The IPBES Guide on the production of assessments </w:t>
            </w:r>
          </w:p>
          <w:p w:rsidR="006E54C8" w:rsidRPr="00DD3F88" w:rsidRDefault="006E54C8" w:rsidP="00280AD4">
            <w:pPr>
              <w:tabs>
                <w:tab w:val="left" w:pos="624"/>
                <w:tab w:val="left" w:pos="1871"/>
                <w:tab w:val="left" w:pos="2495"/>
                <w:tab w:val="left" w:pos="3119"/>
              </w:tabs>
              <w:rPr>
                <w:color w:val="4F81BD"/>
                <w:sz w:val="36"/>
                <w:szCs w:val="36"/>
                <w:lang w:val="en-GB"/>
              </w:rPr>
            </w:pPr>
            <w:r w:rsidRPr="00DD3F88">
              <w:rPr>
                <w:color w:val="4F81BD"/>
                <w:sz w:val="36"/>
                <w:szCs w:val="36"/>
                <w:lang w:val="en-GB"/>
              </w:rPr>
              <w:t>Core version</w:t>
            </w:r>
          </w:p>
        </w:tc>
      </w:tr>
    </w:tbl>
    <w:p w:rsidR="006E54C8" w:rsidRPr="00DD3F88" w:rsidRDefault="006E54C8" w:rsidP="00280AD4">
      <w:pPr>
        <w:tabs>
          <w:tab w:val="left" w:pos="624"/>
          <w:tab w:val="left" w:pos="1871"/>
          <w:tab w:val="left" w:pos="2495"/>
          <w:tab w:val="left" w:pos="3119"/>
        </w:tabs>
        <w:rPr>
          <w:rFonts w:ascii="Calibri" w:hAnsi="Calibri"/>
          <w:b/>
          <w:sz w:val="22"/>
          <w:szCs w:val="22"/>
          <w:lang w:val="en-GB"/>
        </w:rPr>
        <w:sectPr w:rsidR="006E54C8" w:rsidRPr="00DD3F88" w:rsidSect="00480CDD">
          <w:headerReference w:type="even" r:id="rId21"/>
          <w:headerReference w:type="default" r:id="rId22"/>
          <w:pgSz w:w="11907" w:h="16840"/>
          <w:pgMar w:top="907" w:right="992" w:bottom="1418" w:left="1418" w:header="539" w:footer="975" w:gutter="0"/>
          <w:cols w:space="720"/>
        </w:sectPr>
      </w:pPr>
    </w:p>
    <w:p w:rsidR="006E54C8" w:rsidRPr="00DD3F88" w:rsidRDefault="006E54C8" w:rsidP="00280AD4">
      <w:pPr>
        <w:pStyle w:val="TOC2"/>
        <w:tabs>
          <w:tab w:val="left" w:pos="624"/>
          <w:tab w:val="left" w:pos="1871"/>
          <w:tab w:val="left" w:pos="2495"/>
          <w:tab w:val="left" w:pos="3119"/>
        </w:tabs>
        <w:rPr>
          <w:rFonts w:asciiTheme="minorHAnsi" w:eastAsiaTheme="minorEastAsia" w:hAnsiTheme="minorHAnsi" w:cstheme="minorBidi"/>
          <w:noProof/>
          <w:sz w:val="22"/>
          <w:szCs w:val="22"/>
          <w:lang w:val="en-GB"/>
        </w:rPr>
      </w:pPr>
      <w:r w:rsidRPr="00DD3F88">
        <w:rPr>
          <w:rFonts w:eastAsia="Calibri"/>
          <w:lang w:val="en-GB"/>
        </w:rPr>
        <w:lastRenderedPageBreak/>
        <w:fldChar w:fldCharType="begin"/>
      </w:r>
      <w:r w:rsidRPr="00DD3F88">
        <w:rPr>
          <w:rFonts w:eastAsia="Calibri"/>
          <w:lang w:val="en-GB"/>
        </w:rPr>
        <w:instrText xml:space="preserve"> TOC \o \h \z \u </w:instrText>
      </w:r>
      <w:r w:rsidRPr="00DD3F88">
        <w:rPr>
          <w:rFonts w:eastAsia="Calibri"/>
          <w:lang w:val="en-GB"/>
        </w:rPr>
        <w:fldChar w:fldCharType="separate"/>
      </w:r>
    </w:p>
    <w:p w:rsidR="006E54C8" w:rsidRPr="00DD3F88" w:rsidRDefault="006E54C8" w:rsidP="00280AD4">
      <w:pPr>
        <w:tabs>
          <w:tab w:val="left" w:pos="624"/>
          <w:tab w:val="left" w:pos="1871"/>
          <w:tab w:val="left" w:pos="2495"/>
          <w:tab w:val="left" w:pos="3119"/>
          <w:tab w:val="left" w:pos="5175"/>
        </w:tabs>
        <w:rPr>
          <w:rFonts w:eastAsiaTheme="minorEastAsia"/>
          <w:lang w:val="en-GB"/>
        </w:rPr>
      </w:pPr>
      <w:r w:rsidRPr="00DD3F88">
        <w:rPr>
          <w:rFonts w:eastAsia="Calibri"/>
          <w:lang w:val="en-GB"/>
        </w:rPr>
        <w:fldChar w:fldCharType="end"/>
      </w:r>
      <w:r w:rsidRPr="00DD3F88">
        <w:rPr>
          <w:rFonts w:eastAsia="Calibri"/>
          <w:lang w:val="en-GB"/>
        </w:rPr>
        <w:fldChar w:fldCharType="begin"/>
      </w:r>
      <w:r w:rsidRPr="00DD3F88">
        <w:rPr>
          <w:rFonts w:eastAsia="Calibri"/>
          <w:lang w:val="en-GB"/>
        </w:rPr>
        <w:instrText xml:space="preserve"> TOC \o \h \z \u </w:instrText>
      </w:r>
      <w:r w:rsidRPr="00DD3F88">
        <w:rPr>
          <w:rFonts w:eastAsia="Calibri"/>
          <w:lang w:val="en-GB"/>
        </w:rPr>
        <w:fldChar w:fldCharType="separate"/>
      </w:r>
    </w:p>
    <w:sdt>
      <w:sdtPr>
        <w:rPr>
          <w:rFonts w:asciiTheme="majorBidi" w:eastAsia="Times New Roman" w:hAnsiTheme="majorBidi" w:cs="Times New Roman"/>
          <w:color w:val="auto"/>
          <w:sz w:val="20"/>
          <w:szCs w:val="20"/>
          <w:lang w:val="fr-FR"/>
        </w:rPr>
        <w:id w:val="-301931189"/>
        <w:docPartObj>
          <w:docPartGallery w:val="Table of Contents"/>
          <w:docPartUnique/>
        </w:docPartObj>
      </w:sdtPr>
      <w:sdtEndPr>
        <w:rPr>
          <w:rFonts w:eastAsiaTheme="minorHAnsi" w:cstheme="minorBidi"/>
        </w:rPr>
      </w:sdtEndPr>
      <w:sdtContent>
        <w:p w:rsidR="006E54C8" w:rsidRPr="00DD3F88" w:rsidRDefault="006E54C8" w:rsidP="00280AD4">
          <w:pPr>
            <w:pStyle w:val="TOCHeading"/>
            <w:tabs>
              <w:tab w:val="left" w:pos="624"/>
              <w:tab w:val="left" w:pos="1247"/>
              <w:tab w:val="left" w:pos="1871"/>
              <w:tab w:val="left" w:pos="2495"/>
              <w:tab w:val="left" w:pos="3119"/>
            </w:tabs>
            <w:ind w:hanging="567"/>
            <w:rPr>
              <w:rFonts w:asciiTheme="majorBidi" w:hAnsiTheme="majorBidi"/>
              <w:color w:val="auto"/>
            </w:rPr>
          </w:pPr>
          <w:r w:rsidRPr="00DD3F88">
            <w:rPr>
              <w:rFonts w:asciiTheme="majorBidi" w:hAnsiTheme="majorBidi"/>
              <w:color w:val="auto"/>
            </w:rPr>
            <w:t>Table of Contents</w:t>
          </w:r>
        </w:p>
        <w:p w:rsidR="006E54C8" w:rsidRPr="00DD3F88" w:rsidRDefault="006E54C8" w:rsidP="00280AD4">
          <w:pPr>
            <w:pStyle w:val="TOC1"/>
            <w:tabs>
              <w:tab w:val="left" w:pos="624"/>
              <w:tab w:val="left" w:pos="1871"/>
              <w:tab w:val="left" w:pos="2495"/>
              <w:tab w:val="left" w:pos="3119"/>
            </w:tabs>
            <w:ind w:left="0"/>
            <w:rPr>
              <w:lang w:val="en-GB"/>
            </w:rPr>
          </w:pPr>
          <w:r w:rsidRPr="00DD3F88">
            <w:rPr>
              <w:b/>
              <w:bCs w:val="0"/>
              <w:lang w:val="en-GB"/>
            </w:rPr>
            <w:t>1. Introduction to IPBES</w:t>
          </w:r>
          <w:r w:rsidRPr="00DD3F88">
            <w:rPr>
              <w:lang w:val="en-GB"/>
            </w:rPr>
            <w:ptab w:relativeTo="margin" w:alignment="right" w:leader="dot"/>
          </w:r>
          <w:r w:rsidRPr="00DD3F88">
            <w:rPr>
              <w:lang w:val="en-GB"/>
            </w:rPr>
            <w:t xml:space="preserve"> </w:t>
          </w:r>
          <w:r w:rsidR="00CF24F4">
            <w:rPr>
              <w:b/>
              <w:lang w:val="en-GB"/>
            </w:rPr>
            <w:t>6</w:t>
          </w:r>
        </w:p>
        <w:p w:rsidR="006E54C8" w:rsidRPr="00DD3F88" w:rsidRDefault="006E54C8" w:rsidP="00280AD4">
          <w:pPr>
            <w:pStyle w:val="TOC2"/>
            <w:tabs>
              <w:tab w:val="left" w:pos="624"/>
              <w:tab w:val="left" w:pos="1871"/>
              <w:tab w:val="left" w:pos="2495"/>
              <w:tab w:val="left" w:pos="3119"/>
            </w:tabs>
            <w:ind w:left="0" w:firstLine="0"/>
            <w:rPr>
              <w:lang w:val="en-GB"/>
            </w:rPr>
          </w:pPr>
          <w:r w:rsidRPr="00DD3F88">
            <w:rPr>
              <w:lang w:val="en-GB"/>
            </w:rPr>
            <w:t>1.1 What is an IPBES assessment?</w:t>
          </w:r>
          <w:r w:rsidRPr="00DD3F88">
            <w:rPr>
              <w:lang w:val="en-GB"/>
            </w:rPr>
            <w:ptab w:relativeTo="margin" w:alignment="right" w:leader="dot"/>
          </w:r>
          <w:r w:rsidRPr="00DD3F88">
            <w:rPr>
              <w:lang w:val="en-GB"/>
            </w:rPr>
            <w:t xml:space="preserve"> </w:t>
          </w:r>
          <w:r w:rsidR="00CF24F4">
            <w:rPr>
              <w:lang w:val="en-GB"/>
            </w:rPr>
            <w:t>6</w:t>
          </w:r>
        </w:p>
        <w:p w:rsidR="006E54C8" w:rsidRPr="00DD3F88" w:rsidRDefault="006E54C8" w:rsidP="00280AD4">
          <w:pPr>
            <w:pStyle w:val="TOC3"/>
            <w:tabs>
              <w:tab w:val="left" w:pos="624"/>
              <w:tab w:val="left" w:pos="1871"/>
              <w:tab w:val="left" w:pos="2495"/>
              <w:tab w:val="left" w:pos="3119"/>
            </w:tabs>
            <w:ind w:left="0" w:firstLine="0"/>
            <w:rPr>
              <w:lang w:val="en-GB"/>
            </w:rPr>
          </w:pPr>
          <w:r w:rsidRPr="00DD3F88">
            <w:rPr>
              <w:lang w:val="en-GB"/>
            </w:rPr>
            <w:t>1.2 What are the operating principles, functions and rules followed by IPBES?</w:t>
          </w:r>
          <w:r w:rsidRPr="00DD3F88">
            <w:rPr>
              <w:lang w:val="en-GB"/>
            </w:rPr>
            <w:ptab w:relativeTo="margin" w:alignment="right" w:leader="dot"/>
          </w:r>
          <w:r w:rsidRPr="00DD3F88">
            <w:rPr>
              <w:lang w:val="en-GB"/>
            </w:rPr>
            <w:t xml:space="preserve"> </w:t>
          </w:r>
          <w:r w:rsidR="00CF24F4">
            <w:rPr>
              <w:lang w:val="en-GB"/>
            </w:rPr>
            <w:t>7</w:t>
          </w:r>
        </w:p>
        <w:p w:rsidR="006E54C8" w:rsidRPr="00DD3F88" w:rsidRDefault="006E54C8" w:rsidP="00280AD4">
          <w:pPr>
            <w:pStyle w:val="TOC3"/>
            <w:tabs>
              <w:tab w:val="left" w:pos="624"/>
              <w:tab w:val="left" w:pos="1871"/>
              <w:tab w:val="left" w:pos="2495"/>
              <w:tab w:val="left" w:pos="3119"/>
            </w:tabs>
            <w:ind w:left="0" w:firstLine="0"/>
            <w:rPr>
              <w:lang w:val="en-GB"/>
            </w:rPr>
          </w:pPr>
          <w:r w:rsidRPr="00DD3F88">
            <w:rPr>
              <w:lang w:val="en-GB"/>
            </w:rPr>
            <w:t xml:space="preserve">1.3 How to use this Guide? </w:t>
          </w:r>
          <w:r w:rsidRPr="00DD3F88">
            <w:rPr>
              <w:lang w:val="en-GB"/>
            </w:rPr>
            <w:ptab w:relativeTo="margin" w:alignment="right" w:leader="dot"/>
          </w:r>
          <w:r w:rsidR="00CF24F4">
            <w:rPr>
              <w:lang w:val="en-GB"/>
            </w:rPr>
            <w:t>8</w:t>
          </w:r>
        </w:p>
        <w:p w:rsidR="006E54C8" w:rsidRPr="00DD3F88" w:rsidRDefault="006E54C8" w:rsidP="00280AD4">
          <w:pPr>
            <w:pStyle w:val="TOC1"/>
            <w:tabs>
              <w:tab w:val="left" w:pos="624"/>
              <w:tab w:val="left" w:pos="1871"/>
              <w:tab w:val="left" w:pos="2495"/>
              <w:tab w:val="left" w:pos="3119"/>
            </w:tabs>
            <w:ind w:left="0"/>
            <w:rPr>
              <w:lang w:val="en-GB"/>
            </w:rPr>
          </w:pPr>
          <w:r w:rsidRPr="00DD3F88">
            <w:rPr>
              <w:b/>
              <w:bCs w:val="0"/>
              <w:lang w:val="en-GB"/>
            </w:rPr>
            <w:t>2. The IPBES assessment process</w:t>
          </w:r>
          <w:r w:rsidRPr="00DD3F88">
            <w:rPr>
              <w:lang w:val="en-GB"/>
            </w:rPr>
            <w:ptab w:relativeTo="margin" w:alignment="right" w:leader="dot"/>
          </w:r>
          <w:r w:rsidRPr="00DD3F88">
            <w:rPr>
              <w:lang w:val="en-GB"/>
            </w:rPr>
            <w:t xml:space="preserve"> </w:t>
          </w:r>
          <w:r w:rsidR="00CF24F4">
            <w:rPr>
              <w:b/>
              <w:lang w:val="en-GB"/>
            </w:rPr>
            <w:t>9</w:t>
          </w:r>
        </w:p>
        <w:p w:rsidR="006E54C8" w:rsidRPr="00DD3F88" w:rsidRDefault="006E54C8" w:rsidP="00280AD4">
          <w:pPr>
            <w:pStyle w:val="TOC2"/>
            <w:tabs>
              <w:tab w:val="left" w:pos="624"/>
              <w:tab w:val="left" w:pos="1871"/>
              <w:tab w:val="left" w:pos="2495"/>
              <w:tab w:val="left" w:pos="3119"/>
            </w:tabs>
            <w:ind w:left="0"/>
            <w:rPr>
              <w:lang w:val="en-GB"/>
            </w:rPr>
          </w:pPr>
          <w:r w:rsidRPr="00DD3F88">
            <w:rPr>
              <w:lang w:val="en-GB"/>
            </w:rPr>
            <w:t>2.1 Stage 1: Requests and scope</w:t>
          </w:r>
          <w:r w:rsidRPr="00DD3F88">
            <w:rPr>
              <w:lang w:val="en-GB"/>
            </w:rPr>
            <w:ptab w:relativeTo="margin" w:alignment="right" w:leader="dot"/>
          </w:r>
          <w:r w:rsidR="00CF24F4">
            <w:rPr>
              <w:lang w:val="en-GB"/>
            </w:rPr>
            <w:t>10</w:t>
          </w:r>
        </w:p>
        <w:p w:rsidR="006E54C8" w:rsidRPr="00DD3F88" w:rsidRDefault="006E54C8" w:rsidP="00280AD4">
          <w:pPr>
            <w:pStyle w:val="TOC3"/>
            <w:tabs>
              <w:tab w:val="left" w:pos="624"/>
              <w:tab w:val="left" w:pos="1871"/>
              <w:tab w:val="left" w:pos="2495"/>
              <w:tab w:val="left" w:pos="3119"/>
            </w:tabs>
            <w:ind w:left="0"/>
            <w:rPr>
              <w:lang w:val="en-GB"/>
            </w:rPr>
          </w:pPr>
          <w:r w:rsidRPr="00DD3F88">
            <w:rPr>
              <w:lang w:val="en-GB"/>
            </w:rPr>
            <w:t>2.2 Stage 2: Expert evaluation of the state of knowledge</w:t>
          </w:r>
          <w:r w:rsidRPr="00DD3F88">
            <w:rPr>
              <w:lang w:val="en-GB"/>
            </w:rPr>
            <w:ptab w:relativeTo="margin" w:alignment="right" w:leader="dot"/>
          </w:r>
          <w:r w:rsidRPr="00DD3F88">
            <w:rPr>
              <w:lang w:val="en-GB"/>
            </w:rPr>
            <w:t xml:space="preserve"> </w:t>
          </w:r>
          <w:r w:rsidR="00CF24F4">
            <w:rPr>
              <w:lang w:val="en-GB"/>
            </w:rPr>
            <w:t>13</w:t>
          </w:r>
        </w:p>
        <w:p w:rsidR="006E54C8" w:rsidRPr="00DD3F88" w:rsidRDefault="006E54C8" w:rsidP="00280AD4">
          <w:pPr>
            <w:pStyle w:val="TOC3"/>
            <w:tabs>
              <w:tab w:val="left" w:pos="624"/>
              <w:tab w:val="left" w:pos="1871"/>
              <w:tab w:val="left" w:pos="2495"/>
              <w:tab w:val="left" w:pos="3119"/>
            </w:tabs>
            <w:ind w:left="0"/>
            <w:rPr>
              <w:lang w:val="en-GB"/>
            </w:rPr>
          </w:pPr>
          <w:r w:rsidRPr="00DD3F88">
            <w:rPr>
              <w:lang w:val="en-GB"/>
            </w:rPr>
            <w:t xml:space="preserve">2.3 Stage 3: Approval/acceptance </w:t>
          </w:r>
          <w:r w:rsidRPr="00DD3F88">
            <w:rPr>
              <w:lang w:val="en-GB"/>
            </w:rPr>
            <w:ptab w:relativeTo="margin" w:alignment="right" w:leader="dot"/>
          </w:r>
          <w:r w:rsidR="00CF24F4">
            <w:rPr>
              <w:lang w:val="en-GB"/>
            </w:rPr>
            <w:t>36</w:t>
          </w:r>
        </w:p>
        <w:p w:rsidR="006E54C8" w:rsidRPr="00DD3F88" w:rsidRDefault="006E54C8" w:rsidP="00280AD4">
          <w:pPr>
            <w:pStyle w:val="TOC3"/>
            <w:tabs>
              <w:tab w:val="left" w:pos="624"/>
              <w:tab w:val="left" w:pos="1871"/>
              <w:tab w:val="left" w:pos="2495"/>
              <w:tab w:val="left" w:pos="3119"/>
            </w:tabs>
            <w:ind w:left="0"/>
            <w:rPr>
              <w:lang w:val="en-GB"/>
            </w:rPr>
          </w:pPr>
          <w:r w:rsidRPr="00DD3F88">
            <w:rPr>
              <w:lang w:val="en-GB"/>
            </w:rPr>
            <w:t xml:space="preserve">2.4 Stage 4: Use of the assessment findings </w:t>
          </w:r>
          <w:r w:rsidRPr="00DD3F88">
            <w:rPr>
              <w:lang w:val="en-GB"/>
            </w:rPr>
            <w:ptab w:relativeTo="margin" w:alignment="right" w:leader="dot"/>
          </w:r>
          <w:r w:rsidR="00CF24F4">
            <w:rPr>
              <w:lang w:val="en-GB"/>
            </w:rPr>
            <w:t>37</w:t>
          </w:r>
        </w:p>
        <w:p w:rsidR="006E54C8" w:rsidRPr="00DD3F88" w:rsidRDefault="006E54C8" w:rsidP="00280AD4">
          <w:pPr>
            <w:pStyle w:val="TOC1"/>
            <w:tabs>
              <w:tab w:val="left" w:pos="624"/>
              <w:tab w:val="left" w:pos="1871"/>
              <w:tab w:val="left" w:pos="2495"/>
              <w:tab w:val="left" w:pos="3119"/>
            </w:tabs>
            <w:ind w:left="0"/>
            <w:rPr>
              <w:lang w:val="en-GB"/>
            </w:rPr>
          </w:pPr>
          <w:r w:rsidRPr="00DD3F88">
            <w:rPr>
              <w:b/>
              <w:bCs w:val="0"/>
              <w:lang w:val="en-GB"/>
            </w:rPr>
            <w:t>3. References</w:t>
          </w:r>
          <w:r w:rsidRPr="00DD3F88">
            <w:rPr>
              <w:lang w:val="en-GB"/>
            </w:rPr>
            <w:ptab w:relativeTo="margin" w:alignment="right" w:leader="dot"/>
          </w:r>
          <w:r w:rsidRPr="00DD3F88">
            <w:rPr>
              <w:lang w:val="en-GB"/>
            </w:rPr>
            <w:t xml:space="preserve"> </w:t>
          </w:r>
          <w:r w:rsidR="00CF24F4">
            <w:rPr>
              <w:b/>
              <w:lang w:val="en-GB"/>
            </w:rPr>
            <w:t>39</w:t>
          </w:r>
        </w:p>
        <w:p w:rsidR="006E54C8" w:rsidRPr="00DD3F88" w:rsidRDefault="006E54C8" w:rsidP="00280AD4">
          <w:pPr>
            <w:tabs>
              <w:tab w:val="left" w:pos="624"/>
              <w:tab w:val="left" w:pos="1871"/>
              <w:tab w:val="left" w:pos="2495"/>
              <w:tab w:val="left" w:pos="3119"/>
            </w:tabs>
            <w:rPr>
              <w:lang w:val="en-GB"/>
            </w:rPr>
          </w:pPr>
        </w:p>
        <w:p w:rsidR="006E54C8" w:rsidRPr="00DD3F88" w:rsidRDefault="006E54C8" w:rsidP="00280AD4">
          <w:pPr>
            <w:tabs>
              <w:tab w:val="left" w:pos="624"/>
              <w:tab w:val="left" w:pos="1871"/>
              <w:tab w:val="left" w:pos="2495"/>
              <w:tab w:val="left" w:pos="3119"/>
            </w:tabs>
            <w:rPr>
              <w:lang w:val="en-GB"/>
            </w:rPr>
          </w:pPr>
        </w:p>
        <w:p w:rsidR="006E54C8" w:rsidRPr="00DD3F88" w:rsidRDefault="006E54C8" w:rsidP="00280AD4">
          <w:pPr>
            <w:tabs>
              <w:tab w:val="left" w:pos="624"/>
              <w:tab w:val="left" w:pos="1871"/>
              <w:tab w:val="left" w:pos="2495"/>
              <w:tab w:val="left" w:pos="3119"/>
            </w:tabs>
            <w:rPr>
              <w:lang w:val="en-GB"/>
            </w:rPr>
          </w:pPr>
        </w:p>
        <w:p w:rsidR="006E54C8" w:rsidRPr="00DD3F88" w:rsidRDefault="006E54C8" w:rsidP="00280AD4">
          <w:pPr>
            <w:tabs>
              <w:tab w:val="left" w:pos="624"/>
              <w:tab w:val="left" w:pos="1871"/>
              <w:tab w:val="left" w:pos="2495"/>
              <w:tab w:val="left" w:pos="3119"/>
            </w:tabs>
            <w:rPr>
              <w:lang w:val="en-GB"/>
            </w:rPr>
          </w:pPr>
        </w:p>
        <w:p w:rsidR="006E54C8" w:rsidRPr="00DD3F88" w:rsidRDefault="00280AD4" w:rsidP="00280AD4">
          <w:pPr>
            <w:tabs>
              <w:tab w:val="left" w:pos="624"/>
              <w:tab w:val="left" w:pos="1871"/>
              <w:tab w:val="left" w:pos="2495"/>
              <w:tab w:val="left" w:pos="3119"/>
            </w:tabs>
            <w:rPr>
              <w:lang w:val="en-GB"/>
            </w:rPr>
          </w:pPr>
        </w:p>
      </w:sdtContent>
    </w:sdt>
    <w:p w:rsidR="006E54C8" w:rsidRPr="00DD3F88" w:rsidRDefault="006E54C8" w:rsidP="00280AD4">
      <w:pPr>
        <w:tabs>
          <w:tab w:val="left" w:pos="624"/>
          <w:tab w:val="left" w:pos="1871"/>
          <w:tab w:val="left" w:pos="2495"/>
          <w:tab w:val="left" w:pos="3119"/>
        </w:tabs>
        <w:rPr>
          <w:rFonts w:eastAsiaTheme="minorEastAsia"/>
          <w:lang w:val="en-GB"/>
        </w:rPr>
      </w:pPr>
    </w:p>
    <w:p w:rsidR="006E54C8" w:rsidRPr="00DD3F88" w:rsidRDefault="006E54C8" w:rsidP="00280AD4">
      <w:pPr>
        <w:tabs>
          <w:tab w:val="left" w:pos="624"/>
          <w:tab w:val="left" w:pos="1871"/>
          <w:tab w:val="left" w:pos="2495"/>
          <w:tab w:val="left" w:pos="3119"/>
          <w:tab w:val="left" w:pos="5175"/>
        </w:tabs>
        <w:rPr>
          <w:rFonts w:eastAsia="Calibri"/>
          <w:lang w:val="en-GB"/>
        </w:rPr>
      </w:pPr>
      <w:r w:rsidRPr="00DD3F88">
        <w:rPr>
          <w:rFonts w:eastAsia="Calibri"/>
          <w:lang w:val="en-GB"/>
        </w:rPr>
        <w:fldChar w:fldCharType="end"/>
      </w:r>
    </w:p>
    <w:p w:rsidR="006E54C8" w:rsidRPr="00DD3F88" w:rsidRDefault="006E54C8" w:rsidP="00280AD4">
      <w:pPr>
        <w:tabs>
          <w:tab w:val="left" w:pos="624"/>
          <w:tab w:val="left" w:pos="1871"/>
          <w:tab w:val="left" w:pos="2495"/>
          <w:tab w:val="left" w:pos="3119"/>
        </w:tabs>
        <w:rPr>
          <w:lang w:val="en-GB"/>
        </w:rPr>
      </w:pPr>
      <w:bookmarkStart w:id="0" w:name="_Toc404773643"/>
      <w:bookmarkStart w:id="1" w:name="_Toc424559149"/>
      <w:bookmarkStart w:id="2" w:name="_Toc456947024"/>
      <w:bookmarkStart w:id="3" w:name="_Toc456949480"/>
      <w:bookmarkStart w:id="4" w:name="_Toc456949789"/>
      <w:bookmarkStart w:id="5" w:name="_Toc456949933"/>
      <w:bookmarkStart w:id="6" w:name="_Toc456950758"/>
      <w:bookmarkStart w:id="7" w:name="_Toc462307640"/>
      <w:bookmarkStart w:id="8" w:name="_Toc462307730"/>
      <w:bookmarkStart w:id="9" w:name="_Toc463367320"/>
      <w:bookmarkStart w:id="10" w:name="_Toc463370171"/>
      <w:bookmarkStart w:id="11" w:name="_Toc463514567"/>
      <w:bookmarkStart w:id="12" w:name="_Toc463533013"/>
      <w:bookmarkStart w:id="13" w:name="_Toc463533695"/>
      <w:bookmarkStart w:id="14" w:name="_Toc464061132"/>
      <w:bookmarkStart w:id="15" w:name="_Toc464205052"/>
      <w:bookmarkStart w:id="16" w:name="_Toc464580572"/>
      <w:bookmarkStart w:id="17" w:name="_Toc464685323"/>
      <w:bookmarkStart w:id="18" w:name="_Toc464723729"/>
      <w:bookmarkStart w:id="19" w:name="_Toc464723810"/>
      <w:bookmarkStart w:id="20" w:name="_Toc471840045"/>
      <w:bookmarkStart w:id="21" w:name="_Toc473817296"/>
      <w:bookmarkStart w:id="22" w:name="_Toc503178469"/>
      <w:bookmarkStart w:id="23" w:name="_Toc503270665"/>
      <w:r w:rsidRPr="00DD3F88">
        <w:rPr>
          <w:b/>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031"/>
        <w:gridCol w:w="769"/>
      </w:tblGrid>
      <w:tr w:rsidR="006E54C8" w:rsidRPr="00DD3F88" w:rsidTr="00480CDD">
        <w:tc>
          <w:tcPr>
            <w:tcW w:w="9024" w:type="dxa"/>
            <w:gridSpan w:val="3"/>
            <w:tcBorders>
              <w:top w:val="nil"/>
              <w:left w:val="nil"/>
              <w:bottom w:val="single" w:sz="4" w:space="0" w:color="auto"/>
              <w:right w:val="nil"/>
            </w:tcBorders>
            <w:hideMark/>
          </w:tcPr>
          <w:p w:rsidR="006E54C8" w:rsidRPr="00DD3F88" w:rsidRDefault="006E54C8" w:rsidP="00280AD4">
            <w:pPr>
              <w:pStyle w:val="Heading1"/>
              <w:tabs>
                <w:tab w:val="left" w:pos="624"/>
                <w:tab w:val="left" w:pos="1871"/>
                <w:tab w:val="left" w:pos="2495"/>
                <w:tab w:val="left" w:pos="3119"/>
              </w:tabs>
              <w:ind w:left="0" w:firstLine="0"/>
              <w:rPr>
                <w:lang w:val="en-GB"/>
              </w:rPr>
            </w:pPr>
            <w:r w:rsidRPr="00DD3F88">
              <w:rPr>
                <w:lang w:val="en-GB"/>
              </w:rPr>
              <w:lastRenderedPageBreak/>
              <w:t>List of Figures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DD3F88">
              <w:rPr>
                <w:lang w:val="en-GB"/>
              </w:rPr>
              <w:tab/>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Figure No.</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 xml:space="preserve">Title </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Page</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2.1</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The four stages of the IPBES assessment process</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8D1443" w:rsidP="00280AD4">
            <w:pPr>
              <w:tabs>
                <w:tab w:val="left" w:pos="624"/>
                <w:tab w:val="left" w:pos="1871"/>
                <w:tab w:val="left" w:pos="2495"/>
                <w:tab w:val="left" w:pos="3119"/>
              </w:tabs>
              <w:jc w:val="center"/>
              <w:rPr>
                <w:rFonts w:eastAsia="Calibri"/>
                <w:lang w:val="en-GB"/>
              </w:rPr>
            </w:pPr>
            <w:r>
              <w:rPr>
                <w:rFonts w:eastAsia="Calibri"/>
                <w:lang w:val="en-GB"/>
              </w:rPr>
              <w:t>10</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2.2</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 xml:space="preserve">IPBES assessment scoping process </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1</w:t>
            </w:r>
            <w:r w:rsidR="008D1443">
              <w:rPr>
                <w:rFonts w:eastAsia="Calibri"/>
                <w:lang w:val="en-GB"/>
              </w:rPr>
              <w:t>2</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2.3</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The IPBES assessment process timeline</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8D1443" w:rsidP="00280AD4">
            <w:pPr>
              <w:tabs>
                <w:tab w:val="left" w:pos="624"/>
                <w:tab w:val="left" w:pos="1871"/>
                <w:tab w:val="left" w:pos="2495"/>
                <w:tab w:val="left" w:pos="3119"/>
              </w:tabs>
              <w:jc w:val="center"/>
              <w:rPr>
                <w:rFonts w:eastAsia="Calibri"/>
                <w:lang w:val="en-GB"/>
              </w:rPr>
            </w:pPr>
            <w:r>
              <w:rPr>
                <w:rFonts w:eastAsia="Calibri"/>
                <w:lang w:val="en-GB"/>
              </w:rPr>
              <w:t>21</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2.4</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cs="Calibri"/>
                <w:lang w:val="en-GB"/>
              </w:rPr>
              <w:t>The four-box model for the qualitative communication of confidence.</w:t>
            </w:r>
            <w:r w:rsidRPr="00DD3F88">
              <w:rPr>
                <w:rFonts w:eastAsia="Calibri"/>
                <w:spacing w:val="-1"/>
                <w:lang w:val="en-GB"/>
              </w:rPr>
              <w:t xml:space="preserve"> </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8D1443" w:rsidP="00280AD4">
            <w:pPr>
              <w:tabs>
                <w:tab w:val="left" w:pos="624"/>
                <w:tab w:val="left" w:pos="1871"/>
                <w:tab w:val="left" w:pos="2495"/>
                <w:tab w:val="left" w:pos="3119"/>
              </w:tabs>
              <w:jc w:val="center"/>
              <w:rPr>
                <w:rFonts w:eastAsia="Calibri"/>
                <w:lang w:val="en-GB"/>
              </w:rPr>
            </w:pPr>
            <w:r>
              <w:rPr>
                <w:rFonts w:eastAsia="Calibri"/>
                <w:lang w:val="en-GB"/>
              </w:rPr>
              <w:t>28</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2.5</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spacing w:val="-1"/>
                <w:lang w:val="en-GB"/>
              </w:rPr>
            </w:pPr>
            <w:r w:rsidRPr="00DD3F88">
              <w:rPr>
                <w:rFonts w:cs="Calibri"/>
                <w:bCs/>
                <w:lang w:val="en-GB"/>
              </w:rPr>
              <w:t>Likelihood scale for the quantitative communication of the probability of an outcome occurring.</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3</w:t>
            </w:r>
            <w:r w:rsidR="008D1443">
              <w:rPr>
                <w:rFonts w:eastAsia="Calibri"/>
                <w:lang w:val="en-GB"/>
              </w:rPr>
              <w:t>0</w:t>
            </w:r>
          </w:p>
        </w:tc>
      </w:tr>
      <w:tr w:rsidR="006E54C8" w:rsidRPr="00DD3F88" w:rsidTr="00480CDD">
        <w:tc>
          <w:tcPr>
            <w:tcW w:w="9024" w:type="dxa"/>
            <w:gridSpan w:val="3"/>
            <w:tcBorders>
              <w:top w:val="nil"/>
              <w:left w:val="nil"/>
              <w:bottom w:val="single" w:sz="4" w:space="0" w:color="auto"/>
              <w:right w:val="nil"/>
            </w:tcBorders>
            <w:hideMark/>
          </w:tcPr>
          <w:p w:rsidR="006E54C8" w:rsidRPr="00DD3F88" w:rsidRDefault="006E54C8" w:rsidP="00280AD4">
            <w:pPr>
              <w:pStyle w:val="Heading1"/>
              <w:tabs>
                <w:tab w:val="left" w:pos="624"/>
                <w:tab w:val="left" w:pos="1871"/>
                <w:tab w:val="left" w:pos="2495"/>
                <w:tab w:val="left" w:pos="3119"/>
              </w:tabs>
              <w:ind w:left="0" w:firstLine="0"/>
              <w:rPr>
                <w:lang w:val="en-GB"/>
              </w:rPr>
            </w:pPr>
            <w:bookmarkStart w:id="24" w:name="_Toc456947025"/>
            <w:bookmarkStart w:id="25" w:name="_Toc456949481"/>
            <w:bookmarkStart w:id="26" w:name="_Toc456949790"/>
            <w:bookmarkStart w:id="27" w:name="_Toc456949934"/>
            <w:bookmarkStart w:id="28" w:name="_Toc456950759"/>
            <w:bookmarkStart w:id="29" w:name="_Toc462307641"/>
            <w:bookmarkStart w:id="30" w:name="_Toc462307731"/>
            <w:bookmarkStart w:id="31" w:name="_Toc463367321"/>
            <w:bookmarkStart w:id="32" w:name="_Toc463370172"/>
            <w:bookmarkStart w:id="33" w:name="_Toc463514568"/>
            <w:bookmarkStart w:id="34" w:name="_Toc463533014"/>
            <w:bookmarkStart w:id="35" w:name="_Toc463533696"/>
            <w:bookmarkStart w:id="36" w:name="_Toc464061133"/>
            <w:bookmarkStart w:id="37" w:name="_Toc464205053"/>
            <w:bookmarkStart w:id="38" w:name="_Toc464580573"/>
            <w:bookmarkStart w:id="39" w:name="_Toc464685324"/>
            <w:bookmarkStart w:id="40" w:name="_Toc464723730"/>
            <w:bookmarkStart w:id="41" w:name="_Toc464723811"/>
            <w:bookmarkStart w:id="42" w:name="_Toc471840046"/>
            <w:bookmarkStart w:id="43" w:name="_Toc473817297"/>
            <w:bookmarkStart w:id="44" w:name="_Toc503178470"/>
            <w:bookmarkStart w:id="45" w:name="_Toc503270666"/>
            <w:r w:rsidRPr="00DD3F88">
              <w:rPr>
                <w:lang w:val="en-GB"/>
              </w:rPr>
              <w:t>List of Tables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D3F88">
              <w:rPr>
                <w:lang w:val="en-GB"/>
              </w:rPr>
              <w:tab/>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Table No.</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 xml:space="preserve">Title </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Page</w:t>
            </w:r>
          </w:p>
        </w:tc>
      </w:tr>
      <w:tr w:rsidR="006E54C8" w:rsidRPr="00DD3F88" w:rsidTr="00480CDD">
        <w:trPr>
          <w:trHeight w:val="251"/>
        </w:trPr>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2.1</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Nomination and selection processes for different roles in assessments</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1</w:t>
            </w:r>
            <w:r w:rsidR="008D1443">
              <w:rPr>
                <w:rFonts w:eastAsia="Calibri"/>
                <w:lang w:val="en-GB"/>
              </w:rPr>
              <w:t>4</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2.2</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lang w:val="en-GB"/>
              </w:rPr>
              <w:t>Who is who in an IPBES assessment: roles and responsibilities</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1</w:t>
            </w:r>
            <w:r w:rsidR="008D1443">
              <w:rPr>
                <w:rFonts w:eastAsia="Calibri"/>
                <w:lang w:val="en-GB"/>
              </w:rPr>
              <w:t>5</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2.3</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Times New Roman"/>
                <w:lang w:val="en-GB"/>
              </w:rPr>
            </w:pPr>
            <w:r w:rsidRPr="00DD3F88">
              <w:rPr>
                <w:rFonts w:eastAsia="Calibri"/>
                <w:lang w:val="en-GB"/>
              </w:rPr>
              <w:t>What should happen at each step of the preparation of stage 2 of the IPBES Assessment and who should be involved?</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22</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2.4</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Times New Roman" w:cs="Calibri"/>
                <w:lang w:val="en-GB"/>
              </w:rPr>
            </w:pPr>
            <w:r w:rsidRPr="00DD3F88">
              <w:rPr>
                <w:rFonts w:eastAsia="Calibri"/>
                <w:lang w:val="en-GB"/>
              </w:rPr>
              <w:t>Example of a review template for the assessment</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2</w:t>
            </w:r>
            <w:r w:rsidR="008D1443">
              <w:rPr>
                <w:rFonts w:eastAsia="Calibri"/>
                <w:lang w:val="en-GB"/>
              </w:rPr>
              <w:t>4</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2.5</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Times New Roman" w:cs="Calibri"/>
                <w:lang w:val="en-GB"/>
              </w:rPr>
            </w:pPr>
            <w:r w:rsidRPr="00DD3F88">
              <w:rPr>
                <w:rFonts w:cs="Calibri"/>
                <w:lang w:val="en-GB"/>
              </w:rPr>
              <w:t>Sources of low confidence</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3</w:t>
            </w:r>
            <w:r w:rsidR="008D1443">
              <w:rPr>
                <w:rFonts w:eastAsia="Calibri"/>
                <w:lang w:val="en-GB"/>
              </w:rPr>
              <w:t>2</w:t>
            </w:r>
          </w:p>
        </w:tc>
      </w:tr>
    </w:tbl>
    <w:p w:rsidR="006E54C8" w:rsidRPr="00DD3F88" w:rsidRDefault="006E54C8" w:rsidP="00280AD4">
      <w:pPr>
        <w:tabs>
          <w:tab w:val="left" w:pos="624"/>
          <w:tab w:val="left" w:pos="1871"/>
          <w:tab w:val="left" w:pos="2495"/>
          <w:tab w:val="left" w:pos="3119"/>
        </w:tabs>
        <w:rPr>
          <w:rFonts w:eastAsia="Times New Roman"/>
          <w:lang w:val="en-GB"/>
        </w:rPr>
      </w:pPr>
    </w:p>
    <w:p w:rsidR="006E54C8" w:rsidRPr="00DD3F88" w:rsidRDefault="006E54C8" w:rsidP="00280AD4">
      <w:pPr>
        <w:pStyle w:val="Heading1"/>
        <w:tabs>
          <w:tab w:val="left" w:pos="624"/>
          <w:tab w:val="left" w:pos="1871"/>
          <w:tab w:val="left" w:pos="2495"/>
          <w:tab w:val="left" w:pos="3119"/>
        </w:tabs>
        <w:ind w:left="0" w:firstLine="0"/>
        <w:rPr>
          <w:lang w:val="en-GB"/>
        </w:rPr>
      </w:pPr>
      <w:bookmarkStart w:id="46" w:name="_Toc503270667"/>
      <w:bookmarkStart w:id="47" w:name="_Toc503178471"/>
      <w:bookmarkStart w:id="48" w:name="_Toc473817295"/>
      <w:bookmarkStart w:id="49" w:name="_Toc471840044"/>
      <w:bookmarkStart w:id="50" w:name="_Toc464723809"/>
      <w:bookmarkStart w:id="51" w:name="_Toc464723728"/>
      <w:bookmarkStart w:id="52" w:name="_Toc464685322"/>
      <w:bookmarkStart w:id="53" w:name="_Toc464580571"/>
      <w:bookmarkStart w:id="54" w:name="_Toc464205051"/>
      <w:bookmarkStart w:id="55" w:name="_Toc464061131"/>
      <w:bookmarkStart w:id="56" w:name="_Toc463533694"/>
      <w:bookmarkStart w:id="57" w:name="_Toc463533012"/>
      <w:bookmarkStart w:id="58" w:name="_Toc463514566"/>
      <w:bookmarkStart w:id="59" w:name="_Toc463370170"/>
      <w:bookmarkStart w:id="60" w:name="_Toc463367319"/>
      <w:bookmarkStart w:id="61" w:name="_Toc462307729"/>
      <w:bookmarkStart w:id="62" w:name="_Toc462307639"/>
      <w:bookmarkStart w:id="63" w:name="_Toc456950757"/>
      <w:bookmarkStart w:id="64" w:name="_Toc456949932"/>
      <w:bookmarkStart w:id="65" w:name="_Toc456949788"/>
      <w:bookmarkStart w:id="66" w:name="_Toc456949479"/>
      <w:bookmarkStart w:id="67" w:name="_Toc456947023"/>
      <w:bookmarkStart w:id="68" w:name="_Toc424559148"/>
      <w:bookmarkStart w:id="69" w:name="_Toc404773642"/>
      <w:r w:rsidRPr="00DD3F88">
        <w:rPr>
          <w:lang w:val="en-GB"/>
        </w:rPr>
        <w:t>List of Boxes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031"/>
        <w:gridCol w:w="769"/>
      </w:tblGrid>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Box No.</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 xml:space="preserve">Title </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b/>
                <w:lang w:val="en-GB"/>
              </w:rPr>
            </w:pPr>
            <w:r w:rsidRPr="00DD3F88">
              <w:rPr>
                <w:rFonts w:eastAsia="Calibri"/>
                <w:b/>
                <w:lang w:val="en-GB"/>
              </w:rPr>
              <w:t>Page</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1.1</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IPBES at a glance</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8D1443" w:rsidP="00280AD4">
            <w:pPr>
              <w:tabs>
                <w:tab w:val="left" w:pos="624"/>
                <w:tab w:val="left" w:pos="1871"/>
                <w:tab w:val="left" w:pos="2495"/>
                <w:tab w:val="left" w:pos="3119"/>
              </w:tabs>
              <w:jc w:val="center"/>
              <w:rPr>
                <w:rFonts w:eastAsia="Calibri"/>
                <w:lang w:val="en-GB"/>
              </w:rPr>
            </w:pPr>
            <w:r>
              <w:rPr>
                <w:rFonts w:eastAsia="Calibri"/>
                <w:lang w:val="en-GB"/>
              </w:rPr>
              <w:t>8</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1.2</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Modules of the IPBES assessment guide</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8D1443" w:rsidP="00280AD4">
            <w:pPr>
              <w:tabs>
                <w:tab w:val="left" w:pos="624"/>
                <w:tab w:val="left" w:pos="1871"/>
                <w:tab w:val="left" w:pos="2495"/>
                <w:tab w:val="left" w:pos="3119"/>
              </w:tabs>
              <w:jc w:val="center"/>
              <w:rPr>
                <w:rFonts w:eastAsia="Calibri"/>
                <w:lang w:val="en-GB"/>
              </w:rPr>
            </w:pPr>
            <w:r>
              <w:rPr>
                <w:rFonts w:eastAsia="Calibri"/>
                <w:lang w:val="en-GB"/>
              </w:rPr>
              <w:t>8</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1.3</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Other key IPBES resources</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8D1443" w:rsidP="00280AD4">
            <w:pPr>
              <w:tabs>
                <w:tab w:val="left" w:pos="624"/>
                <w:tab w:val="left" w:pos="1871"/>
                <w:tab w:val="left" w:pos="2495"/>
                <w:tab w:val="left" w:pos="3119"/>
              </w:tabs>
              <w:jc w:val="center"/>
              <w:rPr>
                <w:rFonts w:eastAsia="Calibri"/>
                <w:lang w:val="en-GB"/>
              </w:rPr>
            </w:pPr>
            <w:r>
              <w:rPr>
                <w:rFonts w:eastAsia="Calibri"/>
                <w:lang w:val="en-GB"/>
              </w:rPr>
              <w:t>9</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2.1</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 xml:space="preserve">Writing suggestions </w:t>
            </w:r>
            <w:r w:rsidRPr="00DD3F88">
              <w:rPr>
                <w:rFonts w:eastAsia="Calibri"/>
                <w:spacing w:val="-1"/>
                <w:lang w:val="en-GB"/>
              </w:rPr>
              <w:t xml:space="preserve">for </w:t>
            </w:r>
            <w:r w:rsidRPr="00DD3F88">
              <w:rPr>
                <w:rFonts w:eastAsia="Calibri"/>
                <w:lang w:val="en-GB"/>
              </w:rPr>
              <w:t>assessment reports</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19</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2.2</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bCs/>
                <w:lang w:val="en-GB"/>
              </w:rPr>
              <w:t>Examples (extract of) key findings from SPM: The status and trends in pollinators and pollination of the IPBES Pollination Assessment</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2</w:t>
            </w:r>
            <w:r w:rsidR="008D1443">
              <w:rPr>
                <w:rFonts w:eastAsia="Calibri"/>
                <w:lang w:val="en-GB"/>
              </w:rPr>
              <w:t>5</w:t>
            </w:r>
          </w:p>
        </w:tc>
      </w:tr>
      <w:tr w:rsidR="006E54C8" w:rsidRPr="00DD3F88" w:rsidTr="00480CDD">
        <w:trPr>
          <w:trHeight w:val="307"/>
        </w:trPr>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2.3</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Times New Roman"/>
                <w:lang w:val="en-GB"/>
              </w:rPr>
            </w:pPr>
            <w:r w:rsidRPr="00DD3F88">
              <w:rPr>
                <w:bCs/>
                <w:lang w:val="en-GB"/>
              </w:rPr>
              <w:t>Example (extract of) key findings from Chapter 3: The status and trends in pollinators and pollination of the IPBES Pollination Assessment</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2</w:t>
            </w:r>
            <w:r w:rsidR="008D1443">
              <w:rPr>
                <w:rFonts w:eastAsia="Calibri"/>
                <w:lang w:val="en-GB"/>
              </w:rPr>
              <w:t>6</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2.4</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bCs/>
                <w:lang w:val="en-GB"/>
              </w:rPr>
              <w:t>Examples (extract of) key messages of the IPBES Pollination Assessment</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34</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2.5</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Times New Roman"/>
                <w:lang w:val="en-GB" w:bidi="en-US"/>
              </w:rPr>
            </w:pPr>
            <w:r w:rsidRPr="00DD3F88">
              <w:rPr>
                <w:rFonts w:asciiTheme="majorBidi" w:hAnsiTheme="majorBidi" w:cstheme="majorBidi"/>
                <w:sz w:val="18"/>
                <w:szCs w:val="16"/>
                <w:lang w:val="en-GB"/>
              </w:rPr>
              <w:t>Example of how key findings are integrated into a key message</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3</w:t>
            </w:r>
            <w:r w:rsidR="008D1443">
              <w:rPr>
                <w:rFonts w:eastAsia="Calibri"/>
                <w:lang w:val="en-GB"/>
              </w:rPr>
              <w:t>6</w:t>
            </w:r>
          </w:p>
        </w:tc>
      </w:tr>
      <w:tr w:rsidR="006E54C8" w:rsidRPr="00DD3F88" w:rsidTr="00480CDD">
        <w:tc>
          <w:tcPr>
            <w:tcW w:w="1224"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Calibri"/>
                <w:lang w:val="en-GB"/>
              </w:rPr>
            </w:pPr>
            <w:r w:rsidRPr="00DD3F88">
              <w:rPr>
                <w:rFonts w:eastAsia="Calibri"/>
                <w:lang w:val="en-GB"/>
              </w:rPr>
              <w:t>2.6</w:t>
            </w:r>
          </w:p>
        </w:tc>
        <w:tc>
          <w:tcPr>
            <w:tcW w:w="703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rPr>
                <w:rFonts w:eastAsia="Times New Roman"/>
                <w:lang w:val="en-GB" w:bidi="en-US"/>
              </w:rPr>
            </w:pPr>
            <w:r w:rsidRPr="00DD3F88">
              <w:rPr>
                <w:lang w:val="en-GB" w:bidi="en-US"/>
              </w:rPr>
              <w:t>Addressing possible errors and complaints</w:t>
            </w:r>
          </w:p>
        </w:tc>
        <w:tc>
          <w:tcPr>
            <w:tcW w:w="76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jc w:val="center"/>
              <w:rPr>
                <w:rFonts w:eastAsia="Calibri"/>
                <w:lang w:val="en-GB"/>
              </w:rPr>
            </w:pPr>
            <w:r w:rsidRPr="00DD3F88">
              <w:rPr>
                <w:rFonts w:eastAsia="Calibri"/>
                <w:lang w:val="en-GB"/>
              </w:rPr>
              <w:t>3</w:t>
            </w:r>
            <w:r w:rsidR="008D1443">
              <w:rPr>
                <w:rFonts w:eastAsia="Calibri"/>
                <w:lang w:val="en-GB"/>
              </w:rPr>
              <w:t>7</w:t>
            </w:r>
          </w:p>
        </w:tc>
      </w:tr>
    </w:tbl>
    <w:p w:rsidR="006E54C8" w:rsidRPr="00DD3F88" w:rsidRDefault="006E54C8" w:rsidP="00280AD4">
      <w:pPr>
        <w:tabs>
          <w:tab w:val="left" w:pos="624"/>
          <w:tab w:val="left" w:pos="1871"/>
          <w:tab w:val="left" w:pos="2495"/>
          <w:tab w:val="left" w:pos="3119"/>
        </w:tabs>
        <w:rPr>
          <w:rFonts w:eastAsia="Times New Roman"/>
          <w:lang w:val="en-GB"/>
        </w:rPr>
      </w:pPr>
    </w:p>
    <w:p w:rsidR="006E54C8" w:rsidRPr="00DD3F88" w:rsidRDefault="006E54C8" w:rsidP="00280AD4">
      <w:pPr>
        <w:pStyle w:val="Heading1"/>
        <w:numPr>
          <w:ilvl w:val="0"/>
          <w:numId w:val="6"/>
        </w:numPr>
        <w:tabs>
          <w:tab w:val="clear" w:pos="2381"/>
          <w:tab w:val="clear" w:pos="2948"/>
          <w:tab w:val="clear" w:pos="3515"/>
          <w:tab w:val="left" w:pos="624"/>
          <w:tab w:val="left" w:pos="1871"/>
          <w:tab w:val="left" w:pos="2495"/>
          <w:tab w:val="left" w:pos="3119"/>
        </w:tabs>
        <w:ind w:left="432"/>
        <w:rPr>
          <w:lang w:val="en-GB"/>
        </w:rPr>
      </w:pPr>
      <w:r w:rsidRPr="00DD3F88">
        <w:rPr>
          <w:b w:val="0"/>
          <w:lang w:val="en-GB"/>
        </w:rPr>
        <w:br w:type="page"/>
      </w:r>
    </w:p>
    <w:p w:rsidR="006E54C8" w:rsidRPr="00DD3F88" w:rsidRDefault="00722D3B" w:rsidP="00280AD4">
      <w:pPr>
        <w:pStyle w:val="CH1"/>
        <w:tabs>
          <w:tab w:val="clear" w:pos="851"/>
          <w:tab w:val="clear" w:pos="1814"/>
          <w:tab w:val="clear" w:pos="2381"/>
          <w:tab w:val="clear" w:pos="2948"/>
          <w:tab w:val="clear" w:pos="3515"/>
          <w:tab w:val="clear" w:pos="4082"/>
          <w:tab w:val="left" w:pos="624"/>
          <w:tab w:val="left" w:pos="1871"/>
          <w:tab w:val="left" w:pos="2495"/>
          <w:tab w:val="left" w:pos="3119"/>
        </w:tabs>
        <w:ind w:left="1871"/>
        <w:rPr>
          <w:lang w:val="en-GB"/>
        </w:rPr>
      </w:pPr>
      <w:bookmarkStart w:id="70" w:name="_Toc424559152"/>
      <w:bookmarkStart w:id="71" w:name="_Toc404773646"/>
      <w:bookmarkStart w:id="72" w:name="_Toc464723812"/>
      <w:bookmarkStart w:id="73" w:name="_Toc464723731"/>
      <w:bookmarkStart w:id="74" w:name="_Toc464685325"/>
      <w:bookmarkStart w:id="75" w:name="_Toc464580574"/>
      <w:bookmarkStart w:id="76" w:name="_Toc464205055"/>
      <w:bookmarkStart w:id="77" w:name="_Toc464061135"/>
      <w:bookmarkStart w:id="78" w:name="_Toc463533698"/>
      <w:bookmarkStart w:id="79" w:name="_Toc463533016"/>
      <w:bookmarkStart w:id="80" w:name="_Toc463514570"/>
      <w:bookmarkStart w:id="81" w:name="_Toc463370174"/>
      <w:bookmarkStart w:id="82" w:name="_Toc463367323"/>
      <w:bookmarkStart w:id="83" w:name="_Toc462307733"/>
      <w:bookmarkStart w:id="84" w:name="_Toc462307643"/>
      <w:bookmarkStart w:id="85" w:name="_Toc456950761"/>
      <w:bookmarkStart w:id="86" w:name="_Toc456949936"/>
      <w:bookmarkStart w:id="87" w:name="_Toc456949792"/>
      <w:bookmarkStart w:id="88" w:name="_Toc456949485"/>
      <w:bookmarkStart w:id="89" w:name="_Toc456947026"/>
      <w:r>
        <w:rPr>
          <w:lang w:val="en-GB"/>
        </w:rPr>
        <w:lastRenderedPageBreak/>
        <w:t>1</w:t>
      </w:r>
      <w:r w:rsidR="006E54C8" w:rsidRPr="00DD3F88">
        <w:rPr>
          <w:lang w:val="en-GB"/>
        </w:rPr>
        <w:t>.</w:t>
      </w:r>
      <w:r w:rsidR="006E54C8" w:rsidRPr="00DD3F88">
        <w:rPr>
          <w:lang w:val="en-GB"/>
        </w:rPr>
        <w:tab/>
        <w:t>Introduction</w:t>
      </w:r>
      <w:bookmarkEnd w:id="70"/>
      <w:bookmarkEnd w:id="71"/>
      <w:r w:rsidR="006E54C8" w:rsidRPr="00DD3F88">
        <w:rPr>
          <w:lang w:val="en-GB"/>
        </w:rPr>
        <w:t xml:space="preserve"> to IPBES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006E54C8" w:rsidRPr="00DD3F88">
        <w:rPr>
          <w:lang w:val="en-GB"/>
        </w:rPr>
        <w:t xml:space="preserve"> </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 xml:space="preserve">The world’s </w:t>
      </w:r>
      <w:r w:rsidRPr="00DD3F88">
        <w:rPr>
          <w:i/>
          <w:lang w:val="en-GB"/>
        </w:rPr>
        <w:t>biodiversity</w:t>
      </w:r>
      <w:r w:rsidRPr="00DD3F88">
        <w:rPr>
          <w:lang w:val="en-GB"/>
        </w:rPr>
        <w:t xml:space="preserve"> generates a wide range of benefits to society, often termed </w:t>
      </w:r>
      <w:r w:rsidRPr="00DD3F88">
        <w:rPr>
          <w:i/>
          <w:lang w:val="en-GB"/>
        </w:rPr>
        <w:t>ecosystem services</w:t>
      </w:r>
      <w:r w:rsidRPr="00DD3F88">
        <w:rPr>
          <w:i/>
          <w:vertAlign w:val="superscript"/>
          <w:lang w:val="en-GB"/>
        </w:rPr>
        <w:footnoteReference w:id="2"/>
      </w:r>
      <w:r w:rsidRPr="00DD3F88">
        <w:rPr>
          <w:i/>
          <w:lang w:val="en-GB"/>
        </w:rPr>
        <w:t xml:space="preserve">. </w:t>
      </w:r>
      <w:r w:rsidRPr="00DD3F88">
        <w:rPr>
          <w:lang w:val="en-GB"/>
        </w:rPr>
        <w:t xml:space="preserve">Many of the services are under threat due to unsustainable human practices. Policies for rectifying such practices often benefit from a legitimate and credible bridging of science and policy and the establishment of the confidence level of the knowledge at hand. This is why the Intergovernmental Science-Policy Platform on Biodiversity and Ecosystem Services (IPBES) was established in 2012, inspired by the Intergovernmental Panel on Climate Change (IPCC) </w:t>
      </w:r>
      <w:r w:rsidRPr="00DD3F88">
        <w:rPr>
          <w:rFonts w:ascii="Calibri" w:hAnsi="Calibri"/>
          <w:lang w:val="en-GB"/>
        </w:rPr>
        <w:t xml:space="preserve">and the </w:t>
      </w:r>
      <w:r w:rsidRPr="00DD3F88">
        <w:rPr>
          <w:lang w:val="en-GB"/>
        </w:rPr>
        <w:t>Millennium Ecosystem Assessment (MA</w:t>
      </w:r>
      <w:r w:rsidRPr="00DD3F88">
        <w:rPr>
          <w:rFonts w:ascii="Calibri" w:hAnsi="Calibri"/>
          <w:lang w:val="en-GB"/>
        </w:rPr>
        <w:t>)</w:t>
      </w:r>
      <w:r w:rsidRPr="00DD3F88">
        <w:rPr>
          <w:lang w:val="en-GB"/>
        </w:rPr>
        <w:t xml:space="preserve">. </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IPBES aims to strengthen the science-policy interface for biodiversity and ecosystem services in order to understand the dynamics in the human-nature interactions. It does so by undertaking international assessments and promoting national ones; by catalysing knowledge generation; by promoting the development and use of policy support tools; and by undertaking and facilitating capacity building. It does so also by supporting international initiatives and strategies such as:</w:t>
      </w:r>
    </w:p>
    <w:p w:rsidR="006E54C8" w:rsidRPr="00DD3F88" w:rsidRDefault="006E54C8" w:rsidP="00280AD4">
      <w:pPr>
        <w:pStyle w:val="NormalNonumber"/>
        <w:tabs>
          <w:tab w:val="left" w:pos="624"/>
          <w:tab w:val="left" w:pos="1871"/>
          <w:tab w:val="left" w:pos="2495"/>
          <w:tab w:val="left" w:pos="3119"/>
        </w:tabs>
        <w:ind w:left="1701"/>
        <w:rPr>
          <w:lang w:val="en-GB"/>
        </w:rPr>
      </w:pPr>
      <w:r w:rsidRPr="00DD3F88">
        <w:rPr>
          <w:lang w:val="en-GB"/>
        </w:rPr>
        <w:t>•</w:t>
      </w:r>
      <w:r w:rsidRPr="00DD3F88">
        <w:rPr>
          <w:lang w:val="en-GB"/>
        </w:rPr>
        <w:tab/>
        <w:t xml:space="preserve">the 2030 Agenda for Sustainable Development and its Sustainable Development Goals (SDGs) of the UN General Assembly; and </w:t>
      </w:r>
    </w:p>
    <w:p w:rsidR="006E54C8" w:rsidRPr="00DD3F88" w:rsidRDefault="006E54C8" w:rsidP="00280AD4">
      <w:pPr>
        <w:pStyle w:val="NormalNonumber"/>
        <w:tabs>
          <w:tab w:val="left" w:pos="624"/>
          <w:tab w:val="left" w:pos="1871"/>
          <w:tab w:val="left" w:pos="2495"/>
          <w:tab w:val="left" w:pos="3119"/>
        </w:tabs>
        <w:ind w:left="1701"/>
        <w:rPr>
          <w:lang w:val="en-GB"/>
        </w:rPr>
      </w:pPr>
      <w:r w:rsidRPr="00DD3F88">
        <w:rPr>
          <w:lang w:val="en-GB"/>
        </w:rPr>
        <w:t>•</w:t>
      </w:r>
      <w:r w:rsidRPr="00DD3F88">
        <w:rPr>
          <w:lang w:val="en-GB"/>
        </w:rPr>
        <w:tab/>
        <w:t>those under the Convention on Biological Diversity and the United Nations Convention to Combat Desertification.</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 xml:space="preserve">Knowledge on how biodiversity contributes to humanity is vital to achieve sustainable development. These contributions - termed ecosystem services or nature’s contribution to people - are maintained through policies for conservation and sustainable use of biodiversity. IPBES assesses ecosystem services through the lens of nature's contribution to people as anchored in the IPBES </w:t>
      </w:r>
      <w:r w:rsidRPr="00DD3F88">
        <w:rPr>
          <w:i/>
          <w:lang w:val="en-GB"/>
        </w:rPr>
        <w:t>Conceptual Framework</w:t>
      </w:r>
      <w:r w:rsidRPr="00DD3F88">
        <w:rPr>
          <w:lang w:val="en-GB"/>
        </w:rPr>
        <w:t xml:space="preserve"> (CF). The framework models the interactions between people and nature, and presents scientific concepts and parallel notions from indigenous and local knowledge systems under inclusive new concepts. One of the key overarching inclusive concepts is "</w:t>
      </w:r>
      <w:r w:rsidRPr="00DD3F88">
        <w:rPr>
          <w:i/>
          <w:lang w:val="en-GB"/>
        </w:rPr>
        <w:t>nature’s contributions to people</w:t>
      </w:r>
      <w:r w:rsidRPr="00DD3F88">
        <w:rPr>
          <w:lang w:val="en-GB"/>
        </w:rPr>
        <w:t xml:space="preserve">" (NCPs). It includes and allows for the assessment of both the scientific concept of "ecosystem goods and services" and the notion of "nature's gifts" from indigenous and local knowledge systems. NCP can be beneficial or detrimental to people depending on the cultural context and assessed from two mutually supportive perspectives: - a generalizable and a contextual perspective. The generalizable perspective includes 18 NCP reporting categories organized in three partially overlapping groups: regulating, material and non-material contributions. The contextual perspective caters for the geographical and cultural specificities of indigenous and local knowledge systems. This inclusive approach allows for the reflection of a diverse range of scientific and social disciplines, perspectives and knowledge systems.      </w:t>
      </w:r>
    </w:p>
    <w:p w:rsidR="006E54C8" w:rsidRPr="00DD3F88" w:rsidRDefault="006E54C8" w:rsidP="00280AD4">
      <w:pPr>
        <w:pStyle w:val="NormalNonumber"/>
        <w:tabs>
          <w:tab w:val="left" w:pos="624"/>
          <w:tab w:val="left" w:pos="1871"/>
          <w:tab w:val="left" w:pos="2495"/>
          <w:tab w:val="left" w:pos="3119"/>
        </w:tabs>
        <w:rPr>
          <w:rFonts w:ascii="Calibri" w:hAnsi="Calibri"/>
          <w:lang w:val="en-GB"/>
        </w:rPr>
      </w:pPr>
      <w:r w:rsidRPr="00DD3F88">
        <w:rPr>
          <w:lang w:val="en-GB"/>
        </w:rPr>
        <w:t xml:space="preserve">IPBES </w:t>
      </w:r>
      <w:r w:rsidRPr="00DD3F88">
        <w:rPr>
          <w:i/>
          <w:lang w:val="en-GB"/>
        </w:rPr>
        <w:t>critically evaluates the state of knowledge</w:t>
      </w:r>
      <w:r w:rsidRPr="00DD3F88">
        <w:rPr>
          <w:lang w:val="en-GB"/>
        </w:rPr>
        <w:t xml:space="preserve"> on the interactions between human societies and the natural world.</w:t>
      </w:r>
      <w:r w:rsidRPr="00DD3F88">
        <w:rPr>
          <w:vertAlign w:val="superscript"/>
          <w:lang w:val="en-GB"/>
        </w:rPr>
        <w:footnoteReference w:id="3"/>
      </w:r>
      <w:r w:rsidRPr="00DD3F88">
        <w:rPr>
          <w:lang w:val="en-GB"/>
        </w:rPr>
        <w:t xml:space="preserve"> An IPBES assessment is initiated by the Plenary, and performed by independent experts from multiple disciplines</w:t>
      </w:r>
      <w:r w:rsidRPr="00DD3F88">
        <w:rPr>
          <w:vertAlign w:val="superscript"/>
          <w:lang w:val="en-GB"/>
        </w:rPr>
        <w:footnoteReference w:id="4"/>
      </w:r>
      <w:r w:rsidRPr="00DD3F88">
        <w:rPr>
          <w:lang w:val="en-GB"/>
        </w:rPr>
        <w:t>and all regions of the world who contribute their time freely. These experts interact with government representatives and other stakeholders in a stepwise process to ensure legitimacy, relevance and credibility. IPBES synthesises and assesses available policy-relevant knowledge regarding biodiversity and its contribution to human well-being, in response to requests from governments and other stakeholders. These assessments include a summary for policy makers, made of policy relevant key messages, drawn from a report made of detailed technical chapters. The</w:t>
      </w:r>
      <w:r w:rsidRPr="00DD3F88">
        <w:rPr>
          <w:rFonts w:ascii="Calibri" w:hAnsi="Calibri"/>
          <w:lang w:val="en-GB"/>
        </w:rPr>
        <w:t xml:space="preserve"> </w:t>
      </w:r>
      <w:r w:rsidRPr="00DD3F88">
        <w:rPr>
          <w:lang w:val="en-GB"/>
        </w:rPr>
        <w:t>assessment relies on financial and in-kind contributions from governments, experts and partners according to the institutional arrangements and agreed norms.</w:t>
      </w:r>
      <w:r w:rsidRPr="00DD3F88">
        <w:rPr>
          <w:rFonts w:ascii="Calibri" w:hAnsi="Calibri"/>
          <w:lang w:val="en-GB"/>
        </w:rPr>
        <w:t xml:space="preserve"> </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This Guide</w:t>
      </w:r>
      <w:r w:rsidRPr="00DD3F88">
        <w:rPr>
          <w:vertAlign w:val="superscript"/>
          <w:lang w:val="en-GB"/>
        </w:rPr>
        <w:footnoteReference w:id="5"/>
      </w:r>
      <w:r w:rsidRPr="00DD3F88">
        <w:rPr>
          <w:lang w:val="en-GB"/>
        </w:rPr>
        <w:t xml:space="preserve"> aims to help address conceptual, procedural and practical aspects of IPBES assessments at all scales, and to promote consistency across different scales. The Guide serves as a ‘Roadmap’ and </w:t>
      </w:r>
      <w:r w:rsidRPr="00DD3F88">
        <w:rPr>
          <w:lang w:val="en-GB"/>
        </w:rPr>
        <w:lastRenderedPageBreak/>
        <w:t xml:space="preserve">focuses on key elements assessment practitioners may want to take into account when undertaking an assessment within the context of IPBES. </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The Guide has been developed for experts who are taking part in assessments approved under IPBES be they thematic, methodological or general assessments of biodiversity and ecosystems at global, regional and sub-regional level. The Guide is also meant to assist those who might want to undertake IPBES inspired assessment at sub-regional, national and local level and to help ensure that such assessments are compatible with larger scale IPBES completed assessments.</w:t>
      </w:r>
    </w:p>
    <w:p w:rsidR="006E54C8" w:rsidRPr="00DD3F88" w:rsidRDefault="006E54C8" w:rsidP="00280AD4">
      <w:pPr>
        <w:pStyle w:val="CH2"/>
        <w:tabs>
          <w:tab w:val="left" w:pos="624"/>
          <w:tab w:val="left" w:pos="1871"/>
          <w:tab w:val="left" w:pos="2495"/>
          <w:tab w:val="left" w:pos="3119"/>
        </w:tabs>
        <w:rPr>
          <w:lang w:val="en-GB"/>
        </w:rPr>
      </w:pPr>
      <w:bookmarkStart w:id="90" w:name="_Toc464723813"/>
      <w:bookmarkStart w:id="91" w:name="_Toc464723732"/>
      <w:bookmarkStart w:id="92" w:name="_Toc464685326"/>
      <w:bookmarkStart w:id="93" w:name="_Toc464580575"/>
      <w:bookmarkStart w:id="94" w:name="_Toc464205056"/>
      <w:bookmarkStart w:id="95" w:name="_Toc464061136"/>
      <w:bookmarkStart w:id="96" w:name="_Toc463533699"/>
      <w:bookmarkStart w:id="97" w:name="_Toc463533017"/>
      <w:bookmarkStart w:id="98" w:name="_Toc463514571"/>
      <w:bookmarkStart w:id="99" w:name="_Toc463370175"/>
      <w:bookmarkStart w:id="100" w:name="_Toc463367324"/>
      <w:bookmarkStart w:id="101" w:name="_Toc462307734"/>
      <w:bookmarkStart w:id="102" w:name="_Toc462307644"/>
      <w:bookmarkStart w:id="103" w:name="_Toc456950762"/>
      <w:bookmarkStart w:id="104" w:name="_Toc440106594"/>
      <w:r w:rsidRPr="00DD3F88">
        <w:rPr>
          <w:lang w:val="en-GB"/>
        </w:rPr>
        <w:tab/>
        <w:t>1.1</w:t>
      </w:r>
      <w:r w:rsidRPr="00DD3F88">
        <w:rPr>
          <w:lang w:val="en-GB"/>
        </w:rPr>
        <w:tab/>
        <w:t>What is an IPBES assessment?</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IPBES assessments synthesize and critically evaluate peer-reviewed scientific literature, grey literature and other available knowledge such as indigenous and local knowledge. The assessments include a review and synthesis, as well as an analysis and an expert judgement of available knowledge. Experts are guided in this work by a conceptual framework outlining the interaction between people and nature and by guidance on the conceptualization of values of biodiversity and nature's contributions to people. An assessment does not involve the undertaking of new primary research but may include re</w:t>
      </w:r>
      <w:r w:rsidR="00635BCB">
        <w:rPr>
          <w:lang w:val="en-GB"/>
        </w:rPr>
        <w:noBreakHyphen/>
      </w:r>
      <w:r w:rsidRPr="00DD3F88">
        <w:rPr>
          <w:lang w:val="en-GB"/>
        </w:rPr>
        <w:t>analysis of data and models to address specific questions. Findings should be policy relevant but not policy-prescriptive. They could feed into and be guided by the work on policy support tools and methodologies, including its catalogue</w:t>
      </w:r>
      <w:r w:rsidRPr="00DD3F88">
        <w:rPr>
          <w:rStyle w:val="FootnoteReference"/>
          <w:lang w:val="en-GB"/>
        </w:rPr>
        <w:footnoteReference w:id="6"/>
      </w:r>
      <w:r w:rsidRPr="00DD3F88">
        <w:rPr>
          <w:lang w:val="en-GB"/>
        </w:rPr>
        <w:t>.</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IPBES assessments need to be credible, legitimate and relevant. They typically:</w:t>
      </w:r>
    </w:p>
    <w:p w:rsidR="006E54C8" w:rsidRPr="00DD3F88" w:rsidRDefault="006E54C8" w:rsidP="00280AD4">
      <w:pPr>
        <w:pStyle w:val="NormalNonumber"/>
        <w:numPr>
          <w:ilvl w:val="0"/>
          <w:numId w:val="15"/>
        </w:numPr>
        <w:tabs>
          <w:tab w:val="clear" w:pos="1814"/>
          <w:tab w:val="clear" w:pos="2381"/>
          <w:tab w:val="clear" w:pos="2948"/>
          <w:tab w:val="clear" w:pos="3515"/>
          <w:tab w:val="clear" w:pos="4082"/>
          <w:tab w:val="left" w:pos="624"/>
          <w:tab w:val="left" w:pos="1871"/>
          <w:tab w:val="left" w:pos="2495"/>
          <w:tab w:val="left" w:pos="3119"/>
        </w:tabs>
        <w:ind w:left="2495" w:hanging="624"/>
        <w:rPr>
          <w:lang w:val="en-GB"/>
        </w:rPr>
      </w:pPr>
      <w:r w:rsidRPr="00DD3F88">
        <w:rPr>
          <w:lang w:val="en-GB"/>
        </w:rPr>
        <w:t>Involve governments and other stakeholders in the initiation, scoping, review and adoption of the assessment reports (this involvement promotes credibility, legitimacy and relevance at policy level);</w:t>
      </w:r>
    </w:p>
    <w:p w:rsidR="006E54C8" w:rsidRPr="00DD3F88" w:rsidRDefault="006E54C8" w:rsidP="00280AD4">
      <w:pPr>
        <w:pStyle w:val="NormalNonumber"/>
        <w:numPr>
          <w:ilvl w:val="0"/>
          <w:numId w:val="15"/>
        </w:numPr>
        <w:tabs>
          <w:tab w:val="clear" w:pos="1814"/>
          <w:tab w:val="clear" w:pos="2381"/>
          <w:tab w:val="clear" w:pos="2948"/>
          <w:tab w:val="clear" w:pos="3515"/>
          <w:tab w:val="clear" w:pos="4082"/>
          <w:tab w:val="left" w:pos="624"/>
          <w:tab w:val="left" w:pos="1871"/>
          <w:tab w:val="left" w:pos="2495"/>
          <w:tab w:val="left" w:pos="3119"/>
        </w:tabs>
        <w:ind w:left="2495" w:hanging="624"/>
        <w:rPr>
          <w:lang w:val="en-GB"/>
        </w:rPr>
      </w:pPr>
      <w:r w:rsidRPr="00DD3F88">
        <w:rPr>
          <w:lang w:val="en-GB"/>
        </w:rPr>
        <w:t>Operate through an open and transparent process, run by a group of experts that has a balance of disciplines, geography and gender. They use agreed conceptual frameworks, methodologies, and support tools and are subject to independent peer review (this process promotes credibility, legitimacy and relevance at scientific level); and</w:t>
      </w:r>
    </w:p>
    <w:p w:rsidR="006E54C8" w:rsidRPr="00DD3F88" w:rsidRDefault="006E54C8" w:rsidP="00280AD4">
      <w:pPr>
        <w:pStyle w:val="NormalNonumber"/>
        <w:numPr>
          <w:ilvl w:val="0"/>
          <w:numId w:val="15"/>
        </w:numPr>
        <w:tabs>
          <w:tab w:val="clear" w:pos="1814"/>
          <w:tab w:val="clear" w:pos="2381"/>
          <w:tab w:val="clear" w:pos="2948"/>
          <w:tab w:val="clear" w:pos="3515"/>
          <w:tab w:val="clear" w:pos="4082"/>
          <w:tab w:val="left" w:pos="624"/>
          <w:tab w:val="left" w:pos="1871"/>
          <w:tab w:val="left" w:pos="2495"/>
          <w:tab w:val="left" w:pos="3119"/>
        </w:tabs>
        <w:ind w:left="2495" w:hanging="624"/>
        <w:rPr>
          <w:lang w:val="en-GB"/>
        </w:rPr>
      </w:pPr>
      <w:r w:rsidRPr="00DD3F88">
        <w:rPr>
          <w:lang w:val="en-GB"/>
        </w:rPr>
        <w:t xml:space="preserve">Present findings and knowledge gaps that are policy relevant but not policy prescriptive, where the level of confidence and the range of available views are presented in an unbiased way (this approach promotes relevance at both scientific and policy level). </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IPBES assessments focus on what is known, but also on what is currently uncertain. Assessments play an important role in guiding policy through identifying areas of broad scientific agreement as well as areas of scientific uncertainty that may need further research.</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IPBES may undertake different types of assessments at sub-regional, regional and global levels. It also encourages and helps catalyse other assessments at lower scales such as those with a local, national and a more limited sub-regional scope. IPBES is currently engaged in or has planned to undertake:</w:t>
      </w:r>
    </w:p>
    <w:p w:rsidR="006E54C8" w:rsidRPr="00DD3F88" w:rsidRDefault="006E54C8" w:rsidP="00280AD4">
      <w:pPr>
        <w:numPr>
          <w:ilvl w:val="0"/>
          <w:numId w:val="16"/>
        </w:numPr>
        <w:tabs>
          <w:tab w:val="clear" w:pos="1814"/>
          <w:tab w:val="clear" w:pos="2381"/>
          <w:tab w:val="clear" w:pos="2948"/>
          <w:tab w:val="clear" w:pos="3515"/>
          <w:tab w:val="left" w:pos="624"/>
          <w:tab w:val="left" w:pos="1871"/>
          <w:tab w:val="left" w:pos="2495"/>
          <w:tab w:val="left" w:pos="3119"/>
        </w:tabs>
        <w:spacing w:after="120"/>
        <w:ind w:left="2495" w:hanging="624"/>
        <w:rPr>
          <w:lang w:val="en-GB"/>
        </w:rPr>
      </w:pPr>
      <w:r w:rsidRPr="00DD3F88">
        <w:rPr>
          <w:b/>
          <w:lang w:val="en-GB"/>
        </w:rPr>
        <w:t>Global assessments</w:t>
      </w:r>
      <w:r w:rsidRPr="00DD3F88">
        <w:rPr>
          <w:lang w:val="en-GB"/>
        </w:rPr>
        <w:t xml:space="preserve"> to assess biodiversity and ecosystem services and their interlinkages at the global scales. The global assessments will draw upon the work undertaken by the regional assessments;</w:t>
      </w:r>
    </w:p>
    <w:p w:rsidR="006E54C8" w:rsidRPr="00DD3F88" w:rsidRDefault="006E54C8" w:rsidP="00280AD4">
      <w:pPr>
        <w:numPr>
          <w:ilvl w:val="0"/>
          <w:numId w:val="16"/>
        </w:numPr>
        <w:tabs>
          <w:tab w:val="clear" w:pos="1814"/>
          <w:tab w:val="clear" w:pos="2381"/>
          <w:tab w:val="clear" w:pos="2948"/>
          <w:tab w:val="clear" w:pos="3515"/>
          <w:tab w:val="left" w:pos="624"/>
          <w:tab w:val="left" w:pos="1871"/>
          <w:tab w:val="left" w:pos="2495"/>
          <w:tab w:val="left" w:pos="3119"/>
        </w:tabs>
        <w:spacing w:after="120"/>
        <w:ind w:left="2495" w:hanging="624"/>
        <w:rPr>
          <w:lang w:val="en-GB"/>
        </w:rPr>
      </w:pPr>
      <w:r w:rsidRPr="00DD3F88">
        <w:rPr>
          <w:b/>
          <w:lang w:val="en-GB"/>
        </w:rPr>
        <w:t>Regional assessments</w:t>
      </w:r>
      <w:r w:rsidRPr="00DD3F88">
        <w:rPr>
          <w:lang w:val="en-GB"/>
        </w:rPr>
        <w:t xml:space="preserve"> to assess biodiversity and ecosystem services and their interlinkages at the regional and, as necessary, sub regional levels (</w:t>
      </w:r>
      <w:proofErr w:type="spellStart"/>
      <w:r w:rsidRPr="00DD3F88">
        <w:rPr>
          <w:lang w:val="en-GB"/>
        </w:rPr>
        <w:t>e.g</w:t>
      </w:r>
      <w:proofErr w:type="spellEnd"/>
      <w:r w:rsidRPr="00DD3F88">
        <w:rPr>
          <w:lang w:val="en-GB"/>
        </w:rPr>
        <w:t xml:space="preserve"> Africa, Americas, Asia-Pacific, Europe and Central Asia). Regional assessments will provide the building blocks for the global assessments;</w:t>
      </w:r>
    </w:p>
    <w:p w:rsidR="006E54C8" w:rsidRPr="00DD3F88" w:rsidRDefault="006E54C8" w:rsidP="00280AD4">
      <w:pPr>
        <w:numPr>
          <w:ilvl w:val="0"/>
          <w:numId w:val="16"/>
        </w:numPr>
        <w:tabs>
          <w:tab w:val="clear" w:pos="1814"/>
          <w:tab w:val="clear" w:pos="2381"/>
          <w:tab w:val="clear" w:pos="2948"/>
          <w:tab w:val="clear" w:pos="3515"/>
          <w:tab w:val="left" w:pos="624"/>
          <w:tab w:val="left" w:pos="1871"/>
          <w:tab w:val="left" w:pos="2495"/>
          <w:tab w:val="left" w:pos="3119"/>
        </w:tabs>
        <w:spacing w:after="120"/>
        <w:ind w:left="2495" w:hanging="624"/>
        <w:rPr>
          <w:lang w:val="en-GB"/>
        </w:rPr>
      </w:pPr>
      <w:r w:rsidRPr="00DD3F88">
        <w:rPr>
          <w:b/>
          <w:lang w:val="en-GB"/>
        </w:rPr>
        <w:t>Thematic assessments</w:t>
      </w:r>
      <w:r w:rsidRPr="00DD3F88">
        <w:rPr>
          <w:lang w:val="en-GB"/>
        </w:rPr>
        <w:t xml:space="preserve"> to assess a particular theme at an appropriate scale or a new topic (</w:t>
      </w:r>
      <w:proofErr w:type="spellStart"/>
      <w:r w:rsidRPr="00DD3F88">
        <w:rPr>
          <w:lang w:val="en-GB"/>
        </w:rPr>
        <w:t>e.g</w:t>
      </w:r>
      <w:proofErr w:type="spellEnd"/>
      <w:r w:rsidRPr="00DD3F88">
        <w:rPr>
          <w:lang w:val="en-GB"/>
        </w:rPr>
        <w:t xml:space="preserve"> assessment of pollinators, pollination and food production);</w:t>
      </w:r>
    </w:p>
    <w:p w:rsidR="006E54C8" w:rsidRPr="00DD3F88" w:rsidRDefault="006E54C8" w:rsidP="00280AD4">
      <w:pPr>
        <w:numPr>
          <w:ilvl w:val="0"/>
          <w:numId w:val="16"/>
        </w:numPr>
        <w:tabs>
          <w:tab w:val="clear" w:pos="1814"/>
          <w:tab w:val="clear" w:pos="2381"/>
          <w:tab w:val="clear" w:pos="2948"/>
          <w:tab w:val="clear" w:pos="3515"/>
          <w:tab w:val="left" w:pos="624"/>
          <w:tab w:val="left" w:pos="1871"/>
          <w:tab w:val="left" w:pos="2495"/>
          <w:tab w:val="left" w:pos="3119"/>
        </w:tabs>
        <w:spacing w:after="120"/>
        <w:ind w:left="2495" w:hanging="624"/>
        <w:rPr>
          <w:lang w:val="en-GB"/>
        </w:rPr>
      </w:pPr>
      <w:r w:rsidRPr="00DD3F88">
        <w:rPr>
          <w:b/>
          <w:lang w:val="en-GB"/>
        </w:rPr>
        <w:t>Methodological assessments</w:t>
      </w:r>
      <w:r w:rsidRPr="00DD3F88">
        <w:rPr>
          <w:lang w:val="en-GB"/>
        </w:rPr>
        <w:t xml:space="preserve"> to assess the availability and use of methods in relation with a specific topic (e.g. valuation, scenarios and models) so that these methods can then be used in IPBES assessments and other activities.</w:t>
      </w:r>
    </w:p>
    <w:p w:rsidR="006E54C8" w:rsidRPr="00DD3F88" w:rsidRDefault="006E54C8" w:rsidP="00280AD4">
      <w:pPr>
        <w:pStyle w:val="CH2"/>
        <w:tabs>
          <w:tab w:val="clear" w:pos="1814"/>
          <w:tab w:val="left" w:pos="624"/>
          <w:tab w:val="left" w:pos="1276"/>
          <w:tab w:val="left" w:pos="1871"/>
          <w:tab w:val="left" w:pos="2495"/>
          <w:tab w:val="left" w:pos="3119"/>
        </w:tabs>
        <w:ind w:left="426" w:firstLine="0"/>
        <w:rPr>
          <w:lang w:val="en-GB"/>
        </w:rPr>
      </w:pPr>
      <w:bookmarkStart w:id="105" w:name="_Toc464723814"/>
      <w:bookmarkStart w:id="106" w:name="_Toc464723733"/>
      <w:bookmarkStart w:id="107" w:name="_Toc464685327"/>
      <w:bookmarkStart w:id="108" w:name="_Toc464580576"/>
      <w:bookmarkStart w:id="109" w:name="_Toc464205057"/>
      <w:bookmarkStart w:id="110" w:name="_Toc464061137"/>
      <w:bookmarkStart w:id="111" w:name="_Toc463533700"/>
      <w:bookmarkStart w:id="112" w:name="_Toc463533018"/>
      <w:bookmarkStart w:id="113" w:name="_Toc463514572"/>
      <w:bookmarkStart w:id="114" w:name="_Toc463370176"/>
      <w:bookmarkStart w:id="115" w:name="_Toc463367325"/>
      <w:bookmarkStart w:id="116" w:name="_Toc462307735"/>
      <w:bookmarkStart w:id="117" w:name="_Toc462307645"/>
      <w:bookmarkStart w:id="118" w:name="_Toc456950763"/>
      <w:bookmarkStart w:id="119" w:name="_Toc440106596"/>
      <w:r w:rsidRPr="00DD3F88">
        <w:rPr>
          <w:lang w:val="en-GB"/>
        </w:rPr>
        <w:tab/>
        <w:t xml:space="preserve">1.2 </w:t>
      </w:r>
      <w:r w:rsidRPr="00DD3F88">
        <w:rPr>
          <w:lang w:val="en-GB"/>
        </w:rPr>
        <w:tab/>
        <w:t>What are the operating principles, functions and rules followed by IPBES?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 xml:space="preserve">IPBES is defined by a set of operating principles and functions and is implemented thanks to institutional arrangements, procedure programmes and other resources, as set out in Box 1.1.  </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127"/>
        <w:gridCol w:w="1419"/>
        <w:gridCol w:w="425"/>
        <w:gridCol w:w="3518"/>
      </w:tblGrid>
      <w:tr w:rsidR="006E54C8" w:rsidRPr="00FA50AA" w:rsidTr="00480CDD">
        <w:tc>
          <w:tcPr>
            <w:tcW w:w="9360" w:type="dxa"/>
            <w:gridSpan w:val="5"/>
            <w:tcBorders>
              <w:top w:val="single" w:sz="4" w:space="0" w:color="auto"/>
              <w:left w:val="single" w:sz="4" w:space="0" w:color="auto"/>
              <w:bottom w:val="single" w:sz="4" w:space="0" w:color="auto"/>
              <w:right w:val="single" w:sz="4" w:space="0" w:color="auto"/>
            </w:tcBorders>
            <w:shd w:val="clear" w:color="auto" w:fill="9CC2E5"/>
            <w:hideMark/>
          </w:tcPr>
          <w:p w:rsidR="006E54C8" w:rsidRPr="00DD3F88" w:rsidRDefault="006E54C8" w:rsidP="00280AD4">
            <w:pPr>
              <w:tabs>
                <w:tab w:val="left" w:pos="624"/>
                <w:tab w:val="left" w:pos="1871"/>
                <w:tab w:val="left" w:pos="2495"/>
                <w:tab w:val="left" w:pos="3119"/>
              </w:tabs>
              <w:spacing w:before="60" w:after="60"/>
              <w:rPr>
                <w:b/>
                <w:sz w:val="18"/>
                <w:szCs w:val="18"/>
                <w:lang w:val="en-GB"/>
              </w:rPr>
            </w:pPr>
            <w:r w:rsidRPr="00DD3F88">
              <w:rPr>
                <w:b/>
                <w:sz w:val="18"/>
                <w:szCs w:val="18"/>
                <w:lang w:val="en-GB"/>
              </w:rPr>
              <w:lastRenderedPageBreak/>
              <w:t>Box 1.1: IPBES at a Glance</w:t>
            </w:r>
          </w:p>
        </w:tc>
      </w:tr>
      <w:tr w:rsidR="006E54C8" w:rsidRPr="00FA50AA" w:rsidTr="00480CDD">
        <w:tc>
          <w:tcPr>
            <w:tcW w:w="9360" w:type="dxa"/>
            <w:gridSpan w:val="5"/>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spacing w:before="60" w:after="60"/>
              <w:rPr>
                <w:bCs/>
                <w:sz w:val="18"/>
                <w:szCs w:val="18"/>
                <w:lang w:val="en-GB"/>
              </w:rPr>
            </w:pPr>
            <w:r w:rsidRPr="00DD3F88">
              <w:rPr>
                <w:b/>
                <w:bCs/>
                <w:sz w:val="18"/>
                <w:szCs w:val="18"/>
                <w:lang w:val="en-GB"/>
              </w:rPr>
              <w:t xml:space="preserve">Objective: </w:t>
            </w:r>
            <w:r w:rsidRPr="00DD3F88">
              <w:rPr>
                <w:bCs/>
                <w:sz w:val="18"/>
                <w:szCs w:val="18"/>
                <w:lang w:val="en-GB"/>
              </w:rPr>
              <w:t>To strengthen the science-policy interface for biodiversity and ecosystem services for the conservation and sustainable use of biodiversity, long-term human well-being and sustainable development.</w:t>
            </w:r>
          </w:p>
        </w:tc>
      </w:tr>
      <w:tr w:rsidR="006E54C8" w:rsidRPr="00FA50AA" w:rsidTr="00480CDD">
        <w:tc>
          <w:tcPr>
            <w:tcW w:w="9360" w:type="dxa"/>
            <w:gridSpan w:val="5"/>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spacing w:before="60" w:after="60"/>
              <w:rPr>
                <w:bCs/>
                <w:sz w:val="18"/>
                <w:szCs w:val="18"/>
                <w:lang w:val="en-GB"/>
              </w:rPr>
            </w:pPr>
            <w:r w:rsidRPr="00DD3F88">
              <w:rPr>
                <w:b/>
                <w:bCs/>
                <w:sz w:val="18"/>
                <w:szCs w:val="18"/>
                <w:lang w:val="en-GB"/>
              </w:rPr>
              <w:t xml:space="preserve">Operating Principles: </w:t>
            </w:r>
            <w:r w:rsidRPr="00DD3F88">
              <w:rPr>
                <w:bCs/>
                <w:sz w:val="18"/>
                <w:szCs w:val="18"/>
                <w:lang w:val="en-GB"/>
              </w:rPr>
              <w:t>IPBES addresses terrestrial, marine and inland water biodiversity and ecosystem services and their interactions, ensuring the Platform’s credibility, relevance and legitimacy, and promoting its independence. The Principles further include: facilitating an interdisciplinary and multidisciplinary approach; engaging with different knowledge systems, including indigenous and local knowledge; recognizing the need for gender equity in its work; ensuring full and effective participation of developing countries; ensuring the full use of knowledge gained at all spatial scales from local to global; integrating capacity-building into all relevant aspects of its work; and promoting a collaborative approach which builds on existing initiatives and experience.</w:t>
            </w:r>
          </w:p>
        </w:tc>
      </w:tr>
      <w:tr w:rsidR="006E54C8" w:rsidRPr="00DD3F88" w:rsidTr="00480CDD">
        <w:tc>
          <w:tcPr>
            <w:tcW w:w="9360" w:type="dxa"/>
            <w:gridSpan w:val="5"/>
            <w:tcBorders>
              <w:top w:val="single" w:sz="4" w:space="0" w:color="auto"/>
              <w:left w:val="single" w:sz="4" w:space="0" w:color="auto"/>
              <w:bottom w:val="single" w:sz="4" w:space="0" w:color="auto"/>
              <w:right w:val="single" w:sz="4" w:space="0" w:color="auto"/>
            </w:tcBorders>
            <w:shd w:val="clear" w:color="auto" w:fill="9CC2E5"/>
            <w:hideMark/>
          </w:tcPr>
          <w:p w:rsidR="006E54C8" w:rsidRPr="00DD3F88" w:rsidRDefault="006E54C8" w:rsidP="00280AD4">
            <w:pPr>
              <w:tabs>
                <w:tab w:val="left" w:pos="624"/>
                <w:tab w:val="left" w:pos="1871"/>
                <w:tab w:val="left" w:pos="2495"/>
                <w:tab w:val="left" w:pos="3119"/>
              </w:tabs>
              <w:spacing w:before="60" w:after="60"/>
              <w:jc w:val="center"/>
              <w:rPr>
                <w:b/>
                <w:bCs/>
                <w:sz w:val="18"/>
                <w:szCs w:val="18"/>
                <w:lang w:val="en-GB"/>
              </w:rPr>
            </w:pPr>
            <w:r w:rsidRPr="00DD3F88">
              <w:rPr>
                <w:b/>
                <w:bCs/>
                <w:sz w:val="18"/>
                <w:szCs w:val="18"/>
                <w:lang w:val="en-GB"/>
              </w:rPr>
              <w:t>Functions</w:t>
            </w:r>
          </w:p>
        </w:tc>
      </w:tr>
      <w:tr w:rsidR="006E54C8" w:rsidRPr="00FA50AA" w:rsidTr="00480CDD">
        <w:tc>
          <w:tcPr>
            <w:tcW w:w="1871"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spacing w:before="60" w:after="60"/>
              <w:rPr>
                <w:bCs/>
                <w:sz w:val="18"/>
                <w:szCs w:val="18"/>
                <w:lang w:val="en-GB"/>
              </w:rPr>
            </w:pPr>
            <w:r w:rsidRPr="00DD3F88">
              <w:rPr>
                <w:bCs/>
                <w:sz w:val="18"/>
                <w:szCs w:val="18"/>
                <w:lang w:val="en-GB"/>
              </w:rPr>
              <w:t xml:space="preserve">Catalyses the </w:t>
            </w:r>
            <w:r w:rsidRPr="00DD3F88">
              <w:rPr>
                <w:b/>
                <w:bCs/>
                <w:i/>
                <w:sz w:val="18"/>
                <w:szCs w:val="18"/>
                <w:lang w:val="en-GB"/>
              </w:rPr>
              <w:t>generation of new knowledge</w:t>
            </w:r>
            <w:r w:rsidRPr="00DD3F88">
              <w:rPr>
                <w:bCs/>
                <w:sz w:val="18"/>
                <w:szCs w:val="18"/>
                <w:lang w:val="en-GB"/>
              </w:rPr>
              <w:t xml:space="preserve"> to address gaps in knowledge identified in IPBES assessments</w:t>
            </w:r>
          </w:p>
        </w:tc>
        <w:tc>
          <w:tcPr>
            <w:tcW w:w="2127"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spacing w:before="60" w:after="60"/>
              <w:rPr>
                <w:bCs/>
                <w:sz w:val="18"/>
                <w:szCs w:val="18"/>
                <w:lang w:val="en-GB"/>
              </w:rPr>
            </w:pPr>
            <w:r w:rsidRPr="00DD3F88">
              <w:rPr>
                <w:bCs/>
                <w:sz w:val="18"/>
                <w:szCs w:val="18"/>
                <w:lang w:val="en-GB"/>
              </w:rPr>
              <w:t xml:space="preserve">Deliver global, regional, sub-regional and thematic </w:t>
            </w:r>
            <w:r w:rsidRPr="00DD3F88">
              <w:rPr>
                <w:b/>
                <w:bCs/>
                <w:i/>
                <w:sz w:val="18"/>
                <w:szCs w:val="18"/>
                <w:lang w:val="en-GB"/>
              </w:rPr>
              <w:t>assessments</w:t>
            </w:r>
            <w:r w:rsidRPr="00DD3F88">
              <w:rPr>
                <w:bCs/>
                <w:sz w:val="18"/>
                <w:szCs w:val="18"/>
                <w:lang w:val="en-GB"/>
              </w:rPr>
              <w:t>, and at the same time promote and facilitate assessments at the national level</w:t>
            </w:r>
          </w:p>
        </w:tc>
        <w:tc>
          <w:tcPr>
            <w:tcW w:w="1844" w:type="dxa"/>
            <w:gridSpan w:val="2"/>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spacing w:before="60" w:after="60"/>
              <w:rPr>
                <w:bCs/>
                <w:sz w:val="18"/>
                <w:szCs w:val="18"/>
                <w:lang w:val="en-GB"/>
              </w:rPr>
            </w:pPr>
            <w:r w:rsidRPr="00DD3F88">
              <w:rPr>
                <w:bCs/>
                <w:sz w:val="18"/>
                <w:szCs w:val="18"/>
                <w:lang w:val="en-GB"/>
              </w:rPr>
              <w:t xml:space="preserve">Promote development and use of </w:t>
            </w:r>
            <w:r w:rsidRPr="00DD3F88">
              <w:rPr>
                <w:b/>
                <w:bCs/>
                <w:i/>
                <w:sz w:val="18"/>
                <w:szCs w:val="18"/>
                <w:lang w:val="en-GB"/>
              </w:rPr>
              <w:t>policy support tools</w:t>
            </w:r>
            <w:r w:rsidRPr="00DD3F88">
              <w:rPr>
                <w:bCs/>
                <w:sz w:val="18"/>
                <w:szCs w:val="18"/>
                <w:lang w:val="en-GB"/>
              </w:rPr>
              <w:t xml:space="preserve"> and methodologies so that assessment results can be more effectively applied</w:t>
            </w:r>
          </w:p>
        </w:tc>
        <w:tc>
          <w:tcPr>
            <w:tcW w:w="3518"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spacing w:before="60" w:after="60"/>
              <w:rPr>
                <w:bCs/>
                <w:sz w:val="18"/>
                <w:szCs w:val="18"/>
                <w:lang w:val="en-GB"/>
              </w:rPr>
            </w:pPr>
            <w:r w:rsidRPr="00DD3F88">
              <w:rPr>
                <w:bCs/>
                <w:sz w:val="18"/>
                <w:szCs w:val="18"/>
                <w:lang w:val="en-GB"/>
              </w:rPr>
              <w:t xml:space="preserve">Identify and prioritize </w:t>
            </w:r>
            <w:r w:rsidRPr="00DD3F88">
              <w:rPr>
                <w:b/>
                <w:bCs/>
                <w:i/>
                <w:sz w:val="18"/>
                <w:szCs w:val="18"/>
                <w:lang w:val="en-GB"/>
              </w:rPr>
              <w:t>capacity building</w:t>
            </w:r>
            <w:r w:rsidRPr="00DD3F88">
              <w:rPr>
                <w:bCs/>
                <w:i/>
                <w:sz w:val="18"/>
                <w:szCs w:val="18"/>
                <w:lang w:val="en-GB"/>
              </w:rPr>
              <w:t xml:space="preserve"> </w:t>
            </w:r>
            <w:r w:rsidRPr="00DD3F88">
              <w:rPr>
                <w:bCs/>
                <w:sz w:val="18"/>
                <w:szCs w:val="18"/>
                <w:lang w:val="en-GB"/>
              </w:rPr>
              <w:t>needs for improving the science-policy interface at appropriate levels, and provide, call for and facilitate access to the necessary resources for addressing the highest priority needs directly relating to its activities</w:t>
            </w:r>
          </w:p>
        </w:tc>
      </w:tr>
      <w:tr w:rsidR="006E54C8" w:rsidRPr="00FA50AA" w:rsidTr="00480CDD">
        <w:tc>
          <w:tcPr>
            <w:tcW w:w="5417" w:type="dxa"/>
            <w:gridSpan w:val="3"/>
            <w:tcBorders>
              <w:top w:val="single" w:sz="4" w:space="0" w:color="auto"/>
              <w:left w:val="single" w:sz="4" w:space="0" w:color="auto"/>
              <w:bottom w:val="single" w:sz="4" w:space="0" w:color="auto"/>
              <w:right w:val="single" w:sz="4" w:space="0" w:color="auto"/>
            </w:tcBorders>
            <w:shd w:val="clear" w:color="auto" w:fill="9CC2E5"/>
            <w:hideMark/>
          </w:tcPr>
          <w:p w:rsidR="006E54C8" w:rsidRPr="00DD3F88" w:rsidRDefault="006E54C8" w:rsidP="00280AD4">
            <w:pPr>
              <w:tabs>
                <w:tab w:val="left" w:pos="624"/>
                <w:tab w:val="left" w:pos="1871"/>
                <w:tab w:val="left" w:pos="2495"/>
                <w:tab w:val="left" w:pos="3119"/>
              </w:tabs>
              <w:spacing w:before="60" w:after="60"/>
              <w:jc w:val="center"/>
              <w:rPr>
                <w:b/>
                <w:bCs/>
                <w:sz w:val="18"/>
                <w:szCs w:val="18"/>
                <w:lang w:val="en-GB"/>
              </w:rPr>
            </w:pPr>
            <w:r w:rsidRPr="00DD3F88">
              <w:rPr>
                <w:b/>
                <w:bCs/>
                <w:sz w:val="18"/>
                <w:szCs w:val="18"/>
                <w:lang w:val="en-GB"/>
              </w:rPr>
              <w:t>Institutional Arrangements</w:t>
            </w:r>
          </w:p>
        </w:tc>
        <w:tc>
          <w:tcPr>
            <w:tcW w:w="3943" w:type="dxa"/>
            <w:gridSpan w:val="2"/>
            <w:tcBorders>
              <w:top w:val="single" w:sz="4" w:space="0" w:color="auto"/>
              <w:left w:val="single" w:sz="4" w:space="0" w:color="auto"/>
              <w:bottom w:val="single" w:sz="4" w:space="0" w:color="auto"/>
              <w:right w:val="single" w:sz="4" w:space="0" w:color="auto"/>
            </w:tcBorders>
            <w:shd w:val="clear" w:color="auto" w:fill="9CC2E5"/>
            <w:hideMark/>
          </w:tcPr>
          <w:p w:rsidR="006E54C8" w:rsidRPr="00DD3F88" w:rsidRDefault="006E54C8" w:rsidP="00280AD4">
            <w:pPr>
              <w:tabs>
                <w:tab w:val="left" w:pos="624"/>
                <w:tab w:val="left" w:pos="1871"/>
                <w:tab w:val="left" w:pos="2495"/>
                <w:tab w:val="left" w:pos="3119"/>
              </w:tabs>
              <w:spacing w:before="60" w:after="60"/>
              <w:jc w:val="center"/>
              <w:rPr>
                <w:b/>
                <w:bCs/>
                <w:sz w:val="18"/>
                <w:szCs w:val="18"/>
                <w:lang w:val="en-GB"/>
              </w:rPr>
            </w:pPr>
            <w:r w:rsidRPr="00DD3F88">
              <w:rPr>
                <w:b/>
                <w:bCs/>
                <w:sz w:val="18"/>
                <w:szCs w:val="18"/>
                <w:lang w:val="en-GB"/>
              </w:rPr>
              <w:t>Procedures, programmes and other resources</w:t>
            </w:r>
          </w:p>
        </w:tc>
      </w:tr>
      <w:tr w:rsidR="006E54C8" w:rsidRPr="00DD3F88" w:rsidTr="00480CDD">
        <w:tc>
          <w:tcPr>
            <w:tcW w:w="5417" w:type="dxa"/>
            <w:gridSpan w:val="3"/>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tabs>
                <w:tab w:val="left" w:pos="624"/>
                <w:tab w:val="left" w:pos="1871"/>
                <w:tab w:val="left" w:pos="2495"/>
                <w:tab w:val="left" w:pos="3119"/>
              </w:tabs>
              <w:spacing w:before="60" w:after="60"/>
              <w:ind w:left="29"/>
              <w:jc w:val="center"/>
              <w:rPr>
                <w:bCs/>
                <w:sz w:val="18"/>
                <w:szCs w:val="18"/>
                <w:lang w:val="en-GB"/>
              </w:rPr>
            </w:pPr>
            <w:r w:rsidRPr="00DD3F88">
              <w:rPr>
                <w:bCs/>
                <w:noProof/>
                <w:sz w:val="18"/>
                <w:szCs w:val="18"/>
                <w:lang w:val="en-GB" w:eastAsia="en-GB"/>
              </w:rPr>
              <w:drawing>
                <wp:anchor distT="0" distB="0" distL="114300" distR="114300" simplePos="0" relativeHeight="251659264" behindDoc="1" locked="0" layoutInCell="1" allowOverlap="1" wp14:anchorId="4FE41408" wp14:editId="7BE14ECB">
                  <wp:simplePos x="0" y="0"/>
                  <wp:positionH relativeFrom="column">
                    <wp:posOffset>-65405</wp:posOffset>
                  </wp:positionH>
                  <wp:positionV relativeFrom="paragraph">
                    <wp:posOffset>242570</wp:posOffset>
                  </wp:positionV>
                  <wp:extent cx="3535680" cy="2232660"/>
                  <wp:effectExtent l="0" t="0" r="7620" b="0"/>
                  <wp:wrapTight wrapText="bothSides">
                    <wp:wrapPolygon edited="0">
                      <wp:start x="0" y="0"/>
                      <wp:lineTo x="0" y="21379"/>
                      <wp:lineTo x="21530" y="21379"/>
                      <wp:lineTo x="21530" y="0"/>
                      <wp:lineTo x="0" y="0"/>
                    </wp:wrapPolygon>
                  </wp:wrapTight>
                  <wp:docPr id="4" name="Picture 4" descr="graph_01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_01_E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568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43" w:type="dxa"/>
            <w:gridSpan w:val="2"/>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 xml:space="preserve">Rules of Procedure for the Plenary </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 xml:space="preserve">Financial Procedures </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 xml:space="preserve">Procedure for receiving and prioritizing requests put to the Platform </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The Work Programme 2014-2018</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Conceptual Framework</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 xml:space="preserve">Procedures for the preparation of Platform deliverables </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 xml:space="preserve">Guidelines on how to carry out work in the context of IPBES (assessments, scenarios, valuation) </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 xml:space="preserve">Catalogues (of assessments and policy support tools) </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 xml:space="preserve">Information and Data Management Plan </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 xml:space="preserve">Strategic partnerships </w:t>
            </w:r>
          </w:p>
          <w:p w:rsidR="006E54C8" w:rsidRPr="00DD3F88" w:rsidRDefault="006E54C8" w:rsidP="00280AD4">
            <w:pPr>
              <w:numPr>
                <w:ilvl w:val="0"/>
                <w:numId w:val="17"/>
              </w:numPr>
              <w:tabs>
                <w:tab w:val="clear" w:pos="1814"/>
                <w:tab w:val="clear" w:pos="2381"/>
                <w:tab w:val="clear" w:pos="2948"/>
                <w:tab w:val="clear" w:pos="3515"/>
                <w:tab w:val="num" w:pos="459"/>
                <w:tab w:val="left" w:pos="624"/>
                <w:tab w:val="left" w:pos="1871"/>
                <w:tab w:val="left" w:pos="2495"/>
                <w:tab w:val="left" w:pos="3119"/>
              </w:tabs>
              <w:spacing w:before="60" w:after="60"/>
              <w:ind w:left="318" w:hanging="284"/>
              <w:rPr>
                <w:bCs/>
                <w:sz w:val="18"/>
                <w:szCs w:val="18"/>
                <w:lang w:val="en-GB"/>
              </w:rPr>
            </w:pPr>
            <w:r w:rsidRPr="00DD3F88">
              <w:rPr>
                <w:bCs/>
                <w:sz w:val="18"/>
                <w:szCs w:val="18"/>
                <w:lang w:val="en-GB"/>
              </w:rPr>
              <w:t>Stakeholder engagement and outreach</w:t>
            </w:r>
          </w:p>
        </w:tc>
      </w:tr>
    </w:tbl>
    <w:p w:rsidR="006E54C8" w:rsidRPr="00DD3F88" w:rsidRDefault="006E54C8" w:rsidP="00280AD4">
      <w:pPr>
        <w:pStyle w:val="NormalNonumber"/>
        <w:tabs>
          <w:tab w:val="left" w:pos="624"/>
          <w:tab w:val="left" w:pos="1871"/>
          <w:tab w:val="left" w:pos="2495"/>
          <w:tab w:val="left" w:pos="3119"/>
        </w:tabs>
        <w:rPr>
          <w:lang w:val="en-GB"/>
        </w:rPr>
      </w:pP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 xml:space="preserve">The assessment relies on financial and in-kind contributions from governments, experts and partners, according to the institutional arrangements and agreed norms.  </w:t>
      </w:r>
    </w:p>
    <w:p w:rsidR="006E54C8" w:rsidRPr="00DD3F88" w:rsidRDefault="006E54C8" w:rsidP="00280AD4">
      <w:pPr>
        <w:pStyle w:val="CH2"/>
        <w:tabs>
          <w:tab w:val="clear" w:pos="851"/>
          <w:tab w:val="clear" w:pos="1814"/>
          <w:tab w:val="clear" w:pos="2381"/>
          <w:tab w:val="clear" w:pos="2948"/>
          <w:tab w:val="clear" w:pos="3515"/>
          <w:tab w:val="clear" w:pos="4082"/>
          <w:tab w:val="left" w:pos="624"/>
          <w:tab w:val="left" w:pos="1871"/>
          <w:tab w:val="left" w:pos="2495"/>
          <w:tab w:val="left" w:pos="3119"/>
        </w:tabs>
        <w:ind w:left="1871"/>
        <w:rPr>
          <w:lang w:val="en-GB"/>
        </w:rPr>
      </w:pPr>
      <w:bookmarkStart w:id="120" w:name="_Toc464723815"/>
      <w:bookmarkStart w:id="121" w:name="_Toc464723734"/>
      <w:bookmarkStart w:id="122" w:name="_Toc464685328"/>
      <w:bookmarkStart w:id="123" w:name="_Toc464580577"/>
      <w:bookmarkStart w:id="124" w:name="_Toc464205058"/>
      <w:bookmarkStart w:id="125" w:name="_Toc464061138"/>
      <w:bookmarkStart w:id="126" w:name="_Toc463533701"/>
      <w:bookmarkStart w:id="127" w:name="_Toc463533019"/>
      <w:bookmarkStart w:id="128" w:name="_Toc463514573"/>
      <w:bookmarkStart w:id="129" w:name="_Toc463370177"/>
      <w:bookmarkStart w:id="130" w:name="_Toc463367326"/>
      <w:bookmarkStart w:id="131" w:name="_Toc462307736"/>
      <w:bookmarkStart w:id="132" w:name="_Toc462307646"/>
      <w:bookmarkStart w:id="133" w:name="_Toc456950764"/>
      <w:r w:rsidRPr="00DD3F88">
        <w:rPr>
          <w:lang w:val="en-GB"/>
        </w:rPr>
        <w:t>1.3</w:t>
      </w:r>
      <w:r w:rsidRPr="00DD3F88">
        <w:rPr>
          <w:lang w:val="en-GB"/>
        </w:rPr>
        <w:tab/>
        <w:t>How to use this Guide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DD3F88">
        <w:rPr>
          <w:lang w:val="en-GB"/>
        </w:rPr>
        <w:t>?</w:t>
      </w:r>
    </w:p>
    <w:p w:rsidR="006E54C8" w:rsidRPr="00DD3F88" w:rsidRDefault="006E54C8" w:rsidP="00280AD4">
      <w:pPr>
        <w:pStyle w:val="NormalNonumber"/>
        <w:tabs>
          <w:tab w:val="left" w:pos="624"/>
          <w:tab w:val="left" w:pos="1871"/>
          <w:tab w:val="left" w:pos="2495"/>
          <w:tab w:val="left" w:pos="3119"/>
        </w:tabs>
        <w:rPr>
          <w:lang w:val="en-GB"/>
        </w:rPr>
      </w:pPr>
      <w:r w:rsidRPr="00DD3F88">
        <w:rPr>
          <w:b/>
          <w:lang w:val="en-GB"/>
        </w:rPr>
        <w:t>This assessment Guide is aimed at those who are involved in an IPBES assessment, such as co</w:t>
      </w:r>
      <w:r w:rsidR="001F3A5E">
        <w:rPr>
          <w:b/>
          <w:lang w:val="en-GB"/>
        </w:rPr>
        <w:noBreakHyphen/>
      </w:r>
      <w:r w:rsidRPr="00DD3F88">
        <w:rPr>
          <w:b/>
          <w:lang w:val="en-GB"/>
        </w:rPr>
        <w:t>chairs, authors, review editors and members of the technical support units (TSUs).</w:t>
      </w:r>
      <w:r w:rsidRPr="00DD3F88">
        <w:rPr>
          <w:lang w:val="en-GB"/>
        </w:rPr>
        <w:t xml:space="preserve"> The core part of the Guide sets out the four stages of an IPBES assessment and their different steps. It then sets out the roles and responsibilities of the different actors involved in an assessment. Additionally, guidance is provided on developing a Summary for Policy Makers (SPM) and on using confidence terms. The Guide is supported by a series of modules (see Box 1.2), which contain further information for those involved in IPBES assessments, and other resources such as webinars, e-learning modules, and the IPBES Catalogue for Policy Support Tools and Methodologies (see Box 1.3).</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1"/>
      </w:tblGrid>
      <w:tr w:rsidR="006E54C8" w:rsidRPr="00FA50AA" w:rsidTr="00480CDD">
        <w:trPr>
          <w:trHeight w:val="528"/>
        </w:trPr>
        <w:tc>
          <w:tcPr>
            <w:tcW w:w="9701"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E54C8" w:rsidRPr="00DD3F88" w:rsidRDefault="006E54C8" w:rsidP="00280AD4">
            <w:pPr>
              <w:tabs>
                <w:tab w:val="left" w:pos="624"/>
                <w:tab w:val="left" w:pos="1871"/>
                <w:tab w:val="left" w:pos="2495"/>
                <w:tab w:val="left" w:pos="3119"/>
              </w:tabs>
              <w:rPr>
                <w:b/>
                <w:lang w:val="en-GB"/>
              </w:rPr>
            </w:pPr>
            <w:r w:rsidRPr="00DD3F88">
              <w:rPr>
                <w:rFonts w:asciiTheme="majorBidi" w:hAnsiTheme="majorBidi" w:cstheme="majorBidi"/>
                <w:b/>
                <w:i/>
                <w:lang w:val="en-GB"/>
              </w:rPr>
              <w:t xml:space="preserve"> </w:t>
            </w:r>
            <w:r w:rsidRPr="00DD3F88">
              <w:rPr>
                <w:b/>
                <w:lang w:val="en-GB"/>
              </w:rPr>
              <w:t>Box 1.2. Modules of the IPBES assessment guide</w:t>
            </w:r>
          </w:p>
        </w:tc>
      </w:tr>
      <w:tr w:rsidR="006E54C8" w:rsidRPr="00DD3F88" w:rsidTr="00480CDD">
        <w:tc>
          <w:tcPr>
            <w:tcW w:w="9701" w:type="dxa"/>
            <w:tcBorders>
              <w:top w:val="single" w:sz="4" w:space="0" w:color="auto"/>
              <w:left w:val="single" w:sz="4" w:space="0" w:color="auto"/>
              <w:bottom w:val="single" w:sz="4" w:space="0" w:color="auto"/>
              <w:right w:val="single" w:sz="4" w:space="0" w:color="auto"/>
            </w:tcBorders>
            <w:vAlign w:val="center"/>
          </w:tcPr>
          <w:p w:rsidR="006E54C8" w:rsidRPr="00DD3F88" w:rsidRDefault="006E54C8" w:rsidP="00280AD4">
            <w:pPr>
              <w:tabs>
                <w:tab w:val="left" w:pos="624"/>
                <w:tab w:val="left" w:pos="743"/>
                <w:tab w:val="left" w:pos="1871"/>
                <w:tab w:val="left" w:pos="2495"/>
                <w:tab w:val="left" w:pos="3119"/>
              </w:tabs>
              <w:spacing w:line="276" w:lineRule="auto"/>
              <w:ind w:left="720"/>
              <w:rPr>
                <w:b/>
                <w:bCs/>
                <w:lang w:val="en-GB"/>
              </w:rPr>
            </w:pP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r w:rsidRPr="00DD3F88">
              <w:rPr>
                <w:b/>
                <w:bCs/>
                <w:lang w:val="en-GB"/>
              </w:rPr>
              <w:t xml:space="preserve">A: </w:t>
            </w:r>
            <w:r w:rsidRPr="00DD3F88">
              <w:rPr>
                <w:b/>
                <w:bCs/>
                <w:i/>
                <w:iCs/>
                <w:lang w:val="en-GB"/>
              </w:rPr>
              <w:t>Addressing Conceptual Issues</w:t>
            </w:r>
            <w:r w:rsidRPr="00DD3F88">
              <w:rPr>
                <w:lang w:val="en-GB"/>
              </w:rPr>
              <w:t xml:space="preserve"> - the IPBES Conceptual Framework, IPBES Terrestrial and aquatic units of analysis and the IPBES Classification of Nature’s Contributions to People); </w:t>
            </w: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r w:rsidRPr="00DD3F88">
              <w:rPr>
                <w:b/>
                <w:bCs/>
                <w:lang w:val="en-GB"/>
              </w:rPr>
              <w:t xml:space="preserve">B: </w:t>
            </w:r>
            <w:r w:rsidRPr="00DD3F88">
              <w:rPr>
                <w:b/>
                <w:bCs/>
                <w:i/>
                <w:iCs/>
                <w:lang w:val="en-GB"/>
              </w:rPr>
              <w:t>Use of Methodologies in Assessments</w:t>
            </w:r>
            <w:r w:rsidRPr="00DD3F88">
              <w:rPr>
                <w:lang w:val="en-GB"/>
              </w:rPr>
              <w:t xml:space="preserve"> - conceptualising values, scenarios and models, and indigenous and local knowledge systems; </w:t>
            </w: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r w:rsidRPr="00DD3F88">
              <w:rPr>
                <w:b/>
                <w:bCs/>
                <w:lang w:val="en-GB"/>
              </w:rPr>
              <w:lastRenderedPageBreak/>
              <w:t xml:space="preserve">C: </w:t>
            </w:r>
            <w:r w:rsidRPr="00DD3F88">
              <w:rPr>
                <w:b/>
                <w:bCs/>
                <w:i/>
                <w:iCs/>
                <w:lang w:val="en-GB"/>
              </w:rPr>
              <w:t>Identifying and Assessing Data, Information and Knowledge Resources and Gaps</w:t>
            </w:r>
            <w:r w:rsidRPr="00DD3F88">
              <w:rPr>
                <w:lang w:val="en-GB"/>
              </w:rPr>
              <w:t xml:space="preserve"> - data and indicators; </w:t>
            </w: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r w:rsidRPr="00DD3F88">
              <w:rPr>
                <w:b/>
                <w:bCs/>
                <w:lang w:val="en-GB"/>
              </w:rPr>
              <w:t xml:space="preserve">D: </w:t>
            </w:r>
            <w:r w:rsidRPr="00DD3F88">
              <w:rPr>
                <w:b/>
                <w:bCs/>
                <w:i/>
                <w:iCs/>
                <w:lang w:val="en-GB"/>
              </w:rPr>
              <w:t>Enhancing the Utility of Assessments for Decision-makers and Practitioners</w:t>
            </w:r>
            <w:r w:rsidRPr="00DD3F88">
              <w:rPr>
                <w:lang w:val="en-GB"/>
              </w:rPr>
              <w:t xml:space="preserve"> - policy support tools and methodologies, methodological guidance for assessing policy support tools and methodologies/instruments within an IPBES assessment;</w:t>
            </w: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r w:rsidRPr="00DD3F88">
              <w:rPr>
                <w:b/>
                <w:bCs/>
                <w:lang w:val="en-GB"/>
              </w:rPr>
              <w:t xml:space="preserve">E: </w:t>
            </w:r>
            <w:r w:rsidRPr="00DD3F88">
              <w:rPr>
                <w:b/>
                <w:bCs/>
                <w:i/>
                <w:iCs/>
                <w:lang w:val="en-GB"/>
              </w:rPr>
              <w:t>Approaches to undertaking a government review</w:t>
            </w:r>
            <w:r w:rsidRPr="00DD3F88">
              <w:rPr>
                <w:lang w:val="en-GB"/>
              </w:rPr>
              <w:t>;</w:t>
            </w: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r w:rsidRPr="00DD3F88">
              <w:rPr>
                <w:b/>
                <w:bCs/>
                <w:lang w:val="en-GB"/>
              </w:rPr>
              <w:t xml:space="preserve">F: </w:t>
            </w:r>
            <w:r w:rsidRPr="00DD3F88">
              <w:rPr>
                <w:b/>
                <w:bCs/>
                <w:i/>
                <w:iCs/>
                <w:lang w:val="en-GB"/>
              </w:rPr>
              <w:t>Strengthening Capacities in the Science-Policy Interface</w:t>
            </w:r>
            <w:r w:rsidRPr="00DD3F88">
              <w:rPr>
                <w:lang w:val="en-GB"/>
              </w:rPr>
              <w:t xml:space="preserve"> - how to address capacity building in assessments; </w:t>
            </w: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p>
          <w:p w:rsidR="006E54C8" w:rsidRPr="00DD3F88" w:rsidRDefault="006E54C8" w:rsidP="00280AD4">
            <w:pPr>
              <w:tabs>
                <w:tab w:val="left" w:pos="624"/>
                <w:tab w:val="left" w:pos="743"/>
                <w:tab w:val="left" w:pos="1871"/>
                <w:tab w:val="left" w:pos="2495"/>
                <w:tab w:val="left" w:pos="3119"/>
              </w:tabs>
              <w:spacing w:line="276" w:lineRule="auto"/>
              <w:ind w:left="720"/>
              <w:rPr>
                <w:b/>
                <w:bCs/>
                <w:lang w:val="en-GB"/>
              </w:rPr>
            </w:pPr>
            <w:r w:rsidRPr="00DD3F88">
              <w:rPr>
                <w:lang w:val="en-GB"/>
              </w:rPr>
              <w:t xml:space="preserve">G: </w:t>
            </w:r>
            <w:r w:rsidRPr="00DD3F88">
              <w:rPr>
                <w:b/>
                <w:bCs/>
                <w:i/>
                <w:iCs/>
                <w:lang w:val="en-GB"/>
              </w:rPr>
              <w:t>Undertaking National Ecosystem Assessment</w:t>
            </w:r>
            <w:r w:rsidRPr="00280AD4">
              <w:rPr>
                <w:bCs/>
                <w:lang w:val="en-GB"/>
              </w:rPr>
              <w:t>;</w:t>
            </w: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p>
          <w:p w:rsidR="006E54C8" w:rsidRPr="00DD3F88" w:rsidRDefault="006E54C8" w:rsidP="00280AD4">
            <w:pPr>
              <w:tabs>
                <w:tab w:val="left" w:pos="624"/>
                <w:tab w:val="left" w:pos="743"/>
                <w:tab w:val="left" w:pos="1871"/>
                <w:tab w:val="left" w:pos="2495"/>
                <w:tab w:val="left" w:pos="3119"/>
              </w:tabs>
              <w:spacing w:line="276" w:lineRule="auto"/>
              <w:ind w:left="720"/>
              <w:rPr>
                <w:lang w:val="en-GB"/>
              </w:rPr>
            </w:pPr>
            <w:r w:rsidRPr="00DD3F88">
              <w:rPr>
                <w:lang w:val="en-GB"/>
              </w:rPr>
              <w:t xml:space="preserve">H: </w:t>
            </w:r>
            <w:r w:rsidRPr="00DD3F88">
              <w:rPr>
                <w:b/>
                <w:bCs/>
                <w:i/>
                <w:iCs/>
                <w:lang w:val="en-GB"/>
              </w:rPr>
              <w:t>IPBES core Glossary.</w:t>
            </w:r>
          </w:p>
        </w:tc>
      </w:tr>
    </w:tbl>
    <w:p w:rsidR="006E54C8" w:rsidRPr="00DD3F88" w:rsidRDefault="006E54C8" w:rsidP="00280AD4">
      <w:pPr>
        <w:pStyle w:val="NormalNonumber"/>
        <w:tabs>
          <w:tab w:val="left" w:pos="624"/>
          <w:tab w:val="left" w:pos="1871"/>
          <w:tab w:val="left" w:pos="2495"/>
          <w:tab w:val="left" w:pos="3119"/>
        </w:tabs>
        <w:spacing w:before="120"/>
        <w:rPr>
          <w:lang w:val="en-GB"/>
        </w:rPr>
      </w:pPr>
      <w:r w:rsidRPr="00DD3F88">
        <w:rPr>
          <w:lang w:val="en-GB"/>
        </w:rPr>
        <w:lastRenderedPageBreak/>
        <w:t xml:space="preserve">Within each of the modules, assessment practitioners can find information around concepts, recommended practical steps and key resources, as well as guidelines, plans, strategies and approaches. The modules can be downloaded individually from: </w:t>
      </w:r>
      <w:hyperlink r:id="rId24" w:history="1">
        <w:r w:rsidRPr="00DD3F88">
          <w:rPr>
            <w:rStyle w:val="Hyperlink"/>
            <w:lang w:val="en-GB"/>
          </w:rPr>
          <w:t>www.ipbes.net/guidance-and-conceptual-framework/guide-for-assessments</w:t>
        </w:r>
      </w:hyperlink>
      <w:r w:rsidRPr="00DD3F88">
        <w:rPr>
          <w:rStyle w:val="Hyperlink"/>
          <w:lang w:val="en-GB"/>
        </w:rPr>
        <w:t>.</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 xml:space="preserve">This Guide including the supporting modules is considered a living document. It will be updated periodically to reflect the ongoing work on the Platform. New modules and sub-modules will be added as required. Therefore, users should always ensure that they have the latest version of the Guide, which is downloadable from the IPBES website. </w:t>
      </w:r>
      <w:bookmarkStart w:id="134" w:name="_Toc464723816"/>
      <w:bookmarkStart w:id="135" w:name="_Toc464723735"/>
      <w:bookmarkStart w:id="136" w:name="_Toc464685329"/>
      <w:bookmarkStart w:id="137" w:name="_Toc464580578"/>
      <w:bookmarkStart w:id="138" w:name="_Toc464205059"/>
      <w:bookmarkStart w:id="139" w:name="_Toc464061139"/>
      <w:bookmarkStart w:id="140" w:name="_Toc463533702"/>
      <w:bookmarkStart w:id="141" w:name="_Toc463533020"/>
      <w:bookmarkStart w:id="142" w:name="_Toc463514574"/>
      <w:bookmarkStart w:id="143" w:name="_Toc463370178"/>
      <w:bookmarkStart w:id="144" w:name="_Toc463367327"/>
      <w:bookmarkStart w:id="145" w:name="_Toc462307737"/>
      <w:bookmarkStart w:id="146" w:name="_Toc462307647"/>
      <w:bookmarkStart w:id="147" w:name="_Toc456950765"/>
      <w:bookmarkStart w:id="148" w:name="_Toc456949937"/>
      <w:bookmarkStart w:id="149" w:name="_Toc456949793"/>
      <w:bookmarkStart w:id="150" w:name="_Toc456949486"/>
      <w:bookmarkStart w:id="151" w:name="_Toc456947027"/>
      <w:bookmarkStart w:id="152" w:name="_Toc424559175"/>
      <w:bookmarkStart w:id="153" w:name="_Toc404773669"/>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1"/>
      </w:tblGrid>
      <w:tr w:rsidR="006E54C8" w:rsidRPr="00FA50AA" w:rsidTr="00480CDD">
        <w:trPr>
          <w:trHeight w:val="528"/>
        </w:trPr>
        <w:tc>
          <w:tcPr>
            <w:tcW w:w="9701"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E54C8" w:rsidRPr="00DD3F88" w:rsidRDefault="006E54C8" w:rsidP="00280AD4">
            <w:pPr>
              <w:tabs>
                <w:tab w:val="left" w:pos="624"/>
                <w:tab w:val="left" w:pos="1871"/>
                <w:tab w:val="left" w:pos="2495"/>
                <w:tab w:val="left" w:pos="3119"/>
              </w:tabs>
              <w:rPr>
                <w:b/>
                <w:lang w:val="en-GB"/>
              </w:rPr>
            </w:pPr>
            <w:r w:rsidRPr="00DD3F88">
              <w:rPr>
                <w:b/>
                <w:lang w:val="en-GB"/>
              </w:rPr>
              <w:t>Box 1.3. Other Key IPBES Resources</w:t>
            </w:r>
            <w:r w:rsidRPr="00DD3F88">
              <w:rPr>
                <w:b/>
                <w:lang w:val="en-GB"/>
              </w:rPr>
              <w:tab/>
            </w:r>
          </w:p>
        </w:tc>
      </w:tr>
      <w:tr w:rsidR="006E54C8" w:rsidRPr="00FA50AA" w:rsidTr="00480CDD">
        <w:tc>
          <w:tcPr>
            <w:tcW w:w="9701" w:type="dxa"/>
            <w:tcBorders>
              <w:top w:val="single" w:sz="4" w:space="0" w:color="auto"/>
              <w:left w:val="single" w:sz="4" w:space="0" w:color="auto"/>
              <w:bottom w:val="single" w:sz="4" w:space="0" w:color="auto"/>
              <w:right w:val="single" w:sz="4" w:space="0" w:color="auto"/>
            </w:tcBorders>
            <w:vAlign w:val="center"/>
          </w:tcPr>
          <w:p w:rsidR="006E54C8" w:rsidRPr="00DD3F88" w:rsidRDefault="006E54C8" w:rsidP="00280AD4">
            <w:pPr>
              <w:tabs>
                <w:tab w:val="left" w:pos="624"/>
                <w:tab w:val="left" w:pos="743"/>
                <w:tab w:val="left" w:pos="1871"/>
                <w:tab w:val="left" w:pos="2495"/>
                <w:tab w:val="left" w:pos="3119"/>
              </w:tabs>
              <w:spacing w:after="240"/>
              <w:ind w:left="720"/>
              <w:rPr>
                <w:b/>
                <w:lang w:val="en-GB"/>
              </w:rPr>
            </w:pPr>
          </w:p>
          <w:p w:rsidR="006E54C8" w:rsidRPr="00DD3F88" w:rsidRDefault="006E54C8" w:rsidP="00280AD4">
            <w:pPr>
              <w:numPr>
                <w:ilvl w:val="0"/>
                <w:numId w:val="18"/>
              </w:numPr>
              <w:tabs>
                <w:tab w:val="left" w:pos="624"/>
                <w:tab w:val="left" w:pos="743"/>
                <w:tab w:val="left" w:pos="1871"/>
                <w:tab w:val="left" w:pos="2495"/>
                <w:tab w:val="left" w:pos="3119"/>
              </w:tabs>
              <w:spacing w:after="240"/>
              <w:ind w:hanging="544"/>
              <w:rPr>
                <w:b/>
                <w:lang w:val="en-GB"/>
              </w:rPr>
            </w:pPr>
            <w:hyperlink r:id="rId25" w:history="1">
              <w:r w:rsidRPr="00DD3F88">
                <w:rPr>
                  <w:rStyle w:val="Hyperlink"/>
                  <w:b/>
                  <w:lang w:val="en-GB"/>
                </w:rPr>
                <w:t>IPBES Catalogue of Assessments</w:t>
              </w:r>
            </w:hyperlink>
            <w:r w:rsidRPr="00DD3F88">
              <w:rPr>
                <w:b/>
                <w:lang w:val="en-GB"/>
              </w:rPr>
              <w:t xml:space="preserve">: </w:t>
            </w:r>
            <w:r w:rsidRPr="00DD3F88">
              <w:rPr>
                <w:lang w:val="en-GB"/>
              </w:rPr>
              <w:t xml:space="preserve">brings together information on and experiences gained from undertaking assessments of biodiversity and ecosystem services from the global to the sub-national scale </w:t>
            </w:r>
          </w:p>
          <w:p w:rsidR="006E54C8" w:rsidRPr="00DD3F88" w:rsidRDefault="006E54C8" w:rsidP="00280AD4">
            <w:pPr>
              <w:numPr>
                <w:ilvl w:val="0"/>
                <w:numId w:val="18"/>
              </w:numPr>
              <w:tabs>
                <w:tab w:val="left" w:pos="624"/>
                <w:tab w:val="left" w:pos="743"/>
                <w:tab w:val="left" w:pos="1871"/>
                <w:tab w:val="left" w:pos="2495"/>
                <w:tab w:val="left" w:pos="3119"/>
              </w:tabs>
              <w:spacing w:after="240"/>
              <w:ind w:hanging="544"/>
              <w:rPr>
                <w:lang w:val="en-GB"/>
              </w:rPr>
            </w:pPr>
            <w:r w:rsidRPr="00DD3F88">
              <w:rPr>
                <w:b/>
                <w:lang w:val="en-GB"/>
              </w:rPr>
              <w:t>IPBES e-learning modules</w:t>
            </w:r>
            <w:r w:rsidRPr="00DD3F88">
              <w:rPr>
                <w:lang w:val="en-GB"/>
              </w:rPr>
              <w:t>: These cover different aspects of assessments and support the development of capacity. These can be accessed</w:t>
            </w:r>
            <w:r w:rsidR="00FA50AA">
              <w:rPr>
                <w:lang w:val="en-GB"/>
              </w:rPr>
              <w:t xml:space="preserve"> from</w:t>
            </w:r>
            <w:r w:rsidRPr="00DD3F88">
              <w:rPr>
                <w:lang w:val="en-GB"/>
              </w:rPr>
              <w:t xml:space="preserve"> the IPBES website.</w:t>
            </w:r>
          </w:p>
          <w:p w:rsidR="006E54C8" w:rsidRPr="00DD3F88" w:rsidRDefault="006E54C8" w:rsidP="00280AD4">
            <w:pPr>
              <w:numPr>
                <w:ilvl w:val="0"/>
                <w:numId w:val="18"/>
              </w:numPr>
              <w:tabs>
                <w:tab w:val="left" w:pos="624"/>
                <w:tab w:val="left" w:pos="743"/>
                <w:tab w:val="left" w:pos="1871"/>
                <w:tab w:val="left" w:pos="2495"/>
                <w:tab w:val="left" w:pos="3119"/>
              </w:tabs>
              <w:spacing w:after="240"/>
              <w:ind w:hanging="544"/>
              <w:rPr>
                <w:lang w:val="en-GB"/>
              </w:rPr>
            </w:pPr>
            <w:r w:rsidRPr="00DD3F88">
              <w:rPr>
                <w:b/>
                <w:lang w:val="en-GB"/>
              </w:rPr>
              <w:t xml:space="preserve">IPBES webinar series: </w:t>
            </w:r>
            <w:r w:rsidRPr="00DD3F88">
              <w:rPr>
                <w:lang w:val="en-GB"/>
              </w:rPr>
              <w:t xml:space="preserve">This webinar series covers different aspects of the assessment process, as well as, the assessments themselves. </w:t>
            </w:r>
            <w:hyperlink r:id="rId26" w:history="1">
              <w:r w:rsidRPr="00DD3F88">
                <w:rPr>
                  <w:rStyle w:val="Hyperlink"/>
                  <w:lang w:val="en-GB"/>
                </w:rPr>
                <w:t>Webinars</w:t>
              </w:r>
            </w:hyperlink>
            <w:r w:rsidRPr="00DD3F88">
              <w:rPr>
                <w:lang w:val="en-GB"/>
              </w:rPr>
              <w:t xml:space="preserve"> can be downloaded from the IPBES website.</w:t>
            </w:r>
            <w:bookmarkStart w:id="154" w:name="_GoBack"/>
            <w:bookmarkEnd w:id="154"/>
          </w:p>
          <w:p w:rsidR="006E54C8" w:rsidRPr="00DD3F88" w:rsidRDefault="006E54C8" w:rsidP="00280AD4">
            <w:pPr>
              <w:numPr>
                <w:ilvl w:val="0"/>
                <w:numId w:val="18"/>
              </w:numPr>
              <w:tabs>
                <w:tab w:val="left" w:pos="624"/>
                <w:tab w:val="left" w:pos="743"/>
                <w:tab w:val="left" w:pos="1871"/>
                <w:tab w:val="left" w:pos="2495"/>
                <w:tab w:val="left" w:pos="3119"/>
              </w:tabs>
              <w:spacing w:after="240"/>
              <w:ind w:hanging="544"/>
              <w:rPr>
                <w:lang w:val="en-GB"/>
              </w:rPr>
            </w:pPr>
            <w:r w:rsidRPr="00DD3F88">
              <w:rPr>
                <w:b/>
                <w:lang w:val="en-GB"/>
              </w:rPr>
              <w:t xml:space="preserve">IPBES Guide for Conceptualising Values: </w:t>
            </w:r>
            <w:r w:rsidRPr="00DD3F88">
              <w:rPr>
                <w:lang w:val="en-GB"/>
              </w:rPr>
              <w:t xml:space="preserve">This Guide contains further information on the identification and conceptualisation of different values and complements the sub-module of the Assessment Guide. It can be accessed at: </w:t>
            </w:r>
            <w:hyperlink r:id="rId27" w:history="1">
              <w:r w:rsidRPr="00DD3F88">
                <w:rPr>
                  <w:rStyle w:val="Hyperlink"/>
                  <w:lang w:val="en-GB"/>
                </w:rPr>
                <w:t>www.ipbes.net/guidance-and-conceptual-framework</w:t>
              </w:r>
            </w:hyperlink>
            <w:r w:rsidRPr="00DD3F88">
              <w:rPr>
                <w:lang w:val="en-GB"/>
              </w:rPr>
              <w:t xml:space="preserve"> </w:t>
            </w:r>
          </w:p>
          <w:p w:rsidR="006E54C8" w:rsidRPr="00DD3F88" w:rsidRDefault="006E54C8" w:rsidP="00280AD4">
            <w:pPr>
              <w:numPr>
                <w:ilvl w:val="0"/>
                <w:numId w:val="18"/>
              </w:numPr>
              <w:tabs>
                <w:tab w:val="left" w:pos="624"/>
                <w:tab w:val="left" w:pos="743"/>
                <w:tab w:val="left" w:pos="1871"/>
                <w:tab w:val="left" w:pos="2495"/>
                <w:tab w:val="left" w:pos="3119"/>
              </w:tabs>
              <w:ind w:hanging="544"/>
              <w:rPr>
                <w:lang w:val="en-GB"/>
              </w:rPr>
            </w:pPr>
            <w:r w:rsidRPr="00DD3F88">
              <w:rPr>
                <w:b/>
                <w:lang w:val="en-GB"/>
              </w:rPr>
              <w:t>IPBES Catalogue for Policy Support Tools and Methodologies</w:t>
            </w:r>
            <w:r w:rsidRPr="00DD3F88">
              <w:rPr>
                <w:lang w:val="en-GB"/>
              </w:rPr>
              <w:t>: contains information regarding a range of policy support tools and methodologies, and policy instruments.</w:t>
            </w:r>
          </w:p>
          <w:p w:rsidR="006E54C8" w:rsidRPr="00DD3F88" w:rsidRDefault="006E54C8" w:rsidP="00280AD4">
            <w:pPr>
              <w:tabs>
                <w:tab w:val="left" w:pos="624"/>
                <w:tab w:val="left" w:pos="743"/>
                <w:tab w:val="left" w:pos="1871"/>
                <w:tab w:val="left" w:pos="2495"/>
                <w:tab w:val="left" w:pos="3119"/>
              </w:tabs>
              <w:ind w:left="720"/>
              <w:rPr>
                <w:lang w:val="en-GB"/>
              </w:rPr>
            </w:pPr>
          </w:p>
        </w:tc>
      </w:tr>
    </w:tbl>
    <w:p w:rsidR="006E54C8" w:rsidRPr="00DD3F88" w:rsidRDefault="006E54C8" w:rsidP="00280AD4">
      <w:pPr>
        <w:tabs>
          <w:tab w:val="left" w:pos="624"/>
          <w:tab w:val="left" w:pos="1871"/>
          <w:tab w:val="left" w:pos="2495"/>
          <w:tab w:val="left" w:pos="3119"/>
        </w:tabs>
        <w:rPr>
          <w:rFonts w:eastAsia="Times New Roman"/>
          <w:lang w:val="en-GB"/>
        </w:rPr>
      </w:pPr>
    </w:p>
    <w:p w:rsidR="006E54C8" w:rsidRPr="00722D3B" w:rsidRDefault="00722D3B" w:rsidP="00280AD4">
      <w:pPr>
        <w:pStyle w:val="Heading1"/>
        <w:tabs>
          <w:tab w:val="clear" w:pos="2381"/>
          <w:tab w:val="clear" w:pos="2948"/>
          <w:tab w:val="clear" w:pos="3515"/>
          <w:tab w:val="left" w:pos="624"/>
          <w:tab w:val="left" w:pos="1871"/>
          <w:tab w:val="left" w:pos="2495"/>
          <w:tab w:val="left" w:pos="3119"/>
        </w:tabs>
        <w:spacing w:before="0"/>
        <w:ind w:left="624" w:firstLine="0"/>
        <w:rPr>
          <w:lang w:val="en-GB"/>
        </w:rPr>
      </w:pPr>
      <w:r>
        <w:rPr>
          <w:lang w:val="en-GB"/>
        </w:rPr>
        <w:t>2.</w:t>
      </w:r>
      <w:r>
        <w:rPr>
          <w:lang w:val="en-GB"/>
        </w:rPr>
        <w:tab/>
      </w:r>
      <w:bookmarkStart w:id="155" w:name="_Toc503270668"/>
      <w:bookmarkStart w:id="156" w:name="_Toc503178474"/>
      <w:r w:rsidR="006E54C8" w:rsidRPr="00722D3B">
        <w:rPr>
          <w:lang w:val="en-GB"/>
        </w:rPr>
        <w:t>The IPBES assessment process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5"/>
      <w:bookmarkEnd w:id="156"/>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An IPBES assessment report is the result of a staged process designed to also produce an enhanced understanding of knowledge needs and policy opportunities among actors in science and policy. This chapter presents the different stages involved in performing an IPBES assessment (Figure 2.1).</w:t>
      </w:r>
    </w:p>
    <w:p w:rsidR="006E54C8" w:rsidRPr="00DD3F88" w:rsidRDefault="006E54C8" w:rsidP="00280AD4">
      <w:pPr>
        <w:pStyle w:val="ListParagraph"/>
        <w:numPr>
          <w:ilvl w:val="0"/>
          <w:numId w:val="19"/>
        </w:numPr>
        <w:tabs>
          <w:tab w:val="left" w:pos="624"/>
          <w:tab w:val="left" w:pos="720"/>
          <w:tab w:val="left" w:pos="1247"/>
          <w:tab w:val="left" w:pos="1871"/>
          <w:tab w:val="left" w:pos="2495"/>
          <w:tab w:val="left" w:pos="3119"/>
        </w:tabs>
        <w:spacing w:after="120" w:line="240" w:lineRule="auto"/>
        <w:ind w:firstLine="556"/>
        <w:rPr>
          <w:rFonts w:eastAsia="Calibri"/>
          <w:spacing w:val="-2"/>
          <w:lang w:val="en-GB"/>
        </w:rPr>
      </w:pPr>
      <w:r w:rsidRPr="00DD3F88">
        <w:rPr>
          <w:rFonts w:ascii="Times New Roman" w:eastAsia="Calibri" w:hAnsi="Times New Roman" w:cs="Times New Roman"/>
          <w:spacing w:val="-2"/>
          <w:sz w:val="20"/>
          <w:szCs w:val="20"/>
          <w:lang w:val="en-GB"/>
        </w:rPr>
        <w:t>Requests and scope;</w:t>
      </w:r>
    </w:p>
    <w:p w:rsidR="006E54C8" w:rsidRPr="00DD3F88" w:rsidRDefault="006E54C8" w:rsidP="00280AD4">
      <w:pPr>
        <w:pStyle w:val="ListParagraph"/>
        <w:numPr>
          <w:ilvl w:val="0"/>
          <w:numId w:val="19"/>
        </w:numPr>
        <w:tabs>
          <w:tab w:val="left" w:pos="624"/>
          <w:tab w:val="left" w:pos="720"/>
          <w:tab w:val="left" w:pos="1247"/>
          <w:tab w:val="left" w:pos="1871"/>
          <w:tab w:val="left" w:pos="2495"/>
          <w:tab w:val="left" w:pos="3119"/>
        </w:tabs>
        <w:spacing w:after="120" w:line="240" w:lineRule="auto"/>
        <w:ind w:firstLine="556"/>
        <w:rPr>
          <w:rFonts w:eastAsia="Calibri"/>
          <w:spacing w:val="-2"/>
          <w:lang w:val="en-GB"/>
        </w:rPr>
      </w:pPr>
      <w:r w:rsidRPr="00DD3F88">
        <w:rPr>
          <w:rFonts w:ascii="Times New Roman" w:eastAsia="Calibri" w:hAnsi="Times New Roman" w:cs="Times New Roman"/>
          <w:spacing w:val="-2"/>
          <w:sz w:val="20"/>
          <w:szCs w:val="20"/>
          <w:lang w:val="en-GB"/>
        </w:rPr>
        <w:t>Expert evaluation of the state of knowledge;</w:t>
      </w:r>
    </w:p>
    <w:p w:rsidR="006E54C8" w:rsidRPr="00DD3F88" w:rsidRDefault="006E54C8" w:rsidP="00280AD4">
      <w:pPr>
        <w:pStyle w:val="ListParagraph"/>
        <w:numPr>
          <w:ilvl w:val="0"/>
          <w:numId w:val="19"/>
        </w:numPr>
        <w:tabs>
          <w:tab w:val="left" w:pos="624"/>
          <w:tab w:val="left" w:pos="720"/>
          <w:tab w:val="left" w:pos="1247"/>
          <w:tab w:val="left" w:pos="1871"/>
          <w:tab w:val="left" w:pos="2495"/>
          <w:tab w:val="left" w:pos="3119"/>
        </w:tabs>
        <w:spacing w:after="120" w:line="240" w:lineRule="auto"/>
        <w:ind w:firstLine="556"/>
        <w:rPr>
          <w:rFonts w:eastAsia="Calibri"/>
          <w:spacing w:val="-2"/>
          <w:lang w:val="en-GB"/>
        </w:rPr>
      </w:pPr>
      <w:r w:rsidRPr="00DD3F88">
        <w:rPr>
          <w:rFonts w:ascii="Times New Roman" w:eastAsia="Calibri" w:hAnsi="Times New Roman" w:cs="Times New Roman"/>
          <w:spacing w:val="-2"/>
          <w:sz w:val="20"/>
          <w:szCs w:val="20"/>
          <w:lang w:val="en-GB"/>
        </w:rPr>
        <w:t>Approval/acceptance;</w:t>
      </w:r>
    </w:p>
    <w:p w:rsidR="006E54C8" w:rsidRPr="00DD3F88" w:rsidRDefault="006E54C8" w:rsidP="00280AD4">
      <w:pPr>
        <w:pStyle w:val="ListParagraph"/>
        <w:numPr>
          <w:ilvl w:val="0"/>
          <w:numId w:val="19"/>
        </w:numPr>
        <w:tabs>
          <w:tab w:val="left" w:pos="624"/>
          <w:tab w:val="left" w:pos="720"/>
          <w:tab w:val="left" w:pos="1247"/>
          <w:tab w:val="left" w:pos="1871"/>
          <w:tab w:val="left" w:pos="2495"/>
          <w:tab w:val="left" w:pos="3119"/>
        </w:tabs>
        <w:spacing w:after="120" w:line="240" w:lineRule="auto"/>
        <w:ind w:firstLine="556"/>
        <w:rPr>
          <w:rFonts w:eastAsia="Calibri"/>
          <w:lang w:val="en-GB"/>
        </w:rPr>
      </w:pPr>
      <w:bookmarkStart w:id="157" w:name="_Toc464723818"/>
      <w:bookmarkStart w:id="158" w:name="_Toc464723737"/>
      <w:bookmarkStart w:id="159" w:name="_Toc464685331"/>
      <w:bookmarkStart w:id="160" w:name="_Toc464580580"/>
      <w:bookmarkStart w:id="161" w:name="_Toc464205061"/>
      <w:bookmarkStart w:id="162" w:name="_Toc464061141"/>
      <w:bookmarkStart w:id="163" w:name="_Toc463533704"/>
      <w:bookmarkStart w:id="164" w:name="_Toc463533022"/>
      <w:bookmarkStart w:id="165" w:name="_Toc463514576"/>
      <w:bookmarkStart w:id="166" w:name="_Toc463370180"/>
      <w:bookmarkStart w:id="167" w:name="_Toc463367329"/>
      <w:bookmarkStart w:id="168" w:name="_Toc462307739"/>
      <w:bookmarkStart w:id="169" w:name="_Toc462307649"/>
      <w:bookmarkStart w:id="170" w:name="_Toc456950767"/>
      <w:r w:rsidRPr="00DD3F88">
        <w:rPr>
          <w:rFonts w:eastAsia="Times New Roman"/>
          <w:noProof/>
          <w:lang w:val="en-GB" w:eastAsia="en-GB"/>
        </w:rPr>
        <w:lastRenderedPageBreak/>
        <w:drawing>
          <wp:anchor distT="0" distB="0" distL="114300" distR="114300" simplePos="0" relativeHeight="251670528" behindDoc="1" locked="0" layoutInCell="1" allowOverlap="1" wp14:anchorId="0D98C46D" wp14:editId="38B434AF">
            <wp:simplePos x="0" y="0"/>
            <wp:positionH relativeFrom="margin">
              <wp:posOffset>-81915</wp:posOffset>
            </wp:positionH>
            <wp:positionV relativeFrom="paragraph">
              <wp:posOffset>168275</wp:posOffset>
            </wp:positionV>
            <wp:extent cx="6515100" cy="6519545"/>
            <wp:effectExtent l="0" t="0" r="0" b="0"/>
            <wp:wrapTight wrapText="bothSides">
              <wp:wrapPolygon edited="0">
                <wp:start x="0" y="0"/>
                <wp:lineTo x="0" y="21522"/>
                <wp:lineTo x="21537" y="21522"/>
                <wp:lineTo x="21537" y="0"/>
                <wp:lineTo x="0" y="0"/>
              </wp:wrapPolygon>
            </wp:wrapTight>
            <wp:docPr id="17" name="Picture 17" descr="cid:F6313F7A-AC5B-49D7-BE9D-431B826A206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377EB-F0B5-4DBB-ACA3-12C6EAA0C7F5" descr="cid:F6313F7A-AC5B-49D7-BE9D-431B826A206E@hom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7936" t="9713" r="8739" b="31327"/>
                    <a:stretch/>
                  </pic:blipFill>
                  <pic:spPr bwMode="auto">
                    <a:xfrm>
                      <a:off x="0" y="0"/>
                      <a:ext cx="6515100" cy="651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3F88">
        <w:rPr>
          <w:rFonts w:ascii="Times New Roman" w:eastAsia="Calibri" w:hAnsi="Times New Roman" w:cs="Times New Roman"/>
          <w:spacing w:val="-2"/>
          <w:sz w:val="20"/>
          <w:szCs w:val="20"/>
          <w:lang w:val="en-GB"/>
        </w:rPr>
        <w:t>Use of the assessment findings.</w:t>
      </w:r>
    </w:p>
    <w:p w:rsidR="006E54C8" w:rsidRPr="00DD3F88" w:rsidRDefault="001F3A5E" w:rsidP="00280AD4">
      <w:pPr>
        <w:pStyle w:val="CH2"/>
        <w:tabs>
          <w:tab w:val="clear" w:pos="1814"/>
          <w:tab w:val="left" w:pos="624"/>
          <w:tab w:val="right" w:pos="709"/>
          <w:tab w:val="left" w:pos="1871"/>
          <w:tab w:val="left" w:pos="2127"/>
          <w:tab w:val="left" w:pos="2495"/>
          <w:tab w:val="left" w:pos="3119"/>
        </w:tabs>
        <w:ind w:left="1843" w:hanging="2013"/>
        <w:rPr>
          <w:rFonts w:eastAsia="Calibri"/>
          <w:lang w:val="en-GB"/>
        </w:rPr>
      </w:pPr>
      <w:r>
        <w:rPr>
          <w:rFonts w:eastAsia="Calibri"/>
          <w:lang w:val="en-GB"/>
        </w:rPr>
        <w:tab/>
      </w:r>
      <w:r w:rsidR="006E54C8" w:rsidRPr="00DD3F88">
        <w:rPr>
          <w:rFonts w:eastAsia="Calibri"/>
          <w:lang w:val="en-GB"/>
        </w:rPr>
        <w:t>2.1</w:t>
      </w:r>
      <w:r w:rsidR="006E54C8" w:rsidRPr="00DD3F88">
        <w:rPr>
          <w:rFonts w:eastAsia="Calibri"/>
          <w:lang w:val="en-GB"/>
        </w:rPr>
        <w:tab/>
        <w:t>Stage 1: Requests and scope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6E54C8" w:rsidRPr="00DD3F88" w:rsidRDefault="006E54C8" w:rsidP="00280AD4">
      <w:pPr>
        <w:tabs>
          <w:tab w:val="left" w:pos="624"/>
          <w:tab w:val="left" w:pos="1871"/>
          <w:tab w:val="left" w:pos="2495"/>
          <w:tab w:val="left" w:pos="3119"/>
        </w:tabs>
        <w:spacing w:after="120"/>
        <w:ind w:left="1247"/>
        <w:rPr>
          <w:rFonts w:eastAsia="Times New Roman"/>
          <w:bCs/>
          <w:lang w:val="en-GB"/>
        </w:rPr>
      </w:pPr>
      <w:r w:rsidRPr="00DD3F88">
        <w:rPr>
          <w:bCs/>
          <w:lang w:val="en-GB"/>
        </w:rPr>
        <w:t>An assessment begins by a request received from a Government (or input and suggestions received from a stakeholder), which is considered by the Plenary. The procedure for receiving and prioritizing requests represents the first stage in defining a new work programme. It has so far taken place once, in order to define the first work programme of IPBES, for 2014-2018. The Plenary will decide at its 6</w:t>
      </w:r>
      <w:r w:rsidRPr="00DD3F88">
        <w:rPr>
          <w:bCs/>
          <w:vertAlign w:val="superscript"/>
          <w:lang w:val="en-GB"/>
        </w:rPr>
        <w:t>th</w:t>
      </w:r>
      <w:r w:rsidRPr="00DD3F88">
        <w:rPr>
          <w:bCs/>
          <w:lang w:val="en-GB"/>
        </w:rPr>
        <w:t xml:space="preserve"> session (2018) on a process to call for requests and assemble a second work programme, starting in 2019. The first set of requests led the Plenary to carry out a set of thematic, methodological and regional assessments, as well as a global assessment. </w:t>
      </w:r>
    </w:p>
    <w:p w:rsidR="006E54C8" w:rsidRPr="00DD3F88" w:rsidRDefault="006E54C8" w:rsidP="00280AD4">
      <w:pPr>
        <w:tabs>
          <w:tab w:val="left" w:pos="624"/>
          <w:tab w:val="left" w:pos="1871"/>
          <w:tab w:val="left" w:pos="2495"/>
          <w:tab w:val="left" w:pos="3119"/>
        </w:tabs>
        <w:spacing w:after="120"/>
        <w:ind w:left="1247"/>
        <w:rPr>
          <w:i/>
          <w:iCs/>
          <w:lang w:val="en-GB"/>
        </w:rPr>
      </w:pPr>
      <w:r w:rsidRPr="00DD3F88">
        <w:rPr>
          <w:i/>
          <w:iCs/>
          <w:lang w:val="en-GB"/>
        </w:rPr>
        <w:t>Note: The mechanism described below was followed to produce the first work programme. The Plenary may decide, for building the second IPBES work programme, to make a number of adjustments based on lessons learnt. This means that some of the steps described below might be modified as lessons are learnt.</w:t>
      </w:r>
    </w:p>
    <w:p w:rsidR="006E54C8" w:rsidRPr="00DD3F88" w:rsidRDefault="006E54C8" w:rsidP="00280AD4">
      <w:pPr>
        <w:pStyle w:val="CH3"/>
        <w:tabs>
          <w:tab w:val="left" w:pos="624"/>
          <w:tab w:val="left" w:pos="1871"/>
          <w:tab w:val="left" w:pos="2495"/>
          <w:tab w:val="left" w:pos="3119"/>
        </w:tabs>
        <w:rPr>
          <w:rFonts w:eastAsia="Calibri"/>
          <w:lang w:val="en-GB"/>
        </w:rPr>
      </w:pPr>
      <w:r w:rsidRPr="00DD3F88">
        <w:rPr>
          <w:rFonts w:eastAsia="Calibri"/>
          <w:lang w:val="en-GB"/>
        </w:rPr>
        <w:lastRenderedPageBreak/>
        <w:tab/>
        <w:t>2.1.1</w:t>
      </w:r>
      <w:r w:rsidRPr="00DD3F88">
        <w:rPr>
          <w:rFonts w:eastAsia="Calibri"/>
          <w:lang w:val="en-GB"/>
        </w:rPr>
        <w:tab/>
        <w:t>Requests by members and observers</w:t>
      </w:r>
    </w:p>
    <w:p w:rsidR="006E54C8" w:rsidRPr="00DD3F88" w:rsidRDefault="006E54C8" w:rsidP="00280AD4">
      <w:pPr>
        <w:tabs>
          <w:tab w:val="left" w:pos="624"/>
          <w:tab w:val="left" w:pos="1871"/>
          <w:tab w:val="left" w:pos="2495"/>
          <w:tab w:val="left" w:pos="3119"/>
        </w:tabs>
        <w:spacing w:after="120"/>
        <w:ind w:left="1247"/>
        <w:rPr>
          <w:rFonts w:eastAsia="Calibri"/>
          <w:lang w:val="en-GB"/>
        </w:rPr>
      </w:pPr>
      <w:r w:rsidRPr="00DD3F88">
        <w:rPr>
          <w:rFonts w:eastAsia="Calibri"/>
          <w:lang w:val="en-GB"/>
        </w:rPr>
        <w:t xml:space="preserve">The first stage in the </w:t>
      </w:r>
      <w:r w:rsidRPr="00DD3F88">
        <w:rPr>
          <w:rFonts w:eastAsia="Calibri"/>
          <w:spacing w:val="-2"/>
          <w:lang w:val="en-GB"/>
        </w:rPr>
        <w:t xml:space="preserve">IPBES </w:t>
      </w:r>
      <w:r w:rsidRPr="00DD3F88">
        <w:rPr>
          <w:rFonts w:eastAsia="Calibri"/>
          <w:lang w:val="en-GB"/>
        </w:rPr>
        <w:t>assessment process is for requests, inputs and suggestions to be submitted to the IPBES Secretariat no later than 6 months before an IPBES Plenary</w:t>
      </w:r>
      <w:r w:rsidRPr="00DD3F88">
        <w:rPr>
          <w:rStyle w:val="FootnoteReference"/>
          <w:rFonts w:eastAsia="Calibri"/>
          <w:lang w:val="en-GB"/>
        </w:rPr>
        <w:footnoteReference w:id="7"/>
      </w:r>
      <w:r w:rsidRPr="00DD3F88">
        <w:rPr>
          <w:rFonts w:eastAsia="Calibri"/>
          <w:lang w:val="en-GB"/>
        </w:rPr>
        <w:t>. Submissions should include information on:</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Relevance of the objective, function and work programme of the Platform;</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Urgency of action in light of imminent risks caused by the issues to addressed in the action;</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Relevance of the requested action in addressing specific policies or processes;</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Geographic scope of the requested action, as well as issues to be covered by such action;</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Anticipated level of complexity of the issues to be addressed by the requested action;</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Previous work and existing initiatives of a similar nature and evidence of remaining gaps, such as the absence or limited availability of information and tools to address the issues, and reasons why the Platform is best suited to take action;</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Availability of scientific literature and expertise for the Platform to undertake the requested action;</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 xml:space="preserve">Scale of the potential impacts, and potential beneficiaries of the requested action; </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 xml:space="preserve">Requirements for financial and human resources, and potential duration of the requested action; </w:t>
      </w:r>
    </w:p>
    <w:p w:rsidR="006E54C8" w:rsidRPr="00DD3F88" w:rsidRDefault="006E54C8" w:rsidP="00280AD4">
      <w:pPr>
        <w:numPr>
          <w:ilvl w:val="0"/>
          <w:numId w:val="20"/>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An identification of priorities within multiple requests submitted.</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The list of requests, inputs and suggestions are compiled by the IPBES secretariat for prioritisation by the Multidisciplinary Expert Panel. The MEP will then produce a report for consideration by the Plenary, also depicting how the assessments will be integrated in the IPBES work programme.</w:t>
      </w:r>
    </w:p>
    <w:p w:rsidR="006E54C8" w:rsidRPr="00DD3F88" w:rsidRDefault="006E54C8" w:rsidP="00280AD4">
      <w:pPr>
        <w:pStyle w:val="CH3"/>
        <w:tabs>
          <w:tab w:val="left" w:pos="624"/>
          <w:tab w:val="left" w:pos="1871"/>
          <w:tab w:val="left" w:pos="2495"/>
          <w:tab w:val="left" w:pos="3119"/>
        </w:tabs>
        <w:rPr>
          <w:rFonts w:eastAsia="Calibri"/>
          <w:lang w:val="en-GB"/>
        </w:rPr>
      </w:pPr>
      <w:r w:rsidRPr="00DD3F88">
        <w:rPr>
          <w:rFonts w:eastAsia="Calibri"/>
          <w:lang w:val="en-GB"/>
        </w:rPr>
        <w:tab/>
        <w:t>2.1.2</w:t>
      </w:r>
      <w:r w:rsidRPr="00DD3F88">
        <w:rPr>
          <w:rFonts w:eastAsia="Calibri"/>
          <w:lang w:val="en-GB"/>
        </w:rPr>
        <w:tab/>
        <w:t>Consideration by MEP and Bureau</w:t>
      </w:r>
    </w:p>
    <w:p w:rsidR="006E54C8" w:rsidRPr="00280AD4" w:rsidRDefault="006E54C8" w:rsidP="00280AD4">
      <w:pPr>
        <w:tabs>
          <w:tab w:val="left" w:pos="624"/>
          <w:tab w:val="left" w:pos="1871"/>
          <w:tab w:val="left" w:pos="2495"/>
          <w:tab w:val="left" w:pos="3119"/>
          <w:tab w:val="left" w:pos="4082"/>
        </w:tabs>
        <w:spacing w:after="120"/>
        <w:ind w:left="1247"/>
        <w:rPr>
          <w:lang w:val="en-GB"/>
        </w:rPr>
      </w:pPr>
      <w:r w:rsidRPr="00DD3F88">
        <w:rPr>
          <w:rFonts w:eastAsia="Calibri"/>
          <w:lang w:val="en-GB"/>
        </w:rPr>
        <w:t xml:space="preserve">As part of the preliminary evaluation and prioritisation process, the MEP and Bureau will undertake an initial scoping of </w:t>
      </w:r>
      <w:r w:rsidRPr="00DD3F88">
        <w:rPr>
          <w:rFonts w:eastAsia="Calibri"/>
          <w:spacing w:val="-2"/>
          <w:lang w:val="en-GB"/>
        </w:rPr>
        <w:t>an assessment</w:t>
      </w:r>
      <w:r w:rsidRPr="00DD3F88">
        <w:rPr>
          <w:rFonts w:eastAsia="Calibri"/>
          <w:lang w:val="en-GB"/>
        </w:rPr>
        <w:t xml:space="preserve">, including examining feasibility and estimated costs. This initial scoping study may also contain pre-scoping material, usually provided by the body making the original request for the assessment. Using this information, the MEP, in conjunction with the Bureau, will prepare a report containing a prioritised list of requested assessments to be submitted to the Plenary. The report will contain an analysis of </w:t>
      </w:r>
      <w:r w:rsidRPr="00DD3F88">
        <w:rPr>
          <w:rFonts w:eastAsia="Calibri"/>
          <w:spacing w:val="-2"/>
          <w:lang w:val="en-GB"/>
        </w:rPr>
        <w:t>the</w:t>
      </w:r>
      <w:r w:rsidRPr="00DD3F88">
        <w:rPr>
          <w:rFonts w:eastAsia="Calibri"/>
          <w:lang w:val="en-GB"/>
        </w:rPr>
        <w:t xml:space="preserve"> scientific and policy relevance of </w:t>
      </w:r>
      <w:r w:rsidRPr="00DD3F88">
        <w:rPr>
          <w:rFonts w:eastAsia="Calibri"/>
          <w:spacing w:val="-2"/>
          <w:lang w:val="en-GB"/>
        </w:rPr>
        <w:t>the</w:t>
      </w:r>
      <w:r w:rsidRPr="00DD3F88">
        <w:rPr>
          <w:rFonts w:eastAsia="Calibri"/>
          <w:lang w:val="en-GB"/>
        </w:rPr>
        <w:t xml:space="preserve"> requests, including </w:t>
      </w:r>
      <w:r w:rsidRPr="00DD3F88">
        <w:rPr>
          <w:rFonts w:eastAsia="Calibri"/>
          <w:spacing w:val="-2"/>
          <w:lang w:val="en-GB"/>
        </w:rPr>
        <w:t>the</w:t>
      </w:r>
      <w:r w:rsidRPr="00DD3F88">
        <w:rPr>
          <w:rFonts w:eastAsia="Calibri"/>
          <w:lang w:val="en-GB"/>
        </w:rPr>
        <w:t xml:space="preserve"> implication of the </w:t>
      </w:r>
      <w:r w:rsidRPr="00DD3F88">
        <w:rPr>
          <w:rFonts w:eastAsia="Calibri" w:cs="Calibri"/>
          <w:lang w:val="en-GB"/>
        </w:rPr>
        <w:t>requests for the Platform’s work programme and resources requirements.</w:t>
      </w:r>
    </w:p>
    <w:p w:rsidR="006E54C8" w:rsidRPr="00DD3F88" w:rsidRDefault="001F3A5E" w:rsidP="00280AD4">
      <w:pPr>
        <w:pStyle w:val="CH3"/>
        <w:keepNext w:val="0"/>
        <w:keepLines w:val="0"/>
        <w:tabs>
          <w:tab w:val="left" w:pos="624"/>
          <w:tab w:val="left" w:pos="1871"/>
          <w:tab w:val="left" w:pos="2495"/>
          <w:tab w:val="left" w:pos="3119"/>
        </w:tabs>
        <w:rPr>
          <w:rFonts w:eastAsia="Calibri"/>
          <w:lang w:val="en-GB"/>
        </w:rPr>
      </w:pPr>
      <w:r>
        <w:rPr>
          <w:rFonts w:eastAsia="Calibri"/>
          <w:lang w:val="en-GB"/>
        </w:rPr>
        <w:tab/>
      </w:r>
      <w:r w:rsidR="006E54C8" w:rsidRPr="00DD3F88">
        <w:rPr>
          <w:rFonts w:eastAsia="Calibri"/>
          <w:lang w:val="en-GB"/>
        </w:rPr>
        <w:t>2.1.3</w:t>
      </w:r>
      <w:r w:rsidR="006E54C8" w:rsidRPr="00DD3F88">
        <w:rPr>
          <w:rFonts w:eastAsia="Calibri"/>
          <w:lang w:val="en-GB"/>
        </w:rPr>
        <w:tab/>
        <w:t>Consideration by Plenary</w:t>
      </w:r>
    </w:p>
    <w:p w:rsidR="006E54C8" w:rsidRPr="00DD3F88" w:rsidRDefault="006E54C8" w:rsidP="00280AD4">
      <w:pPr>
        <w:pStyle w:val="CH3"/>
        <w:keepNext w:val="0"/>
        <w:keepLines w:val="0"/>
        <w:tabs>
          <w:tab w:val="left" w:pos="624"/>
          <w:tab w:val="left" w:pos="1871"/>
          <w:tab w:val="left" w:pos="2495"/>
          <w:tab w:val="left" w:pos="3119"/>
        </w:tabs>
        <w:ind w:firstLine="29"/>
        <w:rPr>
          <w:rFonts w:eastAsia="Calibri"/>
          <w:b w:val="0"/>
          <w:bCs/>
          <w:lang w:val="en-GB"/>
        </w:rPr>
      </w:pPr>
      <w:r w:rsidRPr="00DD3F88">
        <w:rPr>
          <w:rFonts w:eastAsia="Calibri"/>
          <w:b w:val="0"/>
          <w:bCs/>
          <w:lang w:val="en-GB"/>
        </w:rPr>
        <w:t xml:space="preserve">The Plenary has two options: approve the scoping report and initiate the assessment (based on initial scoping by the MEP) or request a detailed scoping. Initiation of assessment can go ahead without the detailed scoping study and proceed to the second stage of the assessment process without the Plenary needing to consider the outcome of a more detailed scoping exercise (see option B, Figure 2.2). In </w:t>
      </w:r>
      <w:proofErr w:type="gramStart"/>
      <w:r w:rsidRPr="00DD3F88">
        <w:rPr>
          <w:rFonts w:eastAsia="Calibri"/>
          <w:b w:val="0"/>
          <w:bCs/>
          <w:lang w:val="en-GB"/>
        </w:rPr>
        <w:t>a  majority</w:t>
      </w:r>
      <w:proofErr w:type="gramEnd"/>
      <w:r w:rsidRPr="00DD3F88">
        <w:rPr>
          <w:rFonts w:eastAsia="Calibri"/>
          <w:b w:val="0"/>
          <w:bCs/>
          <w:lang w:val="en-GB"/>
        </w:rPr>
        <w:t xml:space="preserve"> of cases, the Plenary will request a detailed scoping before agreeing to undertake an assessment</w:t>
      </w:r>
      <w:bookmarkStart w:id="171" w:name="_Toc464723819"/>
      <w:bookmarkStart w:id="172" w:name="_Toc464723738"/>
      <w:bookmarkStart w:id="173" w:name="_Toc464685332"/>
      <w:bookmarkStart w:id="174" w:name="_Toc464580581"/>
      <w:bookmarkStart w:id="175" w:name="_Toc464205062"/>
      <w:bookmarkStart w:id="176" w:name="_Toc464061142"/>
      <w:bookmarkStart w:id="177" w:name="_Toc463533705"/>
      <w:bookmarkStart w:id="178" w:name="_Toc463533023"/>
      <w:bookmarkStart w:id="179" w:name="_Toc463514577"/>
      <w:bookmarkStart w:id="180" w:name="_Toc463370181"/>
      <w:bookmarkStart w:id="181" w:name="_Toc463367330"/>
      <w:bookmarkStart w:id="182" w:name="_Toc462307740"/>
      <w:bookmarkStart w:id="183" w:name="_Toc462307650"/>
      <w:bookmarkStart w:id="184" w:name="_Toc456950768"/>
      <w:bookmarkStart w:id="185" w:name="_Toc456949938"/>
      <w:bookmarkStart w:id="186" w:name="_Toc456949794"/>
      <w:bookmarkStart w:id="187" w:name="_Toc456949487"/>
      <w:bookmarkStart w:id="188" w:name="_Toc456947028"/>
      <w:r w:rsidRPr="00DD3F88">
        <w:rPr>
          <w:rFonts w:eastAsia="Calibri"/>
          <w:b w:val="0"/>
          <w:bCs/>
          <w:lang w:val="en-GB"/>
        </w:rPr>
        <w:t xml:space="preserve"> (See option A, figure 2.2). The Plenary may delay the start of the second</w:t>
      </w:r>
      <w:r w:rsidR="001F3A5E">
        <w:rPr>
          <w:rFonts w:eastAsia="Calibri"/>
          <w:b w:val="0"/>
          <w:bCs/>
          <w:lang w:val="en-GB"/>
        </w:rPr>
        <w:tab/>
      </w:r>
      <w:r w:rsidRPr="00DD3F88">
        <w:rPr>
          <w:rFonts w:eastAsia="Calibri"/>
          <w:b w:val="0"/>
          <w:bCs/>
          <w:lang w:val="en-GB"/>
        </w:rPr>
        <w:t xml:space="preserve"> stage or initiate the assessment immediately based on the Scoping Report. </w:t>
      </w:r>
    </w:p>
    <w:p w:rsidR="006E54C8" w:rsidRPr="00DD3F88" w:rsidRDefault="006E54C8" w:rsidP="00280AD4">
      <w:pPr>
        <w:keepNext/>
        <w:tabs>
          <w:tab w:val="left" w:pos="624"/>
          <w:tab w:val="left" w:pos="1871"/>
          <w:tab w:val="left" w:pos="2495"/>
          <w:tab w:val="left" w:pos="3119"/>
        </w:tabs>
        <w:rPr>
          <w:rFonts w:eastAsia="Times New Roman"/>
          <w:lang w:val="en-GB"/>
        </w:rPr>
      </w:pPr>
      <w:r w:rsidRPr="00DD3F88">
        <w:rPr>
          <w:rFonts w:eastAsia="Times New Roman"/>
          <w:lang w:val="en-GB"/>
        </w:rPr>
        <w:lastRenderedPageBreak/>
        <w:t xml:space="preserve"> </w:t>
      </w:r>
      <w:r w:rsidRPr="00DD3F88">
        <w:rPr>
          <w:rFonts w:eastAsia="Times New Roman"/>
          <w:noProof/>
          <w:lang w:val="en-GB" w:eastAsia="en-GB"/>
        </w:rPr>
        <w:drawing>
          <wp:inline distT="0" distB="0" distL="0" distR="0" wp14:anchorId="7455E20E" wp14:editId="1DCE340A">
            <wp:extent cx="5486400" cy="6530421"/>
            <wp:effectExtent l="0" t="0" r="0" b="3810"/>
            <wp:docPr id="27" name="Picture 27" descr="cid:860A692B-0696-4A30-ACBF-CCDE079424CF@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2212F-589B-4B7C-881F-DBBBE608F50F" descr="cid:860A692B-0696-4A30-ACBF-CCDE079424CF@home"/>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t="8269" b="7583"/>
                    <a:stretch/>
                  </pic:blipFill>
                  <pic:spPr bwMode="auto">
                    <a:xfrm>
                      <a:off x="0" y="0"/>
                      <a:ext cx="5486400" cy="6530421"/>
                    </a:xfrm>
                    <a:prstGeom prst="rect">
                      <a:avLst/>
                    </a:prstGeom>
                    <a:noFill/>
                    <a:ln>
                      <a:noFill/>
                    </a:ln>
                    <a:extLst>
                      <a:ext uri="{53640926-AAD7-44D8-BBD7-CCE9431645EC}">
                        <a14:shadowObscured xmlns:a14="http://schemas.microsoft.com/office/drawing/2010/main"/>
                      </a:ext>
                    </a:extLst>
                  </pic:spPr>
                </pic:pic>
              </a:graphicData>
            </a:graphic>
          </wp:inline>
        </w:drawing>
      </w:r>
    </w:p>
    <w:p w:rsidR="006E54C8" w:rsidRPr="00DD3F88" w:rsidRDefault="006E54C8" w:rsidP="00280AD4">
      <w:pPr>
        <w:pStyle w:val="CH3"/>
        <w:tabs>
          <w:tab w:val="left" w:pos="624"/>
          <w:tab w:val="right" w:pos="709"/>
          <w:tab w:val="left" w:pos="1871"/>
          <w:tab w:val="left" w:pos="2495"/>
          <w:tab w:val="left" w:pos="3119"/>
        </w:tabs>
        <w:ind w:hanging="680"/>
        <w:rPr>
          <w:rFonts w:eastAsia="Calibri"/>
          <w:lang w:val="en-GB"/>
        </w:rPr>
      </w:pPr>
    </w:p>
    <w:p w:rsidR="006E54C8" w:rsidRPr="00DD3F88" w:rsidRDefault="006E54C8" w:rsidP="00280AD4">
      <w:pPr>
        <w:pStyle w:val="CH3"/>
        <w:tabs>
          <w:tab w:val="left" w:pos="624"/>
          <w:tab w:val="right" w:pos="709"/>
          <w:tab w:val="left" w:pos="1871"/>
          <w:tab w:val="left" w:pos="2495"/>
          <w:tab w:val="left" w:pos="3119"/>
        </w:tabs>
        <w:ind w:hanging="680"/>
        <w:rPr>
          <w:rFonts w:eastAsia="Calibri"/>
          <w:lang w:val="en-GB"/>
        </w:rPr>
      </w:pPr>
      <w:r w:rsidRPr="00DD3F88">
        <w:rPr>
          <w:rFonts w:eastAsia="Calibri"/>
          <w:lang w:val="en-GB"/>
        </w:rPr>
        <w:t xml:space="preserve">2.1.4 </w:t>
      </w:r>
      <w:r w:rsidRPr="00DD3F88">
        <w:rPr>
          <w:rFonts w:eastAsia="Calibri"/>
          <w:lang w:val="en-GB"/>
        </w:rPr>
        <w:tab/>
        <w:t>Scoping by MEP, Bureau and experts</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 xml:space="preserve">If the Plenary decides to proceed with detailed scoping of an </w:t>
      </w:r>
      <w:proofErr w:type="gramStart"/>
      <w:r w:rsidRPr="00DD3F88">
        <w:rPr>
          <w:rFonts w:eastAsia="Calibri"/>
          <w:lang w:val="en-GB"/>
        </w:rPr>
        <w:t>assessment</w:t>
      </w:r>
      <w:proofErr w:type="gramEnd"/>
      <w:r w:rsidRPr="00DD3F88">
        <w:rPr>
          <w:rFonts w:eastAsia="Calibri"/>
          <w:lang w:val="en-GB"/>
        </w:rPr>
        <w:t xml:space="preserve"> then a call for nomination of experts to assist in the scoping process is made (see Figure 2.2). A detailed scoping document, overseen by the MEP and Bureau is developed by the group of experts. Typically, a meeting is convened where the scoping document is developed.  An electronic consultation can also take place with experts self-selecting themselves to participate.</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A detailed scoping document will usually consist of the following information:</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Scope (include policy relevant questions);</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Geographic boundaries of the assessment (if relevant);</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Rationale (including the potential impact of the assessment);</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Utility (including who the end users of the assessments are);</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Assumptions;</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lastRenderedPageBreak/>
        <w:t>Methodological approach;</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Chapter outline (including a short paragraph on the potential content for each chapter);</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Key Datasets (this is not an exhaustive list but rather key datasets which should be mobilised);</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Strategic partnerships and initiatives (this is not an exhaustive list but could either highlight the types of partnerships which will be required to deliver the assessment or include a short list key partners);</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Operational structure (includes if a technical support unit will be required);</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Process and timetable;</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Cost estimate;</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Communication and outreach;</w:t>
      </w:r>
    </w:p>
    <w:p w:rsidR="006E54C8" w:rsidRPr="00DD3F88" w:rsidRDefault="006E54C8" w:rsidP="00280AD4">
      <w:pPr>
        <w:numPr>
          <w:ilvl w:val="0"/>
          <w:numId w:val="21"/>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Capacity-building (highlights what capacity may be needed to undertake the assessment).</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 xml:space="preserve">Members and other stakeholders of IPBES can then be invited to review and comment on the draft detailed scoping report. Based on the results of the detailed scoping exercise </w:t>
      </w:r>
      <w:r w:rsidRPr="00DD3F88">
        <w:rPr>
          <w:rFonts w:eastAsia="Calibri"/>
          <w:spacing w:val="-2"/>
          <w:lang w:val="en-GB"/>
        </w:rPr>
        <w:t>and</w:t>
      </w:r>
      <w:r w:rsidRPr="00DD3F88">
        <w:rPr>
          <w:rFonts w:eastAsia="Calibri"/>
          <w:lang w:val="en-GB"/>
        </w:rPr>
        <w:t xml:space="preserve"> comments received </w:t>
      </w:r>
      <w:r w:rsidRPr="00DD3F88">
        <w:rPr>
          <w:rFonts w:eastAsia="Calibri"/>
          <w:spacing w:val="-2"/>
          <w:lang w:val="en-GB"/>
        </w:rPr>
        <w:t>from</w:t>
      </w:r>
      <w:r w:rsidRPr="00DD3F88">
        <w:rPr>
          <w:rFonts w:eastAsia="Calibri"/>
          <w:lang w:val="en-GB"/>
        </w:rPr>
        <w:t xml:space="preserve"> members of the Platform and other stakeholders, the MEP and</w:t>
      </w:r>
      <w:r w:rsidRPr="00DD3F88">
        <w:rPr>
          <w:rFonts w:eastAsia="Calibri"/>
          <w:spacing w:val="-2"/>
          <w:lang w:val="en-GB"/>
        </w:rPr>
        <w:t xml:space="preserve"> the </w:t>
      </w:r>
      <w:r w:rsidRPr="00DD3F88">
        <w:rPr>
          <w:rFonts w:eastAsia="Calibri"/>
          <w:lang w:val="en-GB"/>
        </w:rPr>
        <w:t xml:space="preserve">Bureau then decide whether to proceed with the submission of the scoping report to the Plenary. </w:t>
      </w:r>
    </w:p>
    <w:p w:rsidR="006E54C8" w:rsidRPr="00DD3F88" w:rsidRDefault="006E54C8" w:rsidP="00280AD4">
      <w:pPr>
        <w:pStyle w:val="CH3"/>
        <w:tabs>
          <w:tab w:val="left" w:pos="624"/>
          <w:tab w:val="left" w:pos="1871"/>
          <w:tab w:val="left" w:pos="2495"/>
          <w:tab w:val="left" w:pos="3119"/>
        </w:tabs>
        <w:ind w:hanging="680"/>
        <w:rPr>
          <w:rFonts w:eastAsia="Calibri"/>
          <w:lang w:val="en-GB"/>
        </w:rPr>
      </w:pPr>
      <w:r w:rsidRPr="00DD3F88">
        <w:rPr>
          <w:rFonts w:eastAsia="Calibri"/>
          <w:lang w:val="en-GB"/>
        </w:rPr>
        <w:t xml:space="preserve">2.1.5 </w:t>
      </w:r>
      <w:r w:rsidRPr="00DD3F88">
        <w:rPr>
          <w:rFonts w:eastAsia="Calibri"/>
          <w:lang w:val="en-GB"/>
        </w:rPr>
        <w:tab/>
        <w:t>Consideration by Plenary</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The draft detailed scoping document once finalized is presented to the Plenary, which examines it paragraph by paragraph. The Plenary can then decide between the following options:</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approve the assessment and request its undertaking (including related budget and timeline);</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 xml:space="preserve">approve the assessment but delay its undertaking; </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 xml:space="preserve">not approve and request further scoping; </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 xml:space="preserve">not approve. </w:t>
      </w:r>
    </w:p>
    <w:p w:rsidR="006E54C8" w:rsidRPr="00DD3F88" w:rsidRDefault="006E54C8" w:rsidP="00280AD4">
      <w:pPr>
        <w:pStyle w:val="CH2"/>
        <w:tabs>
          <w:tab w:val="clear" w:pos="851"/>
          <w:tab w:val="clear" w:pos="1247"/>
          <w:tab w:val="clear" w:pos="1814"/>
          <w:tab w:val="clear" w:pos="2381"/>
          <w:tab w:val="clear" w:pos="2948"/>
          <w:tab w:val="clear" w:pos="3515"/>
          <w:tab w:val="clear" w:pos="4082"/>
        </w:tabs>
        <w:ind w:left="624" w:firstLine="0"/>
        <w:rPr>
          <w:rFonts w:eastAsia="Calibri"/>
          <w:lang w:val="en-GB"/>
        </w:rPr>
      </w:pPr>
      <w:r w:rsidRPr="00DD3F88">
        <w:rPr>
          <w:rFonts w:eastAsia="Calibri"/>
          <w:lang w:val="en-GB"/>
        </w:rPr>
        <w:t>2.2</w:t>
      </w:r>
      <w:r w:rsidRPr="00DD3F88">
        <w:rPr>
          <w:rFonts w:eastAsia="Calibri"/>
          <w:lang w:val="en-GB"/>
        </w:rPr>
        <w:tab/>
        <w:t xml:space="preserve">Stage 2: </w:t>
      </w:r>
      <w:r w:rsidRPr="00DD3F88">
        <w:rPr>
          <w:rFonts w:eastAsia="Calibri"/>
          <w:spacing w:val="-2"/>
          <w:sz w:val="20"/>
          <w:szCs w:val="20"/>
          <w:lang w:val="en-GB"/>
        </w:rPr>
        <w:t>Expert evaluation of the state of knowledge</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6E54C8" w:rsidRPr="00DD3F88" w:rsidRDefault="006E54C8" w:rsidP="00280AD4">
      <w:pPr>
        <w:pStyle w:val="CH3"/>
        <w:tabs>
          <w:tab w:val="clear" w:pos="1814"/>
          <w:tab w:val="left" w:pos="624"/>
          <w:tab w:val="left" w:pos="1276"/>
          <w:tab w:val="left" w:pos="1871"/>
          <w:tab w:val="left" w:pos="2495"/>
          <w:tab w:val="left" w:pos="3119"/>
        </w:tabs>
        <w:ind w:left="567" w:hanging="680"/>
        <w:rPr>
          <w:rFonts w:eastAsia="Calibri"/>
          <w:lang w:val="en-GB"/>
        </w:rPr>
      </w:pPr>
      <w:r w:rsidRPr="00DD3F88">
        <w:rPr>
          <w:rFonts w:eastAsia="Calibri"/>
          <w:lang w:val="en-GB"/>
        </w:rPr>
        <w:tab/>
        <w:t xml:space="preserve"> </w:t>
      </w:r>
      <w:r w:rsidRPr="00DD3F88">
        <w:rPr>
          <w:rFonts w:eastAsia="Calibri"/>
          <w:lang w:val="en-GB"/>
        </w:rPr>
        <w:tab/>
        <w:t>2.2.1</w:t>
      </w:r>
      <w:r w:rsidRPr="00DD3F88">
        <w:rPr>
          <w:rFonts w:eastAsia="Calibri"/>
          <w:lang w:val="en-GB"/>
        </w:rPr>
        <w:tab/>
        <w:t>Nomination of experts by members and observers and selection by the MEP</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The Rules of Procedure for IPBES set out the nomination process for the</w:t>
      </w:r>
      <w:r w:rsidRPr="00DD3F88">
        <w:rPr>
          <w:rFonts w:eastAsia="Calibri"/>
          <w:spacing w:val="-2"/>
          <w:lang w:val="en-GB"/>
        </w:rPr>
        <w:t xml:space="preserve"> different</w:t>
      </w:r>
      <w:r w:rsidRPr="00DD3F88">
        <w:rPr>
          <w:rFonts w:eastAsia="Calibri"/>
          <w:lang w:val="en-GB"/>
        </w:rPr>
        <w:t xml:space="preserve"> roles within an IPBES assessment (see </w:t>
      </w:r>
      <w:r w:rsidRPr="00DD3F88">
        <w:rPr>
          <w:lang w:val="en-GB"/>
        </w:rPr>
        <w:t>IPBES/2/17 and Annex I to decision IPBES-4/3</w:t>
      </w:r>
      <w:r w:rsidRPr="00DD3F88">
        <w:rPr>
          <w:rFonts w:eastAsia="Calibri"/>
          <w:lang w:val="en-GB"/>
        </w:rPr>
        <w:t xml:space="preserve">) and are summarised in Table 1. The chair of IPBES, following the Plenary which requested the undertaking of an assessment, issues a call for nomination, explaining some of the requirements, particularly in terms of disciplines to cover all chapters of the assessment. Governments and observers are invited to nominate independent experts and fellows </w:t>
      </w:r>
      <w:proofErr w:type="gramStart"/>
      <w:r w:rsidRPr="00DD3F88">
        <w:rPr>
          <w:rFonts w:eastAsia="Calibri"/>
          <w:lang w:val="en-GB"/>
        </w:rPr>
        <w:t>From</w:t>
      </w:r>
      <w:proofErr w:type="gramEnd"/>
      <w:r w:rsidRPr="00DD3F88">
        <w:rPr>
          <w:rFonts w:eastAsia="Calibri"/>
          <w:lang w:val="en-GB"/>
        </w:rPr>
        <w:t xml:space="preserve"> the nominations received the MEP will select the report co-chairs, coordinating lead authors (CLA), lead authors (LA) and</w:t>
      </w:r>
      <w:r w:rsidRPr="00DD3F88">
        <w:rPr>
          <w:rFonts w:eastAsia="Calibri"/>
          <w:spacing w:val="-2"/>
          <w:lang w:val="en-GB"/>
        </w:rPr>
        <w:t xml:space="preserve"> review</w:t>
      </w:r>
      <w:r w:rsidRPr="00DD3F88">
        <w:rPr>
          <w:rFonts w:eastAsia="Calibri"/>
          <w:lang w:val="en-GB"/>
        </w:rPr>
        <w:t xml:space="preserve"> editors (RE). The MEP will take the following into consideration when making these selections:</w:t>
      </w:r>
    </w:p>
    <w:p w:rsidR="006E54C8" w:rsidRPr="00DD3F88" w:rsidRDefault="006E54C8" w:rsidP="00280AD4">
      <w:pPr>
        <w:numPr>
          <w:ilvl w:val="0"/>
          <w:numId w:val="22"/>
        </w:numPr>
        <w:tabs>
          <w:tab w:val="clear" w:pos="1814"/>
          <w:tab w:val="clear" w:pos="2381"/>
          <w:tab w:val="clear" w:pos="2948"/>
          <w:tab w:val="clear" w:pos="3515"/>
          <w:tab w:val="left" w:pos="624"/>
          <w:tab w:val="left" w:pos="709"/>
          <w:tab w:val="left" w:pos="1871"/>
          <w:tab w:val="left" w:pos="2495"/>
          <w:tab w:val="left" w:pos="3119"/>
        </w:tabs>
        <w:spacing w:after="120"/>
        <w:ind w:left="1871" w:hanging="624"/>
        <w:rPr>
          <w:rFonts w:eastAsia="Calibri"/>
          <w:lang w:val="en-GB"/>
        </w:rPr>
      </w:pPr>
      <w:r w:rsidRPr="00DD3F88">
        <w:rPr>
          <w:lang w:val="en-GB"/>
        </w:rPr>
        <w:t>80% of the selected experts should be nominated by governments, and 20% by an organization;</w:t>
      </w:r>
    </w:p>
    <w:p w:rsidR="006E54C8" w:rsidRPr="00DD3F88" w:rsidRDefault="006E54C8" w:rsidP="00280AD4">
      <w:pPr>
        <w:numPr>
          <w:ilvl w:val="0"/>
          <w:numId w:val="22"/>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 xml:space="preserve">The selection should reflect a range of </w:t>
      </w:r>
      <w:r w:rsidRPr="00DD3F88">
        <w:rPr>
          <w:lang w:val="en-GB"/>
        </w:rPr>
        <w:t xml:space="preserve">scientific, technical and socio-economic views and </w:t>
      </w:r>
      <w:r w:rsidRPr="00DD3F88">
        <w:rPr>
          <w:rFonts w:eastAsia="Calibri"/>
          <w:lang w:val="en-GB"/>
        </w:rPr>
        <w:t>expertise (</w:t>
      </w:r>
      <w:proofErr w:type="spellStart"/>
      <w:r w:rsidRPr="00DD3F88">
        <w:rPr>
          <w:rFonts w:eastAsia="Calibri"/>
          <w:lang w:val="en-GB"/>
        </w:rPr>
        <w:t>e.g</w:t>
      </w:r>
      <w:proofErr w:type="spellEnd"/>
      <w:r w:rsidRPr="00DD3F88">
        <w:rPr>
          <w:rFonts w:eastAsia="Calibri"/>
          <w:lang w:val="en-GB"/>
        </w:rPr>
        <w:t xml:space="preserve"> natural and social sciences, scholars from the humanities, knowledge holders and experts in ILK);</w:t>
      </w:r>
    </w:p>
    <w:p w:rsidR="006E54C8" w:rsidRPr="00DD3F88" w:rsidRDefault="006E54C8" w:rsidP="00280AD4">
      <w:pPr>
        <w:numPr>
          <w:ilvl w:val="0"/>
          <w:numId w:val="22"/>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The selection should have a good geographic representation, with appropriate representation of experts from developing and developed countries and countries with economies in transition;</w:t>
      </w:r>
    </w:p>
    <w:p w:rsidR="006E54C8" w:rsidRPr="00DD3F88" w:rsidRDefault="006E54C8" w:rsidP="00280AD4">
      <w:pPr>
        <w:numPr>
          <w:ilvl w:val="0"/>
          <w:numId w:val="22"/>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The diversity of knowledge systems (including indigenous and local knowledge) should be represented;</w:t>
      </w:r>
    </w:p>
    <w:p w:rsidR="006E54C8" w:rsidRPr="00DD3F88" w:rsidRDefault="006E54C8" w:rsidP="00280AD4">
      <w:pPr>
        <w:numPr>
          <w:ilvl w:val="0"/>
          <w:numId w:val="22"/>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lang w:val="en-GB"/>
        </w:rPr>
        <w:t>The selection should aim at reaching gender balance.</w:t>
      </w:r>
    </w:p>
    <w:p w:rsidR="006E54C8" w:rsidRPr="00DD3F88" w:rsidRDefault="006E54C8" w:rsidP="00280AD4">
      <w:pPr>
        <w:tabs>
          <w:tab w:val="left" w:pos="624"/>
          <w:tab w:val="left" w:pos="1871"/>
          <w:tab w:val="left" w:pos="2495"/>
          <w:tab w:val="left" w:pos="3119"/>
        </w:tabs>
        <w:spacing w:after="120"/>
        <w:ind w:left="1247"/>
        <w:rPr>
          <w:rFonts w:eastAsia="Times New Roman"/>
          <w:lang w:val="en-GB"/>
        </w:rPr>
      </w:pPr>
      <w:r w:rsidRPr="00DD3F88">
        <w:rPr>
          <w:lang w:val="en-GB"/>
        </w:rPr>
        <w:t xml:space="preserve">While every effort should be made to engage experts from the relevant region on the author teams for chapters or assessments that deal with specific regions, experts from other regions can be engaged when they can provide an important contribution to the assessment. If gaps in geographical, gender and expertise balance are identified, the co-chairs of the assessments together with their respective CLAs can identify potential additional experts to fill in these gaps. These experts will then be retroactively nominated following the approved procedure for </w:t>
      </w:r>
      <w:r w:rsidRPr="00DD3F88">
        <w:rPr>
          <w:b/>
          <w:lang w:val="en-GB"/>
        </w:rPr>
        <w:t>filling gaps</w:t>
      </w:r>
      <w:r w:rsidRPr="00DD3F88">
        <w:rPr>
          <w:lang w:val="en-GB"/>
        </w:rPr>
        <w:t xml:space="preserve"> among groups of experts approved by the fourth session of the Plenary (see IPBES/4/19, page 107).</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lastRenderedPageBreak/>
        <w:t xml:space="preserve">MEP or Bureau members that would like to participate as an expert in an assessment can be nominated for such a role, but they will have to resign from their duties as MEP or Bureau member when accepting the new role. </w:t>
      </w:r>
    </w:p>
    <w:p w:rsidR="006E54C8" w:rsidRPr="00DD3F88" w:rsidRDefault="006E54C8" w:rsidP="00280AD4">
      <w:pPr>
        <w:tabs>
          <w:tab w:val="left" w:pos="624"/>
          <w:tab w:val="left" w:pos="1871"/>
          <w:tab w:val="left" w:pos="2495"/>
          <w:tab w:val="left" w:pos="3119"/>
        </w:tabs>
        <w:spacing w:after="120"/>
        <w:ind w:left="1247"/>
        <w:rPr>
          <w:rFonts w:asciiTheme="majorBidi" w:hAnsiTheme="majorBidi" w:cstheme="majorBidi"/>
          <w:b/>
          <w:bCs/>
          <w:sz w:val="18"/>
          <w:szCs w:val="16"/>
          <w:lang w:val="en-GB"/>
        </w:rPr>
      </w:pPr>
      <w:r w:rsidRPr="00DD3F88">
        <w:rPr>
          <w:rFonts w:eastAsia="Calibri"/>
          <w:lang w:val="en-GB"/>
        </w:rPr>
        <w:t>The co-chairs, CLAs, LAs, Review Editors, Fellows and Contributing Authors (CAs) have different responsibilities within a particular IPBES assessment. Each role in an Assessments not only has a specific nomination process but have different responsibilities within a particular IPBES assessment (Table 2.1). These roles are further described in Table 2.2.</w:t>
      </w:r>
    </w:p>
    <w:p w:rsidR="006E54C8" w:rsidRPr="00DD3F88" w:rsidRDefault="006E54C8" w:rsidP="00280AD4">
      <w:pPr>
        <w:pStyle w:val="Caption"/>
        <w:keepNext/>
        <w:tabs>
          <w:tab w:val="left" w:pos="624"/>
          <w:tab w:val="left" w:pos="1247"/>
          <w:tab w:val="left" w:pos="1871"/>
          <w:tab w:val="left" w:pos="2495"/>
          <w:tab w:val="left" w:pos="3119"/>
        </w:tabs>
        <w:rPr>
          <w:rFonts w:asciiTheme="majorBidi" w:hAnsiTheme="majorBidi" w:cstheme="majorBidi"/>
          <w:sz w:val="18"/>
          <w:szCs w:val="16"/>
        </w:rPr>
      </w:pPr>
      <w:r w:rsidRPr="00DD3F88">
        <w:rPr>
          <w:rFonts w:asciiTheme="majorBidi" w:hAnsiTheme="majorBidi" w:cstheme="majorBidi"/>
          <w:b/>
          <w:bCs/>
          <w:sz w:val="18"/>
          <w:szCs w:val="16"/>
        </w:rPr>
        <w:t>Table</w:t>
      </w:r>
      <w:r w:rsidRPr="00DD3F88">
        <w:rPr>
          <w:rFonts w:asciiTheme="majorBidi" w:hAnsiTheme="majorBidi" w:cstheme="majorBidi"/>
          <w:b/>
          <w:bCs/>
          <w:noProof/>
          <w:sz w:val="18"/>
          <w:szCs w:val="16"/>
        </w:rPr>
        <w:t xml:space="preserve"> 2.1</w:t>
      </w:r>
      <w:r w:rsidRPr="00DD3F88">
        <w:rPr>
          <w:rFonts w:asciiTheme="majorBidi" w:hAnsiTheme="majorBidi" w:cstheme="majorBidi"/>
          <w:noProof/>
          <w:sz w:val="18"/>
          <w:szCs w:val="16"/>
        </w:rPr>
        <w:t>. Nomination and selection processes for different roles in assessments.</w:t>
      </w:r>
    </w:p>
    <w:tbl>
      <w:tblPr>
        <w:tblStyle w:val="ListTable3-Accent51"/>
        <w:tblpPr w:leftFromText="180" w:rightFromText="180" w:vertAnchor="page" w:horzAnchor="margin" w:tblpY="3320"/>
        <w:tblW w:w="9493" w:type="dxa"/>
        <w:tblInd w:w="0" w:type="dxa"/>
        <w:tblLook w:val="04A0" w:firstRow="1" w:lastRow="0" w:firstColumn="1" w:lastColumn="0" w:noHBand="0" w:noVBand="1"/>
      </w:tblPr>
      <w:tblGrid>
        <w:gridCol w:w="3543"/>
        <w:gridCol w:w="5950"/>
      </w:tblGrid>
      <w:tr w:rsidR="006E54C8" w:rsidRPr="00DD3F88" w:rsidTr="00280AD4">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4472C4"/>
              <w:left w:val="single" w:sz="4" w:space="0" w:color="4472C4"/>
            </w:tcBorders>
            <w:shd w:val="clear" w:color="auto" w:fill="244061" w:themeFill="accent1" w:themeFillShade="80"/>
            <w:hideMark/>
          </w:tcPr>
          <w:p w:rsidR="006E54C8" w:rsidRPr="00DD3F88" w:rsidRDefault="006E54C8" w:rsidP="00280AD4">
            <w:pPr>
              <w:tabs>
                <w:tab w:val="left" w:pos="624"/>
                <w:tab w:val="left" w:pos="1871"/>
                <w:tab w:val="left" w:pos="2495"/>
                <w:tab w:val="left" w:pos="3119"/>
              </w:tabs>
              <w:spacing w:before="120" w:after="120"/>
              <w:rPr>
                <w:rFonts w:eastAsia="Calibri"/>
                <w:bCs w:val="0"/>
                <w:sz w:val="18"/>
                <w:szCs w:val="18"/>
                <w:lang w:val="en-GB"/>
              </w:rPr>
            </w:pPr>
            <w:r w:rsidRPr="00DD3F88">
              <w:rPr>
                <w:rFonts w:eastAsia="Calibri"/>
                <w:bCs w:val="0"/>
                <w:sz w:val="18"/>
                <w:szCs w:val="18"/>
                <w:lang w:val="en-GB"/>
              </w:rPr>
              <w:t>Role in Assessment</w:t>
            </w:r>
          </w:p>
        </w:tc>
        <w:tc>
          <w:tcPr>
            <w:tcW w:w="0" w:type="dxa"/>
            <w:tcBorders>
              <w:top w:val="single" w:sz="4" w:space="0" w:color="4472C4"/>
              <w:left w:val="nil"/>
              <w:bottom w:val="nil"/>
              <w:right w:val="single" w:sz="4" w:space="0" w:color="4472C4"/>
            </w:tcBorders>
            <w:shd w:val="clear" w:color="auto" w:fill="244061" w:themeFill="accent1" w:themeFillShade="80"/>
            <w:hideMark/>
          </w:tcPr>
          <w:p w:rsidR="006E54C8" w:rsidRPr="00DD3F88" w:rsidRDefault="006E54C8" w:rsidP="00280AD4">
            <w:pPr>
              <w:tabs>
                <w:tab w:val="left" w:pos="624"/>
                <w:tab w:val="left" w:pos="1871"/>
                <w:tab w:val="left" w:pos="2495"/>
                <w:tab w:val="left" w:pos="3119"/>
              </w:tabs>
              <w:spacing w:before="120" w:after="120"/>
              <w:cnfStyle w:val="100000000000" w:firstRow="1" w:lastRow="0" w:firstColumn="0" w:lastColumn="0" w:oddVBand="0" w:evenVBand="0" w:oddHBand="0"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Nomination and selection process</w:t>
            </w:r>
          </w:p>
        </w:tc>
      </w:tr>
      <w:tr w:rsidR="006E54C8" w:rsidRPr="00FA50AA" w:rsidTr="00280AD4">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120" w:after="12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The Management Committees</w:t>
            </w:r>
          </w:p>
        </w:tc>
        <w:tc>
          <w:tcPr>
            <w:tcW w:w="0" w:type="dxa"/>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pacing w:val="-1"/>
                <w:sz w:val="18"/>
                <w:szCs w:val="18"/>
                <w:lang w:val="en-GB" w:bidi="en-US"/>
              </w:rPr>
            </w:pPr>
            <w:r w:rsidRPr="00DD3F88">
              <w:rPr>
                <w:rFonts w:asciiTheme="majorBidi" w:eastAsia="Calibri" w:hAnsiTheme="majorBidi" w:cstheme="majorBidi"/>
                <w:sz w:val="18"/>
                <w:szCs w:val="18"/>
                <w:lang w:val="en-GB"/>
              </w:rPr>
              <w:t xml:space="preserve">The management committees of the assessments </w:t>
            </w:r>
            <w:proofErr w:type="gramStart"/>
            <w:r w:rsidRPr="00DD3F88">
              <w:rPr>
                <w:rFonts w:asciiTheme="majorBidi" w:eastAsia="Calibri" w:hAnsiTheme="majorBidi" w:cstheme="majorBidi"/>
                <w:sz w:val="18"/>
                <w:szCs w:val="18"/>
                <w:lang w:val="en-GB"/>
              </w:rPr>
              <w:t>consists</w:t>
            </w:r>
            <w:proofErr w:type="gramEnd"/>
            <w:r w:rsidRPr="00DD3F88">
              <w:rPr>
                <w:rFonts w:asciiTheme="majorBidi" w:eastAsia="Calibri" w:hAnsiTheme="majorBidi" w:cstheme="majorBidi"/>
                <w:sz w:val="18"/>
                <w:szCs w:val="18"/>
                <w:lang w:val="en-GB"/>
              </w:rPr>
              <w:t xml:space="preserve"> of the co-chairs of the assessment, appointed members of MEP and bureau and representatives of the responsible technical support unit and secretariat. </w:t>
            </w:r>
          </w:p>
        </w:tc>
      </w:tr>
      <w:tr w:rsidR="006E54C8" w:rsidRPr="00FA50AA" w:rsidTr="00280AD4">
        <w:trPr>
          <w:trHeight w:val="2131"/>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120" w:after="120"/>
              <w:rPr>
                <w:rFonts w:eastAsia="Calibri"/>
                <w:bCs w:val="0"/>
                <w:sz w:val="18"/>
                <w:szCs w:val="18"/>
                <w:lang w:val="en-GB"/>
              </w:rPr>
            </w:pPr>
            <w:r w:rsidRPr="00DD3F88">
              <w:rPr>
                <w:rFonts w:eastAsia="Calibri"/>
                <w:bCs w:val="0"/>
                <w:sz w:val="18"/>
                <w:szCs w:val="18"/>
                <w:lang w:val="en-GB"/>
              </w:rPr>
              <w:t>Assessment co-chairs</w:t>
            </w:r>
          </w:p>
        </w:tc>
        <w:tc>
          <w:tcPr>
            <w:tcW w:w="0" w:type="dxa"/>
            <w:vMerge w:val="restart"/>
            <w:tcBorders>
              <w:top w:val="nil"/>
              <w:left w:val="nil"/>
              <w:bottom w:val="single" w:sz="4" w:space="0" w:color="4472C4"/>
              <w:right w:val="single" w:sz="4" w:space="0" w:color="4472C4"/>
            </w:tcBorders>
            <w:hideMark/>
          </w:tcPr>
          <w:p w:rsidR="006E54C8" w:rsidRPr="00DD3F88" w:rsidRDefault="006E54C8" w:rsidP="00280AD4">
            <w:pPr>
              <w:tabs>
                <w:tab w:val="left" w:pos="624"/>
                <w:tab w:val="left" w:pos="1871"/>
                <w:tab w:val="left" w:pos="2495"/>
                <w:tab w:val="left" w:pos="3119"/>
              </w:tabs>
              <w:spacing w:before="120" w:after="120"/>
              <w:cnfStyle w:val="000000000000" w:firstRow="0" w:lastRow="0" w:firstColumn="0" w:lastColumn="0" w:oddVBand="0" w:evenVBand="0" w:oddHBand="0"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Governments, the scientific community and other stakeholders are able to nominate appropriate experts for the roles of Co-chairs, CLAs, LAs and review editors in response to requests from the Chair of IPBES.</w:t>
            </w:r>
          </w:p>
          <w:p w:rsidR="006E54C8" w:rsidRPr="00DD3F88" w:rsidRDefault="006E54C8" w:rsidP="00280AD4">
            <w:pPr>
              <w:tabs>
                <w:tab w:val="left" w:pos="624"/>
                <w:tab w:val="left" w:pos="1871"/>
                <w:tab w:val="left" w:pos="2495"/>
                <w:tab w:val="left" w:pos="3119"/>
              </w:tabs>
              <w:spacing w:before="120" w:after="120"/>
              <w:cnfStyle w:val="000000000000" w:firstRow="0" w:lastRow="0" w:firstColumn="0" w:lastColumn="0" w:oddVBand="0" w:evenVBand="0" w:oddHBand="0"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In addition to a call for nominations Members of the Multidisciplinary Expert Panel and the Bureau will contribute, as necessary, to identifying relevant experts to ensure appropriate representation from developing and developed countries and countries with economies in transition as well as an appropriate diversity of expertise and disciplines, gender balance and representation from ILK holders.</w:t>
            </w:r>
            <w:r w:rsidRPr="00DD3F88">
              <w:rPr>
                <w:rFonts w:eastAsia="Calibri"/>
                <w:sz w:val="18"/>
                <w:szCs w:val="18"/>
                <w:lang w:val="en-GB"/>
              </w:rPr>
              <w:t xml:space="preserve"> </w:t>
            </w:r>
            <w:r w:rsidRPr="00DD3F88">
              <w:rPr>
                <w:rFonts w:eastAsia="Calibri"/>
                <w:spacing w:val="-1"/>
                <w:sz w:val="18"/>
                <w:szCs w:val="18"/>
                <w:lang w:val="en-GB" w:bidi="en-US"/>
              </w:rPr>
              <w:t xml:space="preserve">If the pool of original nominations is not balanced enough, additional nominations can be initiated by the procedure for filling gaps among groups of experts (Annex I to decision IPBES-4/3).  </w:t>
            </w:r>
          </w:p>
          <w:p w:rsidR="006E54C8" w:rsidRPr="00DD3F88" w:rsidRDefault="006E54C8" w:rsidP="00280AD4">
            <w:pPr>
              <w:tabs>
                <w:tab w:val="left" w:pos="624"/>
                <w:tab w:val="left" w:pos="1871"/>
                <w:tab w:val="left" w:pos="2495"/>
                <w:tab w:val="left" w:pos="3119"/>
              </w:tabs>
              <w:spacing w:before="120" w:after="120"/>
              <w:cnfStyle w:val="000000000000" w:firstRow="0" w:lastRow="0" w:firstColumn="0" w:lastColumn="0" w:oddVBand="0" w:evenVBand="0" w:oddHBand="0"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Nominations will be compiled in lists that are made available to all Platform members and other stakeholders and maintained by the Platform secretariat. Experts with the most relevant knowledge, expertise and experience may only be chosen once an assessment topic has been fully scoped.</w:t>
            </w:r>
          </w:p>
          <w:p w:rsidR="006E54C8" w:rsidRPr="00DD3F88" w:rsidRDefault="006E54C8" w:rsidP="00280AD4">
            <w:pPr>
              <w:tabs>
                <w:tab w:val="left" w:pos="624"/>
                <w:tab w:val="left" w:pos="1871"/>
                <w:tab w:val="left" w:pos="2495"/>
                <w:tab w:val="left" w:pos="3119"/>
              </w:tabs>
              <w:spacing w:before="120" w:after="120"/>
              <w:cnfStyle w:val="000000000000" w:firstRow="0" w:lastRow="0" w:firstColumn="0" w:lastColumn="0" w:oddVBand="0" w:evenVBand="0" w:oddHBand="0"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Every effort should be made to engage experts from the relevant region on the author teams for chapters that deal with specific regions, but experts from countries outside the region should be engaged when they can provide an important contribution to the assessment.</w:t>
            </w:r>
          </w:p>
          <w:p w:rsidR="006E54C8" w:rsidRPr="00DD3F88" w:rsidRDefault="006E54C8" w:rsidP="00280AD4">
            <w:pPr>
              <w:tabs>
                <w:tab w:val="left" w:pos="624"/>
                <w:tab w:val="left" w:pos="1871"/>
                <w:tab w:val="left" w:pos="2495"/>
                <w:tab w:val="left" w:pos="3119"/>
              </w:tabs>
              <w:spacing w:before="120" w:after="120"/>
              <w:cnfStyle w:val="000000000000" w:firstRow="0" w:lastRow="0" w:firstColumn="0" w:lastColumn="0" w:oddVBand="0" w:evenVBand="0" w:oddHBand="0"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The nomination process will follow these steps:</w:t>
            </w:r>
          </w:p>
          <w:p w:rsidR="006E54C8" w:rsidRPr="00DD3F88" w:rsidRDefault="006E54C8" w:rsidP="00280AD4">
            <w:pPr>
              <w:pStyle w:val="NormalNonumber"/>
              <w:numPr>
                <w:ilvl w:val="0"/>
                <w:numId w:val="23"/>
              </w:numPr>
              <w:tabs>
                <w:tab w:val="clear" w:pos="1814"/>
                <w:tab w:val="clear" w:pos="2381"/>
                <w:tab w:val="clear" w:pos="2948"/>
                <w:tab w:val="clear" w:pos="3515"/>
                <w:tab w:val="clear" w:pos="4082"/>
                <w:tab w:val="left" w:pos="624"/>
                <w:tab w:val="left" w:pos="1871"/>
                <w:tab w:val="left" w:pos="2495"/>
                <w:tab w:val="left" w:pos="3119"/>
              </w:tabs>
              <w:spacing w:before="12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bidi="en-US"/>
              </w:rPr>
            </w:pPr>
            <w:r w:rsidRPr="00DD3F88">
              <w:rPr>
                <w:rFonts w:eastAsia="Calibri"/>
                <w:sz w:val="18"/>
                <w:szCs w:val="18"/>
                <w:lang w:val="en-GB" w:bidi="en-US"/>
              </w:rPr>
              <w:t xml:space="preserve">Nominees will be invited to fill out an Application form and attach their Curricula Vitae through the dedicated web portal; </w:t>
            </w:r>
          </w:p>
          <w:p w:rsidR="006E54C8" w:rsidRPr="00DD3F88" w:rsidRDefault="006E54C8" w:rsidP="00280AD4">
            <w:pPr>
              <w:pStyle w:val="NormalNonumber"/>
              <w:numPr>
                <w:ilvl w:val="0"/>
                <w:numId w:val="23"/>
              </w:numPr>
              <w:tabs>
                <w:tab w:val="clear" w:pos="1814"/>
                <w:tab w:val="clear" w:pos="2381"/>
                <w:tab w:val="clear" w:pos="2948"/>
                <w:tab w:val="clear" w:pos="3515"/>
                <w:tab w:val="clear" w:pos="4082"/>
                <w:tab w:val="left" w:pos="624"/>
                <w:tab w:val="left" w:pos="1871"/>
                <w:tab w:val="left" w:pos="2495"/>
                <w:tab w:val="left" w:pos="3119"/>
              </w:tabs>
              <w:spacing w:before="120"/>
              <w:ind w:left="568" w:hanging="284"/>
              <w:cnfStyle w:val="000000000000" w:firstRow="0" w:lastRow="0" w:firstColumn="0" w:lastColumn="0" w:oddVBand="0" w:evenVBand="0" w:oddHBand="0" w:evenHBand="0" w:firstRowFirstColumn="0" w:firstRowLastColumn="0" w:lastRowFirstColumn="0" w:lastRowLastColumn="0"/>
              <w:rPr>
                <w:rFonts w:eastAsia="Calibri"/>
                <w:bCs/>
                <w:sz w:val="18"/>
                <w:szCs w:val="18"/>
                <w:lang w:val="en-GB"/>
              </w:rPr>
            </w:pPr>
            <w:r w:rsidRPr="00DD3F88">
              <w:rPr>
                <w:rFonts w:eastAsia="Calibri"/>
                <w:bCs/>
                <w:sz w:val="18"/>
                <w:szCs w:val="18"/>
                <w:lang w:val="en-GB"/>
              </w:rPr>
              <w:t>The Application Form will automatically be sent to the Nominating Government or Organisation (Nominator) indicated by the Nominees with an email which will provide a link to a Nomination Form inviting the Nominators to approve and submit their nominations;</w:t>
            </w:r>
          </w:p>
          <w:p w:rsidR="006E54C8" w:rsidRPr="00DD3F88" w:rsidRDefault="006E54C8" w:rsidP="00280AD4">
            <w:pPr>
              <w:pStyle w:val="NormalNonumber"/>
              <w:numPr>
                <w:ilvl w:val="0"/>
                <w:numId w:val="23"/>
              </w:numPr>
              <w:tabs>
                <w:tab w:val="clear" w:pos="1814"/>
                <w:tab w:val="clear" w:pos="2381"/>
                <w:tab w:val="clear" w:pos="2948"/>
                <w:tab w:val="clear" w:pos="3515"/>
                <w:tab w:val="clear" w:pos="4082"/>
                <w:tab w:val="left" w:pos="624"/>
                <w:tab w:val="left" w:pos="1871"/>
                <w:tab w:val="left" w:pos="2495"/>
                <w:tab w:val="left" w:pos="3119"/>
              </w:tabs>
              <w:spacing w:before="120"/>
              <w:ind w:left="568" w:hanging="284"/>
              <w:cnfStyle w:val="000000000000" w:firstRow="0" w:lastRow="0" w:firstColumn="0" w:lastColumn="0" w:oddVBand="0" w:evenVBand="0" w:oddHBand="0" w:evenHBand="0" w:firstRowFirstColumn="0" w:firstRowLastColumn="0" w:lastRowFirstColumn="0" w:lastRowLastColumn="0"/>
              <w:rPr>
                <w:rFonts w:eastAsia="Calibri"/>
                <w:bCs/>
                <w:sz w:val="18"/>
                <w:szCs w:val="18"/>
                <w:lang w:val="en-GB"/>
              </w:rPr>
            </w:pPr>
            <w:r w:rsidRPr="00DD3F88">
              <w:rPr>
                <w:rFonts w:eastAsia="Calibri"/>
                <w:bCs/>
                <w:sz w:val="18"/>
                <w:szCs w:val="18"/>
                <w:lang w:val="en-GB"/>
              </w:rPr>
              <w:t>Nominators and Nominees will receive an acknowledgement message once the Nomination Form confirming the nomination is submitted.</w:t>
            </w:r>
          </w:p>
        </w:tc>
      </w:tr>
      <w:tr w:rsidR="006E54C8" w:rsidRPr="00DD3F88" w:rsidTr="00280AD4">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120" w:after="120"/>
              <w:rPr>
                <w:rFonts w:eastAsia="Calibri"/>
                <w:bCs w:val="0"/>
                <w:sz w:val="18"/>
                <w:szCs w:val="18"/>
                <w:lang w:val="en-GB"/>
              </w:rPr>
            </w:pPr>
            <w:r w:rsidRPr="00DD3F88">
              <w:rPr>
                <w:rFonts w:eastAsia="Calibri"/>
                <w:bCs w:val="0"/>
                <w:sz w:val="18"/>
                <w:szCs w:val="18"/>
                <w:lang w:val="en-GB"/>
              </w:rPr>
              <w:t>Coordinating Lead Authors (CLA)</w:t>
            </w:r>
          </w:p>
        </w:tc>
        <w:tc>
          <w:tcPr>
            <w:tcW w:w="0" w:type="auto"/>
            <w:vMerge/>
            <w:tcBorders>
              <w:top w:val="nil"/>
              <w:left w:val="nil"/>
              <w:right w:val="single" w:sz="4" w:space="0" w:color="4472C4"/>
            </w:tcBorders>
            <w:vAlign w:val="center"/>
            <w:hideMark/>
          </w:tcPr>
          <w:p w:rsidR="006E54C8" w:rsidRPr="00DD3F88" w:rsidRDefault="006E54C8" w:rsidP="00280AD4">
            <w:pPr>
              <w:tabs>
                <w:tab w:val="left" w:pos="624"/>
                <w:tab w:val="left" w:pos="1871"/>
                <w:tab w:val="left" w:pos="2495"/>
                <w:tab w:val="left" w:pos="3119"/>
              </w:tabs>
              <w:cnfStyle w:val="000000100000" w:firstRow="0" w:lastRow="0" w:firstColumn="0" w:lastColumn="0" w:oddVBand="0" w:evenVBand="0" w:oddHBand="1" w:evenHBand="0" w:firstRowFirstColumn="0" w:firstRowLastColumn="0" w:lastRowFirstColumn="0" w:lastRowLastColumn="0"/>
              <w:rPr>
                <w:rFonts w:eastAsia="Calibri"/>
                <w:bCs/>
                <w:sz w:val="18"/>
                <w:szCs w:val="18"/>
                <w:lang w:val="en-GB"/>
              </w:rPr>
            </w:pPr>
          </w:p>
        </w:tc>
      </w:tr>
      <w:tr w:rsidR="006E54C8" w:rsidRPr="00DD3F88" w:rsidTr="00280AD4">
        <w:trPr>
          <w:trHeight w:val="581"/>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120" w:after="120"/>
              <w:rPr>
                <w:rFonts w:eastAsia="Calibri"/>
                <w:bCs w:val="0"/>
                <w:sz w:val="18"/>
                <w:szCs w:val="18"/>
                <w:lang w:val="en-GB"/>
              </w:rPr>
            </w:pPr>
            <w:r w:rsidRPr="00DD3F88">
              <w:rPr>
                <w:rFonts w:eastAsia="Calibri"/>
                <w:bCs w:val="0"/>
                <w:sz w:val="18"/>
                <w:szCs w:val="18"/>
                <w:lang w:val="en-GB"/>
              </w:rPr>
              <w:t>Lead Author (LA)</w:t>
            </w:r>
          </w:p>
        </w:tc>
        <w:tc>
          <w:tcPr>
            <w:tcW w:w="0" w:type="auto"/>
            <w:vMerge/>
            <w:tcBorders>
              <w:top w:val="nil"/>
              <w:left w:val="nil"/>
              <w:bottom w:val="single" w:sz="4" w:space="0" w:color="4472C4"/>
              <w:right w:val="single" w:sz="4" w:space="0" w:color="4472C4"/>
            </w:tcBorders>
            <w:vAlign w:val="center"/>
            <w:hideMark/>
          </w:tcPr>
          <w:p w:rsidR="006E54C8" w:rsidRPr="00DD3F88" w:rsidRDefault="006E54C8" w:rsidP="00280AD4">
            <w:pPr>
              <w:tabs>
                <w:tab w:val="left" w:pos="624"/>
                <w:tab w:val="left" w:pos="1871"/>
                <w:tab w:val="left" w:pos="2495"/>
                <w:tab w:val="left" w:pos="3119"/>
              </w:tabs>
              <w:cnfStyle w:val="000000000000" w:firstRow="0" w:lastRow="0" w:firstColumn="0" w:lastColumn="0" w:oddVBand="0" w:evenVBand="0" w:oddHBand="0" w:evenHBand="0" w:firstRowFirstColumn="0" w:firstRowLastColumn="0" w:lastRowFirstColumn="0" w:lastRowLastColumn="0"/>
              <w:rPr>
                <w:rFonts w:eastAsia="Calibri"/>
                <w:bCs/>
                <w:sz w:val="18"/>
                <w:szCs w:val="18"/>
                <w:lang w:val="en-GB"/>
              </w:rPr>
            </w:pPr>
          </w:p>
        </w:tc>
      </w:tr>
      <w:tr w:rsidR="006E54C8" w:rsidRPr="00DD3F88" w:rsidTr="00280AD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120" w:after="120"/>
              <w:rPr>
                <w:rFonts w:eastAsia="Calibri"/>
                <w:bCs w:val="0"/>
                <w:sz w:val="18"/>
                <w:szCs w:val="18"/>
                <w:lang w:val="en-GB"/>
              </w:rPr>
            </w:pPr>
            <w:r w:rsidRPr="00DD3F88">
              <w:rPr>
                <w:rFonts w:eastAsia="Calibri"/>
                <w:bCs w:val="0"/>
                <w:sz w:val="18"/>
                <w:szCs w:val="18"/>
                <w:lang w:val="en-GB"/>
              </w:rPr>
              <w:t>Review Editor (RE)</w:t>
            </w:r>
          </w:p>
        </w:tc>
        <w:tc>
          <w:tcPr>
            <w:tcW w:w="0" w:type="auto"/>
            <w:vMerge/>
            <w:tcBorders>
              <w:top w:val="nil"/>
              <w:left w:val="nil"/>
              <w:right w:val="single" w:sz="4" w:space="0" w:color="4472C4"/>
            </w:tcBorders>
            <w:vAlign w:val="center"/>
            <w:hideMark/>
          </w:tcPr>
          <w:p w:rsidR="006E54C8" w:rsidRPr="00DD3F88" w:rsidRDefault="006E54C8" w:rsidP="00280AD4">
            <w:pPr>
              <w:tabs>
                <w:tab w:val="left" w:pos="624"/>
                <w:tab w:val="left" w:pos="1871"/>
                <w:tab w:val="left" w:pos="2495"/>
                <w:tab w:val="left" w:pos="3119"/>
              </w:tabs>
              <w:cnfStyle w:val="000000100000" w:firstRow="0" w:lastRow="0" w:firstColumn="0" w:lastColumn="0" w:oddVBand="0" w:evenVBand="0" w:oddHBand="1" w:evenHBand="0" w:firstRowFirstColumn="0" w:firstRowLastColumn="0" w:lastRowFirstColumn="0" w:lastRowLastColumn="0"/>
              <w:rPr>
                <w:rFonts w:eastAsia="Calibri"/>
                <w:bCs/>
                <w:sz w:val="18"/>
                <w:szCs w:val="18"/>
                <w:lang w:val="en-GB"/>
              </w:rPr>
            </w:pPr>
          </w:p>
        </w:tc>
      </w:tr>
      <w:tr w:rsidR="006E54C8" w:rsidRPr="00DD3F88" w:rsidTr="00280AD4">
        <w:trPr>
          <w:trHeight w:val="977"/>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120" w:after="120"/>
              <w:rPr>
                <w:rFonts w:eastAsia="Times New Roman"/>
                <w:sz w:val="18"/>
                <w:szCs w:val="18"/>
                <w:lang w:val="en-GB"/>
              </w:rPr>
            </w:pPr>
            <w:r w:rsidRPr="00DD3F88">
              <w:rPr>
                <w:sz w:val="18"/>
                <w:szCs w:val="18"/>
                <w:lang w:val="en-GB"/>
              </w:rPr>
              <w:t>Fellow</w:t>
            </w:r>
          </w:p>
        </w:tc>
        <w:tc>
          <w:tcPr>
            <w:tcW w:w="0" w:type="dxa"/>
            <w:tcBorders>
              <w:top w:val="nil"/>
              <w:left w:val="nil"/>
              <w:bottom w:val="nil"/>
              <w:right w:val="single" w:sz="4" w:space="0" w:color="4472C4"/>
            </w:tcBorders>
            <w:hideMark/>
          </w:tcPr>
          <w:p w:rsidR="006E54C8" w:rsidRPr="00DD3F88" w:rsidRDefault="006E54C8" w:rsidP="00280AD4">
            <w:pPr>
              <w:tabs>
                <w:tab w:val="left" w:pos="624"/>
                <w:tab w:val="left" w:pos="1871"/>
                <w:tab w:val="left" w:pos="2495"/>
                <w:tab w:val="left" w:pos="3119"/>
              </w:tabs>
              <w:spacing w:before="12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Nomination process is handled by the TSU for Capacity Building and is made by the fellow’s home institution. A call for nominations is made by the secretariat and utilises an online process through the IPBES website for submission of applications. Selections is made by the Management Committee.</w:t>
            </w:r>
          </w:p>
        </w:tc>
      </w:tr>
      <w:tr w:rsidR="006E54C8" w:rsidRPr="00FA50AA" w:rsidTr="00280AD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120" w:after="120"/>
              <w:rPr>
                <w:sz w:val="18"/>
                <w:szCs w:val="18"/>
                <w:lang w:val="en-GB"/>
              </w:rPr>
            </w:pPr>
            <w:r w:rsidRPr="00DD3F88">
              <w:rPr>
                <w:sz w:val="18"/>
                <w:szCs w:val="18"/>
                <w:lang w:val="en-GB"/>
              </w:rPr>
              <w:t>Expert reviewer</w:t>
            </w:r>
          </w:p>
        </w:tc>
        <w:tc>
          <w:tcPr>
            <w:tcW w:w="0" w:type="dxa"/>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120" w:after="12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Expert reviewer are self-selected and register through the IPBES website following a call for expert reviewers by the secretariat.</w:t>
            </w:r>
          </w:p>
        </w:tc>
      </w:tr>
      <w:tr w:rsidR="006E54C8" w:rsidRPr="00FA50AA" w:rsidTr="00280AD4">
        <w:trPr>
          <w:trHeight w:val="581"/>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120" w:after="120"/>
              <w:rPr>
                <w:sz w:val="18"/>
                <w:szCs w:val="18"/>
                <w:lang w:val="en-GB"/>
              </w:rPr>
            </w:pPr>
            <w:r w:rsidRPr="00DD3F88">
              <w:rPr>
                <w:sz w:val="18"/>
                <w:szCs w:val="18"/>
                <w:lang w:val="en-GB"/>
              </w:rPr>
              <w:t>Contributing Author (CA)</w:t>
            </w:r>
          </w:p>
        </w:tc>
        <w:tc>
          <w:tcPr>
            <w:tcW w:w="0" w:type="dxa"/>
            <w:tcBorders>
              <w:top w:val="nil"/>
              <w:left w:val="nil"/>
              <w:bottom w:val="nil"/>
              <w:right w:val="single" w:sz="4" w:space="0" w:color="4472C4"/>
            </w:tcBorders>
            <w:hideMark/>
          </w:tcPr>
          <w:p w:rsidR="006E54C8" w:rsidRPr="00DD3F88" w:rsidRDefault="006E54C8" w:rsidP="00280AD4">
            <w:pPr>
              <w:tabs>
                <w:tab w:val="left" w:pos="624"/>
                <w:tab w:val="left" w:pos="1871"/>
                <w:tab w:val="left" w:pos="2495"/>
                <w:tab w:val="left" w:pos="3119"/>
              </w:tabs>
              <w:spacing w:before="12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The coordinating lead authors and lead authors selected by the Multidisciplinary Expert Panel may enlist other experts as contributing authors to assist with the work.</w:t>
            </w:r>
          </w:p>
        </w:tc>
      </w:tr>
      <w:tr w:rsidR="006E54C8" w:rsidRPr="00FA50AA" w:rsidTr="00280AD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120" w:after="120"/>
              <w:rPr>
                <w:sz w:val="18"/>
                <w:szCs w:val="18"/>
                <w:lang w:val="en-GB"/>
              </w:rPr>
            </w:pPr>
            <w:r w:rsidRPr="00DD3F88">
              <w:rPr>
                <w:sz w:val="18"/>
                <w:szCs w:val="18"/>
                <w:lang w:val="en-GB"/>
              </w:rPr>
              <w:t>Management Committee</w:t>
            </w:r>
          </w:p>
        </w:tc>
        <w:tc>
          <w:tcPr>
            <w:tcW w:w="0" w:type="dxa"/>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120" w:after="12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There is no nomination process for the management committee as it consists of the Co-Chairs, MEP and Bureau members, TSU and secretariat.</w:t>
            </w:r>
          </w:p>
        </w:tc>
      </w:tr>
      <w:tr w:rsidR="006E54C8" w:rsidRPr="00FA50AA" w:rsidTr="00280AD4">
        <w:trPr>
          <w:trHeight w:val="581"/>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120" w:after="120"/>
              <w:rPr>
                <w:sz w:val="18"/>
                <w:szCs w:val="18"/>
                <w:lang w:val="en-GB"/>
              </w:rPr>
            </w:pPr>
            <w:r w:rsidRPr="00DD3F88">
              <w:rPr>
                <w:sz w:val="18"/>
                <w:szCs w:val="18"/>
                <w:lang w:val="en-GB"/>
              </w:rPr>
              <w:t>Technical Support Unit (TSU)</w:t>
            </w:r>
          </w:p>
        </w:tc>
        <w:tc>
          <w:tcPr>
            <w:tcW w:w="0" w:type="dxa"/>
            <w:tcBorders>
              <w:top w:val="nil"/>
              <w:left w:val="nil"/>
              <w:bottom w:val="nil"/>
              <w:right w:val="single" w:sz="4" w:space="0" w:color="4472C4"/>
            </w:tcBorders>
            <w:hideMark/>
          </w:tcPr>
          <w:p w:rsidR="006E54C8" w:rsidRPr="00DD3F88" w:rsidRDefault="006E54C8" w:rsidP="00280AD4">
            <w:pPr>
              <w:tabs>
                <w:tab w:val="left" w:pos="624"/>
                <w:tab w:val="left" w:pos="1871"/>
                <w:tab w:val="left" w:pos="2495"/>
                <w:tab w:val="left" w:pos="3119"/>
              </w:tabs>
              <w:spacing w:before="120" w:after="12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Offers to host a TSU for an assessment are made to the Bureau. The Bureau will discuss the offers made and select a TSU.</w:t>
            </w:r>
          </w:p>
        </w:tc>
      </w:tr>
      <w:tr w:rsidR="006E54C8" w:rsidRPr="00FA50AA" w:rsidTr="00280AD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120" w:after="120"/>
              <w:rPr>
                <w:sz w:val="18"/>
                <w:szCs w:val="18"/>
                <w:lang w:val="en-GB"/>
              </w:rPr>
            </w:pPr>
            <w:r w:rsidRPr="00DD3F88">
              <w:rPr>
                <w:sz w:val="18"/>
                <w:szCs w:val="18"/>
                <w:lang w:val="en-GB"/>
              </w:rPr>
              <w:lastRenderedPageBreak/>
              <w:t>The IPBES secretariat</w:t>
            </w:r>
          </w:p>
        </w:tc>
        <w:tc>
          <w:tcPr>
            <w:tcW w:w="0" w:type="dxa"/>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120" w:after="12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Support the Bureau, MEP and Management Committees in overseeing the production of the assessment report, oversee the provision of support by the TSU and store and provide access to assessment related materials that are not publicly available. Other key roles include supporting the Plenary, interacting with governments and ensuring that governments and other stakeholders receive all relevant documents</w:t>
            </w:r>
          </w:p>
        </w:tc>
      </w:tr>
    </w:tbl>
    <w:p w:rsidR="006E54C8" w:rsidRPr="00DD3F88" w:rsidRDefault="006E54C8" w:rsidP="00280AD4">
      <w:pPr>
        <w:tabs>
          <w:tab w:val="left" w:pos="624"/>
          <w:tab w:val="left" w:pos="1871"/>
          <w:tab w:val="left" w:pos="2495"/>
          <w:tab w:val="left" w:pos="3119"/>
        </w:tabs>
        <w:rPr>
          <w:rFonts w:eastAsia="Times New Roman"/>
          <w:b/>
          <w:bCs/>
          <w:sz w:val="18"/>
          <w:szCs w:val="18"/>
          <w:lang w:val="en-GB"/>
        </w:rPr>
      </w:pPr>
    </w:p>
    <w:p w:rsidR="006E54C8" w:rsidRPr="00DD3F88" w:rsidRDefault="006E54C8" w:rsidP="00280AD4">
      <w:pPr>
        <w:tabs>
          <w:tab w:val="left" w:pos="624"/>
          <w:tab w:val="left" w:pos="1871"/>
          <w:tab w:val="left" w:pos="2495"/>
          <w:tab w:val="left" w:pos="3119"/>
        </w:tabs>
        <w:rPr>
          <w:b/>
          <w:sz w:val="18"/>
          <w:szCs w:val="18"/>
          <w:lang w:val="en-GB"/>
        </w:rPr>
      </w:pPr>
      <w:r w:rsidRPr="00DD3F88">
        <w:rPr>
          <w:b/>
          <w:bCs/>
          <w:sz w:val="18"/>
          <w:szCs w:val="18"/>
          <w:lang w:val="en-GB"/>
        </w:rPr>
        <w:t>Table 2</w:t>
      </w:r>
      <w:r w:rsidRPr="00DD3F88">
        <w:rPr>
          <w:sz w:val="18"/>
          <w:szCs w:val="18"/>
          <w:lang w:val="en-GB"/>
        </w:rPr>
        <w:t>.</w:t>
      </w:r>
      <w:r w:rsidRPr="00DD3F88">
        <w:rPr>
          <w:b/>
          <w:bCs/>
          <w:sz w:val="18"/>
          <w:szCs w:val="18"/>
          <w:lang w:val="en-GB"/>
        </w:rPr>
        <w:t xml:space="preserve">2 </w:t>
      </w:r>
      <w:r w:rsidRPr="00DD3F88">
        <w:rPr>
          <w:bCs/>
          <w:sz w:val="18"/>
          <w:szCs w:val="18"/>
          <w:lang w:val="en-GB"/>
        </w:rPr>
        <w:t>Who is who in an IPBES assessments: roles and responsibilities</w:t>
      </w:r>
    </w:p>
    <w:p w:rsidR="006E54C8" w:rsidRPr="00DD3F88" w:rsidRDefault="006E54C8" w:rsidP="00280AD4">
      <w:pPr>
        <w:tabs>
          <w:tab w:val="left" w:pos="624"/>
          <w:tab w:val="left" w:pos="1871"/>
          <w:tab w:val="left" w:pos="2495"/>
          <w:tab w:val="left" w:pos="3119"/>
        </w:tabs>
        <w:rPr>
          <w:sz w:val="18"/>
          <w:szCs w:val="18"/>
          <w:highlight w:val="yellow"/>
          <w:lang w:val="en-GB"/>
        </w:rPr>
      </w:pPr>
    </w:p>
    <w:tbl>
      <w:tblPr>
        <w:tblStyle w:val="ListTable3-Accent51"/>
        <w:tblpPr w:leftFromText="180" w:rightFromText="180" w:vertAnchor="text" w:tblpY="1"/>
        <w:tblW w:w="0" w:type="auto"/>
        <w:tblInd w:w="0" w:type="dxa"/>
        <w:tblLook w:val="04A0" w:firstRow="1" w:lastRow="0" w:firstColumn="1" w:lastColumn="0" w:noHBand="0" w:noVBand="1"/>
      </w:tblPr>
      <w:tblGrid>
        <w:gridCol w:w="1557"/>
        <w:gridCol w:w="5195"/>
        <w:gridCol w:w="2735"/>
      </w:tblGrid>
      <w:tr w:rsidR="006E54C8" w:rsidRPr="00FA50AA" w:rsidTr="00480C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7" w:type="dxa"/>
            <w:tcBorders>
              <w:top w:val="single" w:sz="4" w:space="0" w:color="4472C4"/>
              <w:left w:val="single" w:sz="4" w:space="0" w:color="4472C4"/>
            </w:tcBorders>
            <w:shd w:val="clear" w:color="auto" w:fill="244061" w:themeFill="accent1" w:themeFillShade="80"/>
            <w:hideMark/>
          </w:tcPr>
          <w:p w:rsidR="006E54C8" w:rsidRPr="00DD3F88" w:rsidRDefault="006E54C8" w:rsidP="00280AD4">
            <w:pPr>
              <w:tabs>
                <w:tab w:val="left" w:pos="624"/>
                <w:tab w:val="left" w:pos="1871"/>
                <w:tab w:val="left" w:pos="2495"/>
                <w:tab w:val="left" w:pos="3119"/>
              </w:tabs>
              <w:spacing w:before="40" w:after="40"/>
              <w:jc w:val="center"/>
              <w:rPr>
                <w:color w:val="FFFFFF" w:themeColor="background1"/>
                <w:sz w:val="18"/>
                <w:szCs w:val="18"/>
                <w:lang w:val="en-GB"/>
              </w:rPr>
            </w:pPr>
            <w:r w:rsidRPr="00DD3F88">
              <w:rPr>
                <w:rFonts w:eastAsia="Calibri"/>
                <w:color w:val="FFFFFF" w:themeColor="background1"/>
                <w:sz w:val="18"/>
                <w:szCs w:val="18"/>
                <w:lang w:val="en-GB"/>
              </w:rPr>
              <w:t>Role</w:t>
            </w:r>
          </w:p>
        </w:tc>
        <w:tc>
          <w:tcPr>
            <w:tcW w:w="5195" w:type="dxa"/>
            <w:tcBorders>
              <w:top w:val="single" w:sz="4" w:space="0" w:color="4472C4"/>
              <w:left w:val="nil"/>
              <w:bottom w:val="nil"/>
              <w:right w:val="nil"/>
            </w:tcBorders>
            <w:shd w:val="clear" w:color="auto" w:fill="244061" w:themeFill="accent1" w:themeFillShade="80"/>
            <w:hideMark/>
          </w:tcPr>
          <w:p w:rsidR="006E54C8" w:rsidRPr="00DD3F88" w:rsidRDefault="006E54C8" w:rsidP="00280AD4">
            <w:pPr>
              <w:tabs>
                <w:tab w:val="left" w:pos="624"/>
                <w:tab w:val="left" w:pos="1871"/>
                <w:tab w:val="left" w:pos="2495"/>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DD3F88">
              <w:rPr>
                <w:rFonts w:eastAsia="Calibri"/>
                <w:color w:val="FFFFFF" w:themeColor="background1"/>
                <w:sz w:val="18"/>
                <w:szCs w:val="18"/>
                <w:lang w:val="en-GB"/>
              </w:rPr>
              <w:t>Responsibilities in the assessment</w:t>
            </w:r>
          </w:p>
        </w:tc>
        <w:tc>
          <w:tcPr>
            <w:tcW w:w="2735" w:type="dxa"/>
            <w:tcBorders>
              <w:top w:val="single" w:sz="4" w:space="0" w:color="4472C4"/>
              <w:left w:val="nil"/>
              <w:bottom w:val="nil"/>
              <w:right w:val="single" w:sz="4" w:space="0" w:color="4472C4"/>
            </w:tcBorders>
            <w:shd w:val="clear" w:color="auto" w:fill="244061" w:themeFill="accent1" w:themeFillShade="80"/>
            <w:hideMark/>
          </w:tcPr>
          <w:p w:rsidR="006E54C8" w:rsidRPr="00DD3F88" w:rsidRDefault="006E54C8" w:rsidP="00280AD4">
            <w:pPr>
              <w:tabs>
                <w:tab w:val="left" w:pos="624"/>
                <w:tab w:val="left" w:pos="1871"/>
                <w:tab w:val="left" w:pos="2495"/>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DD3F88">
              <w:rPr>
                <w:rFonts w:eastAsia="Calibri"/>
                <w:color w:val="FFFFFF" w:themeColor="background1"/>
                <w:sz w:val="18"/>
                <w:szCs w:val="18"/>
                <w:lang w:val="en-GB"/>
              </w:rPr>
              <w:t>Advice for playing this role</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b w:val="0"/>
                <w:bCs w:val="0"/>
                <w:sz w:val="18"/>
                <w:szCs w:val="18"/>
                <w:highlight w:val="yellow"/>
                <w:lang w:val="en-GB"/>
              </w:rPr>
            </w:pPr>
            <w:r w:rsidRPr="00DD3F88">
              <w:rPr>
                <w:rFonts w:asciiTheme="majorBidi" w:eastAsia="Calibri" w:hAnsiTheme="majorBidi" w:cstheme="majorBidi"/>
                <w:sz w:val="18"/>
                <w:szCs w:val="18"/>
                <w:lang w:val="en-GB"/>
              </w:rPr>
              <w:t>The Plenary</w:t>
            </w:r>
          </w:p>
        </w:tc>
        <w:tc>
          <w:tcPr>
            <w:tcW w:w="5195" w:type="dxa"/>
            <w:tcBorders>
              <w:left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highlight w:val="yellow"/>
                <w:lang w:val="en-GB" w:bidi="en-US"/>
              </w:rPr>
            </w:pPr>
            <w:r w:rsidRPr="00DD3F88">
              <w:rPr>
                <w:rFonts w:asciiTheme="majorBidi" w:eastAsia="Calibri" w:hAnsiTheme="majorBidi" w:cstheme="majorBidi"/>
                <w:sz w:val="18"/>
                <w:szCs w:val="18"/>
                <w:lang w:val="en-GB"/>
              </w:rPr>
              <w:t>Initiates calls for requests, initiates scoping, initiates assessments, approves Summary for Policy Makers and accepts the assessment chapters.</w:t>
            </w:r>
          </w:p>
        </w:tc>
        <w:tc>
          <w:tcPr>
            <w:tcW w:w="2735" w:type="dxa"/>
            <w:tcBorders>
              <w:left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Times New Roman"/>
                <w:sz w:val="18"/>
                <w:szCs w:val="18"/>
                <w:highlight w:val="yellow"/>
                <w:lang w:val="en-GB"/>
              </w:rPr>
            </w:pP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557"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Calibri"/>
                <w:b w:val="0"/>
                <w:bCs w:val="0"/>
                <w:sz w:val="18"/>
                <w:szCs w:val="18"/>
                <w:highlight w:val="yellow"/>
                <w:lang w:val="en-GB"/>
              </w:rPr>
            </w:pPr>
            <w:r w:rsidRPr="00DD3F88">
              <w:rPr>
                <w:rFonts w:asciiTheme="majorBidi" w:eastAsia="Calibri" w:hAnsiTheme="majorBidi" w:cstheme="majorBidi"/>
                <w:sz w:val="18"/>
                <w:szCs w:val="18"/>
                <w:lang w:val="en-GB"/>
              </w:rPr>
              <w:t>The Bureau</w:t>
            </w:r>
          </w:p>
        </w:tc>
        <w:tc>
          <w:tcPr>
            <w:tcW w:w="5195" w:type="dxa"/>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pacing w:val="-1"/>
                <w:sz w:val="18"/>
                <w:szCs w:val="18"/>
                <w:highlight w:val="yellow"/>
                <w:lang w:val="en-GB" w:bidi="en-US"/>
              </w:rPr>
            </w:pPr>
            <w:r w:rsidRPr="00DD3F88">
              <w:rPr>
                <w:rFonts w:asciiTheme="majorBidi" w:eastAsia="Calibri" w:hAnsiTheme="majorBidi" w:cstheme="majorBidi"/>
                <w:sz w:val="18"/>
                <w:szCs w:val="18"/>
                <w:lang w:val="en-GB"/>
              </w:rPr>
              <w:t>Oversees the policy and administrative aspects of the scoping process and the assessment process, including the preparations of Summary for Policy Makers takes part in the Management Committee and verifies the final draft report. Some of its members which are not authors may also act as review editors</w:t>
            </w:r>
          </w:p>
        </w:tc>
        <w:tc>
          <w:tcPr>
            <w:tcW w:w="2735" w:type="dxa"/>
            <w:tcBorders>
              <w:top w:val="nil"/>
              <w:left w:val="nil"/>
              <w:bottom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Times New Roman"/>
                <w:sz w:val="18"/>
                <w:szCs w:val="18"/>
                <w:highlight w:val="yellow"/>
                <w:lang w:val="en-GB"/>
              </w:rPr>
            </w:pP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b w:val="0"/>
                <w:bCs w:val="0"/>
                <w:sz w:val="18"/>
                <w:szCs w:val="18"/>
                <w:highlight w:val="yellow"/>
                <w:lang w:val="en-GB"/>
              </w:rPr>
            </w:pPr>
            <w:r w:rsidRPr="00DD3F88">
              <w:rPr>
                <w:rFonts w:asciiTheme="majorBidi" w:eastAsia="Calibri" w:hAnsiTheme="majorBidi" w:cstheme="majorBidi"/>
                <w:sz w:val="18"/>
                <w:szCs w:val="18"/>
                <w:lang w:val="en-GB"/>
              </w:rPr>
              <w:t>The Multidisciplinary Expert Panel (MEP)</w:t>
            </w:r>
          </w:p>
        </w:tc>
        <w:tc>
          <w:tcPr>
            <w:tcW w:w="5195" w:type="dxa"/>
            <w:tcBorders>
              <w:left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highlight w:val="yellow"/>
                <w:lang w:val="en-GB" w:bidi="en-US"/>
              </w:rPr>
            </w:pPr>
            <w:r w:rsidRPr="00DD3F88">
              <w:rPr>
                <w:rFonts w:asciiTheme="majorBidi" w:eastAsia="Calibri" w:hAnsiTheme="majorBidi" w:cstheme="majorBidi"/>
                <w:sz w:val="18"/>
                <w:szCs w:val="18"/>
                <w:lang w:val="en-GB"/>
              </w:rPr>
              <w:t>Oversees the scientific and technical aspects of the scoping process and the assessment process, selects nominated experts, takes part in the Management Committee and verifies the final draft report.</w:t>
            </w:r>
          </w:p>
        </w:tc>
        <w:tc>
          <w:tcPr>
            <w:tcW w:w="2735" w:type="dxa"/>
            <w:tcBorders>
              <w:left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Times New Roman"/>
                <w:sz w:val="18"/>
                <w:szCs w:val="18"/>
                <w:highlight w:val="yellow"/>
                <w:lang w:val="en-GB"/>
              </w:rPr>
            </w:pPr>
          </w:p>
        </w:tc>
      </w:tr>
      <w:tr w:rsidR="006E54C8" w:rsidRPr="00DD3F88" w:rsidTr="00480CDD">
        <w:tc>
          <w:tcPr>
            <w:cnfStyle w:val="001000000000" w:firstRow="0" w:lastRow="0" w:firstColumn="1" w:lastColumn="0" w:oddVBand="0" w:evenVBand="0" w:oddHBand="0" w:evenHBand="0" w:firstRowFirstColumn="0" w:firstRowLastColumn="0" w:lastRowFirstColumn="0" w:lastRowLastColumn="0"/>
            <w:tcW w:w="1557"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Calibri"/>
                <w:b w:val="0"/>
                <w:highlight w:val="yellow"/>
                <w:lang w:val="en-GB"/>
              </w:rPr>
            </w:pPr>
            <w:proofErr w:type="gramStart"/>
            <w:r w:rsidRPr="00DD3F88">
              <w:rPr>
                <w:rFonts w:asciiTheme="majorBidi" w:eastAsia="Calibri" w:hAnsiTheme="majorBidi" w:cstheme="majorBidi"/>
                <w:sz w:val="18"/>
                <w:szCs w:val="18"/>
                <w:lang w:val="en-GB"/>
              </w:rPr>
              <w:t>The  Management</w:t>
            </w:r>
            <w:proofErr w:type="gramEnd"/>
            <w:r w:rsidRPr="00DD3F88">
              <w:rPr>
                <w:rFonts w:asciiTheme="majorBidi" w:eastAsia="Calibri" w:hAnsiTheme="majorBidi" w:cstheme="majorBidi"/>
                <w:sz w:val="18"/>
                <w:szCs w:val="18"/>
                <w:lang w:val="en-GB"/>
              </w:rPr>
              <w:t xml:space="preserve"> Committees</w:t>
            </w:r>
          </w:p>
        </w:tc>
        <w:tc>
          <w:tcPr>
            <w:tcW w:w="5195" w:type="dxa"/>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Support the co-chairs and assists the Bureau, MEP and the secretariat in overseeing the assessment processes, including in the filling of expertise gaps and in handling non-performing authors.</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 xml:space="preserve">The management committees of the assessments </w:t>
            </w:r>
            <w:proofErr w:type="gramStart"/>
            <w:r w:rsidRPr="00DD3F88">
              <w:rPr>
                <w:rFonts w:asciiTheme="majorBidi" w:eastAsia="Calibri" w:hAnsiTheme="majorBidi" w:cstheme="majorBidi"/>
                <w:sz w:val="18"/>
                <w:szCs w:val="18"/>
                <w:lang w:val="en-GB"/>
              </w:rPr>
              <w:t>consists</w:t>
            </w:r>
            <w:proofErr w:type="gramEnd"/>
            <w:r w:rsidRPr="00DD3F88">
              <w:rPr>
                <w:rFonts w:asciiTheme="majorBidi" w:eastAsia="Calibri" w:hAnsiTheme="majorBidi" w:cstheme="majorBidi"/>
                <w:sz w:val="18"/>
                <w:szCs w:val="18"/>
                <w:lang w:val="en-GB"/>
              </w:rPr>
              <w:t xml:space="preserve"> of the co</w:t>
            </w:r>
            <w:r w:rsidRPr="00DD3F88">
              <w:rPr>
                <w:rFonts w:asciiTheme="majorBidi" w:eastAsia="Calibri" w:hAnsiTheme="majorBidi" w:cstheme="majorBidi"/>
                <w:sz w:val="18"/>
                <w:szCs w:val="18"/>
                <w:lang w:val="en-GB"/>
              </w:rPr>
              <w:noBreakHyphen/>
              <w:t>chairs of the assessment, appointed members of MEP and bureau and representatives of the responsible technical support unit and secretariat. The management committee is chaired by the co-chairs of the relevant assessment and responsible for supporting the co</w:t>
            </w:r>
            <w:r w:rsidRPr="00DD3F88">
              <w:rPr>
                <w:rFonts w:asciiTheme="majorBidi" w:eastAsia="Calibri" w:hAnsiTheme="majorBidi" w:cstheme="majorBidi"/>
                <w:sz w:val="18"/>
                <w:szCs w:val="18"/>
                <w:lang w:val="en-GB"/>
              </w:rPr>
              <w:noBreakHyphen/>
              <w:t xml:space="preserve">chairs of the relevant assessment in the day-to-day operations required for the implementation of the respective deliverable, where the substance of the matter to be addressed does not warrant alerting the MEP, Bureau or other entity responsible according to the IPBES procedures. </w:t>
            </w:r>
          </w:p>
          <w:p w:rsidR="006E54C8" w:rsidRPr="00DD3F88" w:rsidRDefault="006E54C8" w:rsidP="00280AD4">
            <w:pPr>
              <w:tabs>
                <w:tab w:val="left" w:pos="624"/>
                <w:tab w:val="left" w:pos="1871"/>
                <w:tab w:val="left" w:pos="2495"/>
                <w:tab w:val="left" w:pos="3119"/>
              </w:tabs>
              <w:spacing w:after="12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The management committee stays up to date with all developments of the assessment processes and also ensures that the processes adhere to the IPBES rules of procedure. Where the management committee cannot agree on an issue, or the scope of the matter to be addressed warrants a decision by the responsible body, the matter will be referred by the management committee to the responsible body.</w:t>
            </w:r>
          </w:p>
          <w:p w:rsidR="006E54C8" w:rsidRPr="00DD3F88" w:rsidRDefault="006E54C8" w:rsidP="00280AD4">
            <w:pPr>
              <w:tabs>
                <w:tab w:val="left" w:pos="624"/>
                <w:tab w:val="left" w:pos="1871"/>
                <w:tab w:val="left" w:pos="2495"/>
                <w:tab w:val="left" w:pos="3119"/>
              </w:tabs>
              <w:spacing w:after="12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 xml:space="preserve">Examples for responsibilities of the management committees include: </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568"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Identifying and suggesting names of experts (CLAs, LAs and REs) to fill gaps in expertise, for MEP approval</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568"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 xml:space="preserve">Ensuring that the global, regional and thematic assessments are consistent in including/using: </w:t>
            </w:r>
          </w:p>
          <w:p w:rsidR="006E54C8" w:rsidRPr="00DD3F88" w:rsidRDefault="006E54C8" w:rsidP="00280AD4">
            <w:pPr>
              <w:numPr>
                <w:ilvl w:val="0"/>
                <w:numId w:val="25"/>
              </w:numPr>
              <w:tabs>
                <w:tab w:val="left" w:pos="624"/>
                <w:tab w:val="left" w:pos="1871"/>
                <w:tab w:val="left" w:pos="2495"/>
                <w:tab w:val="left" w:pos="3119"/>
              </w:tabs>
              <w:spacing w:after="120"/>
              <w:ind w:left="1027"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The conceptual framework</w:t>
            </w:r>
          </w:p>
          <w:p w:rsidR="006E54C8" w:rsidRPr="00DD3F88" w:rsidRDefault="006E54C8" w:rsidP="00280AD4">
            <w:pPr>
              <w:numPr>
                <w:ilvl w:val="0"/>
                <w:numId w:val="25"/>
              </w:numPr>
              <w:tabs>
                <w:tab w:val="left" w:pos="624"/>
                <w:tab w:val="left" w:pos="1871"/>
                <w:tab w:val="left" w:pos="2495"/>
                <w:tab w:val="left" w:pos="3119"/>
              </w:tabs>
              <w:spacing w:after="120"/>
              <w:ind w:left="1027"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The values Guide</w:t>
            </w:r>
          </w:p>
          <w:p w:rsidR="006E54C8" w:rsidRPr="00DD3F88" w:rsidRDefault="006E54C8" w:rsidP="00280AD4">
            <w:pPr>
              <w:numPr>
                <w:ilvl w:val="0"/>
                <w:numId w:val="25"/>
              </w:numPr>
              <w:tabs>
                <w:tab w:val="left" w:pos="624"/>
                <w:tab w:val="left" w:pos="1871"/>
                <w:tab w:val="left" w:pos="2495"/>
                <w:tab w:val="left" w:pos="3119"/>
              </w:tabs>
              <w:spacing w:after="120"/>
              <w:ind w:left="1027"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The scenarios and modelling assessment</w:t>
            </w:r>
          </w:p>
          <w:p w:rsidR="006E54C8" w:rsidRPr="00DD3F88" w:rsidRDefault="006E54C8" w:rsidP="00280AD4">
            <w:pPr>
              <w:numPr>
                <w:ilvl w:val="0"/>
                <w:numId w:val="25"/>
              </w:numPr>
              <w:tabs>
                <w:tab w:val="left" w:pos="624"/>
                <w:tab w:val="left" w:pos="1871"/>
                <w:tab w:val="left" w:pos="2495"/>
                <w:tab w:val="left" w:pos="3119"/>
              </w:tabs>
              <w:spacing w:after="120"/>
              <w:ind w:left="1027"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Indicators</w:t>
            </w:r>
          </w:p>
          <w:p w:rsidR="006E54C8" w:rsidRPr="00DD3F88" w:rsidRDefault="006E54C8" w:rsidP="00280AD4">
            <w:pPr>
              <w:numPr>
                <w:ilvl w:val="0"/>
                <w:numId w:val="25"/>
              </w:numPr>
              <w:tabs>
                <w:tab w:val="left" w:pos="624"/>
                <w:tab w:val="left" w:pos="1871"/>
                <w:tab w:val="left" w:pos="2495"/>
                <w:tab w:val="left" w:pos="3119"/>
              </w:tabs>
              <w:spacing w:after="120"/>
              <w:ind w:left="1027"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ILK</w:t>
            </w:r>
          </w:p>
          <w:p w:rsidR="006E54C8" w:rsidRPr="00DD3F88" w:rsidRDefault="006E54C8" w:rsidP="00280AD4">
            <w:pPr>
              <w:numPr>
                <w:ilvl w:val="0"/>
                <w:numId w:val="25"/>
              </w:numPr>
              <w:tabs>
                <w:tab w:val="left" w:pos="624"/>
                <w:tab w:val="left" w:pos="1871"/>
                <w:tab w:val="left" w:pos="2495"/>
                <w:tab w:val="left" w:pos="3119"/>
              </w:tabs>
              <w:spacing w:after="120"/>
              <w:ind w:left="1027"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Ecosystem services classification</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568" w:hanging="284"/>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t xml:space="preserve">Ensuring the approaches and findings of the assessments are consistent </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568" w:hanging="284"/>
              <w:cnfStyle w:val="000000000000" w:firstRow="0" w:lastRow="0" w:firstColumn="0" w:lastColumn="0" w:oddVBand="0" w:evenVBand="0" w:oddHBand="0" w:evenHBand="0" w:firstRowFirstColumn="0" w:firstRowLastColumn="0" w:lastRowFirstColumn="0" w:lastRowLastColumn="0"/>
              <w:rPr>
                <w:rFonts w:eastAsia="Calibri"/>
                <w:lang w:val="en-GB"/>
              </w:rPr>
            </w:pPr>
            <w:r w:rsidRPr="00DD3F88">
              <w:rPr>
                <w:rFonts w:asciiTheme="majorBidi" w:eastAsia="Calibri" w:hAnsiTheme="majorBidi" w:cstheme="majorBidi"/>
                <w:sz w:val="18"/>
                <w:szCs w:val="18"/>
                <w:lang w:val="en-GB"/>
              </w:rPr>
              <w:lastRenderedPageBreak/>
              <w:t>Assisting in the preparation of SPMs and presentation at Plenary</w:t>
            </w:r>
          </w:p>
        </w:tc>
        <w:tc>
          <w:tcPr>
            <w:tcW w:w="2735" w:type="dxa"/>
            <w:tcBorders>
              <w:top w:val="nil"/>
              <w:left w:val="nil"/>
              <w:bottom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r w:rsidRPr="00DD3F88">
              <w:rPr>
                <w:rFonts w:asciiTheme="majorBidi" w:eastAsia="Calibri" w:hAnsiTheme="majorBidi" w:cstheme="majorBidi"/>
                <w:sz w:val="18"/>
                <w:szCs w:val="18"/>
                <w:lang w:val="en-GB"/>
              </w:rPr>
              <w:lastRenderedPageBreak/>
              <w:t>Hold regular meetings by teleconference or other appropriate means at least once every two months</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DD3F88">
              <w:rPr>
                <w:sz w:val="18"/>
                <w:szCs w:val="18"/>
                <w:lang w:val="en-GB"/>
              </w:rPr>
              <w:t>Be up to date with the latest version of the assessment report</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(Zero Order Draft), First Order Draft, Second Order</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highlight w:val="yellow"/>
                <w:lang w:val="en-GB"/>
              </w:rPr>
            </w:pPr>
            <w:r w:rsidRPr="00DD3F88">
              <w:rPr>
                <w:sz w:val="18"/>
                <w:szCs w:val="18"/>
                <w:lang w:val="en-GB"/>
              </w:rPr>
              <w:t>Draft) or final drafts.</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Assessment</w:t>
            </w:r>
          </w:p>
          <w:p w:rsidR="006E54C8" w:rsidRPr="00DD3F88" w:rsidRDefault="006E54C8" w:rsidP="00280AD4">
            <w:pPr>
              <w:tabs>
                <w:tab w:val="left" w:pos="624"/>
                <w:tab w:val="left" w:pos="1871"/>
                <w:tab w:val="left" w:pos="2495"/>
                <w:tab w:val="left" w:pos="3119"/>
              </w:tabs>
              <w:spacing w:before="40" w:after="40"/>
              <w:rPr>
                <w:rFonts w:eastAsia="Times New Roman"/>
                <w:sz w:val="18"/>
                <w:szCs w:val="18"/>
                <w:lang w:val="en-GB"/>
              </w:rPr>
            </w:pPr>
            <w:r w:rsidRPr="00DD3F88">
              <w:rPr>
                <w:rFonts w:eastAsia="Calibri"/>
                <w:sz w:val="18"/>
                <w:szCs w:val="18"/>
                <w:lang w:val="en-GB"/>
              </w:rPr>
              <w:t>co-chairs</w:t>
            </w:r>
          </w:p>
        </w:tc>
        <w:tc>
          <w:tcPr>
            <w:tcW w:w="5195" w:type="dxa"/>
            <w:tcBorders>
              <w:left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 xml:space="preserve">The role of co-chair is normally shared between two and sometimes three experts. </w:t>
            </w:r>
            <w:r w:rsidRPr="00DD3F88">
              <w:rPr>
                <w:rFonts w:eastAsia="Calibri"/>
                <w:sz w:val="18"/>
                <w:szCs w:val="18"/>
                <w:lang w:val="en-GB" w:bidi="en-US"/>
              </w:rPr>
              <w:t xml:space="preserve">An assessments co-chair’s role </w:t>
            </w:r>
            <w:r w:rsidRPr="00DD3F88">
              <w:rPr>
                <w:rFonts w:eastAsia="Calibri"/>
                <w:spacing w:val="1"/>
                <w:sz w:val="18"/>
                <w:szCs w:val="18"/>
                <w:lang w:val="en-GB" w:bidi="en-US"/>
              </w:rPr>
              <w:t xml:space="preserve">is </w:t>
            </w:r>
            <w:r w:rsidRPr="00DD3F88">
              <w:rPr>
                <w:rFonts w:eastAsia="Calibri"/>
                <w:sz w:val="18"/>
                <w:szCs w:val="18"/>
                <w:lang w:val="en-GB" w:bidi="en-US"/>
              </w:rPr>
              <w:t xml:space="preserve">to assume </w:t>
            </w:r>
            <w:r w:rsidRPr="00DD3F88">
              <w:rPr>
                <w:rFonts w:eastAsia="Calibri"/>
                <w:spacing w:val="-1"/>
                <w:sz w:val="18"/>
                <w:szCs w:val="18"/>
                <w:lang w:val="en-GB" w:bidi="en-US"/>
              </w:rPr>
              <w:t xml:space="preserve">responsibility for overseeing </w:t>
            </w:r>
            <w:r w:rsidRPr="00DD3F88">
              <w:rPr>
                <w:rFonts w:eastAsia="Calibri"/>
                <w:sz w:val="18"/>
                <w:szCs w:val="18"/>
                <w:lang w:val="en-GB" w:bidi="en-US"/>
              </w:rPr>
              <w:t xml:space="preserve">the </w:t>
            </w:r>
            <w:r w:rsidRPr="00DD3F88">
              <w:rPr>
                <w:rFonts w:eastAsia="Calibri"/>
                <w:spacing w:val="-1"/>
                <w:sz w:val="18"/>
                <w:szCs w:val="18"/>
                <w:lang w:val="en-GB" w:bidi="en-US"/>
              </w:rPr>
              <w:t xml:space="preserve">preparation </w:t>
            </w:r>
            <w:r w:rsidRPr="00DD3F88">
              <w:rPr>
                <w:rFonts w:eastAsia="Calibri"/>
                <w:sz w:val="18"/>
                <w:szCs w:val="18"/>
                <w:lang w:val="en-GB" w:bidi="en-US"/>
              </w:rPr>
              <w:t xml:space="preserve">of an </w:t>
            </w:r>
            <w:r w:rsidRPr="00DD3F88">
              <w:rPr>
                <w:rFonts w:eastAsia="Calibri"/>
                <w:spacing w:val="-1"/>
                <w:sz w:val="18"/>
                <w:szCs w:val="18"/>
                <w:lang w:val="en-GB" w:bidi="en-US"/>
              </w:rPr>
              <w:t xml:space="preserve">assessment report, as well as its summary for policymakers (SPM) </w:t>
            </w:r>
            <w:r w:rsidRPr="00DD3F88">
              <w:rPr>
                <w:rFonts w:eastAsia="Calibri"/>
                <w:sz w:val="18"/>
                <w:szCs w:val="18"/>
                <w:lang w:val="en-GB" w:bidi="en-US"/>
              </w:rPr>
              <w:t xml:space="preserve">and </w:t>
            </w:r>
            <w:r w:rsidRPr="00DD3F88">
              <w:rPr>
                <w:rFonts w:eastAsia="Calibri"/>
                <w:spacing w:val="-1"/>
                <w:sz w:val="18"/>
                <w:szCs w:val="18"/>
                <w:lang w:val="en-GB" w:bidi="en-US"/>
              </w:rPr>
              <w:t xml:space="preserve">ensuring </w:t>
            </w:r>
            <w:r w:rsidRPr="00DD3F88">
              <w:rPr>
                <w:rFonts w:eastAsia="Calibri"/>
                <w:sz w:val="18"/>
                <w:szCs w:val="18"/>
                <w:lang w:val="en-GB" w:bidi="en-US"/>
              </w:rPr>
              <w:t xml:space="preserve">that the </w:t>
            </w:r>
            <w:r w:rsidRPr="00DD3F88">
              <w:rPr>
                <w:rFonts w:eastAsia="Calibri"/>
                <w:spacing w:val="-1"/>
                <w:sz w:val="18"/>
                <w:szCs w:val="18"/>
                <w:lang w:val="en-GB" w:bidi="en-US"/>
              </w:rPr>
              <w:t xml:space="preserve">report </w:t>
            </w:r>
            <w:r w:rsidRPr="00DD3F88">
              <w:rPr>
                <w:rFonts w:eastAsia="Calibri"/>
                <w:sz w:val="18"/>
                <w:szCs w:val="18"/>
                <w:lang w:val="en-GB" w:bidi="en-US"/>
              </w:rPr>
              <w:t xml:space="preserve">is completed to a high </w:t>
            </w:r>
            <w:r w:rsidRPr="00DD3F88">
              <w:rPr>
                <w:rFonts w:eastAsia="Calibri"/>
                <w:spacing w:val="-1"/>
                <w:sz w:val="18"/>
                <w:szCs w:val="18"/>
                <w:lang w:val="en-GB" w:bidi="en-US"/>
              </w:rPr>
              <w:t xml:space="preserve">standard </w:t>
            </w:r>
            <w:r w:rsidRPr="00DD3F88">
              <w:rPr>
                <w:rFonts w:eastAsia="Calibri"/>
                <w:lang w:val="en-GB"/>
              </w:rPr>
              <w:t>and addresses the key scoping questions</w:t>
            </w:r>
            <w:r w:rsidRPr="00DD3F88">
              <w:rPr>
                <w:rFonts w:eastAsia="Calibri"/>
                <w:spacing w:val="-1"/>
                <w:sz w:val="18"/>
                <w:szCs w:val="18"/>
                <w:lang w:val="en-GB" w:bidi="en-US"/>
              </w:rPr>
              <w:t xml:space="preserve">. A co-chair is senior in their field and has experience in coordinating work of experts. Besides overseeing the development of the assessment, the co-chair can also contribute text to one (or more) chapters. </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 xml:space="preserve">The co-chair is also responsible for collaborating and coordinating with the coordinating lead authors to ensure that the chapters are delivered in a timely manner and with a high standard </w:t>
            </w:r>
            <w:r w:rsidRPr="00DD3F88">
              <w:rPr>
                <w:rFonts w:eastAsia="Calibri"/>
                <w:lang w:val="en-GB"/>
              </w:rPr>
              <w:t>and addresses the key scoping questions</w:t>
            </w:r>
            <w:r w:rsidRPr="00DD3F88">
              <w:rPr>
                <w:rFonts w:eastAsia="Calibri"/>
                <w:spacing w:val="-1"/>
                <w:sz w:val="18"/>
                <w:szCs w:val="18"/>
                <w:lang w:val="en-GB" w:bidi="en-US"/>
              </w:rPr>
              <w:t>. The co-chair will ensure that the chapters feed into each other and that their messages are not contradicting.</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The co-chair participates in the setting of the agenda and the chairing of the author meetings. He/ she will work together with the management committee of the assessment to ensure that issues within the assessment are being solved and that the assessment is prepared according to the decisions and guidelines of the IPBES. Once the assessment and summary for policy makers are finalized, co-chairs also engage in the outreach for those deliverables.</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DD3F88">
              <w:rPr>
                <w:rFonts w:eastAsia="Calibri"/>
                <w:spacing w:val="-1"/>
                <w:sz w:val="18"/>
                <w:szCs w:val="18"/>
                <w:lang w:val="en-GB" w:bidi="en-US"/>
              </w:rPr>
              <w:t xml:space="preserve">Assessment co-chairs are expected to contribute 25% of their time to the coordination of their dedicated assessment. They are expected to participate in each author meeting. </w:t>
            </w:r>
          </w:p>
        </w:tc>
        <w:tc>
          <w:tcPr>
            <w:tcW w:w="2735" w:type="dxa"/>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 xml:space="preserve">Get up to speed with the IPBES rules and procedures, as well as other assessments and deliverables Read other relevant assessments on biodiversity and ecosystem services (available in the catalogue of assessments) </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 xml:space="preserve">Organize regular skype meetings with chapter CLAs to stay in touch with the development of the chapters </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 xml:space="preserve">Invest in building trust amongst the authors as well as a sense of pride and ownership of the assessment process </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Review and check the key messages of the chapters in order to prepare the SPM</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557"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Times New Roman"/>
                <w:sz w:val="18"/>
                <w:szCs w:val="18"/>
                <w:lang w:val="en-GB"/>
              </w:rPr>
            </w:pPr>
            <w:r w:rsidRPr="00DD3F88">
              <w:rPr>
                <w:rFonts w:eastAsia="Calibri"/>
                <w:sz w:val="18"/>
                <w:szCs w:val="18"/>
                <w:lang w:val="en-GB"/>
              </w:rPr>
              <w:t>Coordinating Lead Authors (CLAs)</w:t>
            </w:r>
          </w:p>
        </w:tc>
        <w:tc>
          <w:tcPr>
            <w:tcW w:w="5195" w:type="dxa"/>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A coordinating lead author’s role within an IPBES assessment is to assume overall responsibility for coordinating a chapter of the assessment report.</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Coordinating lead authors are lead authors who, in addition to their responsibilities as a lead author, have the responsibility of ensuring that the chapters of a report are completed to a high standard and are collated and delivered to the report co-chairs in a timely manner and conform to any overall standards of style set for the document. They are thus to coordinate the work of the lead authors, fellows and contributing authors involved in their chapter to ensure the quality of the chapter as a whole. </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Coordinating lead authors also play a leading role in ensuring that any cross-cutting scientific, technical or socio-economic issues of significance to more than one section of a report are addressed in a complete and coherent manner and reflect the latest information available. </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CLAs coordinate the pulling out of key messages of their chapter and the writing of the executive summary of the chapter. They contribute to the writing of the SPM. </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DD3F88">
              <w:rPr>
                <w:rFonts w:eastAsia="Calibri"/>
                <w:sz w:val="18"/>
                <w:szCs w:val="18"/>
                <w:lang w:val="en-GB"/>
              </w:rPr>
              <w:t>CLAs are expected to contribute 20% of their time to the coordination of their chapter. They are expected to participate in the author meetings and to coordinate the work of their chapter at the meeting.</w:t>
            </w:r>
          </w:p>
        </w:tc>
        <w:tc>
          <w:tcPr>
            <w:tcW w:w="2735" w:type="dxa"/>
            <w:tcBorders>
              <w:top w:val="nil"/>
              <w:left w:val="nil"/>
              <w:bottom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Organize regular communication between the different LAs and fellows in your chapter</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Review the text received and structure information to create a flowing chapter</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Put deadlines for the author team to deliver text timely for the delivery of the different order drafts</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Identify gaps in the chapter author team and search for potential CAs to fill those gaps</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left w:val="single" w:sz="4" w:space="0" w:color="4472C4"/>
            </w:tcBorders>
            <w:hideMark/>
          </w:tcPr>
          <w:p w:rsidR="006E54C8" w:rsidRPr="00DD3F88" w:rsidRDefault="006E54C8" w:rsidP="00280AD4">
            <w:pPr>
              <w:keepNext/>
              <w:keepLines/>
              <w:tabs>
                <w:tab w:val="left" w:pos="624"/>
                <w:tab w:val="left" w:pos="1871"/>
                <w:tab w:val="left" w:pos="2495"/>
                <w:tab w:val="left" w:pos="3119"/>
              </w:tabs>
              <w:spacing w:before="40" w:after="40"/>
              <w:rPr>
                <w:sz w:val="18"/>
                <w:szCs w:val="18"/>
                <w:lang w:val="en-GB"/>
              </w:rPr>
            </w:pPr>
            <w:r w:rsidRPr="00DD3F88">
              <w:rPr>
                <w:rFonts w:eastAsia="Calibri"/>
                <w:sz w:val="18"/>
                <w:szCs w:val="18"/>
                <w:lang w:val="en-GB"/>
              </w:rPr>
              <w:t>Lead Authors (LAs)</w:t>
            </w:r>
          </w:p>
        </w:tc>
        <w:tc>
          <w:tcPr>
            <w:tcW w:w="5195" w:type="dxa"/>
            <w:tcBorders>
              <w:left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pacing w:val="-1"/>
                <w:sz w:val="18"/>
                <w:szCs w:val="18"/>
                <w:lang w:val="en-GB" w:bidi="en-US"/>
              </w:rPr>
              <w:t xml:space="preserve">The </w:t>
            </w:r>
            <w:r w:rsidRPr="00DD3F88">
              <w:rPr>
                <w:rFonts w:eastAsia="Calibri"/>
                <w:sz w:val="18"/>
                <w:szCs w:val="18"/>
                <w:lang w:val="en-GB" w:bidi="en-US"/>
              </w:rPr>
              <w:t xml:space="preserve">role </w:t>
            </w:r>
            <w:r w:rsidRPr="00DD3F88">
              <w:rPr>
                <w:rFonts w:eastAsia="Calibri"/>
                <w:spacing w:val="1"/>
                <w:sz w:val="18"/>
                <w:szCs w:val="18"/>
                <w:lang w:val="en-GB" w:bidi="en-US"/>
              </w:rPr>
              <w:t xml:space="preserve">of </w:t>
            </w:r>
            <w:r w:rsidRPr="00DD3F88">
              <w:rPr>
                <w:rFonts w:eastAsia="Calibri"/>
                <w:sz w:val="18"/>
                <w:szCs w:val="18"/>
                <w:lang w:val="en-GB" w:bidi="en-US"/>
              </w:rPr>
              <w:t xml:space="preserve">a </w:t>
            </w:r>
            <w:r w:rsidRPr="00DD3F88">
              <w:rPr>
                <w:rFonts w:eastAsia="Calibri"/>
                <w:spacing w:val="-1"/>
                <w:sz w:val="18"/>
                <w:szCs w:val="18"/>
                <w:lang w:val="en-GB" w:bidi="en-US"/>
              </w:rPr>
              <w:t xml:space="preserve">lead </w:t>
            </w:r>
            <w:r w:rsidRPr="00DD3F88">
              <w:rPr>
                <w:rFonts w:eastAsia="Calibri"/>
                <w:sz w:val="18"/>
                <w:szCs w:val="18"/>
                <w:lang w:val="en-GB" w:bidi="en-US"/>
              </w:rPr>
              <w:t xml:space="preserve">author is to assume the </w:t>
            </w:r>
            <w:r w:rsidRPr="00DD3F88">
              <w:rPr>
                <w:rFonts w:eastAsia="Calibri"/>
                <w:spacing w:val="-1"/>
                <w:sz w:val="18"/>
                <w:szCs w:val="18"/>
                <w:lang w:val="en-GB" w:bidi="en-US"/>
              </w:rPr>
              <w:t xml:space="preserve">responsibility </w:t>
            </w:r>
            <w:r w:rsidRPr="00DD3F88">
              <w:rPr>
                <w:rFonts w:eastAsia="Calibri"/>
                <w:sz w:val="18"/>
                <w:szCs w:val="18"/>
                <w:lang w:val="en-GB" w:bidi="en-US"/>
              </w:rPr>
              <w:t xml:space="preserve">of producing </w:t>
            </w:r>
            <w:r w:rsidRPr="00DD3F88">
              <w:rPr>
                <w:rFonts w:eastAsia="Calibri"/>
                <w:spacing w:val="-1"/>
                <w:sz w:val="18"/>
                <w:szCs w:val="18"/>
                <w:lang w:val="en-GB" w:bidi="en-US"/>
              </w:rPr>
              <w:t xml:space="preserve">designated </w:t>
            </w:r>
            <w:r w:rsidRPr="00DD3F88">
              <w:rPr>
                <w:rFonts w:eastAsia="Calibri"/>
                <w:sz w:val="18"/>
                <w:szCs w:val="18"/>
                <w:lang w:val="en-GB" w:bidi="en-US"/>
              </w:rPr>
              <w:t xml:space="preserve">sections or parts of chapters that </w:t>
            </w:r>
            <w:r w:rsidRPr="00DD3F88">
              <w:rPr>
                <w:rFonts w:eastAsia="Calibri"/>
                <w:spacing w:val="-1"/>
                <w:sz w:val="18"/>
                <w:szCs w:val="18"/>
                <w:lang w:val="en-GB" w:bidi="en-US"/>
              </w:rPr>
              <w:t xml:space="preserve">respond </w:t>
            </w:r>
            <w:r w:rsidRPr="00DD3F88">
              <w:rPr>
                <w:rFonts w:eastAsia="Calibri"/>
                <w:sz w:val="18"/>
                <w:szCs w:val="18"/>
                <w:lang w:val="en-GB" w:bidi="en-US"/>
              </w:rPr>
              <w:t xml:space="preserve">to the work programme of the Platform on the basis of the best </w:t>
            </w:r>
            <w:r w:rsidRPr="00DD3F88">
              <w:rPr>
                <w:rFonts w:eastAsia="Calibri"/>
                <w:spacing w:val="-1"/>
                <w:sz w:val="18"/>
                <w:szCs w:val="18"/>
                <w:lang w:val="en-GB" w:bidi="en-US"/>
              </w:rPr>
              <w:t xml:space="preserve">scientific, </w:t>
            </w:r>
            <w:r w:rsidRPr="00DD3F88">
              <w:rPr>
                <w:rFonts w:eastAsia="Calibri"/>
                <w:sz w:val="18"/>
                <w:szCs w:val="18"/>
                <w:lang w:val="en-GB" w:bidi="en-US"/>
              </w:rPr>
              <w:t xml:space="preserve">technical and socio-economic information </w:t>
            </w:r>
            <w:r w:rsidRPr="00DD3F88">
              <w:rPr>
                <w:rFonts w:eastAsia="Calibri"/>
                <w:spacing w:val="-1"/>
                <w:sz w:val="18"/>
                <w:szCs w:val="18"/>
                <w:lang w:val="en-GB" w:bidi="en-US"/>
              </w:rPr>
              <w:t>available.</w:t>
            </w:r>
            <w:r w:rsidRPr="00DD3F88">
              <w:rPr>
                <w:rFonts w:eastAsia="Calibri"/>
                <w:sz w:val="18"/>
                <w:szCs w:val="18"/>
                <w:lang w:val="en-GB"/>
              </w:rPr>
              <w:t xml:space="preserve"> </w:t>
            </w:r>
          </w:p>
          <w:p w:rsidR="006E54C8" w:rsidRPr="00DD3F88" w:rsidRDefault="006E54C8" w:rsidP="00280AD4">
            <w:pPr>
              <w:keepNext/>
              <w:keepLines/>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Lead authors typically work in small groups that together are responsible for ensuring that the various components of their sections are put together on time, are of a uniformly high quality and conform to any overall standards of style set for the document.</w:t>
            </w:r>
          </w:p>
          <w:p w:rsidR="006E54C8" w:rsidRPr="00DD3F88" w:rsidRDefault="006E54C8" w:rsidP="00280AD4">
            <w:pPr>
              <w:keepNext/>
              <w:keepLines/>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t>The essence of the lead authors’ role is to synthesize material drawn from the available literature, fully-justified unpublished sources, contributing author’s stakeholders and experts where appropriate.</w:t>
            </w:r>
          </w:p>
          <w:p w:rsidR="006E54C8" w:rsidRPr="00DD3F88" w:rsidRDefault="006E54C8" w:rsidP="00280AD4">
            <w:pPr>
              <w:keepNext/>
              <w:keepLines/>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pacing w:val="-1"/>
                <w:sz w:val="18"/>
                <w:szCs w:val="18"/>
                <w:lang w:val="en-GB" w:bidi="en-US"/>
              </w:rPr>
            </w:pPr>
            <w:r w:rsidRPr="00DD3F88">
              <w:rPr>
                <w:rFonts w:eastAsia="Calibri"/>
                <w:spacing w:val="-1"/>
                <w:sz w:val="18"/>
                <w:szCs w:val="18"/>
                <w:lang w:val="en-GB" w:bidi="en-US"/>
              </w:rPr>
              <w:lastRenderedPageBreak/>
              <w:t>Lead authors can identify contributing authors who can provide additional technical information or graphics on specific subjects covered in the chapter.</w:t>
            </w:r>
          </w:p>
          <w:p w:rsidR="006E54C8" w:rsidRPr="00DD3F88" w:rsidRDefault="006E54C8" w:rsidP="00280AD4">
            <w:pPr>
              <w:keepNext/>
              <w:keepLines/>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DD3F88">
              <w:rPr>
                <w:rFonts w:eastAsia="Calibri"/>
                <w:spacing w:val="-1"/>
                <w:sz w:val="18"/>
                <w:szCs w:val="18"/>
                <w:lang w:val="en-GB" w:bidi="en-US"/>
              </w:rPr>
              <w:t xml:space="preserve">LAs are expected to contribute 15% of their time to producing relevant sections and parts to their dedicated chapters. They are also expected to participate actively in the author meetings. </w:t>
            </w:r>
          </w:p>
        </w:tc>
        <w:tc>
          <w:tcPr>
            <w:tcW w:w="2735" w:type="dxa"/>
            <w:tcBorders>
              <w:left w:val="nil"/>
              <w:right w:val="single" w:sz="4" w:space="0" w:color="4472C4"/>
            </w:tcBorders>
          </w:tcPr>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lastRenderedPageBreak/>
              <w:t xml:space="preserve">Actively participate in discussions within the chapter team about the content of the chapter  </w:t>
            </w:r>
          </w:p>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 xml:space="preserve">Divide tasks amongst lead authors and identify the areas that each will write about </w:t>
            </w:r>
          </w:p>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 xml:space="preserve">Get familiarized with previous IPBES assessments to learn about </w:t>
            </w:r>
            <w:r w:rsidRPr="00DD3F88">
              <w:rPr>
                <w:sz w:val="18"/>
                <w:szCs w:val="18"/>
                <w:lang w:val="en-GB"/>
              </w:rPr>
              <w:lastRenderedPageBreak/>
              <w:t xml:space="preserve">the style and overall standards expected </w:t>
            </w:r>
          </w:p>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 xml:space="preserve">Collect peer reviewed literature for the author team to use </w:t>
            </w:r>
          </w:p>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keepNext/>
              <w:keepLines/>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When gaps are experienced in the chapter, consider where you could use a contributing author for to fill those gaps</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557" w:type="dxa"/>
            <w:tcBorders>
              <w:top w:val="nil"/>
              <w:left w:val="single" w:sz="4" w:space="0" w:color="4472C4"/>
              <w:bottom w:val="nil"/>
            </w:tcBorders>
            <w:hideMark/>
          </w:tcPr>
          <w:p w:rsidR="006E54C8" w:rsidRPr="00DD3F88" w:rsidRDefault="006E54C8" w:rsidP="00280AD4">
            <w:pPr>
              <w:keepNext/>
              <w:keepLines/>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lastRenderedPageBreak/>
              <w:t>Contributing Authors (CAs)</w:t>
            </w:r>
          </w:p>
        </w:tc>
        <w:tc>
          <w:tcPr>
            <w:tcW w:w="5195" w:type="dxa"/>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A contributing author’s role is to prepare technical information in the form of text, graphs or data for inclusion by the lead authors in the relevant section or part of a chapter. </w:t>
            </w:r>
          </w:p>
          <w:p w:rsidR="006E54C8" w:rsidRPr="00DD3F88" w:rsidRDefault="006E54C8" w:rsidP="00280AD4">
            <w:pPr>
              <w:tabs>
                <w:tab w:val="left" w:pos="624"/>
                <w:tab w:val="left" w:pos="1871"/>
                <w:tab w:val="left" w:pos="2495"/>
                <w:tab w:val="left" w:pos="3119"/>
              </w:tabs>
              <w:spacing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Input from a wide range of contributors is key to the success of Platform assessments. Contributions are sometimes solicited by lead authors but spontaneous contributions also encouraged. Contributions should be supported, as far as possible, with references from the peer reviewed and internationally available literature.</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pacing w:val="-1"/>
                <w:sz w:val="18"/>
                <w:szCs w:val="18"/>
                <w:lang w:val="en-GB" w:bidi="en-US"/>
              </w:rPr>
            </w:pPr>
            <w:r w:rsidRPr="00DD3F88">
              <w:rPr>
                <w:rFonts w:eastAsia="Calibri"/>
                <w:sz w:val="18"/>
                <w:szCs w:val="18"/>
                <w:lang w:val="en-GB"/>
              </w:rPr>
              <w:t xml:space="preserve">Contributing authors are responsible only for contributing to a specific part of the chapter and do not work on the chapter as a whole. They will be listed only as contributing author if their input is included in the final report. Contributing authors are not formally nominated and also do not normally fill in the conflict of interest forms. They are not privy of all communication in the chapter team but work directly with the LA or CLA who is coordinating the CA’s technical input into the chapter. </w:t>
            </w:r>
          </w:p>
        </w:tc>
        <w:tc>
          <w:tcPr>
            <w:tcW w:w="2735" w:type="dxa"/>
            <w:tcBorders>
              <w:top w:val="nil"/>
              <w:left w:val="nil"/>
              <w:bottom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DD3F88">
              <w:rPr>
                <w:sz w:val="18"/>
                <w:szCs w:val="18"/>
                <w:lang w:val="en-GB"/>
              </w:rPr>
              <w:t xml:space="preserve">Provide technical information in a concise and clear text or graph </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 xml:space="preserve">Provide the adequate referencing from peer reviewed material to the contribution </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 xml:space="preserve">Coordinate your input with the authors of the chapter as to see where your text is best fitted and to adapt it to the content of the overall chapter </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keepNext/>
              <w:keepLines/>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Keep in mind confidentiality of the report when being part of the author team.</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sz w:val="18"/>
                <w:szCs w:val="18"/>
                <w:lang w:val="en-GB"/>
              </w:rPr>
            </w:pPr>
            <w:r w:rsidRPr="00DD3F88">
              <w:rPr>
                <w:rFonts w:eastAsia="Calibri"/>
                <w:sz w:val="18"/>
                <w:szCs w:val="18"/>
                <w:lang w:val="en-GB"/>
              </w:rPr>
              <w:t>Review editors (REs)</w:t>
            </w:r>
          </w:p>
        </w:tc>
        <w:tc>
          <w:tcPr>
            <w:tcW w:w="5195" w:type="dxa"/>
            <w:tcBorders>
              <w:left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Review Editors are seniors in their field, and may represent a range of scientific, technical and socioeconomic views, and therefore have expertise in one or more natural and social scientific disciplines, and represent or have expertise in indigenous and local knowledge. The review editors get involved as of the review phase of the first order draft and help the author teams to address review comments during the second and third author meeting, and help to ensure that confidence terms are used consistently throughout the executive summary of the related chapter. </w:t>
            </w:r>
          </w:p>
          <w:p w:rsidR="006E54C8" w:rsidRPr="00DD3F88" w:rsidRDefault="006E54C8" w:rsidP="00280AD4">
            <w:pPr>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In general, there will be two review editors per chapter, including its executive summary. It is also possible that an assessment has one or more overall review editors that review the entire report. Review editors are not actively engaged in drafting reports and may not serve as reviewers for text that they have been involved in writing.</w:t>
            </w:r>
          </w:p>
          <w:p w:rsidR="006E54C8" w:rsidRPr="00DD3F88" w:rsidRDefault="006E54C8" w:rsidP="00280AD4">
            <w:pPr>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The review editors’ main tasks are: (i) to assist the Multidisciplinary Expert Panel in identifying reviewers for the expert review process, (ii) ensure that all substantive expert and government review comments are afforded appropriate consideration, (iii) advise lead authors on how to handle contentious or controversial issues and (iv) ensure that genuine controversies are adequately reflected in the text of the report concerned. </w:t>
            </w:r>
          </w:p>
          <w:p w:rsidR="006E54C8" w:rsidRPr="00DD3F88" w:rsidRDefault="006E54C8" w:rsidP="00280AD4">
            <w:pPr>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Responsibility for the final text of the report remains with the relevant CLAs and LAs.</w:t>
            </w:r>
          </w:p>
          <w:p w:rsidR="006E54C8" w:rsidRPr="00DD3F88" w:rsidRDefault="006E54C8" w:rsidP="00280AD4">
            <w:pPr>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Review editors must submit a written report to the Multidisciplinary Expert Panel and, where appropriate, will be requested to attend a meeting convened by the Multidisciplinary Expert Panel to communicate their findings from the review process and to assist in finalizing summaries for policymakers and, as necessary, synthesis reports. The names of all review editors will be acknowledged in the reports.</w:t>
            </w:r>
          </w:p>
          <w:p w:rsidR="006E54C8" w:rsidRPr="00DD3F88" w:rsidRDefault="006E54C8" w:rsidP="00280AD4">
            <w:pPr>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DD3F88">
              <w:rPr>
                <w:rFonts w:eastAsia="Calibri"/>
                <w:sz w:val="18"/>
                <w:szCs w:val="18"/>
                <w:lang w:val="en-GB"/>
              </w:rPr>
              <w:t>Review editors participate in the second and third author meetings.</w:t>
            </w:r>
          </w:p>
        </w:tc>
        <w:tc>
          <w:tcPr>
            <w:tcW w:w="2735" w:type="dxa"/>
            <w:tcBorders>
              <w:left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Get accustomed to the content of the chapter of which you are the review editor well before the Second Author’s Meeting</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 xml:space="preserve">Consider who would be suitable candidates for performing the expert review </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Refrain from imposing changes in the text to the author team</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 xml:space="preserve">Review the responses by authors to comments received </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 xml:space="preserve">Be a good sparring partner to the author team and make good judgement calls </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Be open to different perspectives and world views</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557"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sz w:val="18"/>
                <w:szCs w:val="18"/>
                <w:lang w:val="en-GB"/>
              </w:rPr>
            </w:pPr>
            <w:r w:rsidRPr="00DD3F88">
              <w:rPr>
                <w:rFonts w:eastAsia="Calibri"/>
                <w:sz w:val="18"/>
                <w:szCs w:val="18"/>
                <w:lang w:val="en-GB"/>
              </w:rPr>
              <w:t>Peer reviewers</w:t>
            </w:r>
          </w:p>
        </w:tc>
        <w:tc>
          <w:tcPr>
            <w:tcW w:w="5195" w:type="dxa"/>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Peer reviewers carry out the external review of the first and second order drafts of the assessment report and the summary for policy makers. They have to register as an expert reviewer in order to be able to comment on the accuracy and completeness of the scientific/technical/socio-economic content and the overall </w:t>
            </w:r>
            <w:r w:rsidRPr="00DD3F88">
              <w:rPr>
                <w:rFonts w:eastAsia="Calibri"/>
                <w:sz w:val="18"/>
                <w:szCs w:val="18"/>
                <w:lang w:val="en-GB"/>
              </w:rPr>
              <w:lastRenderedPageBreak/>
              <w:t>scientific/technical/socio-economic balance of the drafts. An expert reviewer evaluates the quality, validity and relevance of the assessment. The aim of a peer review is to provide authors with constructive feedback that will help in preparing the assessment of the highest quality.</w:t>
            </w:r>
          </w:p>
          <w:p w:rsidR="006E54C8" w:rsidRPr="00DD3F88" w:rsidRDefault="006E54C8" w:rsidP="00280AD4">
            <w:pPr>
              <w:tabs>
                <w:tab w:val="left" w:pos="624"/>
                <w:tab w:val="left" w:pos="1871"/>
                <w:tab w:val="left" w:pos="2495"/>
                <w:tab w:val="left" w:pos="3119"/>
              </w:tabs>
              <w:spacing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Experts who are nominated by governments and observer organizations but not selected are encouraged to contribute to the report as Expert Reviewers.</w:t>
            </w:r>
          </w:p>
          <w:p w:rsidR="006E54C8" w:rsidRPr="00DD3F88" w:rsidRDefault="006E54C8" w:rsidP="00280AD4">
            <w:pPr>
              <w:tabs>
                <w:tab w:val="left" w:pos="624"/>
                <w:tab w:val="left" w:pos="1871"/>
                <w:tab w:val="left" w:pos="2495"/>
                <w:tab w:val="left" w:pos="3119"/>
              </w:tabs>
              <w:spacing w:after="120"/>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DD3F88">
              <w:rPr>
                <w:rFonts w:eastAsia="Calibri"/>
                <w:sz w:val="18"/>
                <w:szCs w:val="18"/>
                <w:lang w:val="en-GB"/>
              </w:rPr>
              <w:t xml:space="preserve">Expert reviewers are independent experts (i.e. experts not involved in the preparation of that particular chapter). They will be mentioned as expert reviewers in the final report. </w:t>
            </w:r>
          </w:p>
        </w:tc>
        <w:tc>
          <w:tcPr>
            <w:tcW w:w="2735" w:type="dxa"/>
            <w:tcBorders>
              <w:top w:val="nil"/>
              <w:left w:val="nil"/>
              <w:bottom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lastRenderedPageBreak/>
              <w:t>Comment in a constructive tone</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lastRenderedPageBreak/>
              <w:t>Comment also on parts of the text that are relevant and that should stay in the text</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Be specific with full citations for relevant papers, when providing suggestions for text revision</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Suggest on ways to shorten the text and/or display content using figures or tables</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Focus on substantive issues (comments on spelling, text style and grammar are not needed)</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When reviewing the draft report, also take note of the original scoping document for the assessment</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Comments will only be accepted in English and in the given review format.</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Comments are to be given within the deadline of review.</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lastRenderedPageBreak/>
              <w:t>Fellows</w:t>
            </w:r>
          </w:p>
        </w:tc>
        <w:tc>
          <w:tcPr>
            <w:tcW w:w="5195" w:type="dxa"/>
            <w:tcBorders>
              <w:left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The IPBES fellowship programme allows early career researchers and other professionals to engage with the Platform’s activities, working alongside more experienced colleagues. Fellows are experts that are in the early stages of their careers, indicatively not older than 35 years of age and 5-10 years of experience after obtaining their academic degree. They should be working in the area of social, economic and biological sciences, policy development and/or indigenous and local knowledge systems.</w:t>
            </w:r>
          </w:p>
          <w:p w:rsidR="006E54C8" w:rsidRPr="00DD3F88" w:rsidRDefault="006E54C8" w:rsidP="00280AD4">
            <w:pPr>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Fellows are an integral part of the IPBES assessment chapters and they collaborate with the CLAs and LAs in developing sections or parts of the chapters. They receive training to gain an in-depth understanding of the IPBES assessment processes. Fellows will also be paired up with a mentor for the assessment period. </w:t>
            </w:r>
          </w:p>
          <w:p w:rsidR="006E54C8" w:rsidRPr="00DD3F88" w:rsidRDefault="006E54C8" w:rsidP="00280AD4">
            <w:pPr>
              <w:tabs>
                <w:tab w:val="left" w:pos="624"/>
                <w:tab w:val="left" w:pos="1871"/>
                <w:tab w:val="left" w:pos="2495"/>
                <w:tab w:val="left" w:pos="3119"/>
              </w:tabs>
              <w:spacing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Fellows are expected to participate in the author meetings. </w:t>
            </w:r>
          </w:p>
        </w:tc>
        <w:tc>
          <w:tcPr>
            <w:tcW w:w="2735" w:type="dxa"/>
            <w:tcBorders>
              <w:left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DD3F88">
              <w:rPr>
                <w:sz w:val="18"/>
                <w:szCs w:val="18"/>
                <w:lang w:val="en-GB"/>
              </w:rPr>
              <w:t>Coordinate your role in the chapter with your mentor as well as the existing CLAs and LAs in your chapter</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Get acknowledged to other IPBES assessments</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sz w:val="18"/>
                <w:szCs w:val="18"/>
                <w:lang w:val="en-GB"/>
              </w:rPr>
            </w:pPr>
            <w:r w:rsidRPr="00DD3F88">
              <w:rPr>
                <w:sz w:val="18"/>
                <w:szCs w:val="18"/>
                <w:lang w:val="en-GB"/>
              </w:rPr>
              <w:t>Do not be afraid to bring in new ideas or ask questions!</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557" w:type="dxa"/>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Technical Support Units (TSUs)</w:t>
            </w:r>
          </w:p>
        </w:tc>
        <w:tc>
          <w:tcPr>
            <w:tcW w:w="5195" w:type="dxa"/>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The IPBES secretariat is mandated to provide technical support to the expert working groups. Technical support needed for the development of the deliverables including the assessments will in principle be provided by the secretariat. In many </w:t>
            </w:r>
            <w:proofErr w:type="gramStart"/>
            <w:r w:rsidRPr="00DD3F88">
              <w:rPr>
                <w:rFonts w:eastAsia="Calibri"/>
                <w:sz w:val="18"/>
                <w:szCs w:val="18"/>
                <w:lang w:val="en-GB"/>
              </w:rPr>
              <w:t>instances</w:t>
            </w:r>
            <w:proofErr w:type="gramEnd"/>
            <w:r w:rsidRPr="00DD3F88">
              <w:rPr>
                <w:rFonts w:eastAsia="Calibri"/>
                <w:sz w:val="18"/>
                <w:szCs w:val="18"/>
                <w:lang w:val="en-GB"/>
              </w:rPr>
              <w:t xml:space="preserve"> however, the technical support needed exceeds the capacity of the secretariat in its planned composition and it is more cost effective when additional technical support to expert groups is provided through the establishment of technical support units</w:t>
            </w:r>
          </w:p>
          <w:p w:rsidR="006E54C8" w:rsidRPr="00DD3F88" w:rsidRDefault="006E54C8" w:rsidP="00280AD4">
            <w:pPr>
              <w:tabs>
                <w:tab w:val="left" w:pos="624"/>
                <w:tab w:val="left" w:pos="1871"/>
                <w:tab w:val="left" w:pos="2495"/>
                <w:tab w:val="left" w:pos="3119"/>
              </w:tabs>
              <w:spacing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Each assessment has one dedicated technical support unit, normally hosted by a partner institution and consisting of a couple of technical and administrative staff members. Technical support units represent one avenue for involving regional hubs and regional or thematic centres of excellence in the work of the Platform. It can also happen that the technical support unit is hosted within the IPBES secretariat. In any case, the TSU works under the under the oversight of the secretariat to coordinate and administer the activities for the assessment expert group.</w:t>
            </w:r>
          </w:p>
          <w:p w:rsidR="006E54C8" w:rsidRPr="00DD3F88" w:rsidRDefault="006E54C8" w:rsidP="00280AD4">
            <w:pPr>
              <w:tabs>
                <w:tab w:val="left" w:pos="624"/>
                <w:tab w:val="left" w:pos="1871"/>
                <w:tab w:val="left" w:pos="2495"/>
                <w:tab w:val="left" w:pos="3119"/>
              </w:tabs>
              <w:spacing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Some of these main activities include:</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Provide guidance to the expert group to ensure that activities are delivered in accordance with the guidance of the MEP, related IPBES decisions, and with the rules of procedure of the Platform.</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lastRenderedPageBreak/>
              <w:t xml:space="preserve">Provision of logistical, technical and thematic support (through documents, communications, contacts, etc.) to the experts to facilitate their participation in the assessment </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Support the formatting and editing of the regional assessment report and the identification of plagiarism risks.</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Support the organization and storage of reference materials and data used in the assessment report, make assessment related material not publicly available accessible to reviewers and submit the material to the IPBES secretariat for archiving.</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Support the expert group in convening teleconferences, also by putting in place the necessary teleconference services to facilitate calls. </w:t>
            </w:r>
          </w:p>
        </w:tc>
        <w:tc>
          <w:tcPr>
            <w:tcW w:w="2735" w:type="dxa"/>
            <w:tcBorders>
              <w:top w:val="nil"/>
              <w:left w:val="nil"/>
              <w:bottom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DD3F88">
              <w:rPr>
                <w:sz w:val="18"/>
                <w:szCs w:val="18"/>
                <w:lang w:val="en-GB"/>
              </w:rPr>
              <w:lastRenderedPageBreak/>
              <w:t xml:space="preserve">Provide regular updates to both the assessment teams and the secretariat on assessment developments </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 xml:space="preserve">Build relationships with your authors to facilitate the building of trust </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sz w:val="18"/>
                <w:szCs w:val="18"/>
                <w:lang w:val="en-GB"/>
              </w:rPr>
            </w:pPr>
            <w:r w:rsidRPr="00DD3F88">
              <w:rPr>
                <w:sz w:val="18"/>
                <w:szCs w:val="18"/>
                <w:lang w:val="en-GB"/>
              </w:rPr>
              <w:t>Stay up to date with all IPBES relevant rules of procedures and Plenary decisions</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highlight w:val="yellow"/>
                <w:lang w:val="en-GB"/>
              </w:rPr>
            </w:pPr>
            <w:r w:rsidRPr="00DD3F88">
              <w:rPr>
                <w:rFonts w:eastAsia="Calibri"/>
                <w:sz w:val="18"/>
                <w:szCs w:val="18"/>
                <w:lang w:val="en-GB"/>
              </w:rPr>
              <w:t>The IPBES secretariat</w:t>
            </w:r>
          </w:p>
        </w:tc>
        <w:tc>
          <w:tcPr>
            <w:tcW w:w="5195" w:type="dxa"/>
            <w:tcBorders>
              <w:left w:val="nil"/>
              <w:right w:val="nil"/>
            </w:tcBorders>
            <w:hideMark/>
          </w:tcPr>
          <w:p w:rsidR="006E54C8" w:rsidRPr="00DD3F88" w:rsidRDefault="006E54C8" w:rsidP="00280AD4">
            <w:pPr>
              <w:tabs>
                <w:tab w:val="left" w:pos="624"/>
                <w:tab w:val="left" w:pos="720"/>
                <w:tab w:val="left" w:pos="1871"/>
                <w:tab w:val="left" w:pos="2495"/>
                <w:tab w:val="left" w:pos="3119"/>
              </w:tabs>
              <w:spacing w:after="120"/>
              <w:ind w:left="315"/>
              <w:cnfStyle w:val="000000100000" w:firstRow="0" w:lastRow="0" w:firstColumn="0" w:lastColumn="0" w:oddVBand="0" w:evenVBand="0" w:oddHBand="1" w:evenHBand="0" w:firstRowFirstColumn="0" w:firstRowLastColumn="0" w:lastRowFirstColumn="0" w:lastRowLastColumn="0"/>
              <w:rPr>
                <w:rFonts w:eastAsia="Calibri"/>
                <w:sz w:val="18"/>
                <w:szCs w:val="18"/>
                <w:highlight w:val="yellow"/>
                <w:lang w:val="en-GB"/>
              </w:rPr>
            </w:pPr>
            <w:r w:rsidRPr="00DD3F88">
              <w:rPr>
                <w:rFonts w:eastAsia="Calibri"/>
                <w:sz w:val="18"/>
                <w:szCs w:val="18"/>
                <w:lang w:val="en-GB"/>
              </w:rPr>
              <w:t>The IPBES secretariat support the Bureau, MEP and Management Committees in overseeing the production of the assessment report, oversee the provision of support by the TSU and store and provide access to assessment related materials that are not publicly available. Other key roles include supporting the Plenary, interacting with governments and ensuring that governments and other stakeholders receive all relevant documents</w:t>
            </w:r>
          </w:p>
        </w:tc>
        <w:tc>
          <w:tcPr>
            <w:tcW w:w="2735" w:type="dxa"/>
            <w:tcBorders>
              <w:left w:val="nil"/>
              <w:right w:val="single" w:sz="4" w:space="0" w:color="4472C4"/>
            </w:tcBorders>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p>
        </w:tc>
      </w:tr>
    </w:tbl>
    <w:p w:rsidR="006E54C8" w:rsidRPr="00DD3F88" w:rsidRDefault="006E54C8" w:rsidP="00280AD4">
      <w:pPr>
        <w:tabs>
          <w:tab w:val="left" w:pos="624"/>
          <w:tab w:val="left" w:pos="1871"/>
          <w:tab w:val="left" w:pos="2495"/>
          <w:tab w:val="left" w:pos="3119"/>
        </w:tabs>
        <w:rPr>
          <w:rFonts w:eastAsia="Calibri"/>
          <w:i/>
          <w:iCs/>
          <w:lang w:val="en-G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6E54C8" w:rsidRPr="00FA50AA" w:rsidTr="00480CDD">
        <w:trPr>
          <w:trHeight w:val="528"/>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E54C8" w:rsidRPr="00DD3F88" w:rsidRDefault="006E54C8" w:rsidP="00280AD4">
            <w:pPr>
              <w:tabs>
                <w:tab w:val="left" w:pos="624"/>
                <w:tab w:val="left" w:pos="1871"/>
                <w:tab w:val="left" w:pos="2495"/>
                <w:tab w:val="left" w:pos="3119"/>
              </w:tabs>
              <w:rPr>
                <w:rFonts w:eastAsia="Times New Roman"/>
                <w:b/>
                <w:lang w:val="en-GB"/>
              </w:rPr>
            </w:pPr>
            <w:r w:rsidRPr="00DD3F88">
              <w:rPr>
                <w:b/>
                <w:lang w:val="en-GB"/>
              </w:rPr>
              <w:t xml:space="preserve">Box 2.1 </w:t>
            </w:r>
            <w:r w:rsidRPr="00DD3F88">
              <w:rPr>
                <w:rFonts w:eastAsia="Calibri"/>
                <w:b/>
                <w:lang w:val="en-GB"/>
              </w:rPr>
              <w:t xml:space="preserve">Writing suggestions </w:t>
            </w:r>
            <w:r w:rsidRPr="00DD3F88">
              <w:rPr>
                <w:rFonts w:eastAsia="Calibri"/>
                <w:b/>
                <w:spacing w:val="-1"/>
                <w:lang w:val="en-GB"/>
              </w:rPr>
              <w:t xml:space="preserve">for </w:t>
            </w:r>
            <w:r w:rsidRPr="00DD3F88">
              <w:rPr>
                <w:rFonts w:eastAsia="Calibri"/>
                <w:b/>
                <w:lang w:val="en-GB"/>
              </w:rPr>
              <w:t>assessment reports</w:t>
            </w:r>
            <w:r w:rsidRPr="00DD3F88">
              <w:rPr>
                <w:b/>
                <w:lang w:val="en-GB"/>
              </w:rPr>
              <w:tab/>
            </w:r>
          </w:p>
        </w:tc>
      </w:tr>
      <w:tr w:rsidR="006E54C8" w:rsidRPr="00DD3F88" w:rsidTr="00480CDD">
        <w:tc>
          <w:tcPr>
            <w:tcW w:w="9498" w:type="dxa"/>
            <w:tcBorders>
              <w:top w:val="single" w:sz="4" w:space="0" w:color="auto"/>
              <w:left w:val="single" w:sz="4" w:space="0" w:color="auto"/>
              <w:bottom w:val="single" w:sz="4" w:space="0" w:color="auto"/>
              <w:right w:val="single" w:sz="4" w:space="0" w:color="auto"/>
            </w:tcBorders>
            <w:vAlign w:val="center"/>
          </w:tcPr>
          <w:p w:rsidR="006E54C8" w:rsidRPr="00DD3F88" w:rsidRDefault="006E54C8" w:rsidP="00280AD4">
            <w:pPr>
              <w:numPr>
                <w:ilvl w:val="0"/>
                <w:numId w:val="18"/>
              </w:numPr>
              <w:tabs>
                <w:tab w:val="left" w:pos="624"/>
                <w:tab w:val="left" w:pos="743"/>
                <w:tab w:val="left" w:pos="1871"/>
                <w:tab w:val="left" w:pos="2495"/>
                <w:tab w:val="left" w:pos="3119"/>
              </w:tabs>
              <w:spacing w:line="276" w:lineRule="auto"/>
              <w:rPr>
                <w:lang w:val="en-GB"/>
              </w:rPr>
            </w:pPr>
            <w:r w:rsidRPr="00DD3F88">
              <w:rPr>
                <w:lang w:val="en-GB"/>
              </w:rPr>
              <w:t>These suggestions are based on comments received during the Millennium Ecosystem Assessment peer review process.</w:t>
            </w:r>
          </w:p>
          <w:p w:rsidR="006E54C8" w:rsidRPr="00DD3F88" w:rsidRDefault="006E54C8" w:rsidP="00280AD4">
            <w:pPr>
              <w:numPr>
                <w:ilvl w:val="0"/>
                <w:numId w:val="18"/>
              </w:numPr>
              <w:tabs>
                <w:tab w:val="left" w:pos="624"/>
                <w:tab w:val="left" w:pos="743"/>
                <w:tab w:val="left" w:pos="1871"/>
                <w:tab w:val="left" w:pos="2495"/>
                <w:tab w:val="left" w:pos="3119"/>
              </w:tabs>
              <w:spacing w:line="276" w:lineRule="auto"/>
              <w:rPr>
                <w:lang w:val="en-GB"/>
              </w:rPr>
            </w:pPr>
            <w:r w:rsidRPr="00DD3F88">
              <w:rPr>
                <w:lang w:val="en-GB"/>
              </w:rPr>
              <w:t>Discuss the problems and actions first. Any necessary background can come later, in an appendix or in references to other sources.</w:t>
            </w:r>
          </w:p>
          <w:p w:rsidR="006E54C8" w:rsidRPr="00DD3F88" w:rsidRDefault="006E54C8" w:rsidP="00280AD4">
            <w:pPr>
              <w:numPr>
                <w:ilvl w:val="0"/>
                <w:numId w:val="18"/>
              </w:numPr>
              <w:tabs>
                <w:tab w:val="left" w:pos="624"/>
                <w:tab w:val="left" w:pos="743"/>
                <w:tab w:val="left" w:pos="1871"/>
                <w:tab w:val="left" w:pos="2495"/>
                <w:tab w:val="left" w:pos="3119"/>
              </w:tabs>
              <w:spacing w:line="276" w:lineRule="auto"/>
              <w:rPr>
                <w:lang w:val="en-GB"/>
              </w:rPr>
            </w:pPr>
            <w:r w:rsidRPr="00DD3F88">
              <w:rPr>
                <w:lang w:val="en-GB"/>
              </w:rPr>
              <w:t>Focus on definable measures and actions and avoid the passive voice. For example, policy professionals are likely to ignore statements like “there are reasons to believe some trends can be slowed or even reversed”. If there are some opportunities for reversal, state precisely what we believe they are, as best we know.</w:t>
            </w:r>
          </w:p>
          <w:p w:rsidR="006E54C8" w:rsidRPr="00DD3F88" w:rsidRDefault="006E54C8" w:rsidP="00280AD4">
            <w:pPr>
              <w:numPr>
                <w:ilvl w:val="0"/>
                <w:numId w:val="18"/>
              </w:numPr>
              <w:tabs>
                <w:tab w:val="left" w:pos="624"/>
                <w:tab w:val="left" w:pos="743"/>
                <w:tab w:val="left" w:pos="1871"/>
                <w:tab w:val="left" w:pos="2495"/>
                <w:tab w:val="left" w:pos="3119"/>
              </w:tabs>
              <w:spacing w:line="276" w:lineRule="auto"/>
              <w:rPr>
                <w:lang w:val="en-GB"/>
              </w:rPr>
            </w:pPr>
            <w:r w:rsidRPr="00DD3F88">
              <w:rPr>
                <w:lang w:val="en-GB"/>
              </w:rPr>
              <w:t>Statements like “...might have enormous ramifications for health and productivity...,” while they seem to the scientist to be strong because of the word “enormous” are actually politically impotent because of the word “might.” If data were used in the assessment, what do they say about what “is” happening? What can we recommend, based on best knowledge, about what actions would be effective?</w:t>
            </w:r>
          </w:p>
          <w:p w:rsidR="006E54C8" w:rsidRPr="00DD3F88" w:rsidRDefault="006E54C8" w:rsidP="00280AD4">
            <w:pPr>
              <w:numPr>
                <w:ilvl w:val="0"/>
                <w:numId w:val="18"/>
              </w:numPr>
              <w:tabs>
                <w:tab w:val="left" w:pos="624"/>
                <w:tab w:val="left" w:pos="743"/>
                <w:tab w:val="left" w:pos="1871"/>
                <w:tab w:val="left" w:pos="2495"/>
                <w:tab w:val="left" w:pos="3119"/>
              </w:tabs>
              <w:spacing w:line="276" w:lineRule="auto"/>
              <w:rPr>
                <w:lang w:val="en-GB"/>
              </w:rPr>
            </w:pPr>
            <w:r w:rsidRPr="00DD3F88">
              <w:rPr>
                <w:lang w:val="en-GB"/>
              </w:rPr>
              <w:t>Statements like “There is a long history of concern over the environmental effects of fishing in coastal habitats, but the vast scope of ecological degradation is only recently becoming apparent (citation)” is a case where something strong could be said, but it is weakened by putting the emphasis on the late arrival of this information and knowledge “becoming apparent.” It does not matter so much when the degradation was discovered, what matters is that it was. Cite the source and say “fishing practices are causing wide</w:t>
            </w:r>
            <w:r w:rsidR="00635BCB">
              <w:rPr>
                <w:lang w:val="en-GB"/>
              </w:rPr>
              <w:noBreakHyphen/>
            </w:r>
            <w:r w:rsidRPr="00DD3F88">
              <w:rPr>
                <w:lang w:val="en-GB"/>
              </w:rPr>
              <w:t>spread destruction.”</w:t>
            </w:r>
          </w:p>
          <w:p w:rsidR="006E54C8" w:rsidRPr="00DD3F88" w:rsidRDefault="006E54C8" w:rsidP="00280AD4">
            <w:pPr>
              <w:numPr>
                <w:ilvl w:val="0"/>
                <w:numId w:val="18"/>
              </w:numPr>
              <w:tabs>
                <w:tab w:val="left" w:pos="624"/>
                <w:tab w:val="left" w:pos="743"/>
                <w:tab w:val="left" w:pos="1871"/>
                <w:tab w:val="left" w:pos="2495"/>
                <w:tab w:val="left" w:pos="3119"/>
              </w:tabs>
              <w:spacing w:line="276" w:lineRule="auto"/>
              <w:rPr>
                <w:lang w:val="en-GB"/>
              </w:rPr>
            </w:pPr>
            <w:r w:rsidRPr="00DD3F88">
              <w:rPr>
                <w:lang w:val="en-GB"/>
              </w:rPr>
              <w:t>Do not use value-laden, flowery, or colloquial language (e.g. “sleeping dragon,” “elephant in the room,” etc.).</w:t>
            </w:r>
          </w:p>
          <w:p w:rsidR="006E54C8" w:rsidRPr="00DD3F88" w:rsidRDefault="006E54C8" w:rsidP="00280AD4">
            <w:pPr>
              <w:numPr>
                <w:ilvl w:val="0"/>
                <w:numId w:val="18"/>
              </w:numPr>
              <w:tabs>
                <w:tab w:val="left" w:pos="624"/>
                <w:tab w:val="left" w:pos="743"/>
                <w:tab w:val="left" w:pos="1871"/>
                <w:tab w:val="left" w:pos="2495"/>
                <w:tab w:val="left" w:pos="3119"/>
              </w:tabs>
              <w:spacing w:line="276" w:lineRule="auto"/>
              <w:rPr>
                <w:lang w:val="en-GB"/>
              </w:rPr>
            </w:pPr>
            <w:r w:rsidRPr="00DD3F88">
              <w:rPr>
                <w:lang w:val="en-GB"/>
              </w:rPr>
              <w:t>Statements like “we do not yet have clear guidelines for achieving responsible, effective management of natural resources” could result in a legitimate policy response of “OK, so we’ll wait until we do.” Instead, the statement could be changed to recommend what needs to be done, such as “if clear guidelines were developed, then...”</w:t>
            </w:r>
          </w:p>
          <w:p w:rsidR="006E54C8" w:rsidRPr="00DD3F88" w:rsidRDefault="006E54C8" w:rsidP="00280AD4">
            <w:pPr>
              <w:numPr>
                <w:ilvl w:val="0"/>
                <w:numId w:val="18"/>
              </w:numPr>
              <w:tabs>
                <w:tab w:val="left" w:pos="624"/>
                <w:tab w:val="left" w:pos="743"/>
                <w:tab w:val="left" w:pos="1871"/>
                <w:tab w:val="left" w:pos="2495"/>
                <w:tab w:val="left" w:pos="3119"/>
              </w:tabs>
              <w:spacing w:line="276" w:lineRule="auto"/>
              <w:rPr>
                <w:lang w:val="en-GB"/>
              </w:rPr>
            </w:pPr>
            <w:r w:rsidRPr="00DD3F88">
              <w:rPr>
                <w:lang w:val="en-GB"/>
              </w:rPr>
              <w:t>Diverse formats and modes of communication, for example participatory maps, artwork and visual imagery, will be important for working with indigenous and local knowledge.</w:t>
            </w:r>
          </w:p>
          <w:p w:rsidR="006E54C8" w:rsidRPr="00DD3F88" w:rsidRDefault="006E54C8" w:rsidP="00280AD4">
            <w:pPr>
              <w:tabs>
                <w:tab w:val="left" w:pos="624"/>
                <w:tab w:val="left" w:pos="1871"/>
                <w:tab w:val="left" w:pos="2495"/>
                <w:tab w:val="left" w:pos="3119"/>
              </w:tabs>
              <w:spacing w:line="276" w:lineRule="auto"/>
              <w:ind w:left="720"/>
              <w:rPr>
                <w:i/>
                <w:iCs/>
                <w:lang w:val="en-GB"/>
              </w:rPr>
            </w:pPr>
            <w:r w:rsidRPr="00DD3F88">
              <w:rPr>
                <w:lang w:val="en-GB"/>
              </w:rPr>
              <w:t xml:space="preserve">                                                                                                                                 </w:t>
            </w:r>
            <w:r w:rsidRPr="00DD3F88">
              <w:rPr>
                <w:i/>
                <w:iCs/>
                <w:lang w:val="en-GB"/>
              </w:rPr>
              <w:t>Source: Ash et al., 2010</w:t>
            </w:r>
          </w:p>
          <w:p w:rsidR="006E54C8" w:rsidRPr="00DD3F88" w:rsidRDefault="006E54C8" w:rsidP="00280AD4">
            <w:pPr>
              <w:tabs>
                <w:tab w:val="left" w:pos="624"/>
                <w:tab w:val="left" w:pos="743"/>
                <w:tab w:val="left" w:pos="1871"/>
                <w:tab w:val="left" w:pos="2495"/>
                <w:tab w:val="left" w:pos="3119"/>
              </w:tabs>
              <w:spacing w:line="276" w:lineRule="auto"/>
              <w:ind w:left="360"/>
              <w:rPr>
                <w:lang w:val="en-GB"/>
              </w:rPr>
            </w:pPr>
          </w:p>
        </w:tc>
      </w:tr>
    </w:tbl>
    <w:p w:rsidR="006E54C8" w:rsidRPr="00DD3F88" w:rsidRDefault="006E54C8" w:rsidP="00280AD4">
      <w:pPr>
        <w:pStyle w:val="CH3"/>
        <w:tabs>
          <w:tab w:val="left" w:pos="624"/>
          <w:tab w:val="left" w:pos="1871"/>
          <w:tab w:val="left" w:pos="2495"/>
          <w:tab w:val="left" w:pos="3119"/>
        </w:tabs>
        <w:spacing w:before="120"/>
        <w:ind w:left="993" w:hanging="1106"/>
        <w:rPr>
          <w:lang w:val="en-GB" w:bidi="en-US"/>
        </w:rPr>
      </w:pPr>
      <w:r w:rsidRPr="00DD3F88">
        <w:rPr>
          <w:lang w:val="en-GB" w:bidi="en-US"/>
        </w:rPr>
        <w:tab/>
        <w:t>2.2.2</w:t>
      </w:r>
      <w:r w:rsidRPr="00DD3F88">
        <w:rPr>
          <w:lang w:val="en-GB" w:bidi="en-US"/>
        </w:rPr>
        <w:tab/>
        <w:t>Conflicts of interest</w:t>
      </w:r>
    </w:p>
    <w:p w:rsidR="006E54C8" w:rsidRPr="00DD3F88" w:rsidRDefault="006E54C8" w:rsidP="00280AD4">
      <w:pPr>
        <w:pStyle w:val="NormalNonumber"/>
        <w:tabs>
          <w:tab w:val="left" w:pos="624"/>
          <w:tab w:val="left" w:pos="1871"/>
          <w:tab w:val="left" w:pos="2495"/>
          <w:tab w:val="left" w:pos="3119"/>
        </w:tabs>
        <w:rPr>
          <w:lang w:val="en-GB"/>
        </w:rPr>
      </w:pPr>
      <w:r w:rsidRPr="00DD3F88">
        <w:rPr>
          <w:rFonts w:eastAsia="Calibri"/>
          <w:lang w:val="en-GB"/>
        </w:rPr>
        <w:t>IPBES has put in place a conflict of interest policy and implementation procedures</w:t>
      </w:r>
      <w:r w:rsidRPr="00DD3F88">
        <w:rPr>
          <w:rStyle w:val="FootnoteReference"/>
          <w:rFonts w:eastAsia="Calibri"/>
          <w:lang w:val="en-GB"/>
        </w:rPr>
        <w:footnoteReference w:id="8"/>
      </w:r>
      <w:r w:rsidRPr="00DD3F88">
        <w:rPr>
          <w:rFonts w:eastAsia="Calibri"/>
          <w:lang w:val="en-GB"/>
        </w:rPr>
        <w:t xml:space="preserve"> to ensure that attention is paid to issues of independence and bias in order for there to be public confidence in the </w:t>
      </w:r>
      <w:r w:rsidRPr="00DD3F88">
        <w:rPr>
          <w:rFonts w:eastAsia="Calibri"/>
          <w:lang w:val="en-GB"/>
        </w:rPr>
        <w:lastRenderedPageBreak/>
        <w:t xml:space="preserve">product and processes of IPBES. IPBES defines conflict of interest and bias as </w:t>
      </w:r>
      <w:r w:rsidRPr="00DD3F88">
        <w:rPr>
          <w:lang w:val="en-GB"/>
        </w:rPr>
        <w:t>any circumstances that could lead a reasonable person to question either an individual’s objectivity, or whether an unfair advantage has been created, constitute a potential conflict of interest. The policy further sets out the difference between conflict of interest and bias along with rules on how the policy should be applied including the Committee of Conflicts of Interest. Within an IPBES assessment all Co-chairs, Coordinating Lead Author (CLAs), Lead Author (LAs) and Review Editor (REs) must sign a conflict of interest form.</w:t>
      </w:r>
    </w:p>
    <w:p w:rsidR="006E54C8" w:rsidRPr="00DD3F88" w:rsidRDefault="006E54C8" w:rsidP="00280AD4">
      <w:pPr>
        <w:pStyle w:val="NormalNonumber"/>
        <w:tabs>
          <w:tab w:val="left" w:pos="624"/>
          <w:tab w:val="left" w:pos="1871"/>
          <w:tab w:val="left" w:pos="2495"/>
          <w:tab w:val="left" w:pos="3119"/>
        </w:tabs>
        <w:rPr>
          <w:lang w:val="en-GB"/>
        </w:rPr>
      </w:pPr>
    </w:p>
    <w:p w:rsidR="006E54C8" w:rsidRPr="00DD3F88" w:rsidRDefault="006E54C8" w:rsidP="00280AD4">
      <w:pPr>
        <w:pStyle w:val="CH3"/>
        <w:tabs>
          <w:tab w:val="left" w:pos="624"/>
          <w:tab w:val="left" w:pos="1871"/>
          <w:tab w:val="left" w:pos="2495"/>
          <w:tab w:val="left" w:pos="3119"/>
        </w:tabs>
        <w:ind w:left="567" w:firstLine="0"/>
        <w:rPr>
          <w:rFonts w:eastAsia="Calibri"/>
          <w:lang w:val="en-GB"/>
        </w:rPr>
      </w:pPr>
      <w:r w:rsidRPr="00DD3F88">
        <w:rPr>
          <w:rFonts w:eastAsia="Calibri"/>
          <w:lang w:val="en-GB"/>
        </w:rPr>
        <w:t>2.2.3</w:t>
      </w:r>
      <w:r w:rsidR="001F3A5E">
        <w:rPr>
          <w:rFonts w:eastAsia="Calibri"/>
          <w:lang w:val="en-GB"/>
        </w:rPr>
        <w:tab/>
      </w:r>
      <w:r w:rsidRPr="00DD3F88">
        <w:rPr>
          <w:rFonts w:eastAsia="Calibri"/>
          <w:lang w:val="en-GB"/>
        </w:rPr>
        <w:t>Assessment by experts</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A majority of IPBES assessments will be undertaken over three years (see Figure 2.3) and the timeline for each assessment is agreed by the Plenary as part of the acceptance of the scoping report for the assessment.</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The evaluation is undertaken by a geographically and gender balanced multidisciplinary group of independent experts selected on their credentials from among a group of nominees. Their interaction with government representatives, observers and stakeholders takes place at the initiation, scoping, reviewing and approval stages of the assessment.</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Typically, an IPBES Assessment process with consist of the development of different drafts of the technical report:</w:t>
      </w:r>
    </w:p>
    <w:p w:rsidR="006E54C8" w:rsidRPr="00DD3F88" w:rsidRDefault="006E54C8" w:rsidP="00280AD4">
      <w:pPr>
        <w:numPr>
          <w:ilvl w:val="0"/>
          <w:numId w:val="26"/>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 xml:space="preserve">Annotated outline </w:t>
      </w:r>
    </w:p>
    <w:p w:rsidR="006E54C8" w:rsidRPr="00DD3F88" w:rsidRDefault="006E54C8" w:rsidP="00280AD4">
      <w:pPr>
        <w:numPr>
          <w:ilvl w:val="0"/>
          <w:numId w:val="26"/>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 xml:space="preserve">Zero Order Draft </w:t>
      </w:r>
    </w:p>
    <w:p w:rsidR="006E54C8" w:rsidRPr="00DD3F88" w:rsidRDefault="006E54C8" w:rsidP="00280AD4">
      <w:pPr>
        <w:numPr>
          <w:ilvl w:val="0"/>
          <w:numId w:val="26"/>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First Order Draft (1</w:t>
      </w:r>
      <w:r w:rsidRPr="00DD3F88">
        <w:rPr>
          <w:rFonts w:eastAsia="Calibri"/>
          <w:vertAlign w:val="superscript"/>
          <w:lang w:val="en-GB"/>
        </w:rPr>
        <w:t>st</w:t>
      </w:r>
      <w:r w:rsidRPr="00DD3F88">
        <w:rPr>
          <w:rFonts w:eastAsia="Calibri"/>
          <w:lang w:val="en-GB"/>
        </w:rPr>
        <w:t xml:space="preserve"> order draft)</w:t>
      </w:r>
    </w:p>
    <w:p w:rsidR="006E54C8" w:rsidRPr="00DD3F88" w:rsidRDefault="006E54C8" w:rsidP="00280AD4">
      <w:pPr>
        <w:numPr>
          <w:ilvl w:val="0"/>
          <w:numId w:val="26"/>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Second Order Draft (2</w:t>
      </w:r>
      <w:r w:rsidRPr="00DD3F88">
        <w:rPr>
          <w:rFonts w:eastAsia="Calibri"/>
          <w:vertAlign w:val="superscript"/>
          <w:lang w:val="en-GB"/>
        </w:rPr>
        <w:t>nd</w:t>
      </w:r>
      <w:r w:rsidRPr="00DD3F88">
        <w:rPr>
          <w:rFonts w:eastAsia="Calibri"/>
          <w:lang w:val="en-GB"/>
        </w:rPr>
        <w:t xml:space="preserve"> order draft)</w:t>
      </w:r>
    </w:p>
    <w:p w:rsidR="006E54C8" w:rsidRPr="00DD3F88" w:rsidRDefault="006E54C8" w:rsidP="00280AD4">
      <w:pPr>
        <w:numPr>
          <w:ilvl w:val="0"/>
          <w:numId w:val="26"/>
        </w:numPr>
        <w:tabs>
          <w:tab w:val="clear" w:pos="1814"/>
          <w:tab w:val="clear" w:pos="2381"/>
          <w:tab w:val="clear" w:pos="2948"/>
          <w:tab w:val="clear" w:pos="3515"/>
          <w:tab w:val="left" w:pos="624"/>
          <w:tab w:val="left" w:pos="1871"/>
          <w:tab w:val="left" w:pos="2495"/>
          <w:tab w:val="left" w:pos="3119"/>
        </w:tabs>
        <w:spacing w:after="120"/>
        <w:ind w:left="1871" w:hanging="624"/>
        <w:rPr>
          <w:rFonts w:eastAsia="Calibri"/>
          <w:lang w:val="en-GB"/>
        </w:rPr>
      </w:pPr>
      <w:r w:rsidRPr="00DD3F88">
        <w:rPr>
          <w:rFonts w:eastAsia="Calibri"/>
          <w:lang w:val="en-GB"/>
        </w:rPr>
        <w:t>Final drafts</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rFonts w:eastAsia="Calibri"/>
          <w:lang w:val="en-GB"/>
        </w:rPr>
        <w:t xml:space="preserve">The development of these drafts, including the Executive Summaries of the chapters, and the Summary for Policy Makers follows the chapter outline and   addresses the guidance and questions set out in the approved Scoping Report. This process is supported usually by three author meetings and different review periods before being presented for discussion to Plenary (See Table 2.3). It involves an iterative and collective expert evaluation of the state of knowledge, which entails the preparation and review of the following successive draft chapters and summaries. </w:t>
      </w:r>
    </w:p>
    <w:p w:rsidR="006E54C8" w:rsidRPr="00DD3F88" w:rsidRDefault="006E54C8" w:rsidP="00280AD4">
      <w:pPr>
        <w:pStyle w:val="NormalNonumber"/>
        <w:tabs>
          <w:tab w:val="left" w:pos="624"/>
          <w:tab w:val="left" w:pos="1871"/>
          <w:tab w:val="left" w:pos="2495"/>
          <w:tab w:val="left" w:pos="3119"/>
        </w:tabs>
        <w:rPr>
          <w:rFonts w:eastAsia="Calibri"/>
          <w:lang w:val="en-GB"/>
        </w:rPr>
      </w:pPr>
      <w:r w:rsidRPr="00DD3F88">
        <w:rPr>
          <w:noProof/>
          <w:lang w:val="en-GB" w:eastAsia="en-GB"/>
        </w:rPr>
        <w:lastRenderedPageBreak/>
        <w:drawing>
          <wp:anchor distT="0" distB="0" distL="114300" distR="114300" simplePos="0" relativeHeight="251669504" behindDoc="1" locked="0" layoutInCell="1" allowOverlap="1" wp14:anchorId="0AAF2E57" wp14:editId="7D9176C0">
            <wp:simplePos x="0" y="0"/>
            <wp:positionH relativeFrom="margin">
              <wp:posOffset>-109855</wp:posOffset>
            </wp:positionH>
            <wp:positionV relativeFrom="paragraph">
              <wp:posOffset>347345</wp:posOffset>
            </wp:positionV>
            <wp:extent cx="6600825" cy="7981950"/>
            <wp:effectExtent l="0" t="0" r="9525" b="0"/>
            <wp:wrapTight wrapText="bothSides">
              <wp:wrapPolygon edited="0">
                <wp:start x="0" y="0"/>
                <wp:lineTo x="0" y="21548"/>
                <wp:lineTo x="21569" y="21548"/>
                <wp:lineTo x="21569" y="0"/>
                <wp:lineTo x="0" y="0"/>
              </wp:wrapPolygon>
            </wp:wrapTight>
            <wp:docPr id="32" name="Picture 32" descr="cid:153d54d9-aa8a-4bf6-99ed-a9429bf060d8@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153d54d9-aa8a-4bf6-99ed-a9429bf060d8@eurprd07.prod.outlook.com"/>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t="8673" b="5815"/>
                    <a:stretch/>
                  </pic:blipFill>
                  <pic:spPr bwMode="auto">
                    <a:xfrm>
                      <a:off x="0" y="0"/>
                      <a:ext cx="6600825" cy="798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3A5E" w:rsidRDefault="001F3A5E">
      <w:pPr>
        <w:tabs>
          <w:tab w:val="clear" w:pos="1247"/>
          <w:tab w:val="clear" w:pos="1814"/>
          <w:tab w:val="clear" w:pos="2381"/>
          <w:tab w:val="clear" w:pos="2948"/>
          <w:tab w:val="clear" w:pos="3515"/>
        </w:tabs>
        <w:rPr>
          <w:rFonts w:eastAsia="Calibri"/>
          <w:lang w:val="en-GB"/>
        </w:rPr>
      </w:pPr>
      <w:r>
        <w:rPr>
          <w:rFonts w:eastAsia="Calibri"/>
          <w:lang w:val="en-GB"/>
        </w:rPr>
        <w:br w:type="page"/>
      </w:r>
    </w:p>
    <w:p w:rsidR="006E54C8" w:rsidRPr="00DD3F88" w:rsidRDefault="006E54C8" w:rsidP="00280AD4">
      <w:pPr>
        <w:tabs>
          <w:tab w:val="left" w:pos="624"/>
          <w:tab w:val="left" w:pos="1871"/>
          <w:tab w:val="left" w:pos="2495"/>
          <w:tab w:val="left" w:pos="3119"/>
        </w:tabs>
        <w:rPr>
          <w:rFonts w:eastAsia="Calibri"/>
          <w:lang w:val="en-GB"/>
        </w:rPr>
      </w:pPr>
      <w:r w:rsidRPr="00DD3F88">
        <w:rPr>
          <w:rFonts w:eastAsia="Times New Roman"/>
          <w:noProof/>
          <w:lang w:val="en-GB" w:eastAsia="en-GB"/>
        </w:rPr>
        <w:lastRenderedPageBreak/>
        <mc:AlternateContent>
          <mc:Choice Requires="wps">
            <w:drawing>
              <wp:anchor distT="0" distB="0" distL="114300" distR="114300" simplePos="0" relativeHeight="251660288" behindDoc="0" locked="0" layoutInCell="1" allowOverlap="1" wp14:anchorId="508597F7" wp14:editId="3023AE15">
                <wp:simplePos x="0" y="0"/>
                <wp:positionH relativeFrom="margin">
                  <wp:align>right</wp:align>
                </wp:positionH>
                <wp:positionV relativeFrom="paragraph">
                  <wp:posOffset>281305</wp:posOffset>
                </wp:positionV>
                <wp:extent cx="6238875" cy="302260"/>
                <wp:effectExtent l="0" t="0" r="9525" b="2540"/>
                <wp:wrapSquare wrapText="bothSides"/>
                <wp:docPr id="18" name="Text Box 18"/>
                <wp:cNvGraphicFramePr/>
                <a:graphic xmlns:a="http://schemas.openxmlformats.org/drawingml/2006/main">
                  <a:graphicData uri="http://schemas.microsoft.com/office/word/2010/wordprocessingShape">
                    <wps:wsp>
                      <wps:cNvSpPr txBox="1"/>
                      <wps:spPr>
                        <a:xfrm>
                          <a:off x="0" y="0"/>
                          <a:ext cx="6238875" cy="302260"/>
                        </a:xfrm>
                        <a:prstGeom prst="rect">
                          <a:avLst/>
                        </a:prstGeom>
                        <a:solidFill>
                          <a:prstClr val="white"/>
                        </a:solidFill>
                        <a:ln>
                          <a:noFill/>
                        </a:ln>
                        <a:effectLst/>
                      </wps:spPr>
                      <wps:txbx>
                        <w:txbxContent>
                          <w:p w:rsidR="00480CDD" w:rsidRDefault="00480CDD" w:rsidP="006E54C8">
                            <w:pPr>
                              <w:pStyle w:val="Caption"/>
                              <w:rPr>
                                <w:rFonts w:asciiTheme="majorBidi" w:eastAsia="Calibri" w:hAnsiTheme="majorBidi" w:cstheme="majorBidi"/>
                                <w:noProof/>
                                <w:sz w:val="16"/>
                                <w:szCs w:val="16"/>
                              </w:rPr>
                            </w:pPr>
                            <w:r>
                              <w:rPr>
                                <w:rFonts w:asciiTheme="majorBidi" w:hAnsiTheme="majorBidi" w:cstheme="majorBidi"/>
                                <w:b/>
                                <w:bCs/>
                                <w:sz w:val="18"/>
                                <w:szCs w:val="16"/>
                              </w:rPr>
                              <w:t>Table 2.3</w:t>
                            </w:r>
                            <w:r>
                              <w:rPr>
                                <w:rFonts w:asciiTheme="majorBidi" w:hAnsiTheme="majorBidi" w:cstheme="majorBidi"/>
                                <w:sz w:val="18"/>
                                <w:szCs w:val="16"/>
                              </w:rPr>
                              <w:t>. What should happen at each step of the preparation of stage 2 of the IPBES Assessment, and who should be involved?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08597F7" id="_x0000_t202" coordsize="21600,21600" o:spt="202" path="m,l,21600r21600,l21600,xe">
                <v:stroke joinstyle="miter"/>
                <v:path gradientshapeok="t" o:connecttype="rect"/>
              </v:shapetype>
              <v:shape id="Text Box 18" o:spid="_x0000_s1026" type="#_x0000_t202" style="position:absolute;margin-left:440.05pt;margin-top:22.15pt;width:491.25pt;height:23.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" stroked="f">
                <v:textbox inset="0,0,0,0">
                  <w:txbxContent>
                    <w:p w:rsidR="00480CDD" w:rsidRDefault="00480CDD" w:rsidP="006E54C8">
                      <w:pPr>
                        <w:pStyle w:val="Caption"/>
                        <w:rPr>
                          <w:rFonts w:asciiTheme="majorBidi" w:eastAsia="Calibri" w:hAnsiTheme="majorBidi" w:cstheme="majorBidi"/>
                          <w:noProof/>
                          <w:sz w:val="16"/>
                          <w:szCs w:val="16"/>
                        </w:rPr>
                      </w:pPr>
                      <w:r>
                        <w:rPr>
                          <w:rFonts w:asciiTheme="majorBidi" w:hAnsiTheme="majorBidi" w:cstheme="majorBidi"/>
                          <w:b/>
                          <w:bCs/>
                          <w:sz w:val="18"/>
                          <w:szCs w:val="16"/>
                        </w:rPr>
                        <w:t>Table 2.3</w:t>
                      </w:r>
                      <w:r>
                        <w:rPr>
                          <w:rFonts w:asciiTheme="majorBidi" w:hAnsiTheme="majorBidi" w:cstheme="majorBidi"/>
                          <w:sz w:val="18"/>
                          <w:szCs w:val="16"/>
                        </w:rPr>
                        <w:t>. What should happen at each step of the preparation of stage 2 of the IPBES Assessment, and who should be involved?</w:t>
                      </w:r>
                    </w:p>
                  </w:txbxContent>
                </v:textbox>
                <w10:wrap type="square" anchorx="margin"/>
              </v:shape>
            </w:pict>
          </mc:Fallback>
        </mc:AlternateContent>
      </w:r>
    </w:p>
    <w:tbl>
      <w:tblPr>
        <w:tblStyle w:val="ListTable3-Accent51"/>
        <w:tblW w:w="5000" w:type="pct"/>
        <w:tblInd w:w="0" w:type="dxa"/>
        <w:tblLook w:val="04A0" w:firstRow="1" w:lastRow="0" w:firstColumn="1" w:lastColumn="0" w:noHBand="0" w:noVBand="1"/>
      </w:tblPr>
      <w:tblGrid>
        <w:gridCol w:w="1909"/>
        <w:gridCol w:w="2085"/>
        <w:gridCol w:w="5493"/>
      </w:tblGrid>
      <w:tr w:rsidR="006E54C8" w:rsidRPr="00DD3F88" w:rsidTr="00480CDD">
        <w:trPr>
          <w:cnfStyle w:val="100000000000" w:firstRow="1" w:lastRow="0" w:firstColumn="0" w:lastColumn="0" w:oddVBand="0" w:evenVBand="0" w:oddHBand="0" w:evenHBand="0" w:firstRowFirstColumn="0" w:firstRowLastColumn="0" w:lastRowFirstColumn="0" w:lastRowLastColumn="0"/>
          <w:trHeight w:val="501"/>
        </w:trPr>
        <w:tc>
          <w:tcPr>
            <w:cnfStyle w:val="001000000100" w:firstRow="0" w:lastRow="0" w:firstColumn="1" w:lastColumn="0" w:oddVBand="0" w:evenVBand="0" w:oddHBand="0" w:evenHBand="0" w:firstRowFirstColumn="1" w:firstRowLastColumn="0" w:lastRowFirstColumn="0" w:lastRowLastColumn="0"/>
            <w:tcW w:w="1006" w:type="pct"/>
            <w:tcBorders>
              <w:top w:val="single" w:sz="4" w:space="0" w:color="4472C4"/>
              <w:left w:val="single" w:sz="4" w:space="0" w:color="4472C4"/>
            </w:tcBorders>
            <w:shd w:val="clear" w:color="auto" w:fill="244061" w:themeFill="accent1" w:themeFillShade="80"/>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Stage</w:t>
            </w:r>
          </w:p>
        </w:tc>
        <w:tc>
          <w:tcPr>
            <w:tcW w:w="1099" w:type="pct"/>
            <w:tcBorders>
              <w:top w:val="single" w:sz="4" w:space="0" w:color="4472C4"/>
              <w:left w:val="nil"/>
              <w:bottom w:val="nil"/>
              <w:right w:val="nil"/>
            </w:tcBorders>
            <w:shd w:val="clear" w:color="auto" w:fill="244061" w:themeFill="accent1" w:themeFillShade="80"/>
            <w:hideMark/>
          </w:tcPr>
          <w:p w:rsidR="006E54C8" w:rsidRPr="00DD3F88" w:rsidRDefault="006E54C8" w:rsidP="00280AD4">
            <w:pPr>
              <w:tabs>
                <w:tab w:val="left" w:pos="624"/>
                <w:tab w:val="left" w:pos="1871"/>
                <w:tab w:val="left" w:pos="2495"/>
                <w:tab w:val="left" w:pos="3119"/>
              </w:tabs>
              <w:spacing w:before="40" w:after="40"/>
              <w:cnfStyle w:val="100000000000" w:firstRow="1" w:lastRow="0" w:firstColumn="0" w:lastColumn="0" w:oddVBand="0" w:evenVBand="0" w:oddHBand="0" w:evenHBand="0" w:firstRowFirstColumn="0" w:firstRowLastColumn="0" w:lastRowFirstColumn="0" w:lastRowLastColumn="0"/>
              <w:rPr>
                <w:rFonts w:eastAsia="Calibri"/>
                <w:b w:val="0"/>
                <w:sz w:val="18"/>
                <w:szCs w:val="18"/>
                <w:lang w:val="en-GB"/>
              </w:rPr>
            </w:pPr>
            <w:r w:rsidRPr="00DD3F88">
              <w:rPr>
                <w:rFonts w:eastAsia="Calibri"/>
                <w:sz w:val="18"/>
                <w:szCs w:val="18"/>
                <w:lang w:val="en-GB"/>
              </w:rPr>
              <w:t>Who should be involved</w:t>
            </w:r>
          </w:p>
        </w:tc>
        <w:tc>
          <w:tcPr>
            <w:tcW w:w="2895" w:type="pct"/>
            <w:tcBorders>
              <w:top w:val="single" w:sz="4" w:space="0" w:color="4472C4"/>
              <w:left w:val="nil"/>
              <w:bottom w:val="nil"/>
              <w:right w:val="single" w:sz="4" w:space="0" w:color="4472C4"/>
            </w:tcBorders>
            <w:shd w:val="clear" w:color="auto" w:fill="244061" w:themeFill="accent1" w:themeFillShade="80"/>
            <w:hideMark/>
          </w:tcPr>
          <w:p w:rsidR="006E54C8" w:rsidRPr="00DD3F88" w:rsidRDefault="006E54C8" w:rsidP="00280AD4">
            <w:pPr>
              <w:tabs>
                <w:tab w:val="left" w:pos="624"/>
                <w:tab w:val="left" w:pos="1871"/>
                <w:tab w:val="left" w:pos="2495"/>
                <w:tab w:val="left" w:pos="3119"/>
              </w:tabs>
              <w:spacing w:before="40" w:after="40"/>
              <w:cnfStyle w:val="100000000000" w:firstRow="1" w:lastRow="0" w:firstColumn="0" w:lastColumn="0" w:oddVBand="0" w:evenVBand="0" w:oddHBand="0" w:evenHBand="0" w:firstRowFirstColumn="0" w:firstRowLastColumn="0" w:lastRowFirstColumn="0" w:lastRowLastColumn="0"/>
              <w:rPr>
                <w:rFonts w:eastAsia="Calibri"/>
                <w:b w:val="0"/>
                <w:sz w:val="18"/>
                <w:szCs w:val="18"/>
                <w:lang w:val="en-GB"/>
              </w:rPr>
            </w:pPr>
            <w:r w:rsidRPr="00DD3F88">
              <w:rPr>
                <w:rFonts w:eastAsia="Calibri"/>
                <w:sz w:val="18"/>
                <w:szCs w:val="18"/>
                <w:lang w:val="en-GB"/>
              </w:rPr>
              <w:t>What happens?</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First Author Meeting</w:t>
            </w:r>
          </w:p>
        </w:tc>
        <w:tc>
          <w:tcPr>
            <w:tcW w:w="1099" w:type="pct"/>
            <w:tcBorders>
              <w:left w:val="nil"/>
              <w:right w:val="nil"/>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Co-Chairs, CLAs, LAs and fellows</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Assessment management team</w:t>
            </w:r>
          </w:p>
        </w:tc>
        <w:tc>
          <w:tcPr>
            <w:tcW w:w="2895" w:type="pct"/>
            <w:tcBorders>
              <w:left w:val="nil"/>
              <w:right w:val="single" w:sz="4" w:space="0" w:color="4472C4"/>
            </w:tcBorders>
            <w:hideMark/>
          </w:tcPr>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Development of an annotated outline</w:t>
            </w:r>
            <w:r w:rsidRPr="00DD3F88">
              <w:rPr>
                <w:rStyle w:val="CommentReference"/>
                <w:lang w:val="en-GB"/>
              </w:rPr>
              <w:t>,</w:t>
            </w:r>
            <w:r w:rsidRPr="00DD3F88">
              <w:rPr>
                <w:rFonts w:eastAsia="Calibri"/>
                <w:sz w:val="18"/>
                <w:szCs w:val="18"/>
                <w:lang w:val="en-GB"/>
              </w:rPr>
              <w:t xml:space="preserve"> building on the scoping report</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Identification of CAs</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Identification of data &amp; knowledge needs</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Identification of case studies</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Understanding of roles, responsibilities and timelines</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Engagement of expert groups and task forces as appropriate</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006" w:type="pct"/>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 xml:space="preserve">Development of the Zero Order Draft </w:t>
            </w:r>
          </w:p>
        </w:tc>
        <w:tc>
          <w:tcPr>
            <w:tcW w:w="1099" w:type="pct"/>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Co-Chairs, CLAs, LAs, CAs and fellows</w:t>
            </w:r>
          </w:p>
        </w:tc>
        <w:tc>
          <w:tcPr>
            <w:tcW w:w="2895" w:type="pct"/>
            <w:tcBorders>
              <w:top w:val="nil"/>
              <w:left w:val="nil"/>
              <w:bottom w:val="nil"/>
              <w:right w:val="single" w:sz="4" w:space="0" w:color="4472C4"/>
            </w:tcBorders>
            <w:hideMark/>
          </w:tcPr>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The zero-order draft has around 70% completed text</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Some paragraphs will consist of bullet points to indicate content.</w:t>
            </w:r>
          </w:p>
          <w:p w:rsidR="006E54C8" w:rsidRPr="00DD3F88" w:rsidRDefault="006E54C8" w:rsidP="00280AD4">
            <w:pPr>
              <w:numPr>
                <w:ilvl w:val="0"/>
                <w:numId w:val="24"/>
              </w:numPr>
              <w:tabs>
                <w:tab w:val="clear" w:pos="1814"/>
                <w:tab w:val="clear" w:pos="2381"/>
                <w:tab w:val="clear" w:pos="2948"/>
                <w:tab w:val="clear" w:pos="3515"/>
                <w:tab w:val="left" w:pos="624"/>
                <w:tab w:val="left" w:pos="1871"/>
                <w:tab w:val="left" w:pos="2495"/>
                <w:tab w:val="left" w:pos="3119"/>
              </w:tabs>
              <w:spacing w:after="120"/>
              <w:ind w:left="284"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Graphics, Tables and Case Studies are not all agreed but text may include indication of a graphic that might be included.</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Peer review within the assessment</w:t>
            </w:r>
          </w:p>
        </w:tc>
        <w:tc>
          <w:tcPr>
            <w:tcW w:w="1099" w:type="pct"/>
            <w:tcBorders>
              <w:left w:val="nil"/>
              <w:right w:val="nil"/>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Co-Chairs and CLAs</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Assessment management team</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MEP</w:t>
            </w:r>
          </w:p>
        </w:tc>
        <w:tc>
          <w:tcPr>
            <w:tcW w:w="2895" w:type="pct"/>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This review stage is internal to the assessment. It provides an opportunity to understand where the overlaps are between chapters, gaps in text and expertise.</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006" w:type="pct"/>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 xml:space="preserve">Development of the First Order Draft </w:t>
            </w:r>
          </w:p>
        </w:tc>
        <w:tc>
          <w:tcPr>
            <w:tcW w:w="1099" w:type="pct"/>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Co-Chairs, CLAs, LAs, CAs and fellows</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REs</w:t>
            </w:r>
          </w:p>
        </w:tc>
        <w:tc>
          <w:tcPr>
            <w:tcW w:w="2895" w:type="pct"/>
            <w:tcBorders>
              <w:top w:val="nil"/>
              <w:left w:val="nil"/>
              <w:bottom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The first order draft is a complete draft of the technically and scientifically balanced assessment including the glossary. Each chapter should include an executive summary. Authors should have thought about graphics and either have identified existing graphics for inclusion or have identified where graphics will be developed</w:t>
            </w:r>
            <w:r w:rsidRPr="00DD3F88">
              <w:rPr>
                <w:rFonts w:eastAsia="Calibri"/>
                <w:spacing w:val="-1"/>
                <w:sz w:val="18"/>
                <w:szCs w:val="18"/>
                <w:lang w:val="en-GB" w:bidi="en-US"/>
              </w:rPr>
              <w:t xml:space="preserve"> Assessment authors should be mindful</w:t>
            </w:r>
            <w:r w:rsidRPr="00DD3F88">
              <w:rPr>
                <w:rFonts w:eastAsia="Calibri"/>
                <w:sz w:val="18"/>
                <w:szCs w:val="18"/>
                <w:lang w:val="en-GB" w:bidi="en-US"/>
              </w:rPr>
              <w:t xml:space="preserve"> of the </w:t>
            </w:r>
            <w:r w:rsidRPr="00DD3F88">
              <w:rPr>
                <w:rFonts w:eastAsia="Calibri"/>
                <w:spacing w:val="-1"/>
                <w:sz w:val="18"/>
                <w:szCs w:val="18"/>
                <w:lang w:val="en-GB" w:bidi="en-US"/>
              </w:rPr>
              <w:t>language used</w:t>
            </w:r>
            <w:r w:rsidRPr="00DD3F88">
              <w:rPr>
                <w:rFonts w:eastAsia="Calibri"/>
                <w:sz w:val="18"/>
                <w:szCs w:val="18"/>
                <w:lang w:val="en-GB" w:bidi="en-US"/>
              </w:rPr>
              <w:t xml:space="preserve"> in</w:t>
            </w:r>
            <w:r w:rsidRPr="00DD3F88">
              <w:rPr>
                <w:rFonts w:eastAsia="Calibri"/>
                <w:spacing w:val="-1"/>
                <w:sz w:val="18"/>
                <w:szCs w:val="18"/>
                <w:lang w:val="en-GB" w:bidi="en-US"/>
              </w:rPr>
              <w:t xml:space="preserve"> the preparation </w:t>
            </w:r>
            <w:r w:rsidRPr="00DD3F88">
              <w:rPr>
                <w:rFonts w:eastAsia="Calibri"/>
                <w:sz w:val="18"/>
                <w:szCs w:val="18"/>
                <w:lang w:val="en-GB" w:bidi="en-US"/>
              </w:rPr>
              <w:t xml:space="preserve">of </w:t>
            </w:r>
            <w:r w:rsidRPr="00DD3F88">
              <w:rPr>
                <w:rFonts w:eastAsia="Calibri"/>
                <w:spacing w:val="-1"/>
                <w:sz w:val="18"/>
                <w:szCs w:val="18"/>
                <w:lang w:val="en-GB" w:bidi="en-US"/>
              </w:rPr>
              <w:t xml:space="preserve">the first draft and </w:t>
            </w:r>
            <w:r w:rsidRPr="00DD3F88">
              <w:rPr>
                <w:rFonts w:eastAsia="Calibri"/>
                <w:spacing w:val="-2"/>
                <w:sz w:val="18"/>
                <w:szCs w:val="18"/>
                <w:lang w:val="en-GB" w:bidi="en-US"/>
              </w:rPr>
              <w:t xml:space="preserve">the </w:t>
            </w:r>
            <w:r w:rsidRPr="00DD3F88">
              <w:rPr>
                <w:rFonts w:eastAsia="Calibri"/>
                <w:spacing w:val="-1"/>
                <w:sz w:val="18"/>
                <w:szCs w:val="18"/>
                <w:lang w:val="en-GB" w:bidi="en-US"/>
              </w:rPr>
              <w:t xml:space="preserve">range </w:t>
            </w:r>
            <w:r w:rsidRPr="00DD3F88">
              <w:rPr>
                <w:rFonts w:eastAsia="Calibri"/>
                <w:sz w:val="18"/>
                <w:szCs w:val="18"/>
                <w:lang w:val="en-GB" w:bidi="en-US"/>
              </w:rPr>
              <w:t xml:space="preserve">of </w:t>
            </w:r>
            <w:r w:rsidRPr="00DD3F88">
              <w:rPr>
                <w:rFonts w:eastAsia="Calibri"/>
                <w:spacing w:val="-1"/>
                <w:sz w:val="18"/>
                <w:szCs w:val="18"/>
                <w:lang w:val="en-GB" w:bidi="en-US"/>
              </w:rPr>
              <w:t xml:space="preserve">scientific, technical </w:t>
            </w:r>
            <w:r w:rsidRPr="00DD3F88">
              <w:rPr>
                <w:rFonts w:eastAsia="Calibri"/>
                <w:sz w:val="18"/>
                <w:szCs w:val="18"/>
                <w:lang w:val="en-GB" w:bidi="en-US"/>
              </w:rPr>
              <w:t xml:space="preserve">and </w:t>
            </w:r>
            <w:r w:rsidRPr="00DD3F88">
              <w:rPr>
                <w:rFonts w:eastAsia="Calibri"/>
                <w:spacing w:val="-1"/>
                <w:sz w:val="18"/>
                <w:szCs w:val="18"/>
                <w:lang w:val="en-GB" w:bidi="en-US"/>
              </w:rPr>
              <w:t xml:space="preserve">socio-economic evidence should be presented clearly and concisely </w:t>
            </w:r>
            <w:r w:rsidRPr="00DD3F88">
              <w:rPr>
                <w:rFonts w:eastAsia="Calibri"/>
                <w:sz w:val="18"/>
                <w:szCs w:val="18"/>
                <w:lang w:val="en-GB" w:bidi="en-US"/>
              </w:rPr>
              <w:t xml:space="preserve">(Box </w:t>
            </w:r>
            <w:r w:rsidRPr="00DD3F88">
              <w:rPr>
                <w:rFonts w:eastAsia="Calibri"/>
                <w:spacing w:val="-1"/>
                <w:sz w:val="18"/>
                <w:szCs w:val="18"/>
                <w:lang w:val="en-GB" w:bidi="en-US"/>
              </w:rPr>
              <w:t>2.1). The Review Editors identify a list of potential external expert reviewers and contacts them before the external review goes live.</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External Peer Review</w:t>
            </w:r>
          </w:p>
        </w:tc>
        <w:tc>
          <w:tcPr>
            <w:tcW w:w="1099" w:type="pct"/>
            <w:tcBorders>
              <w:left w:val="nil"/>
              <w:right w:val="nil"/>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Expert reviewers</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Assessment management team</w:t>
            </w:r>
          </w:p>
        </w:tc>
        <w:tc>
          <w:tcPr>
            <w:tcW w:w="2895" w:type="pct"/>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6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The first external review process is directed at expert review. These reviewers will come from a variety of institutions but will have a technical background in the content of the assessment. </w:t>
            </w:r>
          </w:p>
          <w:p w:rsidR="006E54C8" w:rsidRPr="00DD3F88" w:rsidRDefault="006E54C8" w:rsidP="00280AD4">
            <w:pPr>
              <w:tabs>
                <w:tab w:val="left" w:pos="624"/>
                <w:tab w:val="left" w:pos="1871"/>
                <w:tab w:val="left" w:pos="2495"/>
                <w:tab w:val="left" w:pos="3119"/>
              </w:tabs>
              <w:spacing w:before="40" w:after="6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The secretariat sends out a notification to national focal points and observers announcing the availability of the FOD for review. Experts register through the IPBES website and the FOD is made available. Comments are returned to the Secretariat or respective TSU, in an agreed format (see section 2.3.3). Comments are collated and sent to authors of the assessment.</w:t>
            </w:r>
          </w:p>
          <w:p w:rsidR="006E54C8" w:rsidRPr="00DD3F88" w:rsidRDefault="006E54C8" w:rsidP="00280AD4">
            <w:pPr>
              <w:tabs>
                <w:tab w:val="left" w:pos="624"/>
                <w:tab w:val="left" w:pos="1871"/>
                <w:tab w:val="left" w:pos="2495"/>
                <w:tab w:val="left" w:pos="3119"/>
              </w:tabs>
              <w:spacing w:before="40" w:after="6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The management team for each assessment works with authors to identify expert reviewers who are also invited by the secretariat to provide review comments</w:t>
            </w:r>
          </w:p>
          <w:p w:rsidR="006E54C8" w:rsidRPr="00DD3F88" w:rsidRDefault="006E54C8" w:rsidP="00280AD4">
            <w:pPr>
              <w:tabs>
                <w:tab w:val="left" w:pos="624"/>
                <w:tab w:val="left" w:pos="1871"/>
                <w:tab w:val="left" w:pos="2495"/>
                <w:tab w:val="left" w:pos="3119"/>
              </w:tabs>
              <w:spacing w:before="40" w:after="6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On request, the secretariat will also make available any material that is referenced in the document being reviewed that is not available in the international published literature. Therefore, authors should have this material available in case a request is made</w:t>
            </w:r>
          </w:p>
          <w:p w:rsidR="006E54C8" w:rsidRPr="00DD3F88" w:rsidRDefault="006E54C8" w:rsidP="00280AD4">
            <w:pPr>
              <w:tabs>
                <w:tab w:val="left" w:pos="624"/>
                <w:tab w:val="left" w:pos="1871"/>
                <w:tab w:val="left" w:pos="2495"/>
                <w:tab w:val="left" w:pos="3119"/>
              </w:tabs>
              <w:spacing w:before="40" w:after="6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The review of the 1</w:t>
            </w:r>
            <w:r w:rsidRPr="00DD3F88">
              <w:rPr>
                <w:rFonts w:eastAsia="Calibri"/>
                <w:sz w:val="18"/>
                <w:szCs w:val="18"/>
                <w:vertAlign w:val="superscript"/>
                <w:lang w:val="en-GB"/>
              </w:rPr>
              <w:t>st</w:t>
            </w:r>
            <w:r w:rsidRPr="00DD3F88">
              <w:rPr>
                <w:rFonts w:eastAsia="Calibri"/>
                <w:sz w:val="18"/>
                <w:szCs w:val="18"/>
                <w:lang w:val="en-GB"/>
              </w:rPr>
              <w:t xml:space="preserve"> order draft runs for 6-8 weeks.</w:t>
            </w:r>
          </w:p>
          <w:p w:rsidR="006E54C8" w:rsidRPr="00DD3F88" w:rsidRDefault="006E54C8" w:rsidP="00280AD4">
            <w:pPr>
              <w:tabs>
                <w:tab w:val="left" w:pos="624"/>
                <w:tab w:val="left" w:pos="1871"/>
                <w:tab w:val="left" w:pos="2495"/>
                <w:tab w:val="left" w:pos="3119"/>
              </w:tabs>
              <w:spacing w:before="40" w:after="6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Review comments and responses are posted on line</w:t>
            </w:r>
          </w:p>
          <w:p w:rsidR="006E54C8" w:rsidRPr="00DD3F88" w:rsidRDefault="006E54C8" w:rsidP="00280AD4">
            <w:pPr>
              <w:tabs>
                <w:tab w:val="left" w:pos="624"/>
                <w:tab w:val="left" w:pos="1871"/>
                <w:tab w:val="left" w:pos="2495"/>
                <w:tab w:val="left" w:pos="3119"/>
              </w:tabs>
              <w:spacing w:before="40" w:after="6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p>
          <w:p w:rsidR="006E54C8" w:rsidRPr="00DD3F88" w:rsidRDefault="006E54C8" w:rsidP="00280AD4">
            <w:pPr>
              <w:tabs>
                <w:tab w:val="left" w:pos="624"/>
                <w:tab w:val="left" w:pos="1871"/>
                <w:tab w:val="left" w:pos="2495"/>
                <w:tab w:val="left" w:pos="3119"/>
              </w:tabs>
              <w:spacing w:before="40" w:after="60"/>
              <w:cnfStyle w:val="000000100000" w:firstRow="0" w:lastRow="0" w:firstColumn="0" w:lastColumn="0" w:oddVBand="0" w:evenVBand="0" w:oddHBand="1" w:evenHBand="0" w:firstRowFirstColumn="0" w:firstRowLastColumn="0" w:lastRowFirstColumn="0" w:lastRowLastColumn="0"/>
              <w:rPr>
                <w:rFonts w:eastAsia="Calibri"/>
                <w:sz w:val="18"/>
                <w:szCs w:val="18"/>
                <w:highlight w:val="yellow"/>
                <w:lang w:val="en-GB"/>
              </w:rPr>
            </w:pP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006" w:type="pct"/>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Second Author Meeting</w:t>
            </w:r>
          </w:p>
        </w:tc>
        <w:tc>
          <w:tcPr>
            <w:tcW w:w="1099" w:type="pct"/>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Co-Chairs, CLAs, and REs </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Assessment management team</w:t>
            </w:r>
          </w:p>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LAs and Fellows may be included but this will differ between assessments</w:t>
            </w:r>
          </w:p>
        </w:tc>
        <w:tc>
          <w:tcPr>
            <w:tcW w:w="2895" w:type="pct"/>
            <w:tcBorders>
              <w:top w:val="nil"/>
              <w:left w:val="nil"/>
              <w:bottom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The main objectives of second author meetings are: </w:t>
            </w:r>
          </w:p>
          <w:p w:rsidR="006E54C8" w:rsidRPr="00DD3F88" w:rsidRDefault="006E54C8" w:rsidP="00280AD4">
            <w:pPr>
              <w:numPr>
                <w:ilvl w:val="0"/>
                <w:numId w:val="27"/>
              </w:numPr>
              <w:tabs>
                <w:tab w:val="clear" w:pos="1814"/>
                <w:tab w:val="clear" w:pos="2381"/>
                <w:tab w:val="clear" w:pos="2948"/>
                <w:tab w:val="clear" w:pos="3515"/>
                <w:tab w:val="left" w:pos="284"/>
                <w:tab w:val="left" w:pos="624"/>
                <w:tab w:val="left" w:pos="1871"/>
                <w:tab w:val="left" w:pos="2495"/>
                <w:tab w:val="left" w:pos="3119"/>
              </w:tabs>
              <w:spacing w:before="40" w:after="4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Develop content in each chapter, identify gaps and challenges</w:t>
            </w:r>
          </w:p>
          <w:p w:rsidR="006E54C8" w:rsidRPr="00DD3F88" w:rsidRDefault="006E54C8" w:rsidP="00280AD4">
            <w:pPr>
              <w:numPr>
                <w:ilvl w:val="0"/>
                <w:numId w:val="27"/>
              </w:numPr>
              <w:tabs>
                <w:tab w:val="clear" w:pos="1814"/>
                <w:tab w:val="clear" w:pos="2381"/>
                <w:tab w:val="clear" w:pos="2948"/>
                <w:tab w:val="clear" w:pos="3515"/>
                <w:tab w:val="left" w:pos="284"/>
                <w:tab w:val="left" w:pos="624"/>
                <w:tab w:val="left" w:pos="1871"/>
                <w:tab w:val="left" w:pos="2495"/>
                <w:tab w:val="left" w:pos="3119"/>
              </w:tabs>
              <w:spacing w:before="40" w:after="4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Address comments received from the expert review of the First Order Draft </w:t>
            </w:r>
          </w:p>
          <w:p w:rsidR="006E54C8" w:rsidRPr="00DD3F88" w:rsidRDefault="006E54C8" w:rsidP="00280AD4">
            <w:pPr>
              <w:numPr>
                <w:ilvl w:val="0"/>
                <w:numId w:val="27"/>
              </w:numPr>
              <w:tabs>
                <w:tab w:val="clear" w:pos="1814"/>
                <w:tab w:val="clear" w:pos="2381"/>
                <w:tab w:val="clear" w:pos="2948"/>
                <w:tab w:val="clear" w:pos="3515"/>
                <w:tab w:val="left" w:pos="284"/>
                <w:tab w:val="left" w:pos="624"/>
                <w:tab w:val="left" w:pos="1871"/>
                <w:tab w:val="left" w:pos="2495"/>
                <w:tab w:val="left" w:pos="3119"/>
              </w:tabs>
              <w:spacing w:before="40" w:after="4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Work on the executive summary and draw out draft key messages</w:t>
            </w:r>
          </w:p>
          <w:p w:rsidR="006E54C8" w:rsidRPr="00DD3F88" w:rsidRDefault="006E54C8" w:rsidP="00280AD4">
            <w:pPr>
              <w:numPr>
                <w:ilvl w:val="0"/>
                <w:numId w:val="27"/>
              </w:numPr>
              <w:tabs>
                <w:tab w:val="clear" w:pos="1814"/>
                <w:tab w:val="clear" w:pos="2381"/>
                <w:tab w:val="clear" w:pos="2948"/>
                <w:tab w:val="clear" w:pos="3515"/>
                <w:tab w:val="left" w:pos="284"/>
                <w:tab w:val="left" w:pos="624"/>
                <w:tab w:val="left" w:pos="1871"/>
                <w:tab w:val="left" w:pos="2495"/>
                <w:tab w:val="left" w:pos="3119"/>
              </w:tabs>
              <w:spacing w:before="40" w:after="4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Plan next steps for producing the Second Order Draft, including the summary for policy makers </w:t>
            </w:r>
          </w:p>
          <w:p w:rsidR="006E54C8" w:rsidRPr="00DD3F88" w:rsidRDefault="006E54C8" w:rsidP="00280AD4">
            <w:pPr>
              <w:numPr>
                <w:ilvl w:val="0"/>
                <w:numId w:val="27"/>
              </w:numPr>
              <w:tabs>
                <w:tab w:val="clear" w:pos="1814"/>
                <w:tab w:val="clear" w:pos="2381"/>
                <w:tab w:val="clear" w:pos="2948"/>
                <w:tab w:val="clear" w:pos="3515"/>
                <w:tab w:val="left" w:pos="284"/>
                <w:tab w:val="left" w:pos="624"/>
                <w:tab w:val="left" w:pos="1871"/>
                <w:tab w:val="left" w:pos="2495"/>
                <w:tab w:val="left" w:pos="3119"/>
              </w:tabs>
              <w:spacing w:before="40" w:after="4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lastRenderedPageBreak/>
              <w:t>Standardize the quality of scientific evidence across chapters and across assessments</w:t>
            </w:r>
          </w:p>
          <w:p w:rsidR="006E54C8" w:rsidRPr="00DD3F88" w:rsidRDefault="006E54C8" w:rsidP="00280AD4">
            <w:pPr>
              <w:numPr>
                <w:ilvl w:val="0"/>
                <w:numId w:val="27"/>
              </w:numPr>
              <w:tabs>
                <w:tab w:val="clear" w:pos="1814"/>
                <w:tab w:val="clear" w:pos="2381"/>
                <w:tab w:val="clear" w:pos="2948"/>
                <w:tab w:val="clear" w:pos="3515"/>
                <w:tab w:val="left" w:pos="284"/>
                <w:tab w:val="left" w:pos="624"/>
                <w:tab w:val="left" w:pos="1871"/>
                <w:tab w:val="left" w:pos="2495"/>
                <w:tab w:val="left" w:pos="3119"/>
              </w:tabs>
              <w:spacing w:before="40" w:after="40"/>
              <w:ind w:left="568" w:hanging="284"/>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Address and discuss the integration of indigenous and local knowledge (ILK) into assessments</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The second author meeting also provides an opportunity for authors to work with Res</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lastRenderedPageBreak/>
              <w:t>Development of the Second Order Draft and Summary for Policy Makers (SPM)</w:t>
            </w:r>
          </w:p>
        </w:tc>
        <w:tc>
          <w:tcPr>
            <w:tcW w:w="1099" w:type="pct"/>
            <w:tcBorders>
              <w:left w:val="nil"/>
              <w:right w:val="nil"/>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Co-Chairs, CLAs, LAs, CAs, REs and fellows</w:t>
            </w:r>
          </w:p>
        </w:tc>
        <w:tc>
          <w:tcPr>
            <w:tcW w:w="2895" w:type="pct"/>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The second order draft is a complete draft of the assessment including the glossary and executive summary for each chapter and graphics. The second order draft will take into consideration comments from the Expert Peer Review.</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A full draft of the SPM including key messages and graphics is also developed during this period</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006" w:type="pct"/>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Review by Members and Observers</w:t>
            </w:r>
          </w:p>
        </w:tc>
        <w:tc>
          <w:tcPr>
            <w:tcW w:w="1099" w:type="pct"/>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pacing w:val="-1"/>
                <w:sz w:val="18"/>
                <w:szCs w:val="18"/>
                <w:lang w:val="en-GB"/>
              </w:rPr>
              <w:t xml:space="preserve">Member governments, Observers </w:t>
            </w:r>
            <w:r w:rsidRPr="00DD3F88">
              <w:rPr>
                <w:rFonts w:eastAsia="Calibri"/>
                <w:sz w:val="18"/>
                <w:szCs w:val="18"/>
                <w:lang w:val="en-GB"/>
              </w:rPr>
              <w:t xml:space="preserve">and </w:t>
            </w:r>
            <w:r w:rsidRPr="00DD3F88">
              <w:rPr>
                <w:rFonts w:eastAsia="Calibri"/>
                <w:spacing w:val="-1"/>
                <w:sz w:val="18"/>
                <w:szCs w:val="18"/>
                <w:lang w:val="en-GB"/>
              </w:rPr>
              <w:t>Experts</w:t>
            </w:r>
          </w:p>
        </w:tc>
        <w:tc>
          <w:tcPr>
            <w:tcW w:w="2895" w:type="pct"/>
            <w:tcBorders>
              <w:top w:val="nil"/>
              <w:left w:val="nil"/>
              <w:bottom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The second order draft and first draft of the SPM are</w:t>
            </w:r>
            <w:r w:rsidRPr="00DD3F88">
              <w:rPr>
                <w:rFonts w:eastAsia="Calibri"/>
                <w:spacing w:val="-1"/>
                <w:sz w:val="18"/>
                <w:szCs w:val="18"/>
                <w:lang w:val="en-GB"/>
              </w:rPr>
              <w:t xml:space="preserve"> reviewed concurrently.</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Once the second order draft and draft SPM is ready, the secretariat will notify members and observers of the start of the review period.</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Reviewers can then register through the IPBES website and then be granted access to the relevant documents.</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highlight w:val="yellow"/>
                <w:lang w:val="en-GB"/>
              </w:rPr>
            </w:pPr>
            <w:r w:rsidRPr="00DD3F88">
              <w:rPr>
                <w:rFonts w:eastAsia="Calibri"/>
                <w:sz w:val="18"/>
                <w:szCs w:val="18"/>
                <w:lang w:val="en-GB"/>
              </w:rPr>
              <w:t>Comments need to be returned to the IPBES secretariat in a standard format. Governments should send one integrated set of comments for each report to the secretariat through their designated national focal points. Experts should send their comments to the secretariat.</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Comments are then collated and sent to the relevant assessment management team</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highlight w:val="yellow"/>
                <w:lang w:val="en-GB"/>
              </w:rPr>
            </w:pPr>
            <w:r w:rsidRPr="00DD3F88">
              <w:rPr>
                <w:rFonts w:eastAsia="Calibri"/>
                <w:sz w:val="18"/>
                <w:szCs w:val="18"/>
                <w:lang w:val="en-GB"/>
              </w:rPr>
              <w:t>This review period runs for 8 weeks.</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Third Author Meeting</w:t>
            </w:r>
          </w:p>
        </w:tc>
        <w:tc>
          <w:tcPr>
            <w:tcW w:w="1099" w:type="pct"/>
            <w:tcBorders>
              <w:left w:val="nil"/>
              <w:right w:val="nil"/>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Co-Chairs, CLAs, LAs, REs and fellows</w:t>
            </w:r>
          </w:p>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Assessment management team</w:t>
            </w:r>
          </w:p>
        </w:tc>
        <w:tc>
          <w:tcPr>
            <w:tcW w:w="2895" w:type="pct"/>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The third author meeting provides a final opportunity for authors to work face-to-face with REs and as a group of authors. The third author meeting aims to address comments received from the external review of the Second Order Draft and to plan for the finalization of the report as well as its SPM and its presentation at plenary.</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006" w:type="pct"/>
            <w:tcBorders>
              <w:top w:val="nil"/>
              <w:left w:val="single" w:sz="4" w:space="0" w:color="4472C4"/>
              <w:bottom w:val="nil"/>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Finalisation of Draft assessment report and SPM for Plenary</w:t>
            </w:r>
          </w:p>
        </w:tc>
        <w:tc>
          <w:tcPr>
            <w:tcW w:w="1099" w:type="pct"/>
            <w:tcBorders>
              <w:top w:val="nil"/>
              <w:left w:val="nil"/>
              <w:bottom w:val="nil"/>
              <w:right w:val="nil"/>
            </w:tcBorders>
            <w:hideMark/>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Co-Chairs, CLAs, LAs, REs and fellows</w:t>
            </w:r>
          </w:p>
        </w:tc>
        <w:tc>
          <w:tcPr>
            <w:tcW w:w="2895" w:type="pct"/>
            <w:tcBorders>
              <w:top w:val="nil"/>
              <w:left w:val="nil"/>
              <w:bottom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A final draft of the assessment report and SPM should be completed and submitted to the secretariat 12 weeks before the Plenary in which the SPM is agreed at. To allow for editing and translation.</w:t>
            </w:r>
            <w:r w:rsidRPr="00DD3F88">
              <w:rPr>
                <w:spacing w:val="-1"/>
                <w:sz w:val="18"/>
                <w:szCs w:val="18"/>
                <w:lang w:val="en-GB" w:bidi="en-US"/>
              </w:rPr>
              <w:t xml:space="preserve"> The SPM</w:t>
            </w:r>
            <w:r w:rsidRPr="00DD3F88">
              <w:rPr>
                <w:sz w:val="18"/>
                <w:szCs w:val="18"/>
                <w:lang w:val="en-GB" w:bidi="en-US"/>
              </w:rPr>
              <w:t xml:space="preserve"> is </w:t>
            </w:r>
            <w:r w:rsidRPr="00DD3F88">
              <w:rPr>
                <w:spacing w:val="-1"/>
                <w:sz w:val="18"/>
                <w:szCs w:val="18"/>
                <w:lang w:val="en-GB" w:bidi="en-US"/>
              </w:rPr>
              <w:t xml:space="preserve">translated </w:t>
            </w:r>
            <w:r w:rsidRPr="00DD3F88">
              <w:rPr>
                <w:sz w:val="18"/>
                <w:szCs w:val="18"/>
                <w:lang w:val="en-GB" w:bidi="en-US"/>
              </w:rPr>
              <w:t xml:space="preserve">into the </w:t>
            </w:r>
            <w:r w:rsidRPr="00DD3F88">
              <w:rPr>
                <w:spacing w:val="-1"/>
                <w:sz w:val="18"/>
                <w:szCs w:val="18"/>
                <w:lang w:val="en-GB" w:bidi="en-US"/>
              </w:rPr>
              <w:t xml:space="preserve">six </w:t>
            </w:r>
            <w:r w:rsidRPr="00DD3F88">
              <w:rPr>
                <w:sz w:val="18"/>
                <w:szCs w:val="18"/>
                <w:lang w:val="en-GB" w:bidi="en-US"/>
              </w:rPr>
              <w:t xml:space="preserve">official languages of the </w:t>
            </w:r>
            <w:r w:rsidRPr="00DD3F88">
              <w:rPr>
                <w:spacing w:val="-1"/>
                <w:sz w:val="18"/>
                <w:szCs w:val="18"/>
                <w:lang w:val="en-GB" w:bidi="en-US"/>
              </w:rPr>
              <w:t xml:space="preserve">United </w:t>
            </w:r>
            <w:r w:rsidRPr="00DD3F88">
              <w:rPr>
                <w:sz w:val="18"/>
                <w:szCs w:val="18"/>
                <w:lang w:val="en-GB" w:bidi="en-US"/>
              </w:rPr>
              <w:t xml:space="preserve">Nations and prior to distribution is </w:t>
            </w:r>
            <w:r w:rsidRPr="00DD3F88">
              <w:rPr>
                <w:spacing w:val="-1"/>
                <w:sz w:val="18"/>
                <w:szCs w:val="18"/>
                <w:lang w:val="en-GB" w:bidi="en-US"/>
              </w:rPr>
              <w:t xml:space="preserve">checked for </w:t>
            </w:r>
            <w:r w:rsidRPr="00DD3F88">
              <w:rPr>
                <w:sz w:val="18"/>
                <w:szCs w:val="18"/>
                <w:lang w:val="en-GB" w:bidi="en-US"/>
              </w:rPr>
              <w:t xml:space="preserve">accuracy by the </w:t>
            </w:r>
            <w:r w:rsidRPr="00DD3F88">
              <w:rPr>
                <w:spacing w:val="-1"/>
                <w:sz w:val="18"/>
                <w:szCs w:val="18"/>
                <w:lang w:val="en-GB" w:bidi="en-US"/>
              </w:rPr>
              <w:t xml:space="preserve">experts involved </w:t>
            </w:r>
            <w:r w:rsidRPr="00DD3F88">
              <w:rPr>
                <w:sz w:val="18"/>
                <w:szCs w:val="18"/>
                <w:lang w:val="en-GB" w:bidi="en-US"/>
              </w:rPr>
              <w:t xml:space="preserve">in the </w:t>
            </w:r>
            <w:r w:rsidRPr="00DD3F88">
              <w:rPr>
                <w:spacing w:val="-1"/>
                <w:sz w:val="18"/>
                <w:szCs w:val="18"/>
                <w:lang w:val="en-GB" w:bidi="en-US"/>
              </w:rPr>
              <w:t>assessments.</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The final draft should reflect comments made by Governments and relevant stakeholders. If necessary, the MEP working with authors, review editors and reviewers can try to resolve areas of major differences of opinion.</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Reports should describe different, possibly controversial, </w:t>
            </w:r>
            <w:r w:rsidRPr="00DD3F88">
              <w:rPr>
                <w:rFonts w:eastAsia="Calibri"/>
                <w:spacing w:val="-2"/>
                <w:sz w:val="18"/>
                <w:szCs w:val="18"/>
                <w:lang w:val="en-GB"/>
              </w:rPr>
              <w:t>scientific,</w:t>
            </w:r>
            <w:r w:rsidRPr="00DD3F88">
              <w:rPr>
                <w:rFonts w:eastAsia="Calibri"/>
                <w:sz w:val="18"/>
                <w:szCs w:val="18"/>
                <w:lang w:val="en-GB"/>
              </w:rPr>
              <w:t xml:space="preserve"> technical and socio-economic views on a given subject, particularly if they are relevant to the </w:t>
            </w:r>
            <w:r w:rsidRPr="00DD3F88">
              <w:rPr>
                <w:rFonts w:eastAsia="Calibri"/>
                <w:spacing w:val="-2"/>
                <w:sz w:val="18"/>
                <w:szCs w:val="18"/>
                <w:lang w:val="en-GB"/>
              </w:rPr>
              <w:t>policy</w:t>
            </w:r>
            <w:r w:rsidRPr="00DD3F88">
              <w:rPr>
                <w:rFonts w:eastAsia="Calibri"/>
                <w:sz w:val="18"/>
                <w:szCs w:val="18"/>
                <w:lang w:val="en-GB"/>
              </w:rPr>
              <w:t xml:space="preserve"> debate. The final draft of a report should credit all report co-chairs, coordinating lead authors, lead authors, contributing authors, reviewers and</w:t>
            </w:r>
            <w:r w:rsidRPr="00DD3F88">
              <w:rPr>
                <w:rFonts w:eastAsia="Calibri"/>
                <w:spacing w:val="-2"/>
                <w:sz w:val="18"/>
                <w:szCs w:val="18"/>
                <w:lang w:val="en-GB"/>
              </w:rPr>
              <w:t xml:space="preserve"> review</w:t>
            </w:r>
            <w:r w:rsidRPr="00DD3F88">
              <w:rPr>
                <w:rFonts w:eastAsia="Calibri"/>
                <w:sz w:val="18"/>
                <w:szCs w:val="18"/>
                <w:lang w:val="en-GB"/>
              </w:rPr>
              <w:t xml:space="preserve"> editors and other contributors, as appropriate, </w:t>
            </w:r>
            <w:r w:rsidRPr="00DD3F88">
              <w:rPr>
                <w:rFonts w:eastAsia="Calibri"/>
                <w:spacing w:val="-2"/>
                <w:sz w:val="18"/>
                <w:szCs w:val="18"/>
                <w:lang w:val="en-GB"/>
              </w:rPr>
              <w:t xml:space="preserve">by </w:t>
            </w:r>
            <w:r w:rsidRPr="00DD3F88">
              <w:rPr>
                <w:rFonts w:eastAsia="Calibri"/>
                <w:sz w:val="18"/>
                <w:szCs w:val="18"/>
                <w:lang w:val="en-GB"/>
              </w:rPr>
              <w:t xml:space="preserve">name and affiliation, at the end of </w:t>
            </w:r>
            <w:r w:rsidRPr="00DD3F88">
              <w:rPr>
                <w:rFonts w:eastAsia="Calibri"/>
                <w:spacing w:val="-2"/>
                <w:sz w:val="18"/>
                <w:szCs w:val="18"/>
                <w:lang w:val="en-GB"/>
              </w:rPr>
              <w:t xml:space="preserve">the </w:t>
            </w:r>
            <w:r w:rsidRPr="00DD3F88">
              <w:rPr>
                <w:rFonts w:eastAsia="Calibri"/>
                <w:sz w:val="18"/>
                <w:szCs w:val="18"/>
                <w:lang w:val="en-GB"/>
              </w:rPr>
              <w:t>report.</w:t>
            </w:r>
          </w:p>
        </w:tc>
      </w:tr>
      <w:tr w:rsidR="006E54C8" w:rsidRPr="00FA50AA" w:rsidTr="00480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left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t>Governments and stakeholders submit written comments on SPM</w:t>
            </w:r>
          </w:p>
        </w:tc>
        <w:tc>
          <w:tcPr>
            <w:tcW w:w="1099" w:type="pct"/>
            <w:tcBorders>
              <w:left w:val="nil"/>
              <w:right w:val="nil"/>
            </w:tcBorders>
            <w:hideMark/>
          </w:tcPr>
          <w:p w:rsidR="006E54C8" w:rsidRPr="00DD3F88" w:rsidRDefault="006E54C8" w:rsidP="00280AD4">
            <w:pPr>
              <w:tabs>
                <w:tab w:val="left" w:pos="624"/>
                <w:tab w:val="left" w:pos="1871"/>
                <w:tab w:val="left" w:pos="2495"/>
                <w:tab w:val="left" w:pos="3119"/>
              </w:tabs>
              <w:spacing w:before="40" w:after="4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Governments and other stakeholders</w:t>
            </w:r>
          </w:p>
        </w:tc>
        <w:tc>
          <w:tcPr>
            <w:tcW w:w="2895" w:type="pct"/>
            <w:tcBorders>
              <w:left w:val="nil"/>
              <w:right w:val="single" w:sz="4" w:space="0" w:color="4472C4"/>
            </w:tcBorders>
            <w:hideMark/>
          </w:tcPr>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Members of IPBES, governments and other stakeholders are invited to submit comments to the secretariat up to 2 weeks before Plenary of the final drafts of the assessment report and SPM. Comments should be submitted in the common format (see section 2.3.3). </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Comments are collated by the secretariat and sent to the relevant assessment team</w:t>
            </w:r>
          </w:p>
          <w:p w:rsidR="006E54C8" w:rsidRPr="00DD3F88" w:rsidRDefault="006E54C8" w:rsidP="00280AD4">
            <w:pPr>
              <w:tabs>
                <w:tab w:val="left" w:pos="624"/>
                <w:tab w:val="left" w:pos="1871"/>
                <w:tab w:val="left" w:pos="2495"/>
                <w:tab w:val="left" w:pos="3119"/>
              </w:tabs>
              <w:spacing w:before="40" w:after="120"/>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DD3F88">
              <w:rPr>
                <w:rFonts w:eastAsia="Calibri"/>
                <w:sz w:val="18"/>
                <w:szCs w:val="18"/>
                <w:lang w:val="en-GB"/>
              </w:rPr>
              <w:t>Upon receiving the comments and Plenary, Authors might like to prepare alternative text or responses to address the comments should they be discussed at the Plenary. Authors should not make direct changes to the text of the documents at this point.</w:t>
            </w:r>
          </w:p>
        </w:tc>
      </w:tr>
      <w:tr w:rsidR="006E54C8" w:rsidRPr="00FA50AA" w:rsidTr="00480CDD">
        <w:tc>
          <w:tcPr>
            <w:cnfStyle w:val="001000000000" w:firstRow="0" w:lastRow="0" w:firstColumn="1" w:lastColumn="0" w:oddVBand="0" w:evenVBand="0" w:oddHBand="0" w:evenHBand="0" w:firstRowFirstColumn="0" w:firstRowLastColumn="0" w:lastRowFirstColumn="0" w:lastRowLastColumn="0"/>
            <w:tcW w:w="1006" w:type="pct"/>
            <w:tcBorders>
              <w:top w:val="nil"/>
              <w:left w:val="single" w:sz="4" w:space="0" w:color="4472C4"/>
              <w:bottom w:val="single" w:sz="4" w:space="0" w:color="4472C4"/>
            </w:tcBorders>
            <w:hideMark/>
          </w:tcPr>
          <w:p w:rsidR="006E54C8" w:rsidRPr="00DD3F88" w:rsidRDefault="006E54C8" w:rsidP="00280AD4">
            <w:pPr>
              <w:tabs>
                <w:tab w:val="left" w:pos="624"/>
                <w:tab w:val="left" w:pos="1871"/>
                <w:tab w:val="left" w:pos="2495"/>
                <w:tab w:val="left" w:pos="3119"/>
              </w:tabs>
              <w:spacing w:before="40" w:after="40"/>
              <w:rPr>
                <w:rFonts w:eastAsia="Calibri"/>
                <w:sz w:val="18"/>
                <w:szCs w:val="18"/>
                <w:lang w:val="en-GB"/>
              </w:rPr>
            </w:pPr>
            <w:r w:rsidRPr="00DD3F88">
              <w:rPr>
                <w:rFonts w:eastAsia="Calibri"/>
                <w:sz w:val="18"/>
                <w:szCs w:val="18"/>
                <w:lang w:val="en-GB"/>
              </w:rPr>
              <w:lastRenderedPageBreak/>
              <w:t>Plenary discussion on SPM</w:t>
            </w:r>
          </w:p>
        </w:tc>
        <w:tc>
          <w:tcPr>
            <w:tcW w:w="1099" w:type="pct"/>
            <w:tcBorders>
              <w:top w:val="nil"/>
              <w:left w:val="nil"/>
              <w:bottom w:val="single" w:sz="4" w:space="0" w:color="4472C4"/>
              <w:right w:val="nil"/>
            </w:tcBorders>
            <w:hideMark/>
          </w:tcPr>
          <w:p w:rsidR="006E54C8" w:rsidRPr="00DD3F88" w:rsidRDefault="006E54C8" w:rsidP="00280AD4">
            <w:pPr>
              <w:tabs>
                <w:tab w:val="left" w:pos="624"/>
                <w:tab w:val="left" w:pos="1871"/>
                <w:tab w:val="left" w:pos="2495"/>
                <w:tab w:val="left" w:pos="311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bCs/>
                <w:spacing w:val="-1"/>
                <w:sz w:val="18"/>
                <w:szCs w:val="18"/>
                <w:lang w:val="en-GB" w:bidi="en-US"/>
              </w:rPr>
              <w:t>The Plenary, Co-Chairs, CLAs (and TSU)</w:t>
            </w:r>
          </w:p>
        </w:tc>
        <w:tc>
          <w:tcPr>
            <w:tcW w:w="2895" w:type="pct"/>
            <w:tcBorders>
              <w:top w:val="nil"/>
              <w:left w:val="nil"/>
              <w:bottom w:val="single" w:sz="4" w:space="0" w:color="4472C4"/>
              <w:right w:val="single" w:sz="4" w:space="0" w:color="4472C4"/>
            </w:tcBorders>
            <w:hideMark/>
          </w:tcPr>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 xml:space="preserve">At the </w:t>
            </w:r>
            <w:proofErr w:type="gramStart"/>
            <w:r w:rsidRPr="00DD3F88">
              <w:rPr>
                <w:rFonts w:eastAsia="Calibri"/>
                <w:sz w:val="18"/>
                <w:szCs w:val="18"/>
                <w:lang w:val="en-GB"/>
              </w:rPr>
              <w:t>Plenary</w:t>
            </w:r>
            <w:proofErr w:type="gramEnd"/>
            <w:r w:rsidRPr="00DD3F88">
              <w:rPr>
                <w:rFonts w:eastAsia="Calibri"/>
                <w:sz w:val="18"/>
                <w:szCs w:val="18"/>
                <w:lang w:val="en-GB"/>
              </w:rPr>
              <w:t xml:space="preserve"> the SPM is agreed line by line. Members must also make interventions on comments provided to the secretariat in advance or amendments to the text cannot happen.</w:t>
            </w:r>
          </w:p>
          <w:p w:rsidR="006E54C8" w:rsidRPr="00DD3F88" w:rsidRDefault="006E54C8" w:rsidP="00280AD4">
            <w:pPr>
              <w:tabs>
                <w:tab w:val="left" w:pos="624"/>
                <w:tab w:val="left" w:pos="1871"/>
                <w:tab w:val="left" w:pos="2495"/>
                <w:tab w:val="left" w:pos="3119"/>
              </w:tabs>
              <w:spacing w:before="40" w:after="120"/>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DD3F88">
              <w:rPr>
                <w:rFonts w:eastAsia="Calibri"/>
                <w:sz w:val="18"/>
                <w:szCs w:val="18"/>
                <w:lang w:val="en-GB"/>
              </w:rPr>
              <w:t>The Co-Chairs and CLAs are present during the Plenary discussions to provide responses and/or alternative wording.</w:t>
            </w:r>
          </w:p>
        </w:tc>
      </w:tr>
    </w:tbl>
    <w:p w:rsidR="006E54C8" w:rsidRPr="00DD3F88" w:rsidRDefault="006E54C8" w:rsidP="00280AD4">
      <w:pPr>
        <w:tabs>
          <w:tab w:val="left" w:pos="624"/>
          <w:tab w:val="left" w:pos="1871"/>
          <w:tab w:val="left" w:pos="2495"/>
          <w:tab w:val="left" w:pos="3119"/>
        </w:tabs>
        <w:rPr>
          <w:rFonts w:eastAsia="Calibri"/>
          <w:lang w:val="en-GB"/>
        </w:rPr>
      </w:pPr>
    </w:p>
    <w:p w:rsidR="006E54C8" w:rsidRPr="00DD3F88" w:rsidRDefault="006E54C8" w:rsidP="00280AD4">
      <w:pPr>
        <w:pStyle w:val="CH3"/>
        <w:tabs>
          <w:tab w:val="left" w:pos="624"/>
          <w:tab w:val="left" w:pos="1871"/>
          <w:tab w:val="left" w:pos="2495"/>
          <w:tab w:val="left" w:pos="3119"/>
        </w:tabs>
        <w:rPr>
          <w:lang w:val="en-GB"/>
        </w:rPr>
      </w:pPr>
      <w:r w:rsidRPr="00DD3F88">
        <w:rPr>
          <w:lang w:val="en-GB"/>
        </w:rPr>
        <w:tab/>
        <w:t>2.2.4</w:t>
      </w:r>
      <w:r w:rsidRPr="00DD3F88">
        <w:rPr>
          <w:lang w:val="en-GB"/>
        </w:rPr>
        <w:tab/>
        <w:t>Peer review process</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 xml:space="preserve">Within an IPBES assessment there are two external review processes: </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rPr>
          <w:lang w:val="en-GB"/>
        </w:rPr>
      </w:pPr>
      <w:r w:rsidRPr="00DD3F88">
        <w:rPr>
          <w:lang w:val="en-GB"/>
        </w:rPr>
        <w:t xml:space="preserve">Independent external peer review of the first order draft: experts with relevant knowledge and credentials regarding the assessment, but not involved in this assessment, will be invited to critically review one or more chapters of the first order draft. </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rPr>
          <w:lang w:val="en-GB"/>
        </w:rPr>
      </w:pPr>
      <w:r w:rsidRPr="00DD3F88">
        <w:rPr>
          <w:lang w:val="en-GB"/>
        </w:rPr>
        <w:t>Independent external peer review, review by governments and other stakeholders: Governments, observers, as well as any interested external expert, can provide comments on the second order draft and the first order draft of the SPM.</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IPBES has three governing principles for their review process:</w:t>
      </w:r>
    </w:p>
    <w:p w:rsidR="006E54C8" w:rsidRPr="00DD3F88" w:rsidRDefault="006E54C8" w:rsidP="00280AD4">
      <w:pPr>
        <w:numPr>
          <w:ilvl w:val="0"/>
          <w:numId w:val="28"/>
        </w:numPr>
        <w:tabs>
          <w:tab w:val="left" w:pos="624"/>
          <w:tab w:val="left" w:pos="1871"/>
          <w:tab w:val="left" w:pos="2495"/>
          <w:tab w:val="left" w:pos="3119"/>
        </w:tabs>
        <w:spacing w:after="120"/>
        <w:ind w:left="1247" w:firstLine="0"/>
        <w:rPr>
          <w:bCs/>
          <w:lang w:val="en-GB"/>
        </w:rPr>
      </w:pPr>
      <w:r w:rsidRPr="00DD3F88">
        <w:rPr>
          <w:rFonts w:eastAsia="Calibri"/>
          <w:b/>
          <w:i/>
          <w:lang w:val="en-GB"/>
        </w:rPr>
        <w:t>The provision of expert advice</w:t>
      </w:r>
      <w:r w:rsidRPr="00DD3F88">
        <w:rPr>
          <w:rFonts w:eastAsia="Calibri"/>
          <w:lang w:val="en-GB"/>
        </w:rPr>
        <w:t>: seek the best scientific and technical guidance.</w:t>
      </w:r>
    </w:p>
    <w:p w:rsidR="006E54C8" w:rsidRPr="00DD3F88" w:rsidRDefault="006E54C8" w:rsidP="00280AD4">
      <w:pPr>
        <w:numPr>
          <w:ilvl w:val="0"/>
          <w:numId w:val="28"/>
        </w:numPr>
        <w:tabs>
          <w:tab w:val="left" w:pos="624"/>
          <w:tab w:val="left" w:pos="1871"/>
          <w:tab w:val="left" w:pos="2495"/>
          <w:tab w:val="left" w:pos="3119"/>
        </w:tabs>
        <w:spacing w:after="120"/>
        <w:ind w:left="1247" w:firstLine="0"/>
        <w:rPr>
          <w:rFonts w:eastAsia="Calibri"/>
          <w:lang w:val="en-GB"/>
        </w:rPr>
      </w:pPr>
      <w:r w:rsidRPr="00DD3F88">
        <w:rPr>
          <w:rFonts w:eastAsia="Calibri"/>
          <w:b/>
          <w:i/>
          <w:lang w:val="en-GB"/>
        </w:rPr>
        <w:t>Ensuring comprehensive independent representation:</w:t>
      </w:r>
      <w:r w:rsidRPr="00DD3F88">
        <w:rPr>
          <w:rFonts w:eastAsia="Calibri"/>
          <w:lang w:val="en-GB"/>
        </w:rPr>
        <w:t xml:space="preserve"> Invite response from all countries and stakeholder groups.</w:t>
      </w:r>
    </w:p>
    <w:p w:rsidR="006E54C8" w:rsidRPr="00DD3F88" w:rsidRDefault="006E54C8" w:rsidP="00280AD4">
      <w:pPr>
        <w:numPr>
          <w:ilvl w:val="0"/>
          <w:numId w:val="28"/>
        </w:numPr>
        <w:tabs>
          <w:tab w:val="left" w:pos="624"/>
          <w:tab w:val="left" w:pos="1871"/>
          <w:tab w:val="left" w:pos="2495"/>
          <w:tab w:val="left" w:pos="3119"/>
        </w:tabs>
        <w:spacing w:after="120"/>
        <w:ind w:left="1247" w:firstLine="0"/>
        <w:rPr>
          <w:rFonts w:eastAsia="Times New Roman"/>
          <w:bCs/>
          <w:lang w:val="en-GB"/>
        </w:rPr>
      </w:pPr>
      <w:r w:rsidRPr="00DD3F88">
        <w:rPr>
          <w:rFonts w:eastAsia="Calibri"/>
          <w:b/>
          <w:i/>
          <w:lang w:val="en-GB"/>
        </w:rPr>
        <w:t>Following a transparent and open process</w:t>
      </w:r>
      <w:r w:rsidRPr="00DD3F88">
        <w:rPr>
          <w:rFonts w:eastAsia="Calibri"/>
          <w:lang w:val="en-GB"/>
        </w:rPr>
        <w:t>: make all comments received and author responses available online.</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The Chair of the secretariat will issue a call for external comments and the draft chapters will be placed on line in a password protected area. Experts, governments and stakeholders willing to make comments will register and commit to keep the documents confidential before receiving the texts for review</w:t>
      </w:r>
      <w:r w:rsidRPr="00DD3F88">
        <w:rPr>
          <w:rStyle w:val="CommentReference"/>
          <w:lang w:val="en-GB"/>
        </w:rPr>
        <w:t xml:space="preserve">. </w:t>
      </w:r>
      <w:r w:rsidRPr="00DD3F88">
        <w:rPr>
          <w:lang w:val="en-GB"/>
        </w:rPr>
        <w:t xml:space="preserve">Review comments are submitted to the relevant assessment technical support units using a standard format (see Figure 2.4). This allows for comments to be easily attributed to sections, pages and lines of the text and can be dealt with in an efficient manner. </w:t>
      </w:r>
    </w:p>
    <w:p w:rsidR="006E54C8" w:rsidRPr="00DD3F88" w:rsidRDefault="006E54C8" w:rsidP="00280AD4">
      <w:pPr>
        <w:pStyle w:val="NormalNonumber"/>
        <w:tabs>
          <w:tab w:val="left" w:pos="624"/>
          <w:tab w:val="left" w:pos="1871"/>
          <w:tab w:val="left" w:pos="2495"/>
          <w:tab w:val="left" w:pos="3119"/>
        </w:tabs>
        <w:rPr>
          <w:lang w:val="en-GB"/>
        </w:rPr>
      </w:pPr>
      <w:r w:rsidRPr="00DD3F88">
        <w:rPr>
          <w:noProof/>
          <w:lang w:val="en-GB" w:eastAsia="en-GB"/>
        </w:rPr>
        <w:drawing>
          <wp:anchor distT="0" distB="0" distL="114300" distR="114300" simplePos="0" relativeHeight="251668480" behindDoc="1" locked="0" layoutInCell="1" allowOverlap="1" wp14:anchorId="63DA1CD1" wp14:editId="419058D0">
            <wp:simplePos x="0" y="0"/>
            <wp:positionH relativeFrom="margin">
              <wp:posOffset>61595</wp:posOffset>
            </wp:positionH>
            <wp:positionV relativeFrom="paragraph">
              <wp:posOffset>389255</wp:posOffset>
            </wp:positionV>
            <wp:extent cx="6241415" cy="4047490"/>
            <wp:effectExtent l="0" t="0" r="6985" b="0"/>
            <wp:wrapTight wrapText="bothSides">
              <wp:wrapPolygon edited="0">
                <wp:start x="0" y="0"/>
                <wp:lineTo x="0" y="21451"/>
                <wp:lineTo x="21558" y="21451"/>
                <wp:lineTo x="21558" y="0"/>
                <wp:lineTo x="0" y="0"/>
              </wp:wrapPolygon>
            </wp:wrapTight>
            <wp:docPr id="30" name="Picture 30" descr="cid:BEEEA707-B80E-4341-8E3B-BF017448D6D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702B9C-9A81-47A8-89E4-098FD312CB37" descr="cid:BEEEA707-B80E-4341-8E3B-BF017448D6DA@home"/>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8742" b="45395"/>
                    <a:stretch/>
                  </pic:blipFill>
                  <pic:spPr bwMode="auto">
                    <a:xfrm>
                      <a:off x="0" y="0"/>
                      <a:ext cx="6241415" cy="404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3F88">
        <w:rPr>
          <w:lang w:val="en-GB"/>
        </w:rPr>
        <w:t xml:space="preserve">For a national ecosystem assessment, further guidance on the external peer review can be found in Ash </w:t>
      </w:r>
      <w:r w:rsidRPr="00DD3F88">
        <w:rPr>
          <w:i/>
          <w:lang w:val="en-GB"/>
        </w:rPr>
        <w:t>et al.</w:t>
      </w:r>
      <w:r w:rsidRPr="00DD3F88">
        <w:rPr>
          <w:lang w:val="en-GB"/>
        </w:rPr>
        <w:t xml:space="preserve"> (2010).</w:t>
      </w:r>
    </w:p>
    <w:p w:rsidR="006E54C8" w:rsidRPr="00DD3F88" w:rsidRDefault="006E54C8" w:rsidP="00280AD4">
      <w:pPr>
        <w:pStyle w:val="CH3"/>
        <w:tabs>
          <w:tab w:val="left" w:pos="624"/>
          <w:tab w:val="left" w:pos="1871"/>
          <w:tab w:val="left" w:pos="2495"/>
          <w:tab w:val="left" w:pos="3119"/>
        </w:tabs>
        <w:rPr>
          <w:lang w:val="en-GB" w:bidi="en-US"/>
        </w:rPr>
      </w:pPr>
      <w:r w:rsidRPr="00DD3F88">
        <w:rPr>
          <w:lang w:val="en-GB" w:bidi="en-US"/>
        </w:rPr>
        <w:lastRenderedPageBreak/>
        <w:tab/>
        <w:t xml:space="preserve">2.2.5 </w:t>
      </w:r>
      <w:r w:rsidRPr="00DD3F88">
        <w:rPr>
          <w:lang w:val="en-GB" w:bidi="en-US"/>
        </w:rPr>
        <w:tab/>
        <w:t>Developing Executive Summaries for chapters of an assessment report</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 xml:space="preserve">An Executive Summary is, in principle, located at the start of each chapter to outline its key findings. </w:t>
      </w:r>
    </w:p>
    <w:p w:rsidR="006E54C8" w:rsidRPr="00DD3F88" w:rsidRDefault="006E54C8" w:rsidP="00280AD4">
      <w:pPr>
        <w:pStyle w:val="NormalNonumber"/>
        <w:tabs>
          <w:tab w:val="left" w:pos="624"/>
          <w:tab w:val="left" w:pos="1871"/>
          <w:tab w:val="left" w:pos="2495"/>
          <w:tab w:val="left" w:pos="3119"/>
        </w:tabs>
        <w:rPr>
          <w:lang w:val="en-GB"/>
        </w:rPr>
      </w:pPr>
      <w:r w:rsidRPr="00DD3F88">
        <w:rPr>
          <w:lang w:val="en-GB"/>
        </w:rPr>
        <w:t>These summaries are crucial to communicate the outcomes of the assessment to its primary audience: members of the IPBES (the governments), observers, and all other stakeholders. The Executive Summaries also provide:</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rPr>
          <w:lang w:val="en-GB"/>
        </w:rPr>
      </w:pPr>
      <w:r w:rsidRPr="00DD3F88">
        <w:rPr>
          <w:lang w:val="en-GB"/>
        </w:rPr>
        <w:t>Confidence statements in support of each key finding (See section 2.3.6);</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rPr>
          <w:lang w:val="en-GB"/>
        </w:rPr>
      </w:pPr>
      <w:r w:rsidRPr="00DD3F88">
        <w:rPr>
          <w:lang w:val="en-GB"/>
        </w:rPr>
        <w:t>Links to the sections in the full chapter that contains the relevant supporting evidence and literature;</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rPr>
          <w:lang w:val="en-GB"/>
        </w:rPr>
      </w:pPr>
      <w:r w:rsidRPr="00DD3F88">
        <w:rPr>
          <w:lang w:val="en-GB"/>
        </w:rPr>
        <w:t>Input to the Summary for Policy Makers (SPM);</w:t>
      </w:r>
    </w:p>
    <w:p w:rsidR="006E54C8" w:rsidRPr="00DD3F88" w:rsidRDefault="006E54C8" w:rsidP="00280AD4">
      <w:pPr>
        <w:pStyle w:val="Normalnumber"/>
        <w:numPr>
          <w:ilvl w:val="0"/>
          <w:numId w:val="5"/>
        </w:numPr>
        <w:tabs>
          <w:tab w:val="clear" w:pos="1814"/>
          <w:tab w:val="clear" w:pos="2381"/>
          <w:tab w:val="clear" w:pos="2948"/>
          <w:tab w:val="clear" w:pos="3515"/>
          <w:tab w:val="clear" w:pos="4082"/>
          <w:tab w:val="left" w:pos="624"/>
          <w:tab w:val="left" w:pos="1871"/>
          <w:tab w:val="left" w:pos="2495"/>
          <w:tab w:val="left" w:pos="3119"/>
        </w:tabs>
        <w:rPr>
          <w:lang w:val="en-GB"/>
        </w:rPr>
      </w:pPr>
      <w:r w:rsidRPr="00DD3F88">
        <w:rPr>
          <w:lang w:val="en-GB"/>
        </w:rPr>
        <w:t>An explicit link between the SPM key findings and the sections within the full technical report providing supporting evidence (a traceable, evidence ‘paper trail’).</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The SPMs need to be written clearly, concisely and using simple language. This will facilitate effective communication of the key findings. Executive summaries are technical in nature and are based on the analysis set out in the chapter. They are not the same as an abstract of a scientific paper, but they should be a synthesis analysis and collective expert judgement of the chapter’s findings. One of the key differences between the Executive Summaries and the SPM is moving from setting out the technical facts to blending and synthesising the findings from different chapters into policy relevant messages. A key finding in the SPM should be readily traceable back to a main finding(s) in an Executive Summary that in turn should be readily traceable back to a section(s) of the chapter text, which in turn should be traceable where appropriate to the primary literature through references. References to the relevant Executive Summary statement within the SPM are included in curly brackets (e.g. {1.2}), see Box 2.2.</w:t>
      </w:r>
    </w:p>
    <w:p w:rsidR="006E54C8" w:rsidRPr="00DD3F88" w:rsidRDefault="006E54C8" w:rsidP="00280AD4">
      <w:pPr>
        <w:tabs>
          <w:tab w:val="left" w:pos="624"/>
          <w:tab w:val="left" w:pos="1871"/>
          <w:tab w:val="left" w:pos="2495"/>
          <w:tab w:val="left" w:pos="3119"/>
        </w:tabs>
        <w:spacing w:after="120"/>
        <w:ind w:left="1247"/>
        <w:rPr>
          <w:lang w:val="en-GB"/>
        </w:rPr>
      </w:pPr>
    </w:p>
    <w:tbl>
      <w:tblPr>
        <w:tblStyle w:val="TableGrid"/>
        <w:tblW w:w="0" w:type="auto"/>
        <w:tblInd w:w="421" w:type="dxa"/>
        <w:tblLook w:val="04A0" w:firstRow="1" w:lastRow="0" w:firstColumn="1" w:lastColumn="0" w:noHBand="0" w:noVBand="1"/>
      </w:tblPr>
      <w:tblGrid>
        <w:gridCol w:w="8646"/>
      </w:tblGrid>
      <w:tr w:rsidR="006E54C8" w:rsidRPr="00FA50AA" w:rsidTr="00480CDD">
        <w:tc>
          <w:tcPr>
            <w:tcW w:w="864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0"/>
              <w:jc w:val="both"/>
              <w:rPr>
                <w:rFonts w:ascii="Times New Roman" w:hAnsi="Times New Roman" w:cs="Times New Roman"/>
                <w:bCs/>
                <w:sz w:val="20"/>
                <w:szCs w:val="20"/>
                <w:lang w:val="en-GB"/>
              </w:rPr>
            </w:pPr>
            <w:r w:rsidRPr="00DD3F88">
              <w:rPr>
                <w:rFonts w:ascii="Times New Roman" w:hAnsi="Times New Roman" w:cs="Times New Roman"/>
                <w:b/>
                <w:sz w:val="20"/>
                <w:szCs w:val="20"/>
                <w:lang w:val="en-GB"/>
              </w:rPr>
              <w:t xml:space="preserve">Box 2.2 </w:t>
            </w:r>
            <w:r w:rsidRPr="00DD3F88">
              <w:rPr>
                <w:rFonts w:ascii="Times New Roman" w:hAnsi="Times New Roman" w:cs="Times New Roman"/>
                <w:bCs/>
                <w:sz w:val="20"/>
                <w:szCs w:val="20"/>
                <w:lang w:val="en-GB"/>
              </w:rPr>
              <w:t xml:space="preserve">Examples (extracts of) key findings on the status and trends in pollinators and pollination of the IPBES </w:t>
            </w:r>
            <w:r w:rsidRPr="00DD3F88">
              <w:rPr>
                <w:rFonts w:ascii="Times New Roman" w:eastAsia="Times New Roman" w:hAnsi="Times New Roman" w:cs="Times New Roman"/>
                <w:sz w:val="20"/>
                <w:szCs w:val="20"/>
                <w:lang w:val="en-GB"/>
              </w:rPr>
              <w:t>The Pollinators, Pollination and food production assessment SPM</w:t>
            </w:r>
            <w:r w:rsidRPr="00DD3F88">
              <w:rPr>
                <w:rFonts w:ascii="Times New Roman" w:hAnsi="Times New Roman" w:cs="Times New Roman"/>
                <w:bCs/>
                <w:sz w:val="20"/>
                <w:szCs w:val="20"/>
                <w:lang w:val="en-GB"/>
              </w:rPr>
              <w:t>.</w:t>
            </w:r>
          </w:p>
        </w:tc>
      </w:tr>
      <w:tr w:rsidR="006E54C8" w:rsidRPr="00FA50AA" w:rsidTr="00480CDD">
        <w:tc>
          <w:tcPr>
            <w:tcW w:w="8646"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b/>
                <w:bCs/>
                <w:sz w:val="20"/>
                <w:szCs w:val="20"/>
                <w:lang w:val="en-GB"/>
              </w:rPr>
              <w:t xml:space="preserve">Many wild bees and butterflies have been declining in abundance, occurrence and diversity at local and regional scales in North-West Europe and North America (established but incomplete); data for other regions and pollinator groups are currently insufficient to draw general conclusions, although local declines have been reported. </w:t>
            </w:r>
            <w:r w:rsidRPr="00DD3F88">
              <w:rPr>
                <w:rFonts w:ascii="Times New Roman" w:eastAsia="Times New Roman" w:hAnsi="Times New Roman" w:cs="Times New Roman"/>
                <w:sz w:val="20"/>
                <w:szCs w:val="20"/>
                <w:lang w:val="en-GB"/>
              </w:rPr>
              <w:t xml:space="preserve">At a regional level, declines in the diversity of bees and pollinator-dependent wild plants have been recorded in highly industrialized regions of the world, particularly Western Europe and Eastern North America, over the last century (well established). […] In agricultural systems, the local abundance and diversity of wild bees have been found to decline strongly with distance from field margins and remnants of natural and semi natural habitat at scales of a few hundred metres (well established) {3.2.2, 3.2.3}. </w:t>
            </w:r>
          </w:p>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b/>
                <w:bCs/>
                <w:i/>
                <w:iCs/>
                <w:sz w:val="20"/>
                <w:szCs w:val="20"/>
                <w:lang w:val="en-GB"/>
              </w:rPr>
            </w:pPr>
            <w:r w:rsidRPr="00DD3F88">
              <w:rPr>
                <w:rFonts w:ascii="Times New Roman" w:eastAsia="Times New Roman" w:hAnsi="Times New Roman" w:cs="Times New Roman"/>
                <w:i/>
                <w:iCs/>
                <w:sz w:val="20"/>
                <w:szCs w:val="20"/>
                <w:lang w:val="en-GB"/>
              </w:rPr>
              <w:t>Source: The Pollinators, Pollination and food production assessment SPM p.21-23</w:t>
            </w:r>
          </w:p>
        </w:tc>
      </w:tr>
      <w:tr w:rsidR="006E54C8" w:rsidRPr="00FA50AA" w:rsidTr="00480CDD">
        <w:tc>
          <w:tcPr>
            <w:tcW w:w="8646"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b/>
                <w:bCs/>
                <w:sz w:val="20"/>
                <w:szCs w:val="20"/>
                <w:lang w:val="en-GB"/>
              </w:rPr>
              <w:t>The number of managed western honey bee hives is increasing at the global scale, although seasonal colony loss is high in some European countries and in North America (well established) (figure SPM.5). Colony losses may not always result in irreversible declines, as losses can be mitigated by beekeepers splitting colonies to recover or even exceed seasonal losses</w:t>
            </w:r>
            <w:r w:rsidRPr="00DD3F88">
              <w:rPr>
                <w:lang w:val="en-GB"/>
              </w:rPr>
              <w:t xml:space="preserve">. </w:t>
            </w:r>
            <w:r w:rsidRPr="00DD3F88">
              <w:rPr>
                <w:rFonts w:ascii="Times New Roman" w:eastAsia="Times New Roman" w:hAnsi="Times New Roman" w:cs="Times New Roman"/>
                <w:sz w:val="20"/>
                <w:szCs w:val="20"/>
                <w:lang w:val="en-GB"/>
              </w:rPr>
              <w:t xml:space="preserve">The seasonal loss of western honey bees in Europe and North America varies strongly by country, state and province and by year, but in recent decades (at least since the widespread introduction of Varroa) has often been higher than the 10-15 per cent that was previously regarded as normal (established but incomplete). Data for other regions of the world is largely lacking {2.4.2.3, 2.4.2.4, 3.3.2, 3.3.3, 3.3.4, 3.3.5}. </w:t>
            </w:r>
          </w:p>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i/>
                <w:iCs/>
                <w:sz w:val="20"/>
                <w:szCs w:val="20"/>
                <w:lang w:val="en-GB"/>
              </w:rPr>
            </w:pPr>
            <w:r w:rsidRPr="00DD3F88">
              <w:rPr>
                <w:rFonts w:ascii="Times New Roman" w:eastAsia="Times New Roman" w:hAnsi="Times New Roman" w:cs="Times New Roman"/>
                <w:i/>
                <w:iCs/>
                <w:sz w:val="20"/>
                <w:szCs w:val="20"/>
                <w:lang w:val="en-GB"/>
              </w:rPr>
              <w:t>Source: The Pollinators, Pollination and food production assessment SPM p.21</w:t>
            </w:r>
          </w:p>
        </w:tc>
      </w:tr>
      <w:tr w:rsidR="006E54C8" w:rsidRPr="00FA50AA" w:rsidTr="00480CDD">
        <w:tc>
          <w:tcPr>
            <w:tcW w:w="8646"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b/>
                <w:bCs/>
                <w:sz w:val="20"/>
                <w:szCs w:val="20"/>
                <w:lang w:val="en-GB"/>
              </w:rPr>
              <w:t>Commercial management, mass breeding, transport and trade in pollinators outside their original ranges have resulted in new invasions, transmission of pathogens and parasites and regional extinctions of native pollinator species (well established).</w:t>
            </w:r>
            <w:r w:rsidRPr="00DD3F88">
              <w:rPr>
                <w:rFonts w:ascii="Times New Roman" w:hAnsi="Times New Roman" w:cs="Times New Roman"/>
                <w:lang w:val="en-GB" w:eastAsia="en-GB"/>
              </w:rPr>
              <w:t xml:space="preserve"> </w:t>
            </w:r>
            <w:r w:rsidRPr="00DD3F88">
              <w:rPr>
                <w:rFonts w:ascii="Times New Roman" w:eastAsia="Times New Roman" w:hAnsi="Times New Roman" w:cs="Times New Roman"/>
                <w:sz w:val="20"/>
                <w:szCs w:val="20"/>
                <w:lang w:val="en-GB"/>
              </w:rPr>
              <w:t>Recently developed commercial rearing of bumble bee species for greenhouse and field crop pollination, and their introduction</w:t>
            </w:r>
          </w:p>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sz w:val="20"/>
                <w:szCs w:val="20"/>
                <w:lang w:val="en-GB"/>
              </w:rPr>
              <w:lastRenderedPageBreak/>
              <w:t>to continents outside of their original ranges, have resulted in biological invasions, pathogen transmission to native species and the decline of congeneric (sub-)species (established but incomplete). A well-documented case is the severe decline in and extirpation from many areas of its original</w:t>
            </w:r>
          </w:p>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sz w:val="20"/>
                <w:szCs w:val="20"/>
                <w:lang w:val="en-GB"/>
              </w:rPr>
              <w:t xml:space="preserve">range of the giant bumble bee, </w:t>
            </w:r>
            <w:proofErr w:type="spellStart"/>
            <w:r w:rsidRPr="00DD3F88">
              <w:rPr>
                <w:rFonts w:ascii="Times New Roman" w:eastAsia="Times New Roman" w:hAnsi="Times New Roman" w:cs="Times New Roman"/>
                <w:sz w:val="20"/>
                <w:szCs w:val="20"/>
                <w:lang w:val="en-GB"/>
              </w:rPr>
              <w:t>Bombus</w:t>
            </w:r>
            <w:proofErr w:type="spellEnd"/>
            <w:r w:rsidRPr="00DD3F88">
              <w:rPr>
                <w:rFonts w:ascii="Times New Roman" w:eastAsia="Times New Roman" w:hAnsi="Times New Roman" w:cs="Times New Roman"/>
                <w:sz w:val="20"/>
                <w:szCs w:val="20"/>
                <w:lang w:val="en-GB"/>
              </w:rPr>
              <w:t xml:space="preserve"> </w:t>
            </w:r>
            <w:proofErr w:type="spellStart"/>
            <w:r w:rsidRPr="00DD3F88">
              <w:rPr>
                <w:rFonts w:ascii="Times New Roman" w:eastAsia="Times New Roman" w:hAnsi="Times New Roman" w:cs="Times New Roman"/>
                <w:sz w:val="20"/>
                <w:szCs w:val="20"/>
                <w:lang w:val="en-GB"/>
              </w:rPr>
              <w:t>dahlbomii</w:t>
            </w:r>
            <w:proofErr w:type="spellEnd"/>
            <w:r w:rsidRPr="00DD3F88">
              <w:rPr>
                <w:rFonts w:ascii="Times New Roman" w:eastAsia="Times New Roman" w:hAnsi="Times New Roman" w:cs="Times New Roman"/>
                <w:sz w:val="20"/>
                <w:szCs w:val="20"/>
                <w:lang w:val="en-GB"/>
              </w:rPr>
              <w:t xml:space="preserve">, since the introduction and spread of the European B. </w:t>
            </w:r>
            <w:proofErr w:type="spellStart"/>
            <w:r w:rsidRPr="00DD3F88">
              <w:rPr>
                <w:rFonts w:ascii="Times New Roman" w:eastAsia="Times New Roman" w:hAnsi="Times New Roman" w:cs="Times New Roman"/>
                <w:sz w:val="20"/>
                <w:szCs w:val="20"/>
                <w:lang w:val="en-GB"/>
              </w:rPr>
              <w:t>terrestris</w:t>
            </w:r>
            <w:proofErr w:type="spellEnd"/>
            <w:r w:rsidRPr="00DD3F88">
              <w:rPr>
                <w:rFonts w:ascii="Times New Roman" w:eastAsia="Times New Roman" w:hAnsi="Times New Roman" w:cs="Times New Roman"/>
                <w:sz w:val="20"/>
                <w:szCs w:val="20"/>
                <w:lang w:val="en-GB"/>
              </w:rPr>
              <w:t xml:space="preserve"> in southern South America (well established) {3.2.3, 3.3.3,3.4.32, 3.4.3}. The presence of managed honey bees and their escaped descendants (for example African honey bees in the Americas) have changed visitation patterns to the native plants in those regions (unresolved) {3.2.3, 3.3.2, 3.4.2, 3.4.3}. Better regulation of the movement of all species of managed pollinators around the world, and within countries, can limit the spread of parasites and pathogens to managed and wild pollinators alike and reduce the likelihood that pollinators will be introduced outside their native ranges and cause negative impacts (established but incomplete) {6.4.4.2}. </w:t>
            </w:r>
          </w:p>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i/>
                <w:iCs/>
                <w:sz w:val="20"/>
                <w:szCs w:val="20"/>
                <w:lang w:val="en-GB"/>
              </w:rPr>
            </w:pPr>
            <w:r w:rsidRPr="00DD3F88">
              <w:rPr>
                <w:rFonts w:ascii="Times New Roman" w:eastAsia="Times New Roman" w:hAnsi="Times New Roman" w:cs="Times New Roman"/>
                <w:i/>
                <w:iCs/>
                <w:sz w:val="20"/>
                <w:szCs w:val="20"/>
                <w:lang w:val="en-GB"/>
              </w:rPr>
              <w:t>Source: The Pollinators, Pollination and food production assessment SPM, p.28</w:t>
            </w:r>
          </w:p>
        </w:tc>
      </w:tr>
    </w:tbl>
    <w:p w:rsidR="006E54C8" w:rsidRPr="00DD3F88" w:rsidRDefault="006E54C8" w:rsidP="00280AD4">
      <w:pPr>
        <w:tabs>
          <w:tab w:val="left" w:pos="624"/>
          <w:tab w:val="left" w:pos="1871"/>
          <w:tab w:val="left" w:pos="2495"/>
          <w:tab w:val="left" w:pos="3119"/>
        </w:tabs>
        <w:spacing w:after="120"/>
        <w:ind w:left="1247"/>
        <w:rPr>
          <w:rFonts w:eastAsia="Times New Roman"/>
          <w:lang w:val="en-GB"/>
        </w:rPr>
      </w:pPr>
    </w:p>
    <w:p w:rsidR="006E54C8" w:rsidRPr="00DD3F88" w:rsidRDefault="006E54C8" w:rsidP="00280AD4">
      <w:pPr>
        <w:tabs>
          <w:tab w:val="left" w:pos="624"/>
          <w:tab w:val="left" w:pos="1871"/>
          <w:tab w:val="left" w:pos="2495"/>
          <w:tab w:val="left" w:pos="3119"/>
        </w:tabs>
        <w:spacing w:after="120"/>
        <w:ind w:left="567"/>
        <w:rPr>
          <w:highlight w:val="yellow"/>
          <w:lang w:val="en-GB"/>
        </w:rPr>
      </w:pPr>
      <w:r w:rsidRPr="00DD3F88">
        <w:rPr>
          <w:lang w:val="en-GB"/>
        </w:rPr>
        <w:t xml:space="preserve">Chapter 1 of an IPBES assessment is often introductory in nature and reflects the scene-setting objective of this chapter. Therefore, its executive summary will differ slightly from the other chapters in having an executive summary based on ‘key messages’ rather than ‘key findings’. </w:t>
      </w:r>
    </w:p>
    <w:p w:rsidR="006E54C8" w:rsidRPr="00DD3F88" w:rsidRDefault="006E54C8" w:rsidP="00280AD4">
      <w:pPr>
        <w:tabs>
          <w:tab w:val="left" w:pos="624"/>
          <w:tab w:val="left" w:pos="1871"/>
          <w:tab w:val="left" w:pos="2495"/>
          <w:tab w:val="left" w:pos="3119"/>
        </w:tabs>
        <w:spacing w:after="120"/>
        <w:ind w:left="567"/>
        <w:rPr>
          <w:lang w:val="en-GB"/>
        </w:rPr>
      </w:pPr>
      <w:r w:rsidRPr="00DD3F88">
        <w:rPr>
          <w:lang w:val="en-GB"/>
        </w:rPr>
        <w:t>As a guideline, each chapter should preferably aim for an executive summary of up to 10-12 key findings and no more than 1500 words. This will also vary depending on the nature of the chapter. The final IPBES pollination assessment had written 4 to 21 key findings for each chapter (an average of 12 key findings per chapter). An example of a key finding from an executive summary of a chapter can be found in Box 2.3.</w:t>
      </w:r>
    </w:p>
    <w:p w:rsidR="006E54C8" w:rsidRPr="00DD3F88" w:rsidRDefault="006E54C8" w:rsidP="00280AD4">
      <w:pPr>
        <w:tabs>
          <w:tab w:val="left" w:pos="624"/>
          <w:tab w:val="left" w:pos="1871"/>
          <w:tab w:val="left" w:pos="2495"/>
          <w:tab w:val="left" w:pos="3119"/>
        </w:tabs>
        <w:spacing w:after="120"/>
        <w:ind w:left="567"/>
        <w:rPr>
          <w:lang w:val="en-GB"/>
        </w:rPr>
      </w:pPr>
    </w:p>
    <w:tbl>
      <w:tblPr>
        <w:tblStyle w:val="TableGrid"/>
        <w:tblpPr w:leftFromText="180" w:rightFromText="180" w:vertAnchor="text" w:horzAnchor="margin" w:tblpY="-6"/>
        <w:tblW w:w="9209" w:type="dxa"/>
        <w:tblLook w:val="04A0" w:firstRow="1" w:lastRow="0" w:firstColumn="1" w:lastColumn="0" w:noHBand="0" w:noVBand="1"/>
      </w:tblPr>
      <w:tblGrid>
        <w:gridCol w:w="9209"/>
      </w:tblGrid>
      <w:tr w:rsidR="006E54C8" w:rsidRPr="00FA50AA" w:rsidTr="00480CDD">
        <w:tc>
          <w:tcPr>
            <w:tcW w:w="920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6E54C8" w:rsidRPr="00DD3F88" w:rsidRDefault="006E54C8" w:rsidP="00280AD4">
            <w:pPr>
              <w:tabs>
                <w:tab w:val="left" w:pos="624"/>
                <w:tab w:val="left" w:pos="1073"/>
                <w:tab w:val="left" w:pos="1871"/>
                <w:tab w:val="left" w:pos="2495"/>
                <w:tab w:val="left" w:pos="3119"/>
              </w:tabs>
              <w:spacing w:after="240"/>
              <w:rPr>
                <w:b/>
                <w:lang w:val="en-GB"/>
              </w:rPr>
            </w:pPr>
            <w:r w:rsidRPr="00DD3F88">
              <w:rPr>
                <w:b/>
                <w:lang w:val="en-GB"/>
              </w:rPr>
              <w:t xml:space="preserve">Box 2.3. </w:t>
            </w:r>
            <w:r w:rsidRPr="00DD3F88">
              <w:rPr>
                <w:bCs/>
                <w:lang w:val="en-GB"/>
              </w:rPr>
              <w:t xml:space="preserve">Example (extract of) key findings from Chapter 3: The status and trends in pollinators and pollination of the IPBES </w:t>
            </w:r>
            <w:r w:rsidRPr="00DD3F88">
              <w:rPr>
                <w:rFonts w:eastAsia="Times New Roman"/>
                <w:lang w:val="en-GB"/>
              </w:rPr>
              <w:t xml:space="preserve">Pollinators, Pollination and food production assessment </w:t>
            </w:r>
          </w:p>
        </w:tc>
      </w:tr>
      <w:tr w:rsidR="006E54C8" w:rsidRPr="00FA50AA" w:rsidTr="00480CDD">
        <w:tc>
          <w:tcPr>
            <w:tcW w:w="9209"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b/>
                <w:bCs/>
                <w:sz w:val="20"/>
                <w:szCs w:val="20"/>
                <w:lang w:val="en-GB"/>
              </w:rPr>
            </w:pPr>
            <w:r w:rsidRPr="00DD3F88">
              <w:rPr>
                <w:rFonts w:ascii="Times New Roman" w:eastAsia="Times New Roman" w:hAnsi="Times New Roman" w:cs="Times New Roman"/>
                <w:b/>
                <w:bCs/>
                <w:sz w:val="20"/>
                <w:szCs w:val="20"/>
                <w:lang w:val="en-GB"/>
              </w:rPr>
              <w:t>Many wild bees and butterflies have been declining in abundance, occurrence and diversity at local and</w:t>
            </w:r>
          </w:p>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b/>
                <w:bCs/>
                <w:sz w:val="20"/>
                <w:szCs w:val="20"/>
                <w:lang w:val="en-GB"/>
              </w:rPr>
            </w:pPr>
            <w:r w:rsidRPr="00DD3F88">
              <w:rPr>
                <w:rFonts w:ascii="Times New Roman" w:eastAsia="Times New Roman" w:hAnsi="Times New Roman" w:cs="Times New Roman"/>
                <w:b/>
                <w:bCs/>
                <w:sz w:val="20"/>
                <w:szCs w:val="20"/>
                <w:lang w:val="en-GB"/>
              </w:rPr>
              <w:t>regional scales, as it has been recorded in North West Europe and North America (established but</w:t>
            </w:r>
          </w:p>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b/>
                <w:bCs/>
                <w:sz w:val="20"/>
                <w:szCs w:val="20"/>
                <w:lang w:val="en-GB"/>
              </w:rPr>
              <w:t>incomplete)</w:t>
            </w:r>
            <w:r w:rsidRPr="00DD3F88">
              <w:rPr>
                <w:rFonts w:ascii="Times New Roman" w:eastAsia="Times New Roman" w:hAnsi="Times New Roman" w:cs="Times New Roman"/>
                <w:sz w:val="20"/>
                <w:szCs w:val="20"/>
                <w:lang w:val="en-GB"/>
              </w:rPr>
              <w:t xml:space="preserve">. </w:t>
            </w:r>
            <w:r w:rsidRPr="00DD3F88">
              <w:rPr>
                <w:rFonts w:ascii="Times New Roman" w:eastAsia="Times New Roman" w:hAnsi="Times New Roman" w:cs="Times New Roman"/>
                <w:b/>
                <w:bCs/>
                <w:sz w:val="20"/>
                <w:szCs w:val="20"/>
                <w:lang w:val="en-GB"/>
              </w:rPr>
              <w:t>Loss of pollinators has negative impacts on the reproduction of wild plants (established but incomplete).</w:t>
            </w:r>
            <w:r w:rsidRPr="00DD3F88">
              <w:rPr>
                <w:rFonts w:ascii="Times New Roman" w:eastAsia="Times New Roman" w:hAnsi="Times New Roman" w:cs="Times New Roman"/>
                <w:sz w:val="20"/>
                <w:szCs w:val="20"/>
                <w:lang w:val="en-GB"/>
              </w:rPr>
              <w:t xml:space="preserve"> In agricultural systems, the local abundance and diversity of wild bees have been found to decline strongly with distance from field margins and remnants of natural and semi natural habitat at scales of a few hundred metres (well established) (3.2.2, 3.2.3).</w:t>
            </w:r>
          </w:p>
        </w:tc>
      </w:tr>
    </w:tbl>
    <w:p w:rsidR="006E54C8" w:rsidRPr="00DD3F88" w:rsidRDefault="006E54C8" w:rsidP="00280AD4">
      <w:pPr>
        <w:tabs>
          <w:tab w:val="left" w:pos="624"/>
          <w:tab w:val="left" w:pos="1871"/>
          <w:tab w:val="left" w:pos="2495"/>
          <w:tab w:val="left" w:pos="3119"/>
        </w:tabs>
        <w:spacing w:after="120"/>
        <w:ind w:left="567"/>
        <w:rPr>
          <w:rFonts w:eastAsia="Times New Roman"/>
          <w:lang w:val="en-GB"/>
        </w:rPr>
      </w:pPr>
    </w:p>
    <w:p w:rsidR="006E54C8" w:rsidRPr="00DD3F88" w:rsidRDefault="006E54C8" w:rsidP="00280AD4">
      <w:pPr>
        <w:pStyle w:val="CH3"/>
        <w:tabs>
          <w:tab w:val="left" w:pos="624"/>
          <w:tab w:val="left" w:pos="1871"/>
          <w:tab w:val="left" w:pos="2495"/>
          <w:tab w:val="left" w:pos="3119"/>
        </w:tabs>
        <w:rPr>
          <w:lang w:val="en-GB"/>
        </w:rPr>
      </w:pPr>
      <w:r w:rsidRPr="00DD3F88">
        <w:rPr>
          <w:lang w:val="en-GB"/>
        </w:rPr>
        <w:tab/>
        <w:t xml:space="preserve">2.2.6 </w:t>
      </w:r>
      <w:r w:rsidRPr="00DD3F88">
        <w:rPr>
          <w:lang w:val="en-GB"/>
        </w:rPr>
        <w:tab/>
        <w:t>Using confidence terms</w:t>
      </w:r>
    </w:p>
    <w:p w:rsidR="006E54C8" w:rsidRPr="00DD3F88" w:rsidRDefault="006E54C8" w:rsidP="00280AD4">
      <w:pPr>
        <w:pStyle w:val="BodyText"/>
        <w:tabs>
          <w:tab w:val="left" w:pos="624"/>
          <w:tab w:val="left" w:pos="1247"/>
          <w:tab w:val="left" w:pos="1871"/>
          <w:tab w:val="left" w:pos="2495"/>
          <w:tab w:val="left" w:pos="3119"/>
        </w:tabs>
        <w:spacing w:after="120" w:line="240" w:lineRule="auto"/>
        <w:ind w:left="1247"/>
        <w:rPr>
          <w:rFonts w:ascii="Times New Roman" w:hAnsi="Times New Roman"/>
          <w:sz w:val="20"/>
          <w:szCs w:val="20"/>
        </w:rPr>
      </w:pPr>
      <w:r w:rsidRPr="00DD3F88">
        <w:rPr>
          <w:rFonts w:ascii="Times New Roman" w:hAnsi="Times New Roman"/>
          <w:sz w:val="20"/>
          <w:szCs w:val="20"/>
        </w:rPr>
        <w:t xml:space="preserve">When we talk about confidence in assessments in relation to knowledge, we are referring to how assured experts are about the findings (data and information) presented within their chapters. Low confidence describes a situation where we have incomplete knowledge and therefore cannot fully explain an outcome or reliably predict a future outcome, whereas high confidence conveys that we have extensive knowledge and are able to explain an outcome or predict a future outcome with much greater certainty. </w:t>
      </w:r>
    </w:p>
    <w:p w:rsidR="006E54C8" w:rsidRPr="00DD3F88" w:rsidRDefault="006E54C8" w:rsidP="00280AD4">
      <w:pPr>
        <w:pStyle w:val="CH3"/>
        <w:tabs>
          <w:tab w:val="left" w:pos="624"/>
          <w:tab w:val="left" w:pos="1871"/>
          <w:tab w:val="left" w:pos="2495"/>
          <w:tab w:val="left" w:pos="3119"/>
        </w:tabs>
        <w:rPr>
          <w:lang w:val="en-GB"/>
        </w:rPr>
      </w:pPr>
      <w:r w:rsidRPr="00DD3F88">
        <w:rPr>
          <w:lang w:val="en-GB"/>
        </w:rPr>
        <w:tab/>
      </w:r>
      <w:r w:rsidRPr="00280AD4">
        <w:rPr>
          <w:lang w:val="en-GB"/>
        </w:rPr>
        <w:t>2.2.6.1</w:t>
      </w:r>
      <w:r w:rsidR="001F3A5E">
        <w:rPr>
          <w:lang w:val="en-GB"/>
        </w:rPr>
        <w:tab/>
      </w:r>
      <w:r w:rsidRPr="00DD3F88">
        <w:rPr>
          <w:lang w:val="en-GB"/>
        </w:rPr>
        <w:t>Why does our communication of confidence matter in IPBES assessments?</w:t>
      </w:r>
    </w:p>
    <w:p w:rsidR="006E54C8" w:rsidRPr="001F3A5E" w:rsidRDefault="006E54C8" w:rsidP="00280AD4">
      <w:pPr>
        <w:pStyle w:val="Date"/>
        <w:tabs>
          <w:tab w:val="left" w:pos="624"/>
          <w:tab w:val="left" w:pos="1871"/>
          <w:tab w:val="left" w:pos="2495"/>
          <w:tab w:val="left" w:pos="3119"/>
        </w:tabs>
        <w:spacing w:after="120" w:line="240" w:lineRule="auto"/>
        <w:ind w:left="1247"/>
      </w:pPr>
      <w:r w:rsidRPr="001F3A5E">
        <w:rPr>
          <w:rFonts w:ascii="Times New Roman" w:hAnsi="Times New Roman"/>
          <w:sz w:val="20"/>
        </w:rPr>
        <w:t>Knowledge and scientific data about the natural world and the influence of human activities are complex. There is a need to communicate what the assessment author teams have high confidence in as well as what requires further investigation to allow decision makers to make informed decisions. Furthermore, by following a common approach to applying confidence terminology within an assessment, authors are able to increase consistency and transparency.</w:t>
      </w:r>
    </w:p>
    <w:p w:rsidR="006E54C8" w:rsidRPr="001F3A5E" w:rsidRDefault="006E54C8" w:rsidP="00280AD4">
      <w:pPr>
        <w:pStyle w:val="Date"/>
        <w:tabs>
          <w:tab w:val="left" w:pos="624"/>
          <w:tab w:val="left" w:pos="1871"/>
          <w:tab w:val="left" w:pos="2495"/>
          <w:tab w:val="left" w:pos="3119"/>
        </w:tabs>
        <w:spacing w:after="120" w:line="240" w:lineRule="auto"/>
        <w:ind w:left="1247"/>
      </w:pPr>
      <w:r w:rsidRPr="001F3A5E">
        <w:rPr>
          <w:rFonts w:ascii="Times New Roman" w:hAnsi="Times New Roman"/>
          <w:sz w:val="20"/>
        </w:rPr>
        <w:t>IPBES assessments will use specific phrases known as “confidence terms” in order to ensure consistency in the communication of confidence by author teams. What confidence term is used will depend on whether the author team’s expert judgement on the quantity and quality of the supporting evidence and the level of scientific agreement. IPBES assessments use a four-box model of confidence (Figure 2.5) based on evidence and agreement that gives four main confidence terms: “well established” (much evidence and high agreement), “unresolved” (much evidence but low agreement), “established but incomplete” (limited evidence but good agreement) and “inconclusive” (limited or no evidence and little agreement).</w:t>
      </w:r>
    </w:p>
    <w:p w:rsidR="006E54C8" w:rsidRPr="00DD3F88" w:rsidRDefault="006E54C8" w:rsidP="00280AD4">
      <w:pPr>
        <w:pStyle w:val="NormalNonumber"/>
        <w:tabs>
          <w:tab w:val="left" w:pos="624"/>
          <w:tab w:val="left" w:pos="1418"/>
          <w:tab w:val="left" w:pos="1871"/>
          <w:tab w:val="left" w:pos="2495"/>
          <w:tab w:val="left" w:pos="3119"/>
        </w:tabs>
        <w:ind w:left="1560"/>
        <w:rPr>
          <w:lang w:val="en-GB"/>
        </w:rPr>
      </w:pPr>
      <w:r w:rsidRPr="00DD3F88">
        <w:rPr>
          <w:lang w:val="en-GB"/>
        </w:rPr>
        <w:lastRenderedPageBreak/>
        <w:t>The following guidance will discuss where confidence terms must be applied in IPBES assessment reports, how to select the appropriate term to communicate the author team’s confidence and to present the confidence terms in the text.</w:t>
      </w:r>
    </w:p>
    <w:p w:rsidR="006E54C8" w:rsidRPr="00DD3F88" w:rsidRDefault="006E54C8" w:rsidP="00280AD4">
      <w:pPr>
        <w:pStyle w:val="NormalNonumber"/>
        <w:tabs>
          <w:tab w:val="left" w:pos="624"/>
          <w:tab w:val="left" w:pos="1418"/>
          <w:tab w:val="left" w:pos="1871"/>
          <w:tab w:val="left" w:pos="2495"/>
          <w:tab w:val="left" w:pos="3119"/>
        </w:tabs>
        <w:ind w:left="1560"/>
        <w:rPr>
          <w:lang w:val="en-GB"/>
        </w:rPr>
      </w:pPr>
      <w:r w:rsidRPr="00DD3F88">
        <w:rPr>
          <w:lang w:val="en-GB"/>
        </w:rPr>
        <w:t>Confidence terms should always be used in two key parts of an assessment:</w:t>
      </w:r>
    </w:p>
    <w:p w:rsidR="006E54C8" w:rsidRPr="00DD3F88" w:rsidRDefault="006E54C8" w:rsidP="00280AD4">
      <w:pPr>
        <w:numPr>
          <w:ilvl w:val="0"/>
          <w:numId w:val="29"/>
        </w:numPr>
        <w:tabs>
          <w:tab w:val="clear" w:pos="1814"/>
          <w:tab w:val="clear" w:pos="2381"/>
          <w:tab w:val="clear" w:pos="2948"/>
          <w:tab w:val="clear" w:pos="3515"/>
          <w:tab w:val="left" w:pos="624"/>
          <w:tab w:val="left" w:pos="1418"/>
          <w:tab w:val="left" w:pos="1871"/>
          <w:tab w:val="left" w:pos="2495"/>
          <w:tab w:val="left" w:pos="3119"/>
        </w:tabs>
        <w:spacing w:after="120"/>
        <w:ind w:left="1560" w:firstLine="0"/>
        <w:rPr>
          <w:lang w:val="en-GB"/>
        </w:rPr>
      </w:pPr>
      <w:r w:rsidRPr="00DD3F88">
        <w:rPr>
          <w:lang w:val="en-GB"/>
        </w:rPr>
        <w:t xml:space="preserve">They should be assigned to the key findings in </w:t>
      </w:r>
      <w:r w:rsidRPr="00DD3F88">
        <w:rPr>
          <w:b/>
          <w:lang w:val="en-GB"/>
        </w:rPr>
        <w:t xml:space="preserve">Executive Summaries </w:t>
      </w:r>
      <w:r w:rsidRPr="00DD3F88">
        <w:rPr>
          <w:lang w:val="en-GB"/>
        </w:rPr>
        <w:t>of the technical chapters in an assessment report (see Box 2.2);</w:t>
      </w:r>
    </w:p>
    <w:p w:rsidR="006E54C8" w:rsidRPr="00DD3F88" w:rsidRDefault="006E54C8" w:rsidP="00280AD4">
      <w:pPr>
        <w:numPr>
          <w:ilvl w:val="0"/>
          <w:numId w:val="29"/>
        </w:numPr>
        <w:tabs>
          <w:tab w:val="clear" w:pos="1814"/>
          <w:tab w:val="clear" w:pos="2381"/>
          <w:tab w:val="clear" w:pos="2948"/>
          <w:tab w:val="clear" w:pos="3515"/>
          <w:tab w:val="left" w:pos="624"/>
          <w:tab w:val="left" w:pos="1418"/>
          <w:tab w:val="left" w:pos="1871"/>
          <w:tab w:val="left" w:pos="2495"/>
          <w:tab w:val="left" w:pos="3119"/>
        </w:tabs>
        <w:spacing w:after="120"/>
        <w:ind w:left="1560" w:firstLine="0"/>
        <w:rPr>
          <w:lang w:val="en-GB"/>
        </w:rPr>
      </w:pPr>
      <w:r w:rsidRPr="00DD3F88">
        <w:rPr>
          <w:lang w:val="en-GB"/>
        </w:rPr>
        <w:t xml:space="preserve">Within the </w:t>
      </w:r>
      <w:r w:rsidRPr="00DD3F88">
        <w:rPr>
          <w:b/>
          <w:lang w:val="en-GB"/>
        </w:rPr>
        <w:t xml:space="preserve">Summary for Policymakers. </w:t>
      </w:r>
      <w:r w:rsidRPr="00DD3F88">
        <w:rPr>
          <w:bCs/>
          <w:lang w:val="en-GB"/>
        </w:rPr>
        <w:t>Confidence terms will be used for both key messages and key findings of the SPMs (</w:t>
      </w:r>
      <w:r w:rsidRPr="00DD3F88">
        <w:rPr>
          <w:lang w:val="en-GB"/>
        </w:rPr>
        <w:t>see Box 2.3)</w:t>
      </w:r>
      <w:r w:rsidRPr="00DD3F88">
        <w:rPr>
          <w:bCs/>
          <w:lang w:val="en-GB"/>
        </w:rPr>
        <w:t>.</w:t>
      </w:r>
    </w:p>
    <w:p w:rsidR="006E54C8" w:rsidRPr="00DD3F88" w:rsidRDefault="006E54C8" w:rsidP="00280AD4">
      <w:pPr>
        <w:pStyle w:val="CH4"/>
        <w:tabs>
          <w:tab w:val="left" w:pos="624"/>
          <w:tab w:val="left" w:pos="1871"/>
          <w:tab w:val="left" w:pos="2495"/>
          <w:tab w:val="left" w:pos="3119"/>
        </w:tabs>
        <w:rPr>
          <w:lang w:val="en-GB"/>
        </w:rPr>
      </w:pPr>
      <w:r w:rsidRPr="001F3A5E">
        <w:rPr>
          <w:lang w:val="en-GB"/>
        </w:rPr>
        <w:tab/>
      </w:r>
      <w:r w:rsidRPr="00280AD4">
        <w:rPr>
          <w:lang w:val="en-GB"/>
        </w:rPr>
        <w:t>2.2.6.2</w:t>
      </w:r>
      <w:r w:rsidRPr="00DD3F88">
        <w:rPr>
          <w:lang w:val="en-GB"/>
        </w:rPr>
        <w:tab/>
        <w:t>How to do I select confidence terms?</w:t>
      </w:r>
    </w:p>
    <w:p w:rsidR="006E54C8" w:rsidRPr="000E03F9" w:rsidRDefault="006E54C8" w:rsidP="00280AD4">
      <w:pPr>
        <w:pStyle w:val="Date"/>
        <w:tabs>
          <w:tab w:val="left" w:pos="624"/>
          <w:tab w:val="left" w:pos="1871"/>
          <w:tab w:val="left" w:pos="2495"/>
          <w:tab w:val="left" w:pos="3119"/>
        </w:tabs>
        <w:spacing w:after="120" w:line="240" w:lineRule="auto"/>
        <w:ind w:left="1247"/>
        <w:rPr>
          <w:bCs/>
        </w:rPr>
      </w:pPr>
      <w:r w:rsidRPr="00280AD4">
        <w:rPr>
          <w:rFonts w:ascii="Times New Roman" w:hAnsi="Times New Roman"/>
          <w:sz w:val="20"/>
        </w:rPr>
        <w:t xml:space="preserve">Once the author team has identified the chapter’s key messages and findings, in order to present these in the </w:t>
      </w:r>
      <w:r w:rsidRPr="00280AD4">
        <w:rPr>
          <w:rFonts w:ascii="Times New Roman" w:hAnsi="Times New Roman"/>
          <w:b/>
          <w:sz w:val="20"/>
        </w:rPr>
        <w:t>Executive Summary</w:t>
      </w:r>
      <w:r w:rsidRPr="00280AD4">
        <w:rPr>
          <w:rFonts w:ascii="Times New Roman" w:hAnsi="Times New Roman"/>
          <w:sz w:val="20"/>
        </w:rPr>
        <w:t xml:space="preserve"> or </w:t>
      </w:r>
      <w:r w:rsidRPr="00280AD4">
        <w:rPr>
          <w:rFonts w:ascii="Times New Roman" w:hAnsi="Times New Roman"/>
          <w:b/>
          <w:sz w:val="20"/>
        </w:rPr>
        <w:t>Summary for Policymakers</w:t>
      </w:r>
      <w:r w:rsidRPr="00280AD4">
        <w:rPr>
          <w:rFonts w:ascii="Times New Roman" w:hAnsi="Times New Roman"/>
          <w:sz w:val="20"/>
        </w:rPr>
        <w:t>, it is mandatory to evaluate the quality and quantity of associated evidence and scientific agreement. Author teams will always be required to make qualitative</w:t>
      </w:r>
      <w:r w:rsidRPr="00280AD4">
        <w:rPr>
          <w:rFonts w:ascii="Times New Roman" w:hAnsi="Times New Roman"/>
          <w:b/>
          <w:sz w:val="20"/>
        </w:rPr>
        <w:t xml:space="preserve"> assessments</w:t>
      </w:r>
      <w:r w:rsidRPr="00280AD4">
        <w:rPr>
          <w:rFonts w:ascii="Times New Roman" w:hAnsi="Times New Roman"/>
          <w:sz w:val="20"/>
        </w:rPr>
        <w:t xml:space="preserve"> of confidence based on expert estimates of agreement </w:t>
      </w:r>
      <w:r w:rsidRPr="00280AD4">
        <w:rPr>
          <w:rFonts w:ascii="Times New Roman" w:hAnsi="Times New Roman"/>
          <w:bCs/>
          <w:sz w:val="20"/>
        </w:rPr>
        <w:t>and evidence.</w:t>
      </w:r>
    </w:p>
    <w:p w:rsidR="006E54C8" w:rsidRPr="000E03F9" w:rsidRDefault="006E54C8" w:rsidP="00280AD4">
      <w:pPr>
        <w:pStyle w:val="Date"/>
        <w:tabs>
          <w:tab w:val="left" w:pos="624"/>
          <w:tab w:val="left" w:pos="1871"/>
          <w:tab w:val="left" w:pos="2495"/>
          <w:tab w:val="left" w:pos="3119"/>
        </w:tabs>
        <w:spacing w:after="120" w:line="240" w:lineRule="auto"/>
        <w:ind w:left="1247"/>
        <w:rPr>
          <w:bCs/>
        </w:rPr>
      </w:pPr>
      <w:r w:rsidRPr="00280AD4">
        <w:rPr>
          <w:rFonts w:ascii="Times New Roman" w:hAnsi="Times New Roman"/>
          <w:sz w:val="20"/>
        </w:rPr>
        <w:t>Depending on the nature of the evidence supporting the key message or finding</w:t>
      </w:r>
      <w:r w:rsidRPr="00280AD4">
        <w:rPr>
          <w:rFonts w:ascii="Times New Roman" w:hAnsi="Times New Roman"/>
          <w:bCs/>
          <w:sz w:val="20"/>
        </w:rPr>
        <w:t xml:space="preserve">, </w:t>
      </w:r>
      <w:r w:rsidRPr="00280AD4">
        <w:rPr>
          <w:rFonts w:ascii="Times New Roman" w:hAnsi="Times New Roman"/>
          <w:b/>
          <w:bCs/>
          <w:sz w:val="20"/>
        </w:rPr>
        <w:t>quantitative assessments</w:t>
      </w:r>
      <w:r w:rsidRPr="00280AD4">
        <w:rPr>
          <w:rFonts w:ascii="Times New Roman" w:hAnsi="Times New Roman"/>
          <w:bCs/>
          <w:sz w:val="20"/>
        </w:rPr>
        <w:t xml:space="preserve"> of confidence may also be possible. </w:t>
      </w:r>
      <w:r w:rsidRPr="00280AD4">
        <w:rPr>
          <w:rFonts w:ascii="Times New Roman" w:hAnsi="Times New Roman"/>
          <w:sz w:val="20"/>
        </w:rPr>
        <w:t xml:space="preserve">Quantitative assessments of confidence are estimates of the likelihood (probability) that a well-defined outcome will occur in the future. </w:t>
      </w:r>
      <w:r w:rsidRPr="00280AD4">
        <w:rPr>
          <w:rFonts w:ascii="Times New Roman" w:hAnsi="Times New Roman"/>
          <w:bCs/>
          <w:sz w:val="20"/>
        </w:rPr>
        <w:t>Probabilistic estimates are based on statistical analysis of observations or model results, or both, combined with expert judgment. However, it may be that quantitative assessments of confidence are not possible in all assessments due to the nature of the evidence available.</w:t>
      </w:r>
    </w:p>
    <w:p w:rsidR="006E54C8" w:rsidRPr="000E03F9" w:rsidRDefault="006E54C8" w:rsidP="00280AD4">
      <w:pPr>
        <w:pStyle w:val="Date"/>
        <w:tabs>
          <w:tab w:val="left" w:pos="624"/>
          <w:tab w:val="left" w:pos="1871"/>
          <w:tab w:val="left" w:pos="2495"/>
          <w:tab w:val="left" w:pos="3119"/>
        </w:tabs>
        <w:spacing w:after="120" w:line="240" w:lineRule="auto"/>
        <w:ind w:left="1247"/>
        <w:rPr>
          <w:color w:val="000000" w:themeColor="text1"/>
        </w:rPr>
      </w:pPr>
      <w:r w:rsidRPr="00280AD4">
        <w:rPr>
          <w:rFonts w:ascii="Times New Roman" w:hAnsi="Times New Roman"/>
          <w:sz w:val="20"/>
        </w:rPr>
        <w:t xml:space="preserve">It is not mandatory to apply confidence terms throughout the main text of the assessment report. However, in some parts of the main text, in areas where there are a range of views that need to be described, confidence terms may be applied where considered appropriate by the author team. In no </w:t>
      </w:r>
      <w:proofErr w:type="gramStart"/>
      <w:r w:rsidRPr="00280AD4">
        <w:rPr>
          <w:rFonts w:ascii="Times New Roman" w:hAnsi="Times New Roman"/>
          <w:sz w:val="20"/>
        </w:rPr>
        <w:t>case</w:t>
      </w:r>
      <w:proofErr w:type="gramEnd"/>
      <w:r w:rsidRPr="00280AD4">
        <w:rPr>
          <w:rFonts w:ascii="Times New Roman" w:hAnsi="Times New Roman"/>
          <w:sz w:val="20"/>
        </w:rPr>
        <w:t xml:space="preserve"> should the terms be used colloquially or casually in order to avoid confusing readers. Use these terms if you have followed the </w:t>
      </w:r>
      <w:r w:rsidRPr="00280AD4">
        <w:rPr>
          <w:rFonts w:ascii="Times New Roman" w:hAnsi="Times New Roman"/>
          <w:color w:val="000000" w:themeColor="text1"/>
          <w:sz w:val="20"/>
        </w:rPr>
        <w:t>recommended steps for assessing confidence.</w:t>
      </w:r>
    </w:p>
    <w:p w:rsidR="006E54C8" w:rsidRPr="00DD3F88" w:rsidRDefault="006E54C8" w:rsidP="00280AD4">
      <w:pPr>
        <w:pStyle w:val="CH4"/>
        <w:tabs>
          <w:tab w:val="left" w:pos="624"/>
          <w:tab w:val="left" w:pos="1871"/>
          <w:tab w:val="left" w:pos="2495"/>
          <w:tab w:val="left" w:pos="3119"/>
        </w:tabs>
        <w:rPr>
          <w:lang w:val="en-GB"/>
        </w:rPr>
      </w:pPr>
      <w:r w:rsidRPr="00DD3F88">
        <w:rPr>
          <w:lang w:val="en-GB"/>
        </w:rPr>
        <w:tab/>
      </w:r>
      <w:r w:rsidRPr="00280AD4">
        <w:rPr>
          <w:lang w:val="en-GB"/>
        </w:rPr>
        <w:t>2.2.6.3</w:t>
      </w:r>
      <w:r w:rsidRPr="00DD3F88">
        <w:rPr>
          <w:lang w:val="en-GB"/>
        </w:rPr>
        <w:tab/>
        <w:t>Qualitative assessment of confidence</w:t>
      </w:r>
    </w:p>
    <w:p w:rsidR="006E54C8" w:rsidRPr="00DD3F88" w:rsidRDefault="006E54C8" w:rsidP="00280AD4">
      <w:pPr>
        <w:tabs>
          <w:tab w:val="left" w:pos="567"/>
          <w:tab w:val="left" w:pos="624"/>
          <w:tab w:val="left" w:pos="1871"/>
          <w:tab w:val="left" w:pos="2495"/>
          <w:tab w:val="left" w:pos="3119"/>
        </w:tabs>
        <w:spacing w:after="120"/>
        <w:ind w:left="1247"/>
        <w:rPr>
          <w:lang w:val="en-GB"/>
        </w:rPr>
      </w:pPr>
      <w:r w:rsidRPr="00DD3F88">
        <w:rPr>
          <w:color w:val="000000" w:themeColor="text1"/>
          <w:lang w:val="en-GB"/>
        </w:rPr>
        <w:t>This section discusses the process and language that all author teams must apply to evaluate and communicate confidence qualitatively. The following factors should be considered to evaluate the validity of the message or finding: the type, quantity, quality and consistency of evidence (the existing peer</w:t>
      </w:r>
      <w:r w:rsidRPr="00DD3F88">
        <w:rPr>
          <w:color w:val="000000" w:themeColor="text1"/>
          <w:lang w:val="en-GB"/>
        </w:rPr>
        <w:noBreakHyphen/>
        <w:t xml:space="preserve">reviewed literature and grey literature etc.), and the level of agreement (the level of concurrence in the data, literature and amongst experts, not just across the author team). The author team’s expert judgement on the level of evidence and agreement </w:t>
      </w:r>
      <w:r w:rsidRPr="00DD3F88">
        <w:rPr>
          <w:lang w:val="en-GB"/>
        </w:rPr>
        <w:t>should then be used to apply a confidence term as described in Figure 6:</w:t>
      </w:r>
    </w:p>
    <w:p w:rsidR="006E54C8" w:rsidRPr="00DD3F88" w:rsidRDefault="006E54C8" w:rsidP="00280AD4">
      <w:pPr>
        <w:pStyle w:val="ListParagraph"/>
        <w:numPr>
          <w:ilvl w:val="0"/>
          <w:numId w:val="30"/>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DD3F88">
        <w:rPr>
          <w:rFonts w:ascii="Times New Roman" w:hAnsi="Times New Roman" w:cs="Times New Roman"/>
          <w:b/>
          <w:i/>
          <w:sz w:val="20"/>
          <w:szCs w:val="20"/>
          <w:lang w:val="en-GB"/>
        </w:rPr>
        <w:t>Inconclusive</w:t>
      </w:r>
      <w:r w:rsidRPr="00DD3F88">
        <w:rPr>
          <w:rFonts w:ascii="Times New Roman" w:hAnsi="Times New Roman" w:cs="Times New Roman"/>
          <w:sz w:val="20"/>
          <w:szCs w:val="20"/>
          <w:lang w:val="en-GB"/>
        </w:rPr>
        <w:t xml:space="preserve"> – existing as or based on a suggestion or speculation; no or limited evidence.</w:t>
      </w:r>
    </w:p>
    <w:p w:rsidR="006E54C8" w:rsidRPr="00DD3F88" w:rsidRDefault="006E54C8" w:rsidP="00280AD4">
      <w:pPr>
        <w:pStyle w:val="ListParagraph"/>
        <w:numPr>
          <w:ilvl w:val="0"/>
          <w:numId w:val="30"/>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DD3F88">
        <w:rPr>
          <w:rFonts w:ascii="Times New Roman" w:hAnsi="Times New Roman" w:cs="Times New Roman"/>
          <w:b/>
          <w:i/>
          <w:sz w:val="20"/>
          <w:szCs w:val="20"/>
          <w:lang w:val="en-GB"/>
        </w:rPr>
        <w:t>Unresolved</w:t>
      </w:r>
      <w:r w:rsidRPr="00DD3F88">
        <w:rPr>
          <w:rFonts w:ascii="Times New Roman" w:hAnsi="Times New Roman" w:cs="Times New Roman"/>
          <w:sz w:val="20"/>
          <w:szCs w:val="20"/>
          <w:lang w:val="en-GB"/>
        </w:rPr>
        <w:t xml:space="preserve"> – multiple independent studies exist but conclusions do not agree.</w:t>
      </w:r>
    </w:p>
    <w:p w:rsidR="006E54C8" w:rsidRPr="00DD3F88" w:rsidRDefault="006E54C8" w:rsidP="00280AD4">
      <w:pPr>
        <w:pStyle w:val="ListParagraph"/>
        <w:numPr>
          <w:ilvl w:val="0"/>
          <w:numId w:val="30"/>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DD3F88">
        <w:rPr>
          <w:rFonts w:ascii="Times New Roman" w:hAnsi="Times New Roman" w:cs="Times New Roman"/>
          <w:b/>
          <w:i/>
          <w:sz w:val="20"/>
          <w:szCs w:val="20"/>
          <w:lang w:val="en-GB"/>
        </w:rPr>
        <w:t>Established but incomplete</w:t>
      </w:r>
      <w:r w:rsidRPr="00DD3F88">
        <w:rPr>
          <w:rFonts w:ascii="Times New Roman" w:hAnsi="Times New Roman" w:cs="Times New Roman"/>
          <w:sz w:val="20"/>
          <w:szCs w:val="20"/>
          <w:lang w:val="en-GB"/>
        </w:rPr>
        <w:t xml:space="preserve"> – general agreement although only a limited number of studies exist but no comprehensive synthesis and, or the studies that exist imprecisely address the question.</w:t>
      </w:r>
    </w:p>
    <w:p w:rsidR="006E54C8" w:rsidRPr="00DD3F88" w:rsidRDefault="006E54C8" w:rsidP="00280AD4">
      <w:pPr>
        <w:pStyle w:val="ListParagraph"/>
        <w:numPr>
          <w:ilvl w:val="0"/>
          <w:numId w:val="30"/>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DD3F88">
        <w:rPr>
          <w:rFonts w:ascii="Times New Roman" w:hAnsi="Times New Roman" w:cs="Times New Roman"/>
          <w:b/>
          <w:i/>
          <w:sz w:val="20"/>
          <w:szCs w:val="20"/>
          <w:lang w:val="en-GB"/>
        </w:rPr>
        <w:t>Well established</w:t>
      </w:r>
      <w:r w:rsidRPr="00DD3F88">
        <w:rPr>
          <w:rFonts w:ascii="Times New Roman" w:hAnsi="Times New Roman" w:cs="Times New Roman"/>
          <w:sz w:val="20"/>
          <w:szCs w:val="20"/>
          <w:lang w:val="en-GB"/>
        </w:rPr>
        <w:t xml:space="preserve"> – comprehensive meta-analysis or other synthesis or multiple independent studies that agree.</w:t>
      </w:r>
    </w:p>
    <w:p w:rsidR="006E54C8" w:rsidRPr="00DD3F88" w:rsidRDefault="006E54C8" w:rsidP="00280AD4">
      <w:pPr>
        <w:pStyle w:val="NormalNonumber"/>
        <w:tabs>
          <w:tab w:val="left" w:pos="624"/>
          <w:tab w:val="left" w:pos="1871"/>
          <w:tab w:val="left" w:pos="2495"/>
          <w:tab w:val="left" w:pos="3119"/>
        </w:tabs>
        <w:ind w:left="0"/>
        <w:rPr>
          <w:rFonts w:eastAsia="Calibri"/>
          <w:lang w:val="en-GB"/>
        </w:rPr>
      </w:pPr>
      <w:r w:rsidRPr="00DD3F88">
        <w:rPr>
          <w:noProof/>
          <w:lang w:val="en-GB" w:eastAsia="en-GB"/>
        </w:rPr>
        <w:lastRenderedPageBreak/>
        <w:drawing>
          <wp:inline distT="0" distB="0" distL="0" distR="0" wp14:anchorId="59AC0A10" wp14:editId="380AF43C">
            <wp:extent cx="6115050" cy="4185506"/>
            <wp:effectExtent l="0" t="0" r="0" b="5715"/>
            <wp:docPr id="31" name="Picture 31" descr="cid:BEEEA707-B80E-4341-8E3B-BF017448D6D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702B9C-9A81-47A8-89E4-098FD312CB37" descr="cid:BEEEA707-B80E-4341-8E3B-BF017448D6DA@home"/>
                    <pic:cNvPicPr>
                      <a:picLocks noChangeAspect="1" noChangeArrowheads="1"/>
                    </pic:cNvPicPr>
                  </pic:nvPicPr>
                  <pic:blipFill rotWithShape="1">
                    <a:blip r:embed="rId36" r:link="rId35" cstate="print">
                      <a:extLst>
                        <a:ext uri="{28A0092B-C50C-407E-A947-70E740481C1C}">
                          <a14:useLocalDpi xmlns:a14="http://schemas.microsoft.com/office/drawing/2010/main" val="0"/>
                        </a:ext>
                      </a:extLst>
                    </a:blip>
                    <a:srcRect l="7264" t="53957" r="8902" b="5465"/>
                    <a:stretch/>
                  </pic:blipFill>
                  <pic:spPr bwMode="auto">
                    <a:xfrm>
                      <a:off x="0" y="0"/>
                      <a:ext cx="6120145" cy="4188993"/>
                    </a:xfrm>
                    <a:prstGeom prst="rect">
                      <a:avLst/>
                    </a:prstGeom>
                    <a:noFill/>
                    <a:ln>
                      <a:noFill/>
                    </a:ln>
                    <a:extLst>
                      <a:ext uri="{53640926-AAD7-44D8-BBD7-CCE9431645EC}">
                        <a14:shadowObscured xmlns:a14="http://schemas.microsoft.com/office/drawing/2010/main"/>
                      </a:ext>
                    </a:extLst>
                  </pic:spPr>
                </pic:pic>
              </a:graphicData>
            </a:graphic>
          </wp:inline>
        </w:drawing>
      </w:r>
    </w:p>
    <w:p w:rsidR="006E54C8" w:rsidRPr="00DD3F88" w:rsidRDefault="006E54C8" w:rsidP="00280AD4">
      <w:pPr>
        <w:pStyle w:val="Titlefigure"/>
        <w:tabs>
          <w:tab w:val="left" w:pos="624"/>
          <w:tab w:val="left" w:pos="1871"/>
          <w:tab w:val="left" w:pos="2495"/>
          <w:tab w:val="left" w:pos="3119"/>
        </w:tabs>
        <w:spacing w:after="120"/>
        <w:ind w:left="357"/>
        <w:rPr>
          <w:lang w:val="en-GB"/>
        </w:rPr>
      </w:pPr>
      <w:r w:rsidRPr="00DD3F88">
        <w:rPr>
          <w:bCs/>
          <w:lang w:val="en-GB"/>
        </w:rPr>
        <w:t xml:space="preserve">Figure 2.4. </w:t>
      </w:r>
      <w:r w:rsidRPr="00DD3F88">
        <w:rPr>
          <w:lang w:val="en-GB"/>
        </w:rPr>
        <w:t xml:space="preserve">The four-box model for the qualitative communication of confidence. Confidence increases towards the top-right corner as suggested by the increasing strength of shading. </w:t>
      </w:r>
      <w:r w:rsidRPr="00DD3F88">
        <w:rPr>
          <w:b w:val="0"/>
          <w:bCs/>
          <w:sz w:val="18"/>
          <w:szCs w:val="18"/>
          <w:lang w:val="en-GB"/>
        </w:rPr>
        <w:t>Note that ‘well-established can be further subdivided into ‘very well established’ and ‘virtually certain’</w:t>
      </w:r>
      <w:r w:rsidRPr="00DD3F88">
        <w:rPr>
          <w:lang w:val="en-GB"/>
        </w:rPr>
        <w:t xml:space="preserve">.  </w:t>
      </w:r>
      <w:r w:rsidRPr="00DD3F88">
        <w:rPr>
          <w:b w:val="0"/>
          <w:bCs/>
          <w:i/>
          <w:iCs/>
          <w:lang w:val="en-GB"/>
        </w:rPr>
        <w:t>Source: IPBES, 2016.</w:t>
      </w:r>
    </w:p>
    <w:p w:rsidR="006E54C8" w:rsidRPr="00DD3F88" w:rsidRDefault="006E54C8" w:rsidP="00280AD4">
      <w:pPr>
        <w:tabs>
          <w:tab w:val="left" w:pos="624"/>
          <w:tab w:val="left" w:pos="1871"/>
          <w:tab w:val="left" w:pos="2495"/>
          <w:tab w:val="left" w:pos="3119"/>
        </w:tabs>
        <w:spacing w:after="120"/>
        <w:ind w:left="1247"/>
        <w:rPr>
          <w:rFonts w:eastAsia="Times New Roman"/>
          <w:lang w:val="en-GB"/>
        </w:rPr>
      </w:pPr>
      <w:r w:rsidRPr="00DD3F88">
        <w:rPr>
          <w:lang w:val="en-GB"/>
        </w:rPr>
        <w:t xml:space="preserve">The </w:t>
      </w:r>
      <w:r w:rsidRPr="00DD3F88">
        <w:rPr>
          <w:b/>
          <w:i/>
          <w:lang w:val="en-GB"/>
        </w:rPr>
        <w:t>well-established</w:t>
      </w:r>
      <w:r w:rsidRPr="00DD3F88">
        <w:rPr>
          <w:lang w:val="en-GB"/>
        </w:rPr>
        <w:t xml:space="preserve"> box in Figure 2.4 may be further subdivided in order to give author teams the flexibility to emphasise key messages and findings that the author team have very high confidence in:</w:t>
      </w:r>
    </w:p>
    <w:p w:rsidR="006E54C8" w:rsidRPr="00DD3F88" w:rsidRDefault="006E54C8" w:rsidP="00280AD4">
      <w:pPr>
        <w:pStyle w:val="ListParagraph"/>
        <w:numPr>
          <w:ilvl w:val="0"/>
          <w:numId w:val="31"/>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DD3F88">
        <w:rPr>
          <w:rFonts w:ascii="Times New Roman" w:hAnsi="Times New Roman" w:cs="Times New Roman"/>
          <w:b/>
          <w:i/>
          <w:sz w:val="20"/>
          <w:szCs w:val="20"/>
          <w:lang w:val="en-GB"/>
        </w:rPr>
        <w:t>Very well established</w:t>
      </w:r>
      <w:r w:rsidRPr="00DD3F88">
        <w:rPr>
          <w:rFonts w:ascii="Times New Roman" w:hAnsi="Times New Roman" w:cs="Times New Roman"/>
          <w:sz w:val="20"/>
          <w:szCs w:val="20"/>
          <w:lang w:val="en-GB"/>
        </w:rPr>
        <w:t xml:space="preserve"> – very comprehensive evidence base and very low amount of disagreement.</w:t>
      </w:r>
    </w:p>
    <w:p w:rsidR="006E54C8" w:rsidRPr="00DD3F88" w:rsidRDefault="006E54C8" w:rsidP="00280AD4">
      <w:pPr>
        <w:pStyle w:val="ListParagraph"/>
        <w:numPr>
          <w:ilvl w:val="0"/>
          <w:numId w:val="31"/>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DD3F88">
        <w:rPr>
          <w:rFonts w:ascii="Times New Roman" w:hAnsi="Times New Roman" w:cs="Times New Roman"/>
          <w:b/>
          <w:i/>
          <w:sz w:val="20"/>
          <w:szCs w:val="20"/>
          <w:lang w:val="en-GB"/>
        </w:rPr>
        <w:t>Virtually certain</w:t>
      </w:r>
      <w:r w:rsidRPr="00DD3F88">
        <w:rPr>
          <w:rFonts w:ascii="Times New Roman" w:hAnsi="Times New Roman" w:cs="Times New Roman"/>
          <w:sz w:val="20"/>
          <w:szCs w:val="20"/>
          <w:lang w:val="en-GB"/>
        </w:rPr>
        <w:t xml:space="preserve"> – very robust data covering multiple temporal and spatial scales and almost no disagreement.</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The qualitative confidence terms discussed in this section should not be interpreted probabilistically and are distinct from “statistical significance”.</w:t>
      </w:r>
    </w:p>
    <w:p w:rsidR="006E54C8" w:rsidRPr="00DD3F88" w:rsidRDefault="006E54C8" w:rsidP="00280AD4">
      <w:pPr>
        <w:tabs>
          <w:tab w:val="left" w:pos="624"/>
          <w:tab w:val="left" w:pos="1871"/>
          <w:tab w:val="left" w:pos="2495"/>
          <w:tab w:val="left" w:pos="3119"/>
        </w:tabs>
        <w:spacing w:after="120"/>
        <w:ind w:left="1247"/>
        <w:rPr>
          <w:lang w:val="en-GB"/>
        </w:rPr>
      </w:pPr>
      <w:r w:rsidRPr="00DD3F88">
        <w:rPr>
          <w:b/>
          <w:i/>
          <w:lang w:val="en-GB"/>
        </w:rPr>
        <w:t>Virtually certain</w:t>
      </w:r>
      <w:r w:rsidRPr="00DD3F88">
        <w:rPr>
          <w:lang w:val="en-GB"/>
        </w:rPr>
        <w:t xml:space="preserve"> will not be used by the author teams frequently in the assessment report. The confidence terms used to communicate high confidence are intended to provide authors with the flexibility to emphasise issues that may be considered as fact by the scientific community but not by the non-scientific community (decision makers, media, and general public). In most </w:t>
      </w:r>
      <w:proofErr w:type="gramStart"/>
      <w:r w:rsidRPr="00DD3F88">
        <w:rPr>
          <w:lang w:val="en-GB"/>
        </w:rPr>
        <w:t>cases</w:t>
      </w:r>
      <w:proofErr w:type="gramEnd"/>
      <w:r w:rsidRPr="00DD3F88">
        <w:rPr>
          <w:lang w:val="en-GB"/>
        </w:rPr>
        <w:t xml:space="preserve"> it may be appropriate to describe these findings with overwhelming evidence and agreement as statements of fact without using confidence qualifiers. </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 xml:space="preserve">Similarly, </w:t>
      </w:r>
      <w:r w:rsidRPr="00DD3F88">
        <w:rPr>
          <w:b/>
          <w:i/>
          <w:lang w:val="en-GB"/>
        </w:rPr>
        <w:t>inconclusive</w:t>
      </w:r>
      <w:r w:rsidRPr="00DD3F88">
        <w:rPr>
          <w:lang w:val="en-GB"/>
        </w:rPr>
        <w:t xml:space="preserve"> may also be used infrequently, but is intended to provide authors with the flexibility to emphasise issues that are not established in science but that are important to policy makers or might have been highlighted by a different audience.</w:t>
      </w:r>
    </w:p>
    <w:p w:rsidR="006E54C8" w:rsidRPr="00DD3F88" w:rsidRDefault="006E54C8" w:rsidP="00280AD4">
      <w:pPr>
        <w:tabs>
          <w:tab w:val="left" w:pos="624"/>
          <w:tab w:val="left" w:pos="1871"/>
          <w:tab w:val="left" w:pos="2495"/>
          <w:tab w:val="left" w:pos="3119"/>
        </w:tabs>
        <w:autoSpaceDE w:val="0"/>
        <w:autoSpaceDN w:val="0"/>
        <w:adjustRightInd w:val="0"/>
        <w:spacing w:after="120"/>
        <w:ind w:left="1247"/>
        <w:rPr>
          <w:lang w:val="en-GB"/>
        </w:rPr>
      </w:pPr>
      <w:r w:rsidRPr="00DD3F88">
        <w:rPr>
          <w:lang w:val="en-GB"/>
        </w:rPr>
        <w:t>The degree of confidence in findings that are conditional on other findings should be evaluated and reported separately.</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 xml:space="preserve">When evaluating the level of evidence and agreement for a statement, it is important to standardise the use of the terms within and across the author teams, and when possible, across the assessment, to ensure their consistent use. The use of the above confidence terms can be standardised by taking key messages and findings in the </w:t>
      </w:r>
      <w:r w:rsidRPr="00DD3F88">
        <w:rPr>
          <w:b/>
          <w:lang w:val="en-GB"/>
        </w:rPr>
        <w:t>Executive Summaries</w:t>
      </w:r>
      <w:r w:rsidRPr="00DD3F88">
        <w:rPr>
          <w:lang w:val="en-GB"/>
        </w:rPr>
        <w:t xml:space="preserve"> and discussing, as an author team, what terms should be applied and the reasons why. When appropriate, consider using formal elicitation methods to organise and quantify the selection of confidence terms.</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lastRenderedPageBreak/>
        <w:t>Be aware of the tendency for a group to converge on an expressed view and become over confident in it. One method to avoid this would be to ask each member of the author team to write down his or her individual assessment of the level of confidence before entering into a group discussion. If this is not done before group discussion, important views and ranges of confidence may be inadequately discussed and assessed. It is important to recognize when individual views are adjusting as a result of group interactions and allow adequate time for such changes in viewpoint to be reviewed (</w:t>
      </w:r>
      <w:proofErr w:type="spellStart"/>
      <w:r w:rsidRPr="00DD3F88">
        <w:rPr>
          <w:lang w:val="en-GB"/>
        </w:rPr>
        <w:t>Mastrandrea</w:t>
      </w:r>
      <w:proofErr w:type="spellEnd"/>
      <w:r w:rsidRPr="00DD3F88">
        <w:rPr>
          <w:lang w:val="en-GB"/>
        </w:rPr>
        <w:t xml:space="preserve"> et al. 2010). Whichever approach is </w:t>
      </w:r>
      <w:proofErr w:type="gramStart"/>
      <w:r w:rsidRPr="00DD3F88">
        <w:rPr>
          <w:lang w:val="en-GB"/>
        </w:rPr>
        <w:t>taken,</w:t>
      </w:r>
      <w:proofErr w:type="gramEnd"/>
      <w:r w:rsidRPr="00DD3F88">
        <w:rPr>
          <w:lang w:val="en-GB"/>
        </w:rPr>
        <w:t xml:space="preserve"> traceable accounts should be produced and recorded to demonstrate how confidence was evaluated.</w:t>
      </w:r>
    </w:p>
    <w:p w:rsidR="006E54C8" w:rsidRPr="00DD3F88" w:rsidRDefault="006E54C8" w:rsidP="00280AD4">
      <w:pPr>
        <w:tabs>
          <w:tab w:val="left" w:pos="624"/>
          <w:tab w:val="left" w:pos="1871"/>
          <w:tab w:val="left" w:pos="2495"/>
          <w:tab w:val="left" w:pos="3119"/>
        </w:tabs>
        <w:autoSpaceDE w:val="0"/>
        <w:autoSpaceDN w:val="0"/>
        <w:adjustRightInd w:val="0"/>
        <w:spacing w:after="120"/>
        <w:ind w:left="1247"/>
        <w:rPr>
          <w:lang w:val="en-GB"/>
        </w:rPr>
      </w:pPr>
      <w:r w:rsidRPr="00DD3F88">
        <w:rPr>
          <w:lang w:val="en-GB"/>
        </w:rPr>
        <w:t xml:space="preserve">It is important to carefully consider how the sentences in the key messages and findings are structured because it will influence the clarity with which we communicate our understanding of the level of confidence. For example, sometimes the key finding combines an element that is </w:t>
      </w:r>
      <w:r w:rsidRPr="00DD3F88">
        <w:rPr>
          <w:b/>
          <w:i/>
          <w:lang w:val="en-GB"/>
        </w:rPr>
        <w:t>well-established</w:t>
      </w:r>
      <w:r w:rsidRPr="00DD3F88">
        <w:rPr>
          <w:b/>
          <w:lang w:val="en-GB"/>
        </w:rPr>
        <w:t xml:space="preserve"> </w:t>
      </w:r>
      <w:r w:rsidRPr="00DD3F88">
        <w:rPr>
          <w:lang w:val="en-GB"/>
        </w:rPr>
        <w:t xml:space="preserve">with one that is </w:t>
      </w:r>
      <w:r w:rsidRPr="00DD3F88">
        <w:rPr>
          <w:b/>
          <w:i/>
          <w:lang w:val="en-GB"/>
        </w:rPr>
        <w:t>established but incomplete</w:t>
      </w:r>
      <w:r w:rsidRPr="00DD3F88">
        <w:rPr>
          <w:lang w:val="en-GB"/>
        </w:rPr>
        <w:t xml:space="preserve">. In this </w:t>
      </w:r>
      <w:proofErr w:type="gramStart"/>
      <w:r w:rsidRPr="00DD3F88">
        <w:rPr>
          <w:lang w:val="en-GB"/>
        </w:rPr>
        <w:t>case</w:t>
      </w:r>
      <w:proofErr w:type="gramEnd"/>
      <w:r w:rsidRPr="00DD3F88">
        <w:rPr>
          <w:lang w:val="en-GB"/>
        </w:rPr>
        <w:t xml:space="preserve"> it can be helpful to arrange the phrasing so that the </w:t>
      </w:r>
      <w:r w:rsidRPr="00DD3F88">
        <w:rPr>
          <w:b/>
          <w:i/>
          <w:lang w:val="en-GB"/>
        </w:rPr>
        <w:t>well-established</w:t>
      </w:r>
      <w:r w:rsidRPr="00DD3F88">
        <w:rPr>
          <w:b/>
          <w:lang w:val="en-GB"/>
        </w:rPr>
        <w:t xml:space="preserve"> </w:t>
      </w:r>
      <w:r w:rsidRPr="00DD3F88">
        <w:rPr>
          <w:lang w:val="en-GB"/>
        </w:rPr>
        <w:t xml:space="preserve">element comes first, and the </w:t>
      </w:r>
      <w:r w:rsidRPr="00DD3F88">
        <w:rPr>
          <w:b/>
          <w:i/>
          <w:lang w:val="en-GB"/>
        </w:rPr>
        <w:t>established but incomplete</w:t>
      </w:r>
      <w:r w:rsidRPr="00DD3F88">
        <w:rPr>
          <w:lang w:val="en-GB"/>
        </w:rPr>
        <w:t xml:space="preserve"> element comes second, or as a separate sentence. Where possible avoid the use of the </w:t>
      </w:r>
      <w:r w:rsidRPr="00DD3F88">
        <w:rPr>
          <w:b/>
          <w:i/>
          <w:lang w:val="en-GB"/>
        </w:rPr>
        <w:t>unresolved</w:t>
      </w:r>
      <w:r w:rsidRPr="00DD3F88">
        <w:rPr>
          <w:lang w:val="en-GB"/>
        </w:rPr>
        <w:t xml:space="preserve"> and </w:t>
      </w:r>
      <w:r w:rsidRPr="00DD3F88">
        <w:rPr>
          <w:b/>
          <w:i/>
          <w:lang w:val="en-GB"/>
        </w:rPr>
        <w:t>established but incomplete</w:t>
      </w:r>
      <w:r w:rsidRPr="00DD3F88">
        <w:rPr>
          <w:lang w:val="en-GB"/>
        </w:rPr>
        <w:t xml:space="preserve"> by writing or rewording key messages and findings in terms of what is known rather than unknown. Author teams should focus on presenting what is </w:t>
      </w:r>
      <w:r w:rsidRPr="00DD3F88">
        <w:rPr>
          <w:b/>
          <w:i/>
          <w:lang w:val="en-GB"/>
        </w:rPr>
        <w:t>well-established</w:t>
      </w:r>
      <w:r w:rsidRPr="00DD3F88">
        <w:rPr>
          <w:lang w:val="en-GB"/>
        </w:rPr>
        <w:t xml:space="preserve"> as far as possible in order to make it clear to decision makers what is known. Assigning confidence terms to our key findings will therefore often require that we re-write sentences, rather than simply adding the terms to existing text.</w:t>
      </w:r>
    </w:p>
    <w:p w:rsidR="006E54C8" w:rsidRPr="00DD3F88" w:rsidRDefault="006E54C8" w:rsidP="00280AD4">
      <w:pPr>
        <w:pStyle w:val="CH4"/>
        <w:tabs>
          <w:tab w:val="left" w:pos="624"/>
          <w:tab w:val="left" w:pos="1871"/>
          <w:tab w:val="left" w:pos="2495"/>
          <w:tab w:val="left" w:pos="3119"/>
        </w:tabs>
        <w:rPr>
          <w:lang w:val="en-GB"/>
        </w:rPr>
      </w:pPr>
      <w:r w:rsidRPr="00DD3F88">
        <w:rPr>
          <w:lang w:val="en-GB"/>
        </w:rPr>
        <w:tab/>
      </w:r>
      <w:r w:rsidRPr="00280AD4">
        <w:rPr>
          <w:lang w:val="en-GB"/>
        </w:rPr>
        <w:t>2.2.6.4</w:t>
      </w:r>
      <w:r w:rsidRPr="00DD3F88">
        <w:rPr>
          <w:lang w:val="en-GB"/>
        </w:rPr>
        <w:tab/>
        <w:t xml:space="preserve">Quantitative assessment of confidence </w:t>
      </w:r>
    </w:p>
    <w:p w:rsidR="006E54C8" w:rsidRPr="00DD3F88" w:rsidRDefault="006E54C8" w:rsidP="00280AD4">
      <w:pPr>
        <w:tabs>
          <w:tab w:val="left" w:pos="624"/>
          <w:tab w:val="left" w:pos="1871"/>
          <w:tab w:val="left" w:pos="2495"/>
          <w:tab w:val="left" w:pos="3119"/>
        </w:tabs>
        <w:spacing w:after="120"/>
        <w:ind w:left="1247"/>
        <w:rPr>
          <w:bCs/>
          <w:lang w:val="en-GB"/>
        </w:rPr>
      </w:pPr>
      <w:r w:rsidRPr="00DD3F88">
        <w:rPr>
          <w:lang w:val="en-GB"/>
        </w:rPr>
        <w:t xml:space="preserve">This section discusses the process and language that author teams may wish to apply in order to evaluate and communicate the confidence that an outcome will occur quantitatively. </w:t>
      </w:r>
      <w:r w:rsidRPr="00DD3F88">
        <w:rPr>
          <w:bCs/>
          <w:lang w:val="en-GB"/>
        </w:rPr>
        <w:t>Likelihood expresses a probabilistic estimate of the occurrence of a single event or of an outcome within a given range.</w:t>
      </w:r>
      <w:r w:rsidRPr="00DD3F88">
        <w:rPr>
          <w:lang w:val="en-GB"/>
        </w:rPr>
        <w:t xml:space="preserve"> </w:t>
      </w:r>
      <w:r w:rsidRPr="00DD3F88">
        <w:rPr>
          <w:bCs/>
          <w:lang w:val="en-GB"/>
        </w:rPr>
        <w:t>Probabilistic estimates are based on statistical analysis of observations or model results, or both, combined with expert judgment.</w:t>
      </w:r>
    </w:p>
    <w:p w:rsidR="006E54C8" w:rsidRPr="00DD3F88" w:rsidRDefault="006E54C8" w:rsidP="00280AD4">
      <w:pPr>
        <w:tabs>
          <w:tab w:val="left" w:pos="624"/>
          <w:tab w:val="left" w:pos="1871"/>
          <w:tab w:val="left" w:pos="2495"/>
          <w:tab w:val="left" w:pos="3119"/>
        </w:tabs>
        <w:autoSpaceDE w:val="0"/>
        <w:autoSpaceDN w:val="0"/>
        <w:adjustRightInd w:val="0"/>
        <w:spacing w:after="120"/>
        <w:ind w:left="1247"/>
        <w:rPr>
          <w:lang w:val="en-GB"/>
        </w:rPr>
      </w:pPr>
      <w:r w:rsidRPr="00DD3F88">
        <w:rPr>
          <w:lang w:val="en-GB"/>
        </w:rPr>
        <w:t>When sufficient probabilistic information is available, consider ranges of outcomes and their associated probabilities with attention to outcomes of potential high consequence. The author team’s expert judgement on the magnitude of the probability should then be used to apply a likelihood term (see Figure 2.5).</w:t>
      </w:r>
    </w:p>
    <w:p w:rsidR="006E54C8" w:rsidRPr="00DD3F88" w:rsidRDefault="006E54C8" w:rsidP="00280AD4">
      <w:pPr>
        <w:tabs>
          <w:tab w:val="left" w:pos="624"/>
          <w:tab w:val="left" w:pos="1871"/>
          <w:tab w:val="left" w:pos="2495"/>
          <w:tab w:val="left" w:pos="3119"/>
        </w:tabs>
        <w:autoSpaceDE w:val="0"/>
        <w:autoSpaceDN w:val="0"/>
        <w:adjustRightInd w:val="0"/>
        <w:spacing w:after="120"/>
        <w:ind w:left="1247"/>
        <w:rPr>
          <w:lang w:val="en-GB"/>
        </w:rPr>
      </w:pPr>
    </w:p>
    <w:p w:rsidR="006E54C8" w:rsidRPr="00DD3F88" w:rsidRDefault="006E54C8" w:rsidP="00280AD4">
      <w:pPr>
        <w:tabs>
          <w:tab w:val="left" w:pos="624"/>
          <w:tab w:val="left" w:pos="1871"/>
          <w:tab w:val="left" w:pos="2495"/>
          <w:tab w:val="left" w:pos="3119"/>
        </w:tabs>
        <w:spacing w:after="240"/>
        <w:jc w:val="center"/>
        <w:rPr>
          <w:highlight w:val="yellow"/>
          <w:lang w:val="en-GB"/>
        </w:rPr>
      </w:pPr>
      <w:r w:rsidRPr="00DD3F88">
        <w:rPr>
          <w:rFonts w:eastAsia="Times New Roman"/>
          <w:noProof/>
          <w:lang w:val="en-GB" w:eastAsia="en-GB"/>
        </w:rPr>
        <w:lastRenderedPageBreak/>
        <w:drawing>
          <wp:inline distT="0" distB="0" distL="0" distR="0" wp14:anchorId="17487545" wp14:editId="51C798E1">
            <wp:extent cx="6358255" cy="4727933"/>
            <wp:effectExtent l="0" t="0" r="4445" b="0"/>
            <wp:docPr id="19" name="Picture 19" descr="cid:FE03DB87-0578-4829-856C-24401E083F1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867142-DB6A-4A5C-93AA-E5E85987BD3F" descr="cid:FE03DB87-0578-4829-856C-24401E083F19@hom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l="7783" t="9389" r="8892" b="46796"/>
                    <a:stretch/>
                  </pic:blipFill>
                  <pic:spPr bwMode="auto">
                    <a:xfrm>
                      <a:off x="0" y="0"/>
                      <a:ext cx="6370646" cy="4737147"/>
                    </a:xfrm>
                    <a:prstGeom prst="rect">
                      <a:avLst/>
                    </a:prstGeom>
                    <a:noFill/>
                    <a:ln>
                      <a:noFill/>
                    </a:ln>
                    <a:extLst>
                      <a:ext uri="{53640926-AAD7-44D8-BBD7-CCE9431645EC}">
                        <a14:shadowObscured xmlns:a14="http://schemas.microsoft.com/office/drawing/2010/main"/>
                      </a:ext>
                    </a:extLst>
                  </pic:spPr>
                </pic:pic>
              </a:graphicData>
            </a:graphic>
          </wp:inline>
        </w:drawing>
      </w:r>
    </w:p>
    <w:p w:rsidR="006E54C8" w:rsidRPr="00DD3F88" w:rsidRDefault="006E54C8" w:rsidP="00280AD4">
      <w:pPr>
        <w:tabs>
          <w:tab w:val="left" w:pos="624"/>
          <w:tab w:val="left" w:pos="1871"/>
          <w:tab w:val="left" w:pos="2495"/>
          <w:tab w:val="left" w:pos="3119"/>
        </w:tabs>
        <w:spacing w:after="240"/>
        <w:rPr>
          <w:i/>
          <w:iCs/>
          <w:lang w:val="en-GB"/>
        </w:rPr>
      </w:pPr>
      <w:r w:rsidRPr="00DD3F88">
        <w:rPr>
          <w:b/>
          <w:bCs/>
          <w:lang w:val="en-GB"/>
        </w:rPr>
        <w:t>Figure 2.5. Likelihood scale for the quantitative communication of the probability of an outcome occurring.</w:t>
      </w:r>
      <w:r w:rsidRPr="00DD3F88">
        <w:rPr>
          <w:bCs/>
          <w:lang w:val="en-GB"/>
        </w:rPr>
        <w:t xml:space="preserve"> Note that the extreme levels of probability are nested within the broader levels of “likely” and “unlikely”. </w:t>
      </w:r>
      <w:r w:rsidRPr="00DD3F88">
        <w:rPr>
          <w:bCs/>
          <w:i/>
          <w:iCs/>
          <w:lang w:val="en-GB"/>
        </w:rPr>
        <w:t>Source:</w:t>
      </w:r>
      <w:r w:rsidRPr="00DD3F88">
        <w:rPr>
          <w:b/>
          <w:bCs/>
          <w:i/>
          <w:iCs/>
          <w:lang w:val="en-GB"/>
        </w:rPr>
        <w:t xml:space="preserve"> </w:t>
      </w:r>
      <w:r w:rsidRPr="00DD3F88">
        <w:rPr>
          <w:bCs/>
          <w:i/>
          <w:iCs/>
          <w:lang w:val="en-GB"/>
        </w:rPr>
        <w:t>modified from</w:t>
      </w:r>
      <w:r w:rsidRPr="00DD3F88">
        <w:rPr>
          <w:b/>
          <w:bCs/>
          <w:i/>
          <w:iCs/>
          <w:lang w:val="en-GB"/>
        </w:rPr>
        <w:t xml:space="preserve"> </w:t>
      </w:r>
      <w:proofErr w:type="spellStart"/>
      <w:r w:rsidRPr="00DD3F88">
        <w:rPr>
          <w:i/>
          <w:iCs/>
          <w:lang w:val="en-GB"/>
        </w:rPr>
        <w:t>Mastrandrea</w:t>
      </w:r>
      <w:proofErr w:type="spellEnd"/>
      <w:r w:rsidRPr="00DD3F88">
        <w:rPr>
          <w:i/>
          <w:iCs/>
          <w:lang w:val="en-GB"/>
        </w:rPr>
        <w:t xml:space="preserve"> et al. 2010.</w:t>
      </w:r>
    </w:p>
    <w:p w:rsidR="006E54C8" w:rsidRPr="00DD3F88" w:rsidRDefault="006E54C8" w:rsidP="00280AD4">
      <w:pPr>
        <w:tabs>
          <w:tab w:val="left" w:pos="624"/>
          <w:tab w:val="left" w:pos="1871"/>
          <w:tab w:val="left" w:pos="2495"/>
          <w:tab w:val="left" w:pos="3119"/>
        </w:tabs>
        <w:spacing w:after="240"/>
        <w:ind w:left="1276"/>
        <w:rPr>
          <w:lang w:val="en-GB"/>
        </w:rPr>
      </w:pPr>
      <w:r w:rsidRPr="00DD3F88">
        <w:rPr>
          <w:lang w:val="en-GB"/>
        </w:rPr>
        <w:t xml:space="preserve">Categories in Figure 2.5 can be considered to have nested boundaries. For example, describing an outcome as </w:t>
      </w:r>
      <w:r w:rsidRPr="00DD3F88">
        <w:rPr>
          <w:b/>
          <w:i/>
          <w:lang w:val="en-GB"/>
        </w:rPr>
        <w:t>likely</w:t>
      </w:r>
      <w:r w:rsidRPr="00DD3F88">
        <w:rPr>
          <w:lang w:val="en-GB"/>
        </w:rPr>
        <w:t xml:space="preserve"> or </w:t>
      </w:r>
      <w:r w:rsidRPr="00DD3F88">
        <w:rPr>
          <w:b/>
          <w:i/>
          <w:lang w:val="en-GB"/>
        </w:rPr>
        <w:t>very likely</w:t>
      </w:r>
      <w:r w:rsidRPr="00DD3F88">
        <w:rPr>
          <w:lang w:val="en-GB"/>
        </w:rPr>
        <w:t xml:space="preserve"> conveys in both cases that the probability of this outcome could fall within the range of 95% to 100% probability, but in the case of </w:t>
      </w:r>
      <w:r w:rsidRPr="00DD3F88">
        <w:rPr>
          <w:b/>
          <w:i/>
          <w:lang w:val="en-GB"/>
        </w:rPr>
        <w:t>likely</w:t>
      </w:r>
      <w:r w:rsidRPr="00DD3F88">
        <w:rPr>
          <w:lang w:val="en-GB"/>
        </w:rPr>
        <w:t xml:space="preserve">, the larger range (66-100%) indicates a higher degree of confidence than </w:t>
      </w:r>
      <w:r w:rsidRPr="00DD3F88">
        <w:rPr>
          <w:b/>
          <w:i/>
          <w:lang w:val="en-GB"/>
        </w:rPr>
        <w:t>very likely</w:t>
      </w:r>
      <w:r w:rsidRPr="00DD3F88">
        <w:rPr>
          <w:lang w:val="en-GB"/>
        </w:rPr>
        <w:t xml:space="preserve"> (90-100%). In making their expert judgement, author teams should start at </w:t>
      </w:r>
      <w:r w:rsidRPr="00DD3F88">
        <w:rPr>
          <w:b/>
          <w:i/>
          <w:lang w:val="en-GB"/>
        </w:rPr>
        <w:t>about as likely as not</w:t>
      </w:r>
      <w:r w:rsidRPr="00DD3F88">
        <w:rPr>
          <w:b/>
          <w:lang w:val="en-GB"/>
        </w:rPr>
        <w:t xml:space="preserve"> </w:t>
      </w:r>
      <w:r w:rsidRPr="00DD3F88">
        <w:rPr>
          <w:lang w:val="en-GB"/>
        </w:rPr>
        <w:t xml:space="preserve">and consider whether there is sufficient quantitative information available to assign either a </w:t>
      </w:r>
      <w:r w:rsidRPr="00DD3F88">
        <w:rPr>
          <w:b/>
          <w:i/>
          <w:lang w:val="en-GB"/>
        </w:rPr>
        <w:t>likely</w:t>
      </w:r>
      <w:r w:rsidRPr="00DD3F88">
        <w:rPr>
          <w:lang w:val="en-GB"/>
        </w:rPr>
        <w:t xml:space="preserve"> or </w:t>
      </w:r>
      <w:r w:rsidRPr="00DD3F88">
        <w:rPr>
          <w:b/>
          <w:i/>
          <w:lang w:val="en-GB"/>
        </w:rPr>
        <w:t xml:space="preserve">unlikely </w:t>
      </w:r>
      <w:r w:rsidRPr="00DD3F88">
        <w:rPr>
          <w:lang w:val="en-GB"/>
        </w:rPr>
        <w:t>probability range. Only after thinking about this initial range should the author teams consider whether there is sufficient evidence to move to more extreme levels of probability</w:t>
      </w:r>
    </w:p>
    <w:p w:rsidR="006E54C8" w:rsidRPr="00DD3F88" w:rsidRDefault="006E54C8" w:rsidP="00280AD4">
      <w:pPr>
        <w:tabs>
          <w:tab w:val="left" w:pos="624"/>
          <w:tab w:val="left" w:pos="1871"/>
          <w:tab w:val="left" w:pos="2495"/>
          <w:tab w:val="left" w:pos="3119"/>
        </w:tabs>
        <w:autoSpaceDE w:val="0"/>
        <w:autoSpaceDN w:val="0"/>
        <w:adjustRightInd w:val="0"/>
        <w:spacing w:after="120"/>
        <w:ind w:left="1247"/>
        <w:rPr>
          <w:lang w:val="en-GB"/>
        </w:rPr>
      </w:pPr>
      <w:r w:rsidRPr="00DD3F88">
        <w:rPr>
          <w:lang w:val="en-GB"/>
        </w:rPr>
        <w:t xml:space="preserve">Author teams should note that using a likelihood term for a specific outcome implies that alternative outcomes have the inverse likelihood e.g., if an outcome is </w:t>
      </w:r>
      <w:r w:rsidRPr="00DD3F88">
        <w:rPr>
          <w:b/>
          <w:i/>
          <w:lang w:val="en-GB"/>
        </w:rPr>
        <w:t>likely</w:t>
      </w:r>
      <w:r w:rsidRPr="00DD3F88">
        <w:rPr>
          <w:lang w:val="en-GB"/>
        </w:rPr>
        <w:t xml:space="preserve"> (a range of 66-100%) than that would imply that other outcomes are </w:t>
      </w:r>
      <w:r w:rsidRPr="00DD3F88">
        <w:rPr>
          <w:b/>
          <w:i/>
          <w:lang w:val="en-GB"/>
        </w:rPr>
        <w:t>unlikely</w:t>
      </w:r>
      <w:r w:rsidRPr="00DD3F88">
        <w:rPr>
          <w:lang w:val="en-GB"/>
        </w:rPr>
        <w:t xml:space="preserve"> (0-33% probability).</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 xml:space="preserve">If the author team consider that sufficiently robust information is available with which to make a ‘best estimate’ of the probability of the occurrence of an event, then it is preferable to specify the full probability range (e.g. 90-95%) in the text without using the terms in Figure 2.7. Also, </w:t>
      </w:r>
      <w:r w:rsidRPr="00DD3F88">
        <w:rPr>
          <w:b/>
          <w:i/>
          <w:lang w:val="en-GB"/>
        </w:rPr>
        <w:t>about as likely as not</w:t>
      </w:r>
      <w:r w:rsidRPr="00DD3F88">
        <w:rPr>
          <w:lang w:val="en-GB"/>
        </w:rPr>
        <w:t xml:space="preserve"> should not be used to communicate a lack of knowledge, only an estimate of probability based on the available information. </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Author teams should be aware of the way in which key messages and findings are phrased. The way in which a statement is framed will have an effect on how it is interpreted e.g., a 10% chance of dying is interpreted more negatively than a 90% chance of surviving. Consider reciprocal statements to avoid value-laden interpretations e.g., report chances both of dying and of surviving (</w:t>
      </w:r>
      <w:proofErr w:type="spellStart"/>
      <w:r w:rsidRPr="00DD3F88">
        <w:rPr>
          <w:lang w:val="en-GB"/>
        </w:rPr>
        <w:t>Mastrandrea</w:t>
      </w:r>
      <w:proofErr w:type="spellEnd"/>
      <w:r w:rsidRPr="00DD3F88">
        <w:rPr>
          <w:lang w:val="en-GB"/>
        </w:rPr>
        <w:t xml:space="preserve"> et al. 2010).</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Finally, author teams should try not to avoid controversial events, such as impacts or events with high consequence but extremely low probability, in their effort to achieve consensus within an author team.</w:t>
      </w:r>
    </w:p>
    <w:p w:rsidR="006E54C8" w:rsidRPr="00DD3F88" w:rsidRDefault="006E54C8" w:rsidP="00280AD4">
      <w:pPr>
        <w:pStyle w:val="CH4"/>
        <w:tabs>
          <w:tab w:val="left" w:pos="624"/>
          <w:tab w:val="left" w:pos="1871"/>
          <w:tab w:val="left" w:pos="2495"/>
          <w:tab w:val="left" w:pos="3119"/>
        </w:tabs>
        <w:rPr>
          <w:lang w:val="en-GB"/>
        </w:rPr>
      </w:pPr>
      <w:r w:rsidRPr="00DD3F88">
        <w:rPr>
          <w:lang w:val="en-GB"/>
        </w:rPr>
        <w:lastRenderedPageBreak/>
        <w:tab/>
      </w:r>
      <w:r w:rsidRPr="00DD3F88">
        <w:rPr>
          <w:iCs/>
          <w:lang w:val="en-GB"/>
        </w:rPr>
        <w:t>2.2.6.5</w:t>
      </w:r>
      <w:r w:rsidRPr="00DD3F88">
        <w:rPr>
          <w:lang w:val="en-GB"/>
        </w:rPr>
        <w:tab/>
        <w:t>How to present confidence terms - Presenting confidence using the four-box model</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 xml:space="preserve">Confidence terms are communicated as part of the key findings of an assessment. The key findings are set out in the </w:t>
      </w:r>
      <w:r w:rsidRPr="00DD3F88">
        <w:rPr>
          <w:b/>
          <w:lang w:val="en-GB"/>
        </w:rPr>
        <w:t>Executive Summaries</w:t>
      </w:r>
      <w:r w:rsidRPr="00DD3F88">
        <w:rPr>
          <w:lang w:val="en-GB"/>
        </w:rPr>
        <w:t xml:space="preserve"> for each of the assessment’s chapters in the full technical report. The key findings are the facts and information drawn directly from the chapter. It is recommended that key findings should be set out as follows.</w:t>
      </w:r>
    </w:p>
    <w:p w:rsidR="006E54C8" w:rsidRPr="00DD3F88" w:rsidRDefault="006E54C8" w:rsidP="00280AD4">
      <w:pPr>
        <w:tabs>
          <w:tab w:val="left" w:pos="624"/>
          <w:tab w:val="left" w:pos="1871"/>
          <w:tab w:val="left" w:pos="2495"/>
          <w:tab w:val="left" w:pos="3119"/>
        </w:tabs>
        <w:spacing w:after="120"/>
        <w:ind w:left="1247"/>
        <w:rPr>
          <w:lang w:val="en-GB"/>
        </w:rPr>
      </w:pPr>
      <w:r w:rsidRPr="00DD3F88">
        <w:rPr>
          <w:b/>
          <w:lang w:val="en-GB"/>
        </w:rPr>
        <w:t>The first sentence of the finding should be bolded</w:t>
      </w:r>
      <w:r w:rsidRPr="00DD3F88">
        <w:rPr>
          <w:lang w:val="en-GB"/>
        </w:rPr>
        <w:t xml:space="preserve"> and contain a confidence term from the four-box model in italics and brackets at the end of the sentence. This first sentence is followed by two to four sentences which then supports the information contained in this first sentence. Subsequent sentences may contain confidence terms within brackets where appropriate. It is not necessary to include confidence terms with each sentence if the whole paragraph falls under the same confidence term.</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 xml:space="preserve">The words that make up the four-box model and likelihood scale should </w:t>
      </w:r>
      <w:r w:rsidRPr="00DD3F88">
        <w:rPr>
          <w:u w:val="single"/>
          <w:lang w:val="en-GB"/>
        </w:rPr>
        <w:t>not</w:t>
      </w:r>
      <w:r w:rsidRPr="00DD3F88">
        <w:rPr>
          <w:lang w:val="en-GB"/>
        </w:rPr>
        <w:t xml:space="preserve"> be used in the text of the assessment except when formally assigning confidence</w:t>
      </w:r>
      <w:r w:rsidRPr="00DD3F88">
        <w:rPr>
          <w:b/>
          <w:lang w:val="en-GB"/>
        </w:rPr>
        <w:t xml:space="preserve">. </w:t>
      </w:r>
      <w:r w:rsidRPr="00DD3F88">
        <w:rPr>
          <w:lang w:val="en-GB"/>
        </w:rPr>
        <w:t>If, for example, there was a sentence that used the word “likely” but not with the intended meaning from the likelihood scale, then the word should be replaced with another (e.g. probably).</w:t>
      </w:r>
    </w:p>
    <w:p w:rsidR="006E54C8" w:rsidRPr="00DD3F88" w:rsidRDefault="006E54C8" w:rsidP="00280AD4">
      <w:pPr>
        <w:pStyle w:val="CH4"/>
        <w:tabs>
          <w:tab w:val="left" w:pos="624"/>
          <w:tab w:val="left" w:pos="1871"/>
          <w:tab w:val="left" w:pos="2495"/>
          <w:tab w:val="left" w:pos="3119"/>
        </w:tabs>
        <w:rPr>
          <w:lang w:val="en-GB"/>
        </w:rPr>
      </w:pPr>
      <w:r w:rsidRPr="00DD3F88">
        <w:rPr>
          <w:lang w:val="en-GB"/>
        </w:rPr>
        <w:tab/>
        <w:t>2.2.6.6</w:t>
      </w:r>
      <w:r w:rsidRPr="00DD3F88">
        <w:rPr>
          <w:lang w:val="en-GB"/>
        </w:rPr>
        <w:tab/>
        <w:t>Presenting confidence using the likelihood scale</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 xml:space="preserve">In some instances, as above, author teams may wish to complement the use of the </w:t>
      </w:r>
      <w:r w:rsidRPr="00DD3F88">
        <w:rPr>
          <w:b/>
          <w:i/>
          <w:lang w:val="en-GB"/>
        </w:rPr>
        <w:t>well-established</w:t>
      </w:r>
      <w:r w:rsidRPr="00DD3F88">
        <w:rPr>
          <w:lang w:val="en-GB"/>
        </w:rPr>
        <w:t xml:space="preserve"> confidence term with a term from the likelihood scale. If terms from the likelihood scale are used than they should be incorporated into the text and italicised prior to the impact or outcome the probability of which they are describing.</w:t>
      </w:r>
    </w:p>
    <w:p w:rsidR="006E54C8" w:rsidRPr="00DD3F88" w:rsidRDefault="006E54C8" w:rsidP="00280AD4">
      <w:pPr>
        <w:pStyle w:val="CH4"/>
        <w:tabs>
          <w:tab w:val="left" w:pos="624"/>
          <w:tab w:val="left" w:pos="1871"/>
          <w:tab w:val="left" w:pos="2495"/>
          <w:tab w:val="left" w:pos="3119"/>
        </w:tabs>
        <w:rPr>
          <w:lang w:val="en-GB"/>
        </w:rPr>
      </w:pPr>
      <w:r w:rsidRPr="00DD3F88">
        <w:rPr>
          <w:lang w:val="en-GB"/>
        </w:rPr>
        <w:tab/>
        <w:t>2.2.6.7</w:t>
      </w:r>
      <w:r w:rsidRPr="00DD3F88">
        <w:rPr>
          <w:lang w:val="en-GB"/>
        </w:rPr>
        <w:tab/>
        <w:t>Traceability</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The author team’s expert judgment of their confidence in the key messages and findings should be explained by providing a clear traceable account. A traceable account is a description in the chapter of the evaluation of the type, quantity, quality and consistency of the evidence and level of agreement that forms the basis for the given key message or finding (</w:t>
      </w:r>
      <w:proofErr w:type="spellStart"/>
      <w:r w:rsidRPr="00DD3F88">
        <w:rPr>
          <w:lang w:val="en-GB"/>
        </w:rPr>
        <w:t>Mastrandrea</w:t>
      </w:r>
      <w:proofErr w:type="spellEnd"/>
      <w:r w:rsidRPr="00DD3F88">
        <w:rPr>
          <w:lang w:val="en-GB"/>
        </w:rPr>
        <w:t xml:space="preserve"> et al. 2010). Where possible, the description should identify and discuss the sources of confidence. In order to ensure consistency in how the author teams classify sources of confidence within and across IPBES assessments, author teams should use the typology shown in Table 2.4 below.</w:t>
      </w:r>
    </w:p>
    <w:p w:rsidR="006E54C8" w:rsidRPr="00DD3F88" w:rsidRDefault="006E54C8" w:rsidP="00280AD4">
      <w:pPr>
        <w:tabs>
          <w:tab w:val="left" w:pos="624"/>
          <w:tab w:val="left" w:pos="1871"/>
          <w:tab w:val="left" w:pos="2495"/>
          <w:tab w:val="left" w:pos="3119"/>
        </w:tabs>
        <w:spacing w:after="120"/>
        <w:ind w:left="1247"/>
        <w:rPr>
          <w:lang w:val="en-GB"/>
        </w:rPr>
      </w:pPr>
      <w:r w:rsidRPr="00DD3F88">
        <w:rPr>
          <w:lang w:val="en-GB"/>
        </w:rPr>
        <w:t xml:space="preserve">A main finding in the </w:t>
      </w:r>
      <w:r w:rsidRPr="00DD3F88">
        <w:rPr>
          <w:b/>
          <w:lang w:val="en-GB"/>
        </w:rPr>
        <w:t>Summary for Policy Makers</w:t>
      </w:r>
      <w:r w:rsidRPr="00DD3F88">
        <w:rPr>
          <w:lang w:val="en-GB"/>
        </w:rPr>
        <w:t xml:space="preserve"> should be readily traceable back to an </w:t>
      </w:r>
      <w:r w:rsidRPr="00DD3F88">
        <w:rPr>
          <w:b/>
          <w:lang w:val="en-GB"/>
        </w:rPr>
        <w:t>Executive Summary</w:t>
      </w:r>
      <w:r w:rsidRPr="00DD3F88">
        <w:rPr>
          <w:lang w:val="en-GB"/>
        </w:rPr>
        <w:t xml:space="preserve"> main finding(s) that in turn should be readily traceable back to a section(s) of the chapter text, which in turn should be traceable where appropriate to the primary literature through references.</w:t>
      </w:r>
    </w:p>
    <w:p w:rsidR="00543E2B" w:rsidRDefault="006E54C8" w:rsidP="008011AE">
      <w:pPr>
        <w:tabs>
          <w:tab w:val="left" w:pos="624"/>
          <w:tab w:val="left" w:pos="1871"/>
          <w:tab w:val="left" w:pos="2495"/>
          <w:tab w:val="left" w:pos="3119"/>
        </w:tabs>
        <w:spacing w:after="120"/>
        <w:ind w:left="1247"/>
        <w:rPr>
          <w:lang w:val="en-GB"/>
        </w:rPr>
      </w:pPr>
      <w:r w:rsidRPr="00DD3F88">
        <w:rPr>
          <w:lang w:val="en-GB"/>
        </w:rPr>
        <w:t xml:space="preserve">References to the relevant </w:t>
      </w:r>
      <w:r w:rsidRPr="00DD3F88">
        <w:rPr>
          <w:b/>
          <w:lang w:val="en-GB"/>
        </w:rPr>
        <w:t>Executive Summary</w:t>
      </w:r>
      <w:r w:rsidRPr="00DD3F88">
        <w:rPr>
          <w:lang w:val="en-GB"/>
        </w:rPr>
        <w:t xml:space="preserve"> statement in the SPM should be included in curly brackets (e.g. {1.2}), see Box 2.2.</w:t>
      </w:r>
    </w:p>
    <w:p w:rsidR="000143C6" w:rsidRPr="00DD3F88" w:rsidRDefault="00065A6F" w:rsidP="00280AD4">
      <w:pPr>
        <w:pStyle w:val="CH4"/>
        <w:tabs>
          <w:tab w:val="left" w:pos="624"/>
          <w:tab w:val="left" w:pos="1871"/>
          <w:tab w:val="left" w:pos="2495"/>
          <w:tab w:val="left" w:pos="3119"/>
        </w:tabs>
        <w:rPr>
          <w:lang w:val="en-GB"/>
        </w:rPr>
      </w:pPr>
      <w:r>
        <w:rPr>
          <w:lang w:val="en-GB"/>
        </w:rPr>
        <w:tab/>
      </w:r>
      <w:r w:rsidR="000143C6" w:rsidRPr="00DD3F88">
        <w:rPr>
          <w:lang w:val="en-GB"/>
        </w:rPr>
        <w:t>2.2.6.8</w:t>
      </w:r>
      <w:r>
        <w:rPr>
          <w:lang w:val="en-GB"/>
        </w:rPr>
        <w:tab/>
      </w:r>
      <w:r w:rsidR="000143C6" w:rsidRPr="00DD3F88">
        <w:rPr>
          <w:lang w:val="en-GB"/>
        </w:rPr>
        <w:t xml:space="preserve">Summary of Steps for applying confidence terms </w:t>
      </w:r>
    </w:p>
    <w:p w:rsidR="000143C6" w:rsidRPr="00A25F51" w:rsidRDefault="000143C6" w:rsidP="00280AD4">
      <w:pPr>
        <w:tabs>
          <w:tab w:val="left" w:pos="624"/>
          <w:tab w:val="left" w:pos="1871"/>
          <w:tab w:val="left" w:pos="2495"/>
          <w:tab w:val="left" w:pos="3119"/>
        </w:tabs>
        <w:spacing w:after="120"/>
        <w:ind w:left="1247"/>
        <w:rPr>
          <w:rFonts w:cs="Times New Roman"/>
          <w:lang w:val="en-GB"/>
        </w:rPr>
      </w:pPr>
      <w:r w:rsidRPr="000E03F9">
        <w:rPr>
          <w:rFonts w:cs="Times New Roman"/>
          <w:lang w:val="en-GB"/>
        </w:rPr>
        <w:t xml:space="preserve">The steps </w:t>
      </w:r>
      <w:r w:rsidRPr="000E03F9">
        <w:rPr>
          <w:lang w:val="en-GB"/>
        </w:rPr>
        <w:t>recommended</w:t>
      </w:r>
      <w:r w:rsidRPr="00FA50AA">
        <w:rPr>
          <w:rFonts w:cs="Times New Roman"/>
          <w:lang w:val="en-GB"/>
        </w:rPr>
        <w:t xml:space="preserve"> for assessing and communicating confidence for Executive Summaries and Summaries for Policy Makers:</w:t>
      </w:r>
    </w:p>
    <w:p w:rsidR="000143C6" w:rsidRPr="00065A6F" w:rsidRDefault="000143C6" w:rsidP="00280AD4">
      <w:pPr>
        <w:pStyle w:val="ListParagraph"/>
        <w:numPr>
          <w:ilvl w:val="0"/>
          <w:numId w:val="32"/>
        </w:numPr>
        <w:tabs>
          <w:tab w:val="left" w:pos="624"/>
          <w:tab w:val="left" w:pos="1247"/>
          <w:tab w:val="left" w:pos="1871"/>
          <w:tab w:val="left" w:pos="2495"/>
          <w:tab w:val="left" w:pos="3119"/>
        </w:tabs>
        <w:spacing w:after="120" w:line="240" w:lineRule="auto"/>
        <w:ind w:left="624" w:firstLine="624"/>
        <w:rPr>
          <w:rFonts w:ascii="Times New Roman" w:hAnsi="Times New Roman" w:cs="Times New Roman"/>
          <w:sz w:val="20"/>
          <w:szCs w:val="20"/>
          <w:lang w:val="en-GB"/>
        </w:rPr>
      </w:pPr>
      <w:r w:rsidRPr="00065A6F">
        <w:rPr>
          <w:rFonts w:ascii="Times New Roman" w:hAnsi="Times New Roman" w:cs="Times New Roman"/>
          <w:sz w:val="20"/>
          <w:szCs w:val="20"/>
          <w:lang w:val="en-GB"/>
        </w:rPr>
        <w:t>Identify the chapter’s key messages and findings.</w:t>
      </w:r>
    </w:p>
    <w:p w:rsidR="000143C6" w:rsidRPr="00065A6F" w:rsidRDefault="000143C6" w:rsidP="00280AD4">
      <w:pPr>
        <w:pStyle w:val="ListParagraph"/>
        <w:numPr>
          <w:ilvl w:val="0"/>
          <w:numId w:val="32"/>
        </w:numPr>
        <w:tabs>
          <w:tab w:val="left" w:pos="624"/>
          <w:tab w:val="left" w:pos="1247"/>
          <w:tab w:val="left" w:pos="1871"/>
          <w:tab w:val="left" w:pos="2495"/>
          <w:tab w:val="left" w:pos="3119"/>
        </w:tabs>
        <w:spacing w:after="120" w:line="240" w:lineRule="auto"/>
        <w:ind w:left="624" w:firstLine="624"/>
        <w:rPr>
          <w:rFonts w:ascii="Times New Roman" w:hAnsi="Times New Roman" w:cs="Times New Roman"/>
          <w:sz w:val="20"/>
          <w:szCs w:val="20"/>
          <w:lang w:val="en-GB"/>
        </w:rPr>
      </w:pPr>
      <w:r w:rsidRPr="00065A6F">
        <w:rPr>
          <w:rFonts w:ascii="Times New Roman" w:hAnsi="Times New Roman" w:cs="Times New Roman"/>
          <w:sz w:val="20"/>
          <w:szCs w:val="20"/>
          <w:lang w:val="en-GB"/>
        </w:rPr>
        <w:t>Evaluate the supporting evidence and the level of scientific agreement.</w:t>
      </w:r>
    </w:p>
    <w:p w:rsidR="000143C6" w:rsidRPr="00065A6F" w:rsidRDefault="000143C6" w:rsidP="00280AD4">
      <w:pPr>
        <w:pStyle w:val="ListParagraph"/>
        <w:numPr>
          <w:ilvl w:val="0"/>
          <w:numId w:val="32"/>
        </w:numPr>
        <w:tabs>
          <w:tab w:val="left" w:pos="624"/>
          <w:tab w:val="left" w:pos="1247"/>
          <w:tab w:val="left" w:pos="1871"/>
          <w:tab w:val="left" w:pos="2495"/>
          <w:tab w:val="left" w:pos="3119"/>
        </w:tabs>
        <w:spacing w:after="120" w:line="240" w:lineRule="auto"/>
        <w:ind w:left="624" w:firstLine="624"/>
        <w:rPr>
          <w:rFonts w:ascii="Times New Roman" w:hAnsi="Times New Roman" w:cs="Times New Roman"/>
          <w:sz w:val="20"/>
          <w:szCs w:val="20"/>
          <w:lang w:val="en-GB"/>
        </w:rPr>
      </w:pPr>
      <w:r w:rsidRPr="00065A6F">
        <w:rPr>
          <w:rFonts w:ascii="Times New Roman" w:hAnsi="Times New Roman" w:cs="Times New Roman"/>
          <w:sz w:val="20"/>
          <w:szCs w:val="20"/>
          <w:lang w:val="en-GB"/>
        </w:rPr>
        <w:t>Establish whether the evidence is probabilistic or not (e.g. from model predictions).</w:t>
      </w:r>
    </w:p>
    <w:p w:rsidR="000143C6" w:rsidRPr="00065A6F" w:rsidRDefault="000143C6" w:rsidP="00280AD4">
      <w:pPr>
        <w:pStyle w:val="ListParagraph"/>
        <w:numPr>
          <w:ilvl w:val="0"/>
          <w:numId w:val="32"/>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065A6F">
        <w:rPr>
          <w:rFonts w:ascii="Times New Roman" w:hAnsi="Times New Roman" w:cs="Times New Roman"/>
          <w:sz w:val="20"/>
          <w:szCs w:val="20"/>
          <w:lang w:val="en-GB"/>
        </w:rPr>
        <w:t xml:space="preserve">Where the evidence is qualitative instead or probabilistic, select a confidence term from the </w:t>
      </w:r>
      <w:r w:rsidRPr="00065A6F">
        <w:rPr>
          <w:rFonts w:ascii="Times New Roman" w:hAnsi="Times New Roman" w:cs="Times New Roman"/>
          <w:b/>
          <w:sz w:val="20"/>
          <w:szCs w:val="20"/>
          <w:lang w:val="en-GB"/>
        </w:rPr>
        <w:t>four-box model</w:t>
      </w:r>
      <w:r w:rsidRPr="00065A6F">
        <w:rPr>
          <w:rFonts w:ascii="Times New Roman" w:hAnsi="Times New Roman" w:cs="Times New Roman"/>
          <w:sz w:val="20"/>
          <w:szCs w:val="20"/>
          <w:lang w:val="en-GB"/>
        </w:rPr>
        <w:t xml:space="preserve"> (Figure 2.4) to communicate the author team’s confidence in the key message or finding.</w:t>
      </w:r>
    </w:p>
    <w:p w:rsidR="000143C6" w:rsidRPr="00065A6F" w:rsidRDefault="000143C6" w:rsidP="00280AD4">
      <w:pPr>
        <w:pStyle w:val="ListParagraph"/>
        <w:numPr>
          <w:ilvl w:val="1"/>
          <w:numId w:val="32"/>
        </w:numPr>
        <w:tabs>
          <w:tab w:val="left" w:pos="624"/>
          <w:tab w:val="left" w:pos="1247"/>
          <w:tab w:val="left" w:pos="1418"/>
          <w:tab w:val="left" w:pos="1871"/>
          <w:tab w:val="left" w:pos="2495"/>
          <w:tab w:val="left" w:pos="3119"/>
        </w:tabs>
        <w:spacing w:after="120" w:line="240" w:lineRule="auto"/>
        <w:ind w:left="2495" w:hanging="624"/>
        <w:rPr>
          <w:rFonts w:ascii="Times New Roman" w:hAnsi="Times New Roman" w:cs="Times New Roman"/>
          <w:sz w:val="20"/>
          <w:szCs w:val="20"/>
          <w:lang w:val="en-GB"/>
        </w:rPr>
      </w:pPr>
      <w:r w:rsidRPr="00065A6F">
        <w:rPr>
          <w:rFonts w:ascii="Times New Roman" w:hAnsi="Times New Roman" w:cs="Times New Roman"/>
          <w:sz w:val="20"/>
          <w:szCs w:val="20"/>
          <w:lang w:val="en-GB"/>
        </w:rPr>
        <w:t>Assess the quantity and quality of evidence and the level of agreement in the scientific community.</w:t>
      </w:r>
    </w:p>
    <w:p w:rsidR="000143C6" w:rsidRPr="00065A6F" w:rsidRDefault="000143C6" w:rsidP="00280AD4">
      <w:pPr>
        <w:pStyle w:val="ListParagraph"/>
        <w:numPr>
          <w:ilvl w:val="1"/>
          <w:numId w:val="32"/>
        </w:numPr>
        <w:tabs>
          <w:tab w:val="left" w:pos="624"/>
          <w:tab w:val="left" w:pos="1247"/>
          <w:tab w:val="left" w:pos="1418"/>
          <w:tab w:val="left" w:pos="1871"/>
          <w:tab w:val="left" w:pos="2495"/>
          <w:tab w:val="left" w:pos="3119"/>
        </w:tabs>
        <w:spacing w:after="120" w:line="240" w:lineRule="auto"/>
        <w:ind w:left="2495" w:hanging="624"/>
        <w:rPr>
          <w:rFonts w:ascii="Times New Roman" w:hAnsi="Times New Roman" w:cs="Times New Roman"/>
          <w:sz w:val="20"/>
          <w:szCs w:val="20"/>
          <w:lang w:val="en-GB"/>
        </w:rPr>
      </w:pPr>
      <w:r w:rsidRPr="00065A6F">
        <w:rPr>
          <w:rFonts w:ascii="Times New Roman" w:hAnsi="Times New Roman" w:cs="Times New Roman"/>
          <w:sz w:val="20"/>
          <w:szCs w:val="20"/>
          <w:lang w:val="en-GB"/>
        </w:rPr>
        <w:t>Establish how confident the author team is and select the appropriate term.</w:t>
      </w:r>
    </w:p>
    <w:p w:rsidR="000143C6" w:rsidRPr="00065A6F" w:rsidRDefault="000143C6" w:rsidP="00280AD4">
      <w:pPr>
        <w:pStyle w:val="ListParagraph"/>
        <w:numPr>
          <w:ilvl w:val="0"/>
          <w:numId w:val="32"/>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065A6F">
        <w:rPr>
          <w:rFonts w:ascii="Times New Roman" w:hAnsi="Times New Roman" w:cs="Times New Roman"/>
          <w:sz w:val="20"/>
          <w:szCs w:val="20"/>
          <w:lang w:val="en-GB"/>
        </w:rPr>
        <w:t xml:space="preserve">Where quantitative estimates of the probability of an outcome or impact occurring are available (e.g. from model predictions), select a likelihood term from the </w:t>
      </w:r>
      <w:r w:rsidRPr="00065A6F">
        <w:rPr>
          <w:rFonts w:ascii="Times New Roman" w:hAnsi="Times New Roman" w:cs="Times New Roman"/>
          <w:b/>
          <w:sz w:val="20"/>
          <w:szCs w:val="20"/>
          <w:lang w:val="en-GB"/>
        </w:rPr>
        <w:t>likelihood scale</w:t>
      </w:r>
      <w:r w:rsidRPr="00065A6F">
        <w:rPr>
          <w:rFonts w:ascii="Times New Roman" w:hAnsi="Times New Roman" w:cs="Times New Roman"/>
          <w:sz w:val="20"/>
          <w:szCs w:val="20"/>
          <w:lang w:val="en-GB"/>
        </w:rPr>
        <w:t xml:space="preserve"> (see Figure 2.5) to communicate the author teams’ expert judgement of the range of the probability of occurrence.</w:t>
      </w:r>
    </w:p>
    <w:p w:rsidR="000143C6" w:rsidRPr="00065A6F" w:rsidRDefault="000143C6" w:rsidP="00280AD4">
      <w:pPr>
        <w:pStyle w:val="ListParagraph"/>
        <w:numPr>
          <w:ilvl w:val="0"/>
          <w:numId w:val="32"/>
        </w:numPr>
        <w:tabs>
          <w:tab w:val="left" w:pos="624"/>
          <w:tab w:val="left" w:pos="1247"/>
          <w:tab w:val="left" w:pos="1871"/>
          <w:tab w:val="left" w:pos="2495"/>
          <w:tab w:val="left" w:pos="3119"/>
        </w:tabs>
        <w:spacing w:after="120" w:line="240" w:lineRule="auto"/>
        <w:ind w:left="1871" w:hanging="624"/>
        <w:rPr>
          <w:rFonts w:ascii="Times New Roman" w:hAnsi="Times New Roman" w:cs="Times New Roman"/>
          <w:sz w:val="20"/>
          <w:szCs w:val="20"/>
          <w:lang w:val="en-GB"/>
        </w:rPr>
      </w:pPr>
      <w:r w:rsidRPr="00065A6F">
        <w:rPr>
          <w:rFonts w:ascii="Times New Roman" w:hAnsi="Times New Roman" w:cs="Times New Roman"/>
          <w:sz w:val="20"/>
          <w:szCs w:val="20"/>
          <w:lang w:val="en-GB"/>
        </w:rPr>
        <w:t>Ensure that there is always a ‘traceable account’ in the main text describing how the author team adopted the specific level of confidence, including the important lines of evidence used, standard of evidence applied and approaches to combine/reconcile multiple lines of evidence. Where specific sources of confidence are prominent for a key finding, the terms used in left hand column of Table 2.5 should be included in the traceable account.</w:t>
      </w:r>
    </w:p>
    <w:p w:rsidR="006E54C8" w:rsidRPr="00DD3F88" w:rsidRDefault="00065A6F" w:rsidP="00280AD4">
      <w:pPr>
        <w:ind w:left="1814" w:hanging="1814"/>
        <w:rPr>
          <w:lang w:val="en-GB"/>
        </w:rPr>
      </w:pPr>
      <w:r>
        <w:rPr>
          <w:rFonts w:cs="Times New Roman"/>
          <w:lang w:val="en-GB"/>
        </w:rPr>
        <w:tab/>
        <w:t>7.</w:t>
      </w:r>
      <w:r>
        <w:rPr>
          <w:rFonts w:cs="Times New Roman"/>
          <w:lang w:val="en-GB"/>
        </w:rPr>
        <w:tab/>
      </w:r>
      <w:r w:rsidR="000143C6" w:rsidRPr="000E03F9">
        <w:rPr>
          <w:rFonts w:cs="Times New Roman"/>
          <w:lang w:val="en-GB"/>
        </w:rPr>
        <w:t>OPTIONAL: Consider using formal frameworks for assessing expert judgement for each author team.</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74170" w:rsidRPr="00FA50AA" w:rsidTr="00574170">
        <w:trPr>
          <w:trHeight w:val="5542"/>
        </w:trPr>
        <w:tc>
          <w:tcPr>
            <w:tcW w:w="9060" w:type="dxa"/>
            <w:tcBorders>
              <w:top w:val="nil"/>
              <w:left w:val="nil"/>
              <w:bottom w:val="nil"/>
              <w:right w:val="nil"/>
            </w:tcBorders>
          </w:tcPr>
          <w:p w:rsidR="00574170" w:rsidRPr="00DD3F88" w:rsidRDefault="00574170" w:rsidP="00480CDD">
            <w:pPr>
              <w:pStyle w:val="CH4"/>
              <w:tabs>
                <w:tab w:val="left" w:pos="624"/>
                <w:tab w:val="left" w:pos="1871"/>
                <w:tab w:val="left" w:pos="2495"/>
                <w:tab w:val="left" w:pos="3119"/>
              </w:tabs>
              <w:ind w:left="318" w:firstLine="0"/>
              <w:rPr>
                <w:lang w:val="en-GB"/>
              </w:rPr>
            </w:pPr>
            <w:r w:rsidRPr="00DD3F88">
              <w:rPr>
                <w:lang w:val="en-GB"/>
              </w:rPr>
              <w:lastRenderedPageBreak/>
              <w:t>Table 2.5. Sources of low confidence</w:t>
            </w:r>
          </w:p>
          <w:tbl>
            <w:tblPr>
              <w:tblStyle w:val="ListTable3-Accent51"/>
              <w:tblW w:w="5000" w:type="pct"/>
              <w:tblInd w:w="0" w:type="dxa"/>
              <w:tblLook w:val="04A0" w:firstRow="1" w:lastRow="0" w:firstColumn="1" w:lastColumn="0" w:noHBand="0" w:noVBand="1"/>
            </w:tblPr>
            <w:tblGrid>
              <w:gridCol w:w="1952"/>
              <w:gridCol w:w="2951"/>
              <w:gridCol w:w="1818"/>
              <w:gridCol w:w="2113"/>
            </w:tblGrid>
            <w:tr w:rsidR="00574170" w:rsidRPr="00FA50AA" w:rsidTr="00480CD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58" w:type="pct"/>
                  <w:tcBorders>
                    <w:top w:val="single" w:sz="4" w:space="0" w:color="4472C4"/>
                    <w:left w:val="single" w:sz="4" w:space="0" w:color="4472C4"/>
                  </w:tcBorders>
                  <w:shd w:val="clear" w:color="auto" w:fill="244061" w:themeFill="accent1" w:themeFillShade="80"/>
                  <w:hideMark/>
                </w:tcPr>
                <w:p w:rsidR="00574170" w:rsidRPr="00DD3F88" w:rsidRDefault="00574170" w:rsidP="00480CDD">
                  <w:pPr>
                    <w:pStyle w:val="CH4"/>
                    <w:tabs>
                      <w:tab w:val="left" w:pos="624"/>
                      <w:tab w:val="left" w:pos="1871"/>
                      <w:tab w:val="left" w:pos="2495"/>
                      <w:tab w:val="left" w:pos="3119"/>
                    </w:tabs>
                    <w:ind w:left="318" w:firstLine="0"/>
                    <w:rPr>
                      <w:b/>
                      <w:bCs w:val="0"/>
                      <w:color w:val="auto"/>
                      <w:lang w:val="en-GB"/>
                    </w:rPr>
                  </w:pPr>
                  <w:r w:rsidRPr="00DD3F88">
                    <w:rPr>
                      <w:b/>
                      <w:bCs w:val="0"/>
                      <w:color w:val="auto"/>
                      <w:lang w:val="en-GB"/>
                    </w:rPr>
                    <w:t>Source of low confidence</w:t>
                  </w:r>
                </w:p>
              </w:tc>
              <w:tc>
                <w:tcPr>
                  <w:tcW w:w="1998" w:type="pct"/>
                  <w:tcBorders>
                    <w:top w:val="single" w:sz="4" w:space="0" w:color="4472C4"/>
                    <w:left w:val="nil"/>
                    <w:bottom w:val="nil"/>
                    <w:right w:val="nil"/>
                  </w:tcBorders>
                  <w:shd w:val="clear" w:color="auto" w:fill="244061" w:themeFill="accent1" w:themeFillShade="80"/>
                  <w:hideMark/>
                </w:tcPr>
                <w:p w:rsidR="00574170" w:rsidRPr="00DD3F88" w:rsidRDefault="00574170" w:rsidP="00480CDD">
                  <w:pPr>
                    <w:pStyle w:val="CH4"/>
                    <w:tabs>
                      <w:tab w:val="left" w:pos="624"/>
                      <w:tab w:val="left" w:pos="1871"/>
                      <w:tab w:val="left" w:pos="2495"/>
                      <w:tab w:val="left" w:pos="3119"/>
                    </w:tabs>
                    <w:ind w:left="318" w:firstLine="0"/>
                    <w:cnfStyle w:val="100000000000" w:firstRow="1" w:lastRow="0" w:firstColumn="0" w:lastColumn="0" w:oddVBand="0" w:evenVBand="0" w:oddHBand="0" w:evenHBand="0" w:firstRowFirstColumn="0" w:firstRowLastColumn="0" w:lastRowFirstColumn="0" w:lastRowLastColumn="0"/>
                    <w:rPr>
                      <w:b/>
                      <w:bCs w:val="0"/>
                      <w:color w:val="auto"/>
                      <w:lang w:val="en-GB"/>
                    </w:rPr>
                  </w:pPr>
                  <w:r w:rsidRPr="00DD3F88">
                    <w:rPr>
                      <w:b/>
                      <w:bCs w:val="0"/>
                      <w:color w:val="auto"/>
                      <w:lang w:val="en-GB"/>
                    </w:rPr>
                    <w:t>Definition &amp; examples</w:t>
                  </w:r>
                </w:p>
              </w:tc>
              <w:tc>
                <w:tcPr>
                  <w:tcW w:w="633" w:type="pct"/>
                  <w:tcBorders>
                    <w:top w:val="single" w:sz="4" w:space="0" w:color="4472C4"/>
                    <w:left w:val="nil"/>
                    <w:bottom w:val="nil"/>
                    <w:right w:val="nil"/>
                  </w:tcBorders>
                  <w:shd w:val="clear" w:color="auto" w:fill="244061" w:themeFill="accent1" w:themeFillShade="80"/>
                  <w:hideMark/>
                </w:tcPr>
                <w:p w:rsidR="00574170" w:rsidRPr="00DD3F88" w:rsidRDefault="00574170" w:rsidP="00480CDD">
                  <w:pPr>
                    <w:pStyle w:val="CH4"/>
                    <w:tabs>
                      <w:tab w:val="left" w:pos="624"/>
                      <w:tab w:val="left" w:pos="1871"/>
                      <w:tab w:val="left" w:pos="2495"/>
                      <w:tab w:val="left" w:pos="3119"/>
                    </w:tabs>
                    <w:ind w:left="318" w:firstLine="0"/>
                    <w:cnfStyle w:val="100000000000" w:firstRow="1" w:lastRow="0" w:firstColumn="0" w:lastColumn="0" w:oddVBand="0" w:evenVBand="0" w:oddHBand="0" w:evenHBand="0" w:firstRowFirstColumn="0" w:firstRowLastColumn="0" w:lastRowFirstColumn="0" w:lastRowLastColumn="0"/>
                    <w:rPr>
                      <w:b/>
                      <w:bCs w:val="0"/>
                      <w:color w:val="auto"/>
                      <w:lang w:val="en-GB"/>
                    </w:rPr>
                  </w:pPr>
                  <w:r w:rsidRPr="00DD3F88">
                    <w:rPr>
                      <w:b/>
                      <w:bCs w:val="0"/>
                      <w:color w:val="auto"/>
                      <w:lang w:val="en-GB"/>
                    </w:rPr>
                    <w:t>Qualities</w:t>
                  </w:r>
                </w:p>
              </w:tc>
              <w:tc>
                <w:tcPr>
                  <w:tcW w:w="1611" w:type="pct"/>
                  <w:tcBorders>
                    <w:top w:val="single" w:sz="4" w:space="0" w:color="4472C4"/>
                    <w:left w:val="nil"/>
                    <w:bottom w:val="nil"/>
                    <w:right w:val="single" w:sz="4" w:space="0" w:color="4472C4"/>
                  </w:tcBorders>
                  <w:shd w:val="clear" w:color="auto" w:fill="244061" w:themeFill="accent1" w:themeFillShade="80"/>
                  <w:hideMark/>
                </w:tcPr>
                <w:p w:rsidR="00574170" w:rsidRPr="00DD3F88" w:rsidRDefault="00574170" w:rsidP="00480CDD">
                  <w:pPr>
                    <w:pStyle w:val="CH4"/>
                    <w:tabs>
                      <w:tab w:val="left" w:pos="624"/>
                      <w:tab w:val="left" w:pos="1871"/>
                      <w:tab w:val="left" w:pos="2495"/>
                      <w:tab w:val="left" w:pos="3119"/>
                    </w:tabs>
                    <w:ind w:left="318" w:firstLine="0"/>
                    <w:cnfStyle w:val="100000000000" w:firstRow="1" w:lastRow="0" w:firstColumn="0" w:lastColumn="0" w:oddVBand="0" w:evenVBand="0" w:oddHBand="0" w:evenHBand="0" w:firstRowFirstColumn="0" w:firstRowLastColumn="0" w:lastRowFirstColumn="0" w:lastRowLastColumn="0"/>
                    <w:rPr>
                      <w:b/>
                      <w:bCs w:val="0"/>
                      <w:color w:val="auto"/>
                      <w:lang w:val="en-GB"/>
                    </w:rPr>
                  </w:pPr>
                  <w:r w:rsidRPr="00DD3F88">
                    <w:rPr>
                      <w:b/>
                      <w:bCs w:val="0"/>
                      <w:color w:val="auto"/>
                      <w:lang w:val="en-GB"/>
                    </w:rPr>
                    <w:t>Means of dealing with low confidence</w:t>
                  </w:r>
                </w:p>
              </w:tc>
            </w:tr>
            <w:tr w:rsidR="00574170" w:rsidRPr="00FA50AA" w:rsidTr="00480CDD">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758" w:type="pct"/>
                  <w:tcBorders>
                    <w:left w:val="single" w:sz="4" w:space="0" w:color="4472C4"/>
                  </w:tcBorders>
                  <w:hideMark/>
                </w:tcPr>
                <w:p w:rsidR="00574170" w:rsidRPr="00DD3F88" w:rsidRDefault="00574170" w:rsidP="00480CDD">
                  <w:pPr>
                    <w:pStyle w:val="CH4"/>
                    <w:tabs>
                      <w:tab w:val="left" w:pos="624"/>
                      <w:tab w:val="left" w:pos="1871"/>
                      <w:tab w:val="left" w:pos="2495"/>
                      <w:tab w:val="left" w:pos="3119"/>
                    </w:tabs>
                    <w:ind w:left="318" w:firstLine="0"/>
                    <w:rPr>
                      <w:bCs w:val="0"/>
                      <w:lang w:val="en-GB"/>
                    </w:rPr>
                  </w:pPr>
                  <w:r w:rsidRPr="00DD3F88">
                    <w:rPr>
                      <w:bCs w:val="0"/>
                      <w:lang w:val="en-GB"/>
                    </w:rPr>
                    <w:t>Imprecise meanings of words</w:t>
                  </w:r>
                </w:p>
                <w:p w:rsidR="00574170" w:rsidRPr="00DD3F88" w:rsidRDefault="00574170" w:rsidP="00480CDD">
                  <w:pPr>
                    <w:pStyle w:val="CH4"/>
                    <w:tabs>
                      <w:tab w:val="left" w:pos="624"/>
                      <w:tab w:val="left" w:pos="1871"/>
                      <w:tab w:val="left" w:pos="2495"/>
                      <w:tab w:val="left" w:pos="3119"/>
                    </w:tabs>
                    <w:ind w:left="318" w:firstLine="0"/>
                    <w:rPr>
                      <w:bCs w:val="0"/>
                      <w:lang w:val="en-GB"/>
                    </w:rPr>
                  </w:pPr>
                  <w:r w:rsidRPr="00DD3F88">
                    <w:rPr>
                      <w:bCs w:val="0"/>
                      <w:lang w:val="en-GB"/>
                    </w:rPr>
                    <w:t>(Linguistic uncertainty)</w:t>
                  </w:r>
                </w:p>
              </w:tc>
              <w:tc>
                <w:tcPr>
                  <w:tcW w:w="1998" w:type="pct"/>
                  <w:tcBorders>
                    <w:left w:val="nil"/>
                    <w:right w:val="nil"/>
                  </w:tcBorders>
                  <w:hideMark/>
                </w:tcPr>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Vagueness and ambiguity of terms</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EXAMPLE: When terms such as human welfare, risks, plant reproductive success, pollination deficits are central to the finding.</w:t>
                  </w:r>
                </w:p>
              </w:tc>
              <w:tc>
                <w:tcPr>
                  <w:tcW w:w="633" w:type="pct"/>
                  <w:tcBorders>
                    <w:left w:val="nil"/>
                    <w:right w:val="nil"/>
                  </w:tcBorders>
                  <w:hideMark/>
                </w:tcPr>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Reducible</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Not quantifiable</w:t>
                  </w:r>
                </w:p>
              </w:tc>
              <w:tc>
                <w:tcPr>
                  <w:tcW w:w="1611" w:type="pct"/>
                  <w:tcBorders>
                    <w:left w:val="nil"/>
                    <w:right w:val="single" w:sz="4" w:space="0" w:color="4472C4"/>
                  </w:tcBorders>
                  <w:hideMark/>
                </w:tcPr>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Clear, common definition of terms (IPBES Common Glossary).</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Protocols as used in agent based modelling to deal with context dependence</w:t>
                  </w:r>
                </w:p>
              </w:tc>
            </w:tr>
            <w:tr w:rsidR="00574170" w:rsidRPr="00FA50AA" w:rsidTr="00480CDD">
              <w:trPr>
                <w:trHeight w:val="1837"/>
              </w:trPr>
              <w:tc>
                <w:tcPr>
                  <w:cnfStyle w:val="001000000000" w:firstRow="0" w:lastRow="0" w:firstColumn="1" w:lastColumn="0" w:oddVBand="0" w:evenVBand="0" w:oddHBand="0" w:evenHBand="0" w:firstRowFirstColumn="0" w:firstRowLastColumn="0" w:lastRowFirstColumn="0" w:lastRowLastColumn="0"/>
                  <w:tcW w:w="758" w:type="pct"/>
                  <w:tcBorders>
                    <w:top w:val="nil"/>
                    <w:left w:val="single" w:sz="4" w:space="0" w:color="4472C4"/>
                    <w:bottom w:val="nil"/>
                  </w:tcBorders>
                  <w:hideMark/>
                </w:tcPr>
                <w:p w:rsidR="00574170" w:rsidRPr="00DD3F88" w:rsidRDefault="00574170" w:rsidP="00480CDD">
                  <w:pPr>
                    <w:pStyle w:val="CH4"/>
                    <w:tabs>
                      <w:tab w:val="left" w:pos="624"/>
                      <w:tab w:val="left" w:pos="1871"/>
                      <w:tab w:val="left" w:pos="2495"/>
                      <w:tab w:val="left" w:pos="3119"/>
                    </w:tabs>
                    <w:ind w:left="318" w:firstLine="0"/>
                    <w:rPr>
                      <w:bCs w:val="0"/>
                      <w:lang w:val="en-GB"/>
                    </w:rPr>
                  </w:pPr>
                  <w:r w:rsidRPr="00DD3F88">
                    <w:rPr>
                      <w:bCs w:val="0"/>
                      <w:lang w:val="en-GB"/>
                    </w:rPr>
                    <w:t>Inherently unpredictable systems</w:t>
                  </w:r>
                </w:p>
                <w:p w:rsidR="00574170" w:rsidRPr="00DD3F88" w:rsidRDefault="00574170" w:rsidP="00480CDD">
                  <w:pPr>
                    <w:pStyle w:val="CH4"/>
                    <w:tabs>
                      <w:tab w:val="left" w:pos="624"/>
                      <w:tab w:val="left" w:pos="1871"/>
                      <w:tab w:val="left" w:pos="2495"/>
                      <w:tab w:val="left" w:pos="3119"/>
                    </w:tabs>
                    <w:ind w:left="318" w:firstLine="0"/>
                    <w:rPr>
                      <w:bCs w:val="0"/>
                      <w:lang w:val="en-GB"/>
                    </w:rPr>
                  </w:pPr>
                  <w:r w:rsidRPr="00DD3F88">
                    <w:rPr>
                      <w:bCs w:val="0"/>
                      <w:lang w:val="en-GB"/>
                    </w:rPr>
                    <w:t>(Stochastic uncertainty)</w:t>
                  </w:r>
                </w:p>
              </w:tc>
              <w:tc>
                <w:tcPr>
                  <w:tcW w:w="1998" w:type="pct"/>
                  <w:tcBorders>
                    <w:top w:val="nil"/>
                    <w:left w:val="nil"/>
                    <w:bottom w:val="nil"/>
                    <w:right w:val="nil"/>
                  </w:tcBorders>
                  <w:hideMark/>
                </w:tcPr>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Low confidence due to the chaotic nature of complex natural, social or economic systems (sometimes known as ‘aleatory’ uncertainty). Findings that depend on weather or climate variables, or market prices, will be subject to this low confidence.</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EXAMPLE: Pollination deficits and values measured at local scales.</w:t>
                  </w:r>
                </w:p>
              </w:tc>
              <w:tc>
                <w:tcPr>
                  <w:tcW w:w="633" w:type="pct"/>
                  <w:tcBorders>
                    <w:top w:val="nil"/>
                    <w:left w:val="nil"/>
                    <w:bottom w:val="nil"/>
                    <w:right w:val="nil"/>
                  </w:tcBorders>
                  <w:hideMark/>
                </w:tcPr>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Not reducible</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Quantifiable</w:t>
                  </w:r>
                </w:p>
              </w:tc>
              <w:tc>
                <w:tcPr>
                  <w:tcW w:w="1611" w:type="pct"/>
                  <w:tcBorders>
                    <w:top w:val="nil"/>
                    <w:left w:val="nil"/>
                    <w:bottom w:val="nil"/>
                    <w:right w:val="single" w:sz="4" w:space="0" w:color="4472C4"/>
                  </w:tcBorders>
                  <w:hideMark/>
                </w:tcPr>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Clear communication.</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Using probabilistic approaches.</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Support large scale, long term multi-site studies to quantify the variation over space and time to characterise the low confidence.</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Evidence synthesis.</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Capacity building for researchers and decision makers</w:t>
                  </w:r>
                </w:p>
              </w:tc>
            </w:tr>
            <w:tr w:rsidR="00574170" w:rsidRPr="00FA50AA" w:rsidTr="00480CD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58" w:type="pct"/>
                  <w:tcBorders>
                    <w:left w:val="single" w:sz="4" w:space="0" w:color="4472C4"/>
                  </w:tcBorders>
                  <w:hideMark/>
                </w:tcPr>
                <w:p w:rsidR="00574170" w:rsidRPr="00DD3F88" w:rsidRDefault="00574170" w:rsidP="00480CDD">
                  <w:pPr>
                    <w:pStyle w:val="CH4"/>
                    <w:tabs>
                      <w:tab w:val="left" w:pos="624"/>
                      <w:tab w:val="left" w:pos="1871"/>
                      <w:tab w:val="left" w:pos="2495"/>
                      <w:tab w:val="left" w:pos="3119"/>
                    </w:tabs>
                    <w:ind w:left="318" w:firstLine="0"/>
                    <w:rPr>
                      <w:bCs w:val="0"/>
                      <w:lang w:val="en-GB"/>
                    </w:rPr>
                  </w:pPr>
                  <w:r w:rsidRPr="00DD3F88">
                    <w:rPr>
                      <w:bCs w:val="0"/>
                      <w:lang w:val="en-GB"/>
                    </w:rPr>
                    <w:t xml:space="preserve">Limits of methods and data </w:t>
                  </w:r>
                </w:p>
                <w:p w:rsidR="00574170" w:rsidRPr="00DD3F88" w:rsidRDefault="00574170" w:rsidP="00480CDD">
                  <w:pPr>
                    <w:pStyle w:val="CH4"/>
                    <w:tabs>
                      <w:tab w:val="left" w:pos="624"/>
                      <w:tab w:val="left" w:pos="1871"/>
                      <w:tab w:val="left" w:pos="2495"/>
                      <w:tab w:val="left" w:pos="3119"/>
                    </w:tabs>
                    <w:ind w:left="318" w:firstLine="0"/>
                    <w:rPr>
                      <w:bCs w:val="0"/>
                      <w:lang w:val="en-GB"/>
                    </w:rPr>
                  </w:pPr>
                  <w:r w:rsidRPr="00DD3F88">
                    <w:rPr>
                      <w:bCs w:val="0"/>
                      <w:lang w:val="en-GB"/>
                    </w:rPr>
                    <w:t>(Scientific uncertainty)</w:t>
                  </w:r>
                </w:p>
              </w:tc>
              <w:tc>
                <w:tcPr>
                  <w:tcW w:w="1998" w:type="pct"/>
                  <w:tcBorders>
                    <w:left w:val="nil"/>
                    <w:right w:val="nil"/>
                  </w:tcBorders>
                  <w:hideMark/>
                </w:tcPr>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 xml:space="preserve">Where there is insufficient data to fully answer the question, due to unsatisfactory methods, statistical tools, experimental design or data quality (also referred to as epistemic uncertainty). </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EXAMPLE: Impacts of pesticides on pollinator populations in the field, trends in pollinator abundance, estimations of ecosystem service delivery.</w:t>
                  </w:r>
                </w:p>
              </w:tc>
              <w:tc>
                <w:tcPr>
                  <w:tcW w:w="633" w:type="pct"/>
                  <w:tcBorders>
                    <w:left w:val="nil"/>
                    <w:right w:val="nil"/>
                  </w:tcBorders>
                  <w:hideMark/>
                </w:tcPr>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Reducible</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Quantifiable</w:t>
                  </w:r>
                </w:p>
              </w:tc>
              <w:tc>
                <w:tcPr>
                  <w:tcW w:w="1611" w:type="pct"/>
                  <w:tcBorders>
                    <w:left w:val="nil"/>
                    <w:right w:val="single" w:sz="4" w:space="0" w:color="4472C4"/>
                  </w:tcBorders>
                  <w:hideMark/>
                </w:tcPr>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Acknowledge differences in conceptual frameworks (within and between knowledge systems).</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Improve experimental design</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Expand data collection.</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Support detailed, methodological research.</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lastRenderedPageBreak/>
                    <w:t>Knowledge quality assessment.</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Evidence synthesis.</w:t>
                  </w:r>
                </w:p>
                <w:p w:rsidR="00574170" w:rsidRPr="00DD3F88" w:rsidRDefault="00574170" w:rsidP="00480CDD">
                  <w:pPr>
                    <w:pStyle w:val="CH4"/>
                    <w:tabs>
                      <w:tab w:val="left" w:pos="624"/>
                      <w:tab w:val="left" w:pos="1871"/>
                      <w:tab w:val="left" w:pos="2495"/>
                      <w:tab w:val="left" w:pos="3119"/>
                    </w:tabs>
                    <w:ind w:left="318" w:firstLine="0"/>
                    <w:cnfStyle w:val="000000100000" w:firstRow="0" w:lastRow="0" w:firstColumn="0" w:lastColumn="0" w:oddVBand="0" w:evenVBand="0" w:oddHBand="1" w:evenHBand="0" w:firstRowFirstColumn="0" w:firstRowLastColumn="0" w:lastRowFirstColumn="0" w:lastRowLastColumn="0"/>
                    <w:rPr>
                      <w:b w:val="0"/>
                      <w:lang w:val="en-GB"/>
                    </w:rPr>
                  </w:pPr>
                  <w:r w:rsidRPr="00DD3F88">
                    <w:rPr>
                      <w:b w:val="0"/>
                      <w:lang w:val="en-GB"/>
                    </w:rPr>
                    <w:t>Capacity building for scientists.</w:t>
                  </w:r>
                </w:p>
              </w:tc>
            </w:tr>
            <w:tr w:rsidR="00574170" w:rsidRPr="00FA50AA" w:rsidTr="00480CDD">
              <w:trPr>
                <w:trHeight w:val="3961"/>
              </w:trPr>
              <w:tc>
                <w:tcPr>
                  <w:cnfStyle w:val="001000000000" w:firstRow="0" w:lastRow="0" w:firstColumn="1" w:lastColumn="0" w:oddVBand="0" w:evenVBand="0" w:oddHBand="0" w:evenHBand="0" w:firstRowFirstColumn="0" w:firstRowLastColumn="0" w:lastRowFirstColumn="0" w:lastRowLastColumn="0"/>
                  <w:tcW w:w="758" w:type="pct"/>
                  <w:tcBorders>
                    <w:top w:val="nil"/>
                    <w:left w:val="single" w:sz="4" w:space="0" w:color="4472C4"/>
                    <w:bottom w:val="single" w:sz="4" w:space="0" w:color="4472C4"/>
                  </w:tcBorders>
                  <w:hideMark/>
                </w:tcPr>
                <w:p w:rsidR="00574170" w:rsidRPr="00DD3F88" w:rsidRDefault="00574170" w:rsidP="00480CDD">
                  <w:pPr>
                    <w:pStyle w:val="CH4"/>
                    <w:tabs>
                      <w:tab w:val="left" w:pos="624"/>
                      <w:tab w:val="left" w:pos="1871"/>
                      <w:tab w:val="left" w:pos="2495"/>
                      <w:tab w:val="left" w:pos="3119"/>
                    </w:tabs>
                    <w:ind w:left="318" w:firstLine="0"/>
                    <w:rPr>
                      <w:bCs w:val="0"/>
                      <w:lang w:val="en-GB"/>
                    </w:rPr>
                  </w:pPr>
                  <w:r w:rsidRPr="00DD3F88">
                    <w:rPr>
                      <w:bCs w:val="0"/>
                      <w:lang w:val="en-GB"/>
                    </w:rPr>
                    <w:lastRenderedPageBreak/>
                    <w:t>Differences in understanding of the world</w:t>
                  </w:r>
                </w:p>
                <w:p w:rsidR="00574170" w:rsidRPr="00DD3F88" w:rsidRDefault="00574170" w:rsidP="00480CDD">
                  <w:pPr>
                    <w:pStyle w:val="CH4"/>
                    <w:tabs>
                      <w:tab w:val="left" w:pos="624"/>
                      <w:tab w:val="left" w:pos="1871"/>
                      <w:tab w:val="left" w:pos="2495"/>
                      <w:tab w:val="left" w:pos="3119"/>
                    </w:tabs>
                    <w:ind w:left="318" w:firstLine="0"/>
                    <w:rPr>
                      <w:bCs w:val="0"/>
                      <w:lang w:val="en-GB"/>
                    </w:rPr>
                  </w:pPr>
                  <w:r w:rsidRPr="00DD3F88">
                    <w:rPr>
                      <w:bCs w:val="0"/>
                      <w:lang w:val="en-GB"/>
                    </w:rPr>
                    <w:t>(Decision uncertainty)</w:t>
                  </w:r>
                </w:p>
              </w:tc>
              <w:tc>
                <w:tcPr>
                  <w:tcW w:w="1998" w:type="pct"/>
                  <w:tcBorders>
                    <w:top w:val="nil"/>
                    <w:left w:val="nil"/>
                    <w:bottom w:val="single" w:sz="4" w:space="0" w:color="4472C4"/>
                    <w:right w:val="nil"/>
                  </w:tcBorders>
                  <w:hideMark/>
                </w:tcPr>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Low confidence that is caused by variation in subjective human judgments, beliefs, world views and conceptual frameworks (sometimes called epistemic uncertainty). In terms of policy decisions, low confidence is due to preferences and attitudes that may vary with social and political contexts. This can mean a finding looks different in different knowledge systems that cannot easily be aligned.</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EXAMPLES:  Effects of organic farming look different if you take the view that wild nature beyond farmland has a higher value than farmland biodiversity, and overall food production at a large scale is more important than local impacts. There are divergent interpretations/perceptions of well-being.</w:t>
                  </w:r>
                </w:p>
              </w:tc>
              <w:tc>
                <w:tcPr>
                  <w:tcW w:w="633" w:type="pct"/>
                  <w:tcBorders>
                    <w:top w:val="nil"/>
                    <w:left w:val="nil"/>
                    <w:bottom w:val="single" w:sz="4" w:space="0" w:color="4472C4"/>
                    <w:right w:val="nil"/>
                  </w:tcBorders>
                  <w:hideMark/>
                </w:tcPr>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Sometimes reducible</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Not quantifiable</w:t>
                  </w:r>
                </w:p>
              </w:tc>
              <w:tc>
                <w:tcPr>
                  <w:tcW w:w="1611" w:type="pct"/>
                  <w:tcBorders>
                    <w:top w:val="nil"/>
                    <w:left w:val="nil"/>
                    <w:bottom w:val="single" w:sz="4" w:space="0" w:color="4472C4"/>
                    <w:right w:val="single" w:sz="4" w:space="0" w:color="4472C4"/>
                  </w:tcBorders>
                  <w:hideMark/>
                </w:tcPr>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Acknowledge differences in conceptual frameworks (within and between knowledge systems).</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Document, map and integrate where possible.</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Acknowledge existence of biases.</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Multi-criteria analysis, decision support tools.</w:t>
                  </w:r>
                </w:p>
                <w:p w:rsidR="00574170" w:rsidRPr="00DD3F88" w:rsidRDefault="00574170" w:rsidP="00480CDD">
                  <w:pPr>
                    <w:pStyle w:val="CH4"/>
                    <w:tabs>
                      <w:tab w:val="left" w:pos="624"/>
                      <w:tab w:val="left" w:pos="1871"/>
                      <w:tab w:val="left" w:pos="2495"/>
                      <w:tab w:val="left" w:pos="3119"/>
                    </w:tabs>
                    <w:ind w:left="318" w:firstLine="0"/>
                    <w:cnfStyle w:val="000000000000" w:firstRow="0" w:lastRow="0" w:firstColumn="0" w:lastColumn="0" w:oddVBand="0" w:evenVBand="0" w:oddHBand="0" w:evenHBand="0" w:firstRowFirstColumn="0" w:firstRowLastColumn="0" w:lastRowFirstColumn="0" w:lastRowLastColumn="0"/>
                    <w:rPr>
                      <w:b w:val="0"/>
                      <w:lang w:val="en-GB"/>
                    </w:rPr>
                  </w:pPr>
                  <w:r w:rsidRPr="00DD3F88">
                    <w:rPr>
                      <w:b w:val="0"/>
                      <w:lang w:val="en-GB"/>
                    </w:rPr>
                    <w:t>Capacity building for decision makers.</w:t>
                  </w:r>
                </w:p>
              </w:tc>
            </w:tr>
          </w:tbl>
          <w:p w:rsidR="00574170" w:rsidRDefault="00574170" w:rsidP="00480CDD">
            <w:pPr>
              <w:rPr>
                <w:lang w:val="en-GB"/>
              </w:rPr>
            </w:pPr>
          </w:p>
          <w:p w:rsidR="00574170" w:rsidRPr="00DD3F88" w:rsidRDefault="00574170" w:rsidP="00280AD4">
            <w:pPr>
              <w:pStyle w:val="CH4"/>
              <w:tabs>
                <w:tab w:val="left" w:pos="624"/>
                <w:tab w:val="left" w:pos="1871"/>
                <w:tab w:val="left" w:pos="2495"/>
                <w:tab w:val="left" w:pos="3119"/>
              </w:tabs>
              <w:ind w:left="624" w:firstLine="0"/>
              <w:rPr>
                <w:lang w:val="en-GB"/>
              </w:rPr>
            </w:pPr>
            <w:proofErr w:type="gramStart"/>
            <w:r w:rsidRPr="00DD3F88">
              <w:rPr>
                <w:lang w:val="en-GB"/>
              </w:rPr>
              <w:t xml:space="preserve">2.2.7  </w:t>
            </w:r>
            <w:r w:rsidRPr="00DD3F88">
              <w:rPr>
                <w:lang w:val="en-GB"/>
              </w:rPr>
              <w:tab/>
            </w:r>
            <w:proofErr w:type="gramEnd"/>
            <w:r w:rsidRPr="00DD3F88">
              <w:rPr>
                <w:lang w:val="en-GB"/>
              </w:rPr>
              <w:t>Developing a Summary for Policy Makers</w:t>
            </w:r>
          </w:p>
          <w:p w:rsidR="00574170" w:rsidRPr="00DD3F88" w:rsidRDefault="00574170" w:rsidP="00280AD4">
            <w:pPr>
              <w:pStyle w:val="CH4"/>
              <w:tabs>
                <w:tab w:val="clear" w:pos="4082"/>
              </w:tabs>
              <w:ind w:left="1871"/>
              <w:rPr>
                <w:rFonts w:eastAsia="Calibri"/>
                <w:lang w:val="en-GB"/>
              </w:rPr>
            </w:pPr>
            <w:r w:rsidRPr="00DD3F88">
              <w:rPr>
                <w:lang w:val="en-GB"/>
              </w:rPr>
              <w:tab/>
            </w:r>
            <w:r w:rsidRPr="00DD3F88">
              <w:rPr>
                <w:rFonts w:eastAsia="Calibri"/>
                <w:lang w:val="en-GB"/>
              </w:rPr>
              <w:t>2.2.7.1</w:t>
            </w:r>
            <w:r w:rsidRPr="00DD3F88">
              <w:rPr>
                <w:rFonts w:eastAsia="Calibri"/>
                <w:lang w:val="en-GB"/>
              </w:rPr>
              <w:tab/>
              <w:t>What is a Summary for Policy Makers?</w:t>
            </w:r>
          </w:p>
          <w:p w:rsidR="00574170" w:rsidRPr="00DD3F88" w:rsidRDefault="00574170" w:rsidP="00280AD4">
            <w:pPr>
              <w:tabs>
                <w:tab w:val="left" w:pos="624"/>
                <w:tab w:val="left" w:pos="1871"/>
                <w:tab w:val="left" w:pos="2495"/>
                <w:tab w:val="left" w:pos="3119"/>
              </w:tabs>
              <w:spacing w:after="120"/>
              <w:ind w:left="1247"/>
              <w:rPr>
                <w:lang w:val="en-GB"/>
              </w:rPr>
            </w:pPr>
            <w:r w:rsidRPr="00DD3F88">
              <w:rPr>
                <w:rFonts w:cs="Times New Roman"/>
                <w:lang w:val="en-GB"/>
              </w:rPr>
              <w:t xml:space="preserve">A Summary for Policy Makers (SPM) is a short document that highlights the main messages of an assessment responding to its scoping report in a synthesized and less technical language and tailored to the needs of policy makers. It consists of preferably fifteen-twenty top key messages (2000 words max) categorized under a few headings and </w:t>
            </w:r>
            <w:r w:rsidRPr="000E03F9">
              <w:rPr>
                <w:lang w:val="en-GB"/>
              </w:rPr>
              <w:t>presented</w:t>
            </w:r>
            <w:r w:rsidRPr="00DD3F88">
              <w:rPr>
                <w:rFonts w:cs="Times New Roman"/>
                <w:lang w:val="en-GB"/>
              </w:rPr>
              <w:t xml:space="preserve"> without reference to the main chapters. They represent the highest level of synthesis of the assessment, and may be structured differently from the set of main findings in the SPM. Each message is carefully formulated in a bolded sentence with assigned confidence levels, and supported by a paragraph of non-bolded text, which substantiates the message (See Box 2.4).</w:t>
            </w:r>
          </w:p>
          <w:p w:rsidR="00574170" w:rsidRPr="00DD3F88" w:rsidRDefault="00574170" w:rsidP="00480CDD">
            <w:pPr>
              <w:pStyle w:val="CH4"/>
              <w:tabs>
                <w:tab w:val="left" w:pos="624"/>
                <w:tab w:val="left" w:pos="1871"/>
                <w:tab w:val="left" w:pos="2495"/>
                <w:tab w:val="left" w:pos="3119"/>
              </w:tabs>
              <w:ind w:left="318" w:firstLine="0"/>
              <w:rPr>
                <w:lang w:val="en-GB"/>
              </w:rPr>
            </w:pPr>
          </w:p>
        </w:tc>
      </w:tr>
      <w:tr w:rsidR="00574170" w:rsidRPr="00FA50AA" w:rsidTr="00574170">
        <w:trPr>
          <w:trHeight w:val="5542"/>
        </w:trPr>
        <w:tc>
          <w:tcPr>
            <w:tcW w:w="9060" w:type="dxa"/>
            <w:tcBorders>
              <w:top w:val="nil"/>
              <w:left w:val="nil"/>
              <w:bottom w:val="nil"/>
              <w:right w:val="nil"/>
            </w:tcBorders>
          </w:tcPr>
          <w:p w:rsidR="00574170" w:rsidRDefault="00574170" w:rsidP="00480CDD">
            <w:pPr>
              <w:pStyle w:val="ListParagraph"/>
              <w:tabs>
                <w:tab w:val="left" w:pos="624"/>
                <w:tab w:val="left" w:pos="1247"/>
                <w:tab w:val="left" w:pos="1871"/>
                <w:tab w:val="left" w:pos="2495"/>
                <w:tab w:val="left" w:pos="3119"/>
              </w:tabs>
              <w:spacing w:after="120" w:line="240" w:lineRule="auto"/>
              <w:ind w:left="1247"/>
              <w:rPr>
                <w:lang w:val="en-GB"/>
              </w:rPr>
            </w:pPr>
          </w:p>
          <w:tbl>
            <w:tblPr>
              <w:tblStyle w:val="TableGrid"/>
              <w:tblpPr w:leftFromText="180" w:rightFromText="180" w:vertAnchor="text" w:horzAnchor="margin" w:tblpY="97"/>
              <w:tblW w:w="0" w:type="auto"/>
              <w:tblLook w:val="04A0" w:firstRow="1" w:lastRow="0" w:firstColumn="1" w:lastColumn="0" w:noHBand="0" w:noVBand="1"/>
            </w:tblPr>
            <w:tblGrid>
              <w:gridCol w:w="8646"/>
            </w:tblGrid>
            <w:tr w:rsidR="00574170" w:rsidRPr="00FA50AA" w:rsidTr="00480CDD">
              <w:tc>
                <w:tcPr>
                  <w:tcW w:w="864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574170" w:rsidRPr="00DD3F88" w:rsidRDefault="00574170" w:rsidP="00480CDD">
                  <w:pPr>
                    <w:pStyle w:val="ListParagraph"/>
                    <w:tabs>
                      <w:tab w:val="left" w:pos="624"/>
                      <w:tab w:val="left" w:pos="1073"/>
                      <w:tab w:val="left" w:pos="1247"/>
                      <w:tab w:val="left" w:pos="1871"/>
                      <w:tab w:val="left" w:pos="2495"/>
                      <w:tab w:val="left" w:pos="3119"/>
                    </w:tabs>
                    <w:spacing w:after="240"/>
                    <w:ind w:left="0"/>
                    <w:jc w:val="both"/>
                    <w:rPr>
                      <w:rFonts w:ascii="Times New Roman" w:hAnsi="Times New Roman" w:cs="Times New Roman"/>
                      <w:bCs/>
                      <w:sz w:val="20"/>
                      <w:szCs w:val="20"/>
                      <w:lang w:val="en-GB"/>
                    </w:rPr>
                  </w:pPr>
                  <w:r w:rsidRPr="00DD3F88">
                    <w:rPr>
                      <w:rFonts w:ascii="Times New Roman" w:hAnsi="Times New Roman" w:cs="Times New Roman"/>
                      <w:b/>
                      <w:sz w:val="20"/>
                      <w:szCs w:val="20"/>
                      <w:lang w:val="en-GB"/>
                    </w:rPr>
                    <w:t xml:space="preserve">Box 2.4. </w:t>
                  </w:r>
                  <w:r w:rsidRPr="00DD3F88">
                    <w:rPr>
                      <w:rFonts w:ascii="Times New Roman" w:hAnsi="Times New Roman" w:cs="Times New Roman"/>
                      <w:bCs/>
                      <w:sz w:val="20"/>
                      <w:szCs w:val="20"/>
                      <w:lang w:val="en-GB"/>
                    </w:rPr>
                    <w:t>Examples (extract of) key messages of the IPBES Pollinators, Pollination</w:t>
                  </w:r>
                  <w:r w:rsidRPr="00DD3F88">
                    <w:rPr>
                      <w:rFonts w:ascii="Times New Roman" w:eastAsia="Times New Roman" w:hAnsi="Times New Roman" w:cs="Times New Roman"/>
                      <w:sz w:val="20"/>
                      <w:szCs w:val="20"/>
                      <w:lang w:val="en-GB"/>
                    </w:rPr>
                    <w:t xml:space="preserve"> and food production assessment SPM.</w:t>
                  </w:r>
                </w:p>
              </w:tc>
            </w:tr>
            <w:tr w:rsidR="00574170" w:rsidRPr="00FA50AA" w:rsidTr="00480CDD">
              <w:tc>
                <w:tcPr>
                  <w:tcW w:w="8646" w:type="dxa"/>
                  <w:tcBorders>
                    <w:top w:val="single" w:sz="4" w:space="0" w:color="auto"/>
                    <w:left w:val="single" w:sz="4" w:space="0" w:color="auto"/>
                    <w:bottom w:val="single" w:sz="4" w:space="0" w:color="auto"/>
                    <w:right w:val="single" w:sz="4" w:space="0" w:color="auto"/>
                  </w:tcBorders>
                  <w:hideMark/>
                </w:tcPr>
                <w:p w:rsidR="00574170" w:rsidRPr="00DD3F88" w:rsidRDefault="00574170" w:rsidP="00480CDD">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sz w:val="20"/>
                      <w:szCs w:val="20"/>
                      <w:lang w:val="en-GB"/>
                    </w:rPr>
                    <w:t xml:space="preserve">6. </w:t>
                  </w:r>
                  <w:r w:rsidRPr="00DD3F88">
                    <w:rPr>
                      <w:rFonts w:ascii="Times New Roman" w:eastAsia="Times New Roman" w:hAnsi="Times New Roman" w:cs="Times New Roman"/>
                      <w:b/>
                      <w:bCs/>
                      <w:sz w:val="20"/>
                      <w:szCs w:val="20"/>
                      <w:lang w:val="en-GB"/>
                    </w:rPr>
                    <w:t xml:space="preserve">The vast majority of pollinator species are wild, including more than 20,000 species of bees, some species of flies, butterflies, moths, wasps, beetles, </w:t>
                  </w:r>
                  <w:proofErr w:type="spellStart"/>
                  <w:r w:rsidRPr="00DD3F88">
                    <w:rPr>
                      <w:rFonts w:ascii="Times New Roman" w:eastAsia="Times New Roman" w:hAnsi="Times New Roman" w:cs="Times New Roman"/>
                      <w:b/>
                      <w:bCs/>
                      <w:sz w:val="20"/>
                      <w:szCs w:val="20"/>
                      <w:lang w:val="en-GB"/>
                    </w:rPr>
                    <w:t>thrips</w:t>
                  </w:r>
                  <w:proofErr w:type="spellEnd"/>
                  <w:r w:rsidRPr="00DD3F88">
                    <w:rPr>
                      <w:rFonts w:ascii="Times New Roman" w:eastAsia="Times New Roman" w:hAnsi="Times New Roman" w:cs="Times New Roman"/>
                      <w:b/>
                      <w:bCs/>
                      <w:sz w:val="20"/>
                      <w:szCs w:val="20"/>
                      <w:lang w:val="en-GB"/>
                    </w:rPr>
                    <w:t>, birds, bats and other vertebrates. A few species of bees are widely managed, including the western honey bee (</w:t>
                  </w:r>
                  <w:proofErr w:type="spellStart"/>
                  <w:r w:rsidRPr="00DD3F88">
                    <w:rPr>
                      <w:rFonts w:ascii="Times New Roman" w:eastAsia="Times New Roman" w:hAnsi="Times New Roman" w:cs="Times New Roman"/>
                      <w:b/>
                      <w:bCs/>
                      <w:sz w:val="20"/>
                      <w:szCs w:val="20"/>
                      <w:lang w:val="en-GB"/>
                    </w:rPr>
                    <w:t>Apis</w:t>
                  </w:r>
                  <w:proofErr w:type="spellEnd"/>
                  <w:r w:rsidRPr="00DD3F88">
                    <w:rPr>
                      <w:rFonts w:ascii="Times New Roman" w:eastAsia="Times New Roman" w:hAnsi="Times New Roman" w:cs="Times New Roman"/>
                      <w:b/>
                      <w:bCs/>
                      <w:sz w:val="20"/>
                      <w:szCs w:val="20"/>
                      <w:lang w:val="en-GB"/>
                    </w:rPr>
                    <w:t xml:space="preserve"> </w:t>
                  </w:r>
                  <w:proofErr w:type="spellStart"/>
                  <w:r w:rsidRPr="00DD3F88">
                    <w:rPr>
                      <w:rFonts w:ascii="Times New Roman" w:eastAsia="Times New Roman" w:hAnsi="Times New Roman" w:cs="Times New Roman"/>
                      <w:b/>
                      <w:bCs/>
                      <w:sz w:val="20"/>
                      <w:szCs w:val="20"/>
                      <w:lang w:val="en-GB"/>
                    </w:rPr>
                    <w:t>mellifera</w:t>
                  </w:r>
                  <w:proofErr w:type="spellEnd"/>
                  <w:r w:rsidRPr="00DD3F88">
                    <w:rPr>
                      <w:rFonts w:ascii="Times New Roman" w:eastAsia="Times New Roman" w:hAnsi="Times New Roman" w:cs="Times New Roman"/>
                      <w:b/>
                      <w:bCs/>
                      <w:sz w:val="20"/>
                      <w:szCs w:val="20"/>
                      <w:lang w:val="en-GB"/>
                    </w:rPr>
                    <w:t>), the eastern honey bee (</w:t>
                  </w:r>
                  <w:proofErr w:type="spellStart"/>
                  <w:r w:rsidRPr="00DD3F88">
                    <w:rPr>
                      <w:rFonts w:ascii="Times New Roman" w:eastAsia="Times New Roman" w:hAnsi="Times New Roman" w:cs="Times New Roman"/>
                      <w:b/>
                      <w:bCs/>
                      <w:sz w:val="20"/>
                      <w:szCs w:val="20"/>
                      <w:lang w:val="en-GB"/>
                    </w:rPr>
                    <w:t>Apis</w:t>
                  </w:r>
                  <w:proofErr w:type="spellEnd"/>
                  <w:r w:rsidRPr="00DD3F88">
                    <w:rPr>
                      <w:rFonts w:ascii="Times New Roman" w:eastAsia="Times New Roman" w:hAnsi="Times New Roman" w:cs="Times New Roman"/>
                      <w:b/>
                      <w:bCs/>
                      <w:sz w:val="20"/>
                      <w:szCs w:val="20"/>
                      <w:lang w:val="en-GB"/>
                    </w:rPr>
                    <w:t xml:space="preserve"> </w:t>
                  </w:r>
                  <w:proofErr w:type="spellStart"/>
                  <w:r w:rsidRPr="00DD3F88">
                    <w:rPr>
                      <w:rFonts w:ascii="Times New Roman" w:eastAsia="Times New Roman" w:hAnsi="Times New Roman" w:cs="Times New Roman"/>
                      <w:b/>
                      <w:bCs/>
                      <w:sz w:val="20"/>
                      <w:szCs w:val="20"/>
                      <w:lang w:val="en-GB"/>
                    </w:rPr>
                    <w:t>cerana</w:t>
                  </w:r>
                  <w:proofErr w:type="spellEnd"/>
                  <w:r w:rsidRPr="00DD3F88">
                    <w:rPr>
                      <w:rFonts w:ascii="Times New Roman" w:eastAsia="Times New Roman" w:hAnsi="Times New Roman" w:cs="Times New Roman"/>
                      <w:b/>
                      <w:bCs/>
                      <w:sz w:val="20"/>
                      <w:szCs w:val="20"/>
                      <w:lang w:val="en-GB"/>
                    </w:rPr>
                    <w:t>), some bumble bees, some stingless bees and a few solitary bees</w:t>
                  </w:r>
                  <w:r w:rsidRPr="00DD3F88">
                    <w:rPr>
                      <w:rFonts w:ascii="Times New Roman" w:eastAsia="Times New Roman" w:hAnsi="Times New Roman" w:cs="Times New Roman"/>
                      <w:sz w:val="20"/>
                      <w:szCs w:val="20"/>
                      <w:lang w:val="en-GB"/>
                    </w:rPr>
                    <w:t xml:space="preserve">. Beekeeping provides an important source of income for many rural livelihoods. The western honey bee is the most widespread managed pollinator in the world, and globally there are about 81 million hives producing an estimated 1.6 million tonnes of honey </w:t>
                  </w:r>
                </w:p>
              </w:tc>
            </w:tr>
            <w:tr w:rsidR="00574170" w:rsidRPr="00FA50AA" w:rsidTr="00480CDD">
              <w:tc>
                <w:tcPr>
                  <w:tcW w:w="8646" w:type="dxa"/>
                  <w:tcBorders>
                    <w:top w:val="single" w:sz="4" w:space="0" w:color="auto"/>
                    <w:left w:val="single" w:sz="4" w:space="0" w:color="auto"/>
                    <w:bottom w:val="single" w:sz="4" w:space="0" w:color="auto"/>
                    <w:right w:val="single" w:sz="4" w:space="0" w:color="auto"/>
                  </w:tcBorders>
                  <w:hideMark/>
                </w:tcPr>
                <w:p w:rsidR="00574170" w:rsidRPr="00DD3F88" w:rsidRDefault="00574170" w:rsidP="00480CDD">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sz w:val="20"/>
                      <w:szCs w:val="20"/>
                      <w:lang w:val="en-GB"/>
                    </w:rPr>
                    <w:t xml:space="preserve">11. </w:t>
                  </w:r>
                  <w:r w:rsidRPr="00DD3F88">
                    <w:rPr>
                      <w:rFonts w:ascii="Times New Roman" w:eastAsia="Times New Roman" w:hAnsi="Times New Roman" w:cs="Times New Roman"/>
                      <w:b/>
                      <w:bCs/>
                      <w:sz w:val="20"/>
                      <w:szCs w:val="20"/>
                      <w:lang w:val="en-GB"/>
                    </w:rPr>
                    <w:t>The number of managed western honey bee hives has increased globally over the last five decades, even though declines have been recorded in some European countries and North America over the same period</w:t>
                  </w:r>
                  <w:r w:rsidRPr="00DD3F88">
                    <w:rPr>
                      <w:rFonts w:ascii="Times New Roman" w:eastAsia="Times New Roman" w:hAnsi="Times New Roman" w:cs="Times New Roman"/>
                      <w:sz w:val="20"/>
                      <w:szCs w:val="20"/>
                      <w:lang w:val="en-GB"/>
                    </w:rPr>
                    <w:t>. Seasonal colony loss of western honey bees has in recent years been high at least in some parts of the temperate Northern Hemisphere and in South Africa. Beekeepers can under some conditions, with associated economic costs, make up such losses through the splitting of managed colonies</w:t>
                  </w:r>
                </w:p>
              </w:tc>
            </w:tr>
            <w:tr w:rsidR="00574170" w:rsidRPr="00FA50AA" w:rsidTr="00480CDD">
              <w:tc>
                <w:tcPr>
                  <w:tcW w:w="8646" w:type="dxa"/>
                  <w:tcBorders>
                    <w:top w:val="single" w:sz="4" w:space="0" w:color="auto"/>
                    <w:left w:val="single" w:sz="4" w:space="0" w:color="auto"/>
                    <w:bottom w:val="single" w:sz="4" w:space="0" w:color="auto"/>
                    <w:right w:val="single" w:sz="4" w:space="0" w:color="auto"/>
                  </w:tcBorders>
                </w:tcPr>
                <w:p w:rsidR="00574170" w:rsidRPr="00DD3F88" w:rsidRDefault="00574170" w:rsidP="00574170">
                  <w:pPr>
                    <w:pStyle w:val="ListParagraph"/>
                    <w:numPr>
                      <w:ilvl w:val="0"/>
                      <w:numId w:val="54"/>
                    </w:numPr>
                    <w:tabs>
                      <w:tab w:val="left" w:pos="459"/>
                      <w:tab w:val="left" w:pos="624"/>
                      <w:tab w:val="left" w:pos="1247"/>
                      <w:tab w:val="left" w:pos="1871"/>
                      <w:tab w:val="left" w:pos="2495"/>
                      <w:tab w:val="left" w:pos="3119"/>
                    </w:tabs>
                    <w:spacing w:after="240"/>
                    <w:rPr>
                      <w:rFonts w:ascii="Times New Roman" w:eastAsia="Times New Roman" w:hAnsi="Times New Roman" w:cs="Times New Roman"/>
                      <w:sz w:val="20"/>
                      <w:szCs w:val="20"/>
                      <w:lang w:val="en-GB"/>
                    </w:rPr>
                  </w:pPr>
                  <w:r w:rsidRPr="00DD3F88">
                    <w:rPr>
                      <w:rFonts w:ascii="Times New Roman" w:eastAsia="Times New Roman" w:hAnsi="Times New Roman" w:cs="Times New Roman"/>
                      <w:b/>
                      <w:bCs/>
                      <w:sz w:val="20"/>
                      <w:szCs w:val="20"/>
                      <w:lang w:val="en-GB"/>
                    </w:rPr>
                    <w:t>The abundance, diversity and health of pollinators and the provision of pollination are threatened by direct drivers that generate risks to societies and ecosystems</w:t>
                  </w:r>
                  <w:r w:rsidRPr="00DD3F88">
                    <w:rPr>
                      <w:rFonts w:ascii="Times New Roman" w:eastAsia="Times New Roman" w:hAnsi="Times New Roman" w:cs="Times New Roman"/>
                      <w:sz w:val="20"/>
                      <w:szCs w:val="20"/>
                      <w:lang w:val="en-GB"/>
                    </w:rPr>
                    <w:t>. Threats include land</w:t>
                  </w:r>
                  <w:r w:rsidRPr="00DD3F88">
                    <w:rPr>
                      <w:rFonts w:ascii="Times New Roman" w:eastAsia="Times New Roman" w:hAnsi="Times New Roman" w:cs="Times New Roman"/>
                      <w:sz w:val="20"/>
                      <w:szCs w:val="20"/>
                      <w:lang w:val="en-GB"/>
                    </w:rPr>
                    <w:noBreakHyphen/>
                    <w:t>use change, intensive agricultural management and pesticide use, environmental pollution, invasive alien species, pathogens and climate change. Explicitly linking pollinator declines to individual or combinations of direct drivers is limited by data availability or complexity, yet a wealth of individual case studies worldwide suggests that these direct drivers often affect pollinators negatively.</w:t>
                  </w:r>
                </w:p>
              </w:tc>
            </w:tr>
            <w:tr w:rsidR="00574170" w:rsidRPr="00FA50AA" w:rsidTr="00480CDD">
              <w:tc>
                <w:tcPr>
                  <w:tcW w:w="8646" w:type="dxa"/>
                  <w:tcBorders>
                    <w:top w:val="single" w:sz="4" w:space="0" w:color="auto"/>
                    <w:left w:val="single" w:sz="4" w:space="0" w:color="auto"/>
                    <w:bottom w:val="single" w:sz="4" w:space="0" w:color="auto"/>
                    <w:right w:val="single" w:sz="4" w:space="0" w:color="auto"/>
                  </w:tcBorders>
                  <w:hideMark/>
                </w:tcPr>
                <w:p w:rsidR="00574170" w:rsidRPr="00DD3F88" w:rsidRDefault="00574170" w:rsidP="00480CDD">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i/>
                      <w:iCs/>
                      <w:sz w:val="20"/>
                      <w:szCs w:val="20"/>
                      <w:lang w:val="en-GB"/>
                    </w:rPr>
                  </w:pPr>
                  <w:r w:rsidRPr="00DD3F88">
                    <w:rPr>
                      <w:rFonts w:ascii="Times New Roman" w:eastAsia="Times New Roman" w:hAnsi="Times New Roman" w:cs="Times New Roman"/>
                      <w:sz w:val="20"/>
                      <w:szCs w:val="20"/>
                      <w:lang w:val="en-GB"/>
                    </w:rPr>
                    <w:t xml:space="preserve">20. </w:t>
                  </w:r>
                  <w:r w:rsidRPr="00DD3F88">
                    <w:rPr>
                      <w:rFonts w:ascii="Times New Roman" w:eastAsia="Times New Roman" w:hAnsi="Times New Roman" w:cs="Times New Roman"/>
                      <w:b/>
                      <w:bCs/>
                      <w:sz w:val="20"/>
                      <w:szCs w:val="20"/>
                      <w:lang w:val="en-GB"/>
                    </w:rPr>
                    <w:t>Most agricultural genetically modified organisms (GMOs) carry traits for herbicide tolerance (HT) or insect resistance (IR).</w:t>
                  </w:r>
                  <w:r w:rsidRPr="00DD3F88">
                    <w:rPr>
                      <w:rFonts w:ascii="Times New Roman" w:eastAsia="Times New Roman" w:hAnsi="Times New Roman" w:cs="Times New Roman"/>
                      <w:sz w:val="20"/>
                      <w:szCs w:val="20"/>
                      <w:lang w:val="en-GB"/>
                    </w:rPr>
                    <w:t xml:space="preserve"> Reduced weed populations are likely to accompany most herbicide-tolerant (HT) crops, diminishing food resources for pollinators. The actual consequences for the abundance and diversity of pollinators foraging in herbicide-tolerant (HT)-crop fields is unknown. Insect-resistant (IR) crops can result in the reduction of insecticide use, which varies regionally according to the prevalence of pests, the emergence of secondary outbreaks of non-target pests or primary pest resistance. If sustained, the reduction in insecticide use could reduce pressure on nontarget insects. How insect-resistant (IR) crop use and reduced pesticide use affect pollinator abundance and diversity is unknown. Risk assessments required for the approval of genetically</w:t>
                  </w:r>
                  <w:r w:rsidRPr="00DD3F88">
                    <w:rPr>
                      <w:rFonts w:ascii="Times New Roman" w:eastAsia="Times New Roman" w:hAnsi="Times New Roman" w:cs="Times New Roman"/>
                      <w:sz w:val="20"/>
                      <w:szCs w:val="20"/>
                      <w:lang w:val="en-GB"/>
                    </w:rPr>
                    <w:noBreakHyphen/>
                    <w:t xml:space="preserve">modified organism (GMO) crops in most countries do not adequately address the direct </w:t>
                  </w:r>
                  <w:proofErr w:type="spellStart"/>
                  <w:r w:rsidRPr="00DD3F88">
                    <w:rPr>
                      <w:rFonts w:ascii="Times New Roman" w:eastAsia="Times New Roman" w:hAnsi="Times New Roman" w:cs="Times New Roman"/>
                      <w:sz w:val="20"/>
                      <w:szCs w:val="20"/>
                      <w:lang w:val="en-GB"/>
                    </w:rPr>
                    <w:t>sublethal</w:t>
                  </w:r>
                  <w:proofErr w:type="spellEnd"/>
                  <w:r w:rsidRPr="00DD3F88">
                    <w:rPr>
                      <w:rFonts w:ascii="Times New Roman" w:eastAsia="Times New Roman" w:hAnsi="Times New Roman" w:cs="Times New Roman"/>
                      <w:sz w:val="20"/>
                      <w:szCs w:val="20"/>
                      <w:lang w:val="en-GB"/>
                    </w:rPr>
                    <w:t xml:space="preserve"> effects of insect-resistant (IR) crops or the indirect effects of herbicide-tolerant (HT) and insect-resistant (IR) crops, partly because of a lack of data</w:t>
                  </w:r>
                  <w:r w:rsidRPr="00DD3F88">
                    <w:rPr>
                      <w:rFonts w:ascii="Times New Roman" w:eastAsia="Times New Roman" w:hAnsi="Times New Roman" w:cs="Times New Roman"/>
                      <w:i/>
                      <w:iCs/>
                      <w:sz w:val="20"/>
                      <w:szCs w:val="20"/>
                      <w:lang w:val="en-GB"/>
                    </w:rPr>
                    <w:t>.</w:t>
                  </w:r>
                </w:p>
              </w:tc>
            </w:tr>
          </w:tbl>
          <w:p w:rsidR="00574170" w:rsidRPr="00DD3F88" w:rsidDel="000143C6" w:rsidRDefault="00574170" w:rsidP="00480CDD">
            <w:pPr>
              <w:tabs>
                <w:tab w:val="clear" w:pos="1247"/>
                <w:tab w:val="clear" w:pos="2381"/>
                <w:tab w:val="clear" w:pos="2948"/>
                <w:tab w:val="clear" w:pos="3515"/>
              </w:tabs>
              <w:rPr>
                <w:lang w:val="en-GB"/>
              </w:rPr>
            </w:pPr>
          </w:p>
        </w:tc>
      </w:tr>
    </w:tbl>
    <w:p w:rsidR="00574170" w:rsidRPr="00DD3F88" w:rsidRDefault="00574170" w:rsidP="00280AD4">
      <w:pPr>
        <w:spacing w:before="120" w:after="120"/>
        <w:ind w:left="1247"/>
        <w:rPr>
          <w:rFonts w:eastAsia="Calibri"/>
          <w:lang w:val="en-GB"/>
        </w:rPr>
      </w:pPr>
      <w:r w:rsidRPr="00DD3F88">
        <w:rPr>
          <w:rFonts w:eastAsia="Calibri"/>
          <w:lang w:val="en-GB"/>
        </w:rPr>
        <w:t>The key messages of the SPM aim at:</w:t>
      </w:r>
    </w:p>
    <w:p w:rsidR="00574170" w:rsidRPr="00DD3F88" w:rsidRDefault="00574170" w:rsidP="00574170">
      <w:pPr>
        <w:pStyle w:val="ListParagraph"/>
        <w:numPr>
          <w:ilvl w:val="0"/>
          <w:numId w:val="34"/>
        </w:numPr>
        <w:tabs>
          <w:tab w:val="left" w:pos="624"/>
        </w:tabs>
        <w:spacing w:after="120"/>
        <w:rPr>
          <w:rFonts w:asciiTheme="majorBidi" w:eastAsia="Calibri" w:hAnsiTheme="majorBidi" w:cstheme="majorBidi"/>
          <w:sz w:val="20"/>
          <w:szCs w:val="20"/>
          <w:lang w:val="en-GB"/>
        </w:rPr>
      </w:pPr>
      <w:r w:rsidRPr="00DD3F88">
        <w:rPr>
          <w:rFonts w:asciiTheme="majorBidi" w:eastAsia="Calibri" w:hAnsiTheme="majorBidi" w:cstheme="majorBidi"/>
          <w:sz w:val="20"/>
          <w:szCs w:val="20"/>
          <w:lang w:val="en-GB"/>
        </w:rPr>
        <w:t>telling a short, coherent and compelling story on the state of knowledge aimed at non</w:t>
      </w:r>
      <w:r w:rsidR="00635BCB">
        <w:rPr>
          <w:rFonts w:asciiTheme="majorBidi" w:eastAsia="Calibri" w:hAnsiTheme="majorBidi" w:cstheme="majorBidi"/>
          <w:sz w:val="20"/>
          <w:szCs w:val="20"/>
          <w:lang w:val="en-GB"/>
        </w:rPr>
        <w:noBreakHyphen/>
      </w:r>
      <w:r w:rsidRPr="00DD3F88">
        <w:rPr>
          <w:rFonts w:asciiTheme="majorBidi" w:eastAsia="Calibri" w:hAnsiTheme="majorBidi" w:cstheme="majorBidi"/>
          <w:sz w:val="20"/>
          <w:szCs w:val="20"/>
          <w:lang w:val="en-GB"/>
        </w:rPr>
        <w:t>technical decision makers and the public;</w:t>
      </w:r>
    </w:p>
    <w:p w:rsidR="00574170" w:rsidRPr="00DD3F88" w:rsidRDefault="00574170" w:rsidP="00574170">
      <w:pPr>
        <w:pStyle w:val="ListParagraph"/>
        <w:numPr>
          <w:ilvl w:val="0"/>
          <w:numId w:val="34"/>
        </w:numPr>
        <w:tabs>
          <w:tab w:val="left" w:pos="624"/>
        </w:tabs>
        <w:spacing w:after="120"/>
        <w:rPr>
          <w:rFonts w:asciiTheme="majorBidi" w:eastAsia="Calibri" w:hAnsiTheme="majorBidi" w:cstheme="majorBidi"/>
          <w:sz w:val="20"/>
          <w:szCs w:val="20"/>
          <w:lang w:val="en-GB"/>
        </w:rPr>
      </w:pPr>
      <w:r w:rsidRPr="00DD3F88">
        <w:rPr>
          <w:rFonts w:asciiTheme="majorBidi" w:eastAsia="Calibri" w:hAnsiTheme="majorBidi" w:cstheme="majorBidi"/>
          <w:sz w:val="20"/>
          <w:szCs w:val="20"/>
          <w:lang w:val="en-GB"/>
        </w:rPr>
        <w:t>conveying illustrative and striking perspectives, facts and numbers from the assessment; and</w:t>
      </w:r>
    </w:p>
    <w:p w:rsidR="00574170" w:rsidRPr="00DD3F88" w:rsidRDefault="00574170" w:rsidP="00574170">
      <w:pPr>
        <w:pStyle w:val="ListParagraph"/>
        <w:numPr>
          <w:ilvl w:val="0"/>
          <w:numId w:val="34"/>
        </w:numPr>
        <w:tabs>
          <w:tab w:val="left" w:pos="624"/>
        </w:tabs>
        <w:spacing w:after="120"/>
        <w:rPr>
          <w:rFonts w:asciiTheme="majorBidi" w:eastAsia="Calibri" w:hAnsiTheme="majorBidi" w:cstheme="majorBidi"/>
          <w:sz w:val="20"/>
          <w:szCs w:val="20"/>
          <w:lang w:val="en-GB"/>
        </w:rPr>
      </w:pPr>
      <w:r w:rsidRPr="00DD3F88">
        <w:rPr>
          <w:rFonts w:asciiTheme="majorBidi" w:eastAsia="Calibri" w:hAnsiTheme="majorBidi" w:cstheme="majorBidi"/>
          <w:sz w:val="20"/>
          <w:szCs w:val="20"/>
          <w:lang w:val="en-GB"/>
        </w:rPr>
        <w:t>setting the stage for the negotiation of the SPM in IPBES Plenary, and once approved by the Plenary, serving as a key source for media and outreach material.</w:t>
      </w:r>
    </w:p>
    <w:p w:rsidR="00574170" w:rsidRPr="00DD3F88" w:rsidRDefault="00574170" w:rsidP="00574170">
      <w:pPr>
        <w:spacing w:after="120"/>
        <w:ind w:left="1247"/>
        <w:rPr>
          <w:rFonts w:asciiTheme="majorBidi" w:eastAsia="Times New Roman" w:hAnsiTheme="majorBidi" w:cstheme="majorBidi"/>
          <w:lang w:val="en-GB"/>
        </w:rPr>
      </w:pPr>
      <w:r w:rsidRPr="00DD3F88">
        <w:rPr>
          <w:rFonts w:eastAsia="Calibri"/>
          <w:iCs/>
          <w:lang w:val="en-GB"/>
        </w:rPr>
        <w:t xml:space="preserve">These messages </w:t>
      </w:r>
      <w:r w:rsidRPr="00DD3F88">
        <w:rPr>
          <w:rFonts w:asciiTheme="majorBidi" w:eastAsia="Calibri" w:hAnsiTheme="majorBidi" w:cstheme="majorBidi"/>
          <w:iCs/>
          <w:lang w:val="en-GB"/>
        </w:rPr>
        <w:t>are</w:t>
      </w:r>
      <w:r w:rsidRPr="00DD3F88">
        <w:rPr>
          <w:rFonts w:asciiTheme="majorBidi" w:eastAsia="Calibri" w:hAnsiTheme="majorBidi" w:cstheme="majorBidi"/>
          <w:lang w:val="en-GB"/>
        </w:rPr>
        <w:t xml:space="preserve"> followed by a </w:t>
      </w:r>
      <w:r w:rsidRPr="00DD3F88">
        <w:rPr>
          <w:rFonts w:asciiTheme="majorBidi" w:hAnsiTheme="majorBidi" w:cstheme="majorBidi"/>
          <w:i/>
          <w:lang w:val="en-GB"/>
        </w:rPr>
        <w:t>set of main findings categorized under a set of headings (10,000 words max).</w:t>
      </w:r>
      <w:r w:rsidRPr="00DD3F88">
        <w:rPr>
          <w:rFonts w:asciiTheme="majorBidi" w:eastAsia="Calibri" w:hAnsiTheme="majorBidi" w:cstheme="majorBidi"/>
          <w:lang w:val="en-GB"/>
        </w:rPr>
        <w:t xml:space="preserve"> </w:t>
      </w:r>
      <w:r w:rsidRPr="00DD3F88">
        <w:rPr>
          <w:rFonts w:asciiTheme="majorBidi" w:hAnsiTheme="majorBidi" w:cstheme="majorBidi"/>
          <w:lang w:val="en-GB"/>
        </w:rPr>
        <w:t xml:space="preserve">They tell a comprehensive story based on the state of knowledge specific to the scoping document and are aimed at the non-technical decision makers but with higher level of technical but non-jargon specificity than the top key messages (See box 3 for examples). </w:t>
      </w:r>
    </w:p>
    <w:p w:rsidR="00574170" w:rsidRPr="00DD3F88" w:rsidRDefault="00574170" w:rsidP="00574170">
      <w:pPr>
        <w:spacing w:after="120"/>
        <w:ind w:left="1247"/>
        <w:rPr>
          <w:rFonts w:asciiTheme="majorBidi" w:eastAsia="Calibri" w:hAnsiTheme="majorBidi" w:cstheme="majorBidi"/>
          <w:lang w:val="en-GB"/>
        </w:rPr>
      </w:pPr>
      <w:r w:rsidRPr="00DD3F88">
        <w:rPr>
          <w:rFonts w:asciiTheme="majorBidi" w:hAnsiTheme="majorBidi" w:cstheme="majorBidi"/>
          <w:lang w:val="en-GB"/>
        </w:rPr>
        <w:t xml:space="preserve">Each finding is formulated in one or two bolded sentences, substantiated and supported with statements amounting to one paragraph of text. The statements in the messages are assigned </w:t>
      </w:r>
      <w:r w:rsidRPr="00DD3F88">
        <w:rPr>
          <w:rFonts w:asciiTheme="majorBidi" w:hAnsiTheme="majorBidi" w:cstheme="majorBidi"/>
          <w:lang w:val="en-GB"/>
        </w:rPr>
        <w:lastRenderedPageBreak/>
        <w:t>confidence levels and often start with the ones with highest confidence. Findings can be traced back to the underlining chapter section(s) from which they are drawn.</w:t>
      </w:r>
    </w:p>
    <w:p w:rsidR="00574170" w:rsidRPr="00DD3F88" w:rsidRDefault="00574170" w:rsidP="00574170">
      <w:pPr>
        <w:spacing w:after="120"/>
        <w:ind w:left="1247"/>
        <w:rPr>
          <w:rFonts w:eastAsia="Calibri"/>
          <w:lang w:val="en-GB"/>
        </w:rPr>
      </w:pPr>
      <w:r w:rsidRPr="00DD3F88">
        <w:rPr>
          <w:rFonts w:eastAsia="Calibri"/>
          <w:lang w:val="en-GB"/>
        </w:rPr>
        <w:t>Responsibility for preparing first drafts and revised drafts of SPMs lies with the report co-chairs and an appropriate representation of Coordinating Lead Authors and Lead Authors, overseen by the Multidisciplinary Expert Panel and the Bureau and review process for an IPBES SPM.</w:t>
      </w:r>
    </w:p>
    <w:p w:rsidR="00574170" w:rsidRPr="00DD3F88" w:rsidRDefault="00574170" w:rsidP="00574170">
      <w:pPr>
        <w:spacing w:after="120"/>
        <w:ind w:left="1247"/>
        <w:rPr>
          <w:rFonts w:eastAsia="Calibri"/>
          <w:lang w:val="en-GB"/>
        </w:rPr>
      </w:pPr>
      <w:r w:rsidRPr="00DD3F88">
        <w:rPr>
          <w:rFonts w:eastAsia="Calibri"/>
          <w:lang w:val="en-GB"/>
        </w:rPr>
        <w:t>The features of an SPM are:</w:t>
      </w:r>
    </w:p>
    <w:p w:rsidR="00574170" w:rsidRPr="00DD3F88" w:rsidRDefault="00574170" w:rsidP="00574170">
      <w:pPr>
        <w:numPr>
          <w:ilvl w:val="0"/>
          <w:numId w:val="35"/>
        </w:numPr>
        <w:tabs>
          <w:tab w:val="clear" w:pos="1247"/>
          <w:tab w:val="clear" w:pos="1814"/>
          <w:tab w:val="clear" w:pos="2381"/>
          <w:tab w:val="clear" w:pos="2948"/>
          <w:tab w:val="clear" w:pos="3515"/>
          <w:tab w:val="left" w:pos="624"/>
        </w:tabs>
        <w:spacing w:after="120"/>
        <w:ind w:left="1871" w:hanging="624"/>
        <w:rPr>
          <w:rFonts w:eastAsia="Calibri"/>
          <w:lang w:val="en-GB"/>
        </w:rPr>
      </w:pPr>
      <w:r w:rsidRPr="00DD3F88">
        <w:rPr>
          <w:rFonts w:eastAsia="Calibri"/>
          <w:lang w:val="en-GB"/>
        </w:rPr>
        <w:t>sets out policy relevant messages from the assessment while not being policy prescriptive</w:t>
      </w:r>
    </w:p>
    <w:p w:rsidR="00574170" w:rsidRPr="00DD3F88" w:rsidRDefault="00574170" w:rsidP="00574170">
      <w:pPr>
        <w:numPr>
          <w:ilvl w:val="0"/>
          <w:numId w:val="35"/>
        </w:numPr>
        <w:tabs>
          <w:tab w:val="clear" w:pos="1247"/>
          <w:tab w:val="clear" w:pos="1814"/>
          <w:tab w:val="clear" w:pos="2381"/>
          <w:tab w:val="clear" w:pos="2948"/>
          <w:tab w:val="clear" w:pos="3515"/>
          <w:tab w:val="left" w:pos="624"/>
        </w:tabs>
        <w:spacing w:after="120"/>
        <w:ind w:left="1871" w:hanging="624"/>
        <w:rPr>
          <w:rFonts w:eastAsia="Calibri"/>
          <w:lang w:val="en-GB"/>
        </w:rPr>
      </w:pPr>
      <w:r w:rsidRPr="00DD3F88">
        <w:rPr>
          <w:rFonts w:eastAsia="Calibri"/>
          <w:lang w:val="en-GB"/>
        </w:rPr>
        <w:t>builds on the Executive Summaries (key findings) from each chapter from the technical assessment report</w:t>
      </w:r>
    </w:p>
    <w:p w:rsidR="00574170" w:rsidRPr="00DD3F88" w:rsidRDefault="00574170" w:rsidP="00574170">
      <w:pPr>
        <w:spacing w:after="120"/>
        <w:ind w:left="1247"/>
        <w:rPr>
          <w:rFonts w:eastAsia="Calibri"/>
          <w:lang w:val="en-GB"/>
        </w:rPr>
      </w:pPr>
      <w:r w:rsidRPr="00DD3F88">
        <w:rPr>
          <w:rFonts w:eastAsia="Calibri"/>
          <w:lang w:val="en-GB"/>
        </w:rPr>
        <w:t>The development of an SPM is an iterative process as explained in the steps below. You will need to make sure that information in the Chapter Executive Summaries contains the information that underpins the messages set out in the SPM and that the analysis set out in the assessment chapters supports the findings in the Chapter Executive Summary. Fundamentally, no information, data or knowledge should appear in the SPM if it does not appear in the technical assessment report.</w:t>
      </w:r>
    </w:p>
    <w:p w:rsidR="00574170" w:rsidRPr="00280AD4" w:rsidRDefault="00574170" w:rsidP="00280AD4">
      <w:pPr>
        <w:spacing w:after="120"/>
        <w:ind w:left="1247"/>
        <w:rPr>
          <w:rFonts w:eastAsia="Calibri"/>
          <w:lang w:val="en-GB"/>
        </w:rPr>
      </w:pPr>
      <w:r w:rsidRPr="00280AD4">
        <w:rPr>
          <w:rFonts w:eastAsia="Calibri"/>
          <w:lang w:val="en-GB"/>
        </w:rPr>
        <w:t>Important points to recognise from the pollination assessment SPM are:</w:t>
      </w:r>
    </w:p>
    <w:p w:rsidR="00574170" w:rsidRPr="00DD3F88" w:rsidRDefault="00574170" w:rsidP="00280AD4">
      <w:pPr>
        <w:pStyle w:val="Normalnumber"/>
        <w:numPr>
          <w:ilvl w:val="6"/>
          <w:numId w:val="5"/>
        </w:numPr>
        <w:tabs>
          <w:tab w:val="clear" w:pos="1247"/>
          <w:tab w:val="clear" w:pos="1814"/>
          <w:tab w:val="clear" w:pos="2381"/>
          <w:tab w:val="clear" w:pos="2948"/>
          <w:tab w:val="clear" w:pos="3515"/>
          <w:tab w:val="clear" w:pos="4082"/>
          <w:tab w:val="left" w:pos="1843"/>
        </w:tabs>
        <w:ind w:left="1871" w:hanging="624"/>
        <w:rPr>
          <w:lang w:val="en-GB"/>
        </w:rPr>
      </w:pPr>
      <w:r w:rsidRPr="00DD3F88">
        <w:rPr>
          <w:lang w:val="en-GB"/>
        </w:rPr>
        <w:t xml:space="preserve">There </w:t>
      </w:r>
      <w:proofErr w:type="gramStart"/>
      <w:r w:rsidRPr="00DD3F88">
        <w:rPr>
          <w:lang w:val="en-GB"/>
        </w:rPr>
        <w:t>are</w:t>
      </w:r>
      <w:proofErr w:type="gramEnd"/>
      <w:r w:rsidRPr="00DD3F88">
        <w:rPr>
          <w:lang w:val="en-GB"/>
        </w:rPr>
        <w:t xml:space="preserve"> a total of 11 key findings that are short and indicated in bold;</w:t>
      </w:r>
    </w:p>
    <w:p w:rsidR="00574170" w:rsidRPr="00DD3F88" w:rsidRDefault="00574170" w:rsidP="00280AD4">
      <w:pPr>
        <w:pStyle w:val="Normalnumber"/>
        <w:numPr>
          <w:ilvl w:val="6"/>
          <w:numId w:val="5"/>
        </w:numPr>
        <w:tabs>
          <w:tab w:val="clear" w:pos="1247"/>
          <w:tab w:val="clear" w:pos="1814"/>
          <w:tab w:val="clear" w:pos="2381"/>
          <w:tab w:val="clear" w:pos="2948"/>
          <w:tab w:val="clear" w:pos="3515"/>
          <w:tab w:val="clear" w:pos="4082"/>
          <w:tab w:val="left" w:pos="1843"/>
        </w:tabs>
        <w:ind w:left="1871" w:hanging="624"/>
        <w:rPr>
          <w:lang w:val="en-GB"/>
        </w:rPr>
      </w:pPr>
      <w:r w:rsidRPr="00DD3F88">
        <w:rPr>
          <w:lang w:val="en-GB"/>
        </w:rPr>
        <w:t>Each key finding comes with a confidence language statement (in brackets);</w:t>
      </w:r>
    </w:p>
    <w:p w:rsidR="00574170" w:rsidRPr="00DD3F88" w:rsidRDefault="00574170" w:rsidP="00280AD4">
      <w:pPr>
        <w:pStyle w:val="Normalnumber"/>
        <w:numPr>
          <w:ilvl w:val="6"/>
          <w:numId w:val="5"/>
        </w:numPr>
        <w:tabs>
          <w:tab w:val="clear" w:pos="1247"/>
          <w:tab w:val="clear" w:pos="1814"/>
          <w:tab w:val="clear" w:pos="2381"/>
          <w:tab w:val="clear" w:pos="2948"/>
          <w:tab w:val="clear" w:pos="3515"/>
          <w:tab w:val="clear" w:pos="4082"/>
          <w:tab w:val="left" w:pos="1843"/>
        </w:tabs>
        <w:ind w:left="1871" w:hanging="624"/>
        <w:rPr>
          <w:lang w:val="en-GB"/>
        </w:rPr>
      </w:pPr>
      <w:r w:rsidRPr="00DD3F88">
        <w:rPr>
          <w:lang w:val="en-GB"/>
        </w:rPr>
        <w:t>Further explanation of each key finding is provided through additional text of about a paragraph;</w:t>
      </w:r>
    </w:p>
    <w:p w:rsidR="00574170" w:rsidRPr="00DD3F88" w:rsidRDefault="00574170" w:rsidP="00280AD4">
      <w:pPr>
        <w:pStyle w:val="Normalnumber"/>
        <w:numPr>
          <w:ilvl w:val="6"/>
          <w:numId w:val="5"/>
        </w:numPr>
        <w:tabs>
          <w:tab w:val="clear" w:pos="1247"/>
          <w:tab w:val="clear" w:pos="1814"/>
          <w:tab w:val="clear" w:pos="2381"/>
          <w:tab w:val="clear" w:pos="2948"/>
          <w:tab w:val="clear" w:pos="3515"/>
          <w:tab w:val="clear" w:pos="4082"/>
          <w:tab w:val="left" w:pos="1843"/>
        </w:tabs>
        <w:ind w:left="1871" w:hanging="624"/>
        <w:rPr>
          <w:lang w:val="en-GB"/>
        </w:rPr>
      </w:pPr>
      <w:r w:rsidRPr="00DD3F88">
        <w:rPr>
          <w:lang w:val="en-GB"/>
        </w:rPr>
        <w:t>The total word count is around 1400;</w:t>
      </w:r>
    </w:p>
    <w:p w:rsidR="00574170" w:rsidRPr="00DD3F88" w:rsidRDefault="00574170" w:rsidP="00280AD4">
      <w:pPr>
        <w:pStyle w:val="Normalnumber"/>
        <w:numPr>
          <w:ilvl w:val="6"/>
          <w:numId w:val="5"/>
        </w:numPr>
        <w:tabs>
          <w:tab w:val="clear" w:pos="1247"/>
          <w:tab w:val="clear" w:pos="1814"/>
          <w:tab w:val="clear" w:pos="2381"/>
          <w:tab w:val="clear" w:pos="2948"/>
          <w:tab w:val="clear" w:pos="3515"/>
          <w:tab w:val="clear" w:pos="4082"/>
          <w:tab w:val="left" w:pos="1843"/>
        </w:tabs>
        <w:ind w:left="1871" w:hanging="624"/>
        <w:rPr>
          <w:lang w:val="en-GB"/>
        </w:rPr>
      </w:pPr>
      <w:r w:rsidRPr="00DD3F88">
        <w:rPr>
          <w:lang w:val="en-GB"/>
        </w:rPr>
        <w:t>Each key finding includes a list of the chapter sections that contain the relevant literature/evidence supporting that key finding;</w:t>
      </w:r>
    </w:p>
    <w:p w:rsidR="00574170" w:rsidRPr="00DD3F88" w:rsidRDefault="00574170" w:rsidP="00280AD4">
      <w:pPr>
        <w:pStyle w:val="Normalnumber"/>
        <w:numPr>
          <w:ilvl w:val="6"/>
          <w:numId w:val="5"/>
        </w:numPr>
        <w:tabs>
          <w:tab w:val="clear" w:pos="1247"/>
          <w:tab w:val="clear" w:pos="1814"/>
          <w:tab w:val="clear" w:pos="2381"/>
          <w:tab w:val="clear" w:pos="2948"/>
          <w:tab w:val="clear" w:pos="3515"/>
          <w:tab w:val="clear" w:pos="4082"/>
          <w:tab w:val="left" w:pos="1843"/>
        </w:tabs>
        <w:ind w:left="1871" w:hanging="624"/>
        <w:rPr>
          <w:lang w:val="en-GB"/>
        </w:rPr>
      </w:pPr>
      <w:r w:rsidRPr="00DD3F88">
        <w:rPr>
          <w:lang w:val="en-GB"/>
        </w:rPr>
        <w:t>SPMs of methodological assessments may contain guidance points which are lessons from best practices for building greater understanding, strengthening approaches to and making more effective use of the methodological theme (See for example the scenarios and models assessment SPM)</w:t>
      </w:r>
      <w:r w:rsidRPr="00DD3F88">
        <w:rPr>
          <w:rStyle w:val="FootnoteReference"/>
          <w:lang w:val="en-GB"/>
        </w:rPr>
        <w:footnoteReference w:id="9"/>
      </w:r>
      <w:r w:rsidRPr="00DD3F88">
        <w:rPr>
          <w:lang w:val="en-GB"/>
        </w:rPr>
        <w:t>;</w:t>
      </w:r>
    </w:p>
    <w:p w:rsidR="00574170" w:rsidRPr="00DD3F88" w:rsidRDefault="00574170" w:rsidP="00280AD4">
      <w:pPr>
        <w:pStyle w:val="Normalnumber"/>
        <w:numPr>
          <w:ilvl w:val="6"/>
          <w:numId w:val="5"/>
        </w:numPr>
        <w:tabs>
          <w:tab w:val="clear" w:pos="1247"/>
          <w:tab w:val="clear" w:pos="1814"/>
          <w:tab w:val="clear" w:pos="2381"/>
          <w:tab w:val="clear" w:pos="2948"/>
          <w:tab w:val="clear" w:pos="3515"/>
          <w:tab w:val="clear" w:pos="4082"/>
          <w:tab w:val="left" w:pos="1843"/>
        </w:tabs>
        <w:ind w:left="1871" w:hanging="624"/>
        <w:rPr>
          <w:lang w:val="en-GB"/>
        </w:rPr>
      </w:pPr>
      <w:r w:rsidRPr="00DD3F88">
        <w:rPr>
          <w:lang w:val="en-GB"/>
        </w:rPr>
        <w:t xml:space="preserve">In the context of IPBES, </w:t>
      </w:r>
      <w:r w:rsidRPr="00DD3F88">
        <w:rPr>
          <w:b/>
          <w:bCs/>
          <w:lang w:val="en-GB"/>
        </w:rPr>
        <w:t>policy support tools and methodologies</w:t>
      </w:r>
      <w:r w:rsidRPr="00DD3F88">
        <w:rPr>
          <w:lang w:val="en-GB"/>
        </w:rPr>
        <w:footnoteReference w:id="10"/>
      </w:r>
      <w:r w:rsidRPr="00DD3F88">
        <w:rPr>
          <w:lang w:val="en-GB"/>
        </w:rPr>
        <w:t xml:space="preserve"> may be defined as approaches based on science and other knowledge systems that can inform, assist and enhance relevant decisions, policy making and implementation at local, national, regional and global levels to protect nature, thereby promoting nature’s benefits to people and a good quality of life (IPBES core glossary);</w:t>
      </w:r>
    </w:p>
    <w:p w:rsidR="00574170" w:rsidRPr="00DD3F88" w:rsidRDefault="00574170" w:rsidP="00280AD4">
      <w:pPr>
        <w:pStyle w:val="Normalnumber"/>
        <w:numPr>
          <w:ilvl w:val="6"/>
          <w:numId w:val="5"/>
        </w:numPr>
        <w:tabs>
          <w:tab w:val="clear" w:pos="1247"/>
          <w:tab w:val="clear" w:pos="1814"/>
          <w:tab w:val="clear" w:pos="2381"/>
          <w:tab w:val="clear" w:pos="2948"/>
          <w:tab w:val="clear" w:pos="3515"/>
          <w:tab w:val="clear" w:pos="4082"/>
          <w:tab w:val="left" w:pos="1843"/>
        </w:tabs>
        <w:ind w:left="1871" w:hanging="624"/>
        <w:rPr>
          <w:lang w:val="en-GB"/>
        </w:rPr>
      </w:pPr>
      <w:r w:rsidRPr="00DD3F88">
        <w:rPr>
          <w:lang w:val="en-GB"/>
        </w:rPr>
        <w:t xml:space="preserve">Assessments may identify and assess the availability, effectiveness, practicability and replicability of current and emerging policy support tools and methodologies, as well as identify related gaps and needs, as suggested in IPBES information document IPBES/4/INF/14. </w:t>
      </w:r>
    </w:p>
    <w:p w:rsidR="006E54C8" w:rsidRPr="00DD3F88" w:rsidRDefault="006E54C8" w:rsidP="00280AD4">
      <w:pPr>
        <w:pStyle w:val="CH4"/>
        <w:tabs>
          <w:tab w:val="left" w:pos="624"/>
          <w:tab w:val="left" w:pos="1871"/>
          <w:tab w:val="left" w:pos="2495"/>
          <w:tab w:val="left" w:pos="3119"/>
        </w:tabs>
        <w:rPr>
          <w:rFonts w:eastAsia="Calibri"/>
          <w:lang w:val="en-GB"/>
        </w:rPr>
      </w:pPr>
      <w:r w:rsidRPr="00DD3F88">
        <w:rPr>
          <w:lang w:val="en-GB" w:bidi="en-US"/>
        </w:rPr>
        <w:tab/>
        <w:t>2.2.7.2</w:t>
      </w:r>
      <w:r w:rsidRPr="00DD3F88">
        <w:rPr>
          <w:lang w:val="en-GB" w:bidi="en-US"/>
        </w:rPr>
        <w:tab/>
      </w:r>
      <w:r w:rsidRPr="00DD3F88">
        <w:rPr>
          <w:rFonts w:eastAsia="Calibri"/>
          <w:lang w:val="en-GB"/>
        </w:rPr>
        <w:t>Steps to developing an SPM</w:t>
      </w:r>
    </w:p>
    <w:p w:rsidR="006E54C8" w:rsidRPr="00DD3F88" w:rsidRDefault="006E54C8" w:rsidP="00280AD4">
      <w:pPr>
        <w:tabs>
          <w:tab w:val="left" w:pos="624"/>
          <w:tab w:val="left" w:pos="1871"/>
          <w:tab w:val="left" w:pos="2495"/>
          <w:tab w:val="left" w:pos="3119"/>
        </w:tabs>
        <w:spacing w:after="120"/>
        <w:ind w:left="1247"/>
        <w:rPr>
          <w:rFonts w:eastAsia="Calibri"/>
          <w:i/>
          <w:lang w:val="en-GB"/>
        </w:rPr>
      </w:pPr>
      <w:r w:rsidRPr="00DD3F88">
        <w:rPr>
          <w:rFonts w:eastAsia="Calibri"/>
          <w:i/>
          <w:lang w:val="en-GB"/>
        </w:rPr>
        <w:t>Step 1: Developing chapter Executive Summaries</w:t>
      </w:r>
    </w:p>
    <w:p w:rsidR="006E54C8" w:rsidRPr="00DD3F88" w:rsidRDefault="006E54C8" w:rsidP="00280AD4">
      <w:pPr>
        <w:tabs>
          <w:tab w:val="left" w:pos="624"/>
          <w:tab w:val="left" w:pos="1871"/>
          <w:tab w:val="left" w:pos="2495"/>
          <w:tab w:val="left" w:pos="3119"/>
        </w:tabs>
        <w:spacing w:after="120"/>
        <w:ind w:left="1247"/>
        <w:rPr>
          <w:rFonts w:eastAsia="Calibri"/>
          <w:lang w:val="en-GB"/>
        </w:rPr>
      </w:pPr>
      <w:r w:rsidRPr="00DD3F88">
        <w:rPr>
          <w:rFonts w:eastAsia="Calibri"/>
          <w:lang w:val="en-GB"/>
        </w:rPr>
        <w:t>The first step in developing an SPM, is the development of an Executive Summary for each chapter. The Executive Summaries set out the key findings with the appropriate confidence terms for a particular chapter (see section 2.3.5 for further guidance on applying Confidence Terms). The content of the Executive Summary should be technical in nature and be based on the analysis set out in the chapter.</w:t>
      </w:r>
    </w:p>
    <w:p w:rsidR="006E54C8" w:rsidRPr="00DD3F88" w:rsidRDefault="006E54C8" w:rsidP="00280AD4">
      <w:pPr>
        <w:tabs>
          <w:tab w:val="left" w:pos="624"/>
          <w:tab w:val="left" w:pos="1871"/>
          <w:tab w:val="left" w:pos="2495"/>
          <w:tab w:val="left" w:pos="3119"/>
        </w:tabs>
        <w:spacing w:after="120"/>
        <w:ind w:left="1247"/>
        <w:rPr>
          <w:rFonts w:eastAsia="Calibri"/>
          <w:i/>
          <w:lang w:val="en-GB"/>
        </w:rPr>
      </w:pPr>
      <w:r w:rsidRPr="00DD3F88">
        <w:rPr>
          <w:rFonts w:eastAsia="Calibri"/>
          <w:i/>
          <w:lang w:val="en-GB"/>
        </w:rPr>
        <w:t>Step 2: Identify the policy relevant messages</w:t>
      </w:r>
    </w:p>
    <w:p w:rsidR="006E54C8" w:rsidRPr="00DD3F88" w:rsidRDefault="006E54C8" w:rsidP="00280AD4">
      <w:pPr>
        <w:tabs>
          <w:tab w:val="left" w:pos="624"/>
          <w:tab w:val="left" w:pos="1871"/>
          <w:tab w:val="left" w:pos="2495"/>
          <w:tab w:val="left" w:pos="3119"/>
        </w:tabs>
        <w:spacing w:after="120"/>
        <w:ind w:left="1247"/>
        <w:rPr>
          <w:rFonts w:eastAsia="Calibri"/>
          <w:lang w:val="en-GB"/>
        </w:rPr>
      </w:pPr>
      <w:r w:rsidRPr="00DD3F88">
        <w:rPr>
          <w:rFonts w:eastAsia="Calibri"/>
          <w:lang w:val="en-GB"/>
        </w:rPr>
        <w:t>One of the key differences between the Executive Summaries and the SPM is moving from setting out the technical facts to blending and synthesising the findings from different chapters into policy relevant messages. These messages aim to tell a short, coherent and compelling story on the state of knowledge (see Box 2.5).</w:t>
      </w:r>
    </w:p>
    <w:p w:rsidR="006E54C8" w:rsidRPr="00DD3F88" w:rsidRDefault="006E54C8" w:rsidP="00280AD4">
      <w:pPr>
        <w:tabs>
          <w:tab w:val="left" w:pos="624"/>
          <w:tab w:val="left" w:pos="1871"/>
          <w:tab w:val="left" w:pos="2495"/>
          <w:tab w:val="left" w:pos="3119"/>
        </w:tabs>
        <w:spacing w:after="120"/>
        <w:ind w:left="1247"/>
        <w:rPr>
          <w:rFonts w:eastAsia="Calibri"/>
          <w:lang w:val="en-GB"/>
        </w:rPr>
      </w:pPr>
      <w:r w:rsidRPr="00DD3F88">
        <w:rPr>
          <w:rFonts w:eastAsia="Calibri"/>
          <w:lang w:val="en-GB"/>
        </w:rPr>
        <w:t xml:space="preserve">This stage is critical for fine-tuning the articulation of key findings and policy relevant messages in the SPM, for developing graphics, for quality assurance of chapters and ensuring consistency and </w:t>
      </w:r>
      <w:r w:rsidRPr="00DD3F88">
        <w:rPr>
          <w:rFonts w:eastAsia="Calibri"/>
          <w:lang w:val="en-GB"/>
        </w:rPr>
        <w:lastRenderedPageBreak/>
        <w:t>traceability of confidence statements between the SPM and the chapters. The drafts are process</w:t>
      </w:r>
      <w:r w:rsidR="00635BCB">
        <w:rPr>
          <w:rFonts w:eastAsia="Calibri"/>
          <w:lang w:val="en-GB"/>
        </w:rPr>
        <w:noBreakHyphen/>
      </w:r>
      <w:r w:rsidRPr="00DD3F88">
        <w:rPr>
          <w:rFonts w:eastAsia="Calibri"/>
          <w:lang w:val="en-GB"/>
        </w:rPr>
        <w:t>validated</w:t>
      </w:r>
      <w:r w:rsidRPr="00DD3F88">
        <w:rPr>
          <w:rStyle w:val="FootnoteReference"/>
          <w:rFonts w:eastAsia="Calibri"/>
          <w:lang w:val="en-GB"/>
        </w:rPr>
        <w:footnoteReference w:id="11"/>
      </w:r>
      <w:r w:rsidRPr="00DD3F88">
        <w:rPr>
          <w:rFonts w:eastAsia="Calibri"/>
          <w:lang w:val="en-GB"/>
        </w:rPr>
        <w:t xml:space="preserve">  by the Bureau and MEP and presented by the secretariat to the Plenary during Stage 3 – approval and acceptance of the final assessment report.</w:t>
      </w:r>
    </w:p>
    <w:p w:rsidR="006E54C8" w:rsidRPr="00DD3F88" w:rsidRDefault="006E54C8" w:rsidP="00280AD4">
      <w:pPr>
        <w:pStyle w:val="Normalnumber"/>
        <w:numPr>
          <w:ilvl w:val="0"/>
          <w:numId w:val="0"/>
        </w:numPr>
        <w:tabs>
          <w:tab w:val="left" w:pos="624"/>
          <w:tab w:val="left" w:pos="1871"/>
          <w:tab w:val="left" w:pos="2495"/>
          <w:tab w:val="left" w:pos="3119"/>
        </w:tabs>
        <w:ind w:left="1247"/>
        <w:rPr>
          <w:rFonts w:eastAsia="Calibri"/>
          <w:lang w:val="en-GB"/>
        </w:rPr>
      </w:pPr>
      <w:r w:rsidRPr="00DD3F88">
        <w:rPr>
          <w:rFonts w:eastAsia="Calibri"/>
          <w:lang w:val="en-GB"/>
        </w:rPr>
        <w:t>The SPM for IPBES assessments are approved line by line within the Plenary, therefore it is important to develop a succinct summary based upon the analysis of the assessment. Use confidence terminology to ensure that no ambiguity appear in regards to the messages and analysis in the SPM. Each finding should also contain a footnote with a reference back to the number of the section or sections of the main report that the finding is drawn from.</w:t>
      </w:r>
    </w:p>
    <w:p w:rsidR="006E54C8" w:rsidRPr="00DD3F88" w:rsidRDefault="006E54C8" w:rsidP="00280AD4">
      <w:pPr>
        <w:tabs>
          <w:tab w:val="left" w:pos="624"/>
          <w:tab w:val="left" w:pos="1871"/>
          <w:tab w:val="left" w:pos="2495"/>
          <w:tab w:val="left" w:pos="3119"/>
        </w:tabs>
        <w:spacing w:after="120"/>
        <w:ind w:left="1247"/>
        <w:rPr>
          <w:rFonts w:eastAsia="Calibri"/>
          <w:lang w:val="en-GB"/>
        </w:rPr>
      </w:pPr>
      <w:r w:rsidRPr="00DD3F88">
        <w:rPr>
          <w:rFonts w:eastAsia="Times New Roman"/>
          <w:noProof/>
          <w:lang w:val="en-GB" w:eastAsia="en-GB"/>
        </w:rPr>
        <w:drawing>
          <wp:anchor distT="0" distB="0" distL="114300" distR="114300" simplePos="0" relativeHeight="251661312" behindDoc="1" locked="0" layoutInCell="1" allowOverlap="1" wp14:anchorId="7140CE25" wp14:editId="5E315C8C">
            <wp:simplePos x="0" y="0"/>
            <wp:positionH relativeFrom="margin">
              <wp:posOffset>104775</wp:posOffset>
            </wp:positionH>
            <wp:positionV relativeFrom="paragraph">
              <wp:posOffset>2007870</wp:posOffset>
            </wp:positionV>
            <wp:extent cx="2228850" cy="21717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l="12794" t="20451" r="50247" b="11974"/>
                    <a:stretch>
                      <a:fillRect/>
                    </a:stretch>
                  </pic:blipFill>
                  <pic:spPr bwMode="auto">
                    <a:xfrm>
                      <a:off x="0" y="0"/>
                      <a:ext cx="2228850" cy="2171700"/>
                    </a:xfrm>
                    <a:prstGeom prst="rect">
                      <a:avLst/>
                    </a:prstGeom>
                    <a:noFill/>
                  </pic:spPr>
                </pic:pic>
              </a:graphicData>
            </a:graphic>
            <wp14:sizeRelH relativeFrom="page">
              <wp14:pctWidth>0</wp14:pctWidth>
            </wp14:sizeRelH>
            <wp14:sizeRelV relativeFrom="page">
              <wp14:pctHeight>0</wp14:pctHeight>
            </wp14:sizeRelV>
          </wp:anchor>
        </w:drawing>
      </w:r>
      <w:r w:rsidRPr="00DD3F88">
        <w:rPr>
          <w:rFonts w:eastAsia="Times New Roman"/>
          <w:noProof/>
          <w:lang w:val="en-GB" w:eastAsia="en-GB"/>
        </w:rPr>
        <w:drawing>
          <wp:anchor distT="0" distB="0" distL="114300" distR="114300" simplePos="0" relativeHeight="251662336" behindDoc="1" locked="0" layoutInCell="1" allowOverlap="1" wp14:anchorId="26B8517C" wp14:editId="081AC7BC">
            <wp:simplePos x="0" y="0"/>
            <wp:positionH relativeFrom="column">
              <wp:posOffset>3089910</wp:posOffset>
            </wp:positionH>
            <wp:positionV relativeFrom="paragraph">
              <wp:posOffset>2080895</wp:posOffset>
            </wp:positionV>
            <wp:extent cx="2735580" cy="1590675"/>
            <wp:effectExtent l="0" t="0" r="762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l="21954" t="56046" r="21819" b="14879"/>
                    <a:stretch>
                      <a:fillRect/>
                    </a:stretch>
                  </pic:blipFill>
                  <pic:spPr bwMode="auto">
                    <a:xfrm>
                      <a:off x="0" y="0"/>
                      <a:ext cx="2735580" cy="1590675"/>
                    </a:xfrm>
                    <a:prstGeom prst="rect">
                      <a:avLst/>
                    </a:prstGeom>
                    <a:noFill/>
                  </pic:spPr>
                </pic:pic>
              </a:graphicData>
            </a:graphic>
            <wp14:sizeRelH relativeFrom="page">
              <wp14:pctWidth>0</wp14:pctWidth>
            </wp14:sizeRelH>
            <wp14:sizeRelV relativeFrom="page">
              <wp14:pctHeight>0</wp14:pctHeight>
            </wp14:sizeRelV>
          </wp:anchor>
        </w:drawing>
      </w:r>
      <w:r w:rsidRPr="00DD3F88">
        <w:rPr>
          <w:rFonts w:eastAsia="Times New Roman"/>
          <w:noProof/>
          <w:lang w:val="en-GB" w:eastAsia="en-GB"/>
        </w:rPr>
        <w:drawing>
          <wp:anchor distT="0" distB="0" distL="114300" distR="114300" simplePos="0" relativeHeight="251663360" behindDoc="1" locked="0" layoutInCell="1" allowOverlap="1" wp14:anchorId="066D27EE" wp14:editId="24A18485">
            <wp:simplePos x="0" y="0"/>
            <wp:positionH relativeFrom="margin">
              <wp:posOffset>194945</wp:posOffset>
            </wp:positionH>
            <wp:positionV relativeFrom="paragraph">
              <wp:posOffset>4081145</wp:posOffset>
            </wp:positionV>
            <wp:extent cx="2200275" cy="2066925"/>
            <wp:effectExtent l="0" t="0" r="952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l="48332" t="24007" r="15182" b="11678"/>
                    <a:stretch>
                      <a:fillRect/>
                    </a:stretch>
                  </pic:blipFill>
                  <pic:spPr bwMode="auto">
                    <a:xfrm>
                      <a:off x="0" y="0"/>
                      <a:ext cx="2200275" cy="2066925"/>
                    </a:xfrm>
                    <a:prstGeom prst="rect">
                      <a:avLst/>
                    </a:prstGeom>
                    <a:noFill/>
                  </pic:spPr>
                </pic:pic>
              </a:graphicData>
            </a:graphic>
            <wp14:sizeRelH relativeFrom="page">
              <wp14:pctWidth>0</wp14:pctWidth>
            </wp14:sizeRelH>
            <wp14:sizeRelV relativeFrom="page">
              <wp14:pctHeight>0</wp14:pctHeight>
            </wp14:sizeRelV>
          </wp:anchor>
        </w:drawing>
      </w:r>
      <w:r w:rsidRPr="00DD3F88">
        <w:rPr>
          <w:rFonts w:eastAsia="Times New Roman"/>
          <w:noProof/>
          <w:lang w:val="en-GB" w:eastAsia="en-GB"/>
        </w:rPr>
        <mc:AlternateContent>
          <mc:Choice Requires="wps">
            <w:drawing>
              <wp:anchor distT="0" distB="0" distL="114300" distR="114300" simplePos="0" relativeHeight="251664384" behindDoc="0" locked="0" layoutInCell="1" allowOverlap="1" wp14:anchorId="6365987D" wp14:editId="4B97D9C3">
                <wp:simplePos x="0" y="0"/>
                <wp:positionH relativeFrom="margin">
                  <wp:align>right</wp:align>
                </wp:positionH>
                <wp:positionV relativeFrom="paragraph">
                  <wp:posOffset>5224145</wp:posOffset>
                </wp:positionV>
                <wp:extent cx="3476625" cy="775970"/>
                <wp:effectExtent l="0" t="0" r="9525" b="5080"/>
                <wp:wrapTopAndBottom/>
                <wp:docPr id="13" name="Text Box 13"/>
                <wp:cNvGraphicFramePr/>
                <a:graphic xmlns:a="http://schemas.openxmlformats.org/drawingml/2006/main">
                  <a:graphicData uri="http://schemas.microsoft.com/office/word/2010/wordprocessingShape">
                    <wps:wsp>
                      <wps:cNvSpPr txBox="1"/>
                      <wps:spPr>
                        <a:xfrm>
                          <a:off x="0" y="0"/>
                          <a:ext cx="3476625" cy="775970"/>
                        </a:xfrm>
                        <a:prstGeom prst="rect">
                          <a:avLst/>
                        </a:prstGeom>
                        <a:solidFill>
                          <a:prstClr val="white"/>
                        </a:solidFill>
                        <a:ln>
                          <a:noFill/>
                        </a:ln>
                        <a:effectLst/>
                      </wps:spPr>
                      <wps:txbx>
                        <w:txbxContent>
                          <w:p w:rsidR="00480CDD" w:rsidRDefault="00480CDD" w:rsidP="006E54C8">
                            <w:pPr>
                              <w:pStyle w:val="Caption"/>
                              <w:rPr>
                                <w:rFonts w:asciiTheme="majorBidi" w:hAnsiTheme="majorBidi" w:cstheme="majorBidi"/>
                                <w:sz w:val="18"/>
                                <w:szCs w:val="16"/>
                              </w:rPr>
                            </w:pPr>
                            <w:r>
                              <w:rPr>
                                <w:rFonts w:asciiTheme="majorBidi" w:hAnsiTheme="majorBidi" w:cstheme="majorBidi"/>
                                <w:b/>
                                <w:bCs/>
                                <w:sz w:val="18"/>
                                <w:szCs w:val="16"/>
                              </w:rPr>
                              <w:t>Box 2.5</w:t>
                            </w:r>
                            <w:r>
                              <w:rPr>
                                <w:rFonts w:asciiTheme="majorBidi" w:hAnsiTheme="majorBidi" w:cstheme="majorBidi"/>
                                <w:sz w:val="18"/>
                                <w:szCs w:val="16"/>
                              </w:rPr>
                              <w:t xml:space="preserve">. Example of how key findings (below the dashed line) are integrated into a key message (above the dashed line). </w:t>
                            </w:r>
                          </w:p>
                          <w:p w:rsidR="00480CDD" w:rsidRDefault="00480CDD" w:rsidP="006E54C8">
                            <w:pPr>
                              <w:pStyle w:val="Caption"/>
                              <w:rPr>
                                <w:rFonts w:asciiTheme="majorBidi" w:hAnsiTheme="majorBidi" w:cstheme="majorBidi"/>
                                <w:i/>
                                <w:iCs/>
                                <w:noProof/>
                                <w:sz w:val="16"/>
                                <w:szCs w:val="16"/>
                              </w:rPr>
                            </w:pPr>
                            <w:r>
                              <w:rPr>
                                <w:rFonts w:asciiTheme="majorBidi" w:hAnsiTheme="majorBidi" w:cstheme="majorBidi"/>
                                <w:i/>
                                <w:iCs/>
                                <w:sz w:val="18"/>
                                <w:szCs w:val="16"/>
                              </w:rPr>
                              <w:t xml:space="preserve">Source: The </w:t>
                            </w:r>
                            <w:r w:rsidRPr="00D536C9">
                              <w:rPr>
                                <w:rFonts w:ascii="Times New Roman" w:hAnsi="Times New Roman" w:cs="Times New Roman"/>
                                <w:bCs/>
                                <w:i/>
                                <w:iCs/>
                                <w:sz w:val="20"/>
                              </w:rPr>
                              <w:t xml:space="preserve">IPBES </w:t>
                            </w:r>
                            <w:r w:rsidRPr="00D536C9">
                              <w:rPr>
                                <w:rFonts w:ascii="Times New Roman" w:eastAsiaTheme="minorEastAsia" w:hAnsi="Times New Roman" w:cs="Times New Roman"/>
                                <w:bCs/>
                                <w:i/>
                                <w:iCs/>
                                <w:sz w:val="20"/>
                                <w:lang w:val="en-US"/>
                              </w:rPr>
                              <w:t>Pollinators, Pollination</w:t>
                            </w:r>
                            <w:r w:rsidRPr="00D536C9">
                              <w:rPr>
                                <w:rFonts w:ascii="Times New Roman" w:hAnsi="Times New Roman" w:cs="Times New Roman"/>
                                <w:i/>
                                <w:iCs/>
                                <w:sz w:val="20"/>
                              </w:rPr>
                              <w:t xml:space="preserve"> and food production assessment</w:t>
                            </w:r>
                            <w:r>
                              <w:rPr>
                                <w:rFonts w:ascii="Times New Roman" w:hAnsi="Times New Roman" w:cs="Times New Roman"/>
                                <w:i/>
                                <w:iCs/>
                                <w:sz w:val="20"/>
                              </w:rPr>
                              <w:t>-</w:t>
                            </w:r>
                            <w:r>
                              <w:rPr>
                                <w:rFonts w:asciiTheme="majorBidi" w:hAnsiTheme="majorBidi" w:cstheme="majorBidi"/>
                                <w:i/>
                                <w:iCs/>
                                <w:sz w:val="18"/>
                                <w:szCs w:val="16"/>
                              </w:rPr>
                              <w:t xml:space="preserve"> key message 12; findings from page XXXV of the SPM.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65987D" id="Text Box 13" o:spid="_x0000_s1027" type="#_x0000_t202" style="position:absolute;left:0;text-align:left;margin-left:222.55pt;margin-top:411.35pt;width:273.75pt;height:61.1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" stroked="f">
                <v:textbox inset="0,0,0,0">
                  <w:txbxContent>
                    <w:p w:rsidR="00480CDD" w:rsidRDefault="00480CDD" w:rsidP="006E54C8">
                      <w:pPr>
                        <w:pStyle w:val="Caption"/>
                        <w:rPr>
                          <w:rFonts w:asciiTheme="majorBidi" w:hAnsiTheme="majorBidi" w:cstheme="majorBidi"/>
                          <w:sz w:val="18"/>
                          <w:szCs w:val="16"/>
                        </w:rPr>
                      </w:pPr>
                      <w:r>
                        <w:rPr>
                          <w:rFonts w:asciiTheme="majorBidi" w:hAnsiTheme="majorBidi" w:cstheme="majorBidi"/>
                          <w:b/>
                          <w:bCs/>
                          <w:sz w:val="18"/>
                          <w:szCs w:val="16"/>
                        </w:rPr>
                        <w:t>Box 2.5</w:t>
                      </w:r>
                      <w:r>
                        <w:rPr>
                          <w:rFonts w:asciiTheme="majorBidi" w:hAnsiTheme="majorBidi" w:cstheme="majorBidi"/>
                          <w:sz w:val="18"/>
                          <w:szCs w:val="16"/>
                        </w:rPr>
                        <w:t xml:space="preserve">. Example of how key findings (below the dashed line) are integrated into a key message (above the dashed line). </w:t>
                      </w:r>
                    </w:p>
                    <w:p w:rsidR="00480CDD" w:rsidRDefault="00480CDD" w:rsidP="006E54C8">
                      <w:pPr>
                        <w:pStyle w:val="Caption"/>
                        <w:rPr>
                          <w:rFonts w:asciiTheme="majorBidi" w:hAnsiTheme="majorBidi" w:cstheme="majorBidi"/>
                          <w:i/>
                          <w:iCs/>
                          <w:noProof/>
                          <w:sz w:val="16"/>
                          <w:szCs w:val="16"/>
                        </w:rPr>
                      </w:pPr>
                      <w:r>
                        <w:rPr>
                          <w:rFonts w:asciiTheme="majorBidi" w:hAnsiTheme="majorBidi" w:cstheme="majorBidi"/>
                          <w:i/>
                          <w:iCs/>
                          <w:sz w:val="18"/>
                          <w:szCs w:val="16"/>
                        </w:rPr>
                        <w:t xml:space="preserve">Source: The </w:t>
                      </w:r>
                      <w:r w:rsidRPr="00D536C9">
                        <w:rPr>
                          <w:rFonts w:ascii="Times New Roman" w:hAnsi="Times New Roman" w:cs="Times New Roman"/>
                          <w:bCs/>
                          <w:i/>
                          <w:iCs/>
                          <w:sz w:val="20"/>
                        </w:rPr>
                        <w:t xml:space="preserve">IPBES </w:t>
                      </w:r>
                      <w:r w:rsidRPr="00D536C9">
                        <w:rPr>
                          <w:rFonts w:ascii="Times New Roman" w:eastAsiaTheme="minorEastAsia" w:hAnsi="Times New Roman" w:cs="Times New Roman"/>
                          <w:bCs/>
                          <w:i/>
                          <w:iCs/>
                          <w:sz w:val="20"/>
                          <w:lang w:val="en-US"/>
                        </w:rPr>
                        <w:t>Pollinators, Pollination</w:t>
                      </w:r>
                      <w:r w:rsidRPr="00D536C9">
                        <w:rPr>
                          <w:rFonts w:ascii="Times New Roman" w:hAnsi="Times New Roman" w:cs="Times New Roman"/>
                          <w:i/>
                          <w:iCs/>
                          <w:sz w:val="20"/>
                        </w:rPr>
                        <w:t xml:space="preserve"> and food production assessment</w:t>
                      </w:r>
                      <w:r>
                        <w:rPr>
                          <w:rFonts w:ascii="Times New Roman" w:hAnsi="Times New Roman" w:cs="Times New Roman"/>
                          <w:i/>
                          <w:iCs/>
                          <w:sz w:val="20"/>
                        </w:rPr>
                        <w:t>-</w:t>
                      </w:r>
                      <w:r>
                        <w:rPr>
                          <w:rFonts w:asciiTheme="majorBidi" w:hAnsiTheme="majorBidi" w:cstheme="majorBidi"/>
                          <w:i/>
                          <w:iCs/>
                          <w:sz w:val="18"/>
                          <w:szCs w:val="16"/>
                        </w:rPr>
                        <w:t xml:space="preserve"> key message 12; findings from page XXXV of the SPM.</w:t>
                      </w:r>
                    </w:p>
                  </w:txbxContent>
                </v:textbox>
                <w10:wrap type="topAndBottom" anchorx="margin"/>
              </v:shape>
            </w:pict>
          </mc:Fallback>
        </mc:AlternateContent>
      </w:r>
      <w:r w:rsidRPr="00DD3F88">
        <w:rPr>
          <w:rFonts w:eastAsia="Times New Roman"/>
          <w:noProof/>
          <w:lang w:val="en-GB" w:eastAsia="en-GB"/>
        </w:rPr>
        <mc:AlternateContent>
          <mc:Choice Requires="wps">
            <w:drawing>
              <wp:anchor distT="0" distB="0" distL="114300" distR="114300" simplePos="0" relativeHeight="251665408" behindDoc="0" locked="0" layoutInCell="1" allowOverlap="1" wp14:anchorId="1B89EC54" wp14:editId="153C07DE">
                <wp:simplePos x="0" y="0"/>
                <wp:positionH relativeFrom="margin">
                  <wp:posOffset>118745</wp:posOffset>
                </wp:positionH>
                <wp:positionV relativeFrom="paragraph">
                  <wp:posOffset>-4445</wp:posOffset>
                </wp:positionV>
                <wp:extent cx="5943600" cy="61150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5943600" cy="6115050"/>
                        </a:xfrm>
                        <a:prstGeom prst="rect">
                          <a:avLst/>
                        </a:prstGeom>
                        <a:no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D2401F" id="Rectangle 11" o:spid="_x0000_s1026" style="position:absolute;margin-left:9.35pt;margin-top:-.35pt;width:468pt;height:48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" filled="f" strokecolor="black [3213]" strokeweight="2pt">
                <w10:wrap anchorx="margin"/>
              </v:rect>
            </w:pict>
          </mc:Fallback>
        </mc:AlternateContent>
      </w:r>
      <w:r w:rsidRPr="00DD3F88">
        <w:rPr>
          <w:rFonts w:eastAsia="Times New Roman"/>
          <w:noProof/>
          <w:lang w:val="en-GB" w:eastAsia="en-GB"/>
        </w:rPr>
        <w:drawing>
          <wp:anchor distT="0" distB="0" distL="114300" distR="114300" simplePos="0" relativeHeight="251666432" behindDoc="1" locked="0" layoutInCell="1" allowOverlap="1" wp14:anchorId="3B068FB6" wp14:editId="05C41E93">
            <wp:simplePos x="0" y="0"/>
            <wp:positionH relativeFrom="margin">
              <wp:posOffset>178435</wp:posOffset>
            </wp:positionH>
            <wp:positionV relativeFrom="paragraph">
              <wp:posOffset>38100</wp:posOffset>
            </wp:positionV>
            <wp:extent cx="2390775" cy="187642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48647" t="40517" r="11710" b="2873"/>
                    <a:stretch>
                      <a:fillRect/>
                    </a:stretch>
                  </pic:blipFill>
                  <pic:spPr bwMode="auto">
                    <a:xfrm>
                      <a:off x="0" y="0"/>
                      <a:ext cx="2390775" cy="1876425"/>
                    </a:xfrm>
                    <a:prstGeom prst="rect">
                      <a:avLst/>
                    </a:prstGeom>
                    <a:noFill/>
                  </pic:spPr>
                </pic:pic>
              </a:graphicData>
            </a:graphic>
            <wp14:sizeRelH relativeFrom="page">
              <wp14:pctWidth>0</wp14:pctWidth>
            </wp14:sizeRelH>
            <wp14:sizeRelV relativeFrom="page">
              <wp14:pctHeight>0</wp14:pctHeight>
            </wp14:sizeRelV>
          </wp:anchor>
        </w:drawing>
      </w:r>
      <w:r w:rsidRPr="00DD3F88">
        <w:rPr>
          <w:rFonts w:eastAsia="Times New Roman"/>
          <w:noProof/>
          <w:lang w:val="en-GB" w:eastAsia="en-GB"/>
        </w:rPr>
        <mc:AlternateContent>
          <mc:Choice Requires="wps">
            <w:drawing>
              <wp:anchor distT="0" distB="0" distL="114300" distR="114300" simplePos="0" relativeHeight="251667456" behindDoc="0" locked="0" layoutInCell="1" allowOverlap="1" wp14:anchorId="4FD59EA1" wp14:editId="51336D4A">
                <wp:simplePos x="0" y="0"/>
                <wp:positionH relativeFrom="margin">
                  <wp:posOffset>173990</wp:posOffset>
                </wp:positionH>
                <wp:positionV relativeFrom="paragraph">
                  <wp:posOffset>1915160</wp:posOffset>
                </wp:positionV>
                <wp:extent cx="5826125" cy="15240"/>
                <wp:effectExtent l="0" t="0" r="22225" b="22860"/>
                <wp:wrapNone/>
                <wp:docPr id="8" name="Straight Connector 8"/>
                <wp:cNvGraphicFramePr/>
                <a:graphic xmlns:a="http://schemas.openxmlformats.org/drawingml/2006/main">
                  <a:graphicData uri="http://schemas.microsoft.com/office/word/2010/wordprocessingShape">
                    <wps:wsp>
                      <wps:cNvCnPr/>
                      <wps:spPr>
                        <a:xfrm flipV="1">
                          <a:off x="0" y="0"/>
                          <a:ext cx="5826125" cy="1524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BAD2C3" id="Straight Connector 8"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7pt,150.8pt" to="472.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" strokecolor="black [3040]">
                <v:stroke dashstyle="dashDot"/>
                <w10:wrap anchorx="margin"/>
              </v:line>
            </w:pict>
          </mc:Fallback>
        </mc:AlternateContent>
      </w:r>
    </w:p>
    <w:p w:rsidR="006E54C8" w:rsidRPr="00DD3F88" w:rsidRDefault="006E54C8" w:rsidP="00280AD4">
      <w:pPr>
        <w:pStyle w:val="CH2"/>
        <w:numPr>
          <w:ilvl w:val="1"/>
          <w:numId w:val="29"/>
        </w:numPr>
        <w:tabs>
          <w:tab w:val="clear" w:pos="851"/>
          <w:tab w:val="clear" w:pos="1814"/>
          <w:tab w:val="clear" w:pos="2381"/>
          <w:tab w:val="clear" w:pos="2948"/>
          <w:tab w:val="clear" w:pos="3515"/>
          <w:tab w:val="clear" w:pos="4082"/>
          <w:tab w:val="left" w:pos="624"/>
          <w:tab w:val="left" w:pos="1871"/>
          <w:tab w:val="left" w:pos="2495"/>
        </w:tabs>
        <w:ind w:left="1475" w:hanging="851"/>
        <w:rPr>
          <w:rFonts w:eastAsia="Calibri"/>
          <w:lang w:val="en-GB"/>
        </w:rPr>
      </w:pPr>
      <w:r w:rsidRPr="00DD3F88">
        <w:rPr>
          <w:rFonts w:eastAsia="Calibri"/>
          <w:lang w:val="en-GB"/>
        </w:rPr>
        <w:t>Stage 3: Approval/acceptance</w:t>
      </w:r>
      <w:r w:rsidRPr="00DD3F88">
        <w:rPr>
          <w:rFonts w:eastAsia="Calibri"/>
          <w:lang w:val="en-GB"/>
        </w:rPr>
        <w:tab/>
      </w:r>
    </w:p>
    <w:p w:rsidR="006E54C8" w:rsidRPr="00DD3F88" w:rsidRDefault="006E54C8" w:rsidP="00280AD4">
      <w:pPr>
        <w:tabs>
          <w:tab w:val="left" w:pos="624"/>
          <w:tab w:val="left" w:pos="1871"/>
          <w:tab w:val="left" w:pos="2495"/>
          <w:tab w:val="left" w:pos="3119"/>
        </w:tabs>
        <w:ind w:left="1247"/>
        <w:rPr>
          <w:rFonts w:asciiTheme="majorBidi" w:eastAsia="Calibri" w:hAnsiTheme="majorBidi" w:cstheme="majorBidi"/>
          <w:lang w:val="en-GB"/>
        </w:rPr>
      </w:pPr>
      <w:r w:rsidRPr="00DD3F88">
        <w:rPr>
          <w:rFonts w:asciiTheme="majorBidi" w:eastAsia="Times New Roman" w:hAnsiTheme="majorBidi" w:cstheme="majorBidi"/>
          <w:b/>
          <w:i/>
          <w:lang w:val="en-GB"/>
        </w:rPr>
        <w:t>The draft SPM and chapters</w:t>
      </w:r>
      <w:r w:rsidRPr="00DD3F88">
        <w:rPr>
          <w:rFonts w:asciiTheme="majorBidi" w:eastAsia="Times New Roman" w:hAnsiTheme="majorBidi" w:cstheme="majorBidi"/>
          <w:lang w:val="en-GB"/>
        </w:rPr>
        <w:t xml:space="preserve"> are presented by the secretariat to the Plenary for its consideration. Governments are given the opportunity to submit written comments to the secretariat prior to the Plenary. These comments assist the assessments experts in preparing for the Plenary but do not result in a revised draft.</w:t>
      </w:r>
    </w:p>
    <w:p w:rsidR="006E54C8" w:rsidRPr="00DD3F88" w:rsidRDefault="006E54C8" w:rsidP="00280AD4">
      <w:pPr>
        <w:pStyle w:val="CH2"/>
        <w:tabs>
          <w:tab w:val="clear" w:pos="851"/>
          <w:tab w:val="left" w:pos="624"/>
          <w:tab w:val="right" w:pos="1134"/>
          <w:tab w:val="left" w:pos="1871"/>
          <w:tab w:val="left" w:pos="2495"/>
          <w:tab w:val="left" w:pos="3119"/>
        </w:tabs>
        <w:ind w:left="993" w:hanging="709"/>
        <w:rPr>
          <w:rFonts w:eastAsia="Calibri"/>
          <w:lang w:val="en-GB"/>
        </w:rPr>
      </w:pPr>
      <w:r w:rsidRPr="00DD3F88">
        <w:rPr>
          <w:rFonts w:eastAsia="Calibri"/>
          <w:lang w:val="en-GB"/>
        </w:rPr>
        <w:lastRenderedPageBreak/>
        <w:t>2.3.1</w:t>
      </w:r>
      <w:r w:rsidRPr="00DD3F88">
        <w:rPr>
          <w:rFonts w:eastAsia="Calibri"/>
          <w:lang w:val="en-GB"/>
        </w:rPr>
        <w:tab/>
        <w:t>Acceptance of reports by the Plenary</w:t>
      </w:r>
    </w:p>
    <w:p w:rsidR="006E54C8" w:rsidRPr="00DD3F88" w:rsidRDefault="006E54C8" w:rsidP="00280AD4">
      <w:pPr>
        <w:pStyle w:val="ListParagraph"/>
        <w:tabs>
          <w:tab w:val="left" w:pos="624"/>
          <w:tab w:val="left" w:pos="1247"/>
          <w:tab w:val="left" w:pos="1871"/>
          <w:tab w:val="left" w:pos="2495"/>
          <w:tab w:val="left" w:pos="3119"/>
        </w:tabs>
        <w:ind w:left="990"/>
        <w:rPr>
          <w:rFonts w:asciiTheme="majorBidi" w:eastAsia="Times New Roman" w:hAnsiTheme="majorBidi" w:cstheme="majorBidi"/>
          <w:sz w:val="20"/>
          <w:szCs w:val="20"/>
          <w:lang w:val="en-GB"/>
        </w:rPr>
      </w:pPr>
      <w:r w:rsidRPr="00DD3F88">
        <w:rPr>
          <w:rFonts w:asciiTheme="majorBidi" w:eastAsia="Times New Roman" w:hAnsiTheme="majorBidi" w:cstheme="majorBidi"/>
          <w:sz w:val="20"/>
          <w:szCs w:val="20"/>
          <w:lang w:val="en-GB"/>
        </w:rPr>
        <w:t>An assessment report is comprised also of a summary for policy makers, which the Plenary will approve line by line, and a set of chapters (sometimes referred to as the technical report), which the Plenary will only accept. Governments are given the opportunity to submit written comments to the secretariat prior to the Plenary (8-2 weeks before Plenary). These comments assist the assessments experts in preparing for the Plenary but do not result in a revised draft. The set of chapters presented by the secretariat to the Plenary has been prepared and reviewed as discussed above. While the large volume and technical detail of this material places practical limitations upon the extent to which changes to the reports can be made at sessions of the Plenary, ‘acceptance’ signifies the view of the Plenary that this purpose has been achieved. The content of the chapters is the responsibility of the coordinating lead authors and is subject to Plenary ‘acceptance’. After ‘acceptance’ by the Plenary, chapters are edited by the authors to reflect the changes made by the Plenary to the summary for policymakers, and thus ensure full consistency between the SPM and the underlying chapters and their executive summaries. Reports accepted by the Plenary will then be formally and prominently described on the front and other introductory covers as a report accepted by IPBES.</w:t>
      </w:r>
    </w:p>
    <w:p w:rsidR="006E54C8" w:rsidRPr="00DD3F88" w:rsidRDefault="006E54C8" w:rsidP="00280AD4">
      <w:pPr>
        <w:pStyle w:val="CH2"/>
        <w:tabs>
          <w:tab w:val="left" w:pos="426"/>
          <w:tab w:val="left" w:pos="624"/>
          <w:tab w:val="left" w:pos="1871"/>
          <w:tab w:val="left" w:pos="2495"/>
          <w:tab w:val="left" w:pos="3119"/>
        </w:tabs>
        <w:ind w:left="993" w:hanging="709"/>
        <w:rPr>
          <w:rFonts w:eastAsia="Calibri"/>
          <w:lang w:val="en-GB"/>
        </w:rPr>
      </w:pPr>
      <w:r w:rsidRPr="00DD3F88">
        <w:rPr>
          <w:rFonts w:eastAsia="Calibri"/>
          <w:lang w:val="en-GB"/>
        </w:rPr>
        <w:tab/>
        <w:t>2.3.2</w:t>
      </w:r>
      <w:r w:rsidRPr="00DD3F88">
        <w:rPr>
          <w:rFonts w:eastAsia="Calibri"/>
          <w:lang w:val="en-GB"/>
        </w:rPr>
        <w:tab/>
        <w:t>Approval of SPM by the Plenary</w:t>
      </w:r>
    </w:p>
    <w:p w:rsidR="006E54C8" w:rsidRPr="00DD3F88" w:rsidRDefault="006E54C8" w:rsidP="00280AD4">
      <w:pPr>
        <w:tabs>
          <w:tab w:val="left" w:pos="624"/>
          <w:tab w:val="left" w:pos="1871"/>
          <w:tab w:val="left" w:pos="2495"/>
          <w:tab w:val="left" w:pos="3119"/>
        </w:tabs>
        <w:spacing w:after="120"/>
        <w:ind w:left="993"/>
        <w:rPr>
          <w:rFonts w:asciiTheme="majorBidi" w:eastAsia="Calibri" w:hAnsiTheme="majorBidi" w:cstheme="majorBidi"/>
          <w:lang w:val="en-GB"/>
        </w:rPr>
      </w:pPr>
      <w:r w:rsidRPr="00DD3F88">
        <w:rPr>
          <w:rFonts w:asciiTheme="majorBidi" w:hAnsiTheme="majorBidi" w:cstheme="majorBidi"/>
          <w:lang w:val="en-GB"/>
        </w:rPr>
        <w:t>The SPMs are normally discussed line by line in a contact group</w:t>
      </w:r>
      <w:r w:rsidRPr="00DD3F88">
        <w:rPr>
          <w:rStyle w:val="FootnoteReference"/>
          <w:rFonts w:asciiTheme="majorBidi" w:hAnsiTheme="majorBidi" w:cstheme="majorBidi"/>
          <w:lang w:val="en-GB"/>
        </w:rPr>
        <w:footnoteReference w:id="12"/>
      </w:r>
      <w:r w:rsidRPr="00DD3F88">
        <w:rPr>
          <w:rFonts w:asciiTheme="majorBidi" w:eastAsia="Calibri" w:hAnsiTheme="majorBidi" w:cstheme="majorBidi"/>
          <w:lang w:val="en-GB"/>
        </w:rPr>
        <w:t xml:space="preserve">. It is then presented to the Plenary for consideration and approval in the presence of the co-chairs and some of the experts of the assessment, who will be able to address the questions of the Plenary and discuss whether proposed changes are compatible with the science contained in the report. Sessions of the Plenary where SPMs are being discussed are open to observers but are closed to the media, including social media. </w:t>
      </w:r>
    </w:p>
    <w:p w:rsidR="006E54C8" w:rsidRPr="00DD3F88" w:rsidRDefault="006E54C8" w:rsidP="00280AD4">
      <w:pPr>
        <w:pStyle w:val="ListParagraph"/>
        <w:tabs>
          <w:tab w:val="left" w:pos="624"/>
          <w:tab w:val="left" w:pos="1247"/>
          <w:tab w:val="left" w:pos="1814"/>
          <w:tab w:val="left" w:pos="1871"/>
          <w:tab w:val="left" w:pos="2381"/>
          <w:tab w:val="left" w:pos="2495"/>
          <w:tab w:val="left" w:pos="2948"/>
          <w:tab w:val="left" w:pos="3119"/>
          <w:tab w:val="left" w:pos="3515"/>
        </w:tabs>
        <w:spacing w:after="240"/>
        <w:ind w:left="993"/>
        <w:rPr>
          <w:rFonts w:asciiTheme="majorBidi" w:eastAsia="Times New Roman" w:hAnsiTheme="majorBidi" w:cstheme="majorBidi"/>
          <w:sz w:val="20"/>
          <w:szCs w:val="20"/>
          <w:lang w:val="en-GB"/>
        </w:rPr>
      </w:pPr>
      <w:r w:rsidRPr="00DD3F88">
        <w:rPr>
          <w:rFonts w:asciiTheme="majorBidi" w:eastAsia="Times New Roman" w:hAnsiTheme="majorBidi" w:cstheme="majorBidi"/>
          <w:sz w:val="20"/>
          <w:szCs w:val="20"/>
          <w:lang w:val="en-GB"/>
        </w:rPr>
        <w:t>The key actors in this stage are:</w:t>
      </w:r>
    </w:p>
    <w:p w:rsidR="006E54C8" w:rsidRPr="00DD3F88" w:rsidRDefault="006E54C8" w:rsidP="00280AD4">
      <w:pPr>
        <w:pStyle w:val="ListParagraph"/>
        <w:numPr>
          <w:ilvl w:val="0"/>
          <w:numId w:val="36"/>
        </w:numPr>
        <w:tabs>
          <w:tab w:val="left" w:pos="624"/>
          <w:tab w:val="left" w:pos="1247"/>
          <w:tab w:val="left" w:pos="1814"/>
          <w:tab w:val="left" w:pos="1871"/>
          <w:tab w:val="left" w:pos="2381"/>
          <w:tab w:val="left" w:pos="2495"/>
          <w:tab w:val="left" w:pos="2948"/>
          <w:tab w:val="left" w:pos="3119"/>
          <w:tab w:val="left" w:pos="3515"/>
        </w:tabs>
        <w:spacing w:after="240"/>
        <w:ind w:left="1276" w:hanging="207"/>
        <w:rPr>
          <w:rFonts w:asciiTheme="majorBidi" w:eastAsia="Times New Roman" w:hAnsiTheme="majorBidi" w:cstheme="majorBidi"/>
          <w:sz w:val="20"/>
          <w:szCs w:val="20"/>
          <w:lang w:val="en-GB"/>
        </w:rPr>
      </w:pPr>
      <w:r w:rsidRPr="00DD3F88">
        <w:rPr>
          <w:rFonts w:asciiTheme="majorBidi" w:eastAsia="Times New Roman" w:hAnsiTheme="majorBidi" w:cstheme="majorBidi"/>
          <w:sz w:val="20"/>
          <w:szCs w:val="20"/>
          <w:lang w:val="en-GB"/>
        </w:rPr>
        <w:t>Governments who through their representatives consider the drafts in dialogue with each other and the assessment experts and observers at the Plenary;</w:t>
      </w:r>
    </w:p>
    <w:p w:rsidR="006E54C8" w:rsidRPr="00DD3F88" w:rsidRDefault="006E54C8" w:rsidP="00280AD4">
      <w:pPr>
        <w:pStyle w:val="ListParagraph"/>
        <w:numPr>
          <w:ilvl w:val="0"/>
          <w:numId w:val="36"/>
        </w:numPr>
        <w:tabs>
          <w:tab w:val="left" w:pos="624"/>
          <w:tab w:val="left" w:pos="1247"/>
          <w:tab w:val="left" w:pos="1814"/>
          <w:tab w:val="left" w:pos="1871"/>
          <w:tab w:val="left" w:pos="2381"/>
          <w:tab w:val="left" w:pos="2495"/>
          <w:tab w:val="left" w:pos="2948"/>
          <w:tab w:val="left" w:pos="3119"/>
          <w:tab w:val="left" w:pos="3515"/>
        </w:tabs>
        <w:spacing w:after="240"/>
        <w:ind w:left="1276" w:hanging="207"/>
        <w:rPr>
          <w:rFonts w:asciiTheme="majorBidi" w:eastAsia="Times New Roman" w:hAnsiTheme="majorBidi" w:cstheme="majorBidi"/>
          <w:sz w:val="20"/>
          <w:szCs w:val="20"/>
          <w:lang w:val="en-GB"/>
        </w:rPr>
      </w:pPr>
      <w:r w:rsidRPr="00DD3F88">
        <w:rPr>
          <w:rFonts w:asciiTheme="majorBidi" w:eastAsia="Times New Roman" w:hAnsiTheme="majorBidi" w:cstheme="majorBidi"/>
          <w:sz w:val="20"/>
          <w:szCs w:val="20"/>
          <w:lang w:val="en-GB"/>
        </w:rPr>
        <w:t>Members of the Bureau who co-chair the contact groups under the Plenary where the drafts are considered;</w:t>
      </w:r>
    </w:p>
    <w:p w:rsidR="006E54C8" w:rsidRPr="00DD3F88" w:rsidRDefault="006E54C8" w:rsidP="00280AD4">
      <w:pPr>
        <w:pStyle w:val="ListParagraph"/>
        <w:numPr>
          <w:ilvl w:val="0"/>
          <w:numId w:val="36"/>
        </w:numPr>
        <w:tabs>
          <w:tab w:val="left" w:pos="624"/>
          <w:tab w:val="left" w:pos="1247"/>
          <w:tab w:val="left" w:pos="1814"/>
          <w:tab w:val="left" w:pos="1871"/>
          <w:tab w:val="left" w:pos="2381"/>
          <w:tab w:val="left" w:pos="2495"/>
          <w:tab w:val="left" w:pos="2948"/>
          <w:tab w:val="left" w:pos="3119"/>
          <w:tab w:val="left" w:pos="3515"/>
        </w:tabs>
        <w:spacing w:after="240"/>
        <w:ind w:left="1276" w:hanging="207"/>
        <w:rPr>
          <w:rFonts w:asciiTheme="majorBidi" w:eastAsia="Times New Roman" w:hAnsiTheme="majorBidi" w:cstheme="majorBidi"/>
          <w:sz w:val="20"/>
          <w:szCs w:val="20"/>
          <w:lang w:val="en-GB"/>
        </w:rPr>
      </w:pPr>
      <w:r w:rsidRPr="00DD3F88">
        <w:rPr>
          <w:rFonts w:asciiTheme="majorBidi" w:eastAsia="Times New Roman" w:hAnsiTheme="majorBidi" w:cstheme="majorBidi"/>
          <w:sz w:val="20"/>
          <w:szCs w:val="20"/>
          <w:lang w:val="en-GB"/>
        </w:rPr>
        <w:t>Assessment co-chairs and CLAs who are present on the podium to explain and defend the scientific basis for the findings and provide scientific clarification and advice on any reformulation of the findings under consideration; and</w:t>
      </w:r>
    </w:p>
    <w:p w:rsidR="006E54C8" w:rsidRPr="00DD3F88" w:rsidRDefault="006E54C8" w:rsidP="00280AD4">
      <w:pPr>
        <w:pStyle w:val="ListParagraph"/>
        <w:numPr>
          <w:ilvl w:val="0"/>
          <w:numId w:val="36"/>
        </w:numPr>
        <w:tabs>
          <w:tab w:val="left" w:pos="624"/>
          <w:tab w:val="left" w:pos="1247"/>
          <w:tab w:val="left" w:pos="1814"/>
          <w:tab w:val="left" w:pos="1871"/>
          <w:tab w:val="left" w:pos="2381"/>
          <w:tab w:val="left" w:pos="2495"/>
          <w:tab w:val="left" w:pos="2948"/>
          <w:tab w:val="left" w:pos="3119"/>
          <w:tab w:val="left" w:pos="3515"/>
        </w:tabs>
        <w:spacing w:after="240"/>
        <w:ind w:left="1276" w:hanging="207"/>
        <w:rPr>
          <w:rFonts w:asciiTheme="majorBidi" w:eastAsia="Times New Roman" w:hAnsiTheme="majorBidi" w:cstheme="majorBidi"/>
          <w:sz w:val="20"/>
          <w:szCs w:val="20"/>
          <w:lang w:val="en-GB"/>
        </w:rPr>
      </w:pPr>
      <w:r w:rsidRPr="00DD3F88">
        <w:rPr>
          <w:rFonts w:asciiTheme="majorBidi" w:eastAsia="Times New Roman" w:hAnsiTheme="majorBidi" w:cstheme="majorBidi"/>
          <w:sz w:val="20"/>
          <w:szCs w:val="20"/>
          <w:lang w:val="en-GB"/>
        </w:rPr>
        <w:t>IPBES chair who chairs the Plenary</w:t>
      </w:r>
    </w:p>
    <w:p w:rsidR="006E54C8" w:rsidRPr="00DD3F88" w:rsidRDefault="006E54C8" w:rsidP="00280AD4">
      <w:pPr>
        <w:tabs>
          <w:tab w:val="left" w:pos="624"/>
          <w:tab w:val="left" w:pos="1871"/>
          <w:tab w:val="left" w:pos="2495"/>
          <w:tab w:val="left" w:pos="3119"/>
        </w:tabs>
        <w:spacing w:after="120"/>
        <w:ind w:left="1134"/>
        <w:rPr>
          <w:rFonts w:asciiTheme="majorBidi" w:eastAsia="Calibri" w:hAnsiTheme="majorBidi" w:cstheme="majorBidi"/>
          <w:lang w:val="en-GB"/>
        </w:rPr>
      </w:pPr>
      <w:r w:rsidRPr="00DD3F88">
        <w:rPr>
          <w:rFonts w:eastAsia="Calibri"/>
          <w:spacing w:val="-1"/>
          <w:lang w:val="en-GB" w:bidi="en-US"/>
        </w:rPr>
        <w:t xml:space="preserve">The </w:t>
      </w:r>
      <w:r w:rsidRPr="00DD3F88">
        <w:rPr>
          <w:rFonts w:asciiTheme="majorBidi" w:eastAsia="Calibri" w:hAnsiTheme="majorBidi" w:cstheme="majorBidi"/>
          <w:lang w:val="en-GB"/>
        </w:rPr>
        <w:t>summary for policymakers will then be formally and prominently described as a report of the Intergovernmental Science-Policy Platform on Biodiversity and Ecosystem Services</w:t>
      </w:r>
    </w:p>
    <w:tbl>
      <w:tblPr>
        <w:tblStyle w:val="TableGrid"/>
        <w:tblW w:w="0" w:type="auto"/>
        <w:tblInd w:w="421" w:type="dxa"/>
        <w:tblLook w:val="04A0" w:firstRow="1" w:lastRow="0" w:firstColumn="1" w:lastColumn="0" w:noHBand="0" w:noVBand="1"/>
      </w:tblPr>
      <w:tblGrid>
        <w:gridCol w:w="8646"/>
      </w:tblGrid>
      <w:tr w:rsidR="006E54C8" w:rsidRPr="00FA50AA" w:rsidTr="00480CDD">
        <w:tc>
          <w:tcPr>
            <w:tcW w:w="864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0"/>
              <w:jc w:val="both"/>
              <w:rPr>
                <w:rFonts w:ascii="Times New Roman" w:hAnsi="Times New Roman" w:cs="Times New Roman"/>
                <w:bCs/>
                <w:sz w:val="20"/>
                <w:szCs w:val="20"/>
                <w:lang w:val="en-GB"/>
              </w:rPr>
            </w:pPr>
            <w:r w:rsidRPr="00DD3F88">
              <w:rPr>
                <w:rFonts w:ascii="Times New Roman" w:hAnsi="Times New Roman" w:cs="Times New Roman"/>
                <w:b/>
                <w:sz w:val="20"/>
                <w:szCs w:val="20"/>
                <w:lang w:val="en-GB"/>
              </w:rPr>
              <w:t xml:space="preserve">Box 2.6. </w:t>
            </w:r>
            <w:r w:rsidRPr="00DD3F88">
              <w:rPr>
                <w:rFonts w:ascii="Times New Roman" w:hAnsi="Times New Roman" w:cs="Times New Roman"/>
                <w:bCs/>
                <w:sz w:val="20"/>
                <w:szCs w:val="20"/>
                <w:lang w:val="en-GB"/>
              </w:rPr>
              <w:t>Addressing possible errors and complaints.</w:t>
            </w:r>
          </w:p>
        </w:tc>
      </w:tr>
      <w:tr w:rsidR="006E54C8" w:rsidRPr="00FA50AA" w:rsidTr="00480CDD">
        <w:tc>
          <w:tcPr>
            <w:tcW w:w="8646" w:type="dxa"/>
            <w:tcBorders>
              <w:top w:val="single" w:sz="4" w:space="0" w:color="auto"/>
              <w:left w:val="single" w:sz="4" w:space="0" w:color="auto"/>
              <w:bottom w:val="single" w:sz="4" w:space="0" w:color="auto"/>
              <w:right w:val="single" w:sz="4" w:space="0" w:color="auto"/>
            </w:tcBorders>
            <w:hideMark/>
          </w:tcPr>
          <w:p w:rsidR="006E54C8" w:rsidRPr="00DD3F88" w:rsidRDefault="006E54C8" w:rsidP="00280AD4">
            <w:pPr>
              <w:pStyle w:val="ListParagraph"/>
              <w:tabs>
                <w:tab w:val="left" w:pos="624"/>
                <w:tab w:val="left" w:pos="1073"/>
                <w:tab w:val="left" w:pos="1247"/>
                <w:tab w:val="left" w:pos="1871"/>
                <w:tab w:val="left" w:pos="2495"/>
                <w:tab w:val="left" w:pos="3119"/>
              </w:tabs>
              <w:spacing w:after="240"/>
              <w:ind w:left="171"/>
              <w:rPr>
                <w:rFonts w:ascii="Times New Roman" w:eastAsia="Times New Roman" w:hAnsi="Times New Roman" w:cs="Times New Roman"/>
                <w:sz w:val="20"/>
                <w:szCs w:val="20"/>
                <w:lang w:val="en-GB"/>
              </w:rPr>
            </w:pPr>
            <w:r w:rsidRPr="00DD3F88">
              <w:rPr>
                <w:rFonts w:ascii="Times New Roman" w:eastAsia="Times New Roman" w:hAnsi="Times New Roman" w:cs="Times New Roman"/>
                <w:sz w:val="20"/>
                <w:szCs w:val="20"/>
                <w:lang w:val="en-GB"/>
              </w:rPr>
              <w:t>The IPBES review processes should ensure that errors are eliminated well before the publication of Platform reports and technical papers. However, if a reader of an agreed Platform report, accepted summary for policymakers or finalized technical paper finds a possible error (e.g., a miscalculation or the omission of critically important information) or has a complaint relating to a report or technical paper (e.g., a claim to authorship, an issue of possible plagiarism or of falsification of data) the issue should be brought to the attention of the secretariat, which will implement the process for error correction or complaint resolution as set out in decision IPBES 2/3.</w:t>
            </w:r>
          </w:p>
        </w:tc>
      </w:tr>
    </w:tbl>
    <w:p w:rsidR="006E54C8" w:rsidRPr="00DD3F88" w:rsidRDefault="006E54C8" w:rsidP="00280AD4">
      <w:pPr>
        <w:tabs>
          <w:tab w:val="left" w:pos="624"/>
          <w:tab w:val="left" w:pos="1871"/>
          <w:tab w:val="left" w:pos="2495"/>
          <w:tab w:val="left" w:pos="3119"/>
        </w:tabs>
        <w:rPr>
          <w:rFonts w:eastAsia="Calibri"/>
          <w:b/>
          <w:i/>
          <w:lang w:val="en-GB"/>
        </w:rPr>
      </w:pPr>
    </w:p>
    <w:p w:rsidR="006E54C8" w:rsidRPr="00DD3F88" w:rsidRDefault="006E54C8" w:rsidP="00280AD4">
      <w:pPr>
        <w:pStyle w:val="CH1"/>
        <w:tabs>
          <w:tab w:val="left" w:pos="142"/>
          <w:tab w:val="left" w:pos="624"/>
          <w:tab w:val="left" w:pos="1871"/>
          <w:tab w:val="left" w:pos="2495"/>
          <w:tab w:val="left" w:pos="3119"/>
        </w:tabs>
        <w:ind w:left="709" w:hanging="709"/>
        <w:rPr>
          <w:rFonts w:eastAsia="Calibri"/>
          <w:lang w:val="en-GB"/>
        </w:rPr>
        <w:sectPr w:rsidR="006E54C8" w:rsidRPr="00DD3F88" w:rsidSect="00280AD4">
          <w:headerReference w:type="even" r:id="rId43"/>
          <w:headerReference w:type="default" r:id="rId44"/>
          <w:footerReference w:type="even" r:id="rId45"/>
          <w:footerReference w:type="default" r:id="rId46"/>
          <w:headerReference w:type="first" r:id="rId47"/>
          <w:footerReference w:type="first" r:id="rId48"/>
          <w:pgSz w:w="11907" w:h="16840" w:code="9"/>
          <w:pgMar w:top="907" w:right="992" w:bottom="1418" w:left="1418" w:header="539" w:footer="975" w:gutter="0"/>
          <w:cols w:space="539"/>
          <w:docGrid w:linePitch="360"/>
        </w:sectPr>
      </w:pPr>
      <w:bookmarkStart w:id="190" w:name="_Toc464723821"/>
      <w:bookmarkStart w:id="191" w:name="_Toc464723740"/>
      <w:bookmarkStart w:id="192" w:name="_Toc464685334"/>
      <w:bookmarkStart w:id="193" w:name="_Toc464580583"/>
      <w:bookmarkStart w:id="194" w:name="_Toc464205064"/>
      <w:bookmarkStart w:id="195" w:name="_Toc464061144"/>
      <w:bookmarkStart w:id="196" w:name="_Toc463533707"/>
      <w:bookmarkStart w:id="197" w:name="_Toc463533025"/>
      <w:bookmarkStart w:id="198" w:name="_Toc463514579"/>
      <w:bookmarkStart w:id="199" w:name="_Toc463370183"/>
      <w:bookmarkStart w:id="200" w:name="_Toc463367332"/>
      <w:bookmarkStart w:id="201" w:name="_Toc462307742"/>
      <w:bookmarkStart w:id="202" w:name="_Toc462307652"/>
    </w:p>
    <w:p w:rsidR="006E54C8" w:rsidRPr="00DD3F88" w:rsidRDefault="006E54C8" w:rsidP="00280AD4">
      <w:pPr>
        <w:pStyle w:val="CH1"/>
        <w:tabs>
          <w:tab w:val="left" w:pos="142"/>
          <w:tab w:val="left" w:pos="624"/>
          <w:tab w:val="left" w:pos="1871"/>
          <w:tab w:val="left" w:pos="2495"/>
          <w:tab w:val="left" w:pos="3119"/>
        </w:tabs>
        <w:ind w:left="624" w:firstLine="0"/>
        <w:rPr>
          <w:rFonts w:eastAsia="Calibri"/>
          <w:lang w:val="en-GB"/>
        </w:rPr>
      </w:pPr>
      <w:r w:rsidRPr="00DD3F88">
        <w:rPr>
          <w:rFonts w:eastAsia="Calibri"/>
          <w:lang w:val="en-GB"/>
        </w:rPr>
        <w:lastRenderedPageBreak/>
        <w:t>2.4</w:t>
      </w:r>
      <w:r w:rsidRPr="00DD3F88">
        <w:rPr>
          <w:rFonts w:eastAsia="Calibri"/>
          <w:lang w:val="en-GB"/>
        </w:rPr>
        <w:tab/>
        <w:t>Stage 4: Use of the assessment findings</w:t>
      </w:r>
      <w:bookmarkEnd w:id="190"/>
      <w:bookmarkEnd w:id="191"/>
      <w:bookmarkEnd w:id="192"/>
      <w:bookmarkEnd w:id="193"/>
      <w:bookmarkEnd w:id="194"/>
      <w:bookmarkEnd w:id="195"/>
      <w:bookmarkEnd w:id="196"/>
      <w:bookmarkEnd w:id="197"/>
      <w:bookmarkEnd w:id="198"/>
      <w:bookmarkEnd w:id="199"/>
      <w:bookmarkEnd w:id="200"/>
      <w:bookmarkEnd w:id="201"/>
      <w:bookmarkEnd w:id="202"/>
    </w:p>
    <w:p w:rsidR="006E54C8" w:rsidRPr="00C81B4E" w:rsidRDefault="006E54C8" w:rsidP="00280AD4">
      <w:pPr>
        <w:pStyle w:val="CH1"/>
        <w:tabs>
          <w:tab w:val="left" w:pos="142"/>
          <w:tab w:val="left" w:pos="624"/>
          <w:tab w:val="left" w:pos="1871"/>
          <w:tab w:val="left" w:pos="2495"/>
          <w:tab w:val="left" w:pos="3119"/>
        </w:tabs>
        <w:spacing w:before="0"/>
        <w:ind w:left="624" w:firstLine="0"/>
        <w:rPr>
          <w:rFonts w:eastAsia="Calibri"/>
          <w:lang w:val="en-GB"/>
        </w:rPr>
      </w:pPr>
      <w:r w:rsidRPr="00C81B4E">
        <w:rPr>
          <w:rFonts w:eastAsia="Calibri"/>
          <w:sz w:val="24"/>
          <w:szCs w:val="24"/>
          <w:lang w:val="en-GB"/>
        </w:rPr>
        <w:t>2.4.1</w:t>
      </w:r>
      <w:r w:rsidRPr="00C81B4E">
        <w:rPr>
          <w:rFonts w:eastAsia="Calibri"/>
          <w:sz w:val="24"/>
          <w:szCs w:val="24"/>
          <w:lang w:val="en-GB"/>
        </w:rPr>
        <w:tab/>
        <w:t>Outreach and support for use</w:t>
      </w:r>
    </w:p>
    <w:p w:rsidR="006E54C8" w:rsidRPr="00DD3F88" w:rsidRDefault="006E54C8" w:rsidP="00280AD4">
      <w:pPr>
        <w:tabs>
          <w:tab w:val="left" w:pos="624"/>
          <w:tab w:val="left" w:pos="1871"/>
          <w:tab w:val="left" w:pos="2495"/>
          <w:tab w:val="left" w:pos="3119"/>
        </w:tabs>
        <w:spacing w:after="120"/>
        <w:ind w:left="1247"/>
        <w:rPr>
          <w:rFonts w:eastAsia="Calibri"/>
          <w:lang w:val="en-GB"/>
        </w:rPr>
      </w:pPr>
      <w:r w:rsidRPr="00DD3F88">
        <w:rPr>
          <w:rFonts w:asciiTheme="majorBidi" w:eastAsia="Calibri" w:hAnsiTheme="majorBidi" w:cstheme="majorBidi"/>
          <w:lang w:val="en-GB"/>
        </w:rPr>
        <w:t>The release of the assessment report including front matter (preface), the SPM, the chapters and back matter (annexes) is supported by a communication strategy. The communication strategy will be developed by the assessment Management Committee and approved by the Bureau. The aim of the</w:t>
      </w:r>
      <w:r w:rsidRPr="00DD3F88">
        <w:rPr>
          <w:rFonts w:eastAsia="Calibri"/>
          <w:lang w:val="en-GB"/>
        </w:rPr>
        <w:t xml:space="preserve"> communication strategy is to ensure that the assessment results are appropriately communicated, and reaching the target audiences.</w:t>
      </w:r>
    </w:p>
    <w:p w:rsidR="006E54C8" w:rsidRPr="00DD3F88" w:rsidRDefault="006E54C8" w:rsidP="00280AD4">
      <w:pPr>
        <w:tabs>
          <w:tab w:val="left" w:pos="624"/>
          <w:tab w:val="left" w:pos="1871"/>
          <w:tab w:val="left" w:pos="2495"/>
          <w:tab w:val="left" w:pos="3119"/>
        </w:tabs>
        <w:spacing w:after="120"/>
        <w:ind w:left="1247"/>
        <w:rPr>
          <w:rFonts w:eastAsia="Calibri"/>
          <w:lang w:val="en-GB"/>
        </w:rPr>
      </w:pPr>
      <w:r w:rsidRPr="00DD3F88">
        <w:rPr>
          <w:rFonts w:eastAsia="Calibri"/>
          <w:lang w:val="en-GB"/>
        </w:rPr>
        <w:t>The communication strategy may include the following steps:</w:t>
      </w:r>
    </w:p>
    <w:p w:rsidR="006E54C8" w:rsidRPr="00DD3F88" w:rsidRDefault="006E54C8" w:rsidP="00280AD4">
      <w:pPr>
        <w:pStyle w:val="NormalNonumber"/>
        <w:numPr>
          <w:ilvl w:val="0"/>
          <w:numId w:val="37"/>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Selection and hiring of a media consultant to assist with implementation of the strategy</w:t>
      </w:r>
    </w:p>
    <w:p w:rsidR="006E54C8" w:rsidRPr="00DD3F88" w:rsidRDefault="006E54C8" w:rsidP="00280AD4">
      <w:pPr>
        <w:pStyle w:val="NormalNonumber"/>
        <w:numPr>
          <w:ilvl w:val="0"/>
          <w:numId w:val="37"/>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Identification of the main target audiences related to the assessment</w:t>
      </w:r>
    </w:p>
    <w:p w:rsidR="006E54C8" w:rsidRPr="00DD3F88" w:rsidRDefault="006E54C8" w:rsidP="00280AD4">
      <w:pPr>
        <w:pStyle w:val="NormalNonumber"/>
        <w:numPr>
          <w:ilvl w:val="0"/>
          <w:numId w:val="37"/>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Finalisation of the communication strategy for the assessment with the media consultant, taking into account the IPBES communication, outreach and stakeholder engagement strategy and the needs of the relevant target audiences and stakeholders</w:t>
      </w:r>
    </w:p>
    <w:p w:rsidR="006E54C8" w:rsidRPr="00DD3F88" w:rsidRDefault="006E54C8" w:rsidP="00280AD4">
      <w:pPr>
        <w:pStyle w:val="NormalNonumber"/>
        <w:numPr>
          <w:ilvl w:val="0"/>
          <w:numId w:val="37"/>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Communication ahead of the Plenary session of IPBES where the SPM will be accepted</w:t>
      </w:r>
    </w:p>
    <w:p w:rsidR="006E54C8" w:rsidRPr="00DD3F88" w:rsidRDefault="006E54C8" w:rsidP="00280AD4">
      <w:pPr>
        <w:pStyle w:val="NormalNonumber"/>
        <w:numPr>
          <w:ilvl w:val="0"/>
          <w:numId w:val="37"/>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 xml:space="preserve">Preparation of press releases </w:t>
      </w:r>
    </w:p>
    <w:p w:rsidR="006E54C8" w:rsidRPr="00DD3F88" w:rsidRDefault="006E54C8" w:rsidP="00280AD4">
      <w:pPr>
        <w:pStyle w:val="NormalNonumber"/>
        <w:numPr>
          <w:ilvl w:val="0"/>
          <w:numId w:val="37"/>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Preparation of other media materials (including press kit, mini videos explaining the SPM content, PowerPoint presentation of the outcome of the assessment)</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Mobilisation of all partners and stakeholders to help promote the assessment reports and expand their overall reach and impact</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Webinar with key journalists ahead of Plenary</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Outreach with social media</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Media training for IPBES authors, selected MEP, Bureau and secretariat staff</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Communication during the Plenary</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Press conference to announce the approval of the SPM</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Interviews with press, TV, radio in response to requests</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Outreach with social media</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Communication after the Plenary</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Publication of printed versions of the SPM and technical reports</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Additional press conferences as appropriate</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Outreach with social media</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ind w:left="1871" w:hanging="624"/>
        <w:rPr>
          <w:rFonts w:eastAsia="Calibri"/>
          <w:lang w:val="en-GB"/>
        </w:rPr>
      </w:pPr>
      <w:r w:rsidRPr="00DD3F88">
        <w:rPr>
          <w:rFonts w:eastAsia="Calibri"/>
          <w:lang w:val="en-GB"/>
        </w:rPr>
        <w:t>Media monitoring and follow up</w:t>
      </w:r>
    </w:p>
    <w:p w:rsidR="006E54C8" w:rsidRPr="00DD3F88" w:rsidRDefault="006E54C8" w:rsidP="00280AD4">
      <w:pPr>
        <w:pStyle w:val="NormalNonumber"/>
        <w:numPr>
          <w:ilvl w:val="0"/>
          <w:numId w:val="38"/>
        </w:numPr>
        <w:tabs>
          <w:tab w:val="clear" w:pos="1814"/>
          <w:tab w:val="clear" w:pos="2381"/>
          <w:tab w:val="clear" w:pos="2948"/>
          <w:tab w:val="clear" w:pos="3515"/>
          <w:tab w:val="clear" w:pos="4082"/>
          <w:tab w:val="left" w:pos="624"/>
          <w:tab w:val="left" w:pos="1871"/>
          <w:tab w:val="left" w:pos="2495"/>
          <w:tab w:val="left" w:pos="3119"/>
        </w:tabs>
        <w:spacing w:before="240" w:after="240"/>
        <w:ind w:left="1871" w:hanging="624"/>
        <w:rPr>
          <w:rFonts w:cs="Calibri"/>
          <w:b/>
          <w:lang w:val="en-GB"/>
        </w:rPr>
      </w:pPr>
      <w:r w:rsidRPr="00DD3F88">
        <w:rPr>
          <w:rFonts w:eastAsia="Calibri"/>
          <w:lang w:val="en-GB"/>
        </w:rPr>
        <w:t>Engagement over the course of the year with the different audiences and stakeholders following the approval of the SPM, including conference and events</w:t>
      </w:r>
      <w:bookmarkStart w:id="203" w:name="_Toc464723822"/>
      <w:bookmarkStart w:id="204" w:name="_Toc464723741"/>
      <w:bookmarkStart w:id="205" w:name="_Toc464685335"/>
      <w:bookmarkStart w:id="206" w:name="_Toc464580584"/>
      <w:bookmarkStart w:id="207" w:name="_Toc464205065"/>
      <w:bookmarkStart w:id="208" w:name="_Toc464061145"/>
      <w:bookmarkStart w:id="209" w:name="_Toc463533708"/>
      <w:bookmarkStart w:id="210" w:name="_Toc463533026"/>
      <w:bookmarkStart w:id="211" w:name="_Toc463514580"/>
      <w:bookmarkStart w:id="212" w:name="_Toc463370184"/>
      <w:bookmarkStart w:id="213" w:name="_Toc463367333"/>
      <w:bookmarkStart w:id="214" w:name="_Toc462307743"/>
      <w:bookmarkStart w:id="215" w:name="_Toc462307653"/>
      <w:bookmarkStart w:id="216" w:name="_Toc456950774"/>
      <w:bookmarkStart w:id="217" w:name="_Toc456949951"/>
      <w:bookmarkStart w:id="218" w:name="_Toc456949807"/>
      <w:bookmarkStart w:id="219" w:name="_Toc456949500"/>
      <w:bookmarkStart w:id="220" w:name="_Toc456947046"/>
    </w:p>
    <w:p w:rsidR="006E54C8" w:rsidRPr="00DD3F88" w:rsidRDefault="006E54C8" w:rsidP="00280AD4">
      <w:pPr>
        <w:tabs>
          <w:tab w:val="left" w:pos="624"/>
          <w:tab w:val="left" w:pos="1871"/>
          <w:tab w:val="left" w:pos="2495"/>
          <w:tab w:val="left" w:pos="3119"/>
        </w:tabs>
        <w:spacing w:after="120"/>
        <w:ind w:left="1134"/>
        <w:rPr>
          <w:rFonts w:asciiTheme="majorBidi" w:eastAsia="Calibri" w:hAnsiTheme="majorBidi" w:cstheme="majorBidi"/>
          <w:lang w:val="en-GB"/>
        </w:rPr>
      </w:pPr>
      <w:r w:rsidRPr="00DD3F88">
        <w:rPr>
          <w:rFonts w:asciiTheme="majorBidi" w:eastAsia="Calibri" w:hAnsiTheme="majorBidi" w:cstheme="majorBidi"/>
          <w:lang w:val="en-GB"/>
        </w:rPr>
        <w:t xml:space="preserve">IPBES uses embargoed releases and interviews prior to the launch of the SPM as a means to ensure a disciplined approach to the dissemination of its key messages and findings. This approach is implemented after the approval of the SPMs by member States. </w:t>
      </w:r>
    </w:p>
    <w:p w:rsidR="006E54C8" w:rsidRPr="00DD3F88" w:rsidRDefault="006E54C8" w:rsidP="00280AD4">
      <w:pPr>
        <w:tabs>
          <w:tab w:val="left" w:pos="624"/>
          <w:tab w:val="left" w:pos="1871"/>
          <w:tab w:val="left" w:pos="2495"/>
          <w:tab w:val="left" w:pos="3119"/>
        </w:tabs>
        <w:spacing w:after="120"/>
        <w:ind w:left="1134"/>
        <w:rPr>
          <w:rFonts w:asciiTheme="majorBidi" w:eastAsia="Calibri" w:hAnsiTheme="majorBidi" w:cstheme="majorBidi"/>
          <w:lang w:val="en-GB"/>
        </w:rPr>
      </w:pPr>
      <w:r w:rsidRPr="00DD3F88">
        <w:rPr>
          <w:rFonts w:asciiTheme="majorBidi" w:eastAsia="Calibri" w:hAnsiTheme="majorBidi" w:cstheme="majorBidi"/>
          <w:lang w:val="en-GB"/>
        </w:rPr>
        <w:t>The Platform’s key strategic objectives at the launch of an assessment which is a periods of heightened activity are, first, to maintain vigorous, accurate and sustained press coverage, second, to coordinate and control messaging that is kept strictly within the bounds set for the Platform’s reports, namely, that they should be policy relevant, not policy prescriptive, and, third, to meet the requests made by end users – in particular policymakers and scientific and technical experts in government and the private sector – for the conduct of seminars, briefings and meetings.</w:t>
      </w:r>
      <w:r w:rsidRPr="00DD3F88">
        <w:rPr>
          <w:vertAlign w:val="superscript"/>
          <w:lang w:val="en-GB"/>
        </w:rPr>
        <w:footnoteReference w:id="13"/>
      </w:r>
    </w:p>
    <w:p w:rsidR="006E54C8" w:rsidRPr="00DD3F88" w:rsidRDefault="006E54C8" w:rsidP="00280AD4">
      <w:pPr>
        <w:tabs>
          <w:tab w:val="left" w:pos="624"/>
          <w:tab w:val="left" w:pos="1871"/>
          <w:tab w:val="left" w:pos="2495"/>
          <w:tab w:val="left" w:pos="3119"/>
        </w:tabs>
        <w:spacing w:after="120"/>
        <w:ind w:left="1134"/>
        <w:rPr>
          <w:rFonts w:asciiTheme="majorBidi" w:eastAsia="Calibri" w:hAnsiTheme="majorBidi" w:cstheme="majorBidi"/>
          <w:lang w:val="en-GB"/>
        </w:rPr>
      </w:pPr>
      <w:r w:rsidRPr="00DD3F88">
        <w:rPr>
          <w:rFonts w:asciiTheme="majorBidi" w:eastAsia="Calibri" w:hAnsiTheme="majorBidi" w:cstheme="majorBidi"/>
          <w:lang w:val="en-GB"/>
        </w:rPr>
        <w:t xml:space="preserve">Communicating the results of the Platform’s assessments will be a challenging task because of the range and complexity of scientific issues and the increasing need to reach audiences beyond scientists and </w:t>
      </w:r>
      <w:r w:rsidRPr="00DD3F88">
        <w:rPr>
          <w:rFonts w:asciiTheme="majorBidi" w:eastAsia="Calibri" w:hAnsiTheme="majorBidi" w:cstheme="majorBidi"/>
          <w:lang w:val="en-GB"/>
        </w:rPr>
        <w:lastRenderedPageBreak/>
        <w:t>Governments. With the help of a communications consulting firm, clear messages can be crafted for different audiences. Furthermore, trained science writers can translate technical language into text suitable for mass communication or design web pages that explain scientific concepts to lay audiences without misconstruing or distorting the evidence underpinning those concepts.</w:t>
      </w:r>
      <w:r w:rsidRPr="00DD3F88">
        <w:rPr>
          <w:vertAlign w:val="superscript"/>
          <w:lang w:val="en-GB"/>
        </w:rPr>
        <w:footnoteReference w:id="14"/>
      </w:r>
    </w:p>
    <w:p w:rsidR="006E54C8" w:rsidRPr="00DD3F88" w:rsidRDefault="006E54C8" w:rsidP="00280AD4">
      <w:pPr>
        <w:tabs>
          <w:tab w:val="left" w:pos="624"/>
          <w:tab w:val="left" w:pos="1871"/>
          <w:tab w:val="left" w:pos="2495"/>
          <w:tab w:val="left" w:pos="3119"/>
        </w:tabs>
        <w:spacing w:after="120"/>
        <w:ind w:left="1134"/>
        <w:rPr>
          <w:rFonts w:asciiTheme="majorBidi" w:eastAsia="Calibri" w:hAnsiTheme="majorBidi" w:cstheme="majorBidi"/>
          <w:lang w:val="en-GB"/>
        </w:rPr>
      </w:pPr>
      <w:r w:rsidRPr="00DD3F88">
        <w:rPr>
          <w:rFonts w:asciiTheme="majorBidi" w:eastAsia="Calibri" w:hAnsiTheme="majorBidi" w:cstheme="majorBidi"/>
          <w:lang w:val="en-GB"/>
        </w:rPr>
        <w:t>Presentation of the findings of assessment reports: the launch of the pollination assessment led to a very intense press activity with articles on all major newswires (Reuters, AFP, EFE, etc.), 1200 on-line news articles in 25 languages in 80 countries, plus numerous articles in print newspapers (e.g. NY times) and radio coverage. “Jeopardy”, a long-running US game TV show with an average daily audience of 9 million, included the following question based on the IPBES report in its April 26, 2016 broadcast (category: “Science Update”). A table summarizing all these press articles is included on the IPBES web site (</w:t>
      </w:r>
      <w:hyperlink r:id="rId49" w:history="1">
        <w:r w:rsidRPr="00DD3F88">
          <w:rPr>
            <w:rStyle w:val="Hyperlink"/>
            <w:rFonts w:asciiTheme="majorBidi" w:eastAsia="Calibri" w:hAnsiTheme="majorBidi" w:cstheme="majorBidi"/>
            <w:lang w:val="en-GB"/>
          </w:rPr>
          <w:t>www.ipbes.net/article/ipbes-pollinationreport-media-coverage</w:t>
        </w:r>
      </w:hyperlink>
      <w:r w:rsidRPr="00DD3F88">
        <w:rPr>
          <w:rFonts w:asciiTheme="majorBidi" w:eastAsia="Calibri" w:hAnsiTheme="majorBidi" w:cstheme="majorBidi"/>
          <w:lang w:val="en-GB"/>
        </w:rPr>
        <w:t>).</w:t>
      </w:r>
      <w:r w:rsidRPr="00DD3F88">
        <w:rPr>
          <w:vertAlign w:val="superscript"/>
          <w:lang w:val="en-GB"/>
        </w:rPr>
        <w:footnoteReference w:id="15"/>
      </w:r>
      <w:r w:rsidRPr="00DD3F88">
        <w:rPr>
          <w:rFonts w:asciiTheme="majorBidi" w:eastAsia="Calibri" w:hAnsiTheme="majorBidi" w:cstheme="majorBidi"/>
          <w:vertAlign w:val="superscript"/>
          <w:lang w:val="en-GB"/>
        </w:rPr>
        <w:t xml:space="preserve"> </w:t>
      </w:r>
    </w:p>
    <w:p w:rsidR="006E54C8" w:rsidRPr="00DD3F88" w:rsidRDefault="006E54C8" w:rsidP="00280AD4">
      <w:pPr>
        <w:tabs>
          <w:tab w:val="left" w:pos="624"/>
          <w:tab w:val="left" w:pos="1871"/>
          <w:tab w:val="left" w:pos="2495"/>
          <w:tab w:val="left" w:pos="3119"/>
        </w:tabs>
        <w:spacing w:after="120"/>
        <w:ind w:left="1134"/>
        <w:rPr>
          <w:rFonts w:asciiTheme="majorBidi" w:eastAsia="Times New Roman" w:hAnsiTheme="majorBidi" w:cstheme="majorBidi"/>
          <w:lang w:val="en-GB"/>
        </w:rPr>
      </w:pPr>
      <w:r w:rsidRPr="00DD3F88">
        <w:rPr>
          <w:rFonts w:asciiTheme="majorBidi" w:eastAsia="Times New Roman" w:hAnsiTheme="majorBidi" w:cstheme="majorBidi"/>
          <w:b/>
          <w:bCs/>
          <w:lang w:val="en-GB"/>
        </w:rPr>
        <w:t>Other activities in addition to the communication strategy</w:t>
      </w:r>
      <w:r w:rsidRPr="00DD3F88">
        <w:rPr>
          <w:rFonts w:asciiTheme="majorBidi" w:eastAsia="Times New Roman" w:hAnsiTheme="majorBidi" w:cstheme="majorBidi"/>
          <w:lang w:val="en-GB"/>
        </w:rPr>
        <w:t xml:space="preserve"> can be </w:t>
      </w:r>
      <w:r w:rsidRPr="00280AD4">
        <w:rPr>
          <w:rFonts w:asciiTheme="majorBidi" w:eastAsia="Calibri" w:hAnsiTheme="majorBidi" w:cstheme="majorBidi"/>
          <w:lang w:val="en-GB"/>
        </w:rPr>
        <w:t>undertaken</w:t>
      </w:r>
      <w:r w:rsidRPr="00DD3F88">
        <w:rPr>
          <w:rFonts w:asciiTheme="majorBidi" w:eastAsia="Times New Roman" w:hAnsiTheme="majorBidi" w:cstheme="majorBidi"/>
          <w:lang w:val="en-GB"/>
        </w:rPr>
        <w:t xml:space="preserve"> to encourage the use of the key findings of the assessment include:</w:t>
      </w:r>
    </w:p>
    <w:p w:rsidR="006E54C8" w:rsidRPr="00DD3F88" w:rsidRDefault="006E54C8" w:rsidP="00280AD4">
      <w:pPr>
        <w:pStyle w:val="ListParagraph"/>
        <w:numPr>
          <w:ilvl w:val="0"/>
          <w:numId w:val="39"/>
        </w:numPr>
        <w:tabs>
          <w:tab w:val="left" w:pos="624"/>
          <w:tab w:val="left" w:pos="709"/>
          <w:tab w:val="left" w:pos="1247"/>
          <w:tab w:val="left" w:pos="1871"/>
          <w:tab w:val="left" w:pos="2381"/>
          <w:tab w:val="left" w:pos="2495"/>
          <w:tab w:val="left" w:pos="2948"/>
          <w:tab w:val="left" w:pos="3119"/>
          <w:tab w:val="left" w:pos="3515"/>
        </w:tabs>
        <w:spacing w:after="240"/>
        <w:ind w:left="1871" w:hanging="624"/>
        <w:rPr>
          <w:rFonts w:asciiTheme="majorBidi" w:eastAsia="Times New Roman" w:hAnsiTheme="majorBidi" w:cstheme="majorBidi"/>
          <w:sz w:val="20"/>
          <w:szCs w:val="20"/>
          <w:lang w:val="en-GB"/>
        </w:rPr>
      </w:pPr>
      <w:r w:rsidRPr="00DD3F88">
        <w:rPr>
          <w:rFonts w:asciiTheme="majorBidi" w:eastAsia="Times New Roman" w:hAnsiTheme="majorBidi" w:cstheme="majorBidi"/>
          <w:sz w:val="20"/>
          <w:szCs w:val="20"/>
          <w:lang w:val="en-GB"/>
        </w:rPr>
        <w:t>working with key partners on the use of findings, such as the parties and observers under relevant multilateral agreements</w:t>
      </w:r>
    </w:p>
    <w:p w:rsidR="006E54C8" w:rsidRPr="00DD3F88" w:rsidRDefault="006E54C8" w:rsidP="00280AD4">
      <w:pPr>
        <w:pStyle w:val="ListParagraph"/>
        <w:numPr>
          <w:ilvl w:val="0"/>
          <w:numId w:val="39"/>
        </w:numPr>
        <w:tabs>
          <w:tab w:val="left" w:pos="624"/>
          <w:tab w:val="left" w:pos="709"/>
          <w:tab w:val="left" w:pos="1247"/>
          <w:tab w:val="left" w:pos="1871"/>
          <w:tab w:val="left" w:pos="2381"/>
          <w:tab w:val="left" w:pos="2495"/>
          <w:tab w:val="left" w:pos="2948"/>
          <w:tab w:val="left" w:pos="3119"/>
          <w:tab w:val="left" w:pos="3515"/>
        </w:tabs>
        <w:spacing w:after="240"/>
        <w:ind w:left="1871" w:hanging="624"/>
        <w:rPr>
          <w:rFonts w:asciiTheme="majorBidi" w:eastAsia="Calibri" w:hAnsiTheme="majorBidi" w:cstheme="majorBidi"/>
          <w:iCs/>
          <w:color w:val="000000" w:themeColor="text1"/>
          <w:sz w:val="20"/>
          <w:szCs w:val="20"/>
          <w:lang w:val="en-GB"/>
        </w:rPr>
      </w:pPr>
      <w:r w:rsidRPr="00DD3F88">
        <w:rPr>
          <w:rFonts w:asciiTheme="majorBidi" w:eastAsia="Times New Roman" w:hAnsiTheme="majorBidi" w:cstheme="majorBidi"/>
          <w:sz w:val="20"/>
          <w:szCs w:val="20"/>
          <w:lang w:val="en-GB"/>
        </w:rPr>
        <w:t>making knowledge and data gaps identified within the assessments available to the scientific community and research funding agencies (through the use of the knowledge catalysis function of IPBES), in order to generate further research, monitoring and modelling</w:t>
      </w:r>
    </w:p>
    <w:p w:rsidR="006E54C8" w:rsidRPr="00DD3F88" w:rsidRDefault="006E54C8" w:rsidP="00280AD4">
      <w:pPr>
        <w:pStyle w:val="ListParagraph"/>
        <w:numPr>
          <w:ilvl w:val="0"/>
          <w:numId w:val="39"/>
        </w:numPr>
        <w:tabs>
          <w:tab w:val="left" w:pos="624"/>
          <w:tab w:val="left" w:pos="709"/>
          <w:tab w:val="left" w:pos="1247"/>
          <w:tab w:val="left" w:pos="1871"/>
          <w:tab w:val="left" w:pos="2381"/>
          <w:tab w:val="left" w:pos="2495"/>
          <w:tab w:val="left" w:pos="2948"/>
          <w:tab w:val="left" w:pos="3119"/>
          <w:tab w:val="left" w:pos="3515"/>
        </w:tabs>
        <w:spacing w:after="240"/>
        <w:ind w:left="1871" w:hanging="624"/>
        <w:rPr>
          <w:rFonts w:asciiTheme="majorBidi" w:eastAsia="Calibri" w:hAnsiTheme="majorBidi" w:cstheme="majorBidi"/>
          <w:iCs/>
          <w:color w:val="000000" w:themeColor="text1"/>
          <w:sz w:val="20"/>
          <w:szCs w:val="20"/>
          <w:lang w:val="en-GB"/>
        </w:rPr>
      </w:pPr>
      <w:r w:rsidRPr="00DD3F88">
        <w:rPr>
          <w:rFonts w:asciiTheme="majorBidi" w:eastAsia="Calibri" w:hAnsiTheme="majorBidi" w:cstheme="majorBidi"/>
          <w:iCs/>
          <w:color w:val="000000" w:themeColor="text1"/>
          <w:sz w:val="20"/>
          <w:szCs w:val="20"/>
          <w:lang w:val="en-GB"/>
        </w:rPr>
        <w:t xml:space="preserve">working, through </w:t>
      </w:r>
      <w:r w:rsidRPr="00280AD4">
        <w:rPr>
          <w:rFonts w:asciiTheme="majorBidi" w:eastAsia="Times New Roman" w:hAnsiTheme="majorBidi" w:cstheme="majorBidi"/>
          <w:sz w:val="20"/>
          <w:szCs w:val="20"/>
          <w:lang w:val="en-GB"/>
        </w:rPr>
        <w:t>capacity</w:t>
      </w:r>
      <w:r w:rsidRPr="00DD3F88">
        <w:rPr>
          <w:rFonts w:asciiTheme="majorBidi" w:eastAsia="Calibri" w:hAnsiTheme="majorBidi" w:cstheme="majorBidi"/>
          <w:iCs/>
          <w:color w:val="000000" w:themeColor="text1"/>
          <w:sz w:val="20"/>
          <w:szCs w:val="20"/>
          <w:lang w:val="en-GB"/>
        </w:rPr>
        <w:t xml:space="preserve"> building activities, with countries to implement mechanisms which will help to leverage further impact of IPBES products such as through national platforms and national assessments.</w:t>
      </w:r>
    </w:p>
    <w:p w:rsidR="006E54C8" w:rsidRPr="00DD3F88" w:rsidRDefault="006E54C8" w:rsidP="00280AD4">
      <w:pPr>
        <w:pStyle w:val="ListParagraph"/>
        <w:numPr>
          <w:ilvl w:val="0"/>
          <w:numId w:val="39"/>
        </w:numPr>
        <w:tabs>
          <w:tab w:val="left" w:pos="624"/>
          <w:tab w:val="left" w:pos="709"/>
          <w:tab w:val="left" w:pos="1247"/>
          <w:tab w:val="left" w:pos="1871"/>
          <w:tab w:val="left" w:pos="2381"/>
          <w:tab w:val="left" w:pos="2495"/>
          <w:tab w:val="left" w:pos="2948"/>
          <w:tab w:val="left" w:pos="3119"/>
          <w:tab w:val="left" w:pos="3515"/>
        </w:tabs>
        <w:spacing w:after="240"/>
        <w:ind w:left="1871" w:hanging="624"/>
        <w:rPr>
          <w:rFonts w:asciiTheme="majorBidi" w:eastAsia="Calibri" w:hAnsiTheme="majorBidi" w:cstheme="majorBidi"/>
          <w:iCs/>
          <w:color w:val="000000" w:themeColor="text1"/>
          <w:sz w:val="20"/>
          <w:szCs w:val="20"/>
          <w:lang w:val="en-GB"/>
        </w:rPr>
      </w:pPr>
      <w:r w:rsidRPr="00DD3F88">
        <w:rPr>
          <w:rFonts w:asciiTheme="majorBidi" w:eastAsia="Calibri" w:hAnsiTheme="majorBidi" w:cstheme="majorBidi"/>
          <w:iCs/>
          <w:color w:val="000000" w:themeColor="text1"/>
          <w:sz w:val="20"/>
          <w:szCs w:val="20"/>
          <w:lang w:val="en-GB"/>
        </w:rPr>
        <w:t xml:space="preserve">capturing </w:t>
      </w:r>
      <w:r w:rsidRPr="00280AD4">
        <w:rPr>
          <w:rFonts w:asciiTheme="majorBidi" w:eastAsia="Times New Roman" w:hAnsiTheme="majorBidi" w:cstheme="majorBidi"/>
          <w:sz w:val="20"/>
          <w:szCs w:val="20"/>
          <w:lang w:val="en-GB"/>
        </w:rPr>
        <w:t>information</w:t>
      </w:r>
      <w:r w:rsidRPr="00DD3F88">
        <w:rPr>
          <w:rFonts w:asciiTheme="majorBidi" w:eastAsia="Calibri" w:hAnsiTheme="majorBidi" w:cstheme="majorBidi"/>
          <w:iCs/>
          <w:color w:val="000000" w:themeColor="text1"/>
          <w:sz w:val="20"/>
          <w:szCs w:val="20"/>
          <w:lang w:val="en-GB"/>
        </w:rPr>
        <w:t xml:space="preserve"> on policy support tools in IPBES assessments and include it in the Catalogue to allow users to search and access the tools</w:t>
      </w:r>
    </w:p>
    <w:p w:rsidR="006E54C8" w:rsidRPr="00DD3F88" w:rsidRDefault="006E54C8" w:rsidP="00280AD4">
      <w:pPr>
        <w:pStyle w:val="ListParagraph"/>
        <w:numPr>
          <w:ilvl w:val="0"/>
          <w:numId w:val="39"/>
        </w:numPr>
        <w:tabs>
          <w:tab w:val="left" w:pos="624"/>
          <w:tab w:val="left" w:pos="709"/>
          <w:tab w:val="left" w:pos="1247"/>
          <w:tab w:val="left" w:pos="1871"/>
          <w:tab w:val="left" w:pos="2381"/>
          <w:tab w:val="left" w:pos="2495"/>
          <w:tab w:val="left" w:pos="2948"/>
          <w:tab w:val="left" w:pos="3119"/>
          <w:tab w:val="left" w:pos="3515"/>
        </w:tabs>
        <w:spacing w:after="240"/>
        <w:ind w:left="1871" w:hanging="624"/>
        <w:rPr>
          <w:rFonts w:asciiTheme="majorBidi" w:eastAsia="Calibri" w:hAnsiTheme="majorBidi" w:cstheme="majorBidi"/>
          <w:iCs/>
          <w:color w:val="000000" w:themeColor="text1"/>
          <w:sz w:val="20"/>
          <w:szCs w:val="20"/>
          <w:lang w:val="en-GB"/>
        </w:rPr>
      </w:pPr>
      <w:r w:rsidRPr="00DD3F88">
        <w:rPr>
          <w:rFonts w:asciiTheme="majorBidi" w:eastAsia="Calibri" w:hAnsiTheme="majorBidi" w:cstheme="majorBidi"/>
          <w:iCs/>
          <w:color w:val="000000" w:themeColor="text1"/>
          <w:lang w:val="en-GB"/>
        </w:rPr>
        <w:t>e</w:t>
      </w:r>
      <w:r w:rsidRPr="00DD3F88">
        <w:rPr>
          <w:rFonts w:asciiTheme="majorBidi" w:eastAsia="Calibri" w:hAnsiTheme="majorBidi" w:cstheme="majorBidi"/>
          <w:iCs/>
          <w:color w:val="000000" w:themeColor="text1"/>
          <w:sz w:val="20"/>
          <w:szCs w:val="20"/>
          <w:lang w:val="en-GB"/>
        </w:rPr>
        <w:t xml:space="preserve">xperts in both published assessments are now preparing a number of scientific publications on various aspects of these </w:t>
      </w:r>
      <w:r w:rsidRPr="00280AD4">
        <w:rPr>
          <w:rFonts w:asciiTheme="majorBidi" w:eastAsia="Times New Roman" w:hAnsiTheme="majorBidi" w:cstheme="majorBidi"/>
          <w:sz w:val="20"/>
          <w:szCs w:val="20"/>
          <w:lang w:val="en-GB"/>
        </w:rPr>
        <w:t>two</w:t>
      </w:r>
      <w:r w:rsidRPr="00DD3F88">
        <w:rPr>
          <w:rFonts w:asciiTheme="majorBidi" w:eastAsia="Calibri" w:hAnsiTheme="majorBidi" w:cstheme="majorBidi"/>
          <w:iCs/>
          <w:color w:val="000000" w:themeColor="text1"/>
          <w:sz w:val="20"/>
          <w:szCs w:val="20"/>
          <w:lang w:val="en-GB"/>
        </w:rPr>
        <w:t xml:space="preserve"> reports. These articles will be listed on the IPBES web site</w:t>
      </w:r>
      <w:r w:rsidRPr="00DD3F88">
        <w:rPr>
          <w:rFonts w:ascii="Times New Roman" w:eastAsia="Calibri" w:hAnsi="Times New Roman" w:cs="Times New Roman"/>
          <w:iCs/>
          <w:color w:val="000000" w:themeColor="text1"/>
          <w:lang w:val="en-GB"/>
        </w:rPr>
        <w:t>.</w:t>
      </w:r>
    </w:p>
    <w:p w:rsidR="006E54C8" w:rsidRPr="00DD3F88" w:rsidRDefault="006E54C8" w:rsidP="00280AD4">
      <w:pPr>
        <w:pStyle w:val="CH1"/>
        <w:tabs>
          <w:tab w:val="clear" w:pos="851"/>
          <w:tab w:val="clear" w:pos="1247"/>
          <w:tab w:val="clear" w:pos="1814"/>
          <w:tab w:val="clear" w:pos="2381"/>
          <w:tab w:val="clear" w:pos="2948"/>
          <w:tab w:val="clear" w:pos="3515"/>
          <w:tab w:val="clear" w:pos="4082"/>
        </w:tabs>
        <w:ind w:left="1333" w:hanging="709"/>
        <w:rPr>
          <w:lang w:val="en-GB"/>
        </w:rPr>
      </w:pPr>
      <w:r w:rsidRPr="00DD3F88">
        <w:rPr>
          <w:lang w:val="en-GB"/>
        </w:rPr>
        <w:t>3.</w:t>
      </w:r>
      <w:r w:rsidRPr="00DD3F88">
        <w:rPr>
          <w:lang w:val="en-GB"/>
        </w:rPr>
        <w:tab/>
        <w:t>References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6E54C8" w:rsidRPr="00DD3F88" w:rsidRDefault="006E54C8" w:rsidP="00280AD4">
      <w:pPr>
        <w:pStyle w:val="NormalNonumber"/>
        <w:tabs>
          <w:tab w:val="left" w:pos="624"/>
          <w:tab w:val="left" w:pos="1871"/>
          <w:tab w:val="left" w:pos="2495"/>
          <w:tab w:val="left" w:pos="3119"/>
        </w:tabs>
        <w:rPr>
          <w:rFonts w:eastAsia="Calibri"/>
          <w:color w:val="000000" w:themeColor="text1"/>
          <w:lang w:val="en-GB"/>
        </w:rPr>
      </w:pPr>
      <w:r w:rsidRPr="00DD3F88">
        <w:rPr>
          <w:rFonts w:eastAsia="Calibri"/>
          <w:color w:val="000000" w:themeColor="text1"/>
          <w:lang w:val="en-GB"/>
        </w:rPr>
        <w:t xml:space="preserve">Ash, N., Blanco, H., Brown, C., Garcia, K., </w:t>
      </w:r>
      <w:proofErr w:type="spellStart"/>
      <w:r w:rsidRPr="00DD3F88">
        <w:rPr>
          <w:rFonts w:eastAsia="Calibri"/>
          <w:color w:val="000000" w:themeColor="text1"/>
          <w:lang w:val="en-GB"/>
        </w:rPr>
        <w:t>Henrichs</w:t>
      </w:r>
      <w:proofErr w:type="spellEnd"/>
      <w:r w:rsidRPr="00DD3F88">
        <w:rPr>
          <w:rFonts w:eastAsia="Calibri"/>
          <w:color w:val="000000" w:themeColor="text1"/>
          <w:lang w:val="en-GB"/>
        </w:rPr>
        <w:t xml:space="preserve">, T., Lucas, N., </w:t>
      </w:r>
      <w:proofErr w:type="spellStart"/>
      <w:r w:rsidRPr="00DD3F88">
        <w:rPr>
          <w:rFonts w:eastAsia="Calibri"/>
          <w:color w:val="000000" w:themeColor="text1"/>
          <w:lang w:val="en-GB"/>
        </w:rPr>
        <w:t>Raudsepp</w:t>
      </w:r>
      <w:proofErr w:type="spellEnd"/>
      <w:r w:rsidRPr="00DD3F88">
        <w:rPr>
          <w:rFonts w:eastAsia="Calibri"/>
          <w:color w:val="000000" w:themeColor="text1"/>
          <w:lang w:val="en-GB"/>
        </w:rPr>
        <w:t xml:space="preserve">-Hearne, C., Simpson, R.D., Scholes, R., </w:t>
      </w:r>
      <w:proofErr w:type="spellStart"/>
      <w:r w:rsidRPr="00DD3F88">
        <w:rPr>
          <w:rFonts w:eastAsia="Calibri"/>
          <w:color w:val="000000" w:themeColor="text1"/>
          <w:lang w:val="en-GB"/>
        </w:rPr>
        <w:t>Tomich</w:t>
      </w:r>
      <w:proofErr w:type="spellEnd"/>
      <w:r w:rsidRPr="00DD3F88">
        <w:rPr>
          <w:rFonts w:eastAsia="Calibri"/>
          <w:color w:val="000000" w:themeColor="text1"/>
          <w:lang w:val="en-GB"/>
        </w:rPr>
        <w:t xml:space="preserve">, T.P., </w:t>
      </w:r>
      <w:proofErr w:type="spellStart"/>
      <w:r w:rsidRPr="00DD3F88">
        <w:rPr>
          <w:rFonts w:eastAsia="Calibri"/>
          <w:color w:val="000000" w:themeColor="text1"/>
          <w:lang w:val="en-GB"/>
        </w:rPr>
        <w:t>Vira</w:t>
      </w:r>
      <w:proofErr w:type="spellEnd"/>
      <w:r w:rsidRPr="00DD3F88">
        <w:rPr>
          <w:rFonts w:eastAsia="Calibri"/>
          <w:color w:val="000000" w:themeColor="text1"/>
          <w:lang w:val="en-GB"/>
        </w:rPr>
        <w:t>, B., and Zurek, M. (</w:t>
      </w:r>
      <w:proofErr w:type="spellStart"/>
      <w:r w:rsidRPr="00DD3F88">
        <w:rPr>
          <w:rFonts w:eastAsia="Calibri"/>
          <w:color w:val="000000" w:themeColor="text1"/>
          <w:lang w:val="en-GB"/>
        </w:rPr>
        <w:t>Eds</w:t>
      </w:r>
      <w:proofErr w:type="spellEnd"/>
      <w:r w:rsidRPr="00DD3F88">
        <w:rPr>
          <w:rFonts w:eastAsia="Calibri"/>
          <w:color w:val="000000" w:themeColor="text1"/>
          <w:lang w:val="en-GB"/>
        </w:rPr>
        <w:t xml:space="preserve">). (2010). </w:t>
      </w:r>
      <w:r w:rsidRPr="00DD3F88">
        <w:rPr>
          <w:rFonts w:eastAsia="Calibri"/>
          <w:i/>
          <w:color w:val="000000" w:themeColor="text1"/>
          <w:lang w:val="en-GB"/>
        </w:rPr>
        <w:t>Ecosystems and Human Well-being: A Manual for Assessment Practitioners</w:t>
      </w:r>
      <w:r w:rsidRPr="00DD3F88">
        <w:rPr>
          <w:rFonts w:eastAsia="Calibri"/>
          <w:color w:val="000000" w:themeColor="text1"/>
          <w:lang w:val="en-GB"/>
        </w:rPr>
        <w:t xml:space="preserve">. Washington DC: Island Press. </w:t>
      </w:r>
    </w:p>
    <w:p w:rsidR="006E54C8" w:rsidRPr="00DD3F88" w:rsidRDefault="006E54C8" w:rsidP="00280AD4">
      <w:pPr>
        <w:pStyle w:val="NormalNonumber"/>
        <w:tabs>
          <w:tab w:val="left" w:pos="624"/>
          <w:tab w:val="left" w:pos="1871"/>
          <w:tab w:val="left" w:pos="2495"/>
          <w:tab w:val="left" w:pos="3119"/>
        </w:tabs>
        <w:rPr>
          <w:rFonts w:eastAsia="Calibri"/>
          <w:b/>
          <w:bCs/>
          <w:sz w:val="28"/>
          <w:szCs w:val="22"/>
          <w:lang w:val="en-GB"/>
        </w:rPr>
      </w:pPr>
      <w:bookmarkStart w:id="221" w:name="_Toc473817308"/>
      <w:bookmarkStart w:id="222" w:name="_Toc471840058"/>
      <w:bookmarkStart w:id="223" w:name="_Toc464723823"/>
      <w:bookmarkStart w:id="224" w:name="_Toc464723742"/>
      <w:bookmarkStart w:id="225" w:name="_Toc464685336"/>
      <w:bookmarkStart w:id="226" w:name="_Toc464580585"/>
      <w:bookmarkStart w:id="227" w:name="_Toc464205066"/>
      <w:bookmarkStart w:id="228" w:name="_Toc464061146"/>
      <w:bookmarkStart w:id="229" w:name="_Toc463533709"/>
      <w:bookmarkStart w:id="230" w:name="_Toc463533027"/>
      <w:bookmarkStart w:id="231" w:name="_Toc463514581"/>
      <w:bookmarkStart w:id="232" w:name="_Toc463370185"/>
      <w:bookmarkStart w:id="233" w:name="_Toc463367334"/>
      <w:bookmarkStart w:id="234" w:name="_Toc462307744"/>
      <w:bookmarkStart w:id="235" w:name="_Toc462307654"/>
      <w:proofErr w:type="spellStart"/>
      <w:r w:rsidRPr="00DD3F88">
        <w:rPr>
          <w:color w:val="000000" w:themeColor="text1"/>
          <w:lang w:val="en-GB"/>
        </w:rPr>
        <w:t>Mastrandrea</w:t>
      </w:r>
      <w:proofErr w:type="spellEnd"/>
      <w:r w:rsidRPr="00DD3F88">
        <w:rPr>
          <w:color w:val="000000" w:themeColor="text1"/>
          <w:lang w:val="en-GB"/>
        </w:rPr>
        <w:t xml:space="preserve"> MD, Field CB, Stocker TF, </w:t>
      </w:r>
      <w:proofErr w:type="spellStart"/>
      <w:r w:rsidRPr="00DD3F88">
        <w:rPr>
          <w:color w:val="000000" w:themeColor="text1"/>
          <w:lang w:val="en-GB"/>
        </w:rPr>
        <w:t>Edenhofer</w:t>
      </w:r>
      <w:proofErr w:type="spellEnd"/>
      <w:r w:rsidRPr="00DD3F88">
        <w:rPr>
          <w:color w:val="000000" w:themeColor="text1"/>
          <w:lang w:val="en-GB"/>
        </w:rPr>
        <w:t xml:space="preserve"> O, </w:t>
      </w:r>
      <w:proofErr w:type="spellStart"/>
      <w:r w:rsidRPr="00DD3F88">
        <w:rPr>
          <w:color w:val="000000" w:themeColor="text1"/>
          <w:lang w:val="en-GB"/>
        </w:rPr>
        <w:t>Ebi</w:t>
      </w:r>
      <w:proofErr w:type="spellEnd"/>
      <w:r w:rsidRPr="00DD3F88">
        <w:rPr>
          <w:color w:val="000000" w:themeColor="text1"/>
          <w:lang w:val="en-GB"/>
        </w:rPr>
        <w:t xml:space="preserve"> KL, Frame DJ, Held H, </w:t>
      </w:r>
      <w:proofErr w:type="spellStart"/>
      <w:r w:rsidRPr="00DD3F88">
        <w:rPr>
          <w:color w:val="000000" w:themeColor="text1"/>
          <w:lang w:val="en-GB"/>
        </w:rPr>
        <w:t>Kriegler</w:t>
      </w:r>
      <w:proofErr w:type="spellEnd"/>
      <w:r w:rsidRPr="00DD3F88">
        <w:rPr>
          <w:color w:val="000000" w:themeColor="text1"/>
          <w:lang w:val="en-GB"/>
        </w:rPr>
        <w:t xml:space="preserve"> E, Mach KJ, </w:t>
      </w:r>
      <w:proofErr w:type="spellStart"/>
      <w:r w:rsidRPr="00DD3F88">
        <w:rPr>
          <w:color w:val="000000" w:themeColor="text1"/>
          <w:lang w:val="en-GB"/>
        </w:rPr>
        <w:t>Matschoss</w:t>
      </w:r>
      <w:proofErr w:type="spellEnd"/>
      <w:r w:rsidRPr="00DD3F88">
        <w:rPr>
          <w:color w:val="000000" w:themeColor="text1"/>
          <w:lang w:val="en-GB"/>
        </w:rPr>
        <w:t xml:space="preserve"> PR, </w:t>
      </w:r>
      <w:proofErr w:type="spellStart"/>
      <w:r w:rsidRPr="00DD3F88">
        <w:rPr>
          <w:color w:val="000000" w:themeColor="text1"/>
          <w:lang w:val="en-GB"/>
        </w:rPr>
        <w:t>Plattner</w:t>
      </w:r>
      <w:proofErr w:type="spellEnd"/>
      <w:r w:rsidRPr="00DD3F88">
        <w:rPr>
          <w:color w:val="000000" w:themeColor="text1"/>
          <w:lang w:val="en-GB"/>
        </w:rPr>
        <w:t xml:space="preserve"> G-K, </w:t>
      </w:r>
      <w:proofErr w:type="spellStart"/>
      <w:r w:rsidRPr="00DD3F88">
        <w:rPr>
          <w:color w:val="000000" w:themeColor="text1"/>
          <w:lang w:val="en-GB"/>
        </w:rPr>
        <w:t>Yohe</w:t>
      </w:r>
      <w:proofErr w:type="spellEnd"/>
      <w:r w:rsidRPr="00DD3F88">
        <w:rPr>
          <w:color w:val="000000" w:themeColor="text1"/>
          <w:lang w:val="en-GB"/>
        </w:rPr>
        <w:t xml:space="preserve"> GW, Zwiers FW (2010) Guidance note for lead authors of the IPCC Fifth Assessment Report on consistent treatment of uncertainties. Intergovernmental Panel on Climate Change (IPCC). http://www.ipcc-wg2.gov/meetings/CGCs/index.html#UR. A</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546A3E" w:rsidRDefault="00546A3E" w:rsidP="00280AD4">
      <w:pPr>
        <w:tabs>
          <w:tab w:val="clear" w:pos="1814"/>
          <w:tab w:val="clear" w:pos="2381"/>
          <w:tab w:val="clear" w:pos="2948"/>
          <w:tab w:val="clear" w:pos="3515"/>
          <w:tab w:val="left" w:pos="624"/>
          <w:tab w:val="left" w:pos="1871"/>
          <w:tab w:val="left" w:pos="2495"/>
          <w:tab w:val="left" w:pos="3119"/>
        </w:tabs>
        <w:rPr>
          <w:rFonts w:eastAsia="Times New Roman" w:cs="Times New Roman"/>
          <w:lang w:val="fr-CA"/>
        </w:rPr>
      </w:pPr>
    </w:p>
    <w:p w:rsidR="003B1F39" w:rsidRDefault="003B1F39" w:rsidP="00280AD4">
      <w:pPr>
        <w:pStyle w:val="Normalnumber"/>
        <w:numPr>
          <w:ilvl w:val="0"/>
          <w:numId w:val="0"/>
        </w:numPr>
        <w:tabs>
          <w:tab w:val="left" w:pos="624"/>
          <w:tab w:val="left" w:pos="1871"/>
          <w:tab w:val="left" w:pos="2495"/>
          <w:tab w:val="left" w:pos="3119"/>
        </w:tabs>
        <w:ind w:left="1247"/>
      </w:pP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8"/>
        <w:gridCol w:w="1899"/>
        <w:gridCol w:w="1900"/>
        <w:gridCol w:w="1900"/>
      </w:tblGrid>
      <w:tr w:rsidR="008C00D6" w:rsidRPr="003B1F39" w:rsidTr="007E2B3C">
        <w:tc>
          <w:tcPr>
            <w:tcW w:w="1921" w:type="dxa"/>
          </w:tcPr>
          <w:p w:rsidR="008C00D6" w:rsidRPr="003B1F39" w:rsidRDefault="008C00D6" w:rsidP="00280AD4">
            <w:pPr>
              <w:pStyle w:val="Normal-pool"/>
              <w:tabs>
                <w:tab w:val="left" w:pos="624"/>
                <w:tab w:val="left" w:pos="1871"/>
                <w:tab w:val="left" w:pos="2495"/>
                <w:tab w:val="left" w:pos="3119"/>
              </w:tabs>
            </w:pPr>
          </w:p>
        </w:tc>
        <w:tc>
          <w:tcPr>
            <w:tcW w:w="1921" w:type="dxa"/>
          </w:tcPr>
          <w:p w:rsidR="008C00D6" w:rsidRPr="003B1F39" w:rsidRDefault="008C00D6" w:rsidP="00280AD4">
            <w:pPr>
              <w:pStyle w:val="Normal-pool"/>
              <w:tabs>
                <w:tab w:val="left" w:pos="624"/>
                <w:tab w:val="left" w:pos="1871"/>
                <w:tab w:val="left" w:pos="2495"/>
                <w:tab w:val="left" w:pos="3119"/>
              </w:tabs>
            </w:pPr>
          </w:p>
        </w:tc>
        <w:tc>
          <w:tcPr>
            <w:tcW w:w="1922" w:type="dxa"/>
            <w:tcBorders>
              <w:bottom w:val="single" w:sz="4" w:space="0" w:color="auto"/>
            </w:tcBorders>
          </w:tcPr>
          <w:p w:rsidR="008C00D6" w:rsidRPr="003B1F39" w:rsidRDefault="008C00D6" w:rsidP="00280AD4">
            <w:pPr>
              <w:pStyle w:val="Normal-pool"/>
              <w:tabs>
                <w:tab w:val="left" w:pos="624"/>
                <w:tab w:val="left" w:pos="1871"/>
                <w:tab w:val="left" w:pos="2495"/>
                <w:tab w:val="left" w:pos="3119"/>
              </w:tabs>
              <w:spacing w:before="520"/>
            </w:pPr>
          </w:p>
        </w:tc>
        <w:tc>
          <w:tcPr>
            <w:tcW w:w="1923" w:type="dxa"/>
          </w:tcPr>
          <w:p w:rsidR="008C00D6" w:rsidRPr="003B1F39" w:rsidRDefault="008C00D6" w:rsidP="00280AD4">
            <w:pPr>
              <w:pStyle w:val="Normal-pool"/>
              <w:tabs>
                <w:tab w:val="left" w:pos="624"/>
                <w:tab w:val="left" w:pos="1871"/>
                <w:tab w:val="left" w:pos="2495"/>
                <w:tab w:val="left" w:pos="3119"/>
              </w:tabs>
            </w:pPr>
          </w:p>
        </w:tc>
        <w:tc>
          <w:tcPr>
            <w:tcW w:w="1923" w:type="dxa"/>
          </w:tcPr>
          <w:p w:rsidR="008C00D6" w:rsidRPr="003B1F39" w:rsidRDefault="008C00D6" w:rsidP="00280AD4">
            <w:pPr>
              <w:pStyle w:val="Normal-pool"/>
              <w:tabs>
                <w:tab w:val="left" w:pos="624"/>
                <w:tab w:val="left" w:pos="1871"/>
                <w:tab w:val="left" w:pos="2495"/>
                <w:tab w:val="left" w:pos="3119"/>
              </w:tabs>
            </w:pPr>
          </w:p>
        </w:tc>
      </w:tr>
    </w:tbl>
    <w:p w:rsidR="00985ADF" w:rsidRPr="00F02B81" w:rsidRDefault="00985ADF" w:rsidP="00280AD4">
      <w:pPr>
        <w:pStyle w:val="Normal-pool"/>
        <w:tabs>
          <w:tab w:val="left" w:pos="624"/>
          <w:tab w:val="left" w:pos="1871"/>
          <w:tab w:val="left" w:pos="2495"/>
          <w:tab w:val="left" w:pos="3119"/>
        </w:tabs>
        <w:spacing w:line="20" w:lineRule="exact"/>
        <w:rPr>
          <w:sz w:val="4"/>
          <w:szCs w:val="4"/>
          <w:lang w:eastAsia="ja-JP"/>
        </w:rPr>
      </w:pPr>
    </w:p>
    <w:sectPr w:rsidR="00985ADF" w:rsidRPr="00F02B81" w:rsidSect="00280AD4">
      <w:headerReference w:type="even" r:id="rId50"/>
      <w:headerReference w:type="default" r:id="rId51"/>
      <w:footerReference w:type="even" r:id="rId52"/>
      <w:footerReference w:type="default" r:id="rId53"/>
      <w:footerReference w:type="first" r:id="rId54"/>
      <w:pgSz w:w="11906" w:h="16838"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BB4" w:rsidRDefault="00404BB4">
      <w:r>
        <w:separator/>
      </w:r>
    </w:p>
  </w:endnote>
  <w:endnote w:type="continuationSeparator" w:id="0">
    <w:p w:rsidR="00404BB4" w:rsidRDefault="00404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
    <w:altName w:val="Arial"/>
    <w:charset w:val="00"/>
    <w:family w:val="swiss"/>
    <w:pitch w:val="variable"/>
    <w:sig w:usb0="80000287" w:usb1="00000000" w:usb2="00000000" w:usb3="00000000" w:csb0="0000000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Gill Sans">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736519"/>
      <w:docPartObj>
        <w:docPartGallery w:val="Page Numbers (Bottom of Page)"/>
        <w:docPartUnique/>
      </w:docPartObj>
    </w:sdtPr>
    <w:sdtEndPr>
      <w:rPr>
        <w:noProof/>
      </w:rPr>
    </w:sdtEndPr>
    <w:sdtContent>
      <w:p w:rsidR="00480CDD" w:rsidRDefault="00480CDD" w:rsidP="00480CDD">
        <w:pPr>
          <w:pStyle w:val="Footer"/>
        </w:pPr>
        <w:r>
          <w:fldChar w:fldCharType="begin"/>
        </w:r>
        <w:r>
          <w:instrText xml:space="preserve"> PAGE   \* MERGEFORMAT </w:instrText>
        </w:r>
        <w:r>
          <w:fldChar w:fldCharType="separate"/>
        </w:r>
        <w:r w:rsidR="00280AD4">
          <w:rPr>
            <w:noProof/>
          </w:rPr>
          <w:t>2</w:t>
        </w:r>
        <w:r>
          <w:rPr>
            <w:noProof/>
          </w:rPr>
          <w:fldChar w:fldCharType="end"/>
        </w:r>
      </w:p>
    </w:sdtContent>
  </w:sdt>
  <w:p w:rsidR="00480CDD" w:rsidRDefault="00480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462507"/>
      <w:docPartObj>
        <w:docPartGallery w:val="Page Numbers (Bottom of Page)"/>
        <w:docPartUnique/>
      </w:docPartObj>
    </w:sdtPr>
    <w:sdtEndPr>
      <w:rPr>
        <w:noProof/>
      </w:rPr>
    </w:sdtEndPr>
    <w:sdtContent>
      <w:p w:rsidR="00480CDD" w:rsidRDefault="00480CDD">
        <w:pPr>
          <w:pStyle w:val="Footer"/>
          <w:jc w:val="right"/>
        </w:pPr>
        <w:r>
          <w:fldChar w:fldCharType="begin"/>
        </w:r>
        <w:r>
          <w:instrText xml:space="preserve"> PAGE   \* MERGEFORMAT </w:instrText>
        </w:r>
        <w:r>
          <w:fldChar w:fldCharType="separate"/>
        </w:r>
        <w:r w:rsidR="00280AD4">
          <w:rPr>
            <w:noProof/>
          </w:rPr>
          <w:t>3</w:t>
        </w:r>
        <w:r>
          <w:rPr>
            <w:noProof/>
          </w:rPr>
          <w:fldChar w:fldCharType="end"/>
        </w:r>
      </w:p>
    </w:sdtContent>
  </w:sdt>
  <w:p w:rsidR="00480CDD" w:rsidRDefault="00480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Default="00480CDD">
    <w:pPr>
      <w:pStyle w:val="Footer"/>
    </w:pPr>
    <w:r>
      <w:t>K1800135</w:t>
    </w:r>
    <w:r>
      <w:tab/>
    </w:r>
    <w:r w:rsidR="00280AD4">
      <w:t>31</w:t>
    </w:r>
    <w:r>
      <w:t>0118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Pr="00F1704D" w:rsidRDefault="00480CDD" w:rsidP="00480CDD">
    <w:pPr>
      <w:pStyle w:val="Footer"/>
      <w:rPr>
        <w:b/>
      </w:rPr>
    </w:pPr>
    <w:r w:rsidRPr="00F1704D">
      <w:rPr>
        <w:rStyle w:val="PageNumber"/>
        <w:b w:val="0"/>
      </w:rPr>
      <w:fldChar w:fldCharType="begin"/>
    </w:r>
    <w:r w:rsidRPr="00F1704D">
      <w:rPr>
        <w:rStyle w:val="PageNumber"/>
        <w:b w:val="0"/>
      </w:rPr>
      <w:instrText xml:space="preserve"> PAGE </w:instrText>
    </w:r>
    <w:r w:rsidRPr="00F1704D">
      <w:rPr>
        <w:rStyle w:val="PageNumber"/>
        <w:b w:val="0"/>
      </w:rPr>
      <w:fldChar w:fldCharType="separate"/>
    </w:r>
    <w:r w:rsidR="00280AD4">
      <w:rPr>
        <w:rStyle w:val="PageNumber"/>
        <w:b w:val="0"/>
        <w:noProof/>
      </w:rPr>
      <w:t>36</w:t>
    </w:r>
    <w:r w:rsidRPr="00F1704D">
      <w:rPr>
        <w:rStyle w:val="PageNumber"/>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926867"/>
      <w:docPartObj>
        <w:docPartGallery w:val="Page Numbers (Bottom of Page)"/>
        <w:docPartUnique/>
      </w:docPartObj>
    </w:sdtPr>
    <w:sdtEndPr>
      <w:rPr>
        <w:noProof/>
      </w:rPr>
    </w:sdtEndPr>
    <w:sdtContent>
      <w:p w:rsidR="00480CDD" w:rsidRDefault="00480CDD" w:rsidP="00480CDD">
        <w:pPr>
          <w:pStyle w:val="Footer"/>
          <w:jc w:val="right"/>
        </w:pPr>
        <w:r>
          <w:fldChar w:fldCharType="begin"/>
        </w:r>
        <w:r>
          <w:instrText xml:space="preserve"> PAGE   \* MERGEFORMAT </w:instrText>
        </w:r>
        <w:r>
          <w:fldChar w:fldCharType="separate"/>
        </w:r>
        <w:r w:rsidR="00280AD4">
          <w:rPr>
            <w:noProof/>
          </w:rPr>
          <w:t>37</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257488"/>
      <w:docPartObj>
        <w:docPartGallery w:val="Page Numbers (Bottom of Page)"/>
        <w:docPartUnique/>
      </w:docPartObj>
    </w:sdtPr>
    <w:sdtEndPr>
      <w:rPr>
        <w:noProof/>
      </w:rPr>
    </w:sdtEndPr>
    <w:sdtContent>
      <w:p w:rsidR="00480CDD" w:rsidRDefault="00480CDD">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rsidR="00480CDD" w:rsidRDefault="00480C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Pr="003B1F39" w:rsidRDefault="00480CDD" w:rsidP="003B1F39">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280AD4">
      <w:rPr>
        <w:rStyle w:val="PageNumber"/>
        <w:b/>
        <w:noProof/>
      </w:rPr>
      <w:t>38</w:t>
    </w:r>
    <w:r w:rsidRPr="003B1F39">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Pr="003B1F39" w:rsidRDefault="00480CDD" w:rsidP="003B1F39">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280AD4">
      <w:rPr>
        <w:rStyle w:val="PageNumber"/>
        <w:b/>
        <w:noProof/>
      </w:rPr>
      <w:t>39</w:t>
    </w:r>
    <w:r w:rsidRPr="003B1F39">
      <w:rPr>
        <w:rStyle w:val="PageNumbe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Pr="008C00D6" w:rsidRDefault="00480CDD" w:rsidP="00B42549">
    <w:pPr>
      <w:pStyle w:val="Normal-pool"/>
      <w:tabs>
        <w:tab w:val="clear" w:pos="1247"/>
        <w:tab w:val="clear" w:pos="1814"/>
        <w:tab w:val="clear" w:pos="2381"/>
        <w:tab w:val="clear" w:pos="2948"/>
        <w:tab w:val="clear" w:pos="3515"/>
        <w:tab w:val="clear" w:pos="4082"/>
        <w:tab w:val="left" w:pos="624"/>
      </w:tabs>
    </w:pPr>
    <w:r>
      <w:t>K1707xxx</w:t>
    </w:r>
    <w:r>
      <w:tab/>
      <w:t>xxxx17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BB4" w:rsidRDefault="00404BB4" w:rsidP="00D92DE0">
      <w:pPr>
        <w:ind w:left="624"/>
      </w:pPr>
      <w:r>
        <w:separator/>
      </w:r>
    </w:p>
  </w:footnote>
  <w:footnote w:type="continuationSeparator" w:id="0">
    <w:p w:rsidR="00404BB4" w:rsidRDefault="00404BB4">
      <w:r>
        <w:continuationSeparator/>
      </w:r>
    </w:p>
  </w:footnote>
  <w:footnote w:id="1">
    <w:p w:rsidR="00480CDD" w:rsidRPr="00705DB6" w:rsidRDefault="00480CDD" w:rsidP="00BE37BE">
      <w:pPr>
        <w:pStyle w:val="FootnoteText"/>
        <w:rPr>
          <w:lang w:val="en-US"/>
        </w:rPr>
      </w:pPr>
      <w:r w:rsidRPr="00280AD4">
        <w:rPr>
          <w:rStyle w:val="FootnoteReference"/>
          <w:vertAlign w:val="baseline"/>
          <w:lang w:val="en-GB"/>
        </w:rPr>
        <w:t>*</w:t>
      </w:r>
      <w:r w:rsidRPr="00280AD4">
        <w:rPr>
          <w:lang w:val="en-GB"/>
        </w:rPr>
        <w:t xml:space="preserve"> </w:t>
      </w:r>
      <w:r w:rsidRPr="00280AD4">
        <w:rPr>
          <w:szCs w:val="18"/>
          <w:lang w:val="en-GB"/>
        </w:rPr>
        <w:t>IPBES/6/1.</w:t>
      </w:r>
    </w:p>
  </w:footnote>
  <w:footnote w:id="2">
    <w:p w:rsidR="00480CDD" w:rsidRPr="00280AD4" w:rsidRDefault="00480CDD" w:rsidP="006E54C8">
      <w:pPr>
        <w:spacing w:before="20" w:after="40"/>
        <w:ind w:left="1247"/>
        <w:rPr>
          <w:rFonts w:eastAsia="Times New Roman"/>
          <w:sz w:val="18"/>
          <w:szCs w:val="18"/>
          <w:lang w:val="en-GB"/>
        </w:rPr>
      </w:pPr>
      <w:r>
        <w:rPr>
          <w:rStyle w:val="FootnoteReference"/>
          <w:sz w:val="18"/>
        </w:rPr>
        <w:footnoteRef/>
      </w:r>
      <w:r w:rsidRPr="00280AD4">
        <w:rPr>
          <w:sz w:val="18"/>
          <w:szCs w:val="18"/>
          <w:lang w:val="en-GB"/>
        </w:rPr>
        <w:t xml:space="preserve"> These ecosystem services - many times enhanced by human efforts - include for example the provision of food and fibre; the production of oxygen and soil; the regulation of diseases and climate; and the contribution to human innovation, culture and spirituality. Within IPBES the term Nature’s contributions to people is used.</w:t>
      </w:r>
    </w:p>
  </w:footnote>
  <w:footnote w:id="3">
    <w:p w:rsidR="00480CDD" w:rsidRPr="00280AD4" w:rsidRDefault="00480CDD" w:rsidP="006E54C8">
      <w:pPr>
        <w:spacing w:before="20" w:after="40"/>
        <w:ind w:left="1247"/>
        <w:rPr>
          <w:sz w:val="18"/>
          <w:szCs w:val="18"/>
          <w:lang w:val="en-GB"/>
        </w:rPr>
      </w:pPr>
      <w:r>
        <w:rPr>
          <w:rStyle w:val="FootnoteReference"/>
          <w:sz w:val="18"/>
        </w:rPr>
        <w:footnoteRef/>
      </w:r>
      <w:r w:rsidRPr="00280AD4">
        <w:rPr>
          <w:sz w:val="18"/>
          <w:szCs w:val="18"/>
          <w:lang w:val="en-GB"/>
        </w:rPr>
        <w:t xml:space="preserve"> For further information see the following document: https://www.ipbes.net/sites/default/files/downloads/Functions%20operating%20principles%20and%20institutional%20arrangements%20of%20IPBES_2012.pdf</w:t>
      </w:r>
    </w:p>
  </w:footnote>
  <w:footnote w:id="4">
    <w:p w:rsidR="00480CDD" w:rsidRPr="00280AD4" w:rsidRDefault="00480CDD" w:rsidP="006E54C8">
      <w:pPr>
        <w:spacing w:before="20" w:after="40"/>
        <w:ind w:left="1247"/>
        <w:rPr>
          <w:sz w:val="18"/>
          <w:szCs w:val="18"/>
          <w:lang w:val="en-GB"/>
        </w:rPr>
      </w:pPr>
      <w:r>
        <w:rPr>
          <w:rStyle w:val="FootnoteReference"/>
          <w:sz w:val="18"/>
        </w:rPr>
        <w:footnoteRef/>
      </w:r>
      <w:r w:rsidRPr="00280AD4">
        <w:rPr>
          <w:sz w:val="18"/>
          <w:szCs w:val="18"/>
          <w:lang w:val="en-GB"/>
        </w:rPr>
        <w:t xml:space="preserve"> Currently including the thematic assessment of </w:t>
      </w:r>
      <w:r w:rsidRPr="00280AD4">
        <w:rPr>
          <w:i/>
          <w:sz w:val="18"/>
          <w:szCs w:val="18"/>
          <w:lang w:val="en-GB"/>
        </w:rPr>
        <w:t>pollinators, pollination and food production</w:t>
      </w:r>
      <w:r w:rsidRPr="00280AD4">
        <w:rPr>
          <w:sz w:val="18"/>
          <w:szCs w:val="18"/>
          <w:lang w:val="en-GB"/>
        </w:rPr>
        <w:t xml:space="preserve"> and methodological assessment of </w:t>
      </w:r>
      <w:r w:rsidRPr="00280AD4">
        <w:rPr>
          <w:i/>
          <w:sz w:val="18"/>
          <w:szCs w:val="18"/>
          <w:lang w:val="en-GB"/>
        </w:rPr>
        <w:t>scenario analysis and modelling</w:t>
      </w:r>
      <w:r w:rsidRPr="00280AD4">
        <w:rPr>
          <w:sz w:val="18"/>
          <w:szCs w:val="18"/>
          <w:lang w:val="en-GB"/>
        </w:rPr>
        <w:t xml:space="preserve"> (both completed in 2016); thematic assessment on </w:t>
      </w:r>
      <w:r w:rsidRPr="00280AD4">
        <w:rPr>
          <w:i/>
          <w:sz w:val="18"/>
          <w:szCs w:val="18"/>
          <w:lang w:val="en-GB"/>
        </w:rPr>
        <w:t>land degradation and restoration</w:t>
      </w:r>
      <w:r w:rsidRPr="00280AD4">
        <w:rPr>
          <w:sz w:val="18"/>
          <w:szCs w:val="18"/>
          <w:lang w:val="en-GB"/>
        </w:rPr>
        <w:t xml:space="preserve">; regional assessments of biodiversity and ecosystem services for </w:t>
      </w:r>
      <w:r w:rsidRPr="00280AD4">
        <w:rPr>
          <w:i/>
          <w:sz w:val="18"/>
          <w:szCs w:val="18"/>
          <w:lang w:val="en-GB"/>
        </w:rPr>
        <w:t>Africa</w:t>
      </w:r>
      <w:r w:rsidRPr="00280AD4">
        <w:rPr>
          <w:sz w:val="18"/>
          <w:szCs w:val="18"/>
          <w:lang w:val="en-GB"/>
        </w:rPr>
        <w:t xml:space="preserve">, the </w:t>
      </w:r>
      <w:r w:rsidRPr="00280AD4">
        <w:rPr>
          <w:i/>
          <w:sz w:val="18"/>
          <w:szCs w:val="18"/>
          <w:lang w:val="en-GB"/>
        </w:rPr>
        <w:t>Americas</w:t>
      </w:r>
      <w:r w:rsidRPr="00280AD4">
        <w:rPr>
          <w:sz w:val="18"/>
          <w:szCs w:val="18"/>
          <w:lang w:val="en-GB"/>
        </w:rPr>
        <w:t xml:space="preserve">, </w:t>
      </w:r>
      <w:r w:rsidRPr="00280AD4">
        <w:rPr>
          <w:i/>
          <w:sz w:val="18"/>
          <w:szCs w:val="18"/>
          <w:lang w:val="en-GB"/>
        </w:rPr>
        <w:t>Asia-Pacific</w:t>
      </w:r>
      <w:r w:rsidRPr="00280AD4">
        <w:rPr>
          <w:sz w:val="18"/>
          <w:szCs w:val="18"/>
          <w:lang w:val="en-GB"/>
        </w:rPr>
        <w:t xml:space="preserve">, </w:t>
      </w:r>
      <w:r w:rsidRPr="00280AD4">
        <w:rPr>
          <w:i/>
          <w:sz w:val="18"/>
          <w:szCs w:val="18"/>
          <w:lang w:val="en-GB"/>
        </w:rPr>
        <w:t>Europe and Central Asia</w:t>
      </w:r>
      <w:r w:rsidRPr="00280AD4">
        <w:rPr>
          <w:sz w:val="18"/>
          <w:szCs w:val="18"/>
          <w:lang w:val="en-GB"/>
        </w:rPr>
        <w:t xml:space="preserve"> and a </w:t>
      </w:r>
      <w:r w:rsidRPr="00280AD4">
        <w:rPr>
          <w:i/>
          <w:sz w:val="18"/>
          <w:szCs w:val="18"/>
          <w:lang w:val="en-GB"/>
        </w:rPr>
        <w:t>global assessment of biodiversity and ecosystem services</w:t>
      </w:r>
      <w:r w:rsidRPr="00280AD4">
        <w:rPr>
          <w:sz w:val="18"/>
          <w:szCs w:val="18"/>
          <w:lang w:val="en-GB"/>
        </w:rPr>
        <w:t>.</w:t>
      </w:r>
    </w:p>
  </w:footnote>
  <w:footnote w:id="5">
    <w:p w:rsidR="00480CDD" w:rsidRPr="00280AD4" w:rsidRDefault="00480CDD" w:rsidP="006E54C8">
      <w:pPr>
        <w:spacing w:before="20" w:after="40"/>
        <w:ind w:left="1247"/>
        <w:rPr>
          <w:sz w:val="18"/>
          <w:szCs w:val="18"/>
          <w:lang w:val="en-GB"/>
        </w:rPr>
      </w:pPr>
      <w:r>
        <w:rPr>
          <w:rStyle w:val="FootnoteReference"/>
          <w:sz w:val="18"/>
        </w:rPr>
        <w:footnoteRef/>
      </w:r>
      <w:r w:rsidRPr="00280AD4">
        <w:rPr>
          <w:sz w:val="18"/>
          <w:szCs w:val="18"/>
          <w:lang w:val="en-GB"/>
        </w:rPr>
        <w:t xml:space="preserve"> The first IPBES programme of work 2014-2018 was agreed in December 2013 setting out a number of deliverables, including the development of guidance materials and the scoping and completion of thematic and regional assessments. This Guide is deliverable 2(a) of the first work programme of IPBES.</w:t>
      </w:r>
    </w:p>
  </w:footnote>
  <w:footnote w:id="6">
    <w:p w:rsidR="00480CDD" w:rsidRPr="00280AD4" w:rsidRDefault="00480CDD" w:rsidP="006E54C8">
      <w:pPr>
        <w:pStyle w:val="FootnoteText"/>
        <w:rPr>
          <w:lang w:val="en-GB"/>
        </w:rPr>
      </w:pPr>
      <w:r>
        <w:rPr>
          <w:rStyle w:val="FootnoteReference"/>
        </w:rPr>
        <w:footnoteRef/>
      </w:r>
      <w:r w:rsidRPr="00280AD4">
        <w:rPr>
          <w:lang w:val="en-GB"/>
        </w:rPr>
        <w:t xml:space="preserve"> For the catalogue of policy support tools and methodologies see: https://www.ipbes.net/catalogue-policy-support-tools-and-methodologies</w:t>
      </w:r>
    </w:p>
  </w:footnote>
  <w:footnote w:id="7">
    <w:p w:rsidR="00480CDD" w:rsidRPr="00280AD4" w:rsidRDefault="00480CDD" w:rsidP="006E54C8">
      <w:pPr>
        <w:spacing w:before="20" w:after="40"/>
        <w:ind w:left="1247"/>
        <w:rPr>
          <w:sz w:val="18"/>
          <w:szCs w:val="18"/>
          <w:lang w:val="en-GB"/>
        </w:rPr>
      </w:pPr>
      <w:r>
        <w:rPr>
          <w:rStyle w:val="FootnoteReference"/>
          <w:sz w:val="18"/>
        </w:rPr>
        <w:footnoteRef/>
      </w:r>
      <w:r w:rsidRPr="00280AD4">
        <w:rPr>
          <w:sz w:val="18"/>
          <w:szCs w:val="18"/>
          <w:lang w:val="en-GB"/>
        </w:rPr>
        <w:t xml:space="preserve"> The Bureau may consider requests after the deadline on an extraordinary basis.</w:t>
      </w:r>
    </w:p>
  </w:footnote>
  <w:footnote w:id="8">
    <w:p w:rsidR="00480CDD" w:rsidRPr="00280AD4" w:rsidRDefault="00480CDD" w:rsidP="006E54C8">
      <w:pPr>
        <w:pStyle w:val="FootnoteText"/>
        <w:rPr>
          <w:lang w:val="en-GB"/>
        </w:rPr>
      </w:pPr>
      <w:r>
        <w:rPr>
          <w:rStyle w:val="FootnoteReference"/>
        </w:rPr>
        <w:footnoteRef/>
      </w:r>
      <w:r w:rsidRPr="00280AD4">
        <w:rPr>
          <w:lang w:val="en-GB"/>
        </w:rPr>
        <w:t xml:space="preserve"> https://www.ipbes.net/conflict-interest-policy-implementation-procedures</w:t>
      </w:r>
    </w:p>
  </w:footnote>
  <w:footnote w:id="9">
    <w:p w:rsidR="00480CDD" w:rsidRDefault="00480CDD" w:rsidP="00574170">
      <w:pPr>
        <w:pStyle w:val="FootnoteText"/>
      </w:pPr>
      <w:r>
        <w:rPr>
          <w:rStyle w:val="FootnoteReference"/>
        </w:rPr>
        <w:footnoteRef/>
      </w:r>
      <w:r>
        <w:t xml:space="preserve"> https://www.ipbes.net/sites/default/files/downloads/pdf/SPM_Deliverable_3c.pdf</w:t>
      </w:r>
    </w:p>
  </w:footnote>
  <w:footnote w:id="10">
    <w:p w:rsidR="00480CDD" w:rsidRPr="00280AD4" w:rsidRDefault="00480CDD" w:rsidP="00574170">
      <w:pPr>
        <w:pStyle w:val="FootnoteText"/>
        <w:rPr>
          <w:lang w:val="en-GB"/>
        </w:rPr>
      </w:pPr>
      <w:r>
        <w:rPr>
          <w:rStyle w:val="FootnoteReference"/>
        </w:rPr>
        <w:footnoteRef/>
      </w:r>
      <w:r w:rsidRPr="00280AD4">
        <w:rPr>
          <w:lang w:val="en-GB"/>
        </w:rPr>
        <w:t xml:space="preserve"> </w:t>
      </w:r>
      <w:r w:rsidRPr="00280AD4">
        <w:rPr>
          <w:rFonts w:ascii="Calibri" w:hAnsi="Calibri"/>
          <w:color w:val="000000"/>
          <w:lang w:val="en-GB"/>
        </w:rPr>
        <w:t xml:space="preserve">The policy support tools and </w:t>
      </w:r>
      <w:proofErr w:type="gramStart"/>
      <w:r w:rsidRPr="00280AD4">
        <w:rPr>
          <w:rFonts w:ascii="Calibri" w:hAnsi="Calibri"/>
          <w:color w:val="000000"/>
          <w:lang w:val="en-GB"/>
        </w:rPr>
        <w:t>methodologies  guidance</w:t>
      </w:r>
      <w:proofErr w:type="gramEnd"/>
      <w:r w:rsidRPr="00280AD4">
        <w:rPr>
          <w:rFonts w:ascii="Calibri" w:hAnsi="Calibri"/>
          <w:color w:val="000000"/>
          <w:lang w:val="en-GB"/>
        </w:rPr>
        <w:t xml:space="preserve"> is under development and may modify this section</w:t>
      </w:r>
    </w:p>
  </w:footnote>
  <w:footnote w:id="11">
    <w:p w:rsidR="00480CDD" w:rsidRDefault="00480CDD" w:rsidP="006E54C8">
      <w:pPr>
        <w:pStyle w:val="Header"/>
        <w:pBdr>
          <w:bottom w:val="single" w:sz="4" w:space="0" w:color="auto"/>
        </w:pBdr>
        <w:rPr>
          <w:lang w:val="en-US"/>
        </w:rPr>
      </w:pPr>
      <w:r>
        <w:rPr>
          <w:rStyle w:val="FootnoteReference"/>
        </w:rPr>
        <w:footnoteRef/>
      </w:r>
      <w:r w:rsidRPr="00280AD4">
        <w:rPr>
          <w:lang w:val="en-GB"/>
        </w:rPr>
        <w:t xml:space="preserve"> </w:t>
      </w:r>
      <w:r w:rsidRPr="00280AD4">
        <w:rPr>
          <w:b w:val="0"/>
          <w:bCs/>
          <w:lang w:val="en-GB"/>
        </w:rPr>
        <w:t>“</w:t>
      </w:r>
      <w:r w:rsidRPr="00280AD4">
        <w:rPr>
          <w:lang w:val="en-GB"/>
        </w:rPr>
        <w:t>Validation</w:t>
      </w:r>
      <w:r w:rsidRPr="00280AD4">
        <w:rPr>
          <w:b w:val="0"/>
          <w:bCs/>
          <w:lang w:val="en-GB"/>
        </w:rPr>
        <w:t>” of the Platform’s reports is a process by which the Multidisciplinary Expert Panel and the Bureau provide their endorsement that the processes for the preparation of Platform reports have been duly followed (</w:t>
      </w:r>
      <w:r w:rsidRPr="00280AD4">
        <w:rPr>
          <w:b w:val="0"/>
          <w:bCs/>
          <w:szCs w:val="18"/>
          <w:lang w:val="en-GB"/>
        </w:rPr>
        <w:t>IPBES/3/</w:t>
      </w:r>
      <w:r>
        <w:rPr>
          <w:b w:val="0"/>
          <w:bCs/>
          <w:lang w:val="en-US"/>
        </w:rPr>
        <w:t>18, p.75).</w:t>
      </w:r>
    </w:p>
  </w:footnote>
  <w:footnote w:id="12">
    <w:p w:rsidR="00480CDD" w:rsidRPr="00280AD4" w:rsidRDefault="00480CDD" w:rsidP="006E54C8">
      <w:pPr>
        <w:pStyle w:val="FootnoteText"/>
        <w:ind w:left="0"/>
        <w:rPr>
          <w:lang w:val="en-GB"/>
        </w:rPr>
      </w:pPr>
      <w:r>
        <w:rPr>
          <w:rStyle w:val="FootnoteReference"/>
        </w:rPr>
        <w:footnoteRef/>
      </w:r>
      <w:r w:rsidRPr="00280AD4">
        <w:rPr>
          <w:lang w:val="en-GB"/>
        </w:rPr>
        <w:t xml:space="preserve"> Contact groups co-chaired by Bureau members may be establishes by the Plenary to address the issues raised and to revise the summary for policymakers accordingly for further consideration by the Plenary (IPBES/4/19, p.7).</w:t>
      </w:r>
    </w:p>
  </w:footnote>
  <w:footnote w:id="13">
    <w:p w:rsidR="00480CDD" w:rsidRDefault="00480CDD" w:rsidP="006E54C8">
      <w:pPr>
        <w:pStyle w:val="FootnoteText"/>
        <w:ind w:left="0"/>
        <w:rPr>
          <w:lang w:val="nb-NO"/>
        </w:rPr>
      </w:pPr>
      <w:r w:rsidRPr="002E30B1">
        <w:footnoteRef/>
      </w:r>
      <w:r w:rsidRPr="00734CF1">
        <w:rPr>
          <w:lang w:val="fr-FR"/>
        </w:rPr>
        <w:t xml:space="preserve"> IPBES -3/4 https://www.ipbes.net/sites/default/files/downloads/Decision_IPBES_3_4_EN_0.pdf</w:t>
      </w:r>
    </w:p>
  </w:footnote>
  <w:footnote w:id="14">
    <w:p w:rsidR="00480CDD" w:rsidRDefault="00480CDD" w:rsidP="006E54C8">
      <w:pPr>
        <w:pStyle w:val="FootnoteText"/>
        <w:tabs>
          <w:tab w:val="left" w:pos="0"/>
        </w:tabs>
        <w:ind w:left="0"/>
        <w:rPr>
          <w:lang w:val="nb-NO"/>
        </w:rPr>
      </w:pPr>
      <w:r>
        <w:rPr>
          <w:rStyle w:val="FootnoteReference"/>
        </w:rPr>
        <w:footnoteRef/>
      </w:r>
      <w:r>
        <w:rPr>
          <w:lang w:val="nb-NO"/>
        </w:rPr>
        <w:t xml:space="preserve"> </w:t>
      </w:r>
      <w:r>
        <w:rPr>
          <w:lang w:val="nb-NO"/>
        </w:rPr>
        <w:t>IPBES/3/18</w:t>
      </w:r>
    </w:p>
  </w:footnote>
  <w:footnote w:id="15">
    <w:p w:rsidR="00480CDD" w:rsidRDefault="00480CDD" w:rsidP="006E54C8">
      <w:pPr>
        <w:pStyle w:val="FootnoteText"/>
        <w:ind w:left="0"/>
        <w:rPr>
          <w:lang w:val="nb-NO"/>
        </w:rPr>
      </w:pPr>
      <w:r>
        <w:rPr>
          <w:rStyle w:val="FootnoteReference"/>
        </w:rPr>
        <w:footnoteRef/>
      </w:r>
      <w:r>
        <w:rPr>
          <w:lang w:val="nb-NO"/>
        </w:rPr>
        <w:t xml:space="preserve"> </w:t>
      </w:r>
      <w:r>
        <w:rPr>
          <w:lang w:val="nb-NO"/>
        </w:rPr>
        <w:t xml:space="preserve">See </w:t>
      </w:r>
      <w:r w:rsidRPr="00280AD4">
        <w:rPr>
          <w:lang w:val="en-GB"/>
        </w:rPr>
        <w:t>Bureau report https://www.ipbes.net/sites/default/files/downloads/pdf/IPBES-Bureau_7_10%20COM.pdf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Default="00480CDD" w:rsidP="00480CDD">
    <w:pPr>
      <w:pStyle w:val="Header"/>
    </w:pPr>
    <w:r w:rsidRPr="003901FC">
      <w:t>IPBES/6/INF/17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Pr="008C00D6" w:rsidRDefault="00480CDD" w:rsidP="003B1F39">
    <w:pPr>
      <w:pStyle w:val="Header-pool"/>
      <w:jc w:val="right"/>
    </w:pPr>
    <w:r w:rsidRPr="003B1F39">
      <w:t>IPBES/</w:t>
    </w:r>
    <w:r>
      <w:t>6</w:t>
    </w:r>
    <w:r w:rsidRPr="003B1F39">
      <w:t>/</w:t>
    </w:r>
    <w: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Default="00480CDD">
    <w:pPr>
      <w:pStyle w:val="Header"/>
    </w:pPr>
    <w:r w:rsidRPr="003901FC">
      <w:t>IPBES/6/INF/17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Default="00480CDD" w:rsidP="00480CD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Default="00480CDD" w:rsidP="00480CDD">
    <w:pPr>
      <w:pStyle w:val="Header"/>
      <w:jc w:val="right"/>
    </w:pPr>
    <w:r w:rsidRPr="003901FC">
      <w:t>IPBES/6/INF/17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Default="00480CDD" w:rsidP="00480CDD">
    <w:pPr>
      <w:pStyle w:val="Header"/>
      <w:jc w:val="right"/>
    </w:pPr>
    <w:r w:rsidRPr="003901FC">
      <w:t>IPBES/6/INF/17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Pr="001327E7" w:rsidRDefault="00480CDD" w:rsidP="00480CDD">
    <w:pPr>
      <w:pStyle w:val="Header"/>
      <w:rPr>
        <w:szCs w:val="18"/>
      </w:rPr>
    </w:pPr>
    <w:bookmarkStart w:id="189" w:name="_Hlk497986460"/>
    <w:r w:rsidRPr="001327E7">
      <w:rPr>
        <w:szCs w:val="18"/>
      </w:rPr>
      <w:t>IPBES/</w:t>
    </w:r>
    <w:r w:rsidRPr="001327E7">
      <w:rPr>
        <w:szCs w:val="18"/>
        <w:lang w:eastAsia="ja-JP"/>
      </w:rPr>
      <w:t>6/INF/17</w:t>
    </w:r>
    <w:bookmarkEnd w:id="189"/>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Pr="00F1704D" w:rsidRDefault="00480CDD" w:rsidP="00480CDD">
    <w:pPr>
      <w:pStyle w:val="Header"/>
      <w:jc w:val="right"/>
      <w:rPr>
        <w:szCs w:val="18"/>
      </w:rPr>
    </w:pPr>
    <w:r w:rsidRPr="00C0058D">
      <w:rPr>
        <w:szCs w:val="18"/>
      </w:rPr>
      <w:t>IPBES/</w:t>
    </w:r>
    <w:r>
      <w:rPr>
        <w:szCs w:val="18"/>
        <w:lang w:eastAsia="ja-JP"/>
      </w:rPr>
      <w:t>6/INF/17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Default="00480CDD" w:rsidP="00480CDD">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CDD" w:rsidRPr="008C00D6" w:rsidRDefault="00480CDD" w:rsidP="003B1F39">
    <w:pPr>
      <w:pStyle w:val="Header-pool"/>
    </w:pPr>
    <w:r w:rsidRPr="00447AB9">
      <w:t>IPBES/</w:t>
    </w:r>
    <w:r>
      <w:t>6</w:t>
    </w:r>
    <w:r w:rsidRPr="00447AB9">
      <w:t>/</w:t>
    </w:r>
    <w:r>
      <w:t>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A49"/>
    <w:multiLevelType w:val="hybridMultilevel"/>
    <w:tmpl w:val="7B5C124C"/>
    <w:lvl w:ilvl="0" w:tplc="72EC55A8">
      <w:start w:val="1"/>
      <w:numFmt w:val="decimal"/>
      <w:lvlText w:val="%1."/>
      <w:lvlJc w:val="left"/>
      <w:pPr>
        <w:ind w:left="720" w:hanging="360"/>
      </w:pPr>
      <w:rPr>
        <w:rFonts w:ascii="Times New Roman" w:hAnsi="Times New Roman" w:cs="Times New Roman"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C4286B"/>
    <w:multiLevelType w:val="multilevel"/>
    <w:tmpl w:val="6178BEA0"/>
    <w:lvl w:ilvl="0">
      <w:start w:val="1"/>
      <w:numFmt w:val="decimal"/>
      <w:pStyle w:val="TSUChapterTitle"/>
      <w:lvlText w:val="%1."/>
      <w:lvlJc w:val="left"/>
      <w:pPr>
        <w:ind w:left="360"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pStyle w:val="TSUHeading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EC2054"/>
    <w:multiLevelType w:val="hybridMultilevel"/>
    <w:tmpl w:val="EAB6FD2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057889"/>
    <w:multiLevelType w:val="hybridMultilevel"/>
    <w:tmpl w:val="DE0ACC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D75197"/>
    <w:multiLevelType w:val="hybridMultilevel"/>
    <w:tmpl w:val="C9B4B556"/>
    <w:lvl w:ilvl="0" w:tplc="4884412C">
      <w:start w:val="1"/>
      <w:numFmt w:val="bullet"/>
      <w:lvlText w:val=""/>
      <w:lvlJc w:val="left"/>
      <w:pPr>
        <w:tabs>
          <w:tab w:val="num" w:pos="720"/>
        </w:tabs>
        <w:ind w:left="288" w:hanging="144"/>
      </w:pPr>
      <w:rPr>
        <w:rFonts w:ascii="Symbol" w:hAnsi="Symbol" w:hint="default"/>
      </w:rPr>
    </w:lvl>
    <w:lvl w:ilvl="1" w:tplc="384287BA">
      <w:start w:val="1"/>
      <w:numFmt w:val="bullet"/>
      <w:lvlText w:val=""/>
      <w:lvlJc w:val="left"/>
      <w:pPr>
        <w:tabs>
          <w:tab w:val="num" w:pos="1440"/>
        </w:tabs>
        <w:ind w:left="1440" w:hanging="360"/>
      </w:pPr>
      <w:rPr>
        <w:rFonts w:ascii="Symbol" w:hAnsi="Symbol" w:hint="default"/>
      </w:rPr>
    </w:lvl>
    <w:lvl w:ilvl="2" w:tplc="6854CF84">
      <w:start w:val="1"/>
      <w:numFmt w:val="bullet"/>
      <w:lvlText w:val=""/>
      <w:lvlJc w:val="left"/>
      <w:pPr>
        <w:tabs>
          <w:tab w:val="num" w:pos="2160"/>
        </w:tabs>
        <w:ind w:left="2160" w:hanging="360"/>
      </w:pPr>
      <w:rPr>
        <w:rFonts w:ascii="Symbol" w:hAnsi="Symbol" w:hint="default"/>
      </w:rPr>
    </w:lvl>
    <w:lvl w:ilvl="3" w:tplc="AA8E80F6">
      <w:start w:val="1"/>
      <w:numFmt w:val="bullet"/>
      <w:lvlText w:val=""/>
      <w:lvlJc w:val="left"/>
      <w:pPr>
        <w:tabs>
          <w:tab w:val="num" w:pos="2880"/>
        </w:tabs>
        <w:ind w:left="2880" w:hanging="360"/>
      </w:pPr>
      <w:rPr>
        <w:rFonts w:ascii="Symbol" w:hAnsi="Symbol" w:hint="default"/>
      </w:rPr>
    </w:lvl>
    <w:lvl w:ilvl="4" w:tplc="FA484DB4">
      <w:start w:val="1"/>
      <w:numFmt w:val="bullet"/>
      <w:lvlText w:val=""/>
      <w:lvlJc w:val="left"/>
      <w:pPr>
        <w:tabs>
          <w:tab w:val="num" w:pos="3600"/>
        </w:tabs>
        <w:ind w:left="3600" w:hanging="360"/>
      </w:pPr>
      <w:rPr>
        <w:rFonts w:ascii="Symbol" w:hAnsi="Symbol" w:hint="default"/>
      </w:rPr>
    </w:lvl>
    <w:lvl w:ilvl="5" w:tplc="444EB056">
      <w:start w:val="1"/>
      <w:numFmt w:val="bullet"/>
      <w:lvlText w:val=""/>
      <w:lvlJc w:val="left"/>
      <w:pPr>
        <w:tabs>
          <w:tab w:val="num" w:pos="4320"/>
        </w:tabs>
        <w:ind w:left="4320" w:hanging="360"/>
      </w:pPr>
      <w:rPr>
        <w:rFonts w:ascii="Symbol" w:hAnsi="Symbol" w:hint="default"/>
      </w:rPr>
    </w:lvl>
    <w:lvl w:ilvl="6" w:tplc="48C65E1C">
      <w:start w:val="1"/>
      <w:numFmt w:val="bullet"/>
      <w:lvlText w:val=""/>
      <w:lvlJc w:val="left"/>
      <w:pPr>
        <w:tabs>
          <w:tab w:val="num" w:pos="5040"/>
        </w:tabs>
        <w:ind w:left="5040" w:hanging="360"/>
      </w:pPr>
      <w:rPr>
        <w:rFonts w:ascii="Symbol" w:hAnsi="Symbol" w:hint="default"/>
      </w:rPr>
    </w:lvl>
    <w:lvl w:ilvl="7" w:tplc="F7040E80">
      <w:start w:val="1"/>
      <w:numFmt w:val="bullet"/>
      <w:lvlText w:val=""/>
      <w:lvlJc w:val="left"/>
      <w:pPr>
        <w:tabs>
          <w:tab w:val="num" w:pos="5760"/>
        </w:tabs>
        <w:ind w:left="5760" w:hanging="360"/>
      </w:pPr>
      <w:rPr>
        <w:rFonts w:ascii="Symbol" w:hAnsi="Symbol" w:hint="default"/>
      </w:rPr>
    </w:lvl>
    <w:lvl w:ilvl="8" w:tplc="C56E8D72">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975B96"/>
    <w:multiLevelType w:val="hybridMultilevel"/>
    <w:tmpl w:val="820C7A66"/>
    <w:lvl w:ilvl="0" w:tplc="04090001">
      <w:start w:val="1"/>
      <w:numFmt w:val="bullet"/>
      <w:lvlText w:val=""/>
      <w:lvlJc w:val="left"/>
      <w:pPr>
        <w:ind w:left="1967" w:hanging="360"/>
      </w:pPr>
      <w:rPr>
        <w:rFonts w:ascii="Symbol" w:hAnsi="Symbol" w:hint="default"/>
      </w:rPr>
    </w:lvl>
    <w:lvl w:ilvl="1" w:tplc="08090003">
      <w:start w:val="1"/>
      <w:numFmt w:val="bullet"/>
      <w:lvlText w:val="o"/>
      <w:lvlJc w:val="left"/>
      <w:pPr>
        <w:ind w:left="2687" w:hanging="360"/>
      </w:pPr>
      <w:rPr>
        <w:rFonts w:ascii="Courier New" w:hAnsi="Courier New" w:cs="Courier New" w:hint="default"/>
      </w:rPr>
    </w:lvl>
    <w:lvl w:ilvl="2" w:tplc="08090005">
      <w:start w:val="1"/>
      <w:numFmt w:val="bullet"/>
      <w:lvlText w:val=""/>
      <w:lvlJc w:val="left"/>
      <w:pPr>
        <w:ind w:left="3407" w:hanging="360"/>
      </w:pPr>
      <w:rPr>
        <w:rFonts w:ascii="Wingdings" w:hAnsi="Wingdings" w:hint="default"/>
      </w:rPr>
    </w:lvl>
    <w:lvl w:ilvl="3" w:tplc="08090001">
      <w:start w:val="1"/>
      <w:numFmt w:val="bullet"/>
      <w:lvlText w:val=""/>
      <w:lvlJc w:val="left"/>
      <w:pPr>
        <w:ind w:left="4127" w:hanging="360"/>
      </w:pPr>
      <w:rPr>
        <w:rFonts w:ascii="Symbol" w:hAnsi="Symbol" w:hint="default"/>
      </w:rPr>
    </w:lvl>
    <w:lvl w:ilvl="4" w:tplc="08090003">
      <w:start w:val="1"/>
      <w:numFmt w:val="bullet"/>
      <w:lvlText w:val="o"/>
      <w:lvlJc w:val="left"/>
      <w:pPr>
        <w:ind w:left="4847" w:hanging="360"/>
      </w:pPr>
      <w:rPr>
        <w:rFonts w:ascii="Courier New" w:hAnsi="Courier New" w:cs="Courier New" w:hint="default"/>
      </w:rPr>
    </w:lvl>
    <w:lvl w:ilvl="5" w:tplc="08090005">
      <w:start w:val="1"/>
      <w:numFmt w:val="bullet"/>
      <w:lvlText w:val=""/>
      <w:lvlJc w:val="left"/>
      <w:pPr>
        <w:ind w:left="5567" w:hanging="360"/>
      </w:pPr>
      <w:rPr>
        <w:rFonts w:ascii="Wingdings" w:hAnsi="Wingdings" w:hint="default"/>
      </w:rPr>
    </w:lvl>
    <w:lvl w:ilvl="6" w:tplc="08090001">
      <w:start w:val="1"/>
      <w:numFmt w:val="bullet"/>
      <w:lvlText w:val=""/>
      <w:lvlJc w:val="left"/>
      <w:pPr>
        <w:ind w:left="6287" w:hanging="360"/>
      </w:pPr>
      <w:rPr>
        <w:rFonts w:ascii="Symbol" w:hAnsi="Symbol" w:hint="default"/>
      </w:rPr>
    </w:lvl>
    <w:lvl w:ilvl="7" w:tplc="08090003">
      <w:start w:val="1"/>
      <w:numFmt w:val="bullet"/>
      <w:lvlText w:val="o"/>
      <w:lvlJc w:val="left"/>
      <w:pPr>
        <w:ind w:left="7007" w:hanging="360"/>
      </w:pPr>
      <w:rPr>
        <w:rFonts w:ascii="Courier New" w:hAnsi="Courier New" w:cs="Courier New" w:hint="default"/>
      </w:rPr>
    </w:lvl>
    <w:lvl w:ilvl="8" w:tplc="08090005">
      <w:start w:val="1"/>
      <w:numFmt w:val="bullet"/>
      <w:lvlText w:val=""/>
      <w:lvlJc w:val="left"/>
      <w:pPr>
        <w:ind w:left="7727" w:hanging="360"/>
      </w:pPr>
      <w:rPr>
        <w:rFonts w:ascii="Wingdings" w:hAnsi="Wingdings" w:hint="default"/>
      </w:rPr>
    </w:lvl>
  </w:abstractNum>
  <w:abstractNum w:abstractNumId="6" w15:restartNumberingAfterBreak="0">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7" w15:restartNumberingAfterBreak="0">
    <w:nsid w:val="19E9296D"/>
    <w:multiLevelType w:val="hybridMultilevel"/>
    <w:tmpl w:val="D8829B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B571867"/>
    <w:multiLevelType w:val="singleLevel"/>
    <w:tmpl w:val="0F8A842E"/>
    <w:lvl w:ilvl="0">
      <w:start w:val="1"/>
      <w:numFmt w:val="upperRoman"/>
      <w:pStyle w:val="Heading8"/>
      <w:lvlText w:val="%1."/>
      <w:lvlJc w:val="left"/>
      <w:pPr>
        <w:tabs>
          <w:tab w:val="num" w:pos="720"/>
        </w:tabs>
        <w:ind w:left="720" w:hanging="720"/>
      </w:pPr>
      <w:rPr>
        <w:rFonts w:hint="default"/>
      </w:rPr>
    </w:lvl>
  </w:abstractNum>
  <w:abstractNum w:abstractNumId="9" w15:restartNumberingAfterBreak="0">
    <w:nsid w:val="1DA15D7D"/>
    <w:multiLevelType w:val="hybridMultilevel"/>
    <w:tmpl w:val="B5E6A88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E63739"/>
    <w:multiLevelType w:val="hybridMultilevel"/>
    <w:tmpl w:val="E9C0E754"/>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start w:val="1"/>
      <w:numFmt w:val="bullet"/>
      <w:lvlText w:val=""/>
      <w:lvlJc w:val="left"/>
      <w:pPr>
        <w:ind w:left="3436" w:hanging="360"/>
      </w:pPr>
      <w:rPr>
        <w:rFonts w:ascii="Wingdings" w:hAnsi="Wingdings" w:hint="default"/>
      </w:rPr>
    </w:lvl>
    <w:lvl w:ilvl="3" w:tplc="08090001">
      <w:start w:val="1"/>
      <w:numFmt w:val="bullet"/>
      <w:lvlText w:val=""/>
      <w:lvlJc w:val="left"/>
      <w:pPr>
        <w:ind w:left="4156" w:hanging="360"/>
      </w:pPr>
      <w:rPr>
        <w:rFonts w:ascii="Symbol" w:hAnsi="Symbol" w:hint="default"/>
      </w:rPr>
    </w:lvl>
    <w:lvl w:ilvl="4" w:tplc="08090003">
      <w:start w:val="1"/>
      <w:numFmt w:val="bullet"/>
      <w:lvlText w:val="o"/>
      <w:lvlJc w:val="left"/>
      <w:pPr>
        <w:ind w:left="4876" w:hanging="360"/>
      </w:pPr>
      <w:rPr>
        <w:rFonts w:ascii="Courier New" w:hAnsi="Courier New" w:cs="Courier New" w:hint="default"/>
      </w:rPr>
    </w:lvl>
    <w:lvl w:ilvl="5" w:tplc="08090005">
      <w:start w:val="1"/>
      <w:numFmt w:val="bullet"/>
      <w:lvlText w:val=""/>
      <w:lvlJc w:val="left"/>
      <w:pPr>
        <w:ind w:left="5596" w:hanging="360"/>
      </w:pPr>
      <w:rPr>
        <w:rFonts w:ascii="Wingdings" w:hAnsi="Wingdings" w:hint="default"/>
      </w:rPr>
    </w:lvl>
    <w:lvl w:ilvl="6" w:tplc="08090001">
      <w:start w:val="1"/>
      <w:numFmt w:val="bullet"/>
      <w:lvlText w:val=""/>
      <w:lvlJc w:val="left"/>
      <w:pPr>
        <w:ind w:left="6316" w:hanging="360"/>
      </w:pPr>
      <w:rPr>
        <w:rFonts w:ascii="Symbol" w:hAnsi="Symbol" w:hint="default"/>
      </w:rPr>
    </w:lvl>
    <w:lvl w:ilvl="7" w:tplc="08090003">
      <w:start w:val="1"/>
      <w:numFmt w:val="bullet"/>
      <w:lvlText w:val="o"/>
      <w:lvlJc w:val="left"/>
      <w:pPr>
        <w:ind w:left="7036" w:hanging="360"/>
      </w:pPr>
      <w:rPr>
        <w:rFonts w:ascii="Courier New" w:hAnsi="Courier New" w:cs="Courier New" w:hint="default"/>
      </w:rPr>
    </w:lvl>
    <w:lvl w:ilvl="8" w:tplc="08090005">
      <w:start w:val="1"/>
      <w:numFmt w:val="bullet"/>
      <w:lvlText w:val=""/>
      <w:lvlJc w:val="left"/>
      <w:pPr>
        <w:ind w:left="7756" w:hanging="360"/>
      </w:pPr>
      <w:rPr>
        <w:rFonts w:ascii="Wingdings" w:hAnsi="Wingdings" w:hint="default"/>
      </w:rPr>
    </w:lvl>
  </w:abstractNum>
  <w:abstractNum w:abstractNumId="11" w15:restartNumberingAfterBreak="0">
    <w:nsid w:val="204538A0"/>
    <w:multiLevelType w:val="hybridMultilevel"/>
    <w:tmpl w:val="D8829B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1FB4C6C"/>
    <w:multiLevelType w:val="hybridMultilevel"/>
    <w:tmpl w:val="3D983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14" w15:restartNumberingAfterBreak="0">
    <w:nsid w:val="25BB3FA6"/>
    <w:multiLevelType w:val="hybridMultilevel"/>
    <w:tmpl w:val="12DE1AF4"/>
    <w:lvl w:ilvl="0" w:tplc="0809000D">
      <w:start w:val="1"/>
      <w:numFmt w:val="bullet"/>
      <w:lvlText w:val=""/>
      <w:lvlJc w:val="left"/>
      <w:pPr>
        <w:ind w:left="752"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AB81472"/>
    <w:multiLevelType w:val="hybridMultilevel"/>
    <w:tmpl w:val="02887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02B0ECE"/>
    <w:multiLevelType w:val="hybridMultilevel"/>
    <w:tmpl w:val="7C8C8CD2"/>
    <w:lvl w:ilvl="0" w:tplc="DCFAEFAC">
      <w:start w:val="1"/>
      <w:numFmt w:val="upperLetter"/>
      <w:pStyle w:val="Annexsub-heading2"/>
      <w:lvlText w:val="%1."/>
      <w:lvlJc w:val="left"/>
      <w:pPr>
        <w:ind w:left="1429" w:hanging="360"/>
      </w:p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17" w15:restartNumberingAfterBreak="0">
    <w:nsid w:val="34AF5C7C"/>
    <w:multiLevelType w:val="multilevel"/>
    <w:tmpl w:val="10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5571603"/>
    <w:multiLevelType w:val="singleLevel"/>
    <w:tmpl w:val="6F188ED2"/>
    <w:lvl w:ilvl="0">
      <w:start w:val="6"/>
      <w:numFmt w:val="upperLetter"/>
      <w:pStyle w:val="Heading9"/>
      <w:lvlText w:val="%1."/>
      <w:lvlJc w:val="left"/>
      <w:pPr>
        <w:tabs>
          <w:tab w:val="num" w:pos="360"/>
        </w:tabs>
        <w:ind w:left="360" w:hanging="360"/>
      </w:pPr>
      <w:rPr>
        <w:rFonts w:hint="default"/>
      </w:rPr>
    </w:lvl>
  </w:abstractNum>
  <w:abstractNum w:abstractNumId="19" w15:restartNumberingAfterBreak="0">
    <w:nsid w:val="3B6F647D"/>
    <w:multiLevelType w:val="hybridMultilevel"/>
    <w:tmpl w:val="A3B6E6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03D2539"/>
    <w:multiLevelType w:val="hybridMultilevel"/>
    <w:tmpl w:val="670A49A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07A4D00"/>
    <w:multiLevelType w:val="hybridMultilevel"/>
    <w:tmpl w:val="1AD84E48"/>
    <w:lvl w:ilvl="0" w:tplc="B6985AF6">
      <w:start w:val="1"/>
      <w:numFmt w:val="upperRoman"/>
      <w:pStyle w:val="AnnexHeading1"/>
      <w:lvlText w:val="%1."/>
      <w:lvlJc w:val="right"/>
      <w:pPr>
        <w:ind w:left="1429" w:hanging="360"/>
      </w:p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22" w15:restartNumberingAfterBreak="0">
    <w:nsid w:val="42CE1DCF"/>
    <w:multiLevelType w:val="hybridMultilevel"/>
    <w:tmpl w:val="A0649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A66A9D"/>
    <w:multiLevelType w:val="multilevel"/>
    <w:tmpl w:val="6818E20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4" w15:restartNumberingAfterBreak="0">
    <w:nsid w:val="558B7316"/>
    <w:multiLevelType w:val="hybridMultilevel"/>
    <w:tmpl w:val="0B646E8C"/>
    <w:lvl w:ilvl="0" w:tplc="29482764">
      <w:start w:val="1"/>
      <w:numFmt w:val="upperRoman"/>
      <w:lvlText w:val="%1."/>
      <w:lvlJc w:val="right"/>
      <w:pPr>
        <w:ind w:left="1344" w:hanging="360"/>
      </w:pPr>
    </w:lvl>
    <w:lvl w:ilvl="1" w:tplc="7CB24C92">
      <w:start w:val="1"/>
      <w:numFmt w:val="upperLetter"/>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25" w15:restartNumberingAfterBreak="0">
    <w:nsid w:val="561F3109"/>
    <w:multiLevelType w:val="hybridMultilevel"/>
    <w:tmpl w:val="ED5EF590"/>
    <w:lvl w:ilvl="0" w:tplc="08090001">
      <w:start w:val="1"/>
      <w:numFmt w:val="bullet"/>
      <w:lvlText w:val=""/>
      <w:lvlJc w:val="left"/>
      <w:pPr>
        <w:ind w:left="1967" w:hanging="360"/>
      </w:pPr>
      <w:rPr>
        <w:rFonts w:ascii="Symbol" w:hAnsi="Symbol" w:hint="default"/>
      </w:rPr>
    </w:lvl>
    <w:lvl w:ilvl="1" w:tplc="08090003">
      <w:start w:val="1"/>
      <w:numFmt w:val="bullet"/>
      <w:lvlText w:val="o"/>
      <w:lvlJc w:val="left"/>
      <w:pPr>
        <w:ind w:left="2687" w:hanging="360"/>
      </w:pPr>
      <w:rPr>
        <w:rFonts w:ascii="Courier New" w:hAnsi="Courier New" w:cs="Courier New" w:hint="default"/>
      </w:rPr>
    </w:lvl>
    <w:lvl w:ilvl="2" w:tplc="08090005">
      <w:start w:val="1"/>
      <w:numFmt w:val="bullet"/>
      <w:lvlText w:val=""/>
      <w:lvlJc w:val="left"/>
      <w:pPr>
        <w:ind w:left="3407" w:hanging="360"/>
      </w:pPr>
      <w:rPr>
        <w:rFonts w:ascii="Wingdings" w:hAnsi="Wingdings" w:hint="default"/>
      </w:rPr>
    </w:lvl>
    <w:lvl w:ilvl="3" w:tplc="08090001">
      <w:start w:val="1"/>
      <w:numFmt w:val="bullet"/>
      <w:lvlText w:val=""/>
      <w:lvlJc w:val="left"/>
      <w:pPr>
        <w:ind w:left="4127" w:hanging="360"/>
      </w:pPr>
      <w:rPr>
        <w:rFonts w:ascii="Symbol" w:hAnsi="Symbol" w:hint="default"/>
      </w:rPr>
    </w:lvl>
    <w:lvl w:ilvl="4" w:tplc="08090003">
      <w:start w:val="1"/>
      <w:numFmt w:val="bullet"/>
      <w:lvlText w:val="o"/>
      <w:lvlJc w:val="left"/>
      <w:pPr>
        <w:ind w:left="4847" w:hanging="360"/>
      </w:pPr>
      <w:rPr>
        <w:rFonts w:ascii="Courier New" w:hAnsi="Courier New" w:cs="Courier New" w:hint="default"/>
      </w:rPr>
    </w:lvl>
    <w:lvl w:ilvl="5" w:tplc="08090005">
      <w:start w:val="1"/>
      <w:numFmt w:val="bullet"/>
      <w:lvlText w:val=""/>
      <w:lvlJc w:val="left"/>
      <w:pPr>
        <w:ind w:left="5567" w:hanging="360"/>
      </w:pPr>
      <w:rPr>
        <w:rFonts w:ascii="Wingdings" w:hAnsi="Wingdings" w:hint="default"/>
      </w:rPr>
    </w:lvl>
    <w:lvl w:ilvl="6" w:tplc="08090001">
      <w:start w:val="1"/>
      <w:numFmt w:val="bullet"/>
      <w:lvlText w:val=""/>
      <w:lvlJc w:val="left"/>
      <w:pPr>
        <w:ind w:left="6287" w:hanging="360"/>
      </w:pPr>
      <w:rPr>
        <w:rFonts w:ascii="Symbol" w:hAnsi="Symbol" w:hint="default"/>
      </w:rPr>
    </w:lvl>
    <w:lvl w:ilvl="7" w:tplc="08090003">
      <w:start w:val="1"/>
      <w:numFmt w:val="bullet"/>
      <w:lvlText w:val="o"/>
      <w:lvlJc w:val="left"/>
      <w:pPr>
        <w:ind w:left="7007" w:hanging="360"/>
      </w:pPr>
      <w:rPr>
        <w:rFonts w:ascii="Courier New" w:hAnsi="Courier New" w:cs="Courier New" w:hint="default"/>
      </w:rPr>
    </w:lvl>
    <w:lvl w:ilvl="8" w:tplc="08090005">
      <w:start w:val="1"/>
      <w:numFmt w:val="bullet"/>
      <w:lvlText w:val=""/>
      <w:lvlJc w:val="left"/>
      <w:pPr>
        <w:ind w:left="7727" w:hanging="360"/>
      </w:pPr>
      <w:rPr>
        <w:rFonts w:ascii="Wingdings" w:hAnsi="Wingdings" w:hint="default"/>
      </w:rPr>
    </w:lvl>
  </w:abstractNum>
  <w:abstractNum w:abstractNumId="26" w15:restartNumberingAfterBreak="0">
    <w:nsid w:val="584D38A8"/>
    <w:multiLevelType w:val="hybridMultilevel"/>
    <w:tmpl w:val="72BABBDA"/>
    <w:lvl w:ilvl="0" w:tplc="0809000F">
      <w:start w:val="1"/>
      <w:numFmt w:val="decimal"/>
      <w:lvlText w:val="%1."/>
      <w:lvlJc w:val="left"/>
      <w:pPr>
        <w:ind w:left="1604" w:hanging="360"/>
      </w:pPr>
    </w:lvl>
    <w:lvl w:ilvl="1" w:tplc="08090019">
      <w:start w:val="1"/>
      <w:numFmt w:val="lowerLetter"/>
      <w:lvlText w:val="%2."/>
      <w:lvlJc w:val="left"/>
      <w:pPr>
        <w:ind w:left="2324" w:hanging="360"/>
      </w:pPr>
    </w:lvl>
    <w:lvl w:ilvl="2" w:tplc="0809001B">
      <w:start w:val="1"/>
      <w:numFmt w:val="lowerRoman"/>
      <w:lvlText w:val="%3."/>
      <w:lvlJc w:val="right"/>
      <w:pPr>
        <w:ind w:left="3044" w:hanging="180"/>
      </w:pPr>
    </w:lvl>
    <w:lvl w:ilvl="3" w:tplc="0809000F">
      <w:start w:val="1"/>
      <w:numFmt w:val="decimal"/>
      <w:lvlText w:val="%4."/>
      <w:lvlJc w:val="left"/>
      <w:pPr>
        <w:ind w:left="3764" w:hanging="360"/>
      </w:pPr>
    </w:lvl>
    <w:lvl w:ilvl="4" w:tplc="08090019">
      <w:start w:val="1"/>
      <w:numFmt w:val="lowerLetter"/>
      <w:lvlText w:val="%5."/>
      <w:lvlJc w:val="left"/>
      <w:pPr>
        <w:ind w:left="4484" w:hanging="360"/>
      </w:pPr>
    </w:lvl>
    <w:lvl w:ilvl="5" w:tplc="0809001B">
      <w:start w:val="1"/>
      <w:numFmt w:val="lowerRoman"/>
      <w:lvlText w:val="%6."/>
      <w:lvlJc w:val="right"/>
      <w:pPr>
        <w:ind w:left="5204" w:hanging="180"/>
      </w:pPr>
    </w:lvl>
    <w:lvl w:ilvl="6" w:tplc="0809000F">
      <w:start w:val="1"/>
      <w:numFmt w:val="decimal"/>
      <w:lvlText w:val="%7."/>
      <w:lvlJc w:val="left"/>
      <w:pPr>
        <w:ind w:left="5924" w:hanging="360"/>
      </w:pPr>
    </w:lvl>
    <w:lvl w:ilvl="7" w:tplc="08090019">
      <w:start w:val="1"/>
      <w:numFmt w:val="lowerLetter"/>
      <w:lvlText w:val="%8."/>
      <w:lvlJc w:val="left"/>
      <w:pPr>
        <w:ind w:left="6644" w:hanging="360"/>
      </w:pPr>
    </w:lvl>
    <w:lvl w:ilvl="8" w:tplc="0809001B">
      <w:start w:val="1"/>
      <w:numFmt w:val="lowerRoman"/>
      <w:lvlText w:val="%9."/>
      <w:lvlJc w:val="right"/>
      <w:pPr>
        <w:ind w:left="7364" w:hanging="180"/>
      </w:pPr>
    </w:lvl>
  </w:abstractNum>
  <w:abstractNum w:abstractNumId="27" w15:restartNumberingAfterBreak="0">
    <w:nsid w:val="596364DA"/>
    <w:multiLevelType w:val="hybridMultilevel"/>
    <w:tmpl w:val="7C6A66C8"/>
    <w:lvl w:ilvl="0" w:tplc="08090001">
      <w:start w:val="1"/>
      <w:numFmt w:val="bullet"/>
      <w:lvlText w:val=""/>
      <w:lvlJc w:val="left"/>
      <w:pPr>
        <w:ind w:left="2366" w:hanging="360"/>
      </w:pPr>
      <w:rPr>
        <w:rFonts w:ascii="Symbol" w:hAnsi="Symbol" w:hint="default"/>
      </w:rPr>
    </w:lvl>
    <w:lvl w:ilvl="1" w:tplc="08090003">
      <w:start w:val="1"/>
      <w:numFmt w:val="bullet"/>
      <w:lvlText w:val="o"/>
      <w:lvlJc w:val="left"/>
      <w:pPr>
        <w:ind w:left="3086" w:hanging="360"/>
      </w:pPr>
      <w:rPr>
        <w:rFonts w:ascii="Courier New" w:hAnsi="Courier New" w:cs="Courier New" w:hint="default"/>
      </w:rPr>
    </w:lvl>
    <w:lvl w:ilvl="2" w:tplc="08090005">
      <w:start w:val="1"/>
      <w:numFmt w:val="bullet"/>
      <w:lvlText w:val=""/>
      <w:lvlJc w:val="left"/>
      <w:pPr>
        <w:ind w:left="3806" w:hanging="360"/>
      </w:pPr>
      <w:rPr>
        <w:rFonts w:ascii="Wingdings" w:hAnsi="Wingdings" w:hint="default"/>
      </w:rPr>
    </w:lvl>
    <w:lvl w:ilvl="3" w:tplc="08090001">
      <w:start w:val="1"/>
      <w:numFmt w:val="bullet"/>
      <w:lvlText w:val=""/>
      <w:lvlJc w:val="left"/>
      <w:pPr>
        <w:ind w:left="4526" w:hanging="360"/>
      </w:pPr>
      <w:rPr>
        <w:rFonts w:ascii="Symbol" w:hAnsi="Symbol" w:hint="default"/>
      </w:rPr>
    </w:lvl>
    <w:lvl w:ilvl="4" w:tplc="08090003">
      <w:start w:val="1"/>
      <w:numFmt w:val="bullet"/>
      <w:lvlText w:val="o"/>
      <w:lvlJc w:val="left"/>
      <w:pPr>
        <w:ind w:left="5246" w:hanging="360"/>
      </w:pPr>
      <w:rPr>
        <w:rFonts w:ascii="Courier New" w:hAnsi="Courier New" w:cs="Courier New" w:hint="default"/>
      </w:rPr>
    </w:lvl>
    <w:lvl w:ilvl="5" w:tplc="08090005">
      <w:start w:val="1"/>
      <w:numFmt w:val="bullet"/>
      <w:lvlText w:val=""/>
      <w:lvlJc w:val="left"/>
      <w:pPr>
        <w:ind w:left="5966" w:hanging="360"/>
      </w:pPr>
      <w:rPr>
        <w:rFonts w:ascii="Wingdings" w:hAnsi="Wingdings" w:hint="default"/>
      </w:rPr>
    </w:lvl>
    <w:lvl w:ilvl="6" w:tplc="08090001">
      <w:start w:val="1"/>
      <w:numFmt w:val="bullet"/>
      <w:lvlText w:val=""/>
      <w:lvlJc w:val="left"/>
      <w:pPr>
        <w:ind w:left="6686" w:hanging="360"/>
      </w:pPr>
      <w:rPr>
        <w:rFonts w:ascii="Symbol" w:hAnsi="Symbol" w:hint="default"/>
      </w:rPr>
    </w:lvl>
    <w:lvl w:ilvl="7" w:tplc="08090003">
      <w:start w:val="1"/>
      <w:numFmt w:val="bullet"/>
      <w:lvlText w:val="o"/>
      <w:lvlJc w:val="left"/>
      <w:pPr>
        <w:ind w:left="7406" w:hanging="360"/>
      </w:pPr>
      <w:rPr>
        <w:rFonts w:ascii="Courier New" w:hAnsi="Courier New" w:cs="Courier New" w:hint="default"/>
      </w:rPr>
    </w:lvl>
    <w:lvl w:ilvl="8" w:tplc="08090005">
      <w:start w:val="1"/>
      <w:numFmt w:val="bullet"/>
      <w:lvlText w:val=""/>
      <w:lvlJc w:val="left"/>
      <w:pPr>
        <w:ind w:left="8126" w:hanging="360"/>
      </w:pPr>
      <w:rPr>
        <w:rFonts w:ascii="Wingdings" w:hAnsi="Wingdings" w:hint="default"/>
      </w:rPr>
    </w:lvl>
  </w:abstractNum>
  <w:abstractNum w:abstractNumId="28" w15:restartNumberingAfterBreak="0">
    <w:nsid w:val="59A85CC1"/>
    <w:multiLevelType w:val="hybridMultilevel"/>
    <w:tmpl w:val="5BE26F82"/>
    <w:lvl w:ilvl="0" w:tplc="04090001">
      <w:start w:val="1"/>
      <w:numFmt w:val="bullet"/>
      <w:lvlText w:val=""/>
      <w:lvlJc w:val="left"/>
      <w:pPr>
        <w:ind w:left="1967" w:hanging="360"/>
      </w:pPr>
      <w:rPr>
        <w:rFonts w:ascii="Symbol" w:hAnsi="Symbol" w:hint="default"/>
      </w:rPr>
    </w:lvl>
    <w:lvl w:ilvl="1" w:tplc="08090003">
      <w:start w:val="1"/>
      <w:numFmt w:val="bullet"/>
      <w:lvlText w:val="o"/>
      <w:lvlJc w:val="left"/>
      <w:pPr>
        <w:ind w:left="2687" w:hanging="360"/>
      </w:pPr>
      <w:rPr>
        <w:rFonts w:ascii="Courier New" w:hAnsi="Courier New" w:cs="Courier New" w:hint="default"/>
      </w:rPr>
    </w:lvl>
    <w:lvl w:ilvl="2" w:tplc="08090005">
      <w:start w:val="1"/>
      <w:numFmt w:val="bullet"/>
      <w:lvlText w:val=""/>
      <w:lvlJc w:val="left"/>
      <w:pPr>
        <w:ind w:left="3407" w:hanging="360"/>
      </w:pPr>
      <w:rPr>
        <w:rFonts w:ascii="Wingdings" w:hAnsi="Wingdings" w:hint="default"/>
      </w:rPr>
    </w:lvl>
    <w:lvl w:ilvl="3" w:tplc="08090001">
      <w:start w:val="1"/>
      <w:numFmt w:val="bullet"/>
      <w:lvlText w:val=""/>
      <w:lvlJc w:val="left"/>
      <w:pPr>
        <w:ind w:left="4127" w:hanging="360"/>
      </w:pPr>
      <w:rPr>
        <w:rFonts w:ascii="Symbol" w:hAnsi="Symbol" w:hint="default"/>
      </w:rPr>
    </w:lvl>
    <w:lvl w:ilvl="4" w:tplc="08090003">
      <w:start w:val="1"/>
      <w:numFmt w:val="bullet"/>
      <w:lvlText w:val="o"/>
      <w:lvlJc w:val="left"/>
      <w:pPr>
        <w:ind w:left="4847" w:hanging="360"/>
      </w:pPr>
      <w:rPr>
        <w:rFonts w:ascii="Courier New" w:hAnsi="Courier New" w:cs="Courier New" w:hint="default"/>
      </w:rPr>
    </w:lvl>
    <w:lvl w:ilvl="5" w:tplc="08090005">
      <w:start w:val="1"/>
      <w:numFmt w:val="bullet"/>
      <w:lvlText w:val=""/>
      <w:lvlJc w:val="left"/>
      <w:pPr>
        <w:ind w:left="5567" w:hanging="360"/>
      </w:pPr>
      <w:rPr>
        <w:rFonts w:ascii="Wingdings" w:hAnsi="Wingdings" w:hint="default"/>
      </w:rPr>
    </w:lvl>
    <w:lvl w:ilvl="6" w:tplc="08090001">
      <w:start w:val="1"/>
      <w:numFmt w:val="bullet"/>
      <w:lvlText w:val=""/>
      <w:lvlJc w:val="left"/>
      <w:pPr>
        <w:ind w:left="6287" w:hanging="360"/>
      </w:pPr>
      <w:rPr>
        <w:rFonts w:ascii="Symbol" w:hAnsi="Symbol" w:hint="default"/>
      </w:rPr>
    </w:lvl>
    <w:lvl w:ilvl="7" w:tplc="08090003">
      <w:start w:val="1"/>
      <w:numFmt w:val="bullet"/>
      <w:lvlText w:val="o"/>
      <w:lvlJc w:val="left"/>
      <w:pPr>
        <w:ind w:left="7007" w:hanging="360"/>
      </w:pPr>
      <w:rPr>
        <w:rFonts w:ascii="Courier New" w:hAnsi="Courier New" w:cs="Courier New" w:hint="default"/>
      </w:rPr>
    </w:lvl>
    <w:lvl w:ilvl="8" w:tplc="08090005">
      <w:start w:val="1"/>
      <w:numFmt w:val="bullet"/>
      <w:lvlText w:val=""/>
      <w:lvlJc w:val="left"/>
      <w:pPr>
        <w:ind w:left="7727" w:hanging="360"/>
      </w:pPr>
      <w:rPr>
        <w:rFonts w:ascii="Wingdings" w:hAnsi="Wingdings" w:hint="default"/>
      </w:rPr>
    </w:lvl>
  </w:abstractNum>
  <w:abstractNum w:abstractNumId="29" w15:restartNumberingAfterBreak="0">
    <w:nsid w:val="5A007017"/>
    <w:multiLevelType w:val="hybridMultilevel"/>
    <w:tmpl w:val="C69016D6"/>
    <w:lvl w:ilvl="0" w:tplc="04090001">
      <w:start w:val="1"/>
      <w:numFmt w:val="bullet"/>
      <w:lvlText w:val=""/>
      <w:lvlJc w:val="left"/>
      <w:pPr>
        <w:ind w:left="2232" w:hanging="360"/>
      </w:pPr>
      <w:rPr>
        <w:rFonts w:ascii="Symbol" w:hAnsi="Symbol" w:hint="default"/>
      </w:rPr>
    </w:lvl>
    <w:lvl w:ilvl="1" w:tplc="08090003">
      <w:start w:val="1"/>
      <w:numFmt w:val="bullet"/>
      <w:lvlText w:val="o"/>
      <w:lvlJc w:val="left"/>
      <w:pPr>
        <w:ind w:left="2952" w:hanging="360"/>
      </w:pPr>
      <w:rPr>
        <w:rFonts w:ascii="Courier New" w:hAnsi="Courier New" w:cs="Courier New" w:hint="default"/>
      </w:rPr>
    </w:lvl>
    <w:lvl w:ilvl="2" w:tplc="08090005">
      <w:start w:val="1"/>
      <w:numFmt w:val="bullet"/>
      <w:lvlText w:val=""/>
      <w:lvlJc w:val="left"/>
      <w:pPr>
        <w:ind w:left="3672" w:hanging="360"/>
      </w:pPr>
      <w:rPr>
        <w:rFonts w:ascii="Wingdings" w:hAnsi="Wingdings" w:hint="default"/>
      </w:rPr>
    </w:lvl>
    <w:lvl w:ilvl="3" w:tplc="08090001">
      <w:start w:val="1"/>
      <w:numFmt w:val="bullet"/>
      <w:lvlText w:val=""/>
      <w:lvlJc w:val="left"/>
      <w:pPr>
        <w:ind w:left="4392" w:hanging="360"/>
      </w:pPr>
      <w:rPr>
        <w:rFonts w:ascii="Symbol" w:hAnsi="Symbol" w:hint="default"/>
      </w:rPr>
    </w:lvl>
    <w:lvl w:ilvl="4" w:tplc="08090003">
      <w:start w:val="1"/>
      <w:numFmt w:val="bullet"/>
      <w:lvlText w:val="o"/>
      <w:lvlJc w:val="left"/>
      <w:pPr>
        <w:ind w:left="5112" w:hanging="360"/>
      </w:pPr>
      <w:rPr>
        <w:rFonts w:ascii="Courier New" w:hAnsi="Courier New" w:cs="Courier New" w:hint="default"/>
      </w:rPr>
    </w:lvl>
    <w:lvl w:ilvl="5" w:tplc="08090005">
      <w:start w:val="1"/>
      <w:numFmt w:val="bullet"/>
      <w:lvlText w:val=""/>
      <w:lvlJc w:val="left"/>
      <w:pPr>
        <w:ind w:left="5832" w:hanging="360"/>
      </w:pPr>
      <w:rPr>
        <w:rFonts w:ascii="Wingdings" w:hAnsi="Wingdings" w:hint="default"/>
      </w:rPr>
    </w:lvl>
    <w:lvl w:ilvl="6" w:tplc="08090001">
      <w:start w:val="1"/>
      <w:numFmt w:val="bullet"/>
      <w:lvlText w:val=""/>
      <w:lvlJc w:val="left"/>
      <w:pPr>
        <w:ind w:left="6552" w:hanging="360"/>
      </w:pPr>
      <w:rPr>
        <w:rFonts w:ascii="Symbol" w:hAnsi="Symbol" w:hint="default"/>
      </w:rPr>
    </w:lvl>
    <w:lvl w:ilvl="7" w:tplc="08090003">
      <w:start w:val="1"/>
      <w:numFmt w:val="bullet"/>
      <w:lvlText w:val="o"/>
      <w:lvlJc w:val="left"/>
      <w:pPr>
        <w:ind w:left="7272" w:hanging="360"/>
      </w:pPr>
      <w:rPr>
        <w:rFonts w:ascii="Courier New" w:hAnsi="Courier New" w:cs="Courier New" w:hint="default"/>
      </w:rPr>
    </w:lvl>
    <w:lvl w:ilvl="8" w:tplc="08090005">
      <w:start w:val="1"/>
      <w:numFmt w:val="bullet"/>
      <w:lvlText w:val=""/>
      <w:lvlJc w:val="left"/>
      <w:pPr>
        <w:ind w:left="7992" w:hanging="360"/>
      </w:pPr>
      <w:rPr>
        <w:rFonts w:ascii="Wingdings" w:hAnsi="Wingdings" w:hint="default"/>
      </w:rPr>
    </w:lvl>
  </w:abstractNum>
  <w:abstractNum w:abstractNumId="30" w15:restartNumberingAfterBreak="0">
    <w:nsid w:val="635E5730"/>
    <w:multiLevelType w:val="hybridMultilevel"/>
    <w:tmpl w:val="1714B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70577A5"/>
    <w:multiLevelType w:val="multilevel"/>
    <w:tmpl w:val="49ACBAC6"/>
    <w:lvl w:ilvl="0">
      <w:start w:val="1"/>
      <w:numFmt w:val="decimal"/>
      <w:pStyle w:val="TSU1"/>
      <w:lvlText w:val="%1."/>
      <w:lvlJc w:val="left"/>
      <w:pPr>
        <w:ind w:left="360" w:hanging="360"/>
      </w:pPr>
    </w:lvl>
    <w:lvl w:ilvl="1">
      <w:start w:val="1"/>
      <w:numFmt w:val="decimal"/>
      <w:pStyle w:val="TSU11"/>
      <w:lvlText w:val="%1.%2."/>
      <w:lvlJc w:val="left"/>
      <w:pPr>
        <w:ind w:left="792" w:hanging="432"/>
      </w:pPr>
      <w:rPr>
        <w:i w:val="0"/>
      </w:rPr>
    </w:lvl>
    <w:lvl w:ilvl="2">
      <w:start w:val="1"/>
      <w:numFmt w:val="decimal"/>
      <w:pStyle w:val="TSU111"/>
      <w:lvlText w:val="%1.%2.%3."/>
      <w:lvlJc w:val="left"/>
      <w:pPr>
        <w:ind w:left="1224" w:hanging="504"/>
      </w:pPr>
    </w:lvl>
    <w:lvl w:ilvl="3">
      <w:start w:val="1"/>
      <w:numFmt w:val="decimal"/>
      <w:pStyle w:val="TSU1111"/>
      <w:lvlText w:val="%1.%2.%3.%4."/>
      <w:lvlJc w:val="left"/>
      <w:pPr>
        <w:ind w:left="1728" w:hanging="648"/>
      </w:pPr>
    </w:lvl>
    <w:lvl w:ilvl="4">
      <w:start w:val="1"/>
      <w:numFmt w:val="decimal"/>
      <w:pStyle w:val="TSU11111"/>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3D6600"/>
    <w:multiLevelType w:val="hybridMultilevel"/>
    <w:tmpl w:val="9A94A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7E75868"/>
    <w:multiLevelType w:val="hybridMultilevel"/>
    <w:tmpl w:val="A5BA505E"/>
    <w:lvl w:ilvl="0" w:tplc="9F04093C">
      <w:start w:val="1"/>
      <w:numFmt w:val="bullet"/>
      <w:lvlText w:val="•"/>
      <w:lvlJc w:val="left"/>
      <w:pPr>
        <w:tabs>
          <w:tab w:val="num" w:pos="720"/>
        </w:tabs>
        <w:ind w:left="720" w:hanging="360"/>
      </w:pPr>
      <w:rPr>
        <w:rFonts w:ascii="Arial" w:hAnsi="Arial" w:cs="Times New Roman" w:hint="default"/>
      </w:rPr>
    </w:lvl>
    <w:lvl w:ilvl="1" w:tplc="C2B4EB48">
      <w:start w:val="1"/>
      <w:numFmt w:val="bullet"/>
      <w:lvlText w:val="•"/>
      <w:lvlJc w:val="left"/>
      <w:pPr>
        <w:tabs>
          <w:tab w:val="num" w:pos="1440"/>
        </w:tabs>
        <w:ind w:left="1440" w:hanging="360"/>
      </w:pPr>
      <w:rPr>
        <w:rFonts w:ascii="Arial" w:hAnsi="Arial" w:cs="Times New Roman" w:hint="default"/>
      </w:rPr>
    </w:lvl>
    <w:lvl w:ilvl="2" w:tplc="E7D0A786">
      <w:start w:val="1"/>
      <w:numFmt w:val="bullet"/>
      <w:lvlText w:val="•"/>
      <w:lvlJc w:val="left"/>
      <w:pPr>
        <w:tabs>
          <w:tab w:val="num" w:pos="2160"/>
        </w:tabs>
        <w:ind w:left="2160" w:hanging="360"/>
      </w:pPr>
      <w:rPr>
        <w:rFonts w:ascii="Arial" w:hAnsi="Arial" w:cs="Times New Roman" w:hint="default"/>
      </w:rPr>
    </w:lvl>
    <w:lvl w:ilvl="3" w:tplc="30FCB2F8">
      <w:start w:val="1"/>
      <w:numFmt w:val="bullet"/>
      <w:lvlText w:val="•"/>
      <w:lvlJc w:val="left"/>
      <w:pPr>
        <w:tabs>
          <w:tab w:val="num" w:pos="2880"/>
        </w:tabs>
        <w:ind w:left="2880" w:hanging="360"/>
      </w:pPr>
      <w:rPr>
        <w:rFonts w:ascii="Arial" w:hAnsi="Arial" w:cs="Times New Roman" w:hint="default"/>
      </w:rPr>
    </w:lvl>
    <w:lvl w:ilvl="4" w:tplc="4D02B6CE">
      <w:start w:val="1"/>
      <w:numFmt w:val="bullet"/>
      <w:lvlText w:val="•"/>
      <w:lvlJc w:val="left"/>
      <w:pPr>
        <w:tabs>
          <w:tab w:val="num" w:pos="3600"/>
        </w:tabs>
        <w:ind w:left="3600" w:hanging="360"/>
      </w:pPr>
      <w:rPr>
        <w:rFonts w:ascii="Arial" w:hAnsi="Arial" w:cs="Times New Roman" w:hint="default"/>
      </w:rPr>
    </w:lvl>
    <w:lvl w:ilvl="5" w:tplc="722A13C8">
      <w:start w:val="1"/>
      <w:numFmt w:val="bullet"/>
      <w:lvlText w:val="•"/>
      <w:lvlJc w:val="left"/>
      <w:pPr>
        <w:tabs>
          <w:tab w:val="num" w:pos="4320"/>
        </w:tabs>
        <w:ind w:left="4320" w:hanging="360"/>
      </w:pPr>
      <w:rPr>
        <w:rFonts w:ascii="Arial" w:hAnsi="Arial" w:cs="Times New Roman" w:hint="default"/>
      </w:rPr>
    </w:lvl>
    <w:lvl w:ilvl="6" w:tplc="26E6A608">
      <w:start w:val="1"/>
      <w:numFmt w:val="bullet"/>
      <w:lvlText w:val="•"/>
      <w:lvlJc w:val="left"/>
      <w:pPr>
        <w:tabs>
          <w:tab w:val="num" w:pos="5040"/>
        </w:tabs>
        <w:ind w:left="5040" w:hanging="360"/>
      </w:pPr>
      <w:rPr>
        <w:rFonts w:ascii="Arial" w:hAnsi="Arial" w:cs="Times New Roman" w:hint="default"/>
      </w:rPr>
    </w:lvl>
    <w:lvl w:ilvl="7" w:tplc="2FE6E4B0">
      <w:start w:val="1"/>
      <w:numFmt w:val="bullet"/>
      <w:lvlText w:val="•"/>
      <w:lvlJc w:val="left"/>
      <w:pPr>
        <w:tabs>
          <w:tab w:val="num" w:pos="5760"/>
        </w:tabs>
        <w:ind w:left="5760" w:hanging="360"/>
      </w:pPr>
      <w:rPr>
        <w:rFonts w:ascii="Arial" w:hAnsi="Arial" w:cs="Times New Roman" w:hint="default"/>
      </w:rPr>
    </w:lvl>
    <w:lvl w:ilvl="8" w:tplc="C9FC618A">
      <w:start w:val="1"/>
      <w:numFmt w:val="bullet"/>
      <w:lvlText w:val="•"/>
      <w:lvlJc w:val="left"/>
      <w:pPr>
        <w:tabs>
          <w:tab w:val="num" w:pos="6480"/>
        </w:tabs>
        <w:ind w:left="6480" w:hanging="360"/>
      </w:pPr>
      <w:rPr>
        <w:rFonts w:ascii="Arial" w:hAnsi="Arial" w:cs="Times New Roman" w:hint="default"/>
      </w:rPr>
    </w:lvl>
  </w:abstractNum>
  <w:abstractNum w:abstractNumId="34"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225FB3"/>
    <w:multiLevelType w:val="hybridMultilevel"/>
    <w:tmpl w:val="3E525AD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6225289"/>
    <w:multiLevelType w:val="multilevel"/>
    <w:tmpl w:val="85708918"/>
    <w:lvl w:ilvl="0">
      <w:start w:val="1"/>
      <w:numFmt w:val="decimal"/>
      <w:lvlText w:val="%1."/>
      <w:lvlJc w:val="left"/>
      <w:pPr>
        <w:ind w:left="720" w:hanging="360"/>
      </w:pPr>
    </w:lvl>
    <w:lvl w:ilvl="1">
      <w:start w:val="3"/>
      <w:numFmt w:val="decimal"/>
      <w:isLgl/>
      <w:lvlText w:val="%1.%2"/>
      <w:lvlJc w:val="left"/>
      <w:pPr>
        <w:ind w:left="990" w:hanging="63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7" w15:restartNumberingAfterBreak="0">
    <w:nsid w:val="7A1E23AD"/>
    <w:multiLevelType w:val="hybridMultilevel"/>
    <w:tmpl w:val="9C1C57F0"/>
    <w:lvl w:ilvl="0" w:tplc="EC286AEE">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8"/>
  </w:num>
  <w:num w:numId="4">
    <w:abstractNumId w:val="23"/>
  </w:num>
  <w:num w:numId="5">
    <w:abstractNumId w:val="6"/>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6">
    <w:abstractNumId w:val="24"/>
  </w:num>
  <w:num w:numId="7">
    <w:abstractNumId w:val="34"/>
  </w:num>
  <w:num w:numId="8">
    <w:abstractNumId w:val="6"/>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9">
    <w:abstractNumId w:val="6"/>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10">
    <w:abstractNumId w:val="21"/>
  </w:num>
  <w:num w:numId="11">
    <w:abstractNumId w:val="16"/>
  </w:num>
  <w:num w:numId="12">
    <w:abstractNumId w:val="31"/>
  </w:num>
  <w:num w:numId="13">
    <w:abstractNumId w:val="13"/>
  </w:num>
  <w:num w:numId="14">
    <w:abstractNumId w:val="1"/>
  </w:num>
  <w:num w:numId="15">
    <w:abstractNumId w:val="29"/>
  </w:num>
  <w:num w:numId="16">
    <w:abstractNumId w:val="12"/>
  </w:num>
  <w:num w:numId="17">
    <w:abstractNumId w:val="33"/>
  </w:num>
  <w:num w:numId="18">
    <w:abstractNumId w:val="14"/>
  </w:num>
  <w:num w:numId="19">
    <w:abstractNumId w:val="0"/>
    <w:lvlOverride w:ilvl="0">
      <w:startOverride w:val="1"/>
    </w:lvlOverride>
    <w:lvlOverride w:ilvl="1"/>
    <w:lvlOverride w:ilvl="2"/>
    <w:lvlOverride w:ilvl="3"/>
    <w:lvlOverride w:ilvl="4"/>
    <w:lvlOverride w:ilvl="5"/>
    <w:lvlOverride w:ilvl="6"/>
    <w:lvlOverride w:ilvl="7"/>
    <w:lvlOverride w:ilvl="8"/>
  </w:num>
  <w:num w:numId="20">
    <w:abstractNumId w:val="3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9"/>
  </w:num>
  <w:num w:numId="26">
    <w:abstractNumId w:val="20"/>
  </w:num>
  <w:num w:numId="27">
    <w:abstractNumId w:val="32"/>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2"/>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5"/>
  </w:num>
  <w:num w:numId="35">
    <w:abstractNumId w:val="15"/>
  </w:num>
  <w:num w:numId="36">
    <w:abstractNumId w:val="10"/>
  </w:num>
  <w:num w:numId="37">
    <w:abstractNumId w:val="5"/>
  </w:num>
  <w:num w:numId="38">
    <w:abstractNumId w:val="28"/>
  </w:num>
  <w:num w:numId="39">
    <w:abstractNumId w:val="27"/>
  </w:num>
  <w:num w:numId="40">
    <w:abstractNumId w:val="17"/>
  </w:num>
  <w:num w:numId="41">
    <w:abstractNumId w:val="23"/>
  </w:num>
  <w:num w:numId="42">
    <w:abstractNumId w:val="23"/>
  </w:num>
  <w:num w:numId="43">
    <w:abstractNumId w:val="23"/>
  </w:num>
  <w:num w:numId="44">
    <w:abstractNumId w:val="23"/>
  </w:num>
  <w:num w:numId="45">
    <w:abstractNumId w:val="23"/>
  </w:num>
  <w:num w:numId="46">
    <w:abstractNumId w:val="23"/>
  </w:num>
  <w:num w:numId="47">
    <w:abstractNumId w:val="23"/>
  </w:num>
  <w:num w:numId="48">
    <w:abstractNumId w:val="23"/>
  </w:num>
  <w:num w:numId="49">
    <w:abstractNumId w:val="23"/>
  </w:num>
  <w:num w:numId="50">
    <w:abstractNumId w:val="23"/>
  </w:num>
  <w:num w:numId="51">
    <w:abstractNumId w:val="0"/>
  </w:num>
  <w:num w:numId="52">
    <w:abstractNumId w:val="2"/>
  </w:num>
  <w:num w:numId="53">
    <w:abstractNumId w:val="6"/>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54">
    <w:abstractNumId w:val="11"/>
  </w:num>
  <w:num w:numId="55">
    <w:abstractNumId w:val="23"/>
  </w:num>
  <w:num w:numId="56">
    <w:abstractNumId w:val="23"/>
  </w:num>
  <w:num w:numId="57">
    <w:abstractNumId w:val="23"/>
  </w:num>
  <w:num w:numId="58">
    <w:abstractNumId w:val="23"/>
  </w:num>
  <w:num w:numId="59">
    <w:abstractNumId w:val="23"/>
  </w:num>
  <w:num w:numId="60">
    <w:abstractNumId w:val="23"/>
  </w:num>
  <w:num w:numId="61">
    <w:abstractNumId w:val="23"/>
  </w:num>
  <w:num w:numId="62">
    <w:abstractNumId w:val="23"/>
  </w:num>
  <w:num w:numId="63">
    <w:abstractNumId w:val="23"/>
  </w:num>
  <w:num w:numId="64">
    <w:abstractNumId w:val="24"/>
    <w:lvlOverride w:ilvl="0">
      <w:startOverride w:val="2"/>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fr-CA" w:vendorID="64" w:dllVersion="0" w:nlCheck="1" w:checkStyle="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48A"/>
    <w:rsid w:val="00010869"/>
    <w:rsid w:val="000143C6"/>
    <w:rsid w:val="000149E6"/>
    <w:rsid w:val="000247B0"/>
    <w:rsid w:val="00024C14"/>
    <w:rsid w:val="00026997"/>
    <w:rsid w:val="00033C5F"/>
    <w:rsid w:val="00033E0B"/>
    <w:rsid w:val="00035EDE"/>
    <w:rsid w:val="0004026E"/>
    <w:rsid w:val="00044E5A"/>
    <w:rsid w:val="0004540A"/>
    <w:rsid w:val="000509B4"/>
    <w:rsid w:val="0006035B"/>
    <w:rsid w:val="00061444"/>
    <w:rsid w:val="00061E92"/>
    <w:rsid w:val="0006430A"/>
    <w:rsid w:val="00065A6F"/>
    <w:rsid w:val="00071886"/>
    <w:rsid w:val="000742BC"/>
    <w:rsid w:val="00082A0C"/>
    <w:rsid w:val="00083504"/>
    <w:rsid w:val="000904EF"/>
    <w:rsid w:val="0009640C"/>
    <w:rsid w:val="000B15D1"/>
    <w:rsid w:val="000B22A2"/>
    <w:rsid w:val="000C2A52"/>
    <w:rsid w:val="000D33C0"/>
    <w:rsid w:val="000D6941"/>
    <w:rsid w:val="000E03F9"/>
    <w:rsid w:val="000F6B5C"/>
    <w:rsid w:val="001202E3"/>
    <w:rsid w:val="00123699"/>
    <w:rsid w:val="0013059D"/>
    <w:rsid w:val="00137DF0"/>
    <w:rsid w:val="00141A55"/>
    <w:rsid w:val="001446A3"/>
    <w:rsid w:val="00155395"/>
    <w:rsid w:val="00160D74"/>
    <w:rsid w:val="00167D02"/>
    <w:rsid w:val="001717B7"/>
    <w:rsid w:val="00181EC8"/>
    <w:rsid w:val="00184349"/>
    <w:rsid w:val="00195F33"/>
    <w:rsid w:val="001B1617"/>
    <w:rsid w:val="001B504B"/>
    <w:rsid w:val="001B68AD"/>
    <w:rsid w:val="001B6CA5"/>
    <w:rsid w:val="001D3874"/>
    <w:rsid w:val="001D7E75"/>
    <w:rsid w:val="001E56D2"/>
    <w:rsid w:val="001E7D56"/>
    <w:rsid w:val="001F3A5E"/>
    <w:rsid w:val="001F75DE"/>
    <w:rsid w:val="00200D58"/>
    <w:rsid w:val="002013BE"/>
    <w:rsid w:val="00203460"/>
    <w:rsid w:val="002063A4"/>
    <w:rsid w:val="0021145B"/>
    <w:rsid w:val="00213A77"/>
    <w:rsid w:val="00243679"/>
    <w:rsid w:val="00243D36"/>
    <w:rsid w:val="00247707"/>
    <w:rsid w:val="002512CA"/>
    <w:rsid w:val="0026018E"/>
    <w:rsid w:val="00280AD4"/>
    <w:rsid w:val="00285344"/>
    <w:rsid w:val="00286740"/>
    <w:rsid w:val="002929D8"/>
    <w:rsid w:val="002A237D"/>
    <w:rsid w:val="002A4C53"/>
    <w:rsid w:val="002B0672"/>
    <w:rsid w:val="002B247F"/>
    <w:rsid w:val="002C145D"/>
    <w:rsid w:val="002C2C3E"/>
    <w:rsid w:val="002C533E"/>
    <w:rsid w:val="002D027F"/>
    <w:rsid w:val="002D7A85"/>
    <w:rsid w:val="002D7B60"/>
    <w:rsid w:val="002E2327"/>
    <w:rsid w:val="002F13C7"/>
    <w:rsid w:val="002F4761"/>
    <w:rsid w:val="002F5C79"/>
    <w:rsid w:val="003019E2"/>
    <w:rsid w:val="003065E6"/>
    <w:rsid w:val="0031413F"/>
    <w:rsid w:val="003148BB"/>
    <w:rsid w:val="00317976"/>
    <w:rsid w:val="00351B05"/>
    <w:rsid w:val="00355EA9"/>
    <w:rsid w:val="003578DE"/>
    <w:rsid w:val="00385868"/>
    <w:rsid w:val="00395386"/>
    <w:rsid w:val="00396257"/>
    <w:rsid w:val="00397EB8"/>
    <w:rsid w:val="003A4FD0"/>
    <w:rsid w:val="003A69D1"/>
    <w:rsid w:val="003A7705"/>
    <w:rsid w:val="003A77F1"/>
    <w:rsid w:val="003B1545"/>
    <w:rsid w:val="003B1F39"/>
    <w:rsid w:val="003C409D"/>
    <w:rsid w:val="003C5BA6"/>
    <w:rsid w:val="003D50CB"/>
    <w:rsid w:val="003F0E85"/>
    <w:rsid w:val="003F1D30"/>
    <w:rsid w:val="003F7440"/>
    <w:rsid w:val="00404BB4"/>
    <w:rsid w:val="0041081A"/>
    <w:rsid w:val="00410C55"/>
    <w:rsid w:val="00416854"/>
    <w:rsid w:val="00417725"/>
    <w:rsid w:val="00437F26"/>
    <w:rsid w:val="00444097"/>
    <w:rsid w:val="00445487"/>
    <w:rsid w:val="004456DC"/>
    <w:rsid w:val="00447AB9"/>
    <w:rsid w:val="00454769"/>
    <w:rsid w:val="00455480"/>
    <w:rsid w:val="004618B7"/>
    <w:rsid w:val="00466991"/>
    <w:rsid w:val="0047064C"/>
    <w:rsid w:val="00480CDD"/>
    <w:rsid w:val="004A42E1"/>
    <w:rsid w:val="004B162C"/>
    <w:rsid w:val="004C3DBE"/>
    <w:rsid w:val="004C5C96"/>
    <w:rsid w:val="004D06A4"/>
    <w:rsid w:val="004E28B0"/>
    <w:rsid w:val="004F1A81"/>
    <w:rsid w:val="00517861"/>
    <w:rsid w:val="005218D9"/>
    <w:rsid w:val="00533551"/>
    <w:rsid w:val="00536186"/>
    <w:rsid w:val="00543E2B"/>
    <w:rsid w:val="00544CBB"/>
    <w:rsid w:val="00546A3E"/>
    <w:rsid w:val="005629F4"/>
    <w:rsid w:val="00563378"/>
    <w:rsid w:val="0057315F"/>
    <w:rsid w:val="00574170"/>
    <w:rsid w:val="005754A9"/>
    <w:rsid w:val="00576104"/>
    <w:rsid w:val="005C67C8"/>
    <w:rsid w:val="005D0249"/>
    <w:rsid w:val="005D6E8C"/>
    <w:rsid w:val="005F100C"/>
    <w:rsid w:val="005F68DA"/>
    <w:rsid w:val="00606059"/>
    <w:rsid w:val="0060773B"/>
    <w:rsid w:val="006157B5"/>
    <w:rsid w:val="00626FC6"/>
    <w:rsid w:val="006303B4"/>
    <w:rsid w:val="00633D3D"/>
    <w:rsid w:val="00635BCB"/>
    <w:rsid w:val="00641703"/>
    <w:rsid w:val="006431A6"/>
    <w:rsid w:val="0064357C"/>
    <w:rsid w:val="006459F6"/>
    <w:rsid w:val="006501AD"/>
    <w:rsid w:val="00651BFA"/>
    <w:rsid w:val="00654475"/>
    <w:rsid w:val="006566FC"/>
    <w:rsid w:val="006576F9"/>
    <w:rsid w:val="006600AD"/>
    <w:rsid w:val="00665A4B"/>
    <w:rsid w:val="00692E2A"/>
    <w:rsid w:val="006A76F2"/>
    <w:rsid w:val="006B0E1A"/>
    <w:rsid w:val="006D7EFB"/>
    <w:rsid w:val="006E54C8"/>
    <w:rsid w:val="006E6672"/>
    <w:rsid w:val="006E6722"/>
    <w:rsid w:val="007027B9"/>
    <w:rsid w:val="00714E08"/>
    <w:rsid w:val="00715E88"/>
    <w:rsid w:val="0071625A"/>
    <w:rsid w:val="00722D3B"/>
    <w:rsid w:val="00734CAA"/>
    <w:rsid w:val="0075533C"/>
    <w:rsid w:val="00757581"/>
    <w:rsid w:val="007611A0"/>
    <w:rsid w:val="00796D3F"/>
    <w:rsid w:val="007A1683"/>
    <w:rsid w:val="007A5C12"/>
    <w:rsid w:val="007A7CB0"/>
    <w:rsid w:val="007B68A3"/>
    <w:rsid w:val="007C2541"/>
    <w:rsid w:val="007C6333"/>
    <w:rsid w:val="007D66A8"/>
    <w:rsid w:val="007D7AC3"/>
    <w:rsid w:val="007E003F"/>
    <w:rsid w:val="007E2B3C"/>
    <w:rsid w:val="007F3540"/>
    <w:rsid w:val="007F6126"/>
    <w:rsid w:val="008011AE"/>
    <w:rsid w:val="008034CE"/>
    <w:rsid w:val="00805F75"/>
    <w:rsid w:val="00815B30"/>
    <w:rsid w:val="008164F2"/>
    <w:rsid w:val="00821395"/>
    <w:rsid w:val="00830E26"/>
    <w:rsid w:val="00841D9D"/>
    <w:rsid w:val="00843576"/>
    <w:rsid w:val="00843B64"/>
    <w:rsid w:val="00844743"/>
    <w:rsid w:val="008478FC"/>
    <w:rsid w:val="00867BFF"/>
    <w:rsid w:val="008829D3"/>
    <w:rsid w:val="0088480A"/>
    <w:rsid w:val="0088757A"/>
    <w:rsid w:val="008957DD"/>
    <w:rsid w:val="00895DD1"/>
    <w:rsid w:val="008971FC"/>
    <w:rsid w:val="00897D98"/>
    <w:rsid w:val="008A6DF2"/>
    <w:rsid w:val="008A7807"/>
    <w:rsid w:val="008B4CC9"/>
    <w:rsid w:val="008C00D6"/>
    <w:rsid w:val="008D1443"/>
    <w:rsid w:val="008D7C99"/>
    <w:rsid w:val="008E0FCB"/>
    <w:rsid w:val="0092178C"/>
    <w:rsid w:val="00930B88"/>
    <w:rsid w:val="009379B9"/>
    <w:rsid w:val="00940DCC"/>
    <w:rsid w:val="0094179A"/>
    <w:rsid w:val="0094459E"/>
    <w:rsid w:val="00944DBC"/>
    <w:rsid w:val="0094617E"/>
    <w:rsid w:val="00950977"/>
    <w:rsid w:val="00951A7B"/>
    <w:rsid w:val="009527C6"/>
    <w:rsid w:val="009564A6"/>
    <w:rsid w:val="00967621"/>
    <w:rsid w:val="00967E6A"/>
    <w:rsid w:val="00984A20"/>
    <w:rsid w:val="00985ADF"/>
    <w:rsid w:val="009A1772"/>
    <w:rsid w:val="009B4A0F"/>
    <w:rsid w:val="009C11D2"/>
    <w:rsid w:val="009C1575"/>
    <w:rsid w:val="009C6C70"/>
    <w:rsid w:val="009D0B63"/>
    <w:rsid w:val="009E307E"/>
    <w:rsid w:val="009E78C3"/>
    <w:rsid w:val="00A07870"/>
    <w:rsid w:val="00A07F19"/>
    <w:rsid w:val="00A1148A"/>
    <w:rsid w:val="00A1348D"/>
    <w:rsid w:val="00A232EE"/>
    <w:rsid w:val="00A25F51"/>
    <w:rsid w:val="00A27C49"/>
    <w:rsid w:val="00A35431"/>
    <w:rsid w:val="00A4175F"/>
    <w:rsid w:val="00A44411"/>
    <w:rsid w:val="00A469FA"/>
    <w:rsid w:val="00A55B01"/>
    <w:rsid w:val="00A55E48"/>
    <w:rsid w:val="00A56B5B"/>
    <w:rsid w:val="00A603FF"/>
    <w:rsid w:val="00A657DD"/>
    <w:rsid w:val="00A666A6"/>
    <w:rsid w:val="00A675FD"/>
    <w:rsid w:val="00A72437"/>
    <w:rsid w:val="00A80611"/>
    <w:rsid w:val="00AA0C30"/>
    <w:rsid w:val="00AB5340"/>
    <w:rsid w:val="00AC0A89"/>
    <w:rsid w:val="00AC7C96"/>
    <w:rsid w:val="00AE237D"/>
    <w:rsid w:val="00AE502A"/>
    <w:rsid w:val="00AF0CC1"/>
    <w:rsid w:val="00AF7C07"/>
    <w:rsid w:val="00B22C93"/>
    <w:rsid w:val="00B27589"/>
    <w:rsid w:val="00B405B7"/>
    <w:rsid w:val="00B420CD"/>
    <w:rsid w:val="00B42549"/>
    <w:rsid w:val="00B52222"/>
    <w:rsid w:val="00B54FE7"/>
    <w:rsid w:val="00B66901"/>
    <w:rsid w:val="00B71E6D"/>
    <w:rsid w:val="00B72070"/>
    <w:rsid w:val="00B75656"/>
    <w:rsid w:val="00B779E1"/>
    <w:rsid w:val="00B91EE1"/>
    <w:rsid w:val="00BA0090"/>
    <w:rsid w:val="00BA1A67"/>
    <w:rsid w:val="00BA7797"/>
    <w:rsid w:val="00BE37BE"/>
    <w:rsid w:val="00BE5B5F"/>
    <w:rsid w:val="00C03545"/>
    <w:rsid w:val="00C26F55"/>
    <w:rsid w:val="00C30C63"/>
    <w:rsid w:val="00C36B8B"/>
    <w:rsid w:val="00C415C1"/>
    <w:rsid w:val="00C47DBF"/>
    <w:rsid w:val="00C552FF"/>
    <w:rsid w:val="00C558DA"/>
    <w:rsid w:val="00C55AF3"/>
    <w:rsid w:val="00C70845"/>
    <w:rsid w:val="00C81B4E"/>
    <w:rsid w:val="00C83A22"/>
    <w:rsid w:val="00C84759"/>
    <w:rsid w:val="00C96840"/>
    <w:rsid w:val="00CA6C7F"/>
    <w:rsid w:val="00CC10A6"/>
    <w:rsid w:val="00CC20CF"/>
    <w:rsid w:val="00CD5EB8"/>
    <w:rsid w:val="00CD7044"/>
    <w:rsid w:val="00CE08B9"/>
    <w:rsid w:val="00CE524C"/>
    <w:rsid w:val="00CF141F"/>
    <w:rsid w:val="00CF24F4"/>
    <w:rsid w:val="00CF4777"/>
    <w:rsid w:val="00D004B3"/>
    <w:rsid w:val="00D067BB"/>
    <w:rsid w:val="00D1352A"/>
    <w:rsid w:val="00D169AF"/>
    <w:rsid w:val="00D25249"/>
    <w:rsid w:val="00D33031"/>
    <w:rsid w:val="00D33D5C"/>
    <w:rsid w:val="00D44172"/>
    <w:rsid w:val="00D62DAC"/>
    <w:rsid w:val="00D63B8C"/>
    <w:rsid w:val="00D739CC"/>
    <w:rsid w:val="00D8093D"/>
    <w:rsid w:val="00D8108C"/>
    <w:rsid w:val="00D842AE"/>
    <w:rsid w:val="00D87566"/>
    <w:rsid w:val="00D9211C"/>
    <w:rsid w:val="00D92DE0"/>
    <w:rsid w:val="00D92FEF"/>
    <w:rsid w:val="00D93A0F"/>
    <w:rsid w:val="00DA1BCA"/>
    <w:rsid w:val="00DA7476"/>
    <w:rsid w:val="00DC45C7"/>
    <w:rsid w:val="00DC46FF"/>
    <w:rsid w:val="00DC5254"/>
    <w:rsid w:val="00DD1A4F"/>
    <w:rsid w:val="00DD2838"/>
    <w:rsid w:val="00DD3107"/>
    <w:rsid w:val="00DD7C2C"/>
    <w:rsid w:val="00DF05AB"/>
    <w:rsid w:val="00E0342F"/>
    <w:rsid w:val="00E03D71"/>
    <w:rsid w:val="00E06797"/>
    <w:rsid w:val="00E1265B"/>
    <w:rsid w:val="00E13B48"/>
    <w:rsid w:val="00E1404F"/>
    <w:rsid w:val="00E21C83"/>
    <w:rsid w:val="00E2337D"/>
    <w:rsid w:val="00E2437D"/>
    <w:rsid w:val="00E24ADA"/>
    <w:rsid w:val="00E32F59"/>
    <w:rsid w:val="00E33E3F"/>
    <w:rsid w:val="00E44A5A"/>
    <w:rsid w:val="00E46D9A"/>
    <w:rsid w:val="00E565FF"/>
    <w:rsid w:val="00E65388"/>
    <w:rsid w:val="00E83AFD"/>
    <w:rsid w:val="00E85B7D"/>
    <w:rsid w:val="00E9121B"/>
    <w:rsid w:val="00EA0AE2"/>
    <w:rsid w:val="00EA39E5"/>
    <w:rsid w:val="00EA5E72"/>
    <w:rsid w:val="00EB563C"/>
    <w:rsid w:val="00EC5A46"/>
    <w:rsid w:val="00EC63E2"/>
    <w:rsid w:val="00EE7A32"/>
    <w:rsid w:val="00EF22B3"/>
    <w:rsid w:val="00F02B81"/>
    <w:rsid w:val="00F03B69"/>
    <w:rsid w:val="00F07A50"/>
    <w:rsid w:val="00F113DA"/>
    <w:rsid w:val="00F21C7C"/>
    <w:rsid w:val="00F24AB6"/>
    <w:rsid w:val="00F37DC8"/>
    <w:rsid w:val="00F439B3"/>
    <w:rsid w:val="00F55490"/>
    <w:rsid w:val="00F650C3"/>
    <w:rsid w:val="00F65D85"/>
    <w:rsid w:val="00F8091E"/>
    <w:rsid w:val="00F8615C"/>
    <w:rsid w:val="00F94214"/>
    <w:rsid w:val="00F969E5"/>
    <w:rsid w:val="00FA3208"/>
    <w:rsid w:val="00FA50AA"/>
    <w:rsid w:val="00FA5BA4"/>
    <w:rsid w:val="00FA6BB0"/>
    <w:rsid w:val="00FA7E4C"/>
    <w:rsid w:val="00FD508F"/>
    <w:rsid w:val="00FD5860"/>
    <w:rsid w:val="00FE352D"/>
    <w:rsid w:val="00FE40EB"/>
    <w:rsid w:val="00FE4D02"/>
    <w:rsid w:val="00FE7D62"/>
    <w:rsid w:val="00FF38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188144C"/>
  <w15:docId w15:val="{74D9B3FA-97BE-4848-9987-E26267096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1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nhideWhenUsed/>
    <w:qFormat/>
    <w:rsid w:val="008971FC"/>
    <w:pPr>
      <w:tabs>
        <w:tab w:val="left" w:pos="1247"/>
        <w:tab w:val="left" w:pos="1814"/>
        <w:tab w:val="left" w:pos="2381"/>
        <w:tab w:val="left" w:pos="2948"/>
        <w:tab w:val="left" w:pos="3515"/>
      </w:tabs>
    </w:pPr>
    <w:rPr>
      <w:rFonts w:eastAsiaTheme="minorHAnsi" w:cstheme="minorBidi"/>
      <w:lang w:val="fr-FR"/>
    </w:rPr>
  </w:style>
  <w:style w:type="paragraph" w:styleId="Heading1">
    <w:name w:val="heading 1"/>
    <w:aliases w:val="Para (1),Heading 1 Char3 Char,Heading 1 Char Char1 Char,Heading 1 Char1 Char Char1 Char,Heading 1 Char Char Char Char1 Char1,Para (1) Char Char Char Char1 Char,Heading 1 Char3 Char Char Char Char1 Char,Heading 1 Char3"/>
    <w:basedOn w:val="Normal"/>
    <w:next w:val="Normal"/>
    <w:link w:val="Heading1Char"/>
    <w:uiPriority w:val="9"/>
    <w:qFormat/>
    <w:rsid w:val="00895DD1"/>
    <w:pPr>
      <w:keepNext/>
      <w:spacing w:before="240" w:after="120"/>
      <w:ind w:left="1247" w:hanging="680"/>
      <w:outlineLvl w:val="0"/>
    </w:pPr>
    <w:rPr>
      <w:rFonts w:eastAsia="Times New Roman" w:cs="Times New Roman"/>
      <w:b/>
      <w:sz w:val="28"/>
    </w:rPr>
  </w:style>
  <w:style w:type="paragraph" w:styleId="Heading2">
    <w:name w:val="heading 2"/>
    <w:basedOn w:val="Normal"/>
    <w:next w:val="Normal"/>
    <w:link w:val="Heading2Char"/>
    <w:uiPriority w:val="9"/>
    <w:qFormat/>
    <w:rsid w:val="00895DD1"/>
    <w:pPr>
      <w:keepNext/>
      <w:spacing w:before="240" w:after="120"/>
      <w:ind w:left="1247" w:hanging="680"/>
      <w:outlineLvl w:val="1"/>
    </w:pPr>
    <w:rPr>
      <w:rFonts w:eastAsia="Times New Roman" w:cs="Times New Roman"/>
      <w:b/>
      <w:sz w:val="24"/>
      <w:szCs w:val="24"/>
    </w:rPr>
  </w:style>
  <w:style w:type="paragraph" w:styleId="Heading3">
    <w:name w:val="heading 3"/>
    <w:aliases w:val="Sec"/>
    <w:basedOn w:val="Normal"/>
    <w:next w:val="Normal"/>
    <w:link w:val="Heading3Char"/>
    <w:uiPriority w:val="9"/>
    <w:qFormat/>
    <w:rsid w:val="00895DD1"/>
    <w:pPr>
      <w:spacing w:after="120"/>
      <w:ind w:left="1247" w:hanging="680"/>
      <w:outlineLvl w:val="2"/>
    </w:pPr>
    <w:rPr>
      <w:rFonts w:eastAsia="Times New Roman" w:cs="Times New Roman"/>
      <w:b/>
    </w:rPr>
  </w:style>
  <w:style w:type="paragraph" w:styleId="Heading4">
    <w:name w:val="heading 4"/>
    <w:aliases w:val="MainPara"/>
    <w:basedOn w:val="Heading3"/>
    <w:next w:val="Normal"/>
    <w:link w:val="Heading4Char"/>
    <w:uiPriority w:val="1"/>
    <w:qFormat/>
    <w:rsid w:val="00895DD1"/>
    <w:pPr>
      <w:keepNext/>
      <w:outlineLvl w:val="3"/>
    </w:pPr>
  </w:style>
  <w:style w:type="paragraph" w:styleId="Heading5">
    <w:name w:val="heading 5"/>
    <w:aliases w:val="Subpara 2"/>
    <w:basedOn w:val="Normal"/>
    <w:next w:val="Normal"/>
    <w:link w:val="Heading5Char"/>
    <w:uiPriority w:val="1"/>
    <w:qFormat/>
    <w:rsid w:val="00895DD1"/>
    <w:pPr>
      <w:keepNext/>
      <w:outlineLvl w:val="4"/>
    </w:pPr>
    <w:rPr>
      <w:rFonts w:ascii="Univers" w:eastAsia="Times New Roman" w:hAnsi="Univers" w:cs="Times New Roman"/>
      <w:b/>
      <w:sz w:val="24"/>
    </w:rPr>
  </w:style>
  <w:style w:type="paragraph" w:styleId="Heading6">
    <w:name w:val="heading 6"/>
    <w:basedOn w:val="Normal"/>
    <w:next w:val="Normal"/>
    <w:link w:val="Heading6Char"/>
    <w:uiPriority w:val="1"/>
    <w:qFormat/>
    <w:rsid w:val="00895DD1"/>
    <w:pPr>
      <w:keepNext/>
      <w:ind w:left="578"/>
      <w:outlineLvl w:val="5"/>
    </w:pPr>
    <w:rPr>
      <w:rFonts w:eastAsia="Times New Roman" w:cs="Times New Roman"/>
      <w:b/>
      <w:bCs/>
      <w:sz w:val="24"/>
    </w:rPr>
  </w:style>
  <w:style w:type="paragraph" w:styleId="Heading7">
    <w:name w:val="heading 7"/>
    <w:basedOn w:val="Normal"/>
    <w:next w:val="Normal"/>
    <w:link w:val="Heading7Char"/>
    <w:uiPriority w:val="9"/>
    <w:qFormat/>
    <w:rsid w:val="00895DD1"/>
    <w:pPr>
      <w:keepNext/>
      <w:widowControl w:val="0"/>
      <w:jc w:val="center"/>
      <w:outlineLvl w:val="6"/>
    </w:pPr>
    <w:rPr>
      <w:rFonts w:eastAsia="Times New Roman" w:cs="Times New Roman"/>
      <w:snapToGrid w:val="0"/>
      <w:u w:val="single"/>
      <w:lang w:val="en-US"/>
    </w:rPr>
  </w:style>
  <w:style w:type="paragraph" w:styleId="Heading8">
    <w:name w:val="heading 8"/>
    <w:basedOn w:val="Normal"/>
    <w:next w:val="Normal"/>
    <w:link w:val="Heading8Char"/>
    <w:uiPriority w:val="9"/>
    <w:qFormat/>
    <w:rsid w:val="00895DD1"/>
    <w:pPr>
      <w:keepNext/>
      <w:widowControl w:val="0"/>
      <w:numPr>
        <w:numId w:val="2"/>
      </w:numPr>
      <w:tabs>
        <w:tab w:val="left" w:pos="-1440"/>
        <w:tab w:val="left" w:pos="-720"/>
      </w:tabs>
      <w:suppressAutoHyphens/>
      <w:jc w:val="center"/>
      <w:outlineLvl w:val="7"/>
    </w:pPr>
    <w:rPr>
      <w:rFonts w:eastAsia="Times New Roman" w:cs="Times New Roman"/>
      <w:snapToGrid w:val="0"/>
      <w:u w:val="single"/>
      <w:lang w:val="en-US"/>
    </w:rPr>
  </w:style>
  <w:style w:type="paragraph" w:styleId="Heading9">
    <w:name w:val="heading 9"/>
    <w:basedOn w:val="Normal"/>
    <w:next w:val="Normal"/>
    <w:link w:val="Heading9Char"/>
    <w:uiPriority w:val="9"/>
    <w:qFormat/>
    <w:rsid w:val="00895DD1"/>
    <w:pPr>
      <w:keepNext/>
      <w:widowControl w:val="0"/>
      <w:numPr>
        <w:numId w:val="3"/>
      </w:numPr>
      <w:suppressAutoHyphens/>
      <w:jc w:val="center"/>
      <w:outlineLvl w:val="8"/>
    </w:pPr>
    <w:rPr>
      <w:rFonts w:eastAsia="Times New Roman" w:cs="Times New Roman"/>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895DD1"/>
    <w:rPr>
      <w:rFonts w:ascii="Times New Roman" w:hAnsi="Times New Roman"/>
      <w:b/>
      <w:sz w:val="18"/>
    </w:rPr>
  </w:style>
  <w:style w:type="table" w:customStyle="1" w:styleId="Tabledocright">
    <w:name w:val="Table_doc_right"/>
    <w:basedOn w:val="TableNormal"/>
    <w:rsid w:val="00895DD1"/>
    <w:pPr>
      <w:spacing w:before="40" w:after="40"/>
    </w:pPr>
    <w:rPr>
      <w:sz w:val="18"/>
      <w:szCs w:val="18"/>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semiHidden/>
    <w:rsid w:val="00895DD1"/>
    <w:pPr>
      <w:tabs>
        <w:tab w:val="clear" w:pos="1814"/>
        <w:tab w:val="clear" w:pos="2381"/>
        <w:tab w:val="clear" w:pos="2948"/>
        <w:tab w:val="clear" w:pos="3515"/>
      </w:tabs>
      <w:ind w:left="1000"/>
    </w:pPr>
    <w:rPr>
      <w:rFonts w:eastAsia="Times New Roman" w:cs="Times New Roman"/>
      <w:sz w:val="18"/>
      <w:szCs w:val="18"/>
    </w:rPr>
  </w:style>
  <w:style w:type="paragraph" w:styleId="TOC7">
    <w:name w:val="toc 7"/>
    <w:basedOn w:val="Normal"/>
    <w:next w:val="Normal"/>
    <w:autoRedefine/>
    <w:uiPriority w:val="39"/>
    <w:semiHidden/>
    <w:rsid w:val="00895DD1"/>
    <w:pPr>
      <w:tabs>
        <w:tab w:val="clear" w:pos="1814"/>
        <w:tab w:val="clear" w:pos="2381"/>
        <w:tab w:val="clear" w:pos="2948"/>
        <w:tab w:val="clear" w:pos="3515"/>
      </w:tabs>
      <w:ind w:left="1200"/>
    </w:pPr>
    <w:rPr>
      <w:rFonts w:eastAsia="Times New Roman" w:cs="Times New Roman"/>
      <w:sz w:val="18"/>
      <w:szCs w:val="18"/>
    </w:rPr>
  </w:style>
  <w:style w:type="paragraph" w:styleId="TOC8">
    <w:name w:val="toc 8"/>
    <w:basedOn w:val="Normal"/>
    <w:next w:val="Normal"/>
    <w:autoRedefine/>
    <w:uiPriority w:val="39"/>
    <w:semiHidden/>
    <w:rsid w:val="00895DD1"/>
    <w:pPr>
      <w:tabs>
        <w:tab w:val="clear" w:pos="1814"/>
        <w:tab w:val="clear" w:pos="2381"/>
        <w:tab w:val="clear" w:pos="2948"/>
        <w:tab w:val="clear" w:pos="3515"/>
      </w:tabs>
      <w:ind w:left="1400"/>
    </w:pPr>
    <w:rPr>
      <w:rFonts w:eastAsia="Times New Roman" w:cs="Times New Roman"/>
      <w:sz w:val="18"/>
      <w:szCs w:val="18"/>
    </w:rPr>
  </w:style>
  <w:style w:type="paragraph" w:styleId="TOC9">
    <w:name w:val="toc 9"/>
    <w:basedOn w:val="Normal"/>
    <w:next w:val="Normal"/>
    <w:autoRedefine/>
    <w:uiPriority w:val="39"/>
    <w:semiHidden/>
    <w:rsid w:val="00895DD1"/>
    <w:pPr>
      <w:tabs>
        <w:tab w:val="clear" w:pos="1814"/>
        <w:tab w:val="clear" w:pos="2381"/>
        <w:tab w:val="clear" w:pos="2948"/>
        <w:tab w:val="clear" w:pos="3515"/>
      </w:tabs>
      <w:ind w:left="1600"/>
    </w:pPr>
    <w:rPr>
      <w:rFonts w:eastAsia="Times New Roman" w:cs="Times New Roman"/>
      <w:sz w:val="18"/>
      <w:szCs w:val="18"/>
    </w:rPr>
  </w:style>
  <w:style w:type="paragraph" w:customStyle="1" w:styleId="Titlefigure">
    <w:name w:val="Title_figure"/>
    <w:basedOn w:val="Titletable"/>
    <w:next w:val="NormalNonumber"/>
    <w:uiPriority w:val="99"/>
    <w:rsid w:val="00895DD1"/>
    <w:rPr>
      <w:bCs w:val="0"/>
    </w:rPr>
  </w:style>
  <w:style w:type="paragraph" w:styleId="TableofFigures">
    <w:name w:val="table of figures"/>
    <w:basedOn w:val="Normal"/>
    <w:next w:val="Normal"/>
    <w:autoRedefine/>
    <w:uiPriority w:val="99"/>
    <w:semiHidden/>
    <w:rsid w:val="00895DD1"/>
    <w:pPr>
      <w:tabs>
        <w:tab w:val="clear" w:pos="1814"/>
        <w:tab w:val="clear" w:pos="2381"/>
        <w:tab w:val="clear" w:pos="2948"/>
        <w:tab w:val="clear" w:pos="3515"/>
      </w:tabs>
      <w:ind w:left="1814" w:hanging="567"/>
    </w:pPr>
    <w:rPr>
      <w:rFonts w:eastAsia="Times New Roman" w:cs="Times New Roman"/>
    </w:rPr>
  </w:style>
  <w:style w:type="paragraph" w:customStyle="1" w:styleId="CH1">
    <w:name w:val="CH1"/>
    <w:basedOn w:val="Normalpool"/>
    <w:next w:val="Normal"/>
    <w:uiPriority w:val="99"/>
    <w:qFormat/>
    <w:rsid w:val="00895DD1"/>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
    <w:link w:val="CH2Char"/>
    <w:rsid w:val="00895DD1"/>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
    <w:uiPriority w:val="99"/>
    <w:rsid w:val="00895DD1"/>
    <w:pPr>
      <w:keepNext/>
      <w:keepLines/>
      <w:tabs>
        <w:tab w:val="right" w:pos="851"/>
      </w:tabs>
      <w:suppressAutoHyphens/>
      <w:spacing w:after="120"/>
      <w:ind w:left="1247" w:right="284" w:hanging="1247"/>
    </w:pPr>
    <w:rPr>
      <w:b/>
    </w:rPr>
  </w:style>
  <w:style w:type="paragraph" w:customStyle="1" w:styleId="CH4">
    <w:name w:val="CH4"/>
    <w:basedOn w:val="Normalpool"/>
    <w:next w:val="Normal"/>
    <w:uiPriority w:val="99"/>
    <w:rsid w:val="00895DD1"/>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895DD1"/>
    <w:rPr>
      <w:rFonts w:ascii="Arial" w:hAnsi="Arial"/>
      <w:sz w:val="16"/>
      <w:lang w:val="fr-FR"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
    <w:uiPriority w:val="99"/>
    <w:rsid w:val="00895DD1"/>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895DD1"/>
    <w:pPr>
      <w:tabs>
        <w:tab w:val="left" w:pos="4321"/>
        <w:tab w:val="right" w:pos="8641"/>
      </w:tabs>
      <w:spacing w:before="60" w:after="120"/>
    </w:pPr>
    <w:rPr>
      <w:rFonts w:eastAsia="Times New Roman" w:cs="Times New Roman"/>
      <w:b/>
      <w:sz w:val="18"/>
    </w:rPr>
  </w:style>
  <w:style w:type="paragraph" w:customStyle="1" w:styleId="Headerpool">
    <w:name w:val="Header_pool"/>
    <w:basedOn w:val="Normal"/>
    <w:next w:val="Normal"/>
    <w:semiHidden/>
    <w:rsid w:val="00895DD1"/>
    <w:pPr>
      <w:pBdr>
        <w:bottom w:val="single" w:sz="4" w:space="1" w:color="auto"/>
      </w:pBdr>
      <w:tabs>
        <w:tab w:val="clear" w:pos="1814"/>
        <w:tab w:val="clear" w:pos="2381"/>
        <w:tab w:val="clear" w:pos="2948"/>
        <w:tab w:val="clear" w:pos="3515"/>
        <w:tab w:val="center" w:pos="4536"/>
        <w:tab w:val="right" w:pos="9072"/>
      </w:tabs>
      <w:spacing w:after="120"/>
    </w:pPr>
    <w:rPr>
      <w:rFonts w:eastAsia="Times New Roman" w:cs="Times New Roman"/>
      <w:b/>
      <w:sz w:val="18"/>
    </w:rPr>
  </w:style>
  <w:style w:type="paragraph" w:customStyle="1" w:styleId="Normalpool">
    <w:name w:val="Normal_pool"/>
    <w:autoRedefine/>
    <w:semiHidden/>
    <w:rsid w:val="00895DD1"/>
    <w:pPr>
      <w:tabs>
        <w:tab w:val="left" w:pos="1247"/>
        <w:tab w:val="left" w:pos="1814"/>
        <w:tab w:val="left" w:pos="2381"/>
        <w:tab w:val="left" w:pos="2948"/>
        <w:tab w:val="left" w:pos="3515"/>
        <w:tab w:val="left" w:pos="4082"/>
      </w:tabs>
    </w:pPr>
    <w:rPr>
      <w:lang w:val="fr-CA"/>
    </w:rPr>
  </w:style>
  <w:style w:type="paragraph" w:customStyle="1" w:styleId="Footer-pool">
    <w:name w:val="Footer-pool"/>
    <w:basedOn w:val="Normal-pool"/>
    <w:next w:val="Normal-pool"/>
    <w:rsid w:val="00895DD1"/>
    <w:pPr>
      <w:tabs>
        <w:tab w:val="left" w:pos="4321"/>
        <w:tab w:val="right" w:pos="8641"/>
      </w:tabs>
      <w:spacing w:before="60" w:after="120"/>
    </w:pPr>
    <w:rPr>
      <w:b/>
      <w:sz w:val="18"/>
    </w:rPr>
  </w:style>
  <w:style w:type="paragraph" w:customStyle="1" w:styleId="Header-pool">
    <w:name w:val="Header-pool"/>
    <w:basedOn w:val="Normal-pool"/>
    <w:next w:val="Normal-pool"/>
    <w:rsid w:val="00895DD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895DD1"/>
    <w:pPr>
      <w:tabs>
        <w:tab w:val="left" w:pos="1247"/>
        <w:tab w:val="left" w:pos="1814"/>
        <w:tab w:val="left" w:pos="2381"/>
        <w:tab w:val="left" w:pos="2948"/>
        <w:tab w:val="left" w:pos="3515"/>
        <w:tab w:val="left" w:pos="4082"/>
      </w:tabs>
    </w:pPr>
    <w:rPr>
      <w:lang w:val="fr-CA"/>
    </w:rPr>
  </w:style>
  <w:style w:type="character" w:styleId="FootnoteReference">
    <w:name w:val="footnote reference"/>
    <w:aliases w:val="16 Point,Superscript 6 Point,number,SUPERS,Footnote Reference Superscript"/>
    <w:uiPriority w:val="99"/>
    <w:semiHidden/>
    <w:rsid w:val="00895DD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uiPriority w:val="99"/>
    <w:semiHidden/>
    <w:qFormat/>
    <w:rsid w:val="00895DD1"/>
    <w:pPr>
      <w:spacing w:before="20" w:after="40"/>
      <w:ind w:left="1247"/>
    </w:pPr>
    <w:rPr>
      <w:sz w:val="18"/>
    </w:rPr>
  </w:style>
  <w:style w:type="table" w:customStyle="1" w:styleId="AATable">
    <w:name w:val="AA_Table"/>
    <w:basedOn w:val="TableNormal"/>
    <w:rsid w:val="00895DD1"/>
    <w:rPr>
      <w:lang w:val="fr-FR"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uiPriority w:val="99"/>
    <w:rsid w:val="00895DD1"/>
    <w:pPr>
      <w:keepNext/>
      <w:keepLines/>
      <w:suppressAutoHyphens/>
      <w:ind w:right="5103"/>
    </w:pPr>
    <w:rPr>
      <w:b/>
    </w:rPr>
  </w:style>
  <w:style w:type="paragraph" w:customStyle="1" w:styleId="AATitle2">
    <w:name w:val="AA_Title2"/>
    <w:basedOn w:val="AATitle"/>
    <w:uiPriority w:val="99"/>
    <w:rsid w:val="00895DD1"/>
    <w:pPr>
      <w:tabs>
        <w:tab w:val="clear" w:pos="4082"/>
      </w:tabs>
      <w:spacing w:before="120" w:after="120"/>
      <w:ind w:right="4536"/>
    </w:pPr>
  </w:style>
  <w:style w:type="paragraph" w:customStyle="1" w:styleId="BBTitle">
    <w:name w:val="BB_Title"/>
    <w:basedOn w:val="Normalpool"/>
    <w:uiPriority w:val="99"/>
    <w:rsid w:val="00BE37BE"/>
    <w:pPr>
      <w:keepNext/>
      <w:keepLines/>
      <w:suppressAutoHyphens/>
      <w:spacing w:before="320" w:after="240"/>
      <w:ind w:left="1247" w:right="567"/>
    </w:pPr>
    <w:rPr>
      <w:b/>
      <w:sz w:val="28"/>
      <w:szCs w:val="28"/>
    </w:rPr>
  </w:style>
  <w:style w:type="paragraph" w:styleId="Footer">
    <w:name w:val="footer"/>
    <w:basedOn w:val="Normal"/>
    <w:link w:val="FooterChar"/>
    <w:uiPriority w:val="99"/>
    <w:rsid w:val="00895DD1"/>
    <w:pPr>
      <w:tabs>
        <w:tab w:val="center" w:pos="4320"/>
        <w:tab w:val="right" w:pos="8640"/>
      </w:tabs>
      <w:spacing w:before="60" w:after="120"/>
    </w:pPr>
    <w:rPr>
      <w:rFonts w:eastAsia="Times New Roman" w:cs="Times New Roman"/>
      <w:sz w:val="18"/>
    </w:rPr>
  </w:style>
  <w:style w:type="paragraph" w:styleId="Header">
    <w:name w:val="header"/>
    <w:aliases w:val="EthylHeader"/>
    <w:basedOn w:val="Normal"/>
    <w:link w:val="HeaderChar"/>
    <w:uiPriority w:val="99"/>
    <w:rsid w:val="00895DD1"/>
    <w:pPr>
      <w:pBdr>
        <w:bottom w:val="single" w:sz="4" w:space="1" w:color="auto"/>
      </w:pBdr>
      <w:tabs>
        <w:tab w:val="clear" w:pos="1814"/>
        <w:tab w:val="clear" w:pos="2381"/>
        <w:tab w:val="clear" w:pos="2948"/>
        <w:tab w:val="clear" w:pos="3515"/>
        <w:tab w:val="center" w:pos="4536"/>
        <w:tab w:val="right" w:pos="9072"/>
      </w:tabs>
      <w:spacing w:after="120"/>
    </w:pPr>
    <w:rPr>
      <w:rFonts w:eastAsia="Times New Roman" w:cs="Times New Roman"/>
      <w:b/>
      <w:sz w:val="18"/>
    </w:rPr>
  </w:style>
  <w:style w:type="character" w:styleId="Hyperlink">
    <w:name w:val="Hyperlink"/>
    <w:uiPriority w:val="99"/>
    <w:rsid w:val="00895DD1"/>
    <w:rPr>
      <w:rFonts w:ascii="Times New Roman" w:hAnsi="Times New Roman"/>
      <w:color w:val="auto"/>
      <w:sz w:val="20"/>
      <w:szCs w:val="20"/>
      <w:u w:val="none"/>
      <w:lang w:val="fr-FR"/>
    </w:rPr>
  </w:style>
  <w:style w:type="numbering" w:customStyle="1" w:styleId="Normallist">
    <w:name w:val="Normal_list"/>
    <w:basedOn w:val="NoList"/>
    <w:rsid w:val="00895DD1"/>
    <w:pPr>
      <w:numPr>
        <w:numId w:val="1"/>
      </w:numPr>
    </w:pPr>
  </w:style>
  <w:style w:type="paragraph" w:customStyle="1" w:styleId="NormalNonumber">
    <w:name w:val="Normal_No_number"/>
    <w:basedOn w:val="Normalpool"/>
    <w:uiPriority w:val="99"/>
    <w:rsid w:val="00895DD1"/>
    <w:pPr>
      <w:spacing w:after="120"/>
      <w:ind w:left="1247"/>
    </w:pPr>
  </w:style>
  <w:style w:type="paragraph" w:customStyle="1" w:styleId="Normalnumber">
    <w:name w:val="Normal_number"/>
    <w:basedOn w:val="Normalpool"/>
    <w:link w:val="NormalnumberChar"/>
    <w:qFormat/>
    <w:rsid w:val="00895DD1"/>
    <w:pPr>
      <w:numPr>
        <w:numId w:val="4"/>
      </w:numPr>
      <w:spacing w:after="120"/>
    </w:pPr>
  </w:style>
  <w:style w:type="paragraph" w:customStyle="1" w:styleId="Titletable">
    <w:name w:val="Title_table"/>
    <w:basedOn w:val="Normalpool"/>
    <w:uiPriority w:val="99"/>
    <w:rsid w:val="00895DD1"/>
    <w:pPr>
      <w:keepNext/>
      <w:keepLines/>
      <w:suppressAutoHyphens/>
      <w:spacing w:after="60"/>
      <w:ind w:left="1247"/>
    </w:pPr>
    <w:rPr>
      <w:b/>
      <w:bCs/>
    </w:rPr>
  </w:style>
  <w:style w:type="paragraph" w:styleId="TOC1">
    <w:name w:val="toc 1"/>
    <w:basedOn w:val="Normalpool"/>
    <w:next w:val="Normalpool"/>
    <w:uiPriority w:val="39"/>
    <w:qFormat/>
    <w:rsid w:val="00895DD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qFormat/>
    <w:rsid w:val="00895DD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qFormat/>
    <w:rsid w:val="00895DD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895DD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semiHidden/>
    <w:rsid w:val="00895DD1"/>
    <w:pPr>
      <w:tabs>
        <w:tab w:val="clear" w:pos="1814"/>
        <w:tab w:val="clear" w:pos="2381"/>
        <w:tab w:val="clear" w:pos="2948"/>
        <w:tab w:val="clear" w:pos="3515"/>
      </w:tabs>
      <w:ind w:left="800"/>
    </w:pPr>
    <w:rPr>
      <w:rFonts w:eastAsia="Times New Roman" w:cs="Times New Roman"/>
      <w:sz w:val="18"/>
      <w:szCs w:val="18"/>
    </w:rPr>
  </w:style>
  <w:style w:type="paragraph" w:customStyle="1" w:styleId="ZZAnxheader">
    <w:name w:val="ZZ_Anx_header"/>
    <w:basedOn w:val="Normalpool"/>
    <w:uiPriority w:val="99"/>
    <w:rsid w:val="00895DD1"/>
    <w:rPr>
      <w:b/>
      <w:bCs/>
      <w:sz w:val="28"/>
      <w:szCs w:val="22"/>
    </w:rPr>
  </w:style>
  <w:style w:type="paragraph" w:customStyle="1" w:styleId="ZZAnxtitle">
    <w:name w:val="ZZ_Anx_title"/>
    <w:basedOn w:val="Normalpool"/>
    <w:uiPriority w:val="99"/>
    <w:rsid w:val="00895DD1"/>
    <w:pPr>
      <w:spacing w:before="360" w:after="120"/>
      <w:ind w:left="1247"/>
    </w:pPr>
    <w:rPr>
      <w:b/>
      <w:bCs/>
      <w:sz w:val="28"/>
      <w:szCs w:val="26"/>
    </w:rPr>
  </w:style>
  <w:style w:type="character" w:customStyle="1" w:styleId="Normal-poolChar">
    <w:name w:val="Normal-pool Char"/>
    <w:link w:val="Normal-pool"/>
    <w:rsid w:val="007E2B3C"/>
    <w:rPr>
      <w:lang w:val="fr-CA"/>
    </w:rPr>
  </w:style>
  <w:style w:type="character" w:customStyle="1" w:styleId="FooterChar">
    <w:name w:val="Footer Char"/>
    <w:basedOn w:val="DefaultParagraphFont"/>
    <w:link w:val="Footer"/>
    <w:uiPriority w:val="99"/>
    <w:rsid w:val="00895DD1"/>
    <w:rPr>
      <w:sz w:val="18"/>
      <w:lang w:val="fr-FR"/>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basedOn w:val="DefaultParagraphFont"/>
    <w:link w:val="FootnoteText"/>
    <w:uiPriority w:val="99"/>
    <w:semiHidden/>
    <w:rsid w:val="00895DD1"/>
    <w:rPr>
      <w:sz w:val="18"/>
      <w:lang w:val="fr-CA"/>
    </w:rPr>
  </w:style>
  <w:style w:type="character" w:customStyle="1" w:styleId="HeaderChar">
    <w:name w:val="Header Char"/>
    <w:aliases w:val="EthylHeader Char"/>
    <w:basedOn w:val="DefaultParagraphFont"/>
    <w:link w:val="Header"/>
    <w:uiPriority w:val="99"/>
    <w:rsid w:val="00895DD1"/>
    <w:rPr>
      <w:b/>
      <w:sz w:val="18"/>
      <w:lang w:val="fr-FR"/>
    </w:rPr>
  </w:style>
  <w:style w:type="character" w:customStyle="1" w:styleId="Heading1Char">
    <w:name w:val="Heading 1 Char"/>
    <w:aliases w:val="Para (1) Char,Heading 1 Char3 Char Char,Heading 1 Char Char1 Char Char,Heading 1 Char1 Char Char1 Char Char,Heading 1 Char Char Char Char1 Char1 Char,Para (1) Char Char Char Char1 Char Char,Heading 1 Char3 Char Char Char Char1 Char Char"/>
    <w:basedOn w:val="DefaultParagraphFont"/>
    <w:link w:val="Heading1"/>
    <w:uiPriority w:val="9"/>
    <w:rsid w:val="008971FC"/>
    <w:rPr>
      <w:b/>
      <w:sz w:val="28"/>
      <w:lang w:val="fr-FR"/>
    </w:rPr>
  </w:style>
  <w:style w:type="character" w:customStyle="1" w:styleId="Heading2Char">
    <w:name w:val="Heading 2 Char"/>
    <w:basedOn w:val="DefaultParagraphFont"/>
    <w:link w:val="Heading2"/>
    <w:uiPriority w:val="9"/>
    <w:rsid w:val="008971FC"/>
    <w:rPr>
      <w:b/>
      <w:sz w:val="24"/>
      <w:szCs w:val="24"/>
      <w:lang w:val="fr-FR"/>
    </w:rPr>
  </w:style>
  <w:style w:type="character" w:customStyle="1" w:styleId="Heading3Char">
    <w:name w:val="Heading 3 Char"/>
    <w:aliases w:val="Sec Char"/>
    <w:basedOn w:val="DefaultParagraphFont"/>
    <w:link w:val="Heading3"/>
    <w:uiPriority w:val="9"/>
    <w:rsid w:val="008971FC"/>
    <w:rPr>
      <w:b/>
      <w:lang w:val="fr-FR"/>
    </w:rPr>
  </w:style>
  <w:style w:type="character" w:customStyle="1" w:styleId="Heading4Char">
    <w:name w:val="Heading 4 Char"/>
    <w:aliases w:val="MainPara Char"/>
    <w:basedOn w:val="DefaultParagraphFont"/>
    <w:link w:val="Heading4"/>
    <w:uiPriority w:val="1"/>
    <w:rsid w:val="008971FC"/>
    <w:rPr>
      <w:b/>
      <w:lang w:val="fr-FR"/>
    </w:rPr>
  </w:style>
  <w:style w:type="character" w:customStyle="1" w:styleId="Heading5Char">
    <w:name w:val="Heading 5 Char"/>
    <w:aliases w:val="Subpara 2 Char"/>
    <w:basedOn w:val="DefaultParagraphFont"/>
    <w:link w:val="Heading5"/>
    <w:uiPriority w:val="1"/>
    <w:rsid w:val="008971FC"/>
    <w:rPr>
      <w:rFonts w:ascii="Univers" w:hAnsi="Univers"/>
      <w:b/>
      <w:sz w:val="24"/>
      <w:lang w:val="fr-FR"/>
    </w:rPr>
  </w:style>
  <w:style w:type="character" w:customStyle="1" w:styleId="Heading6Char">
    <w:name w:val="Heading 6 Char"/>
    <w:basedOn w:val="DefaultParagraphFont"/>
    <w:link w:val="Heading6"/>
    <w:uiPriority w:val="1"/>
    <w:rsid w:val="008971FC"/>
    <w:rPr>
      <w:b/>
      <w:bCs/>
      <w:sz w:val="24"/>
      <w:lang w:val="fr-FR"/>
    </w:rPr>
  </w:style>
  <w:style w:type="character" w:customStyle="1" w:styleId="Heading7Char">
    <w:name w:val="Heading 7 Char"/>
    <w:basedOn w:val="DefaultParagraphFont"/>
    <w:link w:val="Heading7"/>
    <w:uiPriority w:val="9"/>
    <w:rsid w:val="008971FC"/>
    <w:rPr>
      <w:snapToGrid w:val="0"/>
      <w:u w:val="single"/>
    </w:rPr>
  </w:style>
  <w:style w:type="character" w:customStyle="1" w:styleId="Heading8Char">
    <w:name w:val="Heading 8 Char"/>
    <w:basedOn w:val="DefaultParagraphFont"/>
    <w:link w:val="Heading8"/>
    <w:uiPriority w:val="9"/>
    <w:rsid w:val="008971FC"/>
    <w:rPr>
      <w:snapToGrid w:val="0"/>
      <w:u w:val="single"/>
    </w:rPr>
  </w:style>
  <w:style w:type="character" w:customStyle="1" w:styleId="Heading9Char">
    <w:name w:val="Heading 9 Char"/>
    <w:basedOn w:val="DefaultParagraphFont"/>
    <w:link w:val="Heading9"/>
    <w:uiPriority w:val="9"/>
    <w:rsid w:val="008971FC"/>
    <w:rPr>
      <w:snapToGrid w:val="0"/>
      <w:u w:val="single"/>
    </w:rPr>
  </w:style>
  <w:style w:type="paragraph" w:styleId="NormalIndent">
    <w:name w:val="Normal Indent"/>
    <w:basedOn w:val="Normal"/>
    <w:uiPriority w:val="99"/>
    <w:semiHidden/>
    <w:rsid w:val="006E54C8"/>
    <w:pPr>
      <w:tabs>
        <w:tab w:val="clear" w:pos="1247"/>
        <w:tab w:val="clear" w:pos="1814"/>
        <w:tab w:val="clear" w:pos="2381"/>
        <w:tab w:val="clear" w:pos="2948"/>
        <w:tab w:val="clear" w:pos="3515"/>
      </w:tabs>
      <w:ind w:left="1247"/>
    </w:pPr>
    <w:rPr>
      <w:rFonts w:eastAsia="MS Mincho" w:cs="Times New Roman"/>
      <w:lang w:val="en-GB"/>
    </w:rPr>
  </w:style>
  <w:style w:type="character" w:customStyle="1" w:styleId="NormalnumberChar">
    <w:name w:val="Normal_number Char"/>
    <w:link w:val="Normalnumber"/>
    <w:rsid w:val="006E54C8"/>
    <w:rPr>
      <w:lang w:val="fr-CA"/>
    </w:rPr>
  </w:style>
  <w:style w:type="paragraph" w:customStyle="1" w:styleId="a">
    <w:name w:val="바탕글"/>
    <w:basedOn w:val="Normal"/>
    <w:uiPriority w:val="99"/>
    <w:rsid w:val="006E54C8"/>
    <w:pPr>
      <w:tabs>
        <w:tab w:val="clear" w:pos="1247"/>
        <w:tab w:val="clear" w:pos="1814"/>
        <w:tab w:val="clear" w:pos="2381"/>
        <w:tab w:val="clear" w:pos="2948"/>
        <w:tab w:val="clear" w:pos="3515"/>
      </w:tabs>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6E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link w:val="ColorfulList-Accent1Char"/>
    <w:uiPriority w:val="34"/>
    <w:qFormat/>
    <w:rsid w:val="006E54C8"/>
    <w:pPr>
      <w:ind w:left="720"/>
    </w:pPr>
    <w:rPr>
      <w:rFonts w:eastAsia="Times New Roman" w:cs="Times New Roman"/>
      <w:lang w:val="en-GB"/>
    </w:rPr>
  </w:style>
  <w:style w:type="paragraph" w:styleId="EndnoteText">
    <w:name w:val="endnote text"/>
    <w:basedOn w:val="Normal"/>
    <w:link w:val="EndnoteTextChar"/>
    <w:uiPriority w:val="99"/>
    <w:semiHidden/>
    <w:rsid w:val="006E54C8"/>
    <w:rPr>
      <w:rFonts w:eastAsia="Times New Roman" w:cs="Times New Roman"/>
      <w:lang w:val="en-GB"/>
    </w:rPr>
  </w:style>
  <w:style w:type="character" w:customStyle="1" w:styleId="EndnoteTextChar">
    <w:name w:val="Endnote Text Char"/>
    <w:basedOn w:val="DefaultParagraphFont"/>
    <w:link w:val="EndnoteText"/>
    <w:uiPriority w:val="99"/>
    <w:rsid w:val="006E54C8"/>
    <w:rPr>
      <w:lang w:val="en-GB"/>
    </w:rPr>
  </w:style>
  <w:style w:type="character" w:customStyle="1" w:styleId="CH2Char">
    <w:name w:val="CH2 Char"/>
    <w:link w:val="CH2"/>
    <w:rsid w:val="006E54C8"/>
    <w:rPr>
      <w:b/>
      <w:sz w:val="24"/>
      <w:szCs w:val="24"/>
      <w:lang w:val="fr-CA"/>
    </w:rPr>
  </w:style>
  <w:style w:type="character" w:styleId="FollowedHyperlink">
    <w:name w:val="FollowedHyperlink"/>
    <w:uiPriority w:val="99"/>
    <w:rsid w:val="006E54C8"/>
    <w:rPr>
      <w:color w:val="800080"/>
      <w:u w:val="single"/>
    </w:rPr>
  </w:style>
  <w:style w:type="character" w:styleId="CommentReference">
    <w:name w:val="annotation reference"/>
    <w:rsid w:val="006E54C8"/>
    <w:rPr>
      <w:sz w:val="16"/>
      <w:szCs w:val="16"/>
    </w:rPr>
  </w:style>
  <w:style w:type="paragraph" w:styleId="CommentText">
    <w:name w:val="annotation text"/>
    <w:basedOn w:val="Normal"/>
    <w:link w:val="CommentTextChar"/>
    <w:uiPriority w:val="99"/>
    <w:rsid w:val="006E54C8"/>
    <w:pPr>
      <w:tabs>
        <w:tab w:val="clear" w:pos="1247"/>
        <w:tab w:val="clear" w:pos="1814"/>
        <w:tab w:val="clear" w:pos="2381"/>
        <w:tab w:val="clear" w:pos="2948"/>
        <w:tab w:val="clear" w:pos="3515"/>
      </w:tabs>
    </w:pPr>
    <w:rPr>
      <w:rFonts w:eastAsia="MS Mincho" w:cs="Times New Roman"/>
      <w:lang w:val="en-GB"/>
    </w:rPr>
  </w:style>
  <w:style w:type="character" w:customStyle="1" w:styleId="CommentTextChar">
    <w:name w:val="Comment Text Char"/>
    <w:basedOn w:val="DefaultParagraphFont"/>
    <w:link w:val="CommentText"/>
    <w:uiPriority w:val="99"/>
    <w:rsid w:val="006E54C8"/>
    <w:rPr>
      <w:rFonts w:eastAsia="MS Mincho"/>
      <w:lang w:val="en-GB"/>
    </w:rPr>
  </w:style>
  <w:style w:type="paragraph" w:styleId="CommentSubject">
    <w:name w:val="annotation subject"/>
    <w:basedOn w:val="CommentText"/>
    <w:next w:val="CommentText"/>
    <w:link w:val="CommentSubjectChar"/>
    <w:uiPriority w:val="99"/>
    <w:rsid w:val="006E54C8"/>
    <w:rPr>
      <w:b/>
      <w:bCs/>
    </w:rPr>
  </w:style>
  <w:style w:type="character" w:customStyle="1" w:styleId="CommentSubjectChar">
    <w:name w:val="Comment Subject Char"/>
    <w:basedOn w:val="CommentTextChar"/>
    <w:link w:val="CommentSubject"/>
    <w:uiPriority w:val="99"/>
    <w:rsid w:val="006E54C8"/>
    <w:rPr>
      <w:rFonts w:eastAsia="MS Mincho"/>
      <w:b/>
      <w:bCs/>
      <w:lang w:val="en-GB"/>
    </w:rPr>
  </w:style>
  <w:style w:type="paragraph" w:customStyle="1" w:styleId="SingleTxt">
    <w:name w:val="__Single Txt"/>
    <w:basedOn w:val="Normal"/>
    <w:uiPriority w:val="99"/>
    <w:rsid w:val="006E54C8"/>
    <w:pPr>
      <w:tabs>
        <w:tab w:val="clear" w:pos="1247"/>
        <w:tab w:val="clear" w:pos="1814"/>
        <w:tab w:val="clear" w:pos="2381"/>
        <w:tab w:val="clear" w:pos="2948"/>
        <w:tab w:val="clear" w:pos="351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cs="Times New Roman"/>
      <w:spacing w:val="4"/>
      <w:w w:val="103"/>
      <w:kern w:val="14"/>
      <w:lang w:val="en-GB"/>
    </w:rPr>
  </w:style>
  <w:style w:type="paragraph" w:customStyle="1" w:styleId="H1">
    <w:name w:val="_ H_1"/>
    <w:basedOn w:val="Normal"/>
    <w:next w:val="SingleTxt"/>
    <w:uiPriority w:val="99"/>
    <w:rsid w:val="006E54C8"/>
    <w:pPr>
      <w:keepNext/>
      <w:keepLines/>
      <w:tabs>
        <w:tab w:val="clear" w:pos="1247"/>
        <w:tab w:val="clear" w:pos="1814"/>
        <w:tab w:val="clear" w:pos="2381"/>
        <w:tab w:val="clear" w:pos="2948"/>
        <w:tab w:val="clear" w:pos="3515"/>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cs="Times New Roman"/>
      <w:b/>
      <w:spacing w:val="4"/>
      <w:w w:val="103"/>
      <w:kern w:val="14"/>
      <w:sz w:val="24"/>
      <w:lang w:val="en-GB"/>
    </w:rPr>
  </w:style>
  <w:style w:type="paragraph" w:customStyle="1" w:styleId="HCh">
    <w:name w:val="_ H _Ch"/>
    <w:basedOn w:val="H1"/>
    <w:next w:val="SingleTxt"/>
    <w:uiPriority w:val="99"/>
    <w:rsid w:val="006E54C8"/>
    <w:pPr>
      <w:spacing w:line="300" w:lineRule="exact"/>
      <w:ind w:left="0" w:right="0" w:firstLine="0"/>
    </w:pPr>
    <w:rPr>
      <w:spacing w:val="-2"/>
      <w:sz w:val="28"/>
    </w:rPr>
  </w:style>
  <w:style w:type="paragraph" w:customStyle="1" w:styleId="HM">
    <w:name w:val="_ H __M"/>
    <w:basedOn w:val="HCh"/>
    <w:next w:val="Normal"/>
    <w:uiPriority w:val="99"/>
    <w:rsid w:val="006E54C8"/>
    <w:pPr>
      <w:spacing w:line="360" w:lineRule="exact"/>
    </w:pPr>
    <w:rPr>
      <w:spacing w:val="-3"/>
      <w:w w:val="99"/>
      <w:sz w:val="34"/>
    </w:rPr>
  </w:style>
  <w:style w:type="paragraph" w:customStyle="1" w:styleId="H23">
    <w:name w:val="_ H_2/3"/>
    <w:basedOn w:val="H1"/>
    <w:next w:val="Normal"/>
    <w:uiPriority w:val="99"/>
    <w:rsid w:val="006E54C8"/>
    <w:pPr>
      <w:spacing w:line="240" w:lineRule="exact"/>
      <w:outlineLvl w:val="1"/>
    </w:pPr>
    <w:rPr>
      <w:spacing w:val="2"/>
      <w:sz w:val="20"/>
    </w:rPr>
  </w:style>
  <w:style w:type="paragraph" w:customStyle="1" w:styleId="H4">
    <w:name w:val="_ H_4"/>
    <w:basedOn w:val="Normal"/>
    <w:next w:val="Normal"/>
    <w:uiPriority w:val="99"/>
    <w:rsid w:val="006E54C8"/>
    <w:pPr>
      <w:keepNext/>
      <w:keepLines/>
      <w:tabs>
        <w:tab w:val="clear" w:pos="1247"/>
        <w:tab w:val="clear" w:pos="1814"/>
        <w:tab w:val="clear" w:pos="2381"/>
        <w:tab w:val="clear" w:pos="2948"/>
        <w:tab w:val="clear" w:pos="3515"/>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cs="Times New Roman"/>
      <w:i/>
      <w:spacing w:val="3"/>
      <w:w w:val="103"/>
      <w:kern w:val="14"/>
      <w:lang w:val="en-GB"/>
    </w:rPr>
  </w:style>
  <w:style w:type="paragraph" w:customStyle="1" w:styleId="H56">
    <w:name w:val="_ H_5/6"/>
    <w:basedOn w:val="Normal"/>
    <w:next w:val="Normal"/>
    <w:uiPriority w:val="99"/>
    <w:rsid w:val="006E54C8"/>
    <w:pPr>
      <w:keepNext/>
      <w:keepLines/>
      <w:tabs>
        <w:tab w:val="clear" w:pos="1247"/>
        <w:tab w:val="clear" w:pos="1814"/>
        <w:tab w:val="clear" w:pos="2381"/>
        <w:tab w:val="clear" w:pos="2948"/>
        <w:tab w:val="clear" w:pos="3515"/>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cs="Times New Roman"/>
      <w:spacing w:val="4"/>
      <w:w w:val="103"/>
      <w:kern w:val="14"/>
      <w:lang w:val="en-GB"/>
    </w:rPr>
  </w:style>
  <w:style w:type="paragraph" w:customStyle="1" w:styleId="DualTxt">
    <w:name w:val="__Dual Txt"/>
    <w:basedOn w:val="Normal"/>
    <w:uiPriority w:val="99"/>
    <w:rsid w:val="006E54C8"/>
    <w:pPr>
      <w:tabs>
        <w:tab w:val="clear" w:pos="1247"/>
        <w:tab w:val="clear" w:pos="1814"/>
        <w:tab w:val="clear" w:pos="2381"/>
        <w:tab w:val="clear" w:pos="2948"/>
        <w:tab w:val="clear" w:pos="3515"/>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cs="Times New Roman"/>
      <w:spacing w:val="4"/>
      <w:w w:val="103"/>
      <w:kern w:val="14"/>
      <w:lang w:val="en-GB"/>
    </w:rPr>
  </w:style>
  <w:style w:type="paragraph" w:customStyle="1" w:styleId="SM">
    <w:name w:val="__S_M"/>
    <w:basedOn w:val="Normal"/>
    <w:next w:val="Normal"/>
    <w:uiPriority w:val="99"/>
    <w:rsid w:val="006E54C8"/>
    <w:pPr>
      <w:keepNext/>
      <w:keepLines/>
      <w:tabs>
        <w:tab w:val="clear" w:pos="1247"/>
        <w:tab w:val="clear" w:pos="1814"/>
        <w:tab w:val="clear" w:pos="2381"/>
        <w:tab w:val="clear" w:pos="2948"/>
        <w:tab w:val="clear" w:pos="3515"/>
        <w:tab w:val="right" w:leader="dot" w:pos="360"/>
      </w:tabs>
      <w:suppressAutoHyphens/>
      <w:spacing w:line="390" w:lineRule="exact"/>
      <w:ind w:left="1267" w:right="1267"/>
      <w:outlineLvl w:val="0"/>
    </w:pPr>
    <w:rPr>
      <w:rFonts w:eastAsia="Times New Roman" w:cs="Times New Roman"/>
      <w:b/>
      <w:spacing w:val="-4"/>
      <w:w w:val="98"/>
      <w:kern w:val="14"/>
      <w:sz w:val="40"/>
      <w:lang w:val="en-GB"/>
    </w:rPr>
  </w:style>
  <w:style w:type="paragraph" w:customStyle="1" w:styleId="SL">
    <w:name w:val="__S_L"/>
    <w:basedOn w:val="SM"/>
    <w:next w:val="Normal"/>
    <w:uiPriority w:val="99"/>
    <w:rsid w:val="006E54C8"/>
  </w:style>
  <w:style w:type="paragraph" w:customStyle="1" w:styleId="SS">
    <w:name w:val="__S_S"/>
    <w:basedOn w:val="HCh"/>
    <w:next w:val="Normal"/>
    <w:uiPriority w:val="99"/>
    <w:rsid w:val="006E54C8"/>
    <w:pPr>
      <w:ind w:left="1267" w:right="1267"/>
    </w:pPr>
  </w:style>
  <w:style w:type="character" w:styleId="EndnoteReference">
    <w:name w:val="endnote reference"/>
    <w:uiPriority w:val="99"/>
    <w:rsid w:val="006E54C8"/>
    <w:rPr>
      <w:spacing w:val="-5"/>
      <w:w w:val="130"/>
      <w:position w:val="-4"/>
      <w:vertAlign w:val="superscript"/>
    </w:rPr>
  </w:style>
  <w:style w:type="character" w:styleId="LineNumber">
    <w:name w:val="line number"/>
    <w:uiPriority w:val="99"/>
    <w:rsid w:val="006E54C8"/>
    <w:rPr>
      <w:sz w:val="14"/>
    </w:rPr>
  </w:style>
  <w:style w:type="paragraph" w:customStyle="1" w:styleId="Small">
    <w:name w:val="Small"/>
    <w:basedOn w:val="Normal"/>
    <w:next w:val="Normal"/>
    <w:uiPriority w:val="99"/>
    <w:rsid w:val="006E54C8"/>
    <w:pPr>
      <w:tabs>
        <w:tab w:val="clear" w:pos="1247"/>
        <w:tab w:val="clear" w:pos="1814"/>
        <w:tab w:val="clear" w:pos="2381"/>
        <w:tab w:val="clear" w:pos="2948"/>
        <w:tab w:val="clear" w:pos="3515"/>
        <w:tab w:val="right" w:pos="9965"/>
      </w:tabs>
      <w:suppressAutoHyphens/>
      <w:spacing w:line="210" w:lineRule="exact"/>
    </w:pPr>
    <w:rPr>
      <w:rFonts w:eastAsia="Times New Roman" w:cs="Times New Roman"/>
      <w:spacing w:val="5"/>
      <w:w w:val="104"/>
      <w:kern w:val="14"/>
      <w:sz w:val="17"/>
      <w:lang w:val="en-GB"/>
    </w:rPr>
  </w:style>
  <w:style w:type="paragraph" w:customStyle="1" w:styleId="SmallX">
    <w:name w:val="SmallX"/>
    <w:basedOn w:val="Small"/>
    <w:next w:val="Normal"/>
    <w:uiPriority w:val="99"/>
    <w:rsid w:val="006E54C8"/>
  </w:style>
  <w:style w:type="paragraph" w:customStyle="1" w:styleId="XLarge">
    <w:name w:val="XLarge"/>
    <w:basedOn w:val="HM"/>
    <w:uiPriority w:val="99"/>
    <w:rsid w:val="006E54C8"/>
    <w:pPr>
      <w:spacing w:line="390" w:lineRule="exact"/>
    </w:pPr>
    <w:rPr>
      <w:spacing w:val="-4"/>
      <w:w w:val="98"/>
      <w:sz w:val="40"/>
    </w:rPr>
  </w:style>
  <w:style w:type="paragraph" w:customStyle="1" w:styleId="ColorfulShading-Accent11">
    <w:name w:val="Colorful Shading - Accent 11"/>
    <w:hidden/>
    <w:uiPriority w:val="99"/>
    <w:rsid w:val="006E54C8"/>
    <w:rPr>
      <w:sz w:val="24"/>
      <w:szCs w:val="24"/>
    </w:rPr>
  </w:style>
  <w:style w:type="paragraph" w:customStyle="1" w:styleId="Default">
    <w:name w:val="Default"/>
    <w:uiPriority w:val="99"/>
    <w:rsid w:val="006E54C8"/>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6E54C8"/>
    <w:pPr>
      <w:tabs>
        <w:tab w:val="clear" w:pos="1247"/>
        <w:tab w:val="clear" w:pos="1814"/>
        <w:tab w:val="clear" w:pos="2381"/>
        <w:tab w:val="clear" w:pos="2948"/>
        <w:tab w:val="clear" w:pos="3515"/>
      </w:tabs>
      <w:suppressAutoHyphens/>
      <w:spacing w:line="240" w:lineRule="exact"/>
      <w:ind w:left="720"/>
      <w:contextualSpacing/>
    </w:pPr>
    <w:rPr>
      <w:rFonts w:eastAsia="Times New Roman" w:cs="Times New Roman"/>
      <w:spacing w:val="4"/>
      <w:w w:val="103"/>
      <w:kern w:val="14"/>
      <w:lang w:val="en-GB"/>
    </w:rPr>
  </w:style>
  <w:style w:type="paragraph" w:customStyle="1" w:styleId="DarkList-Accent31">
    <w:name w:val="Dark List - Accent 31"/>
    <w:hidden/>
    <w:uiPriority w:val="99"/>
    <w:semiHidden/>
    <w:rsid w:val="006E54C8"/>
    <w:rPr>
      <w:spacing w:val="4"/>
      <w:w w:val="103"/>
      <w:kern w:val="14"/>
      <w:lang w:val="en-GB"/>
    </w:rPr>
  </w:style>
  <w:style w:type="paragraph" w:customStyle="1" w:styleId="Level1">
    <w:name w:val="Level1"/>
    <w:basedOn w:val="Normal"/>
    <w:uiPriority w:val="99"/>
    <w:rsid w:val="006E54C8"/>
    <w:pPr>
      <w:tabs>
        <w:tab w:val="clear" w:pos="1247"/>
        <w:tab w:val="clear" w:pos="1814"/>
        <w:tab w:val="clear" w:pos="2381"/>
        <w:tab w:val="clear" w:pos="2948"/>
        <w:tab w:val="clear" w:pos="3515"/>
        <w:tab w:val="left" w:pos="578"/>
        <w:tab w:val="left" w:pos="1157"/>
      </w:tabs>
      <w:suppressAutoHyphens/>
      <w:spacing w:after="240"/>
    </w:pPr>
    <w:rPr>
      <w:rFonts w:eastAsia="MS Mincho" w:cs="Times New Roman"/>
      <w:lang w:val="en-GB"/>
    </w:rPr>
  </w:style>
  <w:style w:type="paragraph" w:styleId="Title">
    <w:name w:val="Title"/>
    <w:basedOn w:val="BBTitle"/>
    <w:next w:val="Normal"/>
    <w:link w:val="TitleChar"/>
    <w:uiPriority w:val="10"/>
    <w:qFormat/>
    <w:rsid w:val="006E54C8"/>
    <w:pPr>
      <w:tabs>
        <w:tab w:val="clear" w:pos="4082"/>
      </w:tabs>
    </w:pPr>
    <w:rPr>
      <w:lang w:val="en-US"/>
    </w:rPr>
  </w:style>
  <w:style w:type="character" w:customStyle="1" w:styleId="TitleChar">
    <w:name w:val="Title Char"/>
    <w:basedOn w:val="DefaultParagraphFont"/>
    <w:link w:val="Title"/>
    <w:uiPriority w:val="10"/>
    <w:rsid w:val="006E54C8"/>
    <w:rPr>
      <w:b/>
      <w:sz w:val="28"/>
      <w:szCs w:val="28"/>
    </w:rPr>
  </w:style>
  <w:style w:type="paragraph" w:customStyle="1" w:styleId="AgendaItemTitle">
    <w:name w:val="AgendaItem_Title"/>
    <w:basedOn w:val="Normal-pool"/>
    <w:uiPriority w:val="99"/>
    <w:qFormat/>
    <w:rsid w:val="006E54C8"/>
  </w:style>
  <w:style w:type="paragraph" w:customStyle="1" w:styleId="AnnexTitle">
    <w:name w:val="Annex Title"/>
    <w:basedOn w:val="Normal-pool"/>
    <w:uiPriority w:val="99"/>
    <w:qFormat/>
    <w:rsid w:val="006E54C8"/>
  </w:style>
  <w:style w:type="paragraph" w:customStyle="1" w:styleId="AnnexNumbered">
    <w:name w:val="Annex Numbered"/>
    <w:basedOn w:val="AnnexTitle"/>
    <w:uiPriority w:val="99"/>
    <w:qFormat/>
    <w:rsid w:val="006E54C8"/>
    <w:pPr>
      <w:pageBreakBefore/>
      <w:numPr>
        <w:numId w:val="7"/>
      </w:numPr>
      <w:tabs>
        <w:tab w:val="clear" w:pos="4082"/>
      </w:tabs>
    </w:pPr>
    <w:rPr>
      <w:rFonts w:eastAsia="Calibri"/>
      <w:b/>
      <w:bCs/>
      <w:w w:val="103"/>
      <w:sz w:val="28"/>
      <w:szCs w:val="22"/>
      <w:lang w:val="en-GB"/>
    </w:rPr>
  </w:style>
  <w:style w:type="paragraph" w:customStyle="1" w:styleId="NormalPlain">
    <w:name w:val="Normal_Plain"/>
    <w:basedOn w:val="Normal"/>
    <w:uiPriority w:val="99"/>
    <w:qFormat/>
    <w:rsid w:val="006E54C8"/>
    <w:pPr>
      <w:tabs>
        <w:tab w:val="clear" w:pos="1247"/>
        <w:tab w:val="clear" w:pos="1814"/>
        <w:tab w:val="clear" w:pos="2381"/>
        <w:tab w:val="clear" w:pos="2948"/>
        <w:tab w:val="clear" w:pos="3515"/>
      </w:tabs>
      <w:ind w:left="1260"/>
    </w:pPr>
    <w:rPr>
      <w:rFonts w:eastAsia="MS Mincho" w:cs="Times New Roman"/>
      <w:lang w:val="en-GB" w:eastAsia="ko-KR"/>
    </w:rPr>
  </w:style>
  <w:style w:type="paragraph" w:styleId="ListParagraph">
    <w:name w:val="List Paragraph"/>
    <w:basedOn w:val="Normal"/>
    <w:link w:val="ListParagraphChar"/>
    <w:qFormat/>
    <w:rsid w:val="006E54C8"/>
    <w:pPr>
      <w:tabs>
        <w:tab w:val="clear" w:pos="1247"/>
        <w:tab w:val="clear" w:pos="1814"/>
        <w:tab w:val="clear" w:pos="2381"/>
        <w:tab w:val="clear" w:pos="2948"/>
        <w:tab w:val="clear" w:pos="3515"/>
      </w:tabs>
      <w:spacing w:after="200" w:line="276" w:lineRule="auto"/>
      <w:ind w:left="720"/>
      <w:contextualSpacing/>
    </w:pPr>
    <w:rPr>
      <w:rFonts w:asciiTheme="minorHAnsi" w:eastAsiaTheme="minorEastAsia" w:hAnsiTheme="minorHAnsi"/>
      <w:sz w:val="22"/>
      <w:szCs w:val="22"/>
      <w:lang w:val="en-US"/>
    </w:rPr>
  </w:style>
  <w:style w:type="character" w:customStyle="1" w:styleId="ListParagraphChar">
    <w:name w:val="List Paragraph Char"/>
    <w:link w:val="ListParagraph"/>
    <w:rsid w:val="006E54C8"/>
    <w:rPr>
      <w:rFonts w:asciiTheme="minorHAnsi" w:eastAsiaTheme="minorEastAsia" w:hAnsiTheme="minorHAnsi" w:cstheme="minorBidi"/>
      <w:sz w:val="22"/>
      <w:szCs w:val="22"/>
    </w:rPr>
  </w:style>
  <w:style w:type="table" w:styleId="GridTable4-Accent1">
    <w:name w:val="Grid Table 4 Accent 1"/>
    <w:basedOn w:val="TableNormal"/>
    <w:uiPriority w:val="49"/>
    <w:rsid w:val="006E54C8"/>
    <w:rPr>
      <w:rFonts w:asciiTheme="minorHAnsi" w:eastAsiaTheme="minorHAnsi" w:hAnsiTheme="minorHAnsi" w:cstheme="minorBidi"/>
      <w:sz w:val="22"/>
      <w:szCs w:val="22"/>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6E54C8"/>
    <w:pPr>
      <w:tabs>
        <w:tab w:val="clear" w:pos="1247"/>
        <w:tab w:val="clear" w:pos="1814"/>
        <w:tab w:val="clear" w:pos="2381"/>
        <w:tab w:val="clear" w:pos="2948"/>
        <w:tab w:val="clear" w:pos="3515"/>
      </w:tabs>
      <w:spacing w:before="100" w:beforeAutospacing="1" w:after="100" w:afterAutospacing="1"/>
    </w:pPr>
    <w:rPr>
      <w:rFonts w:eastAsia="Times New Roman" w:cs="Times New Roman"/>
      <w:sz w:val="24"/>
      <w:szCs w:val="24"/>
      <w:lang w:val="en-GB" w:eastAsia="en-GB"/>
    </w:rPr>
  </w:style>
  <w:style w:type="character" w:styleId="Emphasis">
    <w:name w:val="Emphasis"/>
    <w:basedOn w:val="DefaultParagraphFont"/>
    <w:uiPriority w:val="20"/>
    <w:qFormat/>
    <w:rsid w:val="006E54C8"/>
    <w:rPr>
      <w:i/>
      <w:iCs/>
    </w:rPr>
  </w:style>
  <w:style w:type="paragraph" w:styleId="Revision">
    <w:name w:val="Revision"/>
    <w:hidden/>
    <w:uiPriority w:val="99"/>
    <w:semiHidden/>
    <w:rsid w:val="006E54C8"/>
    <w:rPr>
      <w:rFonts w:eastAsia="MS Mincho"/>
      <w:lang w:val="en-GB"/>
    </w:rPr>
  </w:style>
  <w:style w:type="paragraph" w:styleId="TOCHeading">
    <w:name w:val="TOC Heading"/>
    <w:basedOn w:val="Heading1"/>
    <w:next w:val="Normal"/>
    <w:uiPriority w:val="39"/>
    <w:semiHidden/>
    <w:unhideWhenUsed/>
    <w:qFormat/>
    <w:rsid w:val="006E54C8"/>
    <w:pPr>
      <w:keepLines/>
      <w:tabs>
        <w:tab w:val="clear" w:pos="1247"/>
        <w:tab w:val="clear" w:pos="1814"/>
        <w:tab w:val="clear" w:pos="2381"/>
        <w:tab w:val="clear" w:pos="2948"/>
        <w:tab w:val="clear" w:pos="3515"/>
      </w:tabs>
      <w:spacing w:after="0"/>
      <w:ind w:left="0" w:firstLine="0"/>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Heading1Char1">
    <w:name w:val="Heading 1 Char1"/>
    <w:aliases w:val="Para (1) Char1,Heading 1 Char3 Char Char1,Heading 1 Char Char1 Char Char1,Heading 1 Char1 Char Char1 Char Char1,Heading 1 Char Char Char Char1 Char1 Char1,Para (1) Char Char Char Char1 Char Char1,Heading 1 Char3 Char1"/>
    <w:basedOn w:val="DefaultParagraphFont"/>
    <w:uiPriority w:val="9"/>
    <w:rsid w:val="006E54C8"/>
    <w:rPr>
      <w:rFonts w:asciiTheme="majorHAnsi" w:eastAsiaTheme="majorEastAsia" w:hAnsiTheme="majorHAnsi" w:cstheme="majorBidi"/>
      <w:color w:val="365F91" w:themeColor="accent1" w:themeShade="BF"/>
      <w:sz w:val="32"/>
      <w:szCs w:val="32"/>
      <w:lang w:val="en-GB"/>
    </w:rPr>
  </w:style>
  <w:style w:type="character" w:customStyle="1" w:styleId="Heading3Char1">
    <w:name w:val="Heading 3 Char1"/>
    <w:aliases w:val="Sec Char1"/>
    <w:basedOn w:val="DefaultParagraphFont"/>
    <w:uiPriority w:val="9"/>
    <w:semiHidden/>
    <w:rsid w:val="006E54C8"/>
    <w:rPr>
      <w:rFonts w:asciiTheme="majorHAnsi" w:eastAsiaTheme="majorEastAsia" w:hAnsiTheme="majorHAnsi" w:cstheme="majorBidi"/>
      <w:color w:val="243F60" w:themeColor="accent1" w:themeShade="7F"/>
      <w:sz w:val="24"/>
      <w:szCs w:val="24"/>
      <w:lang w:val="en-GB"/>
    </w:rPr>
  </w:style>
  <w:style w:type="character" w:customStyle="1" w:styleId="Heading4Char1">
    <w:name w:val="Heading 4 Char1"/>
    <w:aliases w:val="MainPara Char1"/>
    <w:basedOn w:val="DefaultParagraphFont"/>
    <w:uiPriority w:val="1"/>
    <w:semiHidden/>
    <w:rsid w:val="006E54C8"/>
    <w:rPr>
      <w:rFonts w:asciiTheme="majorHAnsi" w:eastAsiaTheme="majorEastAsia" w:hAnsiTheme="majorHAnsi" w:cstheme="majorBidi"/>
      <w:i/>
      <w:iCs/>
      <w:color w:val="365F91" w:themeColor="accent1" w:themeShade="BF"/>
      <w:lang w:val="en-GB"/>
    </w:rPr>
  </w:style>
  <w:style w:type="character" w:customStyle="1" w:styleId="Heading5Char1">
    <w:name w:val="Heading 5 Char1"/>
    <w:aliases w:val="Subpara 2 Char1"/>
    <w:basedOn w:val="DefaultParagraphFont"/>
    <w:uiPriority w:val="1"/>
    <w:semiHidden/>
    <w:rsid w:val="006E54C8"/>
    <w:rPr>
      <w:rFonts w:asciiTheme="majorHAnsi" w:eastAsiaTheme="majorEastAsia" w:hAnsiTheme="majorHAnsi" w:cstheme="majorBidi"/>
      <w:color w:val="365F91" w:themeColor="accent1" w:themeShade="BF"/>
      <w:lang w:val="en-GB"/>
    </w:rPr>
  </w:style>
  <w:style w:type="paragraph" w:styleId="HTMLPreformatted">
    <w:name w:val="HTML Preformatted"/>
    <w:basedOn w:val="Normal"/>
    <w:link w:val="HTMLPreformattedChar"/>
    <w:uiPriority w:val="99"/>
    <w:semiHidden/>
    <w:unhideWhenUsed/>
    <w:rsid w:val="006E54C8"/>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Courier New" w:eastAsia="SimSun" w:hAnsi="Courier New" w:cs="Times New Roman"/>
      <w:sz w:val="22"/>
      <w:lang w:val="pt-BR" w:eastAsia="pt-BR"/>
    </w:rPr>
  </w:style>
  <w:style w:type="character" w:customStyle="1" w:styleId="HTMLPreformattedChar">
    <w:name w:val="HTML Preformatted Char"/>
    <w:basedOn w:val="DefaultParagraphFont"/>
    <w:link w:val="HTMLPreformatted"/>
    <w:uiPriority w:val="99"/>
    <w:semiHidden/>
    <w:rsid w:val="006E54C8"/>
    <w:rPr>
      <w:rFonts w:ascii="Courier New" w:eastAsia="SimSun" w:hAnsi="Courier New"/>
      <w:sz w:val="22"/>
      <w:lang w:val="pt-BR" w:eastAsia="pt-BR"/>
    </w:rPr>
  </w:style>
  <w:style w:type="paragraph" w:customStyle="1" w:styleId="msonormal0">
    <w:name w:val="msonormal"/>
    <w:basedOn w:val="Normal"/>
    <w:uiPriority w:val="99"/>
    <w:rsid w:val="006E54C8"/>
    <w:pPr>
      <w:tabs>
        <w:tab w:val="clear" w:pos="1247"/>
        <w:tab w:val="clear" w:pos="1814"/>
        <w:tab w:val="clear" w:pos="2381"/>
        <w:tab w:val="clear" w:pos="2948"/>
        <w:tab w:val="clear" w:pos="3515"/>
      </w:tabs>
      <w:spacing w:before="100" w:beforeAutospacing="1" w:after="100" w:afterAutospacing="1" w:line="276" w:lineRule="auto"/>
    </w:pPr>
    <w:rPr>
      <w:rFonts w:ascii="Arial" w:eastAsia="Times New Roman" w:hAnsi="Arial" w:cs="Arial"/>
      <w:color w:val="4D4D4D"/>
      <w:sz w:val="18"/>
      <w:szCs w:val="18"/>
      <w:lang w:val="nb-NO" w:eastAsia="nb-NO"/>
    </w:rPr>
  </w:style>
  <w:style w:type="character" w:customStyle="1" w:styleId="FootnoteTextChar1">
    <w:name w:val="Footnote Text Char1"/>
    <w:aliases w:val="Geneva 9 Char1,Font: Geneva 9 Char1,Boston 10 Char1,f Char1,DNV-FT Char1,Fußnotentextf Char1,Footnote Text Char Char Char2,Footnote Text Char Char Char Char Char1,Footnote Text1 Char1,Footnote Text Char Char Char Char2"/>
    <w:basedOn w:val="DefaultParagraphFont"/>
    <w:uiPriority w:val="99"/>
    <w:semiHidden/>
    <w:rsid w:val="006E54C8"/>
    <w:rPr>
      <w:lang w:val="en-GB"/>
    </w:rPr>
  </w:style>
  <w:style w:type="character" w:customStyle="1" w:styleId="HeaderChar1">
    <w:name w:val="Header Char1"/>
    <w:aliases w:val="Header-pool Char1,EthylHeader Char1"/>
    <w:basedOn w:val="DefaultParagraphFont"/>
    <w:uiPriority w:val="99"/>
    <w:semiHidden/>
    <w:rsid w:val="006E54C8"/>
    <w:rPr>
      <w:lang w:val="en-GB"/>
    </w:rPr>
  </w:style>
  <w:style w:type="character" w:customStyle="1" w:styleId="FooterChar1">
    <w:name w:val="Footer Char1"/>
    <w:aliases w:val="Footer-pool Char1"/>
    <w:basedOn w:val="DefaultParagraphFont"/>
    <w:uiPriority w:val="99"/>
    <w:semiHidden/>
    <w:rsid w:val="006E54C8"/>
    <w:rPr>
      <w:lang w:val="en-GB"/>
    </w:rPr>
  </w:style>
  <w:style w:type="paragraph" w:styleId="Caption">
    <w:name w:val="caption"/>
    <w:basedOn w:val="Normal"/>
    <w:next w:val="Normal"/>
    <w:uiPriority w:val="35"/>
    <w:unhideWhenUsed/>
    <w:qFormat/>
    <w:rsid w:val="006E54C8"/>
    <w:pPr>
      <w:widowControl w:val="0"/>
      <w:tabs>
        <w:tab w:val="clear" w:pos="1247"/>
        <w:tab w:val="clear" w:pos="1814"/>
        <w:tab w:val="clear" w:pos="2381"/>
        <w:tab w:val="clear" w:pos="2948"/>
        <w:tab w:val="clear" w:pos="3515"/>
      </w:tabs>
      <w:spacing w:line="276" w:lineRule="auto"/>
    </w:pPr>
    <w:rPr>
      <w:rFonts w:ascii="Arial" w:eastAsia="Times New Roman" w:hAnsi="Arial" w:cs="Arial"/>
      <w:sz w:val="22"/>
      <w:lang w:val="en-GB"/>
    </w:rPr>
  </w:style>
  <w:style w:type="paragraph" w:styleId="BodyText">
    <w:name w:val="Body Text"/>
    <w:basedOn w:val="Normal"/>
    <w:link w:val="BodyTextChar"/>
    <w:uiPriority w:val="99"/>
    <w:semiHidden/>
    <w:unhideWhenUsed/>
    <w:qFormat/>
    <w:rsid w:val="006E54C8"/>
    <w:pPr>
      <w:tabs>
        <w:tab w:val="clear" w:pos="1247"/>
        <w:tab w:val="clear" w:pos="1814"/>
        <w:tab w:val="clear" w:pos="2381"/>
        <w:tab w:val="clear" w:pos="2948"/>
        <w:tab w:val="clear" w:pos="3515"/>
      </w:tabs>
      <w:spacing w:line="276" w:lineRule="auto"/>
    </w:pPr>
    <w:rPr>
      <w:rFonts w:ascii="Calibri" w:eastAsia="Times New Roman" w:hAnsi="Calibri" w:cs="Times New Roman"/>
      <w:sz w:val="28"/>
      <w:szCs w:val="28"/>
      <w:lang w:val="en-GB"/>
    </w:rPr>
  </w:style>
  <w:style w:type="character" w:customStyle="1" w:styleId="BodyTextChar">
    <w:name w:val="Body Text Char"/>
    <w:basedOn w:val="DefaultParagraphFont"/>
    <w:link w:val="BodyText"/>
    <w:uiPriority w:val="99"/>
    <w:semiHidden/>
    <w:rsid w:val="006E54C8"/>
    <w:rPr>
      <w:rFonts w:ascii="Calibri" w:hAnsi="Calibri"/>
      <w:sz w:val="28"/>
      <w:szCs w:val="28"/>
      <w:lang w:val="en-GB"/>
    </w:rPr>
  </w:style>
  <w:style w:type="paragraph" w:styleId="BodyTextIndent">
    <w:name w:val="Body Text Indent"/>
    <w:basedOn w:val="Normal"/>
    <w:link w:val="BodyTextIndentChar"/>
    <w:uiPriority w:val="99"/>
    <w:semiHidden/>
    <w:unhideWhenUsed/>
    <w:rsid w:val="006E54C8"/>
    <w:pPr>
      <w:tabs>
        <w:tab w:val="clear" w:pos="1247"/>
        <w:tab w:val="clear" w:pos="1814"/>
        <w:tab w:val="clear" w:pos="2381"/>
        <w:tab w:val="clear" w:pos="2948"/>
        <w:tab w:val="clear" w:pos="3515"/>
      </w:tabs>
      <w:spacing w:line="240" w:lineRule="atLeast"/>
      <w:ind w:left="-143"/>
    </w:pPr>
    <w:rPr>
      <w:rFonts w:ascii="Calibri" w:eastAsia="Times New Roman" w:hAnsi="Calibri" w:cs="Times New Roman"/>
      <w:sz w:val="38"/>
      <w:szCs w:val="38"/>
      <w:lang w:val="en-GB"/>
    </w:rPr>
  </w:style>
  <w:style w:type="character" w:customStyle="1" w:styleId="BodyTextIndentChar">
    <w:name w:val="Body Text Indent Char"/>
    <w:basedOn w:val="DefaultParagraphFont"/>
    <w:link w:val="BodyTextIndent"/>
    <w:uiPriority w:val="99"/>
    <w:semiHidden/>
    <w:rsid w:val="006E54C8"/>
    <w:rPr>
      <w:rFonts w:ascii="Calibri" w:hAnsi="Calibri"/>
      <w:sz w:val="38"/>
      <w:szCs w:val="38"/>
      <w:lang w:val="en-GB"/>
    </w:rPr>
  </w:style>
  <w:style w:type="paragraph" w:styleId="Subtitle">
    <w:name w:val="Subtitle"/>
    <w:basedOn w:val="Normal"/>
    <w:link w:val="SubtitleChar"/>
    <w:uiPriority w:val="11"/>
    <w:qFormat/>
    <w:rsid w:val="006E54C8"/>
    <w:pPr>
      <w:widowControl w:val="0"/>
      <w:tabs>
        <w:tab w:val="clear" w:pos="1247"/>
        <w:tab w:val="clear" w:pos="1814"/>
        <w:tab w:val="clear" w:pos="2381"/>
        <w:tab w:val="clear" w:pos="2948"/>
        <w:tab w:val="clear" w:pos="3515"/>
        <w:tab w:val="left" w:pos="90"/>
      </w:tabs>
      <w:snapToGrid w:val="0"/>
      <w:spacing w:before="175" w:line="276" w:lineRule="auto"/>
    </w:pPr>
    <w:rPr>
      <w:rFonts w:ascii="Calibri" w:eastAsia="Times New Roman" w:hAnsi="Calibri" w:cs="Times New Roman"/>
      <w:b/>
      <w:bCs/>
      <w:color w:val="000000"/>
      <w:sz w:val="32"/>
      <w:szCs w:val="32"/>
      <w:lang w:val="en-US"/>
    </w:rPr>
  </w:style>
  <w:style w:type="character" w:customStyle="1" w:styleId="SubtitleChar">
    <w:name w:val="Subtitle Char"/>
    <w:basedOn w:val="DefaultParagraphFont"/>
    <w:link w:val="Subtitle"/>
    <w:uiPriority w:val="11"/>
    <w:rsid w:val="006E54C8"/>
    <w:rPr>
      <w:rFonts w:ascii="Calibri" w:hAnsi="Calibri"/>
      <w:b/>
      <w:bCs/>
      <w:color w:val="000000"/>
      <w:sz w:val="32"/>
      <w:szCs w:val="32"/>
    </w:rPr>
  </w:style>
  <w:style w:type="paragraph" w:styleId="Date">
    <w:name w:val="Date"/>
    <w:basedOn w:val="Normal"/>
    <w:next w:val="Normal"/>
    <w:link w:val="DateChar"/>
    <w:uiPriority w:val="99"/>
    <w:semiHidden/>
    <w:unhideWhenUsed/>
    <w:rsid w:val="006E54C8"/>
    <w:pPr>
      <w:spacing w:line="276" w:lineRule="auto"/>
    </w:pPr>
    <w:rPr>
      <w:rFonts w:ascii="Calibri" w:eastAsia="Times New Roman" w:hAnsi="Calibri" w:cs="Times New Roman"/>
      <w:sz w:val="22"/>
      <w:lang w:val="en-GB"/>
    </w:rPr>
  </w:style>
  <w:style w:type="character" w:customStyle="1" w:styleId="DateChar">
    <w:name w:val="Date Char"/>
    <w:basedOn w:val="DefaultParagraphFont"/>
    <w:link w:val="Date"/>
    <w:uiPriority w:val="99"/>
    <w:semiHidden/>
    <w:rsid w:val="006E54C8"/>
    <w:rPr>
      <w:rFonts w:ascii="Calibri" w:hAnsi="Calibri"/>
      <w:sz w:val="22"/>
      <w:lang w:val="en-GB"/>
    </w:rPr>
  </w:style>
  <w:style w:type="paragraph" w:styleId="BodyText2">
    <w:name w:val="Body Text 2"/>
    <w:basedOn w:val="Normal"/>
    <w:link w:val="BodyText2Char"/>
    <w:uiPriority w:val="99"/>
    <w:semiHidden/>
    <w:unhideWhenUsed/>
    <w:rsid w:val="006E54C8"/>
    <w:pPr>
      <w:tabs>
        <w:tab w:val="clear" w:pos="1247"/>
        <w:tab w:val="clear" w:pos="1814"/>
        <w:tab w:val="clear" w:pos="2381"/>
        <w:tab w:val="clear" w:pos="2948"/>
        <w:tab w:val="clear" w:pos="3515"/>
      </w:tabs>
      <w:spacing w:line="276" w:lineRule="auto"/>
    </w:pPr>
    <w:rPr>
      <w:rFonts w:ascii="Calibri" w:eastAsia="Times New Roman" w:hAnsi="Calibri" w:cs="Times New Roman"/>
      <w:color w:val="FF0000"/>
      <w:sz w:val="18"/>
      <w:szCs w:val="18"/>
      <w:lang w:val="en-GB"/>
    </w:rPr>
  </w:style>
  <w:style w:type="character" w:customStyle="1" w:styleId="BodyText2Char">
    <w:name w:val="Body Text 2 Char"/>
    <w:basedOn w:val="DefaultParagraphFont"/>
    <w:link w:val="BodyText2"/>
    <w:uiPriority w:val="99"/>
    <w:semiHidden/>
    <w:rsid w:val="006E54C8"/>
    <w:rPr>
      <w:rFonts w:ascii="Calibri" w:hAnsi="Calibri"/>
      <w:color w:val="FF0000"/>
      <w:sz w:val="18"/>
      <w:szCs w:val="18"/>
      <w:lang w:val="en-GB"/>
    </w:rPr>
  </w:style>
  <w:style w:type="paragraph" w:styleId="BodyText3">
    <w:name w:val="Body Text 3"/>
    <w:basedOn w:val="Normal"/>
    <w:link w:val="BodyText3Char"/>
    <w:uiPriority w:val="99"/>
    <w:semiHidden/>
    <w:unhideWhenUsed/>
    <w:rsid w:val="006E54C8"/>
    <w:pPr>
      <w:tabs>
        <w:tab w:val="clear" w:pos="1247"/>
        <w:tab w:val="clear" w:pos="1814"/>
        <w:tab w:val="clear" w:pos="2381"/>
        <w:tab w:val="clear" w:pos="2948"/>
        <w:tab w:val="clear" w:pos="3515"/>
      </w:tabs>
      <w:spacing w:line="276" w:lineRule="auto"/>
    </w:pPr>
    <w:rPr>
      <w:rFonts w:ascii="Calibri" w:eastAsia="Times New Roman" w:hAnsi="Calibri" w:cs="Times New Roman"/>
      <w:b/>
      <w:bCs/>
      <w:i/>
      <w:iCs/>
      <w:sz w:val="22"/>
      <w:lang w:val="en-GB"/>
    </w:rPr>
  </w:style>
  <w:style w:type="character" w:customStyle="1" w:styleId="BodyText3Char">
    <w:name w:val="Body Text 3 Char"/>
    <w:basedOn w:val="DefaultParagraphFont"/>
    <w:link w:val="BodyText3"/>
    <w:uiPriority w:val="99"/>
    <w:semiHidden/>
    <w:rsid w:val="006E54C8"/>
    <w:rPr>
      <w:rFonts w:ascii="Calibri" w:hAnsi="Calibri"/>
      <w:b/>
      <w:bCs/>
      <w:i/>
      <w:iCs/>
      <w:sz w:val="22"/>
      <w:lang w:val="en-GB"/>
    </w:rPr>
  </w:style>
  <w:style w:type="paragraph" w:styleId="BodyTextIndent2">
    <w:name w:val="Body Text Indent 2"/>
    <w:basedOn w:val="Normal"/>
    <w:link w:val="BodyTextIndent2Char"/>
    <w:uiPriority w:val="99"/>
    <w:semiHidden/>
    <w:unhideWhenUsed/>
    <w:rsid w:val="006E54C8"/>
    <w:pPr>
      <w:tabs>
        <w:tab w:val="clear" w:pos="1247"/>
        <w:tab w:val="clear" w:pos="1814"/>
        <w:tab w:val="clear" w:pos="2381"/>
        <w:tab w:val="clear" w:pos="2948"/>
        <w:tab w:val="clear" w:pos="3515"/>
      </w:tabs>
      <w:spacing w:line="276" w:lineRule="auto"/>
      <w:ind w:left="2552"/>
    </w:pPr>
    <w:rPr>
      <w:rFonts w:ascii="Calibri" w:eastAsia="Times New Roman" w:hAnsi="Calibri" w:cs="Times New Roman"/>
      <w:sz w:val="22"/>
      <w:lang w:val="it-IT"/>
    </w:rPr>
  </w:style>
  <w:style w:type="character" w:customStyle="1" w:styleId="BodyTextIndent2Char">
    <w:name w:val="Body Text Indent 2 Char"/>
    <w:basedOn w:val="DefaultParagraphFont"/>
    <w:link w:val="BodyTextIndent2"/>
    <w:uiPriority w:val="99"/>
    <w:semiHidden/>
    <w:rsid w:val="006E54C8"/>
    <w:rPr>
      <w:rFonts w:ascii="Calibri" w:hAnsi="Calibri"/>
      <w:sz w:val="22"/>
      <w:lang w:val="it-IT"/>
    </w:rPr>
  </w:style>
  <w:style w:type="paragraph" w:styleId="BodyTextIndent3">
    <w:name w:val="Body Text Indent 3"/>
    <w:basedOn w:val="Normal"/>
    <w:link w:val="BodyTextIndent3Char"/>
    <w:uiPriority w:val="99"/>
    <w:unhideWhenUsed/>
    <w:rsid w:val="006E54C8"/>
    <w:pPr>
      <w:tabs>
        <w:tab w:val="clear" w:pos="1247"/>
        <w:tab w:val="clear" w:pos="1814"/>
        <w:tab w:val="clear" w:pos="2381"/>
        <w:tab w:val="clear" w:pos="2948"/>
        <w:tab w:val="clear" w:pos="3515"/>
      </w:tabs>
      <w:spacing w:line="276" w:lineRule="auto"/>
      <w:ind w:left="567" w:hanging="567"/>
    </w:pPr>
    <w:rPr>
      <w:rFonts w:ascii="Calibri" w:eastAsia="Times New Roman" w:hAnsi="Calibri" w:cs="Times New Roman"/>
      <w:sz w:val="22"/>
      <w:lang w:val="en-US"/>
    </w:rPr>
  </w:style>
  <w:style w:type="character" w:customStyle="1" w:styleId="BodyTextIndent3Char">
    <w:name w:val="Body Text Indent 3 Char"/>
    <w:basedOn w:val="DefaultParagraphFont"/>
    <w:link w:val="BodyTextIndent3"/>
    <w:uiPriority w:val="99"/>
    <w:rsid w:val="006E54C8"/>
    <w:rPr>
      <w:rFonts w:ascii="Calibri" w:hAnsi="Calibri"/>
      <w:sz w:val="22"/>
    </w:rPr>
  </w:style>
  <w:style w:type="paragraph" w:styleId="DocumentMap">
    <w:name w:val="Document Map"/>
    <w:basedOn w:val="Normal"/>
    <w:link w:val="DocumentMapChar"/>
    <w:uiPriority w:val="99"/>
    <w:semiHidden/>
    <w:unhideWhenUsed/>
    <w:rsid w:val="006E54C8"/>
    <w:pPr>
      <w:shd w:val="clear" w:color="auto" w:fill="000080"/>
      <w:tabs>
        <w:tab w:val="clear" w:pos="1247"/>
        <w:tab w:val="clear" w:pos="1814"/>
        <w:tab w:val="clear" w:pos="2381"/>
        <w:tab w:val="clear" w:pos="2948"/>
        <w:tab w:val="clear" w:pos="3515"/>
      </w:tabs>
      <w:spacing w:line="276" w:lineRule="auto"/>
    </w:pPr>
    <w:rPr>
      <w:rFonts w:ascii="Tahoma" w:eastAsia="Times New Roman" w:hAnsi="Tahoma" w:cs="Tahoma"/>
      <w:sz w:val="22"/>
      <w:lang w:val="en-GB"/>
    </w:rPr>
  </w:style>
  <w:style w:type="character" w:customStyle="1" w:styleId="DocumentMapChar">
    <w:name w:val="Document Map Char"/>
    <w:basedOn w:val="DefaultParagraphFont"/>
    <w:link w:val="DocumentMap"/>
    <w:uiPriority w:val="99"/>
    <w:semiHidden/>
    <w:rsid w:val="006E54C8"/>
    <w:rPr>
      <w:rFonts w:ascii="Tahoma" w:hAnsi="Tahoma" w:cs="Tahoma"/>
      <w:sz w:val="22"/>
      <w:shd w:val="clear" w:color="auto" w:fill="000080"/>
      <w:lang w:val="en-GB"/>
    </w:rPr>
  </w:style>
  <w:style w:type="paragraph" w:styleId="PlainText">
    <w:name w:val="Plain Text"/>
    <w:basedOn w:val="Normal"/>
    <w:link w:val="PlainTextChar"/>
    <w:uiPriority w:val="99"/>
    <w:semiHidden/>
    <w:unhideWhenUsed/>
    <w:rsid w:val="006E54C8"/>
    <w:pPr>
      <w:tabs>
        <w:tab w:val="clear" w:pos="1247"/>
        <w:tab w:val="clear" w:pos="1814"/>
        <w:tab w:val="clear" w:pos="2381"/>
        <w:tab w:val="clear" w:pos="2948"/>
        <w:tab w:val="clear" w:pos="3515"/>
      </w:tabs>
      <w:spacing w:line="276" w:lineRule="auto"/>
    </w:pPr>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semiHidden/>
    <w:rsid w:val="006E54C8"/>
    <w:rPr>
      <w:rFonts w:ascii="Consolas" w:eastAsia="Calibri" w:hAnsi="Consolas"/>
      <w:sz w:val="21"/>
      <w:szCs w:val="21"/>
      <w:lang w:val="en-GB"/>
    </w:rPr>
  </w:style>
  <w:style w:type="paragraph" w:styleId="NoSpacing">
    <w:name w:val="No Spacing"/>
    <w:uiPriority w:val="1"/>
    <w:qFormat/>
    <w:rsid w:val="006E54C8"/>
    <w:rPr>
      <w:rFonts w:ascii="Calibri" w:hAnsi="Calibri"/>
      <w:sz w:val="22"/>
      <w:szCs w:val="22"/>
      <w:lang w:bidi="en-US"/>
    </w:rPr>
  </w:style>
  <w:style w:type="paragraph" w:styleId="Quote">
    <w:name w:val="Quote"/>
    <w:basedOn w:val="Normal"/>
    <w:next w:val="Normal"/>
    <w:link w:val="QuoteChar"/>
    <w:uiPriority w:val="29"/>
    <w:qFormat/>
    <w:rsid w:val="006E54C8"/>
    <w:pPr>
      <w:tabs>
        <w:tab w:val="clear" w:pos="1247"/>
        <w:tab w:val="clear" w:pos="1814"/>
        <w:tab w:val="clear" w:pos="2381"/>
        <w:tab w:val="clear" w:pos="2948"/>
        <w:tab w:val="clear" w:pos="3515"/>
      </w:tabs>
      <w:spacing w:after="200" w:line="276" w:lineRule="auto"/>
    </w:pPr>
    <w:rPr>
      <w:rFonts w:ascii="Calibri" w:eastAsia="Times New Roman" w:hAnsi="Calibri" w:cs="Times New Roman"/>
      <w:i/>
      <w:iCs/>
      <w:color w:val="000000"/>
      <w:sz w:val="22"/>
      <w:szCs w:val="22"/>
      <w:lang w:val="en-US" w:bidi="en-US"/>
    </w:rPr>
  </w:style>
  <w:style w:type="character" w:customStyle="1" w:styleId="QuoteChar">
    <w:name w:val="Quote Char"/>
    <w:basedOn w:val="DefaultParagraphFont"/>
    <w:link w:val="Quote"/>
    <w:uiPriority w:val="29"/>
    <w:rsid w:val="006E54C8"/>
    <w:rPr>
      <w:rFonts w:ascii="Calibri" w:hAnsi="Calibri"/>
      <w:i/>
      <w:iCs/>
      <w:color w:val="000000"/>
      <w:sz w:val="22"/>
      <w:szCs w:val="22"/>
      <w:lang w:bidi="en-US"/>
    </w:rPr>
  </w:style>
  <w:style w:type="paragraph" w:styleId="IntenseQuote">
    <w:name w:val="Intense Quote"/>
    <w:basedOn w:val="Normal"/>
    <w:next w:val="Normal"/>
    <w:link w:val="IntenseQuoteChar"/>
    <w:uiPriority w:val="30"/>
    <w:qFormat/>
    <w:rsid w:val="006E54C8"/>
    <w:pPr>
      <w:pBdr>
        <w:bottom w:val="single" w:sz="4" w:space="4" w:color="4F81BD"/>
      </w:pBdr>
      <w:tabs>
        <w:tab w:val="clear" w:pos="1247"/>
        <w:tab w:val="clear" w:pos="1814"/>
        <w:tab w:val="clear" w:pos="2381"/>
        <w:tab w:val="clear" w:pos="2948"/>
        <w:tab w:val="clear" w:pos="3515"/>
      </w:tabs>
      <w:spacing w:before="200" w:after="280" w:line="276" w:lineRule="auto"/>
      <w:ind w:left="936" w:right="936"/>
    </w:pPr>
    <w:rPr>
      <w:rFonts w:ascii="Calibri" w:eastAsia="Times New Roman" w:hAnsi="Calibri" w:cs="Times New Roman"/>
      <w:b/>
      <w:bCs/>
      <w:i/>
      <w:iCs/>
      <w:color w:val="4F81BD"/>
      <w:sz w:val="22"/>
      <w:szCs w:val="22"/>
      <w:lang w:val="en-US" w:bidi="en-US"/>
    </w:rPr>
  </w:style>
  <w:style w:type="character" w:customStyle="1" w:styleId="IntenseQuoteChar">
    <w:name w:val="Intense Quote Char"/>
    <w:basedOn w:val="DefaultParagraphFont"/>
    <w:link w:val="IntenseQuote"/>
    <w:uiPriority w:val="30"/>
    <w:rsid w:val="006E54C8"/>
    <w:rPr>
      <w:rFonts w:ascii="Calibri" w:hAnsi="Calibri"/>
      <w:b/>
      <w:bCs/>
      <w:i/>
      <w:iCs/>
      <w:color w:val="4F81BD"/>
      <w:sz w:val="22"/>
      <w:szCs w:val="22"/>
      <w:lang w:bidi="en-US"/>
    </w:rPr>
  </w:style>
  <w:style w:type="paragraph" w:customStyle="1" w:styleId="AnnexHeading1">
    <w:name w:val="Annex Heading 1"/>
    <w:basedOn w:val="Heading1"/>
    <w:uiPriority w:val="99"/>
    <w:qFormat/>
    <w:rsid w:val="006E54C8"/>
    <w:pPr>
      <w:numPr>
        <w:numId w:val="10"/>
      </w:numPr>
      <w:tabs>
        <w:tab w:val="clear" w:pos="1247"/>
        <w:tab w:val="clear" w:pos="1814"/>
        <w:tab w:val="clear" w:pos="2381"/>
        <w:tab w:val="clear" w:pos="2948"/>
        <w:tab w:val="clear" w:pos="3515"/>
        <w:tab w:val="left" w:pos="624"/>
      </w:tabs>
    </w:pPr>
    <w:rPr>
      <w:rFonts w:eastAsia="MS Mincho"/>
      <w:lang w:val="en-GB"/>
    </w:rPr>
  </w:style>
  <w:style w:type="paragraph" w:customStyle="1" w:styleId="Annexsub-heading2">
    <w:name w:val="Annex sub-heading 2"/>
    <w:basedOn w:val="Heading2"/>
    <w:uiPriority w:val="99"/>
    <w:qFormat/>
    <w:rsid w:val="006E54C8"/>
    <w:pPr>
      <w:numPr>
        <w:numId w:val="11"/>
      </w:numPr>
      <w:tabs>
        <w:tab w:val="clear" w:pos="1247"/>
        <w:tab w:val="clear" w:pos="1814"/>
        <w:tab w:val="clear" w:pos="2381"/>
        <w:tab w:val="clear" w:pos="2948"/>
        <w:tab w:val="clear" w:pos="3515"/>
        <w:tab w:val="left" w:pos="624"/>
      </w:tabs>
      <w:ind w:left="1276" w:hanging="567"/>
    </w:pPr>
    <w:rPr>
      <w:rFonts w:eastAsia="MS Mincho"/>
      <w:lang w:val="en-GB"/>
    </w:rPr>
  </w:style>
  <w:style w:type="character" w:customStyle="1" w:styleId="ColorfulList-Accent1Char">
    <w:name w:val="Colorful List - Accent 1 Char"/>
    <w:link w:val="ColorfulList-Accent11"/>
    <w:uiPriority w:val="34"/>
    <w:locked/>
    <w:rsid w:val="006E54C8"/>
    <w:rPr>
      <w:lang w:val="en-GB"/>
    </w:rPr>
  </w:style>
  <w:style w:type="paragraph" w:customStyle="1" w:styleId="TSU1">
    <w:name w:val="TSU 1"/>
    <w:basedOn w:val="ListParagraph"/>
    <w:uiPriority w:val="99"/>
    <w:qFormat/>
    <w:rsid w:val="006E54C8"/>
    <w:pPr>
      <w:numPr>
        <w:numId w:val="12"/>
      </w:numPr>
      <w:pBdr>
        <w:bottom w:val="single" w:sz="4" w:space="1" w:color="auto"/>
      </w:pBdr>
      <w:tabs>
        <w:tab w:val="num" w:pos="360"/>
        <w:tab w:val="num" w:pos="1440"/>
      </w:tabs>
      <w:spacing w:after="240"/>
      <w:ind w:left="720" w:firstLine="0"/>
      <w:contextualSpacing w:val="0"/>
    </w:pPr>
    <w:rPr>
      <w:rFonts w:eastAsiaTheme="minorHAnsi"/>
      <w:b/>
      <w:color w:val="0070C0"/>
      <w:sz w:val="40"/>
      <w:szCs w:val="40"/>
      <w:lang w:val="en-GB"/>
    </w:rPr>
  </w:style>
  <w:style w:type="paragraph" w:customStyle="1" w:styleId="TSU11">
    <w:name w:val="TSU 1.1"/>
    <w:basedOn w:val="ListParagraph"/>
    <w:uiPriority w:val="99"/>
    <w:qFormat/>
    <w:rsid w:val="006E54C8"/>
    <w:pPr>
      <w:numPr>
        <w:ilvl w:val="1"/>
        <w:numId w:val="12"/>
      </w:numPr>
      <w:tabs>
        <w:tab w:val="num" w:pos="360"/>
        <w:tab w:val="num" w:pos="1440"/>
      </w:tabs>
      <w:spacing w:before="240" w:after="0"/>
      <w:ind w:left="720" w:firstLine="0"/>
      <w:contextualSpacing w:val="0"/>
    </w:pPr>
    <w:rPr>
      <w:rFonts w:eastAsiaTheme="minorHAnsi"/>
      <w:b/>
      <w:color w:val="005DA2"/>
      <w:sz w:val="24"/>
      <w:szCs w:val="24"/>
      <w:lang w:val="en-GB"/>
    </w:rPr>
  </w:style>
  <w:style w:type="paragraph" w:customStyle="1" w:styleId="TSU111">
    <w:name w:val="TSU 1.1.1."/>
    <w:basedOn w:val="ListParagraph"/>
    <w:uiPriority w:val="99"/>
    <w:qFormat/>
    <w:rsid w:val="006E54C8"/>
    <w:pPr>
      <w:numPr>
        <w:ilvl w:val="2"/>
        <w:numId w:val="12"/>
      </w:numPr>
      <w:tabs>
        <w:tab w:val="num" w:pos="360"/>
        <w:tab w:val="num" w:pos="1440"/>
      </w:tabs>
      <w:spacing w:before="240" w:after="0"/>
      <w:ind w:left="720" w:firstLine="0"/>
      <w:contextualSpacing w:val="0"/>
    </w:pPr>
    <w:rPr>
      <w:rFonts w:eastAsiaTheme="minorHAnsi"/>
      <w:b/>
      <w:i/>
      <w:color w:val="005DA2"/>
      <w:sz w:val="24"/>
      <w:szCs w:val="24"/>
      <w:lang w:val="en-GB"/>
    </w:rPr>
  </w:style>
  <w:style w:type="paragraph" w:customStyle="1" w:styleId="TSU1111">
    <w:name w:val="TSU 1.1.1.1."/>
    <w:basedOn w:val="ListParagraph"/>
    <w:uiPriority w:val="99"/>
    <w:qFormat/>
    <w:rsid w:val="006E54C8"/>
    <w:pPr>
      <w:numPr>
        <w:ilvl w:val="3"/>
        <w:numId w:val="12"/>
      </w:numPr>
      <w:tabs>
        <w:tab w:val="num" w:pos="360"/>
        <w:tab w:val="num" w:pos="1440"/>
      </w:tabs>
      <w:spacing w:before="240" w:after="0"/>
      <w:ind w:left="720" w:firstLine="0"/>
      <w:contextualSpacing w:val="0"/>
    </w:pPr>
    <w:rPr>
      <w:rFonts w:eastAsiaTheme="minorHAnsi"/>
      <w:b/>
      <w:color w:val="005DA2"/>
      <w:lang w:val="en-GB"/>
    </w:rPr>
  </w:style>
  <w:style w:type="paragraph" w:customStyle="1" w:styleId="TSU11111">
    <w:name w:val="TSU 1.1.1.1.1."/>
    <w:basedOn w:val="ListParagraph"/>
    <w:uiPriority w:val="99"/>
    <w:qFormat/>
    <w:rsid w:val="006E54C8"/>
    <w:pPr>
      <w:numPr>
        <w:ilvl w:val="4"/>
        <w:numId w:val="12"/>
      </w:numPr>
      <w:tabs>
        <w:tab w:val="num" w:pos="360"/>
        <w:tab w:val="num" w:pos="1440"/>
      </w:tabs>
      <w:spacing w:before="240" w:after="0"/>
      <w:ind w:left="720" w:firstLine="0"/>
      <w:contextualSpacing w:val="0"/>
    </w:pPr>
    <w:rPr>
      <w:rFonts w:eastAsiaTheme="minorHAnsi"/>
      <w:b/>
      <w:i/>
      <w:color w:val="005DA2"/>
      <w:lang w:val="en-GB"/>
    </w:rPr>
  </w:style>
  <w:style w:type="paragraph" w:customStyle="1" w:styleId="Spacer">
    <w:name w:val="Spacer"/>
    <w:basedOn w:val="Normal"/>
    <w:uiPriority w:val="99"/>
    <w:rsid w:val="006E54C8"/>
    <w:pPr>
      <w:tabs>
        <w:tab w:val="clear" w:pos="1247"/>
        <w:tab w:val="clear" w:pos="1814"/>
        <w:tab w:val="clear" w:pos="2381"/>
        <w:tab w:val="clear" w:pos="2948"/>
        <w:tab w:val="clear" w:pos="3515"/>
        <w:tab w:val="left" w:pos="-720"/>
        <w:tab w:val="left" w:pos="0"/>
        <w:tab w:val="left" w:pos="720"/>
      </w:tabs>
      <w:suppressAutoHyphens/>
      <w:spacing w:line="276" w:lineRule="auto"/>
    </w:pPr>
    <w:rPr>
      <w:rFonts w:ascii="Calibri" w:eastAsia="Times New Roman" w:hAnsi="Calibri" w:cs="Times New Roman"/>
      <w:sz w:val="10"/>
      <w:szCs w:val="10"/>
      <w:lang w:val="en-GB"/>
    </w:rPr>
  </w:style>
  <w:style w:type="paragraph" w:customStyle="1" w:styleId="Spacer1">
    <w:name w:val="Spacer1"/>
    <w:basedOn w:val="Normal"/>
    <w:uiPriority w:val="99"/>
    <w:rsid w:val="006E54C8"/>
    <w:pPr>
      <w:tabs>
        <w:tab w:val="clear" w:pos="1247"/>
        <w:tab w:val="clear" w:pos="1814"/>
        <w:tab w:val="clear" w:pos="2381"/>
        <w:tab w:val="clear" w:pos="2948"/>
        <w:tab w:val="clear" w:pos="3515"/>
      </w:tabs>
      <w:spacing w:line="276" w:lineRule="auto"/>
    </w:pPr>
    <w:rPr>
      <w:rFonts w:ascii="Calibri" w:eastAsia="Times New Roman" w:hAnsi="Calibri" w:cs="Times New Roman"/>
      <w:b/>
      <w:bCs/>
      <w:sz w:val="22"/>
      <w:lang w:val="en-GB"/>
    </w:rPr>
  </w:style>
  <w:style w:type="paragraph" w:customStyle="1" w:styleId="Listings">
    <w:name w:val="Listings"/>
    <w:basedOn w:val="Normal"/>
    <w:uiPriority w:val="99"/>
    <w:rsid w:val="006E54C8"/>
    <w:pPr>
      <w:tabs>
        <w:tab w:val="clear" w:pos="1247"/>
        <w:tab w:val="clear" w:pos="1814"/>
        <w:tab w:val="clear" w:pos="2381"/>
        <w:tab w:val="clear" w:pos="2948"/>
        <w:tab w:val="clear" w:pos="3515"/>
      </w:tabs>
      <w:spacing w:after="40" w:line="276" w:lineRule="auto"/>
    </w:pPr>
    <w:rPr>
      <w:rFonts w:ascii="Calibri" w:eastAsia="Times New Roman" w:hAnsi="Calibri" w:cs="Times New Roman"/>
      <w:sz w:val="22"/>
      <w:lang w:val="en-GB"/>
    </w:rPr>
  </w:style>
  <w:style w:type="paragraph" w:customStyle="1" w:styleId="ListBold">
    <w:name w:val="ListBold"/>
    <w:basedOn w:val="Listings"/>
    <w:uiPriority w:val="99"/>
    <w:rsid w:val="006E54C8"/>
    <w:rPr>
      <w:b/>
      <w:bCs/>
    </w:rPr>
  </w:style>
  <w:style w:type="paragraph" w:customStyle="1" w:styleId="ListAD">
    <w:name w:val="ListAD"/>
    <w:basedOn w:val="Listings"/>
    <w:uiPriority w:val="99"/>
    <w:rsid w:val="006E54C8"/>
    <w:pPr>
      <w:spacing w:after="0"/>
    </w:pPr>
  </w:style>
  <w:style w:type="paragraph" w:customStyle="1" w:styleId="Substance">
    <w:name w:val="Substance"/>
    <w:basedOn w:val="Heading1"/>
    <w:uiPriority w:val="99"/>
    <w:rsid w:val="006E54C8"/>
    <w:pPr>
      <w:tabs>
        <w:tab w:val="clear" w:pos="1247"/>
        <w:tab w:val="clear" w:pos="1814"/>
        <w:tab w:val="clear" w:pos="2381"/>
        <w:tab w:val="clear" w:pos="2948"/>
        <w:tab w:val="clear" w:pos="3515"/>
        <w:tab w:val="left" w:pos="284"/>
      </w:tabs>
      <w:spacing w:before="160" w:after="160" w:line="276" w:lineRule="auto"/>
      <w:ind w:left="432" w:hanging="432"/>
      <w:outlineLvl w:val="9"/>
    </w:pPr>
    <w:rPr>
      <w:rFonts w:ascii="Calibri" w:hAnsi="Calibri"/>
      <w:bCs/>
      <w:kern w:val="28"/>
      <w:sz w:val="48"/>
      <w:szCs w:val="48"/>
      <w:lang w:val="en-GB"/>
    </w:rPr>
  </w:style>
  <w:style w:type="paragraph" w:customStyle="1" w:styleId="RefNo">
    <w:name w:val="RefNo"/>
    <w:basedOn w:val="Listings"/>
    <w:uiPriority w:val="99"/>
    <w:rsid w:val="006E54C8"/>
    <w:pPr>
      <w:spacing w:after="0"/>
      <w:jc w:val="right"/>
    </w:pPr>
    <w:rPr>
      <w:i/>
      <w:iCs/>
    </w:rPr>
  </w:style>
  <w:style w:type="paragraph" w:customStyle="1" w:styleId="Ripeat">
    <w:name w:val="Ripeat"/>
    <w:basedOn w:val="Normal"/>
    <w:next w:val="Normal"/>
    <w:uiPriority w:val="99"/>
    <w:rsid w:val="006E54C8"/>
    <w:pPr>
      <w:tabs>
        <w:tab w:val="clear" w:pos="1247"/>
        <w:tab w:val="clear" w:pos="1814"/>
        <w:tab w:val="clear" w:pos="2381"/>
        <w:tab w:val="clear" w:pos="2948"/>
        <w:tab w:val="clear" w:pos="3515"/>
      </w:tabs>
      <w:spacing w:line="276" w:lineRule="auto"/>
    </w:pPr>
    <w:rPr>
      <w:rFonts w:ascii="Calibri" w:eastAsia="Times New Roman" w:hAnsi="Calibri" w:cs="Times New Roman"/>
      <w:i/>
      <w:iCs/>
      <w:sz w:val="22"/>
      <w:lang w:val="en-GB"/>
    </w:rPr>
  </w:style>
  <w:style w:type="paragraph" w:customStyle="1" w:styleId="Annex">
    <w:name w:val="Annex"/>
    <w:basedOn w:val="Normal"/>
    <w:next w:val="Normal"/>
    <w:autoRedefine/>
    <w:uiPriority w:val="99"/>
    <w:rsid w:val="006E54C8"/>
    <w:pPr>
      <w:tabs>
        <w:tab w:val="clear" w:pos="1247"/>
        <w:tab w:val="clear" w:pos="1814"/>
        <w:tab w:val="clear" w:pos="2381"/>
        <w:tab w:val="clear" w:pos="2948"/>
        <w:tab w:val="clear" w:pos="3515"/>
      </w:tabs>
      <w:spacing w:line="276" w:lineRule="auto"/>
    </w:pPr>
    <w:rPr>
      <w:rFonts w:ascii="Calibri" w:eastAsia="Times New Roman" w:hAnsi="Calibri" w:cs="Times New Roman"/>
      <w:smallCaps/>
      <w:sz w:val="22"/>
      <w:szCs w:val="22"/>
      <w:lang w:val="en-GB"/>
    </w:rPr>
  </w:style>
  <w:style w:type="paragraph" w:customStyle="1" w:styleId="ca">
    <w:name w:val="ca"/>
    <w:basedOn w:val="Normal"/>
    <w:autoRedefine/>
    <w:uiPriority w:val="99"/>
    <w:rsid w:val="006E54C8"/>
    <w:pPr>
      <w:widowControl w:val="0"/>
      <w:tabs>
        <w:tab w:val="clear" w:pos="1247"/>
        <w:tab w:val="clear" w:pos="1814"/>
        <w:tab w:val="clear" w:pos="2381"/>
        <w:tab w:val="clear" w:pos="2948"/>
        <w:tab w:val="clear" w:pos="3515"/>
      </w:tabs>
      <w:snapToGrid w:val="0"/>
      <w:spacing w:line="276" w:lineRule="auto"/>
    </w:pPr>
    <w:rPr>
      <w:rFonts w:ascii="Calibri" w:eastAsia="Times New Roman" w:hAnsi="Calibri" w:cs="Times New Roman"/>
      <w:color w:val="000000"/>
      <w:sz w:val="22"/>
      <w:lang w:val="en-GB"/>
    </w:rPr>
  </w:style>
  <w:style w:type="paragraph" w:customStyle="1" w:styleId="biblio">
    <w:name w:val="biblio"/>
    <w:basedOn w:val="Normal"/>
    <w:uiPriority w:val="99"/>
    <w:rsid w:val="006E54C8"/>
    <w:pPr>
      <w:widowControl w:val="0"/>
      <w:tabs>
        <w:tab w:val="clear" w:pos="1247"/>
        <w:tab w:val="clear" w:pos="1814"/>
        <w:tab w:val="clear" w:pos="2381"/>
        <w:tab w:val="clear" w:pos="2948"/>
        <w:tab w:val="clear" w:pos="3515"/>
        <w:tab w:val="left" w:pos="90"/>
      </w:tabs>
      <w:snapToGrid w:val="0"/>
      <w:spacing w:line="276" w:lineRule="auto"/>
    </w:pPr>
    <w:rPr>
      <w:rFonts w:ascii="Calibri" w:eastAsia="Times New Roman" w:hAnsi="Calibri" w:cs="Times New Roman"/>
      <w:color w:val="000000"/>
      <w:sz w:val="22"/>
      <w:szCs w:val="22"/>
      <w:lang w:val="en-GB"/>
    </w:rPr>
  </w:style>
  <w:style w:type="paragraph" w:customStyle="1" w:styleId="ad">
    <w:name w:val="ad"/>
    <w:basedOn w:val="Normal"/>
    <w:uiPriority w:val="99"/>
    <w:rsid w:val="006E54C8"/>
    <w:pPr>
      <w:widowControl w:val="0"/>
      <w:tabs>
        <w:tab w:val="clear" w:pos="1247"/>
        <w:tab w:val="clear" w:pos="1814"/>
        <w:tab w:val="clear" w:pos="2381"/>
        <w:tab w:val="clear" w:pos="2948"/>
        <w:tab w:val="clear" w:pos="3515"/>
        <w:tab w:val="left" w:pos="6480"/>
        <w:tab w:val="left" w:pos="7200"/>
      </w:tabs>
      <w:snapToGrid w:val="0"/>
      <w:spacing w:line="276" w:lineRule="auto"/>
    </w:pPr>
    <w:rPr>
      <w:rFonts w:ascii="Abadi MT Condensed" w:eastAsia="Times New Roman" w:hAnsi="Abadi MT Condensed" w:cs="Times New Roman"/>
      <w:color w:val="000000"/>
      <w:sz w:val="22"/>
      <w:lang w:val="en-GB"/>
    </w:rPr>
  </w:style>
  <w:style w:type="paragraph" w:customStyle="1" w:styleId="TH">
    <w:name w:val="TH"/>
    <w:basedOn w:val="ad"/>
    <w:next w:val="Normal"/>
    <w:uiPriority w:val="99"/>
    <w:rsid w:val="006E54C8"/>
    <w:pPr>
      <w:tabs>
        <w:tab w:val="clear" w:pos="6480"/>
        <w:tab w:val="clear" w:pos="7200"/>
      </w:tabs>
      <w:spacing w:before="80"/>
    </w:pPr>
    <w:rPr>
      <w:rFonts w:ascii="Arial Narrow" w:hAnsi="Arial Narrow"/>
      <w:b/>
      <w:bCs/>
      <w:sz w:val="24"/>
      <w:szCs w:val="24"/>
    </w:rPr>
  </w:style>
  <w:style w:type="paragraph" w:customStyle="1" w:styleId="mainpara">
    <w:name w:val="mainpara"/>
    <w:basedOn w:val="Normal"/>
    <w:uiPriority w:val="99"/>
    <w:rsid w:val="006E54C8"/>
    <w:pPr>
      <w:numPr>
        <w:numId w:val="13"/>
      </w:numPr>
      <w:tabs>
        <w:tab w:val="clear" w:pos="473"/>
        <w:tab w:val="clear" w:pos="1247"/>
        <w:tab w:val="clear" w:pos="1814"/>
        <w:tab w:val="clear" w:pos="2381"/>
        <w:tab w:val="clear" w:pos="2948"/>
        <w:tab w:val="clear" w:pos="3515"/>
        <w:tab w:val="left" w:pos="720"/>
        <w:tab w:val="left" w:pos="1440"/>
      </w:tabs>
      <w:snapToGrid w:val="0"/>
      <w:spacing w:line="276" w:lineRule="auto"/>
    </w:pPr>
    <w:rPr>
      <w:rFonts w:ascii="Calibri" w:eastAsia="Times New Roman" w:hAnsi="Calibri" w:cs="Times New Roman"/>
      <w:sz w:val="22"/>
      <w:szCs w:val="22"/>
      <w:lang w:val="en-GB"/>
    </w:rPr>
  </w:style>
  <w:style w:type="paragraph" w:customStyle="1" w:styleId="Ingenmellomrom1">
    <w:name w:val="Ingen mellomrom1"/>
    <w:uiPriority w:val="99"/>
    <w:qFormat/>
    <w:rsid w:val="006E54C8"/>
    <w:rPr>
      <w:rFonts w:eastAsia="SimSun"/>
      <w:sz w:val="24"/>
      <w:szCs w:val="24"/>
      <w:lang w:val="en-GB" w:eastAsia="zh-CN"/>
    </w:rPr>
  </w:style>
  <w:style w:type="paragraph" w:customStyle="1" w:styleId="Char1CharCharCharCharChar">
    <w:name w:val="Char1 Char Char Char Char Char"/>
    <w:basedOn w:val="Normal"/>
    <w:uiPriority w:val="99"/>
    <w:rsid w:val="006E54C8"/>
    <w:pPr>
      <w:tabs>
        <w:tab w:val="clear" w:pos="1247"/>
        <w:tab w:val="clear" w:pos="1814"/>
        <w:tab w:val="clear" w:pos="2381"/>
        <w:tab w:val="clear" w:pos="2948"/>
        <w:tab w:val="clear" w:pos="3515"/>
      </w:tabs>
      <w:spacing w:after="160" w:line="240" w:lineRule="exact"/>
    </w:pPr>
    <w:rPr>
      <w:rFonts w:ascii="Tahoma" w:eastAsia="Times New Roman" w:hAnsi="Tahoma" w:cs="Times New Roman"/>
      <w:sz w:val="22"/>
      <w:lang w:val="en-US"/>
    </w:rPr>
  </w:style>
  <w:style w:type="paragraph" w:customStyle="1" w:styleId="ListParagraph1">
    <w:name w:val="List Paragraph1"/>
    <w:basedOn w:val="Normal"/>
    <w:uiPriority w:val="99"/>
    <w:rsid w:val="006E54C8"/>
    <w:pPr>
      <w:tabs>
        <w:tab w:val="clear" w:pos="1247"/>
        <w:tab w:val="clear" w:pos="1814"/>
        <w:tab w:val="clear" w:pos="2381"/>
        <w:tab w:val="clear" w:pos="2948"/>
        <w:tab w:val="clear" w:pos="3515"/>
      </w:tabs>
      <w:spacing w:line="276" w:lineRule="auto"/>
      <w:ind w:left="720"/>
      <w:contextualSpacing/>
    </w:pPr>
    <w:rPr>
      <w:rFonts w:ascii="Calibri" w:eastAsia="SimSun" w:hAnsi="Calibri" w:cs="Times New Roman"/>
      <w:sz w:val="24"/>
      <w:szCs w:val="24"/>
      <w:lang w:val="pt-BR" w:eastAsia="pt-BR"/>
    </w:rPr>
  </w:style>
  <w:style w:type="paragraph" w:customStyle="1" w:styleId="Revision1">
    <w:name w:val="Revision1"/>
    <w:uiPriority w:val="99"/>
    <w:semiHidden/>
    <w:rsid w:val="006E54C8"/>
    <w:rPr>
      <w:rFonts w:eastAsia="SimSun"/>
      <w:sz w:val="24"/>
      <w:szCs w:val="24"/>
      <w:lang w:val="pt-BR" w:eastAsia="pt-BR"/>
    </w:rPr>
  </w:style>
  <w:style w:type="paragraph" w:customStyle="1" w:styleId="ColorfulList-Accent12">
    <w:name w:val="Colorful List - Accent 12"/>
    <w:basedOn w:val="Normal"/>
    <w:uiPriority w:val="34"/>
    <w:qFormat/>
    <w:rsid w:val="006E54C8"/>
    <w:pPr>
      <w:tabs>
        <w:tab w:val="clear" w:pos="1247"/>
        <w:tab w:val="clear" w:pos="1814"/>
        <w:tab w:val="clear" w:pos="2381"/>
        <w:tab w:val="clear" w:pos="2948"/>
        <w:tab w:val="clear" w:pos="3515"/>
      </w:tabs>
      <w:suppressAutoHyphens/>
      <w:spacing w:line="240" w:lineRule="exact"/>
      <w:ind w:left="720"/>
      <w:contextualSpacing/>
    </w:pPr>
    <w:rPr>
      <w:rFonts w:ascii="Calibri" w:eastAsia="Times New Roman" w:hAnsi="Calibri" w:cs="Times New Roman"/>
      <w:spacing w:val="4"/>
      <w:w w:val="103"/>
      <w:kern w:val="14"/>
      <w:sz w:val="22"/>
      <w:lang w:val="en-GB"/>
    </w:rPr>
  </w:style>
  <w:style w:type="paragraph" w:customStyle="1" w:styleId="ColorfulShading-Accent12">
    <w:name w:val="Colorful Shading - Accent 12"/>
    <w:uiPriority w:val="99"/>
    <w:semiHidden/>
    <w:rsid w:val="006E54C8"/>
    <w:rPr>
      <w:spacing w:val="4"/>
      <w:w w:val="103"/>
      <w:kern w:val="14"/>
      <w:lang w:val="en-GB"/>
    </w:rPr>
  </w:style>
  <w:style w:type="paragraph" w:customStyle="1" w:styleId="TableParagraph">
    <w:name w:val="Table Paragraph"/>
    <w:basedOn w:val="Normal"/>
    <w:uiPriority w:val="1"/>
    <w:qFormat/>
    <w:rsid w:val="006E54C8"/>
    <w:pPr>
      <w:widowControl w:val="0"/>
      <w:tabs>
        <w:tab w:val="clear" w:pos="1247"/>
        <w:tab w:val="clear" w:pos="1814"/>
        <w:tab w:val="clear" w:pos="2381"/>
        <w:tab w:val="clear" w:pos="2948"/>
        <w:tab w:val="clear" w:pos="3515"/>
      </w:tabs>
      <w:spacing w:line="276" w:lineRule="auto"/>
    </w:pPr>
    <w:rPr>
      <w:rFonts w:ascii="Calibri" w:eastAsia="Times New Roman" w:hAnsi="Calibri" w:cs="Times New Roman"/>
      <w:sz w:val="22"/>
      <w:szCs w:val="22"/>
      <w:lang w:val="en-US" w:bidi="en-US"/>
    </w:rPr>
  </w:style>
  <w:style w:type="character" w:customStyle="1" w:styleId="EndNoteBibliographyChar">
    <w:name w:val="EndNote Bibliography Char"/>
    <w:link w:val="EndNoteBibliography"/>
    <w:locked/>
    <w:rsid w:val="006E54C8"/>
    <w:rPr>
      <w:rFonts w:ascii="Cambria" w:hAnsi="Cambria"/>
      <w:noProof/>
      <w:sz w:val="22"/>
      <w:szCs w:val="22"/>
      <w:lang w:bidi="en-US"/>
    </w:rPr>
  </w:style>
  <w:style w:type="paragraph" w:customStyle="1" w:styleId="EndNoteBibliography">
    <w:name w:val="EndNote Bibliography"/>
    <w:basedOn w:val="Normal"/>
    <w:link w:val="EndNoteBibliographyChar"/>
    <w:rsid w:val="006E54C8"/>
    <w:pPr>
      <w:tabs>
        <w:tab w:val="clear" w:pos="1247"/>
        <w:tab w:val="clear" w:pos="1814"/>
        <w:tab w:val="clear" w:pos="2381"/>
        <w:tab w:val="clear" w:pos="2948"/>
        <w:tab w:val="clear" w:pos="3515"/>
      </w:tabs>
      <w:spacing w:after="200" w:line="276" w:lineRule="auto"/>
    </w:pPr>
    <w:rPr>
      <w:rFonts w:ascii="Cambria" w:eastAsia="Times New Roman" w:hAnsi="Cambria" w:cs="Times New Roman"/>
      <w:noProof/>
      <w:sz w:val="22"/>
      <w:szCs w:val="22"/>
      <w:lang w:val="en-US" w:bidi="en-US"/>
    </w:rPr>
  </w:style>
  <w:style w:type="character" w:customStyle="1" w:styleId="EndNoteBibliographyTitleChar">
    <w:name w:val="EndNote Bibliography Title Char"/>
    <w:link w:val="EndNoteBibliographyTitle"/>
    <w:locked/>
    <w:rsid w:val="006E54C8"/>
    <w:rPr>
      <w:rFonts w:ascii="Calibri" w:eastAsia="Calibri" w:hAnsi="Calibri" w:cs="Mangal"/>
      <w:noProof/>
      <w:sz w:val="22"/>
      <w:szCs w:val="22"/>
    </w:rPr>
  </w:style>
  <w:style w:type="paragraph" w:customStyle="1" w:styleId="EndNoteBibliographyTitle">
    <w:name w:val="EndNote Bibliography Title"/>
    <w:basedOn w:val="Normal"/>
    <w:link w:val="EndNoteBibliographyTitleChar"/>
    <w:rsid w:val="006E54C8"/>
    <w:pPr>
      <w:tabs>
        <w:tab w:val="clear" w:pos="1247"/>
        <w:tab w:val="clear" w:pos="1814"/>
        <w:tab w:val="clear" w:pos="2381"/>
        <w:tab w:val="clear" w:pos="2948"/>
        <w:tab w:val="clear" w:pos="3515"/>
      </w:tabs>
      <w:spacing w:line="256" w:lineRule="auto"/>
      <w:jc w:val="center"/>
    </w:pPr>
    <w:rPr>
      <w:rFonts w:ascii="Calibri" w:eastAsia="Calibri" w:hAnsi="Calibri" w:cs="Mangal"/>
      <w:noProof/>
      <w:sz w:val="22"/>
      <w:szCs w:val="22"/>
      <w:lang w:val="en-US"/>
    </w:rPr>
  </w:style>
  <w:style w:type="paragraph" w:customStyle="1" w:styleId="Heading2new">
    <w:name w:val="Heading 2 new"/>
    <w:basedOn w:val="Heading7"/>
    <w:uiPriority w:val="99"/>
    <w:rsid w:val="006E54C8"/>
    <w:pPr>
      <w:widowControl/>
      <w:tabs>
        <w:tab w:val="clear" w:pos="1247"/>
        <w:tab w:val="left" w:pos="284"/>
      </w:tabs>
      <w:spacing w:before="240" w:after="120" w:line="276" w:lineRule="auto"/>
      <w:ind w:left="1296" w:hanging="1296"/>
      <w:jc w:val="left"/>
    </w:pPr>
    <w:rPr>
      <w:rFonts w:ascii="Calibri" w:eastAsia="Calibri" w:hAnsi="Calibri"/>
      <w:b/>
      <w:snapToGrid/>
      <w:sz w:val="22"/>
      <w:szCs w:val="24"/>
      <w:u w:val="none"/>
      <w:lang w:val="en-GB"/>
    </w:rPr>
  </w:style>
  <w:style w:type="paragraph" w:customStyle="1" w:styleId="TSUChapterTitle">
    <w:name w:val="TSU Chapter Title"/>
    <w:basedOn w:val="Normal"/>
    <w:uiPriority w:val="99"/>
    <w:rsid w:val="006E54C8"/>
    <w:pPr>
      <w:numPr>
        <w:numId w:val="14"/>
      </w:numPr>
      <w:tabs>
        <w:tab w:val="clear" w:pos="1247"/>
        <w:tab w:val="clear" w:pos="1814"/>
        <w:tab w:val="clear" w:pos="2381"/>
        <w:tab w:val="clear" w:pos="2948"/>
        <w:tab w:val="clear" w:pos="3515"/>
      </w:tabs>
      <w:spacing w:after="200" w:line="276" w:lineRule="auto"/>
    </w:pPr>
    <w:rPr>
      <w:rFonts w:asciiTheme="minorHAnsi" w:eastAsiaTheme="minorEastAsia" w:hAnsiTheme="minorHAnsi"/>
      <w:sz w:val="22"/>
      <w:szCs w:val="22"/>
      <w:lang w:val="en-US"/>
    </w:rPr>
  </w:style>
  <w:style w:type="paragraph" w:customStyle="1" w:styleId="TSUHeading2">
    <w:name w:val="TSU Heading 2"/>
    <w:basedOn w:val="Normal"/>
    <w:uiPriority w:val="99"/>
    <w:rsid w:val="006E54C8"/>
    <w:pPr>
      <w:numPr>
        <w:ilvl w:val="2"/>
        <w:numId w:val="14"/>
      </w:numPr>
      <w:tabs>
        <w:tab w:val="clear" w:pos="1247"/>
        <w:tab w:val="clear" w:pos="1814"/>
        <w:tab w:val="clear" w:pos="2381"/>
        <w:tab w:val="clear" w:pos="2948"/>
        <w:tab w:val="clear" w:pos="3515"/>
      </w:tabs>
      <w:spacing w:after="200" w:line="276" w:lineRule="auto"/>
    </w:pPr>
    <w:rPr>
      <w:rFonts w:asciiTheme="minorHAnsi" w:eastAsiaTheme="minorEastAsia" w:hAnsiTheme="minorHAnsi"/>
      <w:sz w:val="22"/>
      <w:szCs w:val="22"/>
      <w:lang w:val="en-US"/>
    </w:rPr>
  </w:style>
  <w:style w:type="paragraph" w:customStyle="1" w:styleId="default0">
    <w:name w:val="default"/>
    <w:basedOn w:val="Normal"/>
    <w:uiPriority w:val="99"/>
    <w:rsid w:val="006E54C8"/>
    <w:pPr>
      <w:tabs>
        <w:tab w:val="clear" w:pos="1247"/>
        <w:tab w:val="clear" w:pos="1814"/>
        <w:tab w:val="clear" w:pos="2381"/>
        <w:tab w:val="clear" w:pos="2948"/>
        <w:tab w:val="clear" w:pos="3515"/>
      </w:tabs>
      <w:spacing w:before="100" w:beforeAutospacing="1" w:after="100" w:afterAutospacing="1"/>
    </w:pPr>
    <w:rPr>
      <w:rFonts w:eastAsia="Times New Roman" w:cs="Times New Roman"/>
      <w:sz w:val="24"/>
      <w:szCs w:val="24"/>
      <w:lang w:val="es-AR" w:eastAsia="es-AR"/>
    </w:rPr>
  </w:style>
  <w:style w:type="character" w:styleId="SubtleEmphasis">
    <w:name w:val="Subtle Emphasis"/>
    <w:basedOn w:val="DefaultParagraphFont"/>
    <w:uiPriority w:val="19"/>
    <w:qFormat/>
    <w:rsid w:val="006E54C8"/>
    <w:rPr>
      <w:i/>
      <w:iCs/>
      <w:color w:val="404040" w:themeColor="text1" w:themeTint="BF"/>
    </w:rPr>
  </w:style>
  <w:style w:type="character" w:styleId="IntenseEmphasis">
    <w:name w:val="Intense Emphasis"/>
    <w:uiPriority w:val="21"/>
    <w:qFormat/>
    <w:rsid w:val="006E54C8"/>
    <w:rPr>
      <w:b/>
      <w:bCs/>
      <w:i/>
      <w:iCs/>
      <w:color w:val="4F81BD"/>
    </w:rPr>
  </w:style>
  <w:style w:type="character" w:styleId="SubtleReference">
    <w:name w:val="Subtle Reference"/>
    <w:uiPriority w:val="31"/>
    <w:qFormat/>
    <w:rsid w:val="006E54C8"/>
    <w:rPr>
      <w:smallCaps/>
      <w:color w:val="C0504D"/>
      <w:u w:val="single"/>
    </w:rPr>
  </w:style>
  <w:style w:type="character" w:styleId="IntenseReference">
    <w:name w:val="Intense Reference"/>
    <w:uiPriority w:val="32"/>
    <w:qFormat/>
    <w:rsid w:val="006E54C8"/>
    <w:rPr>
      <w:b/>
      <w:bCs/>
      <w:smallCaps/>
      <w:color w:val="C0504D"/>
      <w:spacing w:val="5"/>
      <w:u w:val="single"/>
    </w:rPr>
  </w:style>
  <w:style w:type="character" w:styleId="BookTitle">
    <w:name w:val="Book Title"/>
    <w:uiPriority w:val="33"/>
    <w:qFormat/>
    <w:rsid w:val="006E54C8"/>
    <w:rPr>
      <w:b/>
      <w:bCs/>
      <w:smallCaps/>
      <w:spacing w:val="5"/>
    </w:rPr>
  </w:style>
  <w:style w:type="character" w:customStyle="1" w:styleId="EmailStyle20">
    <w:name w:val="EmailStyle20"/>
    <w:rsid w:val="006E54C8"/>
    <w:rPr>
      <w:rFonts w:ascii="Arial" w:hAnsi="Arial" w:cs="Arial" w:hint="default"/>
      <w:color w:val="000000"/>
      <w:sz w:val="20"/>
      <w:szCs w:val="20"/>
    </w:rPr>
  </w:style>
  <w:style w:type="character" w:customStyle="1" w:styleId="emailstyle15">
    <w:name w:val="emailstyle15"/>
    <w:rsid w:val="006E54C8"/>
    <w:rPr>
      <w:rFonts w:ascii="Arial" w:hAnsi="Arial" w:cs="Arial" w:hint="default"/>
      <w:color w:val="000000"/>
      <w:sz w:val="20"/>
      <w:szCs w:val="20"/>
    </w:rPr>
  </w:style>
  <w:style w:type="character" w:customStyle="1" w:styleId="colname1">
    <w:name w:val="col_name1"/>
    <w:basedOn w:val="DefaultParagraphFont"/>
    <w:rsid w:val="006E54C8"/>
  </w:style>
  <w:style w:type="character" w:customStyle="1" w:styleId="colftyp">
    <w:name w:val="col_ftyp"/>
    <w:basedOn w:val="DefaultParagraphFont"/>
    <w:rsid w:val="006E54C8"/>
  </w:style>
  <w:style w:type="character" w:customStyle="1" w:styleId="colland">
    <w:name w:val="col_land"/>
    <w:basedOn w:val="DefaultParagraphFont"/>
    <w:rsid w:val="006E54C8"/>
  </w:style>
  <w:style w:type="character" w:customStyle="1" w:styleId="colblank">
    <w:name w:val="col_blank"/>
    <w:basedOn w:val="DefaultParagraphFont"/>
    <w:rsid w:val="006E54C8"/>
  </w:style>
  <w:style w:type="character" w:customStyle="1" w:styleId="hrtext">
    <w:name w:val="hr_text"/>
    <w:basedOn w:val="DefaultParagraphFont"/>
    <w:rsid w:val="006E54C8"/>
  </w:style>
  <w:style w:type="character" w:customStyle="1" w:styleId="EstiloDeEmail511">
    <w:name w:val="EstiloDeEmail511"/>
    <w:rsid w:val="006E54C8"/>
    <w:rPr>
      <w:rFonts w:ascii="Arial" w:hAnsi="Arial" w:cs="Arial" w:hint="default"/>
      <w:color w:val="000000"/>
      <w:sz w:val="20"/>
      <w:szCs w:val="20"/>
    </w:rPr>
  </w:style>
  <w:style w:type="character" w:customStyle="1" w:styleId="EstiloDeEmail561">
    <w:name w:val="EstiloDeEmail561"/>
    <w:rsid w:val="006E54C8"/>
    <w:rPr>
      <w:rFonts w:ascii="Arial" w:hAnsi="Arial" w:cs="Arial" w:hint="default"/>
      <w:color w:val="000000"/>
      <w:sz w:val="20"/>
      <w:szCs w:val="20"/>
    </w:rPr>
  </w:style>
  <w:style w:type="character" w:customStyle="1" w:styleId="bumpedfont15">
    <w:name w:val="bumpedfont15"/>
    <w:basedOn w:val="DefaultParagraphFont"/>
    <w:rsid w:val="006E54C8"/>
  </w:style>
  <w:style w:type="character" w:customStyle="1" w:styleId="apple-converted-space">
    <w:name w:val="apple-converted-space"/>
    <w:basedOn w:val="DefaultParagraphFont"/>
    <w:rsid w:val="006E54C8"/>
  </w:style>
  <w:style w:type="character" w:customStyle="1" w:styleId="A7">
    <w:name w:val="A7"/>
    <w:uiPriority w:val="99"/>
    <w:rsid w:val="006E54C8"/>
    <w:rPr>
      <w:rFonts w:ascii="Gill Sans" w:hAnsi="Gill Sans" w:cs="Gill Sans" w:hint="default"/>
      <w:color w:val="000000"/>
      <w:sz w:val="12"/>
      <w:szCs w:val="12"/>
    </w:rPr>
  </w:style>
  <w:style w:type="character" w:customStyle="1" w:styleId="acro">
    <w:name w:val="acro"/>
    <w:uiPriority w:val="99"/>
    <w:rsid w:val="006E54C8"/>
    <w:rPr>
      <w:rFonts w:ascii="Times New Roman" w:hAnsi="Times New Roman" w:cs="Times New Roman" w:hint="default"/>
    </w:rPr>
  </w:style>
  <w:style w:type="character" w:customStyle="1" w:styleId="slug-doi">
    <w:name w:val="slug-doi"/>
    <w:basedOn w:val="DefaultParagraphFont"/>
    <w:rsid w:val="006E54C8"/>
  </w:style>
  <w:style w:type="character" w:customStyle="1" w:styleId="BodyTextChar1">
    <w:name w:val="Body Text Char1"/>
    <w:aliases w:val="Body Text Char Char"/>
    <w:basedOn w:val="DefaultParagraphFont"/>
    <w:semiHidden/>
    <w:rsid w:val="006E54C8"/>
    <w:rPr>
      <w:rFonts w:ascii="Times New Roman" w:eastAsia="Times New Roman" w:hAnsi="Times New Roman" w:cs="Times New Roman" w:hint="default"/>
      <w:sz w:val="24"/>
      <w:szCs w:val="20"/>
      <w:lang w:val="en-US"/>
    </w:rPr>
  </w:style>
  <w:style w:type="character" w:customStyle="1" w:styleId="author">
    <w:name w:val="author"/>
    <w:basedOn w:val="DefaultParagraphFont"/>
    <w:rsid w:val="006E54C8"/>
  </w:style>
  <w:style w:type="character" w:customStyle="1" w:styleId="pubyear">
    <w:name w:val="pubyear"/>
    <w:basedOn w:val="DefaultParagraphFont"/>
    <w:rsid w:val="006E54C8"/>
  </w:style>
  <w:style w:type="character" w:customStyle="1" w:styleId="booktitle0">
    <w:name w:val="booktitle"/>
    <w:basedOn w:val="DefaultParagraphFont"/>
    <w:rsid w:val="006E54C8"/>
  </w:style>
  <w:style w:type="character" w:customStyle="1" w:styleId="publisherlocation">
    <w:name w:val="publisherlocation"/>
    <w:basedOn w:val="DefaultParagraphFont"/>
    <w:rsid w:val="006E54C8"/>
  </w:style>
  <w:style w:type="character" w:customStyle="1" w:styleId="prodtitle">
    <w:name w:val="prodtitle"/>
    <w:basedOn w:val="DefaultParagraphFont"/>
    <w:rsid w:val="006E54C8"/>
  </w:style>
  <w:style w:type="character" w:customStyle="1" w:styleId="prodsubtitle">
    <w:name w:val="prodsubtitle"/>
    <w:basedOn w:val="DefaultParagraphFont"/>
    <w:rsid w:val="006E54C8"/>
  </w:style>
  <w:style w:type="table" w:styleId="LightList-Accent5">
    <w:name w:val="Light List Accent 5"/>
    <w:basedOn w:val="TableNormal"/>
    <w:uiPriority w:val="61"/>
    <w:semiHidden/>
    <w:unhideWhenUsed/>
    <w:rsid w:val="006E54C8"/>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MediumGrid3-Accent5">
    <w:name w:val="Medium Grid 3 Accent 5"/>
    <w:basedOn w:val="TableNormal"/>
    <w:uiPriority w:val="69"/>
    <w:semiHidden/>
    <w:unhideWhenUsed/>
    <w:rsid w:val="006E54C8"/>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Normal1">
    <w:name w:val="Table Normal1"/>
    <w:semiHidden/>
    <w:rsid w:val="006E54C8"/>
    <w:tblPr>
      <w:tblCellMar>
        <w:top w:w="0" w:type="dxa"/>
        <w:left w:w="108" w:type="dxa"/>
        <w:bottom w:w="0" w:type="dxa"/>
        <w:right w:w="108" w:type="dxa"/>
      </w:tblCellMar>
    </w:tblPr>
  </w:style>
  <w:style w:type="table" w:customStyle="1" w:styleId="TableGrid1">
    <w:name w:val="Table Grid1"/>
    <w:basedOn w:val="TableNormal"/>
    <w:uiPriority w:val="99"/>
    <w:rsid w:val="006E54C8"/>
    <w:pPr>
      <w:spacing w:after="200" w:line="276" w:lineRule="auto"/>
    </w:pPr>
    <w:rPr>
      <w:rFonts w:ascii="Calibri" w:hAnsi="Calibri"/>
      <w:lang w:val="en-CA" w:eastAsia="en-C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
    <w:name w:val="Grid Table 4 - Accent 11"/>
    <w:basedOn w:val="TableNormal"/>
    <w:uiPriority w:val="49"/>
    <w:rsid w:val="006E54C8"/>
    <w:rPr>
      <w:rFonts w:ascii="Calibri" w:eastAsia="Calibri" w:hAnsi="Calibri"/>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
    <w:name w:val="Grid Table 4 - Accent 12"/>
    <w:basedOn w:val="TableNormal"/>
    <w:uiPriority w:val="49"/>
    <w:rsid w:val="006E54C8"/>
    <w:rPr>
      <w:rFonts w:ascii="Calibri" w:eastAsia="Calibri" w:hAnsi="Calibri"/>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2">
    <w:name w:val="Table Grid2"/>
    <w:basedOn w:val="TableNormal"/>
    <w:uiPriority w:val="59"/>
    <w:rsid w:val="006E54C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6E54C8"/>
    <w:rPr>
      <w:rFonts w:ascii="Calibri" w:eastAsia="Calibri" w:hAnsi="Calibri"/>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
    <w:name w:val="Grid Table 4 - Accent 121"/>
    <w:basedOn w:val="TableNormal"/>
    <w:uiPriority w:val="49"/>
    <w:rsid w:val="006E54C8"/>
    <w:rPr>
      <w:rFonts w:ascii="Calibri" w:eastAsia="Calibri" w:hAnsi="Calibri"/>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51">
    <w:name w:val="List Table 3 - Accent 51"/>
    <w:basedOn w:val="TableNormal"/>
    <w:uiPriority w:val="48"/>
    <w:rsid w:val="006E54C8"/>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5Dark-Accent51">
    <w:name w:val="List Table 5 Dark - Accent 51"/>
    <w:basedOn w:val="TableNormal"/>
    <w:uiPriority w:val="50"/>
    <w:rsid w:val="006E54C8"/>
    <w:rPr>
      <w:color w:val="FFFFFF"/>
    </w:rPr>
    <w:tblPr>
      <w:tblStyleRowBandSize w:val="1"/>
      <w:tblStyleColBandSize w:val="1"/>
      <w:tblInd w:w="0" w:type="nil"/>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21">
    <w:name w:val="Grid Table 4 - Accent 21"/>
    <w:basedOn w:val="TableNormal"/>
    <w:uiPriority w:val="49"/>
    <w:rsid w:val="006E54C8"/>
    <w:rPr>
      <w:rFonts w:ascii="Calibri" w:eastAsia="Calibri" w:hAnsi="Calibri"/>
      <w:sz w:val="22"/>
      <w:szCs w:val="22"/>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2">
    <w:name w:val="Grid Table 4 - Accent 22"/>
    <w:basedOn w:val="TableNormal"/>
    <w:uiPriority w:val="49"/>
    <w:rsid w:val="006E54C8"/>
    <w:rPr>
      <w:rFonts w:asciiTheme="minorHAnsi" w:eastAsiaTheme="minorHAnsi" w:hAnsiTheme="minorHAnsi" w:cstheme="minorBidi"/>
      <w:sz w:val="22"/>
      <w:szCs w:val="22"/>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Style1">
    <w:name w:val="Style1"/>
    <w:uiPriority w:val="99"/>
    <w:rsid w:val="006E54C8"/>
    <w:pPr>
      <w:numPr>
        <w:numId w:val="40"/>
      </w:numPr>
    </w:pPr>
  </w:style>
  <w:style w:type="paragraph" w:styleId="BalloonText">
    <w:name w:val="Balloon Text"/>
    <w:basedOn w:val="Normal"/>
    <w:link w:val="BalloonTextChar"/>
    <w:uiPriority w:val="99"/>
    <w:semiHidden/>
    <w:unhideWhenUsed/>
    <w:rsid w:val="00480C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CDD"/>
    <w:rPr>
      <w:rFonts w:ascii="Segoe UI" w:eastAsiaTheme="minorHAns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www.ipbes.net/webinars" TargetMode="External"/><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image" Target="media/image17.png"/><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s://www.ipbes.net/deliverables/4a-catalogue-assessments" TargetMode="External"/><Relationship Id="rId33" Type="http://schemas.openxmlformats.org/officeDocument/2006/relationships/image" Target="cid:153d54d9-aa8a-4bf6-99ed-a9429bf060d8@eurprd07.prod.outlook.com" TargetMode="External"/><Relationship Id="rId38" Type="http://schemas.openxmlformats.org/officeDocument/2006/relationships/image" Target="cid:FE03DB87-0578-4829-856C-24401E083F19@home"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cid:F6313F7A-AC5B-49D7-BE9D-431B826A206E@home" TargetMode="External"/><Relationship Id="rId41" Type="http://schemas.openxmlformats.org/officeDocument/2006/relationships/image" Target="media/image16.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pbes.net/guidance-and-conceptual-framework/guide-for-assessments"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footer" Target="footer4.xm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yperlink" Target="http://www.ipbes.net/article/ipbes-pollinationreport-media-coverage" TargetMode="Externa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cid:860A692B-0696-4A30-ACBF-CCDE079424CF@home" TargetMode="External"/><Relationship Id="rId44" Type="http://schemas.openxmlformats.org/officeDocument/2006/relationships/header" Target="header7.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bes.net/glossary" TargetMode="External"/><Relationship Id="rId22" Type="http://schemas.openxmlformats.org/officeDocument/2006/relationships/header" Target="header5.xml"/><Relationship Id="rId27" Type="http://schemas.openxmlformats.org/officeDocument/2006/relationships/hyperlink" Target="http://www.ipbes.net/guidance-and-conceptual-framework" TargetMode="External"/><Relationship Id="rId30" Type="http://schemas.openxmlformats.org/officeDocument/2006/relationships/image" Target="media/image9.jpeg"/><Relationship Id="rId35" Type="http://schemas.openxmlformats.org/officeDocument/2006/relationships/image" Target="cid:BEEEA707-B80E-4341-8E3B-BF017448D6DA@home" TargetMode="External"/><Relationship Id="rId43" Type="http://schemas.openxmlformats.org/officeDocument/2006/relationships/header" Target="header6.xml"/><Relationship Id="rId48" Type="http://schemas.openxmlformats.org/officeDocument/2006/relationships/footer" Target="footer6.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EF7C3-1886-416B-9F0E-4DA209185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16619</Words>
  <Characters>94732</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Nikki Criticos</dc:creator>
  <cp:lastModifiedBy>Nicola Criticos</cp:lastModifiedBy>
  <cp:revision>2</cp:revision>
  <cp:lastPrinted>2018-01-30T10:09:00Z</cp:lastPrinted>
  <dcterms:created xsi:type="dcterms:W3CDTF">2018-01-31T08:09:00Z</dcterms:created>
  <dcterms:modified xsi:type="dcterms:W3CDTF">2018-01-31T08:09:00Z</dcterms:modified>
</cp:coreProperties>
</file>