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C57630" w14:paraId="07537A40" w14:textId="77777777" w:rsidTr="00C9318F">
        <w:trPr>
          <w:cantSplit/>
          <w:trHeight w:val="1079"/>
          <w:jc w:val="right"/>
        </w:trPr>
        <w:tc>
          <w:tcPr>
            <w:tcW w:w="1545" w:type="dxa"/>
          </w:tcPr>
          <w:p w14:paraId="69923486" w14:textId="77777777" w:rsidR="00F9521B" w:rsidRPr="00C57630" w:rsidRDefault="00F9521B" w:rsidP="00D86FBA">
            <w:pPr>
              <w:pStyle w:val="Normal-pool"/>
              <w:tabs>
                <w:tab w:val="left" w:pos="4082"/>
              </w:tabs>
              <w:rPr>
                <w:sz w:val="27"/>
                <w:szCs w:val="27"/>
              </w:rPr>
            </w:pPr>
            <w:bookmarkStart w:id="0" w:name="_GoBack"/>
            <w:bookmarkEnd w:id="0"/>
            <w:r w:rsidRPr="00C57630">
              <w:rPr>
                <w:rFonts w:ascii="Arial" w:hAnsi="Arial" w:cs="Arial"/>
                <w:b/>
                <w:noProof/>
                <w:sz w:val="27"/>
                <w:szCs w:val="27"/>
              </w:rPr>
              <w:t xml:space="preserve">UNITED </w:t>
            </w:r>
            <w:r w:rsidRPr="00C57630">
              <w:rPr>
                <w:rFonts w:ascii="Arial" w:hAnsi="Arial" w:cs="Arial"/>
                <w:b/>
                <w:noProof/>
                <w:sz w:val="27"/>
                <w:szCs w:val="27"/>
              </w:rPr>
              <w:br/>
              <w:t>NATIONS</w:t>
            </w:r>
          </w:p>
        </w:tc>
        <w:tc>
          <w:tcPr>
            <w:tcW w:w="1004" w:type="dxa"/>
            <w:gridSpan w:val="2"/>
            <w:tcBorders>
              <w:left w:val="nil"/>
            </w:tcBorders>
            <w:vAlign w:val="center"/>
          </w:tcPr>
          <w:p w14:paraId="28F5EBEC" w14:textId="77777777" w:rsidR="00F9521B" w:rsidRPr="00C57630" w:rsidRDefault="00F9521B" w:rsidP="00FE51C6">
            <w:pPr>
              <w:pStyle w:val="Normal-pool"/>
              <w:ind w:left="-108"/>
            </w:pPr>
            <w:r w:rsidRPr="002A5BAF">
              <w:rPr>
                <w:noProof/>
                <w:lang w:eastAsia="en-GB"/>
              </w:rPr>
              <w:drawing>
                <wp:inline distT="0" distB="0" distL="0" distR="0" wp14:anchorId="266F738D" wp14:editId="1CB0C031">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D687E25" w14:textId="77777777" w:rsidR="00F9521B" w:rsidRPr="00C57630" w:rsidRDefault="00F9521B" w:rsidP="00FE51C6">
            <w:pPr>
              <w:pStyle w:val="Normal-pool"/>
              <w:ind w:left="-108"/>
            </w:pPr>
            <w:r w:rsidRPr="000966E1">
              <w:rPr>
                <w:noProof/>
                <w:lang w:eastAsia="en-GB"/>
              </w:rPr>
              <w:drawing>
                <wp:inline distT="0" distB="0" distL="0" distR="0" wp14:anchorId="43C9D4B8" wp14:editId="30F2642C">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2CBC413C" w14:textId="77777777" w:rsidR="00F9521B" w:rsidRPr="00C57630" w:rsidRDefault="00F9521B" w:rsidP="00FE51C6">
            <w:pPr>
              <w:pStyle w:val="Normal-pool"/>
              <w:ind w:left="-108"/>
            </w:pPr>
            <w:r w:rsidRPr="000966E1">
              <w:rPr>
                <w:noProof/>
                <w:lang w:eastAsia="en-GB"/>
              </w:rPr>
              <w:drawing>
                <wp:inline distT="0" distB="0" distL="0" distR="0" wp14:anchorId="5DF9B0D8" wp14:editId="4F022589">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D1F74EF" w14:textId="77777777" w:rsidR="00F9521B" w:rsidRPr="00C57630" w:rsidRDefault="00F9521B" w:rsidP="00FE51C6">
            <w:pPr>
              <w:pStyle w:val="Normal-pool"/>
              <w:ind w:left="-108"/>
            </w:pPr>
            <w:r w:rsidRPr="000966E1">
              <w:rPr>
                <w:noProof/>
                <w:lang w:eastAsia="en-GB"/>
              </w:rPr>
              <w:drawing>
                <wp:inline distT="0" distB="0" distL="0" distR="0" wp14:anchorId="2066D529" wp14:editId="240C37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4AD5E25E" w14:textId="77777777" w:rsidR="00F9521B" w:rsidRPr="00C57630" w:rsidRDefault="00F9521B" w:rsidP="00FE51C6">
            <w:pPr>
              <w:ind w:left="-108"/>
              <w:jc w:val="center"/>
            </w:pPr>
            <w:r w:rsidRPr="000966E1">
              <w:rPr>
                <w:noProof/>
                <w:lang w:eastAsia="en-GB"/>
              </w:rPr>
              <w:drawing>
                <wp:inline distT="0" distB="0" distL="0" distR="0" wp14:anchorId="03CB25A5" wp14:editId="236FDF8B">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0A5A1F6C" w14:textId="77777777" w:rsidR="00F9521B" w:rsidRPr="00C57630" w:rsidRDefault="00F9521B" w:rsidP="001B46BB">
            <w:pPr>
              <w:jc w:val="center"/>
            </w:pPr>
          </w:p>
        </w:tc>
        <w:tc>
          <w:tcPr>
            <w:tcW w:w="1686" w:type="dxa"/>
          </w:tcPr>
          <w:p w14:paraId="3E741B98" w14:textId="77777777" w:rsidR="00F9521B" w:rsidRPr="00C57630" w:rsidRDefault="00F9521B" w:rsidP="00FE51C6">
            <w:pPr>
              <w:pStyle w:val="Normal-pool"/>
              <w:tabs>
                <w:tab w:val="left" w:pos="4082"/>
              </w:tabs>
              <w:rPr>
                <w:rFonts w:ascii="Arial" w:hAnsi="Arial" w:cs="Arial"/>
                <w:b/>
                <w:sz w:val="64"/>
                <w:szCs w:val="64"/>
              </w:rPr>
            </w:pPr>
            <w:r w:rsidRPr="00C57630">
              <w:rPr>
                <w:rFonts w:ascii="Arial" w:hAnsi="Arial" w:cs="Arial"/>
                <w:b/>
                <w:sz w:val="64"/>
                <w:szCs w:val="64"/>
              </w:rPr>
              <w:t>BES</w:t>
            </w:r>
          </w:p>
        </w:tc>
      </w:tr>
      <w:tr w:rsidR="00F9521B" w:rsidRPr="00C57630" w14:paraId="245B3E21" w14:textId="77777777" w:rsidTr="00C9318F">
        <w:trPr>
          <w:cantSplit/>
          <w:trHeight w:val="282"/>
          <w:jc w:val="right"/>
        </w:trPr>
        <w:tc>
          <w:tcPr>
            <w:tcW w:w="1545" w:type="dxa"/>
            <w:tcBorders>
              <w:bottom w:val="single" w:sz="2" w:space="0" w:color="auto"/>
            </w:tcBorders>
          </w:tcPr>
          <w:p w14:paraId="2885AF89" w14:textId="77777777" w:rsidR="00F9521B" w:rsidRPr="00C57630" w:rsidRDefault="00F9521B" w:rsidP="001B46BB">
            <w:pPr>
              <w:rPr>
                <w:noProof/>
              </w:rPr>
            </w:pPr>
          </w:p>
        </w:tc>
        <w:tc>
          <w:tcPr>
            <w:tcW w:w="6025" w:type="dxa"/>
            <w:gridSpan w:val="6"/>
            <w:tcBorders>
              <w:bottom w:val="single" w:sz="2" w:space="0" w:color="auto"/>
            </w:tcBorders>
          </w:tcPr>
          <w:p w14:paraId="2BABDCC8" w14:textId="77777777" w:rsidR="00F9521B" w:rsidRPr="00C57630" w:rsidRDefault="00F9521B" w:rsidP="001B46BB">
            <w:pPr>
              <w:rPr>
                <w:rFonts w:eastAsia="Times New Roman"/>
                <w:b/>
                <w:sz w:val="24"/>
                <w:szCs w:val="24"/>
              </w:rPr>
            </w:pPr>
          </w:p>
        </w:tc>
        <w:tc>
          <w:tcPr>
            <w:tcW w:w="2260" w:type="dxa"/>
            <w:gridSpan w:val="2"/>
            <w:tcBorders>
              <w:bottom w:val="single" w:sz="2" w:space="0" w:color="auto"/>
            </w:tcBorders>
          </w:tcPr>
          <w:p w14:paraId="7B41BF77" w14:textId="77777777" w:rsidR="00F9521B" w:rsidRPr="00C57630" w:rsidRDefault="00F9521B" w:rsidP="00D86FBA">
            <w:pPr>
              <w:pStyle w:val="Normal-pool"/>
              <w:tabs>
                <w:tab w:val="left" w:pos="4082"/>
              </w:tabs>
              <w:rPr>
                <w:b/>
                <w:sz w:val="24"/>
                <w:szCs w:val="24"/>
              </w:rPr>
            </w:pPr>
            <w:r w:rsidRPr="00C9318F">
              <w:rPr>
                <w:b/>
                <w:sz w:val="24"/>
              </w:rPr>
              <w:t>IPBES</w:t>
            </w:r>
            <w:r w:rsidR="00EA5E5C" w:rsidRPr="00C57630">
              <w:t>/6</w:t>
            </w:r>
            <w:r w:rsidRPr="00C57630">
              <w:t>/</w:t>
            </w:r>
            <w:r w:rsidR="00AE0474" w:rsidRPr="00C57630">
              <w:t>2</w:t>
            </w:r>
          </w:p>
        </w:tc>
      </w:tr>
      <w:tr w:rsidR="00F9521B" w:rsidRPr="00C57630" w14:paraId="12AF6C07" w14:textId="77777777" w:rsidTr="00C9318F">
        <w:trPr>
          <w:cantSplit/>
          <w:trHeight w:val="1433"/>
          <w:jc w:val="right"/>
        </w:trPr>
        <w:tc>
          <w:tcPr>
            <w:tcW w:w="2034" w:type="dxa"/>
            <w:gridSpan w:val="2"/>
            <w:tcBorders>
              <w:top w:val="single" w:sz="2" w:space="0" w:color="auto"/>
              <w:bottom w:val="single" w:sz="24" w:space="0" w:color="auto"/>
            </w:tcBorders>
          </w:tcPr>
          <w:p w14:paraId="5B6B423E" w14:textId="77777777" w:rsidR="00F9521B" w:rsidRPr="00C57630" w:rsidRDefault="00F9521B" w:rsidP="00FE51C6">
            <w:pPr>
              <w:pStyle w:val="Normal-pool"/>
              <w:spacing w:before="240" w:after="240"/>
              <w:rPr>
                <w:rFonts w:cs="Arial"/>
                <w:szCs w:val="28"/>
              </w:rPr>
            </w:pPr>
            <w:r w:rsidRPr="000966E1">
              <w:rPr>
                <w:noProof/>
                <w:lang w:eastAsia="en-GB"/>
              </w:rPr>
              <w:drawing>
                <wp:inline distT="0" distB="0" distL="0" distR="0" wp14:anchorId="15DF9E9B" wp14:editId="3ED4623F">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3CD91E96" w14:textId="691EC3BA" w:rsidR="00E44F41" w:rsidRPr="00C9318F" w:rsidRDefault="00F9521B" w:rsidP="00FE51C6">
            <w:pPr>
              <w:pStyle w:val="Normal-pool"/>
              <w:tabs>
                <w:tab w:val="left" w:pos="4082"/>
              </w:tabs>
              <w:spacing w:before="120" w:after="240"/>
            </w:pPr>
            <w:r w:rsidRPr="00FE51C6">
              <w:rPr>
                <w:rFonts w:ascii="Arial" w:hAnsi="Arial" w:cs="Arial"/>
                <w:b/>
                <w:sz w:val="28"/>
                <w:szCs w:val="28"/>
              </w:rPr>
              <w:t>Intergovernmental Science-Policy Platform on Biodiversity and Ecosystem Services</w:t>
            </w:r>
            <w:r w:rsidR="00E44F41">
              <w:t xml:space="preserve"> </w:t>
            </w:r>
          </w:p>
        </w:tc>
        <w:tc>
          <w:tcPr>
            <w:tcW w:w="2260" w:type="dxa"/>
            <w:gridSpan w:val="2"/>
            <w:tcBorders>
              <w:top w:val="single" w:sz="2" w:space="0" w:color="auto"/>
              <w:bottom w:val="single" w:sz="24" w:space="0" w:color="auto"/>
            </w:tcBorders>
          </w:tcPr>
          <w:p w14:paraId="70774711" w14:textId="11637BF5" w:rsidR="00F9521B" w:rsidRPr="00C57630" w:rsidRDefault="00F9521B" w:rsidP="00D86FBA">
            <w:pPr>
              <w:pStyle w:val="Normal-pool"/>
              <w:tabs>
                <w:tab w:val="left" w:pos="4082"/>
              </w:tabs>
              <w:spacing w:before="120"/>
            </w:pPr>
            <w:r w:rsidRPr="00C57630">
              <w:t>Distr.: General</w:t>
            </w:r>
            <w:r w:rsidRPr="00C57630">
              <w:br/>
            </w:r>
            <w:r w:rsidR="0057400C" w:rsidRPr="00C57630">
              <w:t>30 November 2017</w:t>
            </w:r>
          </w:p>
          <w:p w14:paraId="2AEE4A91" w14:textId="77777777" w:rsidR="00F9521B" w:rsidRPr="00C57630" w:rsidRDefault="00F9521B" w:rsidP="00D86FBA">
            <w:pPr>
              <w:pStyle w:val="Normal-pool"/>
              <w:tabs>
                <w:tab w:val="left" w:pos="4082"/>
              </w:tabs>
              <w:spacing w:before="120"/>
            </w:pPr>
            <w:r w:rsidRPr="00C57630">
              <w:t>Original: English</w:t>
            </w:r>
          </w:p>
        </w:tc>
      </w:tr>
    </w:tbl>
    <w:p w14:paraId="6A2790BB" w14:textId="77777777" w:rsidR="00E44F41" w:rsidRDefault="00F9521B" w:rsidP="003163D2">
      <w:pPr>
        <w:pStyle w:val="AATitle"/>
      </w:pPr>
      <w:r w:rsidRPr="00C57630">
        <w:t>Plenary of the Intergovernmental Science-Policy</w:t>
      </w:r>
    </w:p>
    <w:p w14:paraId="3E1225D2" w14:textId="34CE51DE" w:rsidR="00F9521B" w:rsidRPr="00C57630" w:rsidRDefault="00F9521B" w:rsidP="003163D2">
      <w:pPr>
        <w:pStyle w:val="AATitle"/>
      </w:pPr>
      <w:r w:rsidRPr="00C57630">
        <w:t>Platform on Biodiversity and Ecosystem Services</w:t>
      </w:r>
    </w:p>
    <w:p w14:paraId="5941CFDD" w14:textId="77777777" w:rsidR="00EC6548" w:rsidRPr="00C57630" w:rsidRDefault="00EC6548" w:rsidP="003163D2">
      <w:pPr>
        <w:pStyle w:val="AATitle"/>
      </w:pPr>
      <w:r w:rsidRPr="00C57630">
        <w:t>Sixth session</w:t>
      </w:r>
    </w:p>
    <w:p w14:paraId="4CD044AD" w14:textId="1E9ABA10" w:rsidR="00EC6548" w:rsidRPr="00C57630" w:rsidRDefault="00EC6548" w:rsidP="00D86FBA">
      <w:pPr>
        <w:pStyle w:val="AATitle"/>
        <w:rPr>
          <w:b w:val="0"/>
        </w:rPr>
      </w:pPr>
      <w:r w:rsidRPr="00C57630">
        <w:rPr>
          <w:b w:val="0"/>
        </w:rPr>
        <w:t>Medellin, Colombia, 1</w:t>
      </w:r>
      <w:r w:rsidR="004E4693" w:rsidRPr="00C57630">
        <w:rPr>
          <w:b w:val="0"/>
        </w:rPr>
        <w:t>8</w:t>
      </w:r>
      <w:r w:rsidRPr="00C57630">
        <w:rPr>
          <w:b w:val="0"/>
        </w:rPr>
        <w:t>–24 March 2018</w:t>
      </w:r>
    </w:p>
    <w:p w14:paraId="6CE77032" w14:textId="77777777" w:rsidR="00F9521B" w:rsidRPr="00C57630" w:rsidRDefault="00F9521B" w:rsidP="00D86FBA">
      <w:pPr>
        <w:rPr>
          <w:b/>
        </w:rPr>
      </w:pPr>
      <w:r w:rsidRPr="00C57630">
        <w:t xml:space="preserve">Item </w:t>
      </w:r>
      <w:r w:rsidR="00AE0474" w:rsidRPr="00C57630">
        <w:t>5</w:t>
      </w:r>
      <w:r w:rsidR="001B40EE" w:rsidRPr="00C57630">
        <w:t xml:space="preserve"> of the provisional agenda</w:t>
      </w:r>
      <w:r w:rsidR="001B40EE" w:rsidRPr="00C57630">
        <w:footnoteReference w:customMarkFollows="1" w:id="2"/>
        <w:t>*</w:t>
      </w:r>
    </w:p>
    <w:p w14:paraId="05C815B8" w14:textId="21D379E8" w:rsidR="00C956B3" w:rsidRPr="00C57630" w:rsidRDefault="00AE0474" w:rsidP="009B371F">
      <w:pPr>
        <w:pStyle w:val="AATitle2"/>
        <w:spacing w:before="60"/>
      </w:pPr>
      <w:r w:rsidRPr="00C57630">
        <w:t xml:space="preserve">Report of the Executive Secretary on the implementation </w:t>
      </w:r>
      <w:r w:rsidR="003163D2" w:rsidRPr="00C57630">
        <w:br/>
      </w:r>
      <w:r w:rsidRPr="00C57630">
        <w:t xml:space="preserve">of the </w:t>
      </w:r>
      <w:r w:rsidR="00964EF3" w:rsidRPr="00C57630">
        <w:t xml:space="preserve">first </w:t>
      </w:r>
      <w:r w:rsidRPr="00C57630">
        <w:t>work programme for the period 2014–2018</w:t>
      </w:r>
    </w:p>
    <w:p w14:paraId="67F5E884" w14:textId="77777777" w:rsidR="00AE0474" w:rsidRPr="00C57630" w:rsidRDefault="00AE0474" w:rsidP="00D86FBA">
      <w:pPr>
        <w:pStyle w:val="BBTitle"/>
      </w:pPr>
      <w:r w:rsidRPr="00C57630">
        <w:t>Implementation of the first work programme of the Intergovernmental Science-Policy Platform on Biodiversity and Ecosystem Services</w:t>
      </w:r>
    </w:p>
    <w:p w14:paraId="5FE60464" w14:textId="4FD2CF85" w:rsidR="00AE0474" w:rsidRPr="00C57630" w:rsidRDefault="00AE0474" w:rsidP="009B371F">
      <w:pPr>
        <w:pStyle w:val="CH2"/>
      </w:pPr>
      <w:r w:rsidRPr="00C57630">
        <w:t xml:space="preserve">Report of the Executive Secretary </w:t>
      </w:r>
    </w:p>
    <w:p w14:paraId="16435483" w14:textId="77777777" w:rsidR="00AE0474" w:rsidRPr="00C57630" w:rsidRDefault="00AE0474" w:rsidP="009B371F">
      <w:pPr>
        <w:pStyle w:val="CH1"/>
      </w:pPr>
      <w:r w:rsidRPr="00C57630">
        <w:tab/>
      </w:r>
      <w:r w:rsidRPr="00C57630">
        <w:tab/>
        <w:t>Introduction</w:t>
      </w:r>
    </w:p>
    <w:p w14:paraId="300DD372" w14:textId="2BA8D32E"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At its second session, the Plenary of the Intergovernmental Science-Policy Platform on</w:t>
      </w:r>
      <w:r w:rsidR="00CF39B4" w:rsidRPr="00C57630">
        <w:t xml:space="preserve"> </w:t>
      </w:r>
      <w:r w:rsidRPr="00C57630">
        <w:t>Biodiversity and Ecosystem Services (IPBES) adopted decision IPBES-2/5, by which it a</w:t>
      </w:r>
      <w:r w:rsidR="00E44C93" w:rsidRPr="00C57630">
        <w:t>dopted</w:t>
      </w:r>
      <w:r w:rsidRPr="00C57630">
        <w:t xml:space="preserve"> an ambitious first work programme with a sequenced set of deliverables for the period 2014–2018. The work programme was a</w:t>
      </w:r>
      <w:r w:rsidR="00E44C93" w:rsidRPr="00C57630">
        <w:t>dopted</w:t>
      </w:r>
      <w:r w:rsidRPr="00C57630">
        <w:t xml:space="preserve"> on the understanding that work on specific deliverables would be initiated following </w:t>
      </w:r>
      <w:r w:rsidR="00E44C93" w:rsidRPr="00C57630">
        <w:t xml:space="preserve">further </w:t>
      </w:r>
      <w:r w:rsidRPr="00C57630">
        <w:t>decisions by the Plenary in accordance with the procedures for the preparation of the deliverables of IPBES (decision IPBES-3/3, annex I).</w:t>
      </w:r>
    </w:p>
    <w:p w14:paraId="1D759C8D" w14:textId="38B99E6D" w:rsidR="00AE0474" w:rsidRPr="00C57630" w:rsidRDefault="00FB2B3E" w:rsidP="00AE0474">
      <w:pPr>
        <w:pStyle w:val="Normalnumber"/>
        <w:numPr>
          <w:ilvl w:val="0"/>
          <w:numId w:val="3"/>
        </w:numPr>
        <w:tabs>
          <w:tab w:val="clear" w:pos="1247"/>
          <w:tab w:val="clear" w:pos="1814"/>
          <w:tab w:val="clear" w:pos="2381"/>
          <w:tab w:val="clear" w:pos="2948"/>
          <w:tab w:val="clear" w:pos="3515"/>
        </w:tabs>
      </w:pPr>
      <w:r w:rsidRPr="00C57630">
        <w:t xml:space="preserve">At its third, </w:t>
      </w:r>
      <w:r w:rsidR="00AE0474" w:rsidRPr="00C57630">
        <w:t xml:space="preserve">fourth </w:t>
      </w:r>
      <w:r w:rsidRPr="00C57630">
        <w:t xml:space="preserve">and fifth </w:t>
      </w:r>
      <w:r w:rsidR="00AE0474" w:rsidRPr="00C57630">
        <w:t xml:space="preserve">sessions, the Plenary </w:t>
      </w:r>
      <w:r w:rsidR="007B0F83" w:rsidRPr="00C57630">
        <w:t xml:space="preserve">adopted decisions IPBES-3/1, </w:t>
      </w:r>
      <w:r w:rsidR="00871761" w:rsidRPr="00C57630">
        <w:t>IPBES-4/1</w:t>
      </w:r>
      <w:r w:rsidR="00AE0474" w:rsidRPr="00C57630">
        <w:t xml:space="preserve"> </w:t>
      </w:r>
      <w:r w:rsidR="007B0F83" w:rsidRPr="00C57630">
        <w:t xml:space="preserve">and IPBES-5/1, </w:t>
      </w:r>
      <w:r w:rsidR="00AE0474" w:rsidRPr="00C57630">
        <w:t xml:space="preserve">respectively, in which it provided further guidance on the implementation of all </w:t>
      </w:r>
      <w:r w:rsidR="00E44C93" w:rsidRPr="00C57630">
        <w:t xml:space="preserve">deliverables of </w:t>
      </w:r>
      <w:r w:rsidR="00AE0474" w:rsidRPr="00C57630">
        <w:t>the work programme. In decision IPBES-4/1, the Plenary approved the undertaking of a global assessment of biodiversity and ecosystem services to be performed over the period from 2016 to mid-2019.</w:t>
      </w:r>
    </w:p>
    <w:p w14:paraId="4403826C" w14:textId="43FF931D"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 xml:space="preserve">The present report has been prepared by the Executive Secretary, in consultation with the Bureau and the Multidisciplinary Expert Panel, to facilitate the consideration by the Plenary of the progress achieved in the implementation of the work programme. As a basis for that consideration, the </w:t>
      </w:r>
      <w:r w:rsidR="00871761" w:rsidRPr="00C57630">
        <w:t xml:space="preserve">report </w:t>
      </w:r>
      <w:r w:rsidRPr="00C57630">
        <w:t>provides information on the following matters:</w:t>
      </w:r>
    </w:p>
    <w:p w14:paraId="55AF41B9" w14:textId="287341E6" w:rsidR="00AE0474" w:rsidRPr="00C57630"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t>Progress made in 201</w:t>
      </w:r>
      <w:r w:rsidR="007B0F83" w:rsidRPr="00C57630">
        <w:t>7</w:t>
      </w:r>
      <w:r w:rsidRPr="00C57630">
        <w:t xml:space="preserve"> in the implementation of the deliverables set out in the work programme for the period 2014–2018 initiated in dec</w:t>
      </w:r>
      <w:r w:rsidR="007B0F83" w:rsidRPr="00C57630">
        <w:t xml:space="preserve">isions IPBES-2/5, IPBES-3/1, </w:t>
      </w:r>
      <w:r w:rsidRPr="00C57630">
        <w:t>IPBES-4/1</w:t>
      </w:r>
      <w:r w:rsidR="007B0F83" w:rsidRPr="00C57630">
        <w:t xml:space="preserve"> and </w:t>
      </w:r>
      <w:r w:rsidR="00D86FBA" w:rsidRPr="00C57630">
        <w:br/>
      </w:r>
      <w:r w:rsidR="007B0F83" w:rsidRPr="00C57630">
        <w:t>IPBES-5/1</w:t>
      </w:r>
      <w:r w:rsidRPr="00C57630">
        <w:t>;</w:t>
      </w:r>
    </w:p>
    <w:p w14:paraId="3F7943E7" w14:textId="4AFD45C4" w:rsidR="00AE0474" w:rsidRPr="00C57630" w:rsidRDefault="00193E3A"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t xml:space="preserve">Update regarding </w:t>
      </w:r>
      <w:r w:rsidR="00871761" w:rsidRPr="00C57630">
        <w:t xml:space="preserve">the </w:t>
      </w:r>
      <w:r w:rsidRPr="00C57630">
        <w:t xml:space="preserve">recruitment of staff members to the </w:t>
      </w:r>
      <w:r w:rsidR="00E44C93" w:rsidRPr="00C57630">
        <w:t>s</w:t>
      </w:r>
      <w:r w:rsidRPr="00C57630">
        <w:t>ecretariat in 2017</w:t>
      </w:r>
      <w:r w:rsidR="00AE0474" w:rsidRPr="00C57630">
        <w:t>.</w:t>
      </w:r>
    </w:p>
    <w:p w14:paraId="2A2ECBC3" w14:textId="77777777" w:rsidR="00AE0474" w:rsidRPr="00C57630" w:rsidRDefault="00AE0474" w:rsidP="003163D2">
      <w:pPr>
        <w:pStyle w:val="CH1"/>
      </w:pPr>
      <w:r w:rsidRPr="00C57630">
        <w:lastRenderedPageBreak/>
        <w:tab/>
        <w:t>I.</w:t>
      </w:r>
      <w:r w:rsidRPr="00C57630">
        <w:tab/>
        <w:t>Progress in the implementation of</w:t>
      </w:r>
      <w:r w:rsidR="009A1CE5" w:rsidRPr="00C57630">
        <w:t xml:space="preserve"> decisions IPBES-2/5, IPBES-3/1, </w:t>
      </w:r>
      <w:r w:rsidRPr="00C57630">
        <w:t xml:space="preserve">IPBES-4/1 </w:t>
      </w:r>
      <w:r w:rsidR="009A1CE5" w:rsidRPr="00C57630">
        <w:t xml:space="preserve">and IPBES-5/1 </w:t>
      </w:r>
      <w:r w:rsidRPr="00C57630">
        <w:t>on the first work programme</w:t>
      </w:r>
    </w:p>
    <w:p w14:paraId="2C12819A" w14:textId="3AD9E97F" w:rsidR="006879B6" w:rsidRPr="00C57630" w:rsidRDefault="006879B6" w:rsidP="006879B6">
      <w:pPr>
        <w:pStyle w:val="Normalnumber"/>
        <w:numPr>
          <w:ilvl w:val="0"/>
          <w:numId w:val="3"/>
        </w:numPr>
      </w:pPr>
      <w:bookmarkStart w:id="1" w:name="_Hlk499034317"/>
      <w:bookmarkStart w:id="2" w:name="_Hlk498357772"/>
      <w:r w:rsidRPr="00C57630">
        <w:t xml:space="preserve">IPBES has </w:t>
      </w:r>
      <w:r w:rsidRPr="006D6D0B">
        <w:t xml:space="preserve">made </w:t>
      </w:r>
      <w:r w:rsidR="00871761" w:rsidRPr="006D6D0B">
        <w:t>substantial</w:t>
      </w:r>
      <w:r w:rsidRPr="00C57630">
        <w:t xml:space="preserve"> progress </w:t>
      </w:r>
      <w:r w:rsidR="005A150E" w:rsidRPr="00C57630">
        <w:t>since the fifth session of the Plenary</w:t>
      </w:r>
      <w:r w:rsidR="00871761" w:rsidRPr="00C57630">
        <w:t xml:space="preserve"> in implementing the Plenary-</w:t>
      </w:r>
      <w:r w:rsidRPr="00C57630">
        <w:t xml:space="preserve">approved work programme </w:t>
      </w:r>
      <w:r w:rsidR="00871761" w:rsidRPr="00C57630">
        <w:t>within the Plenary-</w:t>
      </w:r>
      <w:r w:rsidRPr="00C57630">
        <w:t xml:space="preserve">approved budget. The Plenary will be presented with five interesting and policy-relevant assessments for review and approval at its sixth session, which have </w:t>
      </w:r>
      <w:r w:rsidR="00871761" w:rsidRPr="00C57630">
        <w:t>engaged the attention of</w:t>
      </w:r>
      <w:r w:rsidRPr="00C57630">
        <w:t xml:space="preserve"> </w:t>
      </w:r>
      <w:r w:rsidR="0086374B" w:rsidRPr="00C57630">
        <w:t>some 6</w:t>
      </w:r>
      <w:r w:rsidR="00BB7256" w:rsidRPr="00C57630">
        <w:t>00</w:t>
      </w:r>
      <w:r w:rsidRPr="00C57630">
        <w:t xml:space="preserve"> experts</w:t>
      </w:r>
      <w:r w:rsidR="00BB7256" w:rsidRPr="00C57630">
        <w:t xml:space="preserve"> </w:t>
      </w:r>
      <w:r w:rsidR="00871761" w:rsidRPr="00C57630">
        <w:t>over</w:t>
      </w:r>
      <w:r w:rsidR="00BB7256" w:rsidRPr="00C57630">
        <w:t xml:space="preserve"> three years</w:t>
      </w:r>
      <w:r w:rsidRPr="00C57630">
        <w:t>, and an insightful internal review that highlights the strengths</w:t>
      </w:r>
      <w:r w:rsidR="00871761" w:rsidRPr="00C57630">
        <w:t xml:space="preserve"> and weaknesses of IPBES</w:t>
      </w:r>
      <w:r w:rsidRPr="00C57630">
        <w:t xml:space="preserve"> and provide</w:t>
      </w:r>
      <w:r w:rsidR="005A150E" w:rsidRPr="00C57630">
        <w:t>s</w:t>
      </w:r>
      <w:r w:rsidRPr="00C57630">
        <w:t xml:space="preserve"> ideas to stimulate discussion for a second work program</w:t>
      </w:r>
      <w:r w:rsidR="005A150E" w:rsidRPr="00C57630">
        <w:t>me</w:t>
      </w:r>
      <w:r w:rsidR="00BB7256" w:rsidRPr="00C57630">
        <w:t xml:space="preserve"> building </w:t>
      </w:r>
      <w:r w:rsidRPr="00C57630">
        <w:t xml:space="preserve">on the successes of the first.  </w:t>
      </w:r>
    </w:p>
    <w:p w14:paraId="506F6E5C" w14:textId="410EA634" w:rsidR="006879B6" w:rsidRPr="00C57630" w:rsidRDefault="006879B6" w:rsidP="003C2FB4">
      <w:pPr>
        <w:pStyle w:val="Normalnumber"/>
        <w:numPr>
          <w:ilvl w:val="0"/>
          <w:numId w:val="3"/>
        </w:numPr>
      </w:pPr>
      <w:r w:rsidRPr="00C57630">
        <w:t xml:space="preserve">The community at large has continued enthusiastically </w:t>
      </w:r>
      <w:r w:rsidR="00871761" w:rsidRPr="00C57630">
        <w:t xml:space="preserve">to </w:t>
      </w:r>
      <w:r w:rsidRPr="00C57630">
        <w:t xml:space="preserve">support IPBES </w:t>
      </w:r>
      <w:r w:rsidR="005A150E" w:rsidRPr="00C57630">
        <w:t xml:space="preserve">through </w:t>
      </w:r>
      <w:r w:rsidRPr="00C57630">
        <w:t>the time and effort contributed by selected experts, a large and diverse set of other in-kind contributi</w:t>
      </w:r>
      <w:r w:rsidR="00871761" w:rsidRPr="00C57630">
        <w:t>ons from Governments and organiz</w:t>
      </w:r>
      <w:r w:rsidRPr="00C57630">
        <w:t xml:space="preserve">ations, </w:t>
      </w:r>
      <w:r w:rsidR="009F1E8A" w:rsidRPr="00C57630">
        <w:t>a</w:t>
      </w:r>
      <w:r w:rsidR="00871761" w:rsidRPr="00C57630">
        <w:t xml:space="preserve">nd </w:t>
      </w:r>
      <w:r w:rsidR="009F1E8A" w:rsidRPr="00C57630">
        <w:t xml:space="preserve">through contributions by members to the IPBES trust fund and financial support for related activities of IPBES </w:t>
      </w:r>
      <w:r w:rsidRPr="00C57630">
        <w:t xml:space="preserve">detailed in document </w:t>
      </w:r>
      <w:r w:rsidRPr="00FF38B7">
        <w:t>IPBES/6/9</w:t>
      </w:r>
      <w:r w:rsidRPr="00C57630">
        <w:t xml:space="preserve">. </w:t>
      </w:r>
    </w:p>
    <w:bookmarkEnd w:id="1"/>
    <w:p w14:paraId="604BBF52" w14:textId="676BBAAD" w:rsidR="00AE0474" w:rsidRPr="00C57630" w:rsidRDefault="003C2FB4" w:rsidP="003C2FB4">
      <w:pPr>
        <w:pStyle w:val="Normalnumber"/>
        <w:numPr>
          <w:ilvl w:val="0"/>
          <w:numId w:val="3"/>
        </w:numPr>
      </w:pPr>
      <w:r w:rsidRPr="00C57630">
        <w:t>One expert group (</w:t>
      </w:r>
      <w:r w:rsidR="00871761" w:rsidRPr="00C57630">
        <w:t xml:space="preserve">on </w:t>
      </w:r>
      <w:r w:rsidRPr="00C57630">
        <w:t>policy support</w:t>
      </w:r>
      <w:r w:rsidR="009F1E8A" w:rsidRPr="00C57630">
        <w:t xml:space="preserve"> tools and methodologies</w:t>
      </w:r>
      <w:r w:rsidRPr="00C57630">
        <w:t>) reconstituted in 2017, one assessment author group (</w:t>
      </w:r>
      <w:r w:rsidR="00871761" w:rsidRPr="00C57630">
        <w:t xml:space="preserve">on </w:t>
      </w:r>
      <w:r w:rsidR="008D08E4" w:rsidRPr="00C57630">
        <w:t xml:space="preserve">the </w:t>
      </w:r>
      <w:r w:rsidRPr="00C57630">
        <w:t>global assessment), and two expert</w:t>
      </w:r>
      <w:r w:rsidR="009F1E8A" w:rsidRPr="00C57630">
        <w:t xml:space="preserve"> groups</w:t>
      </w:r>
      <w:r w:rsidRPr="00C57630">
        <w:t xml:space="preserve"> (</w:t>
      </w:r>
      <w:r w:rsidR="00871761" w:rsidRPr="00C57630">
        <w:t xml:space="preserve">on </w:t>
      </w:r>
      <w:r w:rsidRPr="00C57630">
        <w:t xml:space="preserve">values and </w:t>
      </w:r>
      <w:r w:rsidR="00871761" w:rsidRPr="00C57630">
        <w:t xml:space="preserve">on </w:t>
      </w:r>
      <w:r w:rsidRPr="00C57630">
        <w:t>scenarios</w:t>
      </w:r>
      <w:r w:rsidR="009F1E8A" w:rsidRPr="00C57630">
        <w:t xml:space="preserve"> and models</w:t>
      </w:r>
      <w:r w:rsidRPr="00C57630">
        <w:t>) established in 2016, five assessment author groups (</w:t>
      </w:r>
      <w:r w:rsidR="008D08E4" w:rsidRPr="00C57630">
        <w:t xml:space="preserve">on the </w:t>
      </w:r>
      <w:r w:rsidRPr="00C57630">
        <w:t xml:space="preserve">regional assessments </w:t>
      </w:r>
      <w:r w:rsidR="008D08E4" w:rsidRPr="00C57630">
        <w:t xml:space="preserve">and on the </w:t>
      </w:r>
      <w:r w:rsidRPr="00C57630">
        <w:t>assessment of land degradation and restoration), established in 2015, and three task forces (on capacity</w:t>
      </w:r>
      <w:r w:rsidRPr="00C57630">
        <w:noBreakHyphen/>
        <w:t xml:space="preserve">building, knowledge and data, and indigenous and local knowledge) established in 2014, continued their work in 2017. </w:t>
      </w:r>
      <w:r w:rsidR="00AE0474" w:rsidRPr="00C57630">
        <w:t>Altogether, these groups involved some 900 experts</w:t>
      </w:r>
      <w:r w:rsidR="00EA450F" w:rsidRPr="00C57630">
        <w:t xml:space="preserve"> in 2017</w:t>
      </w:r>
      <w:r w:rsidR="00AE0474" w:rsidRPr="00C57630">
        <w:t xml:space="preserve">, bringing </w:t>
      </w:r>
      <w:r w:rsidR="00871761" w:rsidRPr="00C57630">
        <w:t xml:space="preserve">to 1,300 </w:t>
      </w:r>
      <w:r w:rsidR="00AE0474" w:rsidRPr="00C57630">
        <w:t>the total number of experts involved in IPBES since the start of the implementation of the first work programme</w:t>
      </w:r>
      <w:r w:rsidR="00EA450F" w:rsidRPr="00C57630">
        <w:t xml:space="preserve"> in 2014</w:t>
      </w:r>
      <w:r w:rsidR="00AE0474" w:rsidRPr="00C57630">
        <w:t xml:space="preserve">. A total of 22 </w:t>
      </w:r>
      <w:r w:rsidR="009F1E8A" w:rsidRPr="00C57630">
        <w:t xml:space="preserve">expert </w:t>
      </w:r>
      <w:r w:rsidR="00AE0474" w:rsidRPr="00C57630">
        <w:t>meetings were held over that same period.</w:t>
      </w:r>
      <w:r w:rsidR="00AE0474" w:rsidRPr="00C57630">
        <w:rPr>
          <w:vertAlign w:val="superscript"/>
        </w:rPr>
        <w:footnoteReference w:id="3"/>
      </w:r>
      <w:r w:rsidR="00AE0474" w:rsidRPr="00C57630">
        <w:t xml:space="preserve"> </w:t>
      </w:r>
      <w:r w:rsidR="009F7B52" w:rsidRPr="00C57630">
        <w:t xml:space="preserve">A set of </w:t>
      </w:r>
      <w:r w:rsidR="00AE0474" w:rsidRPr="00C57630">
        <w:t>12</w:t>
      </w:r>
      <w:r w:rsidR="009F7B52" w:rsidRPr="00C57630">
        <w:t xml:space="preserve"> technical support units continued to provide support to various deliverables</w:t>
      </w:r>
      <w:r w:rsidR="00AE0474" w:rsidRPr="00C57630">
        <w:t xml:space="preserve">. More information on </w:t>
      </w:r>
      <w:r w:rsidR="009F7B52" w:rsidRPr="00C57630">
        <w:t>technical support</w:t>
      </w:r>
      <w:r w:rsidR="00AE0474" w:rsidRPr="00C57630">
        <w:t xml:space="preserve"> </w:t>
      </w:r>
      <w:r w:rsidR="00871761" w:rsidRPr="00C57630">
        <w:t>f</w:t>
      </w:r>
      <w:r w:rsidR="009F1E8A" w:rsidRPr="00C57630">
        <w:t>o</w:t>
      </w:r>
      <w:r w:rsidR="00871761" w:rsidRPr="00C57630">
        <w:t>r</w:t>
      </w:r>
      <w:r w:rsidR="009F1E8A" w:rsidRPr="00C57630">
        <w:t xml:space="preserve"> the implementation of the work programme </w:t>
      </w:r>
      <w:r w:rsidR="00AE0474" w:rsidRPr="00C57630">
        <w:t xml:space="preserve">is set out in </w:t>
      </w:r>
      <w:r w:rsidR="00196227" w:rsidRPr="00C57630">
        <w:t xml:space="preserve">background </w:t>
      </w:r>
      <w:r w:rsidR="00AE0474" w:rsidRPr="00C57630">
        <w:t xml:space="preserve">document </w:t>
      </w:r>
      <w:r w:rsidR="00AE0474" w:rsidRPr="00D44EFF">
        <w:t>IPBES/</w:t>
      </w:r>
      <w:r w:rsidR="00416CE0" w:rsidRPr="00D44EFF">
        <w:t>6</w:t>
      </w:r>
      <w:r w:rsidR="00AE0474" w:rsidRPr="00D44EFF">
        <w:t>/INF/</w:t>
      </w:r>
      <w:r w:rsidR="00D44EFF">
        <w:t>20</w:t>
      </w:r>
      <w:r w:rsidR="00AE0474" w:rsidRPr="00C57630">
        <w:t xml:space="preserve">. </w:t>
      </w:r>
    </w:p>
    <w:bookmarkEnd w:id="2"/>
    <w:p w14:paraId="54F79191" w14:textId="7754BC93" w:rsidR="00AE0474" w:rsidRPr="00C57630" w:rsidRDefault="00AE0474" w:rsidP="00AE0474">
      <w:pPr>
        <w:pStyle w:val="Normalnumber"/>
        <w:keepNext/>
        <w:keepLines/>
        <w:numPr>
          <w:ilvl w:val="0"/>
          <w:numId w:val="3"/>
        </w:numPr>
        <w:tabs>
          <w:tab w:val="clear" w:pos="1247"/>
          <w:tab w:val="clear" w:pos="1814"/>
          <w:tab w:val="clear" w:pos="2381"/>
          <w:tab w:val="clear" w:pos="2948"/>
          <w:tab w:val="clear" w:pos="3515"/>
        </w:tabs>
      </w:pPr>
      <w:r w:rsidRPr="00C57630">
        <w:t xml:space="preserve">The </w:t>
      </w:r>
      <w:r w:rsidRPr="007764DF">
        <w:t>following paragraphs set</w:t>
      </w:r>
      <w:r w:rsidRPr="00C57630">
        <w:t xml:space="preserve"> out information on progress made under each objective of the first work programme of IPBES.</w:t>
      </w:r>
    </w:p>
    <w:p w14:paraId="45D98252" w14:textId="4C20C3DD" w:rsidR="00AE0474" w:rsidRPr="00C57630" w:rsidRDefault="00AE0474" w:rsidP="00D86FBA">
      <w:pPr>
        <w:pStyle w:val="CH2"/>
        <w:tabs>
          <w:tab w:val="clear" w:pos="624"/>
          <w:tab w:val="left" w:pos="4082"/>
        </w:tabs>
        <w:spacing w:before="80"/>
        <w:ind w:left="1247" w:hanging="1247"/>
        <w:rPr>
          <w:rFonts w:eastAsia="Times New Roman"/>
          <w:lang w:eastAsia="en-US"/>
        </w:rPr>
      </w:pPr>
      <w:r w:rsidRPr="00C57630">
        <w:rPr>
          <w:rFonts w:eastAsia="Times New Roman"/>
          <w:lang w:eastAsia="en-US"/>
        </w:rPr>
        <w:tab/>
      </w:r>
      <w:bookmarkStart w:id="3" w:name="_Hlk498356154"/>
      <w:r w:rsidR="00150BD8" w:rsidRPr="00C57630">
        <w:rPr>
          <w:rFonts w:eastAsia="Times New Roman"/>
          <w:lang w:eastAsia="en-US"/>
        </w:rPr>
        <w:t>A.</w:t>
      </w:r>
      <w:r w:rsidR="00150BD8" w:rsidRPr="00C57630">
        <w:rPr>
          <w:rFonts w:eastAsia="Times New Roman"/>
          <w:lang w:eastAsia="en-US"/>
        </w:rPr>
        <w:tab/>
      </w:r>
      <w:r w:rsidRPr="00C57630">
        <w:rPr>
          <w:rFonts w:eastAsia="Times New Roman"/>
          <w:lang w:eastAsia="en-US"/>
        </w:rPr>
        <w:t>Objective 1</w:t>
      </w:r>
      <w:r w:rsidR="00871761" w:rsidRPr="00C57630">
        <w:rPr>
          <w:rFonts w:eastAsia="Times New Roman"/>
          <w:lang w:eastAsia="en-US"/>
        </w:rPr>
        <w:t xml:space="preserve">: </w:t>
      </w:r>
      <w:r w:rsidRPr="00C57630">
        <w:rPr>
          <w:rFonts w:eastAsia="Times New Roman"/>
          <w:lang w:eastAsia="en-US"/>
        </w:rPr>
        <w:t xml:space="preserve">Strengthen the capacity and knowledge foundations of the </w:t>
      </w:r>
      <w:r w:rsidR="009B371F" w:rsidRPr="00C57630">
        <w:rPr>
          <w:rFonts w:eastAsia="Times New Roman"/>
          <w:lang w:eastAsia="en-US"/>
        </w:rPr>
        <w:br/>
      </w:r>
      <w:r w:rsidRPr="00C57630">
        <w:rPr>
          <w:rFonts w:eastAsia="Times New Roman"/>
          <w:lang w:eastAsia="en-US"/>
        </w:rPr>
        <w:t>science-policy interface to implement key functions of the Platform</w:t>
      </w:r>
    </w:p>
    <w:p w14:paraId="44696259" w14:textId="3C475A7C"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 xml:space="preserve">Three task forces with technical support units were established in 2014 </w:t>
      </w:r>
      <w:r w:rsidR="009F1E8A" w:rsidRPr="00C57630">
        <w:t>as part</w:t>
      </w:r>
      <w:r w:rsidRPr="00C57630">
        <w:t xml:space="preserve"> of the first work programme. In 201</w:t>
      </w:r>
      <w:r w:rsidR="00EF3F11" w:rsidRPr="00C57630">
        <w:t>7</w:t>
      </w:r>
      <w:r w:rsidRPr="00C57630">
        <w:t>, progress was achieved in the following areas:</w:t>
      </w:r>
    </w:p>
    <w:p w14:paraId="19EED304" w14:textId="7C3971A3" w:rsidR="00AE0474" w:rsidRPr="00C57630" w:rsidRDefault="00AE0474" w:rsidP="005E638B">
      <w:pPr>
        <w:pStyle w:val="Normalnumber"/>
        <w:numPr>
          <w:ilvl w:val="1"/>
          <w:numId w:val="3"/>
        </w:numPr>
        <w:tabs>
          <w:tab w:val="clear" w:pos="1247"/>
          <w:tab w:val="clear" w:pos="1814"/>
          <w:tab w:val="clear" w:pos="2381"/>
          <w:tab w:val="clear" w:pos="2948"/>
          <w:tab w:val="clear" w:pos="3515"/>
          <w:tab w:val="left" w:pos="624"/>
        </w:tabs>
        <w:ind w:firstLine="624"/>
      </w:pPr>
      <w:bookmarkStart w:id="4" w:name="_Hlk498355465"/>
      <w:bookmarkEnd w:id="3"/>
      <w:r w:rsidRPr="00C57630">
        <w:t xml:space="preserve">The task force on capacity-building (deliverables 1 (a) and (b)) </w:t>
      </w:r>
      <w:r w:rsidR="002B5CD0" w:rsidRPr="00C57630">
        <w:t>made progress in the</w:t>
      </w:r>
      <w:r w:rsidR="00D23E67" w:rsidRPr="00C57630">
        <w:t xml:space="preserve"> </w:t>
      </w:r>
      <w:r w:rsidR="00877838" w:rsidRPr="00C57630">
        <w:t>implement</w:t>
      </w:r>
      <w:r w:rsidR="002B5CD0" w:rsidRPr="00C57630">
        <w:t>ation,</w:t>
      </w:r>
      <w:r w:rsidR="00877838" w:rsidRPr="00C57630">
        <w:t xml:space="preserve"> </w:t>
      </w:r>
      <w:r w:rsidR="000C18EE" w:rsidRPr="00C57630">
        <w:t>together with partners</w:t>
      </w:r>
      <w:r w:rsidR="002B5CD0" w:rsidRPr="00C57630">
        <w:t>, of</w:t>
      </w:r>
      <w:r w:rsidR="000C18EE" w:rsidRPr="00C57630">
        <w:t xml:space="preserve"> </w:t>
      </w:r>
      <w:r w:rsidR="00877838" w:rsidRPr="00C57630">
        <w:t>the capacity-building rolling plan</w:t>
      </w:r>
      <w:r w:rsidRPr="00C57630">
        <w:t xml:space="preserve"> </w:t>
      </w:r>
      <w:r w:rsidR="006E2855" w:rsidRPr="00C57630">
        <w:t>as requested</w:t>
      </w:r>
      <w:r w:rsidRPr="00C57630">
        <w:t xml:space="preserve"> in decision IPBES-</w:t>
      </w:r>
      <w:r w:rsidR="00C24FF8" w:rsidRPr="00C57630">
        <w:t>5</w:t>
      </w:r>
      <w:r w:rsidRPr="00C57630">
        <w:t>/1</w:t>
      </w:r>
      <w:r w:rsidR="002B5CD0" w:rsidRPr="00C57630">
        <w:t>, section II</w:t>
      </w:r>
      <w:r w:rsidR="003D23BA" w:rsidRPr="00C57630">
        <w:t xml:space="preserve">. </w:t>
      </w:r>
      <w:r w:rsidR="0004705A" w:rsidRPr="00C57630">
        <w:t xml:space="preserve">The task force met in April 2017 in </w:t>
      </w:r>
      <w:r w:rsidR="001C6C9B" w:rsidRPr="00C57630">
        <w:t xml:space="preserve">Norway. </w:t>
      </w:r>
      <w:r w:rsidR="003D23BA" w:rsidRPr="00C57630">
        <w:t>T</w:t>
      </w:r>
      <w:r w:rsidR="006E2855" w:rsidRPr="00C57630">
        <w:t>he IPBES fellowship programme</w:t>
      </w:r>
      <w:r w:rsidR="003D23BA" w:rsidRPr="00C57630">
        <w:t xml:space="preserve"> continued to be implemented, with</w:t>
      </w:r>
      <w:r w:rsidRPr="00C57630">
        <w:t xml:space="preserve"> 4</w:t>
      </w:r>
      <w:r w:rsidR="003D23BA" w:rsidRPr="00C57630">
        <w:t>9 fellows from 37 countries</w:t>
      </w:r>
      <w:r w:rsidRPr="00C57630">
        <w:t xml:space="preserve">. In the context of the </w:t>
      </w:r>
      <w:r w:rsidR="00743A99" w:rsidRPr="00C57630">
        <w:t xml:space="preserve">IPBES </w:t>
      </w:r>
      <w:r w:rsidRPr="00C57630">
        <w:t xml:space="preserve">training </w:t>
      </w:r>
      <w:r w:rsidR="00743A99" w:rsidRPr="00C57630">
        <w:t>and familiarization</w:t>
      </w:r>
      <w:r w:rsidRPr="00C57630">
        <w:t xml:space="preserve"> programme, </w:t>
      </w:r>
      <w:r w:rsidR="00743A99" w:rsidRPr="00C57630">
        <w:t xml:space="preserve">three writing workshops were held </w:t>
      </w:r>
      <w:r w:rsidR="002B5CD0" w:rsidRPr="00C57630">
        <w:t xml:space="preserve">in </w:t>
      </w:r>
      <w:r w:rsidR="00871761" w:rsidRPr="00C57630">
        <w:t>Norway</w:t>
      </w:r>
      <w:r w:rsidR="002B5CD0" w:rsidRPr="00C57630">
        <w:t xml:space="preserve">, South Africa and </w:t>
      </w:r>
      <w:r w:rsidR="00871761" w:rsidRPr="00C57630">
        <w:t xml:space="preserve">Turkey, with a view </w:t>
      </w:r>
      <w:r w:rsidR="00743A99" w:rsidRPr="00C57630">
        <w:t>to further build</w:t>
      </w:r>
      <w:r w:rsidR="00871761" w:rsidRPr="00C57630">
        <w:t>ing</w:t>
      </w:r>
      <w:r w:rsidR="00743A99" w:rsidRPr="00C57630">
        <w:t xml:space="preserve"> </w:t>
      </w:r>
      <w:r w:rsidR="00655054" w:rsidRPr="00C57630">
        <w:t xml:space="preserve">the </w:t>
      </w:r>
      <w:r w:rsidR="00743A99" w:rsidRPr="00C57630">
        <w:t xml:space="preserve">capacity </w:t>
      </w:r>
      <w:r w:rsidR="00655054" w:rsidRPr="00C57630">
        <w:t xml:space="preserve">of IPBES experts </w:t>
      </w:r>
      <w:r w:rsidR="00743A99" w:rsidRPr="00C57630">
        <w:t>to draft ch</w:t>
      </w:r>
      <w:r w:rsidR="00871761" w:rsidRPr="00C57630">
        <w:t>apters and summaries for policy</w:t>
      </w:r>
      <w:r w:rsidR="00743A99" w:rsidRPr="00C57630">
        <w:t>makers</w:t>
      </w:r>
      <w:r w:rsidR="003D23BA" w:rsidRPr="00C57630">
        <w:t xml:space="preserve">. In addition, </w:t>
      </w:r>
      <w:r w:rsidR="00743A99" w:rsidRPr="00C57630">
        <w:t>four regional dialogue meetings</w:t>
      </w:r>
      <w:r w:rsidR="003D23BA" w:rsidRPr="00C57630">
        <w:t xml:space="preserve"> were held</w:t>
      </w:r>
      <w:r w:rsidR="004D36D5" w:rsidRPr="00C57630">
        <w:t xml:space="preserve"> in </w:t>
      </w:r>
      <w:r w:rsidR="00871761" w:rsidRPr="00C57630">
        <w:t xml:space="preserve">Colombia, Ethiopia, </w:t>
      </w:r>
      <w:r w:rsidR="004D36D5" w:rsidRPr="00C57630">
        <w:t>Hungary</w:t>
      </w:r>
      <w:r w:rsidR="00871761" w:rsidRPr="00C57630">
        <w:t xml:space="preserve"> and</w:t>
      </w:r>
      <w:r w:rsidR="004D36D5" w:rsidRPr="00C57630">
        <w:t xml:space="preserve"> Japan</w:t>
      </w:r>
      <w:r w:rsidR="00871761" w:rsidRPr="00C57630">
        <w:t xml:space="preserve"> between</w:t>
      </w:r>
      <w:r w:rsidR="004D36D5" w:rsidRPr="00C57630">
        <w:t xml:space="preserve"> </w:t>
      </w:r>
      <w:r w:rsidR="00B74529" w:rsidRPr="00C57630">
        <w:t>J</w:t>
      </w:r>
      <w:r w:rsidR="004D36D5" w:rsidRPr="00C57630">
        <w:t xml:space="preserve">une </w:t>
      </w:r>
      <w:r w:rsidR="00871761" w:rsidRPr="00C57630">
        <w:t xml:space="preserve">and </w:t>
      </w:r>
      <w:r w:rsidR="004D36D5" w:rsidRPr="00C57630">
        <w:t>August 2017</w:t>
      </w:r>
      <w:r w:rsidR="003D23BA" w:rsidRPr="00C57630">
        <w:t>,</w:t>
      </w:r>
      <w:r w:rsidR="00655054" w:rsidRPr="00C57630">
        <w:t xml:space="preserve"> </w:t>
      </w:r>
      <w:r w:rsidR="005E638B" w:rsidRPr="00C57630">
        <w:t xml:space="preserve">attended by a total of 76 IPBES national focal points, </w:t>
      </w:r>
      <w:r w:rsidR="00EA450F" w:rsidRPr="00C57630">
        <w:t xml:space="preserve">to enhance members’ </w:t>
      </w:r>
      <w:r w:rsidR="005E638B" w:rsidRPr="00C57630">
        <w:t xml:space="preserve">contributions to the finalization of the regional assessments. </w:t>
      </w:r>
      <w:r w:rsidR="00AA2B05" w:rsidRPr="00C57630">
        <w:t>T</w:t>
      </w:r>
      <w:r w:rsidR="00655054" w:rsidRPr="00C57630">
        <w:t xml:space="preserve">he Bureau, </w:t>
      </w:r>
      <w:r w:rsidR="00871761" w:rsidRPr="00C57630">
        <w:t>acting on the advice</w:t>
      </w:r>
      <w:r w:rsidR="00655054" w:rsidRPr="00C57630">
        <w:t xml:space="preserve"> </w:t>
      </w:r>
      <w:r w:rsidR="00871761" w:rsidRPr="00C57630">
        <w:t>of</w:t>
      </w:r>
      <w:r w:rsidR="00655054" w:rsidRPr="00C57630">
        <w:t xml:space="preserve"> the task force, recommends</w:t>
      </w:r>
      <w:r w:rsidR="003D23BA" w:rsidRPr="00C57630">
        <w:t xml:space="preserve"> holding a third meeting of the </w:t>
      </w:r>
      <w:r w:rsidR="00AA2B05" w:rsidRPr="00C57630">
        <w:t xml:space="preserve">IPBES capacity-building </w:t>
      </w:r>
      <w:r w:rsidR="00871761" w:rsidRPr="00C57630">
        <w:t xml:space="preserve">forum, in late 2018, </w:t>
      </w:r>
      <w:r w:rsidR="004858B8">
        <w:br/>
      </w:r>
      <w:r w:rsidR="00871761" w:rsidRPr="00C57630">
        <w:t>back-to-</w:t>
      </w:r>
      <w:r w:rsidR="003D23BA" w:rsidRPr="00C57630">
        <w:t>back with the annual meeting of the capacity-building task force</w:t>
      </w:r>
      <w:r w:rsidR="00AA2B05" w:rsidRPr="00C57630">
        <w:t>. The forum</w:t>
      </w:r>
      <w:r w:rsidR="002B5CD0" w:rsidRPr="00C57630">
        <w:t xml:space="preserve"> </w:t>
      </w:r>
      <w:r w:rsidR="00871761" w:rsidRPr="00C57630">
        <w:t xml:space="preserve">meeting </w:t>
      </w:r>
      <w:r w:rsidR="002B5CD0" w:rsidRPr="00C57630">
        <w:t>in 2018</w:t>
      </w:r>
      <w:r w:rsidR="00AA2B05" w:rsidRPr="00C57630">
        <w:t xml:space="preserve"> w</w:t>
      </w:r>
      <w:r w:rsidR="002B5CD0" w:rsidRPr="00C57630">
        <w:t>ould</w:t>
      </w:r>
      <w:r w:rsidR="00AA2B05" w:rsidRPr="00C57630">
        <w:t xml:space="preserve"> </w:t>
      </w:r>
      <w:r w:rsidR="00871761" w:rsidRPr="00C57630">
        <w:t xml:space="preserve">provide an opportunity </w:t>
      </w:r>
      <w:r w:rsidR="00AA2B05" w:rsidRPr="00C57630">
        <w:t xml:space="preserve">to advance cooperation with </w:t>
      </w:r>
      <w:r w:rsidR="003D23BA" w:rsidRPr="00C57630">
        <w:t>representatives of current</w:t>
      </w:r>
      <w:r w:rsidR="00AA2B05" w:rsidRPr="00C57630">
        <w:t xml:space="preserve"> and new</w:t>
      </w:r>
      <w:r w:rsidR="003D23BA" w:rsidRPr="00C57630">
        <w:t xml:space="preserve"> </w:t>
      </w:r>
      <w:r w:rsidR="00AA2B05" w:rsidRPr="00C57630">
        <w:t xml:space="preserve">partners, including those </w:t>
      </w:r>
      <w:r w:rsidR="003D23BA" w:rsidRPr="00C57630">
        <w:t xml:space="preserve">related to indigenous and local knowledge, and knowledge and data. </w:t>
      </w:r>
      <w:r w:rsidR="00CD6BB2" w:rsidRPr="00C57630">
        <w:t>The work</w:t>
      </w:r>
      <w:r w:rsidR="002B5CD0" w:rsidRPr="00C57630">
        <w:t xml:space="preserve"> of the task force</w:t>
      </w:r>
      <w:r w:rsidR="00EA450F" w:rsidRPr="00C57630">
        <w:t xml:space="preserve"> </w:t>
      </w:r>
      <w:r w:rsidR="00CD6BB2" w:rsidRPr="00C57630">
        <w:t xml:space="preserve">continued to be supported by the technical support unit based at the Norwegian Environment Agency in Trondheim, Norway, thanks to </w:t>
      </w:r>
      <w:r w:rsidR="00CD6BB2" w:rsidRPr="0040402B">
        <w:t>in-kind support from Norway</w:t>
      </w:r>
      <w:r w:rsidR="00CD6BB2" w:rsidRPr="00C57630">
        <w:t xml:space="preserve">. </w:t>
      </w:r>
      <w:r w:rsidR="001D49DB" w:rsidRPr="00C57630">
        <w:t>A</w:t>
      </w:r>
      <w:r w:rsidR="005E638B" w:rsidRPr="00C57630">
        <w:t xml:space="preserve">dditional information on progress regarding work on capacity-building, </w:t>
      </w:r>
      <w:r w:rsidR="001D49DB" w:rsidRPr="00C57630">
        <w:t>is</w:t>
      </w:r>
      <w:r w:rsidR="003D23BA" w:rsidRPr="00C57630">
        <w:t xml:space="preserve"> prese</w:t>
      </w:r>
      <w:r w:rsidR="005E638B" w:rsidRPr="00C57630">
        <w:t xml:space="preserve">nted in </w:t>
      </w:r>
      <w:r w:rsidR="00196227" w:rsidRPr="00C57630">
        <w:t xml:space="preserve">background document </w:t>
      </w:r>
      <w:r w:rsidR="005E638B" w:rsidRPr="003952A5">
        <w:t>IPBES/6/INF/12</w:t>
      </w:r>
      <w:r w:rsidRPr="00C57630">
        <w:t>;</w:t>
      </w:r>
    </w:p>
    <w:p w14:paraId="39091467" w14:textId="524DAE82" w:rsidR="0000470C" w:rsidRPr="00C57630" w:rsidRDefault="0000470C" w:rsidP="0000470C">
      <w:pPr>
        <w:pStyle w:val="Normalnumber"/>
        <w:numPr>
          <w:ilvl w:val="1"/>
          <w:numId w:val="3"/>
        </w:numPr>
        <w:tabs>
          <w:tab w:val="left" w:pos="624"/>
        </w:tabs>
        <w:ind w:firstLine="624"/>
      </w:pPr>
      <w:bookmarkStart w:id="5" w:name="_Hlk499031761"/>
      <w:bookmarkEnd w:id="4"/>
      <w:r w:rsidRPr="00C57630">
        <w:t xml:space="preserve">The task force </w:t>
      </w:r>
      <w:r w:rsidRPr="00EE020D">
        <w:t>on indigenous and</w:t>
      </w:r>
      <w:r w:rsidRPr="00C57630">
        <w:t xml:space="preserve"> local knowledge systems (deliverable 1 (c)) supported the implementation by the Multidisciplinary Expert Panel of the approach to recognizing and working with indigenous and local knowledge </w:t>
      </w:r>
      <w:r w:rsidR="001C6C9B" w:rsidRPr="00C57630">
        <w:t>in response to the request in</w:t>
      </w:r>
      <w:r w:rsidRPr="00C57630">
        <w:t xml:space="preserve"> decision IPBES-5/1</w:t>
      </w:r>
      <w:r w:rsidR="001C6C9B" w:rsidRPr="00C57630">
        <w:t>, section III</w:t>
      </w:r>
      <w:r w:rsidRPr="00C57630">
        <w:t xml:space="preserve">. </w:t>
      </w:r>
      <w:r w:rsidR="004D36D5" w:rsidRPr="00C57630">
        <w:t xml:space="preserve">The task force met in Colombia in May 2017. </w:t>
      </w:r>
      <w:r w:rsidRPr="00C57630">
        <w:t xml:space="preserve">Implementation of the approach in the context of the global assessment included </w:t>
      </w:r>
      <w:r w:rsidR="009F56D6" w:rsidRPr="00C57630">
        <w:t>the convening of the indigenous and</w:t>
      </w:r>
      <w:r w:rsidR="0042760E">
        <w:t xml:space="preserve"> local</w:t>
      </w:r>
      <w:r w:rsidR="009F56D6" w:rsidRPr="00C57630">
        <w:t xml:space="preserve"> knowledge liaison group of the global assessment in</w:t>
      </w:r>
      <w:r w:rsidR="005A3CE8" w:rsidRPr="00C57630">
        <w:t xml:space="preserve"> Hungary in April 2017</w:t>
      </w:r>
      <w:r w:rsidR="00883121" w:rsidRPr="00C57630">
        <w:t>;</w:t>
      </w:r>
      <w:r w:rsidR="00C72456" w:rsidRPr="00C57630">
        <w:t xml:space="preserve"> a </w:t>
      </w:r>
      <w:r w:rsidRPr="00C57630">
        <w:t>call for contributions on indigenous and local knowledge</w:t>
      </w:r>
      <w:r w:rsidR="00883121" w:rsidRPr="00C57630">
        <w:t>;</w:t>
      </w:r>
      <w:r w:rsidRPr="00C57630">
        <w:t xml:space="preserve"> </w:t>
      </w:r>
      <w:r w:rsidR="006501D4">
        <w:t xml:space="preserve">and </w:t>
      </w:r>
      <w:r w:rsidR="00C62154" w:rsidRPr="00C57630">
        <w:lastRenderedPageBreak/>
        <w:t xml:space="preserve">dialogue meetings between experts of the global assessment </w:t>
      </w:r>
      <w:r w:rsidR="001C6C9B" w:rsidRPr="00C57630">
        <w:t xml:space="preserve">and </w:t>
      </w:r>
      <w:r w:rsidR="00C62154" w:rsidRPr="00C57630">
        <w:t>rep</w:t>
      </w:r>
      <w:r w:rsidR="00871761" w:rsidRPr="00C57630">
        <w:t>resentative networks and organiz</w:t>
      </w:r>
      <w:r w:rsidR="00C62154" w:rsidRPr="00C57630">
        <w:t>ations of indigenous people</w:t>
      </w:r>
      <w:r w:rsidR="001C6C9B" w:rsidRPr="00C57630">
        <w:t>s</w:t>
      </w:r>
      <w:r w:rsidR="00C62154" w:rsidRPr="00C57630">
        <w:t xml:space="preserve"> and </w:t>
      </w:r>
      <w:r w:rsidR="00C62154" w:rsidRPr="003C4C06">
        <w:t>local communities</w:t>
      </w:r>
      <w:r w:rsidR="00C62154" w:rsidRPr="00C57630">
        <w:t xml:space="preserve"> and indigenous and local knowledge experts at the </w:t>
      </w:r>
      <w:r w:rsidR="00871761" w:rsidRPr="00C57630">
        <w:t xml:space="preserve">sixteenth session of the </w:t>
      </w:r>
      <w:r w:rsidR="00C62154" w:rsidRPr="00C57630">
        <w:t xml:space="preserve">United Nations </w:t>
      </w:r>
      <w:r w:rsidR="001C6C9B" w:rsidRPr="00C57630">
        <w:t>P</w:t>
      </w:r>
      <w:r w:rsidR="00C62154" w:rsidRPr="00C57630">
        <w:t xml:space="preserve">ermanent </w:t>
      </w:r>
      <w:r w:rsidR="001C6C9B" w:rsidRPr="00C57630">
        <w:t>F</w:t>
      </w:r>
      <w:r w:rsidR="00C62154" w:rsidRPr="00C57630">
        <w:t xml:space="preserve">orum on </w:t>
      </w:r>
      <w:r w:rsidR="001C6C9B" w:rsidRPr="00C57630">
        <w:t>I</w:t>
      </w:r>
      <w:r w:rsidR="00C62154" w:rsidRPr="00C57630">
        <w:t xml:space="preserve">ndigenous </w:t>
      </w:r>
      <w:r w:rsidR="001C6C9B" w:rsidRPr="00C57630">
        <w:t>I</w:t>
      </w:r>
      <w:r w:rsidR="00C62154" w:rsidRPr="00C57630">
        <w:t>ssues</w:t>
      </w:r>
      <w:r w:rsidR="00871761" w:rsidRPr="00C57630">
        <w:t xml:space="preserve">, </w:t>
      </w:r>
      <w:r w:rsidR="007852F3" w:rsidRPr="00C57630">
        <w:t xml:space="preserve">held </w:t>
      </w:r>
      <w:r w:rsidR="00E4755D" w:rsidRPr="00C57630">
        <w:t xml:space="preserve">in </w:t>
      </w:r>
      <w:r w:rsidR="00871761" w:rsidRPr="00C57630">
        <w:t xml:space="preserve">New York </w:t>
      </w:r>
      <w:r w:rsidR="00E4755D" w:rsidRPr="00C57630">
        <w:t xml:space="preserve">in </w:t>
      </w:r>
      <w:r w:rsidR="00871761" w:rsidRPr="00C57630">
        <w:t>April</w:t>
      </w:r>
      <w:r w:rsidR="007852F3" w:rsidRPr="00C57630">
        <w:t xml:space="preserve"> and </w:t>
      </w:r>
      <w:r w:rsidR="004858B8">
        <w:t>May </w:t>
      </w:r>
      <w:r w:rsidR="00E4755D" w:rsidRPr="00C57630">
        <w:t>2017</w:t>
      </w:r>
      <w:r w:rsidR="007852F3" w:rsidRPr="00C57630">
        <w:t xml:space="preserve">; </w:t>
      </w:r>
      <w:r w:rsidR="00C62154" w:rsidRPr="00C57630">
        <w:t xml:space="preserve">at the </w:t>
      </w:r>
      <w:r w:rsidR="001B46BB" w:rsidRPr="00C57630">
        <w:t xml:space="preserve">fortieth </w:t>
      </w:r>
      <w:r w:rsidR="001C6C9B" w:rsidRPr="00C57630">
        <w:t>a</w:t>
      </w:r>
      <w:r w:rsidR="00E4755D" w:rsidRPr="00C57630">
        <w:t>nnual c</w:t>
      </w:r>
      <w:r w:rsidR="00C62154" w:rsidRPr="00C57630">
        <w:t>onference</w:t>
      </w:r>
      <w:r w:rsidR="00E4755D" w:rsidRPr="00C57630">
        <w:t xml:space="preserve"> of the </w:t>
      </w:r>
      <w:r w:rsidR="001B46BB" w:rsidRPr="00C57630">
        <w:t>S</w:t>
      </w:r>
      <w:r w:rsidR="00E4755D" w:rsidRPr="00C57630">
        <w:t xml:space="preserve">ociety of </w:t>
      </w:r>
      <w:r w:rsidR="001B46BB" w:rsidRPr="00C57630">
        <w:t>E</w:t>
      </w:r>
      <w:r w:rsidR="00E4755D" w:rsidRPr="00C57630">
        <w:t>thnobiology</w:t>
      </w:r>
      <w:r w:rsidR="001B46BB" w:rsidRPr="00C57630">
        <w:t>,</w:t>
      </w:r>
      <w:r w:rsidR="00E4755D" w:rsidRPr="00C57630">
        <w:t xml:space="preserve"> </w:t>
      </w:r>
      <w:r w:rsidR="007852F3" w:rsidRPr="00C57630">
        <w:t xml:space="preserve">held </w:t>
      </w:r>
      <w:r w:rsidR="00E4755D" w:rsidRPr="00C57630">
        <w:t xml:space="preserve">in </w:t>
      </w:r>
      <w:r w:rsidR="001B46BB" w:rsidRPr="00C57630">
        <w:t xml:space="preserve">Montreal </w:t>
      </w:r>
      <w:r w:rsidR="00E4755D" w:rsidRPr="00C57630">
        <w:t xml:space="preserve">in </w:t>
      </w:r>
      <w:r w:rsidR="00C62154" w:rsidRPr="00C57630">
        <w:t>May 201</w:t>
      </w:r>
      <w:r w:rsidR="00E4755D" w:rsidRPr="00C57630">
        <w:t>7</w:t>
      </w:r>
      <w:r w:rsidR="007852F3" w:rsidRPr="00C57630">
        <w:t xml:space="preserve">; </w:t>
      </w:r>
      <w:r w:rsidR="00E4755D" w:rsidRPr="00C57630">
        <w:t xml:space="preserve">at the </w:t>
      </w:r>
      <w:r w:rsidR="001B46BB" w:rsidRPr="00C57630">
        <w:t>Global Dialogue on Human Rights and Biodiversity C</w:t>
      </w:r>
      <w:r w:rsidR="00E4755D" w:rsidRPr="00C57630">
        <w:t>onservation</w:t>
      </w:r>
      <w:r w:rsidR="001B46BB" w:rsidRPr="00C57630">
        <w:t xml:space="preserve">, co-organized </w:t>
      </w:r>
      <w:r w:rsidR="00D7210B" w:rsidRPr="00C57630">
        <w:t xml:space="preserve">by SwedBio, </w:t>
      </w:r>
      <w:r w:rsidR="00150BD8" w:rsidRPr="00C57630">
        <w:t xml:space="preserve">the Forest Peoples Programme, </w:t>
      </w:r>
      <w:r w:rsidR="00D7210B" w:rsidRPr="00C57630">
        <w:t>Natural Justice</w:t>
      </w:r>
      <w:r w:rsidR="00150BD8" w:rsidRPr="00C57630">
        <w:t xml:space="preserve"> and the Thematic Group on G</w:t>
      </w:r>
      <w:r w:rsidR="00883121" w:rsidRPr="00C57630">
        <w:t xml:space="preserve">overnance, </w:t>
      </w:r>
      <w:r w:rsidR="00150BD8" w:rsidRPr="00C57630">
        <w:t>Equity and R</w:t>
      </w:r>
      <w:r w:rsidR="00883121" w:rsidRPr="00C57630">
        <w:t>ights of the</w:t>
      </w:r>
      <w:r w:rsidR="00FE51C6">
        <w:t xml:space="preserve"> </w:t>
      </w:r>
      <w:r w:rsidR="00150BD8" w:rsidRPr="00C57630">
        <w:t>Commission on Environmental, Economic and Social P</w:t>
      </w:r>
      <w:r w:rsidR="00883121" w:rsidRPr="00C57630">
        <w:t xml:space="preserve">olicy </w:t>
      </w:r>
      <w:r w:rsidR="00FF21C7" w:rsidRPr="00C57630">
        <w:t>of the International U</w:t>
      </w:r>
      <w:r w:rsidR="00883121" w:rsidRPr="00C57630">
        <w:t xml:space="preserve">nion for </w:t>
      </w:r>
      <w:r w:rsidR="00FF21C7" w:rsidRPr="00C57630">
        <w:t>Conservation of N</w:t>
      </w:r>
      <w:r w:rsidR="00883121" w:rsidRPr="00C57630">
        <w:t>ature</w:t>
      </w:r>
      <w:r w:rsidR="00E6268A" w:rsidRPr="00C57630">
        <w:t xml:space="preserve"> (IUCN)</w:t>
      </w:r>
      <w:r w:rsidR="00D7210B" w:rsidRPr="00C57630">
        <w:t>,</w:t>
      </w:r>
      <w:r w:rsidR="00883121" w:rsidRPr="00C57630">
        <w:t xml:space="preserve"> </w:t>
      </w:r>
      <w:r w:rsidR="00150BD8" w:rsidRPr="00C57630">
        <w:t xml:space="preserve">hosted by the </w:t>
      </w:r>
      <w:r w:rsidR="00D7210B" w:rsidRPr="00C57630">
        <w:t>Chepkitale Indigenous Peoples</w:t>
      </w:r>
      <w:r w:rsidR="0084174A">
        <w:t>’</w:t>
      </w:r>
      <w:r w:rsidR="00D7210B" w:rsidRPr="00C57630">
        <w:t xml:space="preserve"> Development Project</w:t>
      </w:r>
      <w:r w:rsidR="00883121" w:rsidRPr="00C57630">
        <w:t>,</w:t>
      </w:r>
      <w:r w:rsidR="007852F3" w:rsidRPr="00C57630">
        <w:t xml:space="preserve"> held</w:t>
      </w:r>
      <w:r w:rsidR="00D7210B" w:rsidRPr="00C57630">
        <w:t xml:space="preserve"> </w:t>
      </w:r>
      <w:r w:rsidR="00E4755D" w:rsidRPr="00C57630">
        <w:t>in Kenya in November 2017</w:t>
      </w:r>
      <w:r w:rsidR="007852F3" w:rsidRPr="00C57630">
        <w:t xml:space="preserve">; </w:t>
      </w:r>
      <w:r w:rsidR="004D36D5" w:rsidRPr="00C57630">
        <w:t xml:space="preserve">and </w:t>
      </w:r>
      <w:r w:rsidR="00E4755D" w:rsidRPr="006501D4">
        <w:t xml:space="preserve">at the </w:t>
      </w:r>
      <w:r w:rsidR="00150BD8" w:rsidRPr="006501D4">
        <w:t>tenth</w:t>
      </w:r>
      <w:r w:rsidR="00150BD8" w:rsidRPr="00C57630">
        <w:t xml:space="preserve"> </w:t>
      </w:r>
      <w:r w:rsidR="006879B6" w:rsidRPr="00C57630">
        <w:t>meeting</w:t>
      </w:r>
      <w:r w:rsidR="00150BD8" w:rsidRPr="00C57630">
        <w:t xml:space="preserve"> of the Ad Hoc O</w:t>
      </w:r>
      <w:r w:rsidR="00E4755D" w:rsidRPr="00C57630">
        <w:t xml:space="preserve">pen-ended </w:t>
      </w:r>
      <w:r w:rsidR="001C6C9B" w:rsidRPr="00C57630">
        <w:t>W</w:t>
      </w:r>
      <w:r w:rsidR="00E4755D" w:rsidRPr="00C57630">
        <w:t xml:space="preserve">orking </w:t>
      </w:r>
      <w:r w:rsidR="001C6C9B" w:rsidRPr="00C57630">
        <w:t>G</w:t>
      </w:r>
      <w:r w:rsidR="00E4755D" w:rsidRPr="00C57630">
        <w:t xml:space="preserve">roup on </w:t>
      </w:r>
      <w:r w:rsidR="001C6C9B" w:rsidRPr="00C57630">
        <w:t>A</w:t>
      </w:r>
      <w:r w:rsidR="00E4755D" w:rsidRPr="00C57630">
        <w:t xml:space="preserve">rticle 8 (j) and </w:t>
      </w:r>
      <w:r w:rsidR="001C6C9B" w:rsidRPr="00C57630">
        <w:t>R</w:t>
      </w:r>
      <w:r w:rsidR="00E4755D" w:rsidRPr="00C57630">
        <w:t xml:space="preserve">elated </w:t>
      </w:r>
      <w:r w:rsidR="001C6C9B" w:rsidRPr="00C57630">
        <w:t>P</w:t>
      </w:r>
      <w:r w:rsidR="00E4755D" w:rsidRPr="00C57630">
        <w:t>rovisions of the Convention on Biological Diversity</w:t>
      </w:r>
      <w:r w:rsidR="00150BD8" w:rsidRPr="00C57630">
        <w:t>,</w:t>
      </w:r>
      <w:r w:rsidR="00E4755D" w:rsidRPr="00C57630">
        <w:t xml:space="preserve"> </w:t>
      </w:r>
      <w:r w:rsidR="007852F3" w:rsidRPr="00C57630">
        <w:t xml:space="preserve">held </w:t>
      </w:r>
      <w:r w:rsidR="00E4755D" w:rsidRPr="00C57630">
        <w:t>in Canada in December 2017</w:t>
      </w:r>
      <w:r w:rsidR="00883121" w:rsidRPr="00C57630">
        <w:t>.</w:t>
      </w:r>
      <w:r w:rsidR="00E4755D" w:rsidRPr="00C57630">
        <w:t xml:space="preserve"> </w:t>
      </w:r>
      <w:r w:rsidR="00883121" w:rsidRPr="006501D4">
        <w:t>A</w:t>
      </w:r>
      <w:r w:rsidRPr="006501D4">
        <w:t>dditional events at meetings</w:t>
      </w:r>
      <w:r w:rsidRPr="00C57630">
        <w:t xml:space="preserve"> involving indigenous people</w:t>
      </w:r>
      <w:r w:rsidR="001C6C9B" w:rsidRPr="00C57630">
        <w:t>s</w:t>
      </w:r>
      <w:r w:rsidR="00150BD8" w:rsidRPr="00C57630">
        <w:t xml:space="preserve"> and local communities</w:t>
      </w:r>
      <w:r w:rsidRPr="00C57630">
        <w:t xml:space="preserve"> and </w:t>
      </w:r>
      <w:r w:rsidR="009F56D6" w:rsidRPr="00C57630">
        <w:t xml:space="preserve">at </w:t>
      </w:r>
      <w:r w:rsidRPr="00C57630">
        <w:t xml:space="preserve">scientific conferences </w:t>
      </w:r>
      <w:r w:rsidR="00E4755D" w:rsidRPr="00C57630">
        <w:t xml:space="preserve">were also held </w:t>
      </w:r>
      <w:r w:rsidRPr="00C57630">
        <w:t xml:space="preserve">to </w:t>
      </w:r>
      <w:r w:rsidR="00150BD8" w:rsidRPr="00C57630">
        <w:t xml:space="preserve">share </w:t>
      </w:r>
      <w:r w:rsidRPr="00C57630">
        <w:t>inform</w:t>
      </w:r>
      <w:r w:rsidR="00150BD8" w:rsidRPr="00C57630">
        <w:t>ation</w:t>
      </w:r>
      <w:r w:rsidRPr="00C57630">
        <w:t xml:space="preserve"> on the approach. The task force on indigenous and local knowledge systems also provided guidance on arrangements for the establishment of the participatory mechanism, and a participatory mechanism steering group is currently being established.</w:t>
      </w:r>
      <w:r w:rsidR="00CD6BB2" w:rsidRPr="00C57630">
        <w:t xml:space="preserve"> </w:t>
      </w:r>
      <w:r w:rsidR="00150BD8" w:rsidRPr="00C57630">
        <w:t>W</w:t>
      </w:r>
      <w:r w:rsidR="00CD6BB2" w:rsidRPr="00C57630">
        <w:t xml:space="preserve">ork </w:t>
      </w:r>
      <w:r w:rsidR="00150BD8" w:rsidRPr="00C57630">
        <w:t xml:space="preserve">in this area </w:t>
      </w:r>
      <w:r w:rsidR="00CD6BB2" w:rsidRPr="00C57630">
        <w:t xml:space="preserve">continued to be supported by the technical support unit based at </w:t>
      </w:r>
      <w:r w:rsidR="009F56D6" w:rsidRPr="00C57630">
        <w:t>the headquarters of the United Nations Educational, Scientific and Cultural Organization (UNESCO)</w:t>
      </w:r>
      <w:r w:rsidR="00CD6BB2" w:rsidRPr="00C57630">
        <w:t>, thanks to</w:t>
      </w:r>
      <w:r w:rsidR="00CF39B4" w:rsidRPr="00C57630">
        <w:t xml:space="preserve"> </w:t>
      </w:r>
      <w:r w:rsidR="00CD6BB2" w:rsidRPr="00C57630">
        <w:t>in-kind support from UNESCO.</w:t>
      </w:r>
      <w:r w:rsidRPr="00C57630">
        <w:t xml:space="preserve"> Additional information </w:t>
      </w:r>
      <w:r w:rsidR="00907E95" w:rsidRPr="00C57630">
        <w:t>may be found</w:t>
      </w:r>
      <w:r w:rsidRPr="00C57630">
        <w:t xml:space="preserve"> in</w:t>
      </w:r>
      <w:r w:rsidR="001C6C9B" w:rsidRPr="00C57630">
        <w:t xml:space="preserve"> </w:t>
      </w:r>
      <w:r w:rsidR="00196227" w:rsidRPr="00C57630">
        <w:t xml:space="preserve">the background </w:t>
      </w:r>
      <w:r w:rsidR="001C6C9B" w:rsidRPr="00C57630">
        <w:t>document</w:t>
      </w:r>
      <w:r w:rsidRPr="00C57630">
        <w:t xml:space="preserve"> </w:t>
      </w:r>
      <w:r w:rsidR="00196227" w:rsidRPr="00C57630">
        <w:t>on work related to indigenous and local knowledge (</w:t>
      </w:r>
      <w:r w:rsidRPr="000426D3">
        <w:t>IPBES/6/INF/13</w:t>
      </w:r>
      <w:r w:rsidR="00196227" w:rsidRPr="00C57630">
        <w:t>)</w:t>
      </w:r>
      <w:r w:rsidRPr="00C57630">
        <w:t>;</w:t>
      </w:r>
    </w:p>
    <w:p w14:paraId="04DC9486" w14:textId="150CBE6D" w:rsidR="00AE0474" w:rsidRPr="00C57630" w:rsidRDefault="00AE0474" w:rsidP="00281FCF">
      <w:pPr>
        <w:pStyle w:val="Normalnumber"/>
        <w:numPr>
          <w:ilvl w:val="1"/>
          <w:numId w:val="3"/>
        </w:numPr>
        <w:tabs>
          <w:tab w:val="clear" w:pos="1247"/>
          <w:tab w:val="clear" w:pos="1814"/>
          <w:tab w:val="clear" w:pos="2381"/>
          <w:tab w:val="clear" w:pos="2948"/>
          <w:tab w:val="clear" w:pos="3515"/>
          <w:tab w:val="left" w:pos="624"/>
        </w:tabs>
      </w:pPr>
      <w:r w:rsidRPr="00C57630">
        <w:t xml:space="preserve">The task force on knowledge and data (deliverables 1 (d) and 4 (b)) continued to provide advice for </w:t>
      </w:r>
      <w:r w:rsidR="004007B5" w:rsidRPr="00C57630">
        <w:t>ongoing</w:t>
      </w:r>
      <w:r w:rsidRPr="00C57630">
        <w:t xml:space="preserve"> assessments</w:t>
      </w:r>
      <w:r w:rsidR="00150BD8" w:rsidRPr="00C57630">
        <w:t>,</w:t>
      </w:r>
      <w:r w:rsidRPr="00C57630">
        <w:t xml:space="preserve"> </w:t>
      </w:r>
      <w:r w:rsidR="00150BD8" w:rsidRPr="00C57630">
        <w:t>in accordance with</w:t>
      </w:r>
      <w:r w:rsidRPr="00C57630">
        <w:t xml:space="preserve"> </w:t>
      </w:r>
      <w:r w:rsidR="0000470C" w:rsidRPr="00C57630">
        <w:t>the outline workplan for the task force on knowledge and data for 2017 and 2018 set out in annex III to decision IPBES-5/1</w:t>
      </w:r>
      <w:r w:rsidRPr="00C57630">
        <w:t xml:space="preserve">. Highlights of the progress achieved in implementation include the provision of </w:t>
      </w:r>
      <w:r w:rsidR="00676C58" w:rsidRPr="00C57630">
        <w:t>visual</w:t>
      </w:r>
      <w:r w:rsidR="00907E95" w:rsidRPr="00C57630">
        <w:t xml:space="preserve"> material</w:t>
      </w:r>
      <w:r w:rsidR="00676C58" w:rsidRPr="00C57630">
        <w:t>s for the IPBES</w:t>
      </w:r>
      <w:r w:rsidRPr="00C57630">
        <w:t xml:space="preserve"> core set of indicators to experts for use in IPBES assessments</w:t>
      </w:r>
      <w:r w:rsidR="00676C58" w:rsidRPr="00C57630">
        <w:t>, and the initiation of an approach, including two work</w:t>
      </w:r>
      <w:r w:rsidR="00150BD8" w:rsidRPr="00C57630">
        <w:t xml:space="preserve">shops, to define sets of social and </w:t>
      </w:r>
      <w:r w:rsidR="00676C58" w:rsidRPr="00C57630">
        <w:t xml:space="preserve">ecological indicators </w:t>
      </w:r>
      <w:r w:rsidR="001C6C9B" w:rsidRPr="00C57630">
        <w:t xml:space="preserve">on major themes of </w:t>
      </w:r>
      <w:r w:rsidR="00676C58" w:rsidRPr="00C57630">
        <w:t>the global assessment</w:t>
      </w:r>
      <w:r w:rsidR="00150BD8" w:rsidRPr="00C57630">
        <w:t>,</w:t>
      </w:r>
      <w:r w:rsidR="004D36D5" w:rsidRPr="00C57630">
        <w:t xml:space="preserve"> held in Hungary in April 2017 and </w:t>
      </w:r>
      <w:r w:rsidR="00150BD8" w:rsidRPr="00C57630">
        <w:t xml:space="preserve">the </w:t>
      </w:r>
      <w:r w:rsidR="004D36D5" w:rsidRPr="00C57630">
        <w:t>Republic of Korea in December 2017</w:t>
      </w:r>
      <w:r w:rsidR="00676C58" w:rsidRPr="00C57630">
        <w:t>; the further development of the</w:t>
      </w:r>
      <w:r w:rsidRPr="00C57630">
        <w:t xml:space="preserve"> web-based infrastructure providing resources for experts performing assessments; and the </w:t>
      </w:r>
      <w:r w:rsidR="00676C58" w:rsidRPr="00C57630">
        <w:t>implementation of</w:t>
      </w:r>
      <w:r w:rsidRPr="00C57630">
        <w:t xml:space="preserve"> a process to identify knowledge gaps and to catalyse the generation of new knowledge</w:t>
      </w:r>
      <w:r w:rsidR="00676C58" w:rsidRPr="00C57630">
        <w:t xml:space="preserve">, beginning with a </w:t>
      </w:r>
      <w:r w:rsidR="00E716E4" w:rsidRPr="00C57630">
        <w:t xml:space="preserve">focus on the IPBES assessment of pollination, pollinators and food production and a </w:t>
      </w:r>
      <w:r w:rsidR="001D49DB" w:rsidRPr="00C57630">
        <w:t>workshop</w:t>
      </w:r>
      <w:r w:rsidR="00676C58" w:rsidRPr="00C57630">
        <w:t xml:space="preserve"> on </w:t>
      </w:r>
      <w:r w:rsidR="00E716E4" w:rsidRPr="00C57630">
        <w:t>that topic</w:t>
      </w:r>
      <w:r w:rsidR="00281FCF" w:rsidRPr="00C57630">
        <w:t xml:space="preserve"> (United Kingdom of Great Britain and Northern Ireland, November 2017)</w:t>
      </w:r>
      <w:r w:rsidRPr="00C57630">
        <w:t xml:space="preserve">. </w:t>
      </w:r>
      <w:r w:rsidR="00150BD8" w:rsidRPr="00C57630">
        <w:t>W</w:t>
      </w:r>
      <w:r w:rsidR="00CD6BB2" w:rsidRPr="00C57630">
        <w:t xml:space="preserve">ork </w:t>
      </w:r>
      <w:r w:rsidR="00150BD8" w:rsidRPr="00C57630">
        <w:t xml:space="preserve">in this area </w:t>
      </w:r>
      <w:r w:rsidR="00CD6BB2" w:rsidRPr="00C57630">
        <w:t>continued to be supported by the technical support unit based at the National Institute of Ecology (NIE) in Seocheon</w:t>
      </w:r>
      <w:r w:rsidR="004B3B80">
        <w:t>-</w:t>
      </w:r>
      <w:r w:rsidR="00CD6BB2" w:rsidRPr="00C57630">
        <w:t>gun, Republic of Korea, thanks to</w:t>
      </w:r>
      <w:r w:rsidR="005375C7" w:rsidRPr="00C57630">
        <w:t xml:space="preserve"> </w:t>
      </w:r>
      <w:r w:rsidR="00CD6BB2" w:rsidRPr="00C57630">
        <w:t xml:space="preserve">in-kind support from the Ministry of Environment of the Republic of Korea. </w:t>
      </w:r>
      <w:r w:rsidRPr="00C57630">
        <w:t xml:space="preserve">A full progress report is set out in </w:t>
      </w:r>
      <w:r w:rsidR="00196227" w:rsidRPr="00C57630">
        <w:t xml:space="preserve">the background </w:t>
      </w:r>
      <w:r w:rsidRPr="00C57630">
        <w:t xml:space="preserve">document </w:t>
      </w:r>
      <w:r w:rsidR="00196227" w:rsidRPr="00C57630">
        <w:t>on work related to knowledge and data (</w:t>
      </w:r>
      <w:r w:rsidRPr="000426D3">
        <w:t>IPBES/</w:t>
      </w:r>
      <w:r w:rsidR="00E716E4" w:rsidRPr="000426D3">
        <w:t>6</w:t>
      </w:r>
      <w:r w:rsidRPr="000426D3">
        <w:t>/INF/</w:t>
      </w:r>
      <w:r w:rsidR="00E716E4" w:rsidRPr="000426D3">
        <w:t>14</w:t>
      </w:r>
      <w:r w:rsidR="00196227" w:rsidRPr="00C57630">
        <w:t>)</w:t>
      </w:r>
      <w:r w:rsidRPr="00C57630">
        <w:t>.</w:t>
      </w:r>
    </w:p>
    <w:p w14:paraId="69453608" w14:textId="6F6DA022" w:rsidR="00AE0474" w:rsidRPr="00C57630" w:rsidRDefault="00AE0474" w:rsidP="00D86FBA">
      <w:pPr>
        <w:pStyle w:val="CH2"/>
        <w:tabs>
          <w:tab w:val="clear" w:pos="624"/>
          <w:tab w:val="left" w:pos="4082"/>
        </w:tabs>
        <w:spacing w:before="80"/>
        <w:ind w:left="1247" w:hanging="1247"/>
        <w:rPr>
          <w:rFonts w:eastAsia="Times New Roman"/>
          <w:lang w:eastAsia="en-US"/>
        </w:rPr>
      </w:pPr>
      <w:r w:rsidRPr="00C57630">
        <w:rPr>
          <w:rFonts w:eastAsia="Times New Roman"/>
          <w:lang w:eastAsia="en-US"/>
        </w:rPr>
        <w:tab/>
      </w:r>
      <w:r w:rsidR="00150BD8" w:rsidRPr="00C57630">
        <w:rPr>
          <w:rFonts w:eastAsia="Times New Roman"/>
          <w:lang w:eastAsia="en-US"/>
        </w:rPr>
        <w:t>B.</w:t>
      </w:r>
      <w:r w:rsidR="00150BD8" w:rsidRPr="00C57630">
        <w:rPr>
          <w:rFonts w:eastAsia="Times New Roman"/>
          <w:lang w:eastAsia="en-US"/>
        </w:rPr>
        <w:tab/>
      </w:r>
      <w:r w:rsidRPr="00C57630">
        <w:rPr>
          <w:rFonts w:eastAsia="Times New Roman"/>
          <w:lang w:eastAsia="en-US"/>
        </w:rPr>
        <w:t>Objective 2</w:t>
      </w:r>
      <w:r w:rsidR="00150BD8" w:rsidRPr="00C57630">
        <w:rPr>
          <w:rFonts w:eastAsia="Times New Roman"/>
          <w:lang w:eastAsia="en-US"/>
        </w:rPr>
        <w:t xml:space="preserve">: </w:t>
      </w:r>
      <w:r w:rsidRPr="00C57630">
        <w:rPr>
          <w:rFonts w:eastAsia="Times New Roman"/>
          <w:lang w:eastAsia="en-US"/>
        </w:rPr>
        <w:t>Strengthen the science-policy interface on biodiversity and ecosystem services at and across subregional, regional and global levels</w:t>
      </w:r>
    </w:p>
    <w:p w14:paraId="1F36B098" w14:textId="77777777"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Progress achieved under objective 2 includes the following outputs:</w:t>
      </w:r>
    </w:p>
    <w:p w14:paraId="29C8D439" w14:textId="573A5B1F" w:rsidR="00211EFC" w:rsidRPr="00C57630" w:rsidRDefault="00281FCF" w:rsidP="00211EFC">
      <w:pPr>
        <w:pStyle w:val="Normalnumber"/>
        <w:numPr>
          <w:ilvl w:val="1"/>
          <w:numId w:val="3"/>
        </w:numPr>
        <w:tabs>
          <w:tab w:val="clear" w:pos="1247"/>
          <w:tab w:val="clear" w:pos="1814"/>
          <w:tab w:val="clear" w:pos="2381"/>
          <w:tab w:val="clear" w:pos="2948"/>
          <w:tab w:val="clear" w:pos="3515"/>
          <w:tab w:val="left" w:pos="624"/>
        </w:tabs>
        <w:ind w:firstLine="624"/>
      </w:pPr>
      <w:r w:rsidRPr="00C57630">
        <w:t>F</w:t>
      </w:r>
      <w:r w:rsidR="00211EFC" w:rsidRPr="00C57630">
        <w:t>urther update of the guide on the production of assessments</w:t>
      </w:r>
      <w:r w:rsidRPr="00C57630">
        <w:t>, prepared</w:t>
      </w:r>
      <w:r w:rsidR="00211EFC" w:rsidRPr="00C57630">
        <w:t xml:space="preserve"> by the </w:t>
      </w:r>
      <w:r w:rsidR="00E44C93" w:rsidRPr="00C57630">
        <w:t>s</w:t>
      </w:r>
      <w:r w:rsidR="00211EFC" w:rsidRPr="00C57630">
        <w:t>ecretariat under the guidance of the Multidisciplinary Expert Panel in consultation with the Bureau (deliverable 2 (a)), including development of a summary</w:t>
      </w:r>
      <w:r w:rsidRPr="00C57630">
        <w:t xml:space="preserve"> of the guide and</w:t>
      </w:r>
      <w:r w:rsidR="00211EFC" w:rsidRPr="00C57630">
        <w:t xml:space="preserve"> an interactive </w:t>
      </w:r>
      <w:r w:rsidRPr="00C57630">
        <w:t xml:space="preserve">web-based </w:t>
      </w:r>
      <w:r w:rsidR="00211EFC" w:rsidRPr="00C57630">
        <w:t>tool in time for the sixth session of the Plenary. During 2017 the guide was used as a basis for briefing</w:t>
      </w:r>
      <w:r w:rsidRPr="00C57630">
        <w:t xml:space="preserve"> assessment authors at</w:t>
      </w:r>
      <w:r w:rsidR="00211EFC" w:rsidRPr="00C57630">
        <w:t xml:space="preserve"> </w:t>
      </w:r>
      <w:r w:rsidR="00150BD8" w:rsidRPr="00C57630">
        <w:t xml:space="preserve">the </w:t>
      </w:r>
      <w:r w:rsidR="00211EFC" w:rsidRPr="00C57630">
        <w:t xml:space="preserve">second and third author meetings for the six ongoing assessments. </w:t>
      </w:r>
      <w:r w:rsidR="003D60DE" w:rsidRPr="00C57630">
        <w:t>This work continued to be supported by the technical support unit established at the United Nations Environment</w:t>
      </w:r>
      <w:r w:rsidR="003952A5">
        <w:t xml:space="preserve"> Programme</w:t>
      </w:r>
      <w:r w:rsidR="003D60DE" w:rsidRPr="00C57630">
        <w:t xml:space="preserve"> World Conservation Monitoring </w:t>
      </w:r>
      <w:r w:rsidR="000B48B0" w:rsidRPr="00C57630">
        <w:t>Centre</w:t>
      </w:r>
      <w:r w:rsidR="003D60DE" w:rsidRPr="00C57630">
        <w:t xml:space="preserve"> (UNEP-WCMC)</w:t>
      </w:r>
      <w:r w:rsidR="00150BD8" w:rsidRPr="00C57630">
        <w:t>,</w:t>
      </w:r>
      <w:r w:rsidR="003D60DE" w:rsidRPr="00C57630">
        <w:t xml:space="preserve"> thanks to in-kind </w:t>
      </w:r>
      <w:r w:rsidRPr="00C57630">
        <w:t xml:space="preserve">support </w:t>
      </w:r>
      <w:r w:rsidR="003D60DE" w:rsidRPr="00C57630">
        <w:t xml:space="preserve">from that organization. </w:t>
      </w:r>
      <w:r w:rsidR="007B4D30">
        <w:t>The </w:t>
      </w:r>
      <w:r w:rsidR="00211EFC" w:rsidRPr="00C57630">
        <w:t xml:space="preserve">guide is a living document to which new modules will be added </w:t>
      </w:r>
      <w:r w:rsidR="00CF39B4" w:rsidRPr="00C57630">
        <w:t xml:space="preserve">or modified as </w:t>
      </w:r>
      <w:r w:rsidR="00CF39B4" w:rsidRPr="000966E1">
        <w:t>needed</w:t>
      </w:r>
      <w:r w:rsidR="00C3123E" w:rsidRPr="000966E1">
        <w:t xml:space="preserve">. Further information on the work </w:t>
      </w:r>
      <w:r w:rsidR="000966E1" w:rsidRPr="000966E1">
        <w:t>related to the guide for assessments is available in document</w:t>
      </w:r>
      <w:r w:rsidR="00CF39B4" w:rsidRPr="000966E1">
        <w:t xml:space="preserve"> </w:t>
      </w:r>
      <w:r w:rsidR="00211EFC" w:rsidRPr="000966E1">
        <w:t>IPBES/6/INF/17;</w:t>
      </w:r>
      <w:r w:rsidR="00D660F4">
        <w:t xml:space="preserve"> </w:t>
      </w:r>
    </w:p>
    <w:p w14:paraId="4E07BAA7" w14:textId="6ABACEF7" w:rsidR="00617B9B" w:rsidRPr="00C57630" w:rsidRDefault="00352353" w:rsidP="004A52BE">
      <w:pPr>
        <w:pStyle w:val="Normalnumber"/>
        <w:numPr>
          <w:ilvl w:val="1"/>
          <w:numId w:val="3"/>
        </w:numPr>
        <w:tabs>
          <w:tab w:val="clear" w:pos="1247"/>
          <w:tab w:val="clear" w:pos="1814"/>
          <w:tab w:val="clear" w:pos="2381"/>
          <w:tab w:val="clear" w:pos="2948"/>
          <w:tab w:val="clear" w:pos="3515"/>
        </w:tabs>
        <w:ind w:firstLine="624"/>
      </w:pPr>
      <w:r w:rsidRPr="00C57630">
        <w:t xml:space="preserve">Final drafts of the four regional and subregional assessments </w:t>
      </w:r>
      <w:r w:rsidRPr="006F2F9C">
        <w:t>prepared</w:t>
      </w:r>
      <w:r w:rsidRPr="00C57630">
        <w:t xml:space="preserve"> by the assessment author groups (deliverable 2 (b)), for consideration by the Plenary at its sixth session, following the external review by Governments and peers of the s</w:t>
      </w:r>
      <w:r w:rsidR="00F12903" w:rsidRPr="00C57630">
        <w:t>e</w:t>
      </w:r>
      <w:r w:rsidR="00352722" w:rsidRPr="00C57630">
        <w:t>cond</w:t>
      </w:r>
      <w:r w:rsidR="00AE0474" w:rsidRPr="00C57630">
        <w:t xml:space="preserve">-order drafts of the </w:t>
      </w:r>
      <w:r w:rsidR="00F12903" w:rsidRPr="00C57630">
        <w:t xml:space="preserve">chapters and </w:t>
      </w:r>
      <w:r w:rsidRPr="00C57630">
        <w:t xml:space="preserve">the </w:t>
      </w:r>
      <w:r w:rsidR="00F12903" w:rsidRPr="00C57630">
        <w:t>first-order drafts of the summary for policymakers</w:t>
      </w:r>
      <w:r w:rsidRPr="00C57630">
        <w:t xml:space="preserve"> of the assessments</w:t>
      </w:r>
      <w:r w:rsidR="003F0356" w:rsidRPr="00C57630">
        <w:t xml:space="preserve"> between May and July 2017 and the convening of third author meeting</w:t>
      </w:r>
      <w:r w:rsidR="00281FCF" w:rsidRPr="00C57630">
        <w:t>s</w:t>
      </w:r>
      <w:r w:rsidR="003F0356" w:rsidRPr="00C57630">
        <w:t xml:space="preserve"> for the four assessments in July and August 2017</w:t>
      </w:r>
      <w:r w:rsidR="00C530FB" w:rsidRPr="00C57630">
        <w:t xml:space="preserve"> in</w:t>
      </w:r>
      <w:r w:rsidR="004854BD" w:rsidRPr="00C57630">
        <w:t xml:space="preserve"> </w:t>
      </w:r>
      <w:r w:rsidR="00150BD8" w:rsidRPr="00C57630">
        <w:t xml:space="preserve">Colombia, </w:t>
      </w:r>
      <w:r w:rsidR="006104E7" w:rsidRPr="00C57630">
        <w:t>Czech</w:t>
      </w:r>
      <w:r w:rsidR="00150BD8" w:rsidRPr="00C57630">
        <w:t>ia</w:t>
      </w:r>
      <w:r w:rsidR="006104E7" w:rsidRPr="00C57630">
        <w:t xml:space="preserve">, Ethiopia and </w:t>
      </w:r>
      <w:r w:rsidR="00150BD8" w:rsidRPr="00C57630">
        <w:t>Japan</w:t>
      </w:r>
      <w:r w:rsidR="00F12903" w:rsidRPr="00C57630">
        <w:t>;</w:t>
      </w:r>
      <w:r w:rsidRPr="00C57630">
        <w:t xml:space="preserve"> the </w:t>
      </w:r>
      <w:r w:rsidR="00E17AB5" w:rsidRPr="00C57630">
        <w:t>convening</w:t>
      </w:r>
      <w:r w:rsidR="00614A08" w:rsidRPr="00C57630">
        <w:t xml:space="preserve"> of webinars </w:t>
      </w:r>
      <w:r w:rsidR="00E17AB5" w:rsidRPr="00C57630">
        <w:t xml:space="preserve">between May and June 2017 </w:t>
      </w:r>
      <w:r w:rsidR="00614A08" w:rsidRPr="00C57630">
        <w:t xml:space="preserve">explaining the scope of the assessments and the review process; the </w:t>
      </w:r>
      <w:r w:rsidRPr="00C57630">
        <w:t>convening of r</w:t>
      </w:r>
      <w:r w:rsidR="00F12903" w:rsidRPr="00C57630">
        <w:t>egional dialogue</w:t>
      </w:r>
      <w:r w:rsidRPr="00C57630">
        <w:t>s</w:t>
      </w:r>
      <w:r w:rsidR="00614A08" w:rsidRPr="00C57630">
        <w:t xml:space="preserve"> </w:t>
      </w:r>
      <w:r w:rsidR="00F12903" w:rsidRPr="00C57630">
        <w:t xml:space="preserve">to strengthen the capacity of Governments to review </w:t>
      </w:r>
      <w:r w:rsidR="00617B9B" w:rsidRPr="00C57630">
        <w:t>these</w:t>
      </w:r>
      <w:r w:rsidR="00F12903" w:rsidRPr="00C57630">
        <w:t xml:space="preserve"> assessments and to </w:t>
      </w:r>
      <w:r w:rsidR="00617B9B" w:rsidRPr="00C57630">
        <w:t xml:space="preserve">contribute to </w:t>
      </w:r>
      <w:r w:rsidR="00D43C7C" w:rsidRPr="00C57630">
        <w:t xml:space="preserve">their consideration at </w:t>
      </w:r>
      <w:r w:rsidR="00F12903" w:rsidRPr="00C57630">
        <w:t>the sixth session of the Plenary</w:t>
      </w:r>
      <w:r w:rsidR="00614109" w:rsidRPr="00C57630">
        <w:t>;</w:t>
      </w:r>
      <w:r w:rsidR="00C93E05" w:rsidRPr="00C57630">
        <w:t xml:space="preserve"> and</w:t>
      </w:r>
      <w:r w:rsidR="00614109" w:rsidRPr="00C57630">
        <w:t xml:space="preserve"> the convening of </w:t>
      </w:r>
      <w:r w:rsidR="00617B9B" w:rsidRPr="00C57630">
        <w:t xml:space="preserve">a </w:t>
      </w:r>
      <w:r w:rsidR="00614109" w:rsidRPr="00C57630">
        <w:t xml:space="preserve">joint </w:t>
      </w:r>
      <w:r w:rsidR="00617B9B" w:rsidRPr="00C57630">
        <w:t>capacity-building workshop dedicated to drafting</w:t>
      </w:r>
      <w:r w:rsidR="00EA450F" w:rsidRPr="00C57630">
        <w:t xml:space="preserve"> </w:t>
      </w:r>
      <w:r w:rsidR="00617B9B" w:rsidRPr="00C57630">
        <w:t>summar</w:t>
      </w:r>
      <w:r w:rsidR="00C93E05" w:rsidRPr="00C57630">
        <w:t>ies</w:t>
      </w:r>
      <w:r w:rsidR="00617B9B" w:rsidRPr="00C57630">
        <w:t xml:space="preserve"> for policymakers for the co-chairs and coordinating lead authors of the four regional assessments and the land degradation and </w:t>
      </w:r>
      <w:r w:rsidR="00617B9B" w:rsidRPr="00C57630">
        <w:lastRenderedPageBreak/>
        <w:t>res</w:t>
      </w:r>
      <w:r w:rsidR="006104E7" w:rsidRPr="00C57630">
        <w:t>toration assessment in February</w:t>
      </w:r>
      <w:r w:rsidR="00617B9B" w:rsidRPr="00C57630">
        <w:t xml:space="preserve"> 2017</w:t>
      </w:r>
      <w:r w:rsidR="006104E7" w:rsidRPr="00C57630">
        <w:t xml:space="preserve"> in Norway</w:t>
      </w:r>
      <w:r w:rsidR="00AE0474" w:rsidRPr="00C57630">
        <w:t xml:space="preserve">. </w:t>
      </w:r>
      <w:r w:rsidR="00617B9B" w:rsidRPr="00C57630">
        <w:t>The Europe and Central Asia assessment held an additional self-funded workshop focused on its summary for policymakers in January 2017.</w:t>
      </w:r>
      <w:r w:rsidR="00D43C7C" w:rsidRPr="00C57630">
        <w:t xml:space="preserve"> </w:t>
      </w:r>
      <w:r w:rsidR="00150BD8" w:rsidRPr="00C57630">
        <w:t>W</w:t>
      </w:r>
      <w:r w:rsidR="004A52BE" w:rsidRPr="00C57630">
        <w:t xml:space="preserve">ork </w:t>
      </w:r>
      <w:r w:rsidR="00150BD8" w:rsidRPr="00C57630">
        <w:t xml:space="preserve">in this area </w:t>
      </w:r>
      <w:r w:rsidR="004A52BE" w:rsidRPr="00C57630">
        <w:t xml:space="preserve">continued to be supported by technical support units based at the </w:t>
      </w:r>
      <w:r w:rsidR="004A52BE" w:rsidRPr="000966E1">
        <w:t xml:space="preserve">Alexander von Humboldt </w:t>
      </w:r>
      <w:r w:rsidR="00BA3744" w:rsidRPr="00C9318F">
        <w:t xml:space="preserve">Biological Resources </w:t>
      </w:r>
      <w:r w:rsidR="004A52BE" w:rsidRPr="000966E1">
        <w:t>Institute in</w:t>
      </w:r>
      <w:r w:rsidR="004A52BE" w:rsidRPr="00C57630">
        <w:t xml:space="preserve"> Bogota, the Institute for Global Environmental Strategies, in Tokyo, the Council for Scientific and Industrial Research, in Pretoria, and the Institute of Plant Sciences, University of Bern, Switzerland, thanks to</w:t>
      </w:r>
      <w:r w:rsidR="000E62CF" w:rsidRPr="00C57630">
        <w:t xml:space="preserve"> </w:t>
      </w:r>
      <w:r w:rsidR="004A52BE" w:rsidRPr="0040402B">
        <w:t>in-kind support from Colombia, Japan, South Africa and Switzerland</w:t>
      </w:r>
      <w:r w:rsidR="004A52BE" w:rsidRPr="00C57630">
        <w:t xml:space="preserve">. </w:t>
      </w:r>
      <w:r w:rsidR="00D43C7C" w:rsidRPr="00C57630">
        <w:t xml:space="preserve">A full report on the preparation of the regional assessments is </w:t>
      </w:r>
      <w:r w:rsidR="00614109" w:rsidRPr="00C57630">
        <w:t>set out</w:t>
      </w:r>
      <w:r w:rsidR="00D43C7C" w:rsidRPr="00C57630">
        <w:t xml:space="preserve"> in </w:t>
      </w:r>
      <w:r w:rsidR="00196227" w:rsidRPr="00C57630">
        <w:t xml:space="preserve">background </w:t>
      </w:r>
      <w:r w:rsidR="00D43C7C" w:rsidRPr="00C57630">
        <w:t>document IPBES/6/INF/7;</w:t>
      </w:r>
    </w:p>
    <w:p w14:paraId="58513925" w14:textId="1C90D782" w:rsidR="00AE0474" w:rsidRPr="00C57630" w:rsidRDefault="002F5843"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t>First</w:t>
      </w:r>
      <w:r w:rsidR="00C93E05" w:rsidRPr="00C57630">
        <w:t>-</w:t>
      </w:r>
      <w:r w:rsidR="00614109" w:rsidRPr="00C57630">
        <w:t>order draft</w:t>
      </w:r>
      <w:r w:rsidR="000E62CF" w:rsidRPr="00C57630">
        <w:t>s</w:t>
      </w:r>
      <w:r w:rsidR="00614109" w:rsidRPr="00C57630">
        <w:t xml:space="preserve"> of</w:t>
      </w:r>
      <w:r w:rsidR="00AE0474" w:rsidRPr="00C57630">
        <w:t xml:space="preserve"> the </w:t>
      </w:r>
      <w:r w:rsidR="00614109" w:rsidRPr="002044DA">
        <w:t xml:space="preserve">chapters of the </w:t>
      </w:r>
      <w:r w:rsidR="00AE0474" w:rsidRPr="002044DA">
        <w:t>global</w:t>
      </w:r>
      <w:r w:rsidR="00AE0474" w:rsidRPr="00C57630">
        <w:t xml:space="preserve"> assessment of biodiversity and ecosystem </w:t>
      </w:r>
      <w:r w:rsidR="00C93E05" w:rsidRPr="00C57630">
        <w:t xml:space="preserve">services </w:t>
      </w:r>
      <w:r w:rsidR="00614109" w:rsidRPr="00C57630">
        <w:t>prepared by the assessment author group</w:t>
      </w:r>
      <w:r w:rsidR="00AE0474" w:rsidRPr="00C57630">
        <w:t xml:space="preserve"> (deliverable 2 (c))</w:t>
      </w:r>
      <w:r w:rsidR="00614109" w:rsidRPr="00C57630">
        <w:t xml:space="preserve">, and </w:t>
      </w:r>
      <w:r w:rsidR="00C93E05" w:rsidRPr="00C57630">
        <w:t>made available</w:t>
      </w:r>
      <w:r w:rsidR="00614109" w:rsidRPr="00C57630">
        <w:t xml:space="preserve"> for external peer review in mid-2017</w:t>
      </w:r>
      <w:r w:rsidR="00AE0474" w:rsidRPr="00C57630">
        <w:t xml:space="preserve">; </w:t>
      </w:r>
      <w:r w:rsidR="00275448" w:rsidRPr="00C57630">
        <w:t xml:space="preserve">the convening </w:t>
      </w:r>
      <w:r w:rsidR="00614109" w:rsidRPr="00C57630">
        <w:t xml:space="preserve">of one meeting for each </w:t>
      </w:r>
      <w:r w:rsidR="00150BD8" w:rsidRPr="00C57630">
        <w:t>of chapters 2–</w:t>
      </w:r>
      <w:r w:rsidR="00C72456" w:rsidRPr="00C57630">
        <w:t>6</w:t>
      </w:r>
      <w:r w:rsidR="00614109" w:rsidRPr="00C57630">
        <w:t xml:space="preserve"> </w:t>
      </w:r>
      <w:r w:rsidR="00C72456" w:rsidRPr="00C57630">
        <w:t xml:space="preserve">in France, Germany, the Netherlands, Norway and the United Kingdom </w:t>
      </w:r>
      <w:r w:rsidR="00906EF1" w:rsidRPr="00C57630">
        <w:t xml:space="preserve">to </w:t>
      </w:r>
      <w:r w:rsidR="00C72456" w:rsidRPr="00C57630">
        <w:t xml:space="preserve">develop </w:t>
      </w:r>
      <w:r w:rsidR="00150BD8" w:rsidRPr="00C57630">
        <w:t xml:space="preserve">the content of the </w:t>
      </w:r>
      <w:r w:rsidR="00C72456" w:rsidRPr="00C57630">
        <w:t>chapters</w:t>
      </w:r>
      <w:r w:rsidR="0084680E" w:rsidRPr="00C57630">
        <w:t xml:space="preserve"> in</w:t>
      </w:r>
      <w:r w:rsidR="00275448" w:rsidRPr="00C57630">
        <w:t xml:space="preserve"> early 2017</w:t>
      </w:r>
      <w:r w:rsidR="00906EF1" w:rsidRPr="00C57630">
        <w:t xml:space="preserve">; </w:t>
      </w:r>
      <w:r w:rsidR="00275448" w:rsidRPr="00C57630">
        <w:t>the convening of a second author meeting in September 2017</w:t>
      </w:r>
      <w:r w:rsidR="00D936FA" w:rsidRPr="00C57630">
        <w:t xml:space="preserve"> </w:t>
      </w:r>
      <w:r w:rsidR="00C72456" w:rsidRPr="00C57630">
        <w:t xml:space="preserve">in South Africa, </w:t>
      </w:r>
      <w:r w:rsidR="00D936FA" w:rsidRPr="00C57630">
        <w:t xml:space="preserve">to examine the </w:t>
      </w:r>
      <w:r w:rsidR="00C93E05" w:rsidRPr="00C57630">
        <w:t>comments received during</w:t>
      </w:r>
      <w:r w:rsidR="00D936FA" w:rsidRPr="00C57630">
        <w:t xml:space="preserve"> the peer review and begin preparation of the second-order drafts of the chapters and </w:t>
      </w:r>
      <w:r w:rsidR="004858B8">
        <w:br/>
      </w:r>
      <w:r w:rsidR="00D936FA" w:rsidRPr="00C57630">
        <w:t>first-order draft of the summary for policymakers</w:t>
      </w:r>
      <w:r w:rsidR="00150BD8" w:rsidRPr="00C57630">
        <w:t>,</w:t>
      </w:r>
      <w:r w:rsidR="00D936FA" w:rsidRPr="00C57630">
        <w:t xml:space="preserve"> for their review by Governments and peers from </w:t>
      </w:r>
      <w:r w:rsidR="007B4D30">
        <w:br/>
      </w:r>
      <w:r w:rsidR="00D936FA" w:rsidRPr="00C57630">
        <w:t>mid-April to mid-June 2018</w:t>
      </w:r>
      <w:r w:rsidR="00275448" w:rsidRPr="00C57630">
        <w:t xml:space="preserve">; contribution to the </w:t>
      </w:r>
      <w:r w:rsidR="00C93E05" w:rsidRPr="00C57630">
        <w:t xml:space="preserve">initiation of an approach, including two workshops, </w:t>
      </w:r>
      <w:r w:rsidR="00275448" w:rsidRPr="00C57630">
        <w:t>to define set</w:t>
      </w:r>
      <w:r w:rsidR="00C93E05" w:rsidRPr="00C57630">
        <w:t>s</w:t>
      </w:r>
      <w:r w:rsidR="00275448" w:rsidRPr="00C57630">
        <w:t xml:space="preserve"> of social</w:t>
      </w:r>
      <w:r w:rsidR="00150BD8" w:rsidRPr="00C57630">
        <w:t xml:space="preserve"> and </w:t>
      </w:r>
      <w:r w:rsidR="00275448" w:rsidRPr="00C57630">
        <w:t xml:space="preserve">ecological indicators </w:t>
      </w:r>
      <w:r w:rsidR="00C93E05" w:rsidRPr="00C57630">
        <w:t>on major themes of</w:t>
      </w:r>
      <w:r w:rsidR="00275448" w:rsidRPr="00C57630">
        <w:t xml:space="preserve"> the global assessment</w:t>
      </w:r>
      <w:r w:rsidR="00E05091" w:rsidRPr="00C57630">
        <w:t xml:space="preserve"> (see paragraph </w:t>
      </w:r>
      <w:r w:rsidR="008D08E4" w:rsidRPr="00C57630">
        <w:t>8</w:t>
      </w:r>
      <w:r w:rsidR="00E05091" w:rsidRPr="00C57630">
        <w:t xml:space="preserve"> </w:t>
      </w:r>
      <w:r w:rsidR="00CA7CA7" w:rsidRPr="00C57630">
        <w:t>(c))</w:t>
      </w:r>
      <w:r w:rsidR="00275448" w:rsidRPr="00C57630">
        <w:t xml:space="preserve">; implementation of the approach to recognizing and working with indigenous and local knowledge in the context of the global assessment (see paragraph </w:t>
      </w:r>
      <w:r w:rsidR="008D08E4" w:rsidRPr="00C57630">
        <w:t>8</w:t>
      </w:r>
      <w:r w:rsidR="00275448" w:rsidRPr="00C57630">
        <w:t xml:space="preserve"> (b)); and the recruitment of </w:t>
      </w:r>
      <w:r w:rsidR="00C93E05" w:rsidRPr="00C57630">
        <w:t>a consultant</w:t>
      </w:r>
      <w:r w:rsidR="00275448" w:rsidRPr="00C57630">
        <w:t xml:space="preserve"> to complement the technical support unit, thanks to </w:t>
      </w:r>
      <w:r w:rsidR="00275448" w:rsidRPr="0040402B">
        <w:t>in-kind support</w:t>
      </w:r>
      <w:r w:rsidR="004A52BE" w:rsidRPr="0040402B">
        <w:t xml:space="preserve"> from Germany</w:t>
      </w:r>
      <w:r w:rsidR="00275448" w:rsidRPr="00C57630">
        <w:t xml:space="preserve">. </w:t>
      </w:r>
      <w:r w:rsidR="00AE0474" w:rsidRPr="00C57630">
        <w:t xml:space="preserve">A progress report on the </w:t>
      </w:r>
      <w:r w:rsidR="00C93E05" w:rsidRPr="00C57630">
        <w:t xml:space="preserve">preparation of the global assessment </w:t>
      </w:r>
      <w:r w:rsidR="00AE0474" w:rsidRPr="00C57630">
        <w:t xml:space="preserve">is set out in </w:t>
      </w:r>
      <w:r w:rsidR="00196227" w:rsidRPr="00C57630">
        <w:t xml:space="preserve">background </w:t>
      </w:r>
      <w:r w:rsidR="00AE0474" w:rsidRPr="00C57630">
        <w:t>document IPBES/</w:t>
      </w:r>
      <w:r w:rsidR="00275448" w:rsidRPr="00C57630">
        <w:t>6</w:t>
      </w:r>
      <w:r w:rsidR="00AE0474" w:rsidRPr="00C57630">
        <w:t>/INF/</w:t>
      </w:r>
      <w:r w:rsidR="00275448" w:rsidRPr="00C57630">
        <w:t>11</w:t>
      </w:r>
      <w:r w:rsidR="00AE0474" w:rsidRPr="00C57630">
        <w:t>.</w:t>
      </w:r>
    </w:p>
    <w:bookmarkEnd w:id="5"/>
    <w:p w14:paraId="045C6E47" w14:textId="3A2E6050" w:rsidR="00AE0474" w:rsidRPr="00C57630" w:rsidRDefault="00AE0474" w:rsidP="00D86FBA">
      <w:pPr>
        <w:pStyle w:val="CH2"/>
        <w:tabs>
          <w:tab w:val="clear" w:pos="624"/>
          <w:tab w:val="left" w:pos="4082"/>
        </w:tabs>
        <w:spacing w:before="80"/>
        <w:ind w:left="1247" w:hanging="1247"/>
        <w:rPr>
          <w:rFonts w:eastAsia="Times New Roman"/>
          <w:lang w:eastAsia="en-US"/>
        </w:rPr>
      </w:pPr>
      <w:r w:rsidRPr="00C57630">
        <w:rPr>
          <w:rFonts w:eastAsia="Times New Roman"/>
          <w:lang w:eastAsia="en-US"/>
        </w:rPr>
        <w:tab/>
      </w:r>
      <w:r w:rsidR="00150BD8" w:rsidRPr="00C57630">
        <w:rPr>
          <w:rFonts w:eastAsia="Times New Roman"/>
          <w:lang w:eastAsia="en-US"/>
        </w:rPr>
        <w:t>C.</w:t>
      </w:r>
      <w:r w:rsidR="00150BD8" w:rsidRPr="00C57630">
        <w:rPr>
          <w:rFonts w:eastAsia="Times New Roman"/>
          <w:lang w:eastAsia="en-US"/>
        </w:rPr>
        <w:tab/>
      </w:r>
      <w:r w:rsidRPr="00C57630">
        <w:rPr>
          <w:rFonts w:eastAsia="Times New Roman"/>
          <w:lang w:eastAsia="en-US"/>
        </w:rPr>
        <w:t>Objective 3</w:t>
      </w:r>
      <w:r w:rsidR="00150BD8" w:rsidRPr="00C57630">
        <w:rPr>
          <w:rFonts w:eastAsia="Times New Roman"/>
          <w:lang w:eastAsia="en-US"/>
        </w:rPr>
        <w:t xml:space="preserve">: </w:t>
      </w:r>
      <w:r w:rsidRPr="00C57630">
        <w:rPr>
          <w:rFonts w:eastAsia="Times New Roman"/>
          <w:lang w:eastAsia="en-US"/>
        </w:rPr>
        <w:t>Strengthen the science-policy interface on biodiversity and ecosystem services with regard to thematic and methodological issues</w:t>
      </w:r>
    </w:p>
    <w:p w14:paraId="68FF44BA" w14:textId="77777777"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 xml:space="preserve">Progress achieved under objective 3 </w:t>
      </w:r>
      <w:r w:rsidRPr="00C57630">
        <w:rPr>
          <w:bCs/>
        </w:rPr>
        <w:t>i</w:t>
      </w:r>
      <w:r w:rsidRPr="00C57630">
        <w:t>ncludes the following outputs:</w:t>
      </w:r>
    </w:p>
    <w:p w14:paraId="26740184" w14:textId="684EF649" w:rsidR="00AE0474" w:rsidRPr="00C57630"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t xml:space="preserve">A </w:t>
      </w:r>
      <w:r w:rsidR="00406C78" w:rsidRPr="00C57630">
        <w:t>final</w:t>
      </w:r>
      <w:r w:rsidRPr="00C57630">
        <w:t xml:space="preserve"> draft of the assessment of land </w:t>
      </w:r>
      <w:r w:rsidRPr="002044DA">
        <w:t>degradation and restoration</w:t>
      </w:r>
      <w:r w:rsidRPr="00C57630">
        <w:t xml:space="preserve"> (deliverable 3 (b) (i)), prepared by the assessment author group </w:t>
      </w:r>
      <w:r w:rsidR="003F0356" w:rsidRPr="00C57630">
        <w:t>for consideration by the Plenary at it</w:t>
      </w:r>
      <w:r w:rsidR="00FE51C6">
        <w:t xml:space="preserve">s sixth session, following the </w:t>
      </w:r>
      <w:r w:rsidR="003F0356" w:rsidRPr="00C57630">
        <w:t>external review by Governments and peers of the second-order drafts of the chapters and the first-order drafts of the summary for policym</w:t>
      </w:r>
      <w:r w:rsidR="00386D7C" w:rsidRPr="00C57630">
        <w:t xml:space="preserve">akers of the assessments in May and </w:t>
      </w:r>
      <w:r w:rsidR="003F0356" w:rsidRPr="00C57630">
        <w:t>June 2017, and the convening of a third author meeting in July 2017</w:t>
      </w:r>
      <w:r w:rsidR="009F56D6" w:rsidRPr="00C57630">
        <w:t>, at the headquarters of the Food and Agriculture Organization of the</w:t>
      </w:r>
      <w:r w:rsidR="002F5843" w:rsidRPr="00C57630">
        <w:t xml:space="preserve"> United Nations</w:t>
      </w:r>
      <w:r w:rsidR="0036248E" w:rsidRPr="00C57630">
        <w:t xml:space="preserve">; </w:t>
      </w:r>
      <w:r w:rsidR="002044DA">
        <w:t xml:space="preserve">and </w:t>
      </w:r>
      <w:r w:rsidR="00614A08" w:rsidRPr="00C57630">
        <w:t xml:space="preserve">the </w:t>
      </w:r>
      <w:r w:rsidR="00E17AB5" w:rsidRPr="00C57630">
        <w:t>convening</w:t>
      </w:r>
      <w:r w:rsidR="0036248E" w:rsidRPr="00C57630">
        <w:t xml:space="preserve"> of webinars</w:t>
      </w:r>
      <w:r w:rsidR="00614A08" w:rsidRPr="00C57630">
        <w:t xml:space="preserve"> in May 2017 explaining the scope of the assessment and the review process</w:t>
      </w:r>
      <w:r w:rsidRPr="00C57630">
        <w:t xml:space="preserve">. </w:t>
      </w:r>
      <w:r w:rsidR="00614A08" w:rsidRPr="00C57630">
        <w:t xml:space="preserve">A full report on the preparation of this assessment is set out in </w:t>
      </w:r>
      <w:r w:rsidR="00196227" w:rsidRPr="00C57630">
        <w:t xml:space="preserve">background </w:t>
      </w:r>
      <w:r w:rsidR="00614A08" w:rsidRPr="00C57630">
        <w:t>document IPBES/6/INF/</w:t>
      </w:r>
      <w:r w:rsidR="00E17AB5" w:rsidRPr="00C57630">
        <w:t>2</w:t>
      </w:r>
      <w:r w:rsidRPr="00C57630">
        <w:t>;</w:t>
      </w:r>
    </w:p>
    <w:p w14:paraId="60593EF6" w14:textId="3E4191BD" w:rsidR="00AE0474" w:rsidRPr="00C57630" w:rsidRDefault="00835242"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t>Further work</w:t>
      </w:r>
      <w:r w:rsidR="00AE0474" w:rsidRPr="00C57630">
        <w:t xml:space="preserve"> </w:t>
      </w:r>
      <w:r w:rsidRPr="00C57630">
        <w:t>by the</w:t>
      </w:r>
      <w:r w:rsidR="00AE0474" w:rsidRPr="00C57630">
        <w:t xml:space="preserve"> </w:t>
      </w:r>
      <w:r w:rsidR="00AE0474" w:rsidRPr="00E273D8">
        <w:t>expert group</w:t>
      </w:r>
      <w:r w:rsidR="00AE0474" w:rsidRPr="00C57630">
        <w:t xml:space="preserve"> </w:t>
      </w:r>
      <w:r w:rsidRPr="00C57630">
        <w:t>o</w:t>
      </w:r>
      <w:r w:rsidRPr="000966E1">
        <w:t>n scenarios and models</w:t>
      </w:r>
      <w:r w:rsidR="0098432D" w:rsidRPr="000966E1">
        <w:t xml:space="preserve"> (de</w:t>
      </w:r>
      <w:r w:rsidR="0098432D" w:rsidRPr="00C57630">
        <w:t>liverable 3 (c))</w:t>
      </w:r>
      <w:r w:rsidR="00386D7C" w:rsidRPr="00C57630">
        <w:t>,</w:t>
      </w:r>
      <w:r w:rsidR="0098432D" w:rsidRPr="00C57630">
        <w:t xml:space="preserve"> </w:t>
      </w:r>
      <w:r w:rsidRPr="00C57630">
        <w:t>in</w:t>
      </w:r>
      <w:r w:rsidR="00DA32B0" w:rsidRPr="00C57630">
        <w:t xml:space="preserve"> response to decision IPBES-5/1, section VI</w:t>
      </w:r>
      <w:r w:rsidR="00010923" w:rsidRPr="00C57630">
        <w:t>,</w:t>
      </w:r>
      <w:r w:rsidR="006C02EE" w:rsidRPr="00C57630">
        <w:t xml:space="preserve"> regarding</w:t>
      </w:r>
      <w:r w:rsidR="001044B2" w:rsidRPr="00C57630">
        <w:t xml:space="preserve"> the </w:t>
      </w:r>
      <w:r w:rsidRPr="00C57630">
        <w:t>provision of</w:t>
      </w:r>
      <w:r w:rsidR="00AE0474" w:rsidRPr="00C57630">
        <w:t xml:space="preserve"> </w:t>
      </w:r>
      <w:r w:rsidR="001044B2" w:rsidRPr="00C57630">
        <w:t xml:space="preserve">expert advice on the use of existing models and scenarios to </w:t>
      </w:r>
      <w:r w:rsidR="00AE0474" w:rsidRPr="00C57630">
        <w:t xml:space="preserve">support ongoing </w:t>
      </w:r>
      <w:r w:rsidRPr="00C57630">
        <w:t xml:space="preserve">IPBES </w:t>
      </w:r>
      <w:r w:rsidR="00AE0474" w:rsidRPr="00C57630">
        <w:t>assessments</w:t>
      </w:r>
      <w:r w:rsidR="00DB6715" w:rsidRPr="00C57630">
        <w:t>, including the convening of a worksh</w:t>
      </w:r>
      <w:r w:rsidR="00386D7C" w:rsidRPr="00C57630">
        <w:t>op on b</w:t>
      </w:r>
      <w:r w:rsidR="00DB6715" w:rsidRPr="00C57630">
        <w:t>iodiversity and ecosystem services scenarios for IPBES using</w:t>
      </w:r>
      <w:r w:rsidR="00386D7C" w:rsidRPr="00C57630">
        <w:t xml:space="preserve"> shared socioeconomic pathways, in Germany</w:t>
      </w:r>
      <w:r w:rsidR="00DB6715" w:rsidRPr="00C57630">
        <w:t xml:space="preserve"> in October 2017, and of a workshop for chapter 5 of the global assessment</w:t>
      </w:r>
      <w:r w:rsidR="00386D7C" w:rsidRPr="00C57630">
        <w:t>,</w:t>
      </w:r>
      <w:r w:rsidR="00DB6715" w:rsidRPr="00C57630">
        <w:t xml:space="preserve"> in the Netherlands in February 2017</w:t>
      </w:r>
      <w:r w:rsidR="001044B2" w:rsidRPr="00C57630">
        <w:t xml:space="preserve">; </w:t>
      </w:r>
      <w:r w:rsidR="00AE0474" w:rsidRPr="00C57630">
        <w:t>and</w:t>
      </w:r>
      <w:r w:rsidR="006C02EE" w:rsidRPr="00C57630">
        <w:t xml:space="preserve"> regarding</w:t>
      </w:r>
      <w:r w:rsidR="00AE0474" w:rsidRPr="00C57630">
        <w:t xml:space="preserve"> </w:t>
      </w:r>
      <w:r w:rsidR="001044B2" w:rsidRPr="00C57630">
        <w:t>the</w:t>
      </w:r>
      <w:r w:rsidR="00AE0474" w:rsidRPr="00C57630">
        <w:t xml:space="preserve"> </w:t>
      </w:r>
      <w:r w:rsidR="000E62CF" w:rsidRPr="00C57630">
        <w:t xml:space="preserve">catalysis </w:t>
      </w:r>
      <w:r w:rsidR="001044B2" w:rsidRPr="00C57630">
        <w:t>of</w:t>
      </w:r>
      <w:r w:rsidR="00AE0474" w:rsidRPr="00C57630">
        <w:t xml:space="preserve"> the deve</w:t>
      </w:r>
      <w:r w:rsidR="001044B2" w:rsidRPr="00C57630">
        <w:t xml:space="preserve">lopment of scenarios and associated models by the broader scientific community, </w:t>
      </w:r>
      <w:r w:rsidR="00DB6715" w:rsidRPr="00C57630">
        <w:t>including</w:t>
      </w:r>
      <w:r w:rsidR="001044B2" w:rsidRPr="00C57630">
        <w:t xml:space="preserve"> the convening of a workshop in New</w:t>
      </w:r>
      <w:r w:rsidR="00386D7C" w:rsidRPr="00C57630">
        <w:t xml:space="preserve"> Zealand in September 2017 on n</w:t>
      </w:r>
      <w:r w:rsidR="001044B2" w:rsidRPr="00C57630">
        <w:t xml:space="preserve">ew visions for nature and nature’s contributions to people for the </w:t>
      </w:r>
      <w:r w:rsidR="00386D7C" w:rsidRPr="00C57630">
        <w:t>twenty-first century</w:t>
      </w:r>
      <w:r w:rsidR="00DB6715" w:rsidRPr="00C57630">
        <w:t xml:space="preserve">. </w:t>
      </w:r>
      <w:r w:rsidR="00386D7C" w:rsidRPr="00C57630">
        <w:t>W</w:t>
      </w:r>
      <w:r w:rsidR="00DB6715" w:rsidRPr="00C57630">
        <w:t xml:space="preserve">ork </w:t>
      </w:r>
      <w:r w:rsidR="00386D7C" w:rsidRPr="00C57630">
        <w:t xml:space="preserve">in this area </w:t>
      </w:r>
      <w:r w:rsidR="00DB6715" w:rsidRPr="00C57630">
        <w:t>continued to be supported</w:t>
      </w:r>
      <w:r w:rsidR="00AE0474" w:rsidRPr="00C57630">
        <w:t xml:space="preserve"> </w:t>
      </w:r>
      <w:r w:rsidR="00DB6715" w:rsidRPr="00C57630">
        <w:t>by</w:t>
      </w:r>
      <w:r w:rsidR="00AE0474" w:rsidRPr="00C57630">
        <w:t xml:space="preserve"> the technical support unit at </w:t>
      </w:r>
      <w:r w:rsidR="00AE0474" w:rsidRPr="0063554F">
        <w:t>PBL</w:t>
      </w:r>
      <w:r w:rsidR="00AE0474" w:rsidRPr="00C57630">
        <w:t xml:space="preserve"> Netherlands Environmental Assessment Agency</w:t>
      </w:r>
      <w:r w:rsidR="00386D7C" w:rsidRPr="00C57630">
        <w:t>,</w:t>
      </w:r>
      <w:r w:rsidR="00AE0474" w:rsidRPr="00C57630">
        <w:t xml:space="preserve"> thanks to </w:t>
      </w:r>
      <w:r w:rsidR="00AE0474" w:rsidRPr="00521EF0">
        <w:t>in-kind support from the Netherlands</w:t>
      </w:r>
      <w:r w:rsidR="00AE0474" w:rsidRPr="00C57630">
        <w:t xml:space="preserve">. A progress report is set out in </w:t>
      </w:r>
      <w:r w:rsidR="00196227" w:rsidRPr="00C57630">
        <w:t xml:space="preserve">background </w:t>
      </w:r>
      <w:r w:rsidR="00AE0474" w:rsidRPr="00C57630">
        <w:t>document IPBES/</w:t>
      </w:r>
      <w:r w:rsidR="00DB6715" w:rsidRPr="00C57630">
        <w:t>6</w:t>
      </w:r>
      <w:r w:rsidR="00AE0474" w:rsidRPr="00C57630">
        <w:t>/INF/</w:t>
      </w:r>
      <w:r w:rsidR="00DB6715" w:rsidRPr="00C57630">
        <w:t>15</w:t>
      </w:r>
      <w:r w:rsidR="00AE0474" w:rsidRPr="00C57630">
        <w:t xml:space="preserve">; </w:t>
      </w:r>
    </w:p>
    <w:p w14:paraId="58B4DCE9" w14:textId="4D33A665" w:rsidR="00E73C06" w:rsidRPr="00C57630" w:rsidRDefault="0098432D" w:rsidP="00EF0D34">
      <w:pPr>
        <w:pStyle w:val="Normalnumber"/>
        <w:numPr>
          <w:ilvl w:val="1"/>
          <w:numId w:val="3"/>
        </w:numPr>
        <w:tabs>
          <w:tab w:val="clear" w:pos="1247"/>
          <w:tab w:val="clear" w:pos="1814"/>
          <w:tab w:val="clear" w:pos="2381"/>
          <w:tab w:val="clear" w:pos="2948"/>
          <w:tab w:val="clear" w:pos="3515"/>
          <w:tab w:val="left" w:pos="624"/>
        </w:tabs>
        <w:ind w:firstLine="624"/>
      </w:pPr>
      <w:bookmarkStart w:id="6" w:name="_Hlk500767086"/>
      <w:r w:rsidRPr="00C57630">
        <w:t>Further work by the</w:t>
      </w:r>
      <w:r w:rsidR="00AE0474" w:rsidRPr="00C57630">
        <w:t xml:space="preserve"> expert </w:t>
      </w:r>
      <w:r w:rsidR="00AE0474" w:rsidRPr="0040402B">
        <w:t>group on values</w:t>
      </w:r>
      <w:r w:rsidR="00AE0474" w:rsidRPr="00C57630">
        <w:t xml:space="preserve"> (deliverable 3 (d)</w:t>
      </w:r>
      <w:r w:rsidRPr="00C57630">
        <w:t xml:space="preserve">), in </w:t>
      </w:r>
      <w:r w:rsidR="006C02EE" w:rsidRPr="00C57630">
        <w:t xml:space="preserve">response to decision IPBES-5/1, section VI, </w:t>
      </w:r>
      <w:r w:rsidRPr="00C57630">
        <w:t xml:space="preserve">including </w:t>
      </w:r>
      <w:r w:rsidR="00AE0474" w:rsidRPr="00C57630">
        <w:t xml:space="preserve">the provision of support to the consideration of values in </w:t>
      </w:r>
      <w:r w:rsidR="00EF0D34" w:rsidRPr="00C57630">
        <w:t xml:space="preserve">the six </w:t>
      </w:r>
      <w:r w:rsidR="00AE0474" w:rsidRPr="00C57630">
        <w:t xml:space="preserve">ongoing assessments of </w:t>
      </w:r>
      <w:r w:rsidR="00010923" w:rsidRPr="00C57630">
        <w:t>IPBES with</w:t>
      </w:r>
      <w:r w:rsidR="00BF7F8F" w:rsidRPr="00C57630">
        <w:t>, in particular,</w:t>
      </w:r>
      <w:r w:rsidR="00010923" w:rsidRPr="00C57630">
        <w:t xml:space="preserve"> the convening of one expert meeting in Hungary</w:t>
      </w:r>
      <w:r w:rsidR="00BF7F8F" w:rsidRPr="00C57630">
        <w:t xml:space="preserve"> in April 2017 for the global assessment,</w:t>
      </w:r>
      <w:r w:rsidR="00EF0D34" w:rsidRPr="00C57630">
        <w:t xml:space="preserve"> contribution to the online tool on multiple conceptualizations of values as part of the catalogue on policy support tools, and the </w:t>
      </w:r>
      <w:r w:rsidR="000E62CF" w:rsidRPr="00C57630">
        <w:t xml:space="preserve">catalysis </w:t>
      </w:r>
      <w:r w:rsidR="00EF0D34" w:rsidRPr="00C57630">
        <w:t>of activities to promote the integration of values in research projects, with the convening of a workshop in Mexico in November 2017.</w:t>
      </w:r>
      <w:r w:rsidR="00AE0474" w:rsidRPr="00C57630">
        <w:t xml:space="preserve"> </w:t>
      </w:r>
      <w:bookmarkEnd w:id="6"/>
      <w:r w:rsidR="00EF0D34" w:rsidRPr="00C57630">
        <w:t xml:space="preserve">This work continued to be supported by the </w:t>
      </w:r>
      <w:r w:rsidR="00AE0474" w:rsidRPr="00C57630">
        <w:t xml:space="preserve">technical support unit at the Ecosystems and Sustainability Research Institute of the National Autonomous University of Mexico, thanks to in-kind support from the National Commission for </w:t>
      </w:r>
      <w:r w:rsidR="009275A8" w:rsidRPr="00C57630">
        <w:t xml:space="preserve">the </w:t>
      </w:r>
      <w:r w:rsidR="00AE0474" w:rsidRPr="00C57630">
        <w:t xml:space="preserve">Knowledge and Use of Biodiversity </w:t>
      </w:r>
      <w:r w:rsidR="006C02EE" w:rsidRPr="00C57630">
        <w:t xml:space="preserve">of Mexico </w:t>
      </w:r>
      <w:r w:rsidR="00AE0474" w:rsidRPr="00C57630">
        <w:t xml:space="preserve">and the German </w:t>
      </w:r>
      <w:r w:rsidR="009275A8" w:rsidRPr="00C57630">
        <w:t>Agency</w:t>
      </w:r>
      <w:r w:rsidR="00AE0474" w:rsidRPr="00C57630">
        <w:t xml:space="preserve"> for International Cooperation. </w:t>
      </w:r>
      <w:r w:rsidR="006C02EE" w:rsidRPr="00C57630">
        <w:t xml:space="preserve">A progress report is set out in </w:t>
      </w:r>
      <w:r w:rsidR="00196227" w:rsidRPr="00C57630">
        <w:t xml:space="preserve">background </w:t>
      </w:r>
      <w:r w:rsidR="006C02EE" w:rsidRPr="00C57630">
        <w:t>document IPBES/6/INF/18;</w:t>
      </w:r>
    </w:p>
    <w:p w14:paraId="5AD15E8C" w14:textId="18D458E1" w:rsidR="00AE0474" w:rsidRPr="00C57630" w:rsidRDefault="00E73C06" w:rsidP="00EF0D34">
      <w:pPr>
        <w:pStyle w:val="Normalnumber"/>
        <w:numPr>
          <w:ilvl w:val="1"/>
          <w:numId w:val="3"/>
        </w:numPr>
        <w:tabs>
          <w:tab w:val="clear" w:pos="1247"/>
          <w:tab w:val="clear" w:pos="1814"/>
          <w:tab w:val="clear" w:pos="2381"/>
          <w:tab w:val="clear" w:pos="2948"/>
          <w:tab w:val="clear" w:pos="3515"/>
          <w:tab w:val="left" w:pos="624"/>
        </w:tabs>
        <w:ind w:firstLine="624"/>
      </w:pPr>
      <w:r w:rsidRPr="00C57630">
        <w:t xml:space="preserve">The Multidisciplinary Expert Panel, in </w:t>
      </w:r>
      <w:r w:rsidRPr="00D8680C">
        <w:t>consultation with</w:t>
      </w:r>
      <w:r w:rsidRPr="00C57630">
        <w:t xml:space="preserve"> the Bureau, in response to decision IPBES-5/1, paragraph 4 of section V, evaluated the need for any changes to already approved </w:t>
      </w:r>
      <w:r w:rsidRPr="00C57630">
        <w:lastRenderedPageBreak/>
        <w:t xml:space="preserve">scoping </w:t>
      </w:r>
      <w:r w:rsidR="009E566E" w:rsidRPr="00C57630">
        <w:t xml:space="preserve">documents </w:t>
      </w:r>
      <w:r w:rsidRPr="00C57630">
        <w:t xml:space="preserve">based on major scientific findings of other Platform assessments, and concluded that </w:t>
      </w:r>
      <w:r w:rsidR="00C11416" w:rsidRPr="00C57630">
        <w:t>there wa</w:t>
      </w:r>
      <w:r w:rsidRPr="00C57630">
        <w:t xml:space="preserve">s no such need. </w:t>
      </w:r>
      <w:r w:rsidR="006C02EE" w:rsidRPr="00C57630">
        <w:t>In line with</w:t>
      </w:r>
      <w:r w:rsidR="00C11416" w:rsidRPr="00C57630">
        <w:t xml:space="preserve"> decision IPBES-5/6, paragraph 5, </w:t>
      </w:r>
      <w:r w:rsidR="006C02EE" w:rsidRPr="00C57630">
        <w:t xml:space="preserve">the Plenary will be invited to consider, under item 8 of the agenda of its sixth session, the undertaking of </w:t>
      </w:r>
      <w:r w:rsidR="00C11416" w:rsidRPr="00C57630">
        <w:t>t</w:t>
      </w:r>
      <w:r w:rsidRPr="00C57630">
        <w:t xml:space="preserve">he </w:t>
      </w:r>
      <w:r w:rsidR="00C11416" w:rsidRPr="00C57630">
        <w:t xml:space="preserve">pending thematic assessment </w:t>
      </w:r>
      <w:r w:rsidR="00C11416" w:rsidRPr="00C57630">
        <w:rPr>
          <w:bCs/>
        </w:rPr>
        <w:t>on the sustainable use of wild species</w:t>
      </w:r>
      <w:r w:rsidR="00C11416" w:rsidRPr="00D44EFF">
        <w:rPr>
          <w:bCs/>
        </w:rPr>
        <w:t xml:space="preserve"> </w:t>
      </w:r>
      <w:r w:rsidR="00C11416" w:rsidRPr="00C57630">
        <w:rPr>
          <w:bCs/>
        </w:rPr>
        <w:t>(deliverable 3 (b) (iii)), the pending methodological assessment regarding the diverse conceptualization of multiple values of</w:t>
      </w:r>
      <w:r w:rsidR="00D8680C">
        <w:rPr>
          <w:bCs/>
        </w:rPr>
        <w:t xml:space="preserve"> biodiversity and</w:t>
      </w:r>
      <w:r w:rsidR="00C11416" w:rsidRPr="00C57630">
        <w:rPr>
          <w:bCs/>
        </w:rPr>
        <w:t xml:space="preserve"> nature</w:t>
      </w:r>
      <w:r w:rsidR="00D8680C">
        <w:rPr>
          <w:bCs/>
        </w:rPr>
        <w:t>’s benefits to people including ecosystem services</w:t>
      </w:r>
      <w:r w:rsidR="00C11416" w:rsidRPr="00C57630">
        <w:rPr>
          <w:bCs/>
        </w:rPr>
        <w:t xml:space="preserve"> (deliverable 3 (d)) and the pending thematic assessment on invasive alien species</w:t>
      </w:r>
      <w:r w:rsidR="00D8680C">
        <w:rPr>
          <w:bCs/>
        </w:rPr>
        <w:t xml:space="preserve"> and their control</w:t>
      </w:r>
      <w:r w:rsidR="00C11416" w:rsidRPr="00C57630">
        <w:rPr>
          <w:bCs/>
        </w:rPr>
        <w:t xml:space="preserve"> (deliverable 3 (b) (ii))</w:t>
      </w:r>
      <w:r w:rsidRPr="00C57630">
        <w:t xml:space="preserve"> </w:t>
      </w:r>
      <w:r w:rsidR="00C11416" w:rsidRPr="00C57630">
        <w:t>(</w:t>
      </w:r>
      <w:r w:rsidRPr="00C57630">
        <w:t>IPBES/6/8</w:t>
      </w:r>
      <w:r w:rsidR="00C11416" w:rsidRPr="00C57630">
        <w:t xml:space="preserve">). The scoping reports as approved by the Plenary are </w:t>
      </w:r>
      <w:r w:rsidR="009275A8" w:rsidRPr="00C57630">
        <w:t>set out</w:t>
      </w:r>
      <w:r w:rsidRPr="00C57630">
        <w:t xml:space="preserve"> in </w:t>
      </w:r>
      <w:r w:rsidR="00196227" w:rsidRPr="00C57630">
        <w:t xml:space="preserve">background </w:t>
      </w:r>
      <w:r w:rsidRPr="00C57630">
        <w:t>documents I</w:t>
      </w:r>
      <w:r w:rsidR="00C11416" w:rsidRPr="00C57630">
        <w:t>PBES/6/INF/8</w:t>
      </w:r>
      <w:r w:rsidR="009275A8" w:rsidRPr="00C57630">
        <w:t>–</w:t>
      </w:r>
      <w:r w:rsidR="00C11416" w:rsidRPr="00C57630">
        <w:t>10, respectively</w:t>
      </w:r>
      <w:r w:rsidR="00AE0474" w:rsidRPr="00C57630">
        <w:t>.</w:t>
      </w:r>
    </w:p>
    <w:p w14:paraId="023ECDD6" w14:textId="529CB046" w:rsidR="00AE0474" w:rsidRPr="00C57630" w:rsidRDefault="00AE0474" w:rsidP="00D86FBA">
      <w:pPr>
        <w:pStyle w:val="CH2"/>
        <w:tabs>
          <w:tab w:val="clear" w:pos="624"/>
          <w:tab w:val="left" w:pos="4082"/>
        </w:tabs>
        <w:spacing w:before="80"/>
        <w:ind w:left="1247" w:hanging="1247"/>
        <w:rPr>
          <w:rFonts w:eastAsia="Times New Roman"/>
          <w:lang w:eastAsia="en-US"/>
        </w:rPr>
      </w:pPr>
      <w:r w:rsidRPr="00C57630">
        <w:rPr>
          <w:rFonts w:eastAsia="Times New Roman"/>
          <w:lang w:eastAsia="en-US"/>
        </w:rPr>
        <w:tab/>
      </w:r>
      <w:r w:rsidR="00716634" w:rsidRPr="00C57630">
        <w:rPr>
          <w:rFonts w:eastAsia="Times New Roman"/>
          <w:lang w:eastAsia="en-US"/>
        </w:rPr>
        <w:t>D.</w:t>
      </w:r>
      <w:r w:rsidR="00716634" w:rsidRPr="00C57630">
        <w:rPr>
          <w:rFonts w:eastAsia="Times New Roman"/>
          <w:lang w:eastAsia="en-US"/>
        </w:rPr>
        <w:tab/>
      </w:r>
      <w:r w:rsidRPr="00C57630">
        <w:rPr>
          <w:rFonts w:eastAsia="Times New Roman"/>
          <w:lang w:eastAsia="en-US"/>
        </w:rPr>
        <w:t>Objective 4</w:t>
      </w:r>
      <w:r w:rsidR="00716634" w:rsidRPr="00C57630">
        <w:rPr>
          <w:rFonts w:eastAsia="Times New Roman"/>
          <w:lang w:eastAsia="en-US"/>
        </w:rPr>
        <w:t xml:space="preserve">: </w:t>
      </w:r>
      <w:r w:rsidRPr="00C57630">
        <w:rPr>
          <w:rFonts w:eastAsia="Times New Roman"/>
          <w:lang w:eastAsia="en-US"/>
        </w:rPr>
        <w:t>Communicate and evaluate Platform activities, deliverables and findings</w:t>
      </w:r>
    </w:p>
    <w:p w14:paraId="3E6B3FDE" w14:textId="77777777" w:rsidR="00AE0474" w:rsidRPr="00C57630" w:rsidRDefault="00AE0474" w:rsidP="00AE0474">
      <w:pPr>
        <w:pStyle w:val="Normalnumber"/>
        <w:numPr>
          <w:ilvl w:val="0"/>
          <w:numId w:val="3"/>
        </w:numPr>
        <w:tabs>
          <w:tab w:val="clear" w:pos="1247"/>
          <w:tab w:val="clear" w:pos="1814"/>
          <w:tab w:val="clear" w:pos="2381"/>
          <w:tab w:val="clear" w:pos="2948"/>
          <w:tab w:val="clear" w:pos="3515"/>
        </w:tabs>
      </w:pPr>
      <w:r w:rsidRPr="00C57630">
        <w:t>Progress achieved under objective 4</w:t>
      </w:r>
      <w:r w:rsidRPr="00C57630">
        <w:rPr>
          <w:b/>
        </w:rPr>
        <w:t xml:space="preserve"> </w:t>
      </w:r>
      <w:r w:rsidRPr="00AD4722">
        <w:t>includes t</w:t>
      </w:r>
      <w:r w:rsidRPr="00C57630">
        <w:t>he following outputs:</w:t>
      </w:r>
    </w:p>
    <w:p w14:paraId="337DF92D" w14:textId="25626610" w:rsidR="00AE0474" w:rsidRPr="00C57630"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pPr>
      <w:r w:rsidRPr="00C57630">
        <w:rPr>
          <w:iCs/>
        </w:rPr>
        <w:t xml:space="preserve">Updating and revision of the </w:t>
      </w:r>
      <w:r w:rsidRPr="00C57630">
        <w:t>catalogue of assessments</w:t>
      </w:r>
      <w:r w:rsidR="00B24527">
        <w:t xml:space="preserve"> </w:t>
      </w:r>
      <w:r w:rsidR="00AD4722" w:rsidRPr="00C57630">
        <w:t xml:space="preserve">(deliverable </w:t>
      </w:r>
      <w:r w:rsidR="00AD4722" w:rsidRPr="000966E1">
        <w:t>4 (a</w:t>
      </w:r>
      <w:r w:rsidR="00AD4722" w:rsidRPr="00C9318F">
        <w:rPr>
          <w:b/>
        </w:rPr>
        <w:t>))</w:t>
      </w:r>
      <w:r w:rsidRPr="00C9318F">
        <w:rPr>
          <w:b/>
        </w:rPr>
        <w:t xml:space="preserve"> </w:t>
      </w:r>
      <w:r w:rsidRPr="000966E1">
        <w:t>and integration into the new web-based architecture of the catalogue of policy support tools and methodologies</w:t>
      </w:r>
      <w:r w:rsidR="00AD4722">
        <w:t>,</w:t>
      </w:r>
      <w:r w:rsidRPr="00C57630">
        <w:t xml:space="preserve"> as set out in document IPBES/</w:t>
      </w:r>
      <w:r w:rsidR="0094414E" w:rsidRPr="00C57630">
        <w:t>6</w:t>
      </w:r>
      <w:r w:rsidRPr="00C57630">
        <w:t>/INF/</w:t>
      </w:r>
      <w:r w:rsidR="00290C0E" w:rsidRPr="00C57630">
        <w:t>16</w:t>
      </w:r>
      <w:r w:rsidR="009F7B52" w:rsidRPr="00C57630">
        <w:t xml:space="preserve">, supported by the technical support unit at </w:t>
      </w:r>
      <w:r w:rsidR="00307028" w:rsidRPr="00C57630">
        <w:t>UNEP-WCMC,</w:t>
      </w:r>
      <w:r w:rsidR="009F7B52" w:rsidRPr="00C57630">
        <w:t xml:space="preserve"> thanks to in-kind </w:t>
      </w:r>
      <w:r w:rsidR="006C02EE" w:rsidRPr="00C57630">
        <w:t xml:space="preserve">support </w:t>
      </w:r>
      <w:r w:rsidR="009F7B52" w:rsidRPr="00C57630">
        <w:t>from that organization</w:t>
      </w:r>
      <w:r w:rsidRPr="00C57630">
        <w:t xml:space="preserve">; </w:t>
      </w:r>
    </w:p>
    <w:p w14:paraId="02CCEF72" w14:textId="4AF241BD" w:rsidR="00AE0474" w:rsidRPr="00C57630" w:rsidRDefault="00734A73" w:rsidP="00734A73">
      <w:pPr>
        <w:pStyle w:val="Normalnumber"/>
        <w:numPr>
          <w:ilvl w:val="1"/>
          <w:numId w:val="3"/>
        </w:numPr>
        <w:tabs>
          <w:tab w:val="clear" w:pos="1247"/>
          <w:tab w:val="clear" w:pos="1814"/>
          <w:tab w:val="clear" w:pos="2381"/>
          <w:tab w:val="clear" w:pos="2948"/>
          <w:tab w:val="clear" w:pos="3515"/>
          <w:tab w:val="left" w:pos="624"/>
        </w:tabs>
        <w:ind w:firstLine="624"/>
      </w:pPr>
      <w:r w:rsidRPr="00C57630">
        <w:t xml:space="preserve">Further work </w:t>
      </w:r>
      <w:r w:rsidR="006C02EE" w:rsidRPr="00C57630">
        <w:t>on the catalogue on policy support tools and methodologies (deliverable 4</w:t>
      </w:r>
      <w:r w:rsidR="00AD4722">
        <w:t> </w:t>
      </w:r>
      <w:r w:rsidR="006C02EE" w:rsidRPr="00C57630">
        <w:t xml:space="preserve">(c)) in response to decision IPBES-5/1, section VII, </w:t>
      </w:r>
      <w:r w:rsidRPr="00C57630">
        <w:t xml:space="preserve">by a reconstituted expert group complemented by </w:t>
      </w:r>
      <w:r w:rsidR="009A5096" w:rsidRPr="00C57630">
        <w:t>resource people from relevant international processes and interested partners</w:t>
      </w:r>
      <w:r w:rsidRPr="00C57630">
        <w:t xml:space="preserve">, involving </w:t>
      </w:r>
      <w:r w:rsidR="00B0739F" w:rsidRPr="00C57630">
        <w:t>several</w:t>
      </w:r>
      <w:r w:rsidRPr="00C57630">
        <w:t xml:space="preserve"> meeting</w:t>
      </w:r>
      <w:r w:rsidR="00B0739F" w:rsidRPr="00C57630">
        <w:t>s</w:t>
      </w:r>
      <w:r w:rsidRPr="00C57630">
        <w:t xml:space="preserve"> of the task group o</w:t>
      </w:r>
      <w:r w:rsidR="009A5096" w:rsidRPr="00C57630">
        <w:t>n the catalogue</w:t>
      </w:r>
      <w:r w:rsidR="00307028" w:rsidRPr="00C57630">
        <w:t>,</w:t>
      </w:r>
      <w:r w:rsidR="009A5096" w:rsidRPr="00C57630">
        <w:t xml:space="preserve"> held virtually given the lack of </w:t>
      </w:r>
      <w:r w:rsidR="006C02EE" w:rsidRPr="00C57630">
        <w:t xml:space="preserve">resources </w:t>
      </w:r>
      <w:r w:rsidR="009A5096" w:rsidRPr="00C57630">
        <w:t xml:space="preserve">for </w:t>
      </w:r>
      <w:r w:rsidR="006C02EE" w:rsidRPr="00C57630">
        <w:t>an in-person meeting</w:t>
      </w:r>
      <w:r w:rsidR="009A5096" w:rsidRPr="00C57630">
        <w:t xml:space="preserve">; </w:t>
      </w:r>
      <w:r w:rsidR="00AD4722">
        <w:t xml:space="preserve">and </w:t>
      </w:r>
      <w:r w:rsidR="009A5096" w:rsidRPr="00C57630">
        <w:t xml:space="preserve">the production of </w:t>
      </w:r>
      <w:r w:rsidRPr="00C57630">
        <w:t xml:space="preserve">a revised catalogue </w:t>
      </w:r>
      <w:r w:rsidR="00AE0474" w:rsidRPr="00C57630">
        <w:t xml:space="preserve">made available to Governments and stakeholders </w:t>
      </w:r>
      <w:r w:rsidR="009A5096" w:rsidRPr="00C57630">
        <w:t xml:space="preserve">in November 2017 </w:t>
      </w:r>
      <w:r w:rsidR="00AE0474" w:rsidRPr="00C57630">
        <w:t xml:space="preserve">for </w:t>
      </w:r>
      <w:r w:rsidR="00B0739F" w:rsidRPr="00C57630">
        <w:t>their</w:t>
      </w:r>
      <w:r w:rsidR="00AE0474" w:rsidRPr="00C57630">
        <w:t xml:space="preserve"> review</w:t>
      </w:r>
      <w:r w:rsidR="009A5096" w:rsidRPr="00C57630">
        <w:t>, and its</w:t>
      </w:r>
      <w:r w:rsidR="00B0739F" w:rsidRPr="00C57630">
        <w:t xml:space="preserve"> further revision </w:t>
      </w:r>
      <w:r w:rsidR="00AE0474" w:rsidRPr="00C57630">
        <w:t xml:space="preserve">prior to the </w:t>
      </w:r>
      <w:r w:rsidRPr="00C57630">
        <w:t>sixth</w:t>
      </w:r>
      <w:r w:rsidR="00B0739F" w:rsidRPr="00C57630">
        <w:t xml:space="preserve"> session of the Plenary</w:t>
      </w:r>
      <w:r w:rsidR="009F7B52" w:rsidRPr="00C57630">
        <w:t xml:space="preserve">. This work continued to be supported by the technical support unit at </w:t>
      </w:r>
      <w:r w:rsidR="00307028" w:rsidRPr="00C57630">
        <w:t>UNEP-WCMC,</w:t>
      </w:r>
      <w:r w:rsidR="009F7B52" w:rsidRPr="00C57630">
        <w:t xml:space="preserve"> thanks to an in-kind offer from that organization</w:t>
      </w:r>
      <w:r w:rsidR="00AE0474" w:rsidRPr="00C57630">
        <w:t>. A progress report on the matter is set out in document IPBES/</w:t>
      </w:r>
      <w:r w:rsidR="00B0739F" w:rsidRPr="00C57630">
        <w:t>6</w:t>
      </w:r>
      <w:r w:rsidR="00AE0474" w:rsidRPr="00C57630">
        <w:t>/INF/</w:t>
      </w:r>
      <w:r w:rsidR="00B0739F" w:rsidRPr="00C57630">
        <w:t>16</w:t>
      </w:r>
      <w:r w:rsidR="00AE0474" w:rsidRPr="00C57630">
        <w:t>;</w:t>
      </w:r>
    </w:p>
    <w:p w14:paraId="0B0A8F75" w14:textId="3F140802" w:rsidR="00AE0474" w:rsidRPr="00D44EFF" w:rsidRDefault="00AE0474" w:rsidP="00E14B20">
      <w:pPr>
        <w:pStyle w:val="Normalnumber"/>
        <w:numPr>
          <w:ilvl w:val="1"/>
          <w:numId w:val="3"/>
        </w:numPr>
        <w:tabs>
          <w:tab w:val="clear" w:pos="1247"/>
          <w:tab w:val="clear" w:pos="1814"/>
          <w:tab w:val="clear" w:pos="2381"/>
          <w:tab w:val="clear" w:pos="2948"/>
          <w:tab w:val="clear" w:pos="3515"/>
          <w:tab w:val="left" w:pos="624"/>
        </w:tabs>
      </w:pPr>
      <w:r w:rsidRPr="00C57630">
        <w:t xml:space="preserve">Activities in the context of </w:t>
      </w:r>
      <w:r w:rsidRPr="00F30D3E">
        <w:t>the communication</w:t>
      </w:r>
      <w:r w:rsidRPr="00C57630">
        <w:t xml:space="preserve"> and outreach strategy and collaboration with open-ended networks of stakeholders with regard to the implementation of the stakeholder engagement strategy in accordance with decision IPBES-4/4 (deliverable 4 (d))</w:t>
      </w:r>
      <w:r w:rsidR="00AE1DA5" w:rsidRPr="00C57630">
        <w:t xml:space="preserve">, as set out in </w:t>
      </w:r>
      <w:r w:rsidR="00444058" w:rsidRPr="00C57630">
        <w:t xml:space="preserve">background </w:t>
      </w:r>
      <w:r w:rsidR="00AE1DA5" w:rsidRPr="00C57630">
        <w:t xml:space="preserve">document </w:t>
      </w:r>
      <w:r w:rsidRPr="008E3F2B">
        <w:t>IPBES/</w:t>
      </w:r>
      <w:r w:rsidR="009A5096" w:rsidRPr="008E3F2B">
        <w:t>6</w:t>
      </w:r>
      <w:r w:rsidRPr="008E3F2B">
        <w:t>/INF/1</w:t>
      </w:r>
      <w:r w:rsidR="00AE1DA5" w:rsidRPr="008E3F2B">
        <w:t>9</w:t>
      </w:r>
      <w:r w:rsidR="00AE1DA5" w:rsidRPr="00C57630">
        <w:t xml:space="preserve">, </w:t>
      </w:r>
      <w:r w:rsidR="004A52BE" w:rsidRPr="00C57630">
        <w:t>with technical support for the</w:t>
      </w:r>
      <w:r w:rsidR="005E021C" w:rsidRPr="00C57630">
        <w:t xml:space="preserve"> implementation of the </w:t>
      </w:r>
      <w:r w:rsidR="004A52BE" w:rsidRPr="00C57630">
        <w:t xml:space="preserve">stakeholder </w:t>
      </w:r>
      <w:r w:rsidR="005E021C" w:rsidRPr="00C57630">
        <w:t xml:space="preserve">engagement </w:t>
      </w:r>
      <w:r w:rsidR="004A52BE" w:rsidRPr="00C57630">
        <w:t>strategy provided by</w:t>
      </w:r>
      <w:r w:rsidR="005E021C" w:rsidRPr="00C57630">
        <w:t xml:space="preserve"> </w:t>
      </w:r>
      <w:r w:rsidR="00AE1DA5" w:rsidRPr="00C57630">
        <w:t>IUCN</w:t>
      </w:r>
      <w:r w:rsidR="00304F4F" w:rsidRPr="00C57630">
        <w:t xml:space="preserve">, and </w:t>
      </w:r>
      <w:r w:rsidRPr="00C57630">
        <w:t xml:space="preserve">steps </w:t>
      </w:r>
      <w:r w:rsidR="00E11947" w:rsidRPr="00C57630">
        <w:t xml:space="preserve">being </w:t>
      </w:r>
      <w:r w:rsidRPr="00C57630">
        <w:t>taken to enter int</w:t>
      </w:r>
      <w:r w:rsidR="004D2D07" w:rsidRPr="00C57630">
        <w:t xml:space="preserve">o </w:t>
      </w:r>
      <w:r w:rsidR="006C02EE" w:rsidRPr="00C57630">
        <w:t xml:space="preserve">additional </w:t>
      </w:r>
      <w:r w:rsidR="004D2D07" w:rsidRPr="00C57630">
        <w:t xml:space="preserve">strategic partnerships </w:t>
      </w:r>
      <w:r w:rsidRPr="00C57630">
        <w:t>(</w:t>
      </w:r>
      <w:r w:rsidRPr="00D44EFF">
        <w:t>IPBES/</w:t>
      </w:r>
      <w:r w:rsidR="004D2D07" w:rsidRPr="00D44EFF">
        <w:t>6</w:t>
      </w:r>
      <w:r w:rsidRPr="00D44EFF">
        <w:t>/INF/</w:t>
      </w:r>
      <w:r w:rsidR="004D2D07" w:rsidRPr="00D44EFF">
        <w:t>21</w:t>
      </w:r>
      <w:r w:rsidRPr="00C57630">
        <w:t xml:space="preserve">); </w:t>
      </w:r>
    </w:p>
    <w:p w14:paraId="134CF5BB" w14:textId="5FDE215E" w:rsidR="00AE0474" w:rsidRPr="00C57630" w:rsidRDefault="00BC3617" w:rsidP="00225243">
      <w:pPr>
        <w:pStyle w:val="Normalnumber"/>
        <w:numPr>
          <w:ilvl w:val="1"/>
          <w:numId w:val="3"/>
        </w:numPr>
        <w:tabs>
          <w:tab w:val="clear" w:pos="1247"/>
          <w:tab w:val="clear" w:pos="1814"/>
          <w:tab w:val="clear" w:pos="2381"/>
          <w:tab w:val="clear" w:pos="2948"/>
          <w:tab w:val="clear" w:pos="3515"/>
          <w:tab w:val="left" w:pos="624"/>
        </w:tabs>
        <w:ind w:firstLine="624"/>
      </w:pPr>
      <w:r w:rsidRPr="00C57630">
        <w:t>F</w:t>
      </w:r>
      <w:r w:rsidR="00AE0474" w:rsidRPr="00C57630">
        <w:t xml:space="preserve">urther </w:t>
      </w:r>
      <w:r w:rsidRPr="00C57630">
        <w:t>work on the</w:t>
      </w:r>
      <w:r w:rsidR="00AE0474" w:rsidRPr="00C57630">
        <w:t xml:space="preserve"> review of the effectiveness of </w:t>
      </w:r>
      <w:r w:rsidRPr="00C57630">
        <w:t xml:space="preserve">IPBES </w:t>
      </w:r>
      <w:r w:rsidR="00A10BBD" w:rsidRPr="00C57630">
        <w:t>during</w:t>
      </w:r>
      <w:r w:rsidRPr="00C57630">
        <w:t xml:space="preserve"> its first work programme</w:t>
      </w:r>
      <w:r w:rsidR="00AE0474" w:rsidRPr="00C57630">
        <w:t xml:space="preserve"> (deliverable 4 (e))</w:t>
      </w:r>
      <w:r w:rsidRPr="00C57630">
        <w:t xml:space="preserve">, </w:t>
      </w:r>
      <w:r w:rsidR="006C02EE" w:rsidRPr="00C57630">
        <w:t>in response to</w:t>
      </w:r>
      <w:r w:rsidRPr="00C57630">
        <w:t xml:space="preserve"> decision IPBES-5/2</w:t>
      </w:r>
      <w:r w:rsidR="006B7C67" w:rsidRPr="00C57630">
        <w:t xml:space="preserve"> </w:t>
      </w:r>
      <w:r w:rsidR="00AE1DA5" w:rsidRPr="00C57630">
        <w:t xml:space="preserve">and </w:t>
      </w:r>
      <w:r w:rsidR="006B7C67" w:rsidRPr="00C57630">
        <w:t>as set out in document IPBES/6/10</w:t>
      </w:r>
      <w:r w:rsidRPr="00C57630">
        <w:t>, including</w:t>
      </w:r>
      <w:r w:rsidR="006376DE" w:rsidRPr="00C57630">
        <w:t xml:space="preserve"> </w:t>
      </w:r>
      <w:r w:rsidR="006B7C67" w:rsidRPr="00C57630">
        <w:t xml:space="preserve">preparation </w:t>
      </w:r>
      <w:r w:rsidRPr="00C57630">
        <w:t>of an internal review</w:t>
      </w:r>
      <w:r w:rsidR="00AE0474" w:rsidRPr="00C57630">
        <w:t xml:space="preserve"> </w:t>
      </w:r>
      <w:r w:rsidR="006B7C67" w:rsidRPr="00C57630">
        <w:t xml:space="preserve">report by the internal review team and endorsed </w:t>
      </w:r>
      <w:r w:rsidR="00AE0474" w:rsidRPr="00C57630">
        <w:t xml:space="preserve">by the </w:t>
      </w:r>
      <w:r w:rsidRPr="00C57630">
        <w:t xml:space="preserve">Multidisciplinary Expert Panel and </w:t>
      </w:r>
      <w:r w:rsidR="00AE0474" w:rsidRPr="00C57630">
        <w:t>the Bureau</w:t>
      </w:r>
      <w:r w:rsidR="006376DE" w:rsidRPr="00C57630">
        <w:t xml:space="preserve"> for the information of the Plenary</w:t>
      </w:r>
      <w:r w:rsidR="006B7C67" w:rsidRPr="00C57630">
        <w:t xml:space="preserve"> at its sixth session</w:t>
      </w:r>
      <w:r w:rsidR="006376DE" w:rsidRPr="00C57630">
        <w:t>, based on the questionnaire (</w:t>
      </w:r>
      <w:r w:rsidR="00907E95" w:rsidRPr="00C57630">
        <w:t xml:space="preserve">set out in the </w:t>
      </w:r>
      <w:r w:rsidR="006376DE" w:rsidRPr="00C57630">
        <w:t>annex to decision IPBES-5/2)</w:t>
      </w:r>
      <w:r w:rsidR="006B7C67" w:rsidRPr="00C57630">
        <w:t xml:space="preserve"> as</w:t>
      </w:r>
      <w:r w:rsidR="006376DE" w:rsidRPr="00C57630">
        <w:t xml:space="preserve"> revised by the Bureau, in consultation with the Multidisciplinary Panel, following the fifth session, reviewed by members and stakeholders and finalized </w:t>
      </w:r>
      <w:r w:rsidR="00F80C91" w:rsidRPr="00C57630">
        <w:t>by the Bureau, in consultation with the Multidisciplinary Panel</w:t>
      </w:r>
      <w:r w:rsidR="00907E95" w:rsidRPr="00C57630">
        <w:t xml:space="preserve"> (the full report may be found in </w:t>
      </w:r>
      <w:r w:rsidR="00444058" w:rsidRPr="00C57630">
        <w:t xml:space="preserve">background </w:t>
      </w:r>
      <w:r w:rsidR="00907E95" w:rsidRPr="00C57630">
        <w:t xml:space="preserve">document </w:t>
      </w:r>
      <w:r w:rsidR="00907E95" w:rsidRPr="00FF38B7">
        <w:t>IPBES/6/INF/32</w:t>
      </w:r>
      <w:r w:rsidR="00907E95" w:rsidRPr="00C57630">
        <w:t>)</w:t>
      </w:r>
      <w:r w:rsidR="00F80C91" w:rsidRPr="00C57630">
        <w:t>; issuance by the Executive Secretary in November 2017 of a call for the nomination of candidates for the review panel</w:t>
      </w:r>
      <w:r w:rsidR="00CE0A09">
        <w:t>;</w:t>
      </w:r>
      <w:r w:rsidR="00F80C91" w:rsidRPr="00C57630">
        <w:t xml:space="preserve"> and </w:t>
      </w:r>
      <w:r w:rsidR="00A10BBD" w:rsidRPr="00C57630">
        <w:t xml:space="preserve">initiation </w:t>
      </w:r>
      <w:r w:rsidR="00F80C91" w:rsidRPr="00C57630">
        <w:t xml:space="preserve">of a bidding process for an external </w:t>
      </w:r>
      <w:r w:rsidR="00225243" w:rsidRPr="00C57630">
        <w:t xml:space="preserve">professional organization to coordinate the review. Information on the outcome of the call and the bidding process is set out in </w:t>
      </w:r>
      <w:r w:rsidR="00444058" w:rsidRPr="00C57630">
        <w:t xml:space="preserve">background </w:t>
      </w:r>
      <w:r w:rsidR="00225243" w:rsidRPr="00C57630">
        <w:t xml:space="preserve">document </w:t>
      </w:r>
      <w:r w:rsidR="00225243" w:rsidRPr="00D44EFF">
        <w:t>IPBES/6/INF/33</w:t>
      </w:r>
      <w:r w:rsidR="006B7C67" w:rsidRPr="00C57630">
        <w:t>.</w:t>
      </w:r>
      <w:r w:rsidR="00225243" w:rsidRPr="00C57630">
        <w:t xml:space="preserve"> </w:t>
      </w:r>
    </w:p>
    <w:p w14:paraId="037545B2" w14:textId="67B2EE7C" w:rsidR="00225243" w:rsidRPr="00C57630" w:rsidRDefault="00C02AD4" w:rsidP="00225243">
      <w:pPr>
        <w:pStyle w:val="Normalnumber"/>
        <w:numPr>
          <w:ilvl w:val="1"/>
          <w:numId w:val="3"/>
        </w:numPr>
        <w:tabs>
          <w:tab w:val="clear" w:pos="1247"/>
          <w:tab w:val="clear" w:pos="1814"/>
          <w:tab w:val="clear" w:pos="2381"/>
          <w:tab w:val="clear" w:pos="2948"/>
          <w:tab w:val="clear" w:pos="3515"/>
          <w:tab w:val="left" w:pos="624"/>
        </w:tabs>
        <w:ind w:firstLine="624"/>
      </w:pPr>
      <w:bookmarkStart w:id="7" w:name="_Hlk500767130"/>
      <w:r w:rsidRPr="008E3F2B">
        <w:t>Further work by the Committee on Conflicts of Interest, and preparation of a report</w:t>
      </w:r>
      <w:r w:rsidR="00AE1DA5" w:rsidRPr="008E3F2B">
        <w:t>,</w:t>
      </w:r>
      <w:r w:rsidRPr="008E3F2B">
        <w:t xml:space="preserve"> </w:t>
      </w:r>
      <w:r w:rsidR="00AE1DA5" w:rsidRPr="008E3F2B">
        <w:t xml:space="preserve">as </w:t>
      </w:r>
      <w:r w:rsidRPr="008E3F2B">
        <w:t xml:space="preserve">set out in </w:t>
      </w:r>
      <w:r w:rsidR="00444058" w:rsidRPr="008E3F2B">
        <w:t xml:space="preserve">background </w:t>
      </w:r>
      <w:r w:rsidRPr="008E3F2B">
        <w:t xml:space="preserve">document </w:t>
      </w:r>
      <w:r w:rsidRPr="00A6004A">
        <w:t>IPBES/6/INF/22</w:t>
      </w:r>
      <w:r w:rsidRPr="00C57630">
        <w:t xml:space="preserve">, in accordance with rule 10 of the implementation procedures of the conflict-of-interest policy set out in annex II to decision IPBES-3/3. </w:t>
      </w:r>
    </w:p>
    <w:bookmarkEnd w:id="7"/>
    <w:p w14:paraId="0A7BD41D" w14:textId="237F6ABC" w:rsidR="00AE0474" w:rsidRPr="00C57630" w:rsidRDefault="00AE0474" w:rsidP="00D86FBA">
      <w:pPr>
        <w:pStyle w:val="CH1"/>
        <w:tabs>
          <w:tab w:val="left" w:pos="4082"/>
        </w:tabs>
      </w:pPr>
      <w:r w:rsidRPr="00C57630">
        <w:tab/>
      </w:r>
      <w:r w:rsidR="003163D2" w:rsidRPr="00C57630">
        <w:t>II.</w:t>
      </w:r>
      <w:r w:rsidR="00225243" w:rsidRPr="00C57630">
        <w:tab/>
      </w:r>
      <w:r w:rsidRPr="00C57630">
        <w:t>Update regarding the recruitment of staff members to the secretariat in 201</w:t>
      </w:r>
      <w:r w:rsidR="00225243" w:rsidRPr="00C57630">
        <w:t>7</w:t>
      </w:r>
    </w:p>
    <w:p w14:paraId="4B484ED0" w14:textId="7A9F5CCA" w:rsidR="00AE0474" w:rsidRPr="00C57630" w:rsidRDefault="00BD0B5C" w:rsidP="00D86FBA">
      <w:pPr>
        <w:pStyle w:val="Normalnumber"/>
        <w:numPr>
          <w:ilvl w:val="0"/>
          <w:numId w:val="3"/>
        </w:numPr>
        <w:tabs>
          <w:tab w:val="clear" w:pos="1247"/>
          <w:tab w:val="clear" w:pos="1814"/>
          <w:tab w:val="clear" w:pos="2381"/>
          <w:tab w:val="clear" w:pos="2948"/>
          <w:tab w:val="clear" w:pos="3515"/>
        </w:tabs>
      </w:pPr>
      <w:bookmarkStart w:id="8" w:name="_Hlk499031423"/>
      <w:r w:rsidRPr="00C57630">
        <w:t xml:space="preserve">In </w:t>
      </w:r>
      <w:r w:rsidR="00AE1DA5" w:rsidRPr="00C57630">
        <w:t xml:space="preserve">May </w:t>
      </w:r>
      <w:r w:rsidRPr="00C57630">
        <w:t xml:space="preserve">2017, a new </w:t>
      </w:r>
      <w:r w:rsidRPr="008235A9">
        <w:t>administrative</w:t>
      </w:r>
      <w:r w:rsidRPr="00C57630">
        <w:t xml:space="preserve"> officer (P-3)</w:t>
      </w:r>
      <w:r w:rsidR="00AE1DA5" w:rsidRPr="00C57630">
        <w:t>,</w:t>
      </w:r>
      <w:r w:rsidRPr="00C57630">
        <w:t xml:space="preserve"> </w:t>
      </w:r>
      <w:r w:rsidR="00AE1DA5" w:rsidRPr="00C57630">
        <w:t xml:space="preserve">responsible for </w:t>
      </w:r>
      <w:r w:rsidRPr="00C57630">
        <w:t xml:space="preserve">finance, budget and administration, was recruited to replace a staff member </w:t>
      </w:r>
      <w:r w:rsidR="00AE1DA5" w:rsidRPr="00C57630">
        <w:t xml:space="preserve">who had </w:t>
      </w:r>
      <w:r w:rsidRPr="00C57630">
        <w:t>left in February</w:t>
      </w:r>
      <w:r w:rsidR="00AE1DA5" w:rsidRPr="00C57630">
        <w:t xml:space="preserve"> 2017</w:t>
      </w:r>
      <w:r w:rsidR="00AE0474" w:rsidRPr="00C57630">
        <w:t>.</w:t>
      </w:r>
      <w:r w:rsidRPr="00C57630">
        <w:t xml:space="preserve"> </w:t>
      </w:r>
      <w:r w:rsidR="006B7C67" w:rsidRPr="00C57630">
        <w:t xml:space="preserve">The position of a </w:t>
      </w:r>
      <w:r w:rsidRPr="00C57630">
        <w:t>consultant at the G-5 level</w:t>
      </w:r>
      <w:r w:rsidR="006B7C67" w:rsidRPr="00C57630">
        <w:t xml:space="preserve"> </w:t>
      </w:r>
      <w:r w:rsidRPr="00C57630">
        <w:t xml:space="preserve">is </w:t>
      </w:r>
      <w:r w:rsidR="005C4ED0" w:rsidRPr="00C57630">
        <w:t>currently under recruitment</w:t>
      </w:r>
      <w:r w:rsidR="006B7C67" w:rsidRPr="00C57630">
        <w:t xml:space="preserve">. </w:t>
      </w:r>
      <w:r w:rsidR="00AE1DA5" w:rsidRPr="00C57630">
        <w:t>I</w:t>
      </w:r>
      <w:r w:rsidR="006B7C67" w:rsidRPr="00C57630">
        <w:t>n decision IPBES-5/6</w:t>
      </w:r>
      <w:r w:rsidR="00AE1DA5" w:rsidRPr="00C57630">
        <w:t>, the Plenary</w:t>
      </w:r>
      <w:r w:rsidR="006B7C67" w:rsidRPr="00C57630">
        <w:t xml:space="preserve"> had approved </w:t>
      </w:r>
      <w:r w:rsidR="00AE1DA5" w:rsidRPr="00C57630">
        <w:t xml:space="preserve">funding for one half of the cost </w:t>
      </w:r>
      <w:r w:rsidR="006B7C67" w:rsidRPr="00C57630">
        <w:t xml:space="preserve">of this position, and Germany has </w:t>
      </w:r>
      <w:r w:rsidR="00AE1DA5" w:rsidRPr="00C57630">
        <w:t xml:space="preserve">since </w:t>
      </w:r>
      <w:r w:rsidR="006B7C67" w:rsidRPr="00C57630">
        <w:t>provided</w:t>
      </w:r>
      <w:r w:rsidR="00262D42" w:rsidRPr="00C57630">
        <w:t xml:space="preserve"> an in-kind cash contribution </w:t>
      </w:r>
      <w:r w:rsidR="00AE0474" w:rsidRPr="00C57630">
        <w:t xml:space="preserve">to </w:t>
      </w:r>
      <w:r w:rsidR="00AE1DA5" w:rsidRPr="00C57630">
        <w:t xml:space="preserve">enable </w:t>
      </w:r>
      <w:r w:rsidR="00262D42" w:rsidRPr="00C57630">
        <w:t xml:space="preserve">the recruitment of a </w:t>
      </w:r>
      <w:r w:rsidR="00883121" w:rsidRPr="00C57630">
        <w:t>full-time</w:t>
      </w:r>
      <w:r w:rsidR="00262D42" w:rsidRPr="00C57630">
        <w:t xml:space="preserve"> </w:t>
      </w:r>
      <w:r w:rsidR="00AE1DA5" w:rsidRPr="00C57630">
        <w:t xml:space="preserve">staff member </w:t>
      </w:r>
      <w:r w:rsidR="00262D42" w:rsidRPr="00C57630">
        <w:t xml:space="preserve">to </w:t>
      </w:r>
      <w:r w:rsidR="00AE0474" w:rsidRPr="00C57630">
        <w:t xml:space="preserve">support </w:t>
      </w:r>
      <w:r w:rsidR="005C4ED0" w:rsidRPr="00C57630">
        <w:t>the f</w:t>
      </w:r>
      <w:r w:rsidR="00AE0474" w:rsidRPr="00C57630">
        <w:t xml:space="preserve">urther development and maintenance of the data management system that </w:t>
      </w:r>
      <w:r w:rsidR="005C4ED0" w:rsidRPr="00C57630">
        <w:t>supports the</w:t>
      </w:r>
      <w:r w:rsidR="00AE0474" w:rsidRPr="00C57630">
        <w:t xml:space="preserve"> implementation of the</w:t>
      </w:r>
      <w:r w:rsidR="005C4ED0" w:rsidRPr="00C57630">
        <w:t xml:space="preserve"> IPBES</w:t>
      </w:r>
      <w:r w:rsidR="00AE0474" w:rsidRPr="00C57630">
        <w:t xml:space="preserve"> work programme.</w:t>
      </w:r>
      <w:r w:rsidR="00FE51C6">
        <w:t xml:space="preserve"> </w:t>
      </w:r>
    </w:p>
    <w:bookmarkEnd w:id="8"/>
    <w:p w14:paraId="30045D33" w14:textId="1C34BFD3" w:rsidR="00AE0474" w:rsidRPr="00C57630" w:rsidRDefault="00D86FBA" w:rsidP="00D86FBA">
      <w:pPr>
        <w:pStyle w:val="CH3"/>
        <w:tabs>
          <w:tab w:val="left" w:pos="4082"/>
        </w:tabs>
      </w:pPr>
      <w:r w:rsidRPr="00C57630">
        <w:lastRenderedPageBreak/>
        <w:tab/>
      </w:r>
      <w:r w:rsidRPr="00C57630">
        <w:tab/>
      </w:r>
      <w:r w:rsidR="00AE0474" w:rsidRPr="00C57630">
        <w:t>Staffing of the secretariat of the Intergovernmental Science-Policy</w:t>
      </w:r>
      <w:r w:rsidR="00AE0474" w:rsidRPr="00C57630">
        <w:br/>
        <w:t>Platform on Biodiversit</w:t>
      </w:r>
      <w:r w:rsidR="005C4ED0" w:rsidRPr="00C57630">
        <w:t>y and Ecosystem Services in 2017</w:t>
      </w:r>
    </w:p>
    <w:tbl>
      <w:tblPr>
        <w:tblW w:w="4205" w:type="pct"/>
        <w:tblInd w:w="1384" w:type="dxa"/>
        <w:tblLook w:val="04A0" w:firstRow="1" w:lastRow="0" w:firstColumn="1" w:lastColumn="0" w:noHBand="0" w:noVBand="1"/>
      </w:tblPr>
      <w:tblGrid>
        <w:gridCol w:w="4592"/>
        <w:gridCol w:w="3675"/>
      </w:tblGrid>
      <w:tr w:rsidR="00AE0474" w:rsidRPr="00C57630" w14:paraId="26B8017B" w14:textId="77777777" w:rsidTr="00C9318F">
        <w:trPr>
          <w:tblHeader/>
        </w:trPr>
        <w:tc>
          <w:tcPr>
            <w:tcW w:w="4592" w:type="dxa"/>
            <w:tcBorders>
              <w:top w:val="single" w:sz="4" w:space="0" w:color="auto"/>
              <w:bottom w:val="single" w:sz="12" w:space="0" w:color="auto"/>
            </w:tcBorders>
            <w:shd w:val="clear" w:color="auto" w:fill="auto"/>
          </w:tcPr>
          <w:p w14:paraId="32784CFD" w14:textId="77777777" w:rsidR="00AE0474" w:rsidRPr="00C57630" w:rsidRDefault="00AE0474" w:rsidP="00086B30">
            <w:pPr>
              <w:keepNext/>
              <w:keepLines/>
              <w:tabs>
                <w:tab w:val="left" w:pos="3694"/>
              </w:tabs>
              <w:spacing w:before="40" w:after="40"/>
              <w:rPr>
                <w:i/>
                <w:iCs/>
                <w:sz w:val="18"/>
                <w:szCs w:val="18"/>
                <w:lang w:eastAsia="en-CA" w:bidi="en-US"/>
              </w:rPr>
            </w:pPr>
            <w:r w:rsidRPr="00C57630">
              <w:rPr>
                <w:i/>
                <w:iCs/>
                <w:sz w:val="18"/>
                <w:szCs w:val="18"/>
                <w:lang w:eastAsia="en-CA" w:bidi="en-US"/>
              </w:rPr>
              <w:t>Position</w:t>
            </w:r>
          </w:p>
        </w:tc>
        <w:tc>
          <w:tcPr>
            <w:tcW w:w="3675" w:type="dxa"/>
            <w:tcBorders>
              <w:top w:val="single" w:sz="4" w:space="0" w:color="auto"/>
              <w:bottom w:val="single" w:sz="12" w:space="0" w:color="auto"/>
            </w:tcBorders>
            <w:shd w:val="clear" w:color="auto" w:fill="auto"/>
          </w:tcPr>
          <w:p w14:paraId="4C2E491F" w14:textId="77777777" w:rsidR="00AE0474" w:rsidRPr="00C57630" w:rsidRDefault="00AE0474" w:rsidP="00086B30">
            <w:pPr>
              <w:keepNext/>
              <w:keepLines/>
              <w:spacing w:before="40" w:after="40"/>
              <w:rPr>
                <w:i/>
                <w:iCs/>
                <w:sz w:val="18"/>
                <w:szCs w:val="18"/>
                <w:lang w:eastAsia="en-CA" w:bidi="en-US"/>
              </w:rPr>
            </w:pPr>
            <w:r w:rsidRPr="00C57630">
              <w:rPr>
                <w:i/>
                <w:iCs/>
                <w:sz w:val="18"/>
                <w:szCs w:val="18"/>
                <w:lang w:eastAsia="en-CA" w:bidi="en-US"/>
              </w:rPr>
              <w:t>Timeline</w:t>
            </w:r>
          </w:p>
        </w:tc>
      </w:tr>
      <w:tr w:rsidR="00AE0474" w:rsidRPr="00C57630" w14:paraId="00F8A92A" w14:textId="77777777" w:rsidTr="00C9318F">
        <w:trPr>
          <w:tblHeader/>
        </w:trPr>
        <w:tc>
          <w:tcPr>
            <w:tcW w:w="4592" w:type="dxa"/>
            <w:tcBorders>
              <w:top w:val="single" w:sz="12" w:space="0" w:color="auto"/>
            </w:tcBorders>
            <w:shd w:val="clear" w:color="auto" w:fill="auto"/>
          </w:tcPr>
          <w:p w14:paraId="7C1D8FA4"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Head of secretariat (D-1)</w:t>
            </w:r>
          </w:p>
        </w:tc>
        <w:tc>
          <w:tcPr>
            <w:tcW w:w="3675" w:type="dxa"/>
            <w:tcBorders>
              <w:top w:val="single" w:sz="12" w:space="0" w:color="auto"/>
            </w:tcBorders>
            <w:shd w:val="clear" w:color="auto" w:fill="auto"/>
          </w:tcPr>
          <w:p w14:paraId="151C7D1E"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In place since February 2014</w:t>
            </w:r>
          </w:p>
        </w:tc>
      </w:tr>
      <w:tr w:rsidR="00AE0474" w:rsidRPr="00C57630" w14:paraId="0364F541" w14:textId="77777777" w:rsidTr="00C9318F">
        <w:trPr>
          <w:tblHeader/>
        </w:trPr>
        <w:tc>
          <w:tcPr>
            <w:tcW w:w="4592" w:type="dxa"/>
            <w:shd w:val="clear" w:color="auto" w:fill="auto"/>
          </w:tcPr>
          <w:p w14:paraId="5E7E6BC0"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Programme Officer (P-4)</w:t>
            </w:r>
            <w:r w:rsidRPr="00C57630">
              <w:rPr>
                <w:sz w:val="18"/>
                <w:szCs w:val="18"/>
                <w:vertAlign w:val="superscript"/>
                <w:lang w:eastAsia="en-CA" w:bidi="en-US"/>
              </w:rPr>
              <w:t>a</w:t>
            </w:r>
          </w:p>
        </w:tc>
        <w:tc>
          <w:tcPr>
            <w:tcW w:w="3675" w:type="dxa"/>
            <w:shd w:val="clear" w:color="auto" w:fill="auto"/>
          </w:tcPr>
          <w:p w14:paraId="32F88722"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In place since March 2015</w:t>
            </w:r>
          </w:p>
        </w:tc>
      </w:tr>
      <w:tr w:rsidR="00AE0474" w:rsidRPr="00C57630" w14:paraId="6ABE4010" w14:textId="77777777" w:rsidTr="00C9318F">
        <w:trPr>
          <w:tblHeader/>
        </w:trPr>
        <w:tc>
          <w:tcPr>
            <w:tcW w:w="4592" w:type="dxa"/>
            <w:shd w:val="clear" w:color="auto" w:fill="auto"/>
          </w:tcPr>
          <w:p w14:paraId="5321602E"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Communications Officer (P-4)</w:t>
            </w:r>
          </w:p>
        </w:tc>
        <w:tc>
          <w:tcPr>
            <w:tcW w:w="3675" w:type="dxa"/>
            <w:shd w:val="clear" w:color="auto" w:fill="auto"/>
          </w:tcPr>
          <w:p w14:paraId="4273ACF0"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In place since July 2016</w:t>
            </w:r>
          </w:p>
        </w:tc>
      </w:tr>
      <w:tr w:rsidR="00AE0474" w:rsidRPr="00C57630" w14:paraId="2E4501A9" w14:textId="77777777" w:rsidTr="00C9318F">
        <w:trPr>
          <w:tblHeader/>
        </w:trPr>
        <w:tc>
          <w:tcPr>
            <w:tcW w:w="4592" w:type="dxa"/>
            <w:shd w:val="clear" w:color="auto" w:fill="auto"/>
          </w:tcPr>
          <w:p w14:paraId="1FAC8D97"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Programme Officer (P-3)</w:t>
            </w:r>
          </w:p>
        </w:tc>
        <w:tc>
          <w:tcPr>
            <w:tcW w:w="3675" w:type="dxa"/>
            <w:shd w:val="clear" w:color="auto" w:fill="auto"/>
          </w:tcPr>
          <w:p w14:paraId="39C0A349"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In place since April 2015</w:t>
            </w:r>
          </w:p>
        </w:tc>
      </w:tr>
      <w:tr w:rsidR="00AE0474" w:rsidRPr="00C57630" w14:paraId="229B6336" w14:textId="77777777" w:rsidTr="00C9318F">
        <w:trPr>
          <w:tblHeader/>
        </w:trPr>
        <w:tc>
          <w:tcPr>
            <w:tcW w:w="4592" w:type="dxa"/>
            <w:shd w:val="clear" w:color="auto" w:fill="auto"/>
          </w:tcPr>
          <w:p w14:paraId="285D7794" w14:textId="77777777" w:rsidR="00AE0474" w:rsidRPr="00C57630" w:rsidRDefault="00AE0474" w:rsidP="00086B30">
            <w:pPr>
              <w:keepNext/>
              <w:keepLines/>
              <w:spacing w:before="40" w:after="40"/>
              <w:rPr>
                <w:sz w:val="18"/>
                <w:szCs w:val="18"/>
                <w:lang w:eastAsia="en-CA" w:bidi="en-US"/>
              </w:rPr>
            </w:pPr>
            <w:r w:rsidRPr="00C57630">
              <w:rPr>
                <w:sz w:val="18"/>
                <w:szCs w:val="18"/>
                <w:lang w:eastAsia="en-CA" w:bidi="en-US"/>
              </w:rPr>
              <w:t>Administrative Officer (P-3)</w:t>
            </w:r>
          </w:p>
        </w:tc>
        <w:tc>
          <w:tcPr>
            <w:tcW w:w="3675" w:type="dxa"/>
            <w:shd w:val="clear" w:color="auto" w:fill="auto"/>
          </w:tcPr>
          <w:p w14:paraId="24C131AC" w14:textId="7BFCA4AD" w:rsidR="00AE0474" w:rsidRPr="00C57630" w:rsidRDefault="00AE0474" w:rsidP="00086B30">
            <w:pPr>
              <w:keepNext/>
              <w:keepLines/>
              <w:spacing w:before="40" w:after="40"/>
              <w:rPr>
                <w:sz w:val="18"/>
                <w:szCs w:val="18"/>
                <w:lang w:eastAsia="en-CA" w:bidi="en-US"/>
              </w:rPr>
            </w:pPr>
            <w:r w:rsidRPr="00C57630">
              <w:rPr>
                <w:sz w:val="18"/>
                <w:szCs w:val="18"/>
                <w:lang w:eastAsia="en-CA" w:bidi="en-US"/>
              </w:rPr>
              <w:t xml:space="preserve">In place since </w:t>
            </w:r>
            <w:r w:rsidR="00D02124" w:rsidRPr="00C57630">
              <w:rPr>
                <w:sz w:val="18"/>
                <w:szCs w:val="18"/>
                <w:lang w:eastAsia="en-CA" w:bidi="en-US"/>
              </w:rPr>
              <w:t>May 2017</w:t>
            </w:r>
          </w:p>
        </w:tc>
      </w:tr>
      <w:tr w:rsidR="00AE0474" w:rsidRPr="00C57630" w14:paraId="3F05D67A" w14:textId="77777777" w:rsidTr="00C9318F">
        <w:trPr>
          <w:trHeight w:val="159"/>
          <w:tblHeader/>
        </w:trPr>
        <w:tc>
          <w:tcPr>
            <w:tcW w:w="4592" w:type="dxa"/>
            <w:shd w:val="clear" w:color="auto" w:fill="auto"/>
          </w:tcPr>
          <w:p w14:paraId="4A5ED2CD" w14:textId="13488156" w:rsidR="00AE0474" w:rsidRPr="00C57630" w:rsidRDefault="00AE0474" w:rsidP="00086B30">
            <w:pPr>
              <w:keepNext/>
              <w:keepLines/>
              <w:spacing w:before="40" w:after="40"/>
              <w:rPr>
                <w:sz w:val="18"/>
                <w:szCs w:val="18"/>
                <w:lang w:eastAsia="en-CA" w:bidi="en-US"/>
              </w:rPr>
            </w:pPr>
            <w:r w:rsidRPr="00C57630">
              <w:rPr>
                <w:sz w:val="18"/>
                <w:szCs w:val="18"/>
                <w:lang w:eastAsia="en-CA" w:bidi="en-US"/>
              </w:rPr>
              <w:t>Associate Knowledge Management Officer (P-2)</w:t>
            </w:r>
          </w:p>
        </w:tc>
        <w:tc>
          <w:tcPr>
            <w:tcW w:w="3675" w:type="dxa"/>
            <w:shd w:val="clear" w:color="auto" w:fill="auto"/>
          </w:tcPr>
          <w:p w14:paraId="074361A6" w14:textId="58C8166B" w:rsidR="00AE0474" w:rsidRPr="00C57630" w:rsidRDefault="00AE0474" w:rsidP="00086B30">
            <w:pPr>
              <w:keepNext/>
              <w:keepLines/>
              <w:spacing w:before="40" w:after="40"/>
              <w:rPr>
                <w:sz w:val="18"/>
                <w:szCs w:val="18"/>
                <w:lang w:eastAsia="en-CA" w:bidi="en-US"/>
              </w:rPr>
            </w:pPr>
            <w:r w:rsidRPr="00C57630">
              <w:rPr>
                <w:sz w:val="18"/>
                <w:szCs w:val="18"/>
                <w:lang w:eastAsia="en-CA"/>
              </w:rPr>
              <w:t>In place since May 2016</w:t>
            </w:r>
          </w:p>
        </w:tc>
      </w:tr>
      <w:tr w:rsidR="00D7210B" w:rsidRPr="00C57630" w14:paraId="3B91EC9C" w14:textId="77777777" w:rsidTr="00C9318F">
        <w:trPr>
          <w:tblHeader/>
        </w:trPr>
        <w:tc>
          <w:tcPr>
            <w:tcW w:w="4592" w:type="dxa"/>
            <w:shd w:val="clear" w:color="auto" w:fill="auto"/>
          </w:tcPr>
          <w:p w14:paraId="00CDB2FA" w14:textId="315D763D" w:rsidR="00D7210B" w:rsidRPr="00C57630" w:rsidRDefault="00D7210B" w:rsidP="00086B30">
            <w:pPr>
              <w:keepNext/>
              <w:keepLines/>
              <w:spacing w:before="40" w:after="40"/>
              <w:rPr>
                <w:sz w:val="18"/>
                <w:szCs w:val="18"/>
                <w:lang w:eastAsia="en-CA" w:bidi="en-US"/>
              </w:rPr>
            </w:pPr>
            <w:r w:rsidRPr="00C57630">
              <w:rPr>
                <w:sz w:val="18"/>
                <w:szCs w:val="18"/>
                <w:lang w:eastAsia="en-CA" w:bidi="en-US"/>
              </w:rPr>
              <w:t>Associate Programme Officer (P-2)</w:t>
            </w:r>
          </w:p>
        </w:tc>
        <w:tc>
          <w:tcPr>
            <w:tcW w:w="3675" w:type="dxa"/>
            <w:shd w:val="clear" w:color="auto" w:fill="auto"/>
          </w:tcPr>
          <w:p w14:paraId="6E57DBA3" w14:textId="79509943" w:rsidR="00D7210B" w:rsidRPr="00C57630" w:rsidRDefault="00D7210B" w:rsidP="00086B30">
            <w:pPr>
              <w:keepNext/>
              <w:keepLines/>
              <w:spacing w:before="40" w:after="40"/>
              <w:rPr>
                <w:sz w:val="18"/>
                <w:szCs w:val="18"/>
                <w:lang w:eastAsia="en-CA"/>
              </w:rPr>
            </w:pPr>
            <w:r w:rsidRPr="00C57630">
              <w:rPr>
                <w:sz w:val="18"/>
                <w:szCs w:val="18"/>
                <w:lang w:eastAsia="en-CA" w:bidi="en-US"/>
              </w:rPr>
              <w:t>In place since February 2016</w:t>
            </w:r>
          </w:p>
        </w:tc>
      </w:tr>
      <w:tr w:rsidR="00AE0474" w:rsidRPr="00C57630" w14:paraId="295CFB0D" w14:textId="77777777" w:rsidTr="00C9318F">
        <w:trPr>
          <w:tblHeader/>
        </w:trPr>
        <w:tc>
          <w:tcPr>
            <w:tcW w:w="4592" w:type="dxa"/>
            <w:shd w:val="clear" w:color="auto" w:fill="auto"/>
          </w:tcPr>
          <w:p w14:paraId="06A89199" w14:textId="57155861" w:rsidR="00AE0474" w:rsidRPr="00C57630" w:rsidRDefault="00AE0474" w:rsidP="00086B30">
            <w:pPr>
              <w:keepNext/>
              <w:keepLines/>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(G-6)</w:t>
            </w:r>
          </w:p>
        </w:tc>
        <w:tc>
          <w:tcPr>
            <w:tcW w:w="3675" w:type="dxa"/>
            <w:shd w:val="clear" w:color="auto" w:fill="auto"/>
          </w:tcPr>
          <w:p w14:paraId="1FD42A06" w14:textId="338E9222" w:rsidR="00AE0474" w:rsidRPr="00C57630" w:rsidRDefault="00AE0474" w:rsidP="00086B30">
            <w:pPr>
              <w:keepNext/>
              <w:keepLines/>
              <w:spacing w:before="40" w:after="40"/>
              <w:rPr>
                <w:sz w:val="18"/>
                <w:szCs w:val="18"/>
                <w:lang w:eastAsia="en-CA" w:bidi="en-US"/>
              </w:rPr>
            </w:pPr>
            <w:r w:rsidRPr="00C57630">
              <w:rPr>
                <w:sz w:val="18"/>
                <w:szCs w:val="18"/>
                <w:lang w:eastAsia="en-CA" w:bidi="en-US"/>
              </w:rPr>
              <w:t>In place since May 2016</w:t>
            </w:r>
          </w:p>
        </w:tc>
      </w:tr>
      <w:tr w:rsidR="00D7210B" w:rsidRPr="00C57630" w14:paraId="017F6062" w14:textId="77777777" w:rsidTr="00C9318F">
        <w:trPr>
          <w:tblHeader/>
        </w:trPr>
        <w:tc>
          <w:tcPr>
            <w:tcW w:w="4592" w:type="dxa"/>
            <w:shd w:val="clear" w:color="auto" w:fill="auto"/>
          </w:tcPr>
          <w:p w14:paraId="43B5EF69" w14:textId="74C038C8" w:rsidR="00D7210B" w:rsidRPr="00C57630" w:rsidRDefault="00D7210B" w:rsidP="00086B30">
            <w:pPr>
              <w:keepNext/>
              <w:keepLines/>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(G-6)</w:t>
            </w:r>
          </w:p>
        </w:tc>
        <w:tc>
          <w:tcPr>
            <w:tcW w:w="3675" w:type="dxa"/>
            <w:shd w:val="clear" w:color="auto" w:fill="auto"/>
          </w:tcPr>
          <w:p w14:paraId="35AE79B2" w14:textId="725F213F" w:rsidR="00D7210B" w:rsidRPr="00C57630" w:rsidRDefault="00D7210B" w:rsidP="00086B30">
            <w:pPr>
              <w:keepNext/>
              <w:keepLines/>
              <w:spacing w:before="40" w:after="40"/>
              <w:rPr>
                <w:sz w:val="18"/>
                <w:szCs w:val="18"/>
                <w:lang w:eastAsia="en-CA" w:bidi="en-US"/>
              </w:rPr>
            </w:pPr>
            <w:r w:rsidRPr="00C57630">
              <w:rPr>
                <w:sz w:val="18"/>
                <w:szCs w:val="18"/>
                <w:lang w:eastAsia="en-CA" w:bidi="en-US"/>
              </w:rPr>
              <w:t>In place since August 2016</w:t>
            </w:r>
          </w:p>
        </w:tc>
      </w:tr>
      <w:tr w:rsidR="00AE0474" w:rsidRPr="00C57630" w14:paraId="01F80AD8" w14:textId="77777777" w:rsidTr="00C9318F">
        <w:trPr>
          <w:tblHeader/>
        </w:trPr>
        <w:tc>
          <w:tcPr>
            <w:tcW w:w="4592" w:type="dxa"/>
            <w:shd w:val="clear" w:color="auto" w:fill="auto"/>
          </w:tcPr>
          <w:p w14:paraId="6F17F783" w14:textId="0D4F4AB8" w:rsidR="00AE0474" w:rsidRPr="00C57630" w:rsidRDefault="00AE0474" w:rsidP="00086B30">
            <w:pPr>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(G-5)</w:t>
            </w:r>
          </w:p>
        </w:tc>
        <w:tc>
          <w:tcPr>
            <w:tcW w:w="3675" w:type="dxa"/>
            <w:shd w:val="clear" w:color="auto" w:fill="auto"/>
          </w:tcPr>
          <w:p w14:paraId="057F5BF9" w14:textId="77777777" w:rsidR="00AE0474" w:rsidRPr="00C57630" w:rsidRDefault="00AE0474" w:rsidP="00086B30">
            <w:pPr>
              <w:spacing w:before="40" w:after="40"/>
              <w:rPr>
                <w:sz w:val="18"/>
                <w:szCs w:val="18"/>
                <w:lang w:eastAsia="en-CA" w:bidi="en-US"/>
              </w:rPr>
            </w:pPr>
            <w:r w:rsidRPr="00C57630">
              <w:rPr>
                <w:sz w:val="18"/>
                <w:szCs w:val="18"/>
                <w:lang w:eastAsia="en-CA" w:bidi="en-US"/>
              </w:rPr>
              <w:t>In place since July 2016</w:t>
            </w:r>
          </w:p>
        </w:tc>
      </w:tr>
      <w:tr w:rsidR="00AE0474" w:rsidRPr="00C57630" w14:paraId="1EABC2CF" w14:textId="77777777" w:rsidTr="00C9318F">
        <w:trPr>
          <w:tblHeader/>
        </w:trPr>
        <w:tc>
          <w:tcPr>
            <w:tcW w:w="4592" w:type="dxa"/>
            <w:shd w:val="clear" w:color="auto" w:fill="auto"/>
          </w:tcPr>
          <w:p w14:paraId="4D323156" w14:textId="35F22446" w:rsidR="00AE0474" w:rsidRPr="00C57630" w:rsidRDefault="00AE0474" w:rsidP="00086B30">
            <w:pPr>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(G-5)</w:t>
            </w:r>
          </w:p>
        </w:tc>
        <w:tc>
          <w:tcPr>
            <w:tcW w:w="3675" w:type="dxa"/>
            <w:shd w:val="clear" w:color="auto" w:fill="auto"/>
          </w:tcPr>
          <w:p w14:paraId="00718945" w14:textId="6D1A48F5" w:rsidR="00AE0474" w:rsidRPr="00C57630" w:rsidRDefault="00AE0474" w:rsidP="00086B30">
            <w:pPr>
              <w:spacing w:before="40" w:after="40"/>
              <w:rPr>
                <w:sz w:val="18"/>
                <w:szCs w:val="18"/>
                <w:lang w:eastAsia="en-CA" w:bidi="en-US"/>
              </w:rPr>
            </w:pPr>
            <w:r w:rsidRPr="00C57630">
              <w:rPr>
                <w:sz w:val="18"/>
                <w:szCs w:val="18"/>
                <w:lang w:eastAsia="en-CA" w:bidi="en-US"/>
              </w:rPr>
              <w:t>In place since July 2013</w:t>
            </w:r>
          </w:p>
        </w:tc>
      </w:tr>
      <w:tr w:rsidR="00D7210B" w:rsidRPr="00C57630" w14:paraId="065194D6" w14:textId="77777777" w:rsidTr="00C9318F">
        <w:trPr>
          <w:tblHeader/>
        </w:trPr>
        <w:tc>
          <w:tcPr>
            <w:tcW w:w="4592" w:type="dxa"/>
            <w:shd w:val="clear" w:color="auto" w:fill="auto"/>
          </w:tcPr>
          <w:p w14:paraId="305DAE64" w14:textId="25666A72" w:rsidR="00D7210B" w:rsidRPr="00C57630" w:rsidRDefault="00D7210B" w:rsidP="00086B30">
            <w:pPr>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(G-5)</w:t>
            </w:r>
          </w:p>
        </w:tc>
        <w:tc>
          <w:tcPr>
            <w:tcW w:w="3675" w:type="dxa"/>
            <w:shd w:val="clear" w:color="auto" w:fill="auto"/>
          </w:tcPr>
          <w:p w14:paraId="14F7ED26" w14:textId="12D6E872" w:rsidR="00D7210B" w:rsidRPr="00C57630" w:rsidRDefault="00D7210B" w:rsidP="00086B30">
            <w:pPr>
              <w:spacing w:before="40" w:after="40"/>
              <w:rPr>
                <w:sz w:val="18"/>
                <w:szCs w:val="18"/>
                <w:lang w:eastAsia="en-CA" w:bidi="en-US"/>
              </w:rPr>
            </w:pPr>
            <w:r w:rsidRPr="00C57630">
              <w:rPr>
                <w:sz w:val="18"/>
                <w:szCs w:val="18"/>
                <w:lang w:eastAsia="en-CA" w:bidi="en-US"/>
              </w:rPr>
              <w:t>In place since August 2015</w:t>
            </w:r>
          </w:p>
        </w:tc>
      </w:tr>
      <w:tr w:rsidR="00D02124" w:rsidRPr="00C57630" w14:paraId="20F68D8F" w14:textId="77777777" w:rsidTr="00C9318F">
        <w:trPr>
          <w:trHeight w:val="308"/>
          <w:tblHeader/>
        </w:trPr>
        <w:tc>
          <w:tcPr>
            <w:tcW w:w="4592" w:type="dxa"/>
            <w:tcBorders>
              <w:bottom w:val="single" w:sz="12" w:space="0" w:color="auto"/>
            </w:tcBorders>
            <w:shd w:val="clear" w:color="auto" w:fill="auto"/>
          </w:tcPr>
          <w:p w14:paraId="7D07B380" w14:textId="650E6929" w:rsidR="00D02124" w:rsidRPr="00C57630" w:rsidRDefault="00D02124" w:rsidP="00086B30">
            <w:pPr>
              <w:spacing w:before="40" w:after="40"/>
              <w:rPr>
                <w:sz w:val="18"/>
                <w:szCs w:val="18"/>
                <w:lang w:eastAsia="en-CA" w:bidi="en-US"/>
              </w:rPr>
            </w:pPr>
            <w:r w:rsidRPr="00C57630">
              <w:rPr>
                <w:sz w:val="18"/>
                <w:szCs w:val="18"/>
                <w:lang w:eastAsia="en-CA" w:bidi="en-US"/>
              </w:rPr>
              <w:t xml:space="preserve">Administrative support staff </w:t>
            </w:r>
            <w:r w:rsidR="00AE1DA5" w:rsidRPr="00C57630">
              <w:rPr>
                <w:sz w:val="18"/>
                <w:szCs w:val="18"/>
                <w:lang w:eastAsia="en-CA" w:bidi="en-US"/>
              </w:rPr>
              <w:t xml:space="preserve">member </w:t>
            </w:r>
            <w:r w:rsidRPr="00C57630">
              <w:rPr>
                <w:sz w:val="18"/>
                <w:szCs w:val="18"/>
                <w:lang w:eastAsia="en-CA" w:bidi="en-US"/>
              </w:rPr>
              <w:t>(G-5)</w:t>
            </w:r>
          </w:p>
        </w:tc>
        <w:tc>
          <w:tcPr>
            <w:tcW w:w="3675" w:type="dxa"/>
            <w:tcBorders>
              <w:bottom w:val="single" w:sz="12" w:space="0" w:color="auto"/>
            </w:tcBorders>
            <w:shd w:val="clear" w:color="auto" w:fill="auto"/>
          </w:tcPr>
          <w:p w14:paraId="2B7E224C" w14:textId="23CE9A4D" w:rsidR="00D02124" w:rsidRPr="00C57630" w:rsidRDefault="00D02124" w:rsidP="00086B30">
            <w:pPr>
              <w:spacing w:before="40" w:after="40"/>
              <w:rPr>
                <w:sz w:val="18"/>
                <w:szCs w:val="18"/>
                <w:lang w:eastAsia="en-CA" w:bidi="en-US"/>
              </w:rPr>
            </w:pPr>
            <w:r w:rsidRPr="00C57630">
              <w:rPr>
                <w:sz w:val="18"/>
                <w:szCs w:val="18"/>
                <w:lang w:eastAsia="en-CA" w:bidi="en-US"/>
              </w:rPr>
              <w:t>Under recruitment</w:t>
            </w:r>
          </w:p>
        </w:tc>
      </w:tr>
    </w:tbl>
    <w:p w14:paraId="3E5D2F28" w14:textId="2C24BC9F" w:rsidR="00AE0474" w:rsidRPr="00D86FBA" w:rsidRDefault="00AE0474" w:rsidP="00086B30">
      <w:pPr>
        <w:suppressAutoHyphens/>
        <w:spacing w:before="40" w:after="40"/>
        <w:ind w:left="1361" w:right="284"/>
        <w:rPr>
          <w:sz w:val="16"/>
          <w:szCs w:val="16"/>
        </w:rPr>
      </w:pPr>
      <w:r w:rsidRPr="00C57630">
        <w:rPr>
          <w:sz w:val="16"/>
          <w:szCs w:val="16"/>
          <w:vertAlign w:val="superscript"/>
          <w:lang w:eastAsia="en-CA" w:bidi="en-US"/>
        </w:rPr>
        <w:t>a</w:t>
      </w:r>
      <w:r w:rsidRPr="00C57630">
        <w:rPr>
          <w:sz w:val="16"/>
          <w:szCs w:val="16"/>
        </w:rPr>
        <w:t xml:space="preserve"> In-kind position received from UNEP.</w:t>
      </w:r>
    </w:p>
    <w:p w14:paraId="2569FF4F" w14:textId="77777777" w:rsidR="003163D2" w:rsidRDefault="003163D2" w:rsidP="003163D2">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6"/>
        <w:gridCol w:w="1966"/>
        <w:gridCol w:w="1966"/>
        <w:gridCol w:w="1967"/>
      </w:tblGrid>
      <w:tr w:rsidR="003163D2" w14:paraId="57335C97" w14:textId="77777777" w:rsidTr="00C9318F">
        <w:tc>
          <w:tcPr>
            <w:tcW w:w="2009" w:type="dxa"/>
          </w:tcPr>
          <w:p w14:paraId="2AFF0D07" w14:textId="77777777" w:rsidR="003163D2" w:rsidRDefault="003163D2" w:rsidP="003163D2">
            <w:pPr>
              <w:pStyle w:val="Normal-pool"/>
              <w:spacing w:before="520"/>
            </w:pPr>
          </w:p>
        </w:tc>
        <w:tc>
          <w:tcPr>
            <w:tcW w:w="2009" w:type="dxa"/>
          </w:tcPr>
          <w:p w14:paraId="15A3896E" w14:textId="77777777" w:rsidR="003163D2" w:rsidRDefault="003163D2" w:rsidP="003163D2">
            <w:pPr>
              <w:pStyle w:val="Normal-pool"/>
              <w:spacing w:before="520"/>
            </w:pPr>
          </w:p>
        </w:tc>
        <w:tc>
          <w:tcPr>
            <w:tcW w:w="2009" w:type="dxa"/>
            <w:tcBorders>
              <w:bottom w:val="single" w:sz="4" w:space="0" w:color="auto"/>
            </w:tcBorders>
          </w:tcPr>
          <w:p w14:paraId="3DDC0A2B" w14:textId="77777777" w:rsidR="003163D2" w:rsidRDefault="003163D2" w:rsidP="003163D2">
            <w:pPr>
              <w:pStyle w:val="Normal-pool"/>
              <w:spacing w:before="520"/>
            </w:pPr>
          </w:p>
        </w:tc>
        <w:tc>
          <w:tcPr>
            <w:tcW w:w="2009" w:type="dxa"/>
          </w:tcPr>
          <w:p w14:paraId="3D7ED8DB" w14:textId="77777777" w:rsidR="003163D2" w:rsidRDefault="003163D2" w:rsidP="003163D2">
            <w:pPr>
              <w:pStyle w:val="Normal-pool"/>
              <w:spacing w:before="520"/>
            </w:pPr>
          </w:p>
        </w:tc>
        <w:tc>
          <w:tcPr>
            <w:tcW w:w="2010" w:type="dxa"/>
          </w:tcPr>
          <w:p w14:paraId="46521D1B" w14:textId="77777777" w:rsidR="003163D2" w:rsidRDefault="003163D2" w:rsidP="003163D2">
            <w:pPr>
              <w:pStyle w:val="Normal-pool"/>
              <w:spacing w:before="520"/>
            </w:pPr>
          </w:p>
        </w:tc>
      </w:tr>
    </w:tbl>
    <w:p w14:paraId="7E6555EF" w14:textId="77777777" w:rsidR="003163D2" w:rsidRPr="000B48B0" w:rsidRDefault="003163D2" w:rsidP="003163D2">
      <w:pPr>
        <w:pStyle w:val="Normal-pool"/>
      </w:pPr>
    </w:p>
    <w:sectPr w:rsidR="003163D2" w:rsidRPr="000B48B0" w:rsidSect="00943BD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5525" w14:textId="77777777" w:rsidR="00C3123E" w:rsidRDefault="00C3123E">
      <w:r>
        <w:separator/>
      </w:r>
    </w:p>
    <w:p w14:paraId="611A186C" w14:textId="77777777" w:rsidR="00C3123E" w:rsidRDefault="00C3123E"/>
  </w:endnote>
  <w:endnote w:type="continuationSeparator" w:id="0">
    <w:p w14:paraId="30BBBE52" w14:textId="77777777" w:rsidR="00C3123E" w:rsidRDefault="00C3123E">
      <w:r>
        <w:continuationSeparator/>
      </w:r>
    </w:p>
    <w:p w14:paraId="2D811EEA" w14:textId="77777777" w:rsidR="00C3123E" w:rsidRDefault="00C3123E"/>
  </w:endnote>
  <w:endnote w:type="continuationNotice" w:id="1">
    <w:p w14:paraId="06C3F2EC" w14:textId="77777777" w:rsidR="00C3123E" w:rsidRDefault="00C3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A113" w14:textId="70075DA7" w:rsidR="00C3123E" w:rsidRPr="00086B30" w:rsidRDefault="00C3123E" w:rsidP="003163D2">
    <w:pPr>
      <w:pStyle w:val="Footer"/>
      <w:rPr>
        <w:b/>
      </w:rPr>
    </w:pPr>
    <w:r w:rsidRPr="00086B30">
      <w:rPr>
        <w:b/>
      </w:rPr>
      <w:fldChar w:fldCharType="begin"/>
    </w:r>
    <w:r w:rsidRPr="00086B30">
      <w:rPr>
        <w:b/>
      </w:rPr>
      <w:instrText xml:space="preserve"> PAGE </w:instrText>
    </w:r>
    <w:r w:rsidRPr="00086B30">
      <w:rPr>
        <w:b/>
      </w:rPr>
      <w:fldChar w:fldCharType="separate"/>
    </w:r>
    <w:r w:rsidR="00511788">
      <w:rPr>
        <w:b/>
        <w:noProof/>
      </w:rPr>
      <w:t>2</w:t>
    </w:r>
    <w:r w:rsidRPr="00086B30">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70DD" w14:textId="40B8BCE8" w:rsidR="00C3123E" w:rsidRPr="00086B30" w:rsidRDefault="00C3123E" w:rsidP="003163D2">
    <w:pPr>
      <w:pStyle w:val="Footer"/>
      <w:jc w:val="right"/>
      <w:rPr>
        <w:b/>
      </w:rPr>
    </w:pPr>
    <w:r w:rsidRPr="00086B30">
      <w:rPr>
        <w:b/>
      </w:rPr>
      <w:fldChar w:fldCharType="begin"/>
    </w:r>
    <w:r w:rsidRPr="00086B30">
      <w:rPr>
        <w:b/>
      </w:rPr>
      <w:instrText xml:space="preserve"> PAGE </w:instrText>
    </w:r>
    <w:r w:rsidRPr="00086B30">
      <w:rPr>
        <w:b/>
      </w:rPr>
      <w:fldChar w:fldCharType="separate"/>
    </w:r>
    <w:r w:rsidR="00511788">
      <w:rPr>
        <w:b/>
        <w:noProof/>
      </w:rPr>
      <w:t>5</w:t>
    </w:r>
    <w:r w:rsidRPr="00086B30">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2F31" w14:textId="2C9B7379" w:rsidR="00C3123E" w:rsidRPr="00086B30" w:rsidRDefault="00C3123E">
    <w:pPr>
      <w:pStyle w:val="Footer"/>
      <w:rPr>
        <w:sz w:val="20"/>
      </w:rPr>
    </w:pPr>
    <w:r w:rsidRPr="00086B30">
      <w:rPr>
        <w:sz w:val="20"/>
      </w:rPr>
      <w:t>K1708982</w:t>
    </w:r>
    <w:r w:rsidRPr="00086B30">
      <w:rPr>
        <w:sz w:val="20"/>
      </w:rPr>
      <w:tab/>
    </w:r>
    <w:r w:rsidR="004858B8">
      <w:rPr>
        <w:sz w:val="20"/>
      </w:rPr>
      <w:t>24</w:t>
    </w:r>
    <w:r w:rsidR="00086B30" w:rsidRPr="00086B30">
      <w:rPr>
        <w:sz w:val="20"/>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7D2A" w14:textId="77777777" w:rsidR="00C3123E" w:rsidRDefault="00C3123E" w:rsidP="00D86FBA">
      <w:pPr>
        <w:spacing w:before="60"/>
        <w:ind w:left="624"/>
      </w:pPr>
      <w:r>
        <w:separator/>
      </w:r>
    </w:p>
  </w:footnote>
  <w:footnote w:type="continuationSeparator" w:id="0">
    <w:p w14:paraId="0C0A1202" w14:textId="77777777" w:rsidR="00C3123E" w:rsidRDefault="00C3123E">
      <w:r>
        <w:continuationSeparator/>
      </w:r>
    </w:p>
    <w:p w14:paraId="79619703" w14:textId="77777777" w:rsidR="00C3123E" w:rsidRDefault="00C3123E"/>
  </w:footnote>
  <w:footnote w:type="continuationNotice" w:id="1">
    <w:p w14:paraId="70472F14" w14:textId="77777777" w:rsidR="00C3123E" w:rsidRDefault="00C3123E"/>
  </w:footnote>
  <w:footnote w:id="2">
    <w:p w14:paraId="6D2347E9" w14:textId="77777777" w:rsidR="00C3123E" w:rsidRPr="00D86FBA" w:rsidRDefault="00C3123E" w:rsidP="00D86FBA">
      <w:pPr>
        <w:pStyle w:val="FootnoteText"/>
        <w:tabs>
          <w:tab w:val="left" w:pos="624"/>
        </w:tabs>
        <w:rPr>
          <w:szCs w:val="18"/>
          <w:lang w:val="en-US"/>
        </w:rPr>
      </w:pPr>
      <w:r w:rsidRPr="00D86FBA">
        <w:rPr>
          <w:rFonts w:eastAsia="MS Mincho"/>
        </w:rPr>
        <w:t>*</w:t>
      </w:r>
      <w:r w:rsidRPr="00D86FBA">
        <w:rPr>
          <w:szCs w:val="18"/>
        </w:rPr>
        <w:t xml:space="preserve"> IPBES/6/1.</w:t>
      </w:r>
    </w:p>
  </w:footnote>
  <w:footnote w:id="3">
    <w:p w14:paraId="7D8AAECD" w14:textId="77777777" w:rsidR="00C3123E" w:rsidRPr="00D86FBA" w:rsidRDefault="00C3123E" w:rsidP="00D86FBA">
      <w:pPr>
        <w:pStyle w:val="FootnoteText"/>
        <w:tabs>
          <w:tab w:val="left" w:pos="624"/>
        </w:tabs>
        <w:rPr>
          <w:b/>
          <w:bCs/>
          <w:szCs w:val="18"/>
          <w:lang w:val="en-US"/>
        </w:rPr>
      </w:pPr>
      <w:r w:rsidRPr="009B371F">
        <w:rPr>
          <w:rFonts w:eastAsia="MS Mincho"/>
          <w:vertAlign w:val="superscript"/>
        </w:rPr>
        <w:footnoteRef/>
      </w:r>
      <w:r w:rsidRPr="00D86FBA">
        <w:rPr>
          <w:szCs w:val="18"/>
          <w:lang w:val="en-US"/>
        </w:rPr>
        <w:t xml:space="preserve"> These include the ninth and tenth meetings of the Multidisciplinary Expert Panel and the Bureau, but exclude the sessions of the Plenary.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4E04" w14:textId="30A5EA03" w:rsidR="00C3123E" w:rsidRPr="00986F26" w:rsidRDefault="00C3123E">
    <w:pPr>
      <w:pStyle w:val="Header"/>
      <w:rPr>
        <w:szCs w:val="18"/>
      </w:rPr>
    </w:pPr>
    <w:r w:rsidRPr="00923F84">
      <w:rPr>
        <w:szCs w:val="18"/>
      </w:rPr>
      <w:t>IPBES/</w:t>
    </w:r>
    <w:r w:rsidRPr="00923F84">
      <w:rPr>
        <w:szCs w:val="18"/>
        <w:lang w:eastAsia="ja-JP"/>
      </w:rPr>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5620" w14:textId="680F3813" w:rsidR="00C3123E" w:rsidRPr="00494455" w:rsidRDefault="00C3123E" w:rsidP="00C0058D">
    <w:pPr>
      <w:pStyle w:val="Header"/>
      <w:jc w:val="right"/>
      <w:rPr>
        <w:szCs w:val="18"/>
      </w:rPr>
    </w:pPr>
    <w:r w:rsidRPr="00C0058D">
      <w:rPr>
        <w:szCs w:val="18"/>
      </w:rPr>
      <w:t>IPBES/</w:t>
    </w:r>
    <w:r>
      <w:rPr>
        <w:szCs w:val="18"/>
        <w:lang w:eastAsia="ja-JP"/>
      </w:rPr>
      <w:t>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F418" w14:textId="5D01FF24" w:rsidR="00C3123E" w:rsidRDefault="00C3123E"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33A44C2F"/>
    <w:multiLevelType w:val="hybridMultilevel"/>
    <w:tmpl w:val="FAF4FC20"/>
    <w:lvl w:ilvl="0" w:tplc="04090001">
      <w:start w:val="1"/>
      <w:numFmt w:val="bullet"/>
      <w:lvlText w:val=""/>
      <w:lvlJc w:val="left"/>
      <w:pPr>
        <w:ind w:left="1607" w:hanging="360"/>
      </w:pPr>
      <w:rPr>
        <w:rFonts w:ascii="Symbol" w:hAnsi="Symbol" w:hint="default"/>
      </w:rPr>
    </w:lvl>
    <w:lvl w:ilvl="1" w:tplc="04090003">
      <w:start w:val="1"/>
      <w:numFmt w:val="bullet"/>
      <w:lvlText w:val="o"/>
      <w:lvlJc w:val="left"/>
      <w:pPr>
        <w:ind w:left="2327" w:hanging="360"/>
      </w:pPr>
      <w:rPr>
        <w:rFonts w:ascii="Courier New" w:hAnsi="Courier New" w:cs="Courier New" w:hint="default"/>
      </w:rPr>
    </w:lvl>
    <w:lvl w:ilvl="2" w:tplc="04090005">
      <w:start w:val="1"/>
      <w:numFmt w:val="bullet"/>
      <w:lvlText w:val=""/>
      <w:lvlJc w:val="left"/>
      <w:pPr>
        <w:ind w:left="3047" w:hanging="360"/>
      </w:pPr>
      <w:rPr>
        <w:rFonts w:ascii="Wingdings" w:hAnsi="Wingdings" w:hint="default"/>
      </w:rPr>
    </w:lvl>
    <w:lvl w:ilvl="3" w:tplc="04090001">
      <w:start w:val="1"/>
      <w:numFmt w:val="bullet"/>
      <w:lvlText w:val=""/>
      <w:lvlJc w:val="left"/>
      <w:pPr>
        <w:ind w:left="3767" w:hanging="360"/>
      </w:pPr>
      <w:rPr>
        <w:rFonts w:ascii="Symbol" w:hAnsi="Symbol" w:hint="default"/>
      </w:rPr>
    </w:lvl>
    <w:lvl w:ilvl="4" w:tplc="04090003">
      <w:start w:val="1"/>
      <w:numFmt w:val="bullet"/>
      <w:lvlText w:val="o"/>
      <w:lvlJc w:val="left"/>
      <w:pPr>
        <w:ind w:left="4487" w:hanging="360"/>
      </w:pPr>
      <w:rPr>
        <w:rFonts w:ascii="Courier New" w:hAnsi="Courier New" w:cs="Courier New" w:hint="default"/>
      </w:rPr>
    </w:lvl>
    <w:lvl w:ilvl="5" w:tplc="04090005">
      <w:start w:val="1"/>
      <w:numFmt w:val="bullet"/>
      <w:lvlText w:val=""/>
      <w:lvlJc w:val="left"/>
      <w:pPr>
        <w:ind w:left="5207" w:hanging="360"/>
      </w:pPr>
      <w:rPr>
        <w:rFonts w:ascii="Wingdings" w:hAnsi="Wingdings" w:hint="default"/>
      </w:rPr>
    </w:lvl>
    <w:lvl w:ilvl="6" w:tplc="04090001">
      <w:start w:val="1"/>
      <w:numFmt w:val="bullet"/>
      <w:lvlText w:val=""/>
      <w:lvlJc w:val="left"/>
      <w:pPr>
        <w:ind w:left="5927" w:hanging="360"/>
      </w:pPr>
      <w:rPr>
        <w:rFonts w:ascii="Symbol" w:hAnsi="Symbol" w:hint="default"/>
      </w:rPr>
    </w:lvl>
    <w:lvl w:ilvl="7" w:tplc="04090003">
      <w:start w:val="1"/>
      <w:numFmt w:val="bullet"/>
      <w:lvlText w:val="o"/>
      <w:lvlJc w:val="left"/>
      <w:pPr>
        <w:ind w:left="6647" w:hanging="360"/>
      </w:pPr>
      <w:rPr>
        <w:rFonts w:ascii="Courier New" w:hAnsi="Courier New" w:cs="Courier New" w:hint="default"/>
      </w:rPr>
    </w:lvl>
    <w:lvl w:ilvl="8" w:tplc="04090005">
      <w:start w:val="1"/>
      <w:numFmt w:val="bullet"/>
      <w:lvlText w:val=""/>
      <w:lvlJc w:val="left"/>
      <w:pPr>
        <w:ind w:left="7367" w:hanging="360"/>
      </w:pPr>
      <w:rPr>
        <w:rFonts w:ascii="Wingdings" w:hAnsi="Wingdings" w:hint="default"/>
      </w:rPr>
    </w:lvl>
  </w:abstractNum>
  <w:abstractNum w:abstractNumId="7"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15:restartNumberingAfterBreak="0">
    <w:nsid w:val="5B2D1F2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4" w15:restartNumberingAfterBreak="0">
    <w:nsid w:val="62291BF8"/>
    <w:multiLevelType w:val="multilevel"/>
    <w:tmpl w:val="F4ACF3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72700"/>
    <w:multiLevelType w:val="hybridMultilevel"/>
    <w:tmpl w:val="262CD8FE"/>
    <w:lvl w:ilvl="0" w:tplc="49D6FC1A">
      <w:start w:val="1"/>
      <w:numFmt w:val="decimal"/>
      <w:lvlText w:val="%1."/>
      <w:lvlJc w:val="left"/>
      <w:pPr>
        <w:ind w:left="360" w:hanging="360"/>
      </w:pPr>
      <w:rPr>
        <w:rFonts w:asciiTheme="minorHAnsi" w:hAnsiTheme="minorHAnsi" w:hint="default"/>
        <w:b w:val="0"/>
        <w:sz w:val="22"/>
        <w:szCs w:val="22"/>
      </w:rPr>
    </w:lvl>
    <w:lvl w:ilvl="1" w:tplc="DFAAF84A">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2"/>
  </w:num>
  <w:num w:numId="22">
    <w:abstractNumId w:val="7"/>
  </w:num>
  <w:num w:numId="23">
    <w:abstractNumId w:val="3"/>
  </w:num>
  <w:num w:numId="24">
    <w:abstractNumId w:val="9"/>
  </w:num>
  <w:num w:numId="25">
    <w:abstractNumId w:val="15"/>
  </w:num>
  <w:num w:numId="26">
    <w:abstractNumId w:val="10"/>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4"/>
  </w:num>
  <w:num w:numId="32">
    <w:abstractNumId w:val="6"/>
  </w:num>
  <w:num w:numId="33">
    <w:abstractNumId w:val="1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70C"/>
    <w:rsid w:val="00005722"/>
    <w:rsid w:val="00005F62"/>
    <w:rsid w:val="00010923"/>
    <w:rsid w:val="000149E6"/>
    <w:rsid w:val="00022024"/>
    <w:rsid w:val="00023E32"/>
    <w:rsid w:val="000247B0"/>
    <w:rsid w:val="00026997"/>
    <w:rsid w:val="00032DB5"/>
    <w:rsid w:val="00033E0B"/>
    <w:rsid w:val="00035EDE"/>
    <w:rsid w:val="000426D3"/>
    <w:rsid w:val="000440BA"/>
    <w:rsid w:val="00045080"/>
    <w:rsid w:val="000458EE"/>
    <w:rsid w:val="0004705A"/>
    <w:rsid w:val="0004779A"/>
    <w:rsid w:val="000509B4"/>
    <w:rsid w:val="00055BA7"/>
    <w:rsid w:val="00062885"/>
    <w:rsid w:val="00064C34"/>
    <w:rsid w:val="00071886"/>
    <w:rsid w:val="00072509"/>
    <w:rsid w:val="0007334E"/>
    <w:rsid w:val="000742BC"/>
    <w:rsid w:val="00081E43"/>
    <w:rsid w:val="00082A0C"/>
    <w:rsid w:val="00086B30"/>
    <w:rsid w:val="000917E8"/>
    <w:rsid w:val="00094221"/>
    <w:rsid w:val="0009640C"/>
    <w:rsid w:val="000966E1"/>
    <w:rsid w:val="000B1C30"/>
    <w:rsid w:val="000B48B0"/>
    <w:rsid w:val="000B59B2"/>
    <w:rsid w:val="000C18EE"/>
    <w:rsid w:val="000C665C"/>
    <w:rsid w:val="000D33C0"/>
    <w:rsid w:val="000D523B"/>
    <w:rsid w:val="000E067F"/>
    <w:rsid w:val="000E13EF"/>
    <w:rsid w:val="000E53DF"/>
    <w:rsid w:val="000E62CF"/>
    <w:rsid w:val="000E7A95"/>
    <w:rsid w:val="000F3B6C"/>
    <w:rsid w:val="000F6906"/>
    <w:rsid w:val="00100602"/>
    <w:rsid w:val="00102111"/>
    <w:rsid w:val="001044B2"/>
    <w:rsid w:val="00110DA4"/>
    <w:rsid w:val="001159BB"/>
    <w:rsid w:val="001202E3"/>
    <w:rsid w:val="00121708"/>
    <w:rsid w:val="00123730"/>
    <w:rsid w:val="0012562E"/>
    <w:rsid w:val="0013059D"/>
    <w:rsid w:val="0013398F"/>
    <w:rsid w:val="0013648B"/>
    <w:rsid w:val="00137580"/>
    <w:rsid w:val="00141A55"/>
    <w:rsid w:val="00141AB6"/>
    <w:rsid w:val="00150BD8"/>
    <w:rsid w:val="00151424"/>
    <w:rsid w:val="001554A3"/>
    <w:rsid w:val="00156281"/>
    <w:rsid w:val="0016333E"/>
    <w:rsid w:val="0016362C"/>
    <w:rsid w:val="00166FFD"/>
    <w:rsid w:val="001673CF"/>
    <w:rsid w:val="00170D4D"/>
    <w:rsid w:val="00171336"/>
    <w:rsid w:val="001811FA"/>
    <w:rsid w:val="00181BC9"/>
    <w:rsid w:val="00181EC8"/>
    <w:rsid w:val="00182AEE"/>
    <w:rsid w:val="00184349"/>
    <w:rsid w:val="00187A5D"/>
    <w:rsid w:val="0019268D"/>
    <w:rsid w:val="00193E3A"/>
    <w:rsid w:val="00196227"/>
    <w:rsid w:val="001A64B7"/>
    <w:rsid w:val="001B08F0"/>
    <w:rsid w:val="001B1617"/>
    <w:rsid w:val="001B3588"/>
    <w:rsid w:val="001B40EE"/>
    <w:rsid w:val="001B46BB"/>
    <w:rsid w:val="001C6C9B"/>
    <w:rsid w:val="001C74C3"/>
    <w:rsid w:val="001D3874"/>
    <w:rsid w:val="001D47E9"/>
    <w:rsid w:val="001D4810"/>
    <w:rsid w:val="001D49DB"/>
    <w:rsid w:val="001D7E75"/>
    <w:rsid w:val="001E56D2"/>
    <w:rsid w:val="001E75DD"/>
    <w:rsid w:val="001E7D56"/>
    <w:rsid w:val="001F034F"/>
    <w:rsid w:val="001F662E"/>
    <w:rsid w:val="001F75DE"/>
    <w:rsid w:val="001F765B"/>
    <w:rsid w:val="001F7719"/>
    <w:rsid w:val="00200D58"/>
    <w:rsid w:val="002013BE"/>
    <w:rsid w:val="002044DA"/>
    <w:rsid w:val="002063A4"/>
    <w:rsid w:val="0021145B"/>
    <w:rsid w:val="00211EFC"/>
    <w:rsid w:val="00221AE7"/>
    <w:rsid w:val="00225243"/>
    <w:rsid w:val="00234B58"/>
    <w:rsid w:val="002463AF"/>
    <w:rsid w:val="002464B8"/>
    <w:rsid w:val="00247707"/>
    <w:rsid w:val="00250609"/>
    <w:rsid w:val="00250F52"/>
    <w:rsid w:val="00253901"/>
    <w:rsid w:val="002545F6"/>
    <w:rsid w:val="002620CD"/>
    <w:rsid w:val="00262A4A"/>
    <w:rsid w:val="00262D42"/>
    <w:rsid w:val="002726CF"/>
    <w:rsid w:val="00273F1D"/>
    <w:rsid w:val="00275448"/>
    <w:rsid w:val="002754E9"/>
    <w:rsid w:val="002773E9"/>
    <w:rsid w:val="00281FCF"/>
    <w:rsid w:val="00286740"/>
    <w:rsid w:val="00287E60"/>
    <w:rsid w:val="00290C0E"/>
    <w:rsid w:val="002929D8"/>
    <w:rsid w:val="002A237D"/>
    <w:rsid w:val="002A4C53"/>
    <w:rsid w:val="002A564F"/>
    <w:rsid w:val="002A5BAF"/>
    <w:rsid w:val="002A6A11"/>
    <w:rsid w:val="002B035E"/>
    <w:rsid w:val="002B0737"/>
    <w:rsid w:val="002B56EA"/>
    <w:rsid w:val="002B5CD0"/>
    <w:rsid w:val="002C145D"/>
    <w:rsid w:val="002C2C3E"/>
    <w:rsid w:val="002C3453"/>
    <w:rsid w:val="002C533E"/>
    <w:rsid w:val="002C706B"/>
    <w:rsid w:val="002C7132"/>
    <w:rsid w:val="002D027F"/>
    <w:rsid w:val="002D146C"/>
    <w:rsid w:val="002D3D4C"/>
    <w:rsid w:val="002D7B60"/>
    <w:rsid w:val="002E0D90"/>
    <w:rsid w:val="002E3EA7"/>
    <w:rsid w:val="002F1F0E"/>
    <w:rsid w:val="002F4761"/>
    <w:rsid w:val="002F5843"/>
    <w:rsid w:val="002F5B0F"/>
    <w:rsid w:val="00304F4F"/>
    <w:rsid w:val="003056C1"/>
    <w:rsid w:val="00306B12"/>
    <w:rsid w:val="00307028"/>
    <w:rsid w:val="003124FF"/>
    <w:rsid w:val="0031413F"/>
    <w:rsid w:val="003163D2"/>
    <w:rsid w:val="00320BDB"/>
    <w:rsid w:val="003364FF"/>
    <w:rsid w:val="00336901"/>
    <w:rsid w:val="00336E08"/>
    <w:rsid w:val="00337F63"/>
    <w:rsid w:val="00340489"/>
    <w:rsid w:val="00341F94"/>
    <w:rsid w:val="00344315"/>
    <w:rsid w:val="003446B5"/>
    <w:rsid w:val="0034548C"/>
    <w:rsid w:val="003503B6"/>
    <w:rsid w:val="00352353"/>
    <w:rsid w:val="00352722"/>
    <w:rsid w:val="00352F00"/>
    <w:rsid w:val="00355EA9"/>
    <w:rsid w:val="00360E0A"/>
    <w:rsid w:val="0036248E"/>
    <w:rsid w:val="00377EB9"/>
    <w:rsid w:val="00383515"/>
    <w:rsid w:val="00385963"/>
    <w:rsid w:val="00386D7C"/>
    <w:rsid w:val="003944A9"/>
    <w:rsid w:val="00394E92"/>
    <w:rsid w:val="003952A5"/>
    <w:rsid w:val="00396257"/>
    <w:rsid w:val="00397909"/>
    <w:rsid w:val="00397EB8"/>
    <w:rsid w:val="003A4FD0"/>
    <w:rsid w:val="003A69D1"/>
    <w:rsid w:val="003A6EF9"/>
    <w:rsid w:val="003B0C0D"/>
    <w:rsid w:val="003B1545"/>
    <w:rsid w:val="003B32FC"/>
    <w:rsid w:val="003B41D2"/>
    <w:rsid w:val="003B7A70"/>
    <w:rsid w:val="003C2FB4"/>
    <w:rsid w:val="003C409D"/>
    <w:rsid w:val="003C4C06"/>
    <w:rsid w:val="003C4EFB"/>
    <w:rsid w:val="003C670D"/>
    <w:rsid w:val="003D23BA"/>
    <w:rsid w:val="003D2B36"/>
    <w:rsid w:val="003D60DE"/>
    <w:rsid w:val="003E05E6"/>
    <w:rsid w:val="003E09A0"/>
    <w:rsid w:val="003E395B"/>
    <w:rsid w:val="003E7728"/>
    <w:rsid w:val="003F0356"/>
    <w:rsid w:val="003F0E85"/>
    <w:rsid w:val="004007B5"/>
    <w:rsid w:val="00400EFD"/>
    <w:rsid w:val="0040402B"/>
    <w:rsid w:val="00404648"/>
    <w:rsid w:val="00404965"/>
    <w:rsid w:val="00406C78"/>
    <w:rsid w:val="00410C55"/>
    <w:rsid w:val="00416CE0"/>
    <w:rsid w:val="00417725"/>
    <w:rsid w:val="00417D21"/>
    <w:rsid w:val="00425C06"/>
    <w:rsid w:val="0042760E"/>
    <w:rsid w:val="00437F26"/>
    <w:rsid w:val="00444058"/>
    <w:rsid w:val="00446EF6"/>
    <w:rsid w:val="00447EF3"/>
    <w:rsid w:val="00450542"/>
    <w:rsid w:val="004510AC"/>
    <w:rsid w:val="00454769"/>
    <w:rsid w:val="00455B16"/>
    <w:rsid w:val="00456A24"/>
    <w:rsid w:val="00456B79"/>
    <w:rsid w:val="0046429E"/>
    <w:rsid w:val="00466991"/>
    <w:rsid w:val="0047064C"/>
    <w:rsid w:val="00471DFA"/>
    <w:rsid w:val="004827F3"/>
    <w:rsid w:val="004854BD"/>
    <w:rsid w:val="004858B8"/>
    <w:rsid w:val="00493E19"/>
    <w:rsid w:val="00494455"/>
    <w:rsid w:val="00495289"/>
    <w:rsid w:val="00496EFB"/>
    <w:rsid w:val="004A1438"/>
    <w:rsid w:val="004A36DE"/>
    <w:rsid w:val="004A4744"/>
    <w:rsid w:val="004A52BE"/>
    <w:rsid w:val="004B3B80"/>
    <w:rsid w:val="004B5666"/>
    <w:rsid w:val="004C5C96"/>
    <w:rsid w:val="004D06A4"/>
    <w:rsid w:val="004D2D07"/>
    <w:rsid w:val="004D36D5"/>
    <w:rsid w:val="004D6638"/>
    <w:rsid w:val="004D6E64"/>
    <w:rsid w:val="004E04B5"/>
    <w:rsid w:val="004E4693"/>
    <w:rsid w:val="004E6336"/>
    <w:rsid w:val="004F1A81"/>
    <w:rsid w:val="004F2D0E"/>
    <w:rsid w:val="00500F4E"/>
    <w:rsid w:val="0050619E"/>
    <w:rsid w:val="00507F32"/>
    <w:rsid w:val="00511788"/>
    <w:rsid w:val="0051335F"/>
    <w:rsid w:val="005160EC"/>
    <w:rsid w:val="00521641"/>
    <w:rsid w:val="005218D9"/>
    <w:rsid w:val="00521EF0"/>
    <w:rsid w:val="005269C4"/>
    <w:rsid w:val="005341C5"/>
    <w:rsid w:val="00535BDA"/>
    <w:rsid w:val="00536186"/>
    <w:rsid w:val="005375C7"/>
    <w:rsid w:val="00537EC1"/>
    <w:rsid w:val="00543454"/>
    <w:rsid w:val="005453ED"/>
    <w:rsid w:val="0055008F"/>
    <w:rsid w:val="00550273"/>
    <w:rsid w:val="00550DF7"/>
    <w:rsid w:val="00560CA5"/>
    <w:rsid w:val="00562100"/>
    <w:rsid w:val="005628E3"/>
    <w:rsid w:val="00565DCE"/>
    <w:rsid w:val="0057037E"/>
    <w:rsid w:val="00571ED8"/>
    <w:rsid w:val="0057315F"/>
    <w:rsid w:val="00573200"/>
    <w:rsid w:val="0057400C"/>
    <w:rsid w:val="00574792"/>
    <w:rsid w:val="00574E93"/>
    <w:rsid w:val="005750B4"/>
    <w:rsid w:val="00580957"/>
    <w:rsid w:val="00584B14"/>
    <w:rsid w:val="0058611F"/>
    <w:rsid w:val="0058768E"/>
    <w:rsid w:val="0059580D"/>
    <w:rsid w:val="005A150E"/>
    <w:rsid w:val="005A1B2D"/>
    <w:rsid w:val="005A3CE8"/>
    <w:rsid w:val="005A535E"/>
    <w:rsid w:val="005A59FE"/>
    <w:rsid w:val="005B0DDF"/>
    <w:rsid w:val="005B41EA"/>
    <w:rsid w:val="005B584B"/>
    <w:rsid w:val="005C00D1"/>
    <w:rsid w:val="005C4ED0"/>
    <w:rsid w:val="005C67C8"/>
    <w:rsid w:val="005D0249"/>
    <w:rsid w:val="005D4E57"/>
    <w:rsid w:val="005E021C"/>
    <w:rsid w:val="005E638B"/>
    <w:rsid w:val="005F05FD"/>
    <w:rsid w:val="005F100C"/>
    <w:rsid w:val="005F1648"/>
    <w:rsid w:val="005F7986"/>
    <w:rsid w:val="005F7B75"/>
    <w:rsid w:val="00607ABA"/>
    <w:rsid w:val="006104E7"/>
    <w:rsid w:val="0061054B"/>
    <w:rsid w:val="006119BC"/>
    <w:rsid w:val="00614109"/>
    <w:rsid w:val="00614A08"/>
    <w:rsid w:val="0061660A"/>
    <w:rsid w:val="00617B9B"/>
    <w:rsid w:val="00620F1E"/>
    <w:rsid w:val="00621F9B"/>
    <w:rsid w:val="006231AF"/>
    <w:rsid w:val="00623998"/>
    <w:rsid w:val="006252F5"/>
    <w:rsid w:val="00626E0C"/>
    <w:rsid w:val="006303B4"/>
    <w:rsid w:val="00633F60"/>
    <w:rsid w:val="0063554F"/>
    <w:rsid w:val="006370DB"/>
    <w:rsid w:val="006376DE"/>
    <w:rsid w:val="00637CE4"/>
    <w:rsid w:val="00641396"/>
    <w:rsid w:val="00641703"/>
    <w:rsid w:val="006421CF"/>
    <w:rsid w:val="006431A6"/>
    <w:rsid w:val="006459F6"/>
    <w:rsid w:val="006474E9"/>
    <w:rsid w:val="006501AD"/>
    <w:rsid w:val="006501D4"/>
    <w:rsid w:val="0065086E"/>
    <w:rsid w:val="00651BFA"/>
    <w:rsid w:val="00655054"/>
    <w:rsid w:val="00662008"/>
    <w:rsid w:val="00667141"/>
    <w:rsid w:val="006707EF"/>
    <w:rsid w:val="00676C58"/>
    <w:rsid w:val="006848C8"/>
    <w:rsid w:val="00686FD9"/>
    <w:rsid w:val="006879B6"/>
    <w:rsid w:val="00692E2A"/>
    <w:rsid w:val="006A6838"/>
    <w:rsid w:val="006A76F2"/>
    <w:rsid w:val="006B6AEA"/>
    <w:rsid w:val="006B7C67"/>
    <w:rsid w:val="006C02EE"/>
    <w:rsid w:val="006C3C12"/>
    <w:rsid w:val="006C740F"/>
    <w:rsid w:val="006D3683"/>
    <w:rsid w:val="006D6D0B"/>
    <w:rsid w:val="006D7EFB"/>
    <w:rsid w:val="006E2855"/>
    <w:rsid w:val="006E2D3B"/>
    <w:rsid w:val="006E3441"/>
    <w:rsid w:val="006E59B7"/>
    <w:rsid w:val="006E6722"/>
    <w:rsid w:val="006F2F9C"/>
    <w:rsid w:val="006F5B20"/>
    <w:rsid w:val="006F66F6"/>
    <w:rsid w:val="006F7C94"/>
    <w:rsid w:val="00700A0F"/>
    <w:rsid w:val="007027B9"/>
    <w:rsid w:val="00705F05"/>
    <w:rsid w:val="00714C5E"/>
    <w:rsid w:val="007157F5"/>
    <w:rsid w:val="00715E88"/>
    <w:rsid w:val="00716634"/>
    <w:rsid w:val="00722341"/>
    <w:rsid w:val="0072504C"/>
    <w:rsid w:val="00734A73"/>
    <w:rsid w:val="00734CAA"/>
    <w:rsid w:val="00735287"/>
    <w:rsid w:val="00743A99"/>
    <w:rsid w:val="00745F24"/>
    <w:rsid w:val="007532F9"/>
    <w:rsid w:val="00754B14"/>
    <w:rsid w:val="00757581"/>
    <w:rsid w:val="00757CA2"/>
    <w:rsid w:val="0076107C"/>
    <w:rsid w:val="00766549"/>
    <w:rsid w:val="0077008E"/>
    <w:rsid w:val="00772F40"/>
    <w:rsid w:val="007737A8"/>
    <w:rsid w:val="007764DF"/>
    <w:rsid w:val="007852F3"/>
    <w:rsid w:val="007964D9"/>
    <w:rsid w:val="00796ACA"/>
    <w:rsid w:val="007A5746"/>
    <w:rsid w:val="007A5C12"/>
    <w:rsid w:val="007B0F83"/>
    <w:rsid w:val="007B3217"/>
    <w:rsid w:val="007B4D30"/>
    <w:rsid w:val="007C2541"/>
    <w:rsid w:val="007D5D6C"/>
    <w:rsid w:val="007D7245"/>
    <w:rsid w:val="007E003F"/>
    <w:rsid w:val="007E520A"/>
    <w:rsid w:val="007F154E"/>
    <w:rsid w:val="007F215A"/>
    <w:rsid w:val="007F3860"/>
    <w:rsid w:val="007F445A"/>
    <w:rsid w:val="007F72D1"/>
    <w:rsid w:val="008019EB"/>
    <w:rsid w:val="00804B9B"/>
    <w:rsid w:val="00805E39"/>
    <w:rsid w:val="008141B7"/>
    <w:rsid w:val="00815D26"/>
    <w:rsid w:val="008235A9"/>
    <w:rsid w:val="00830E26"/>
    <w:rsid w:val="00833B10"/>
    <w:rsid w:val="00835242"/>
    <w:rsid w:val="0083580A"/>
    <w:rsid w:val="008400EB"/>
    <w:rsid w:val="0084174A"/>
    <w:rsid w:val="008429B3"/>
    <w:rsid w:val="00843576"/>
    <w:rsid w:val="00843B64"/>
    <w:rsid w:val="0084680E"/>
    <w:rsid w:val="00854EB8"/>
    <w:rsid w:val="008556AE"/>
    <w:rsid w:val="0086185B"/>
    <w:rsid w:val="00861E88"/>
    <w:rsid w:val="0086374B"/>
    <w:rsid w:val="0086511E"/>
    <w:rsid w:val="00867BFF"/>
    <w:rsid w:val="00871761"/>
    <w:rsid w:val="008739BA"/>
    <w:rsid w:val="00877838"/>
    <w:rsid w:val="00880504"/>
    <w:rsid w:val="00883121"/>
    <w:rsid w:val="00883559"/>
    <w:rsid w:val="0088480A"/>
    <w:rsid w:val="00886691"/>
    <w:rsid w:val="00891B46"/>
    <w:rsid w:val="008926EC"/>
    <w:rsid w:val="008947F5"/>
    <w:rsid w:val="008957DD"/>
    <w:rsid w:val="0089765D"/>
    <w:rsid w:val="00897D98"/>
    <w:rsid w:val="008A1781"/>
    <w:rsid w:val="008A2426"/>
    <w:rsid w:val="008A3DE0"/>
    <w:rsid w:val="008A6562"/>
    <w:rsid w:val="008A6D83"/>
    <w:rsid w:val="008A6DF2"/>
    <w:rsid w:val="008B6614"/>
    <w:rsid w:val="008B79B4"/>
    <w:rsid w:val="008C005A"/>
    <w:rsid w:val="008C56E6"/>
    <w:rsid w:val="008C6727"/>
    <w:rsid w:val="008D08E4"/>
    <w:rsid w:val="008D0E23"/>
    <w:rsid w:val="008D37C3"/>
    <w:rsid w:val="008D6BA0"/>
    <w:rsid w:val="008D7C99"/>
    <w:rsid w:val="008E0AD6"/>
    <w:rsid w:val="008E0FCB"/>
    <w:rsid w:val="008E3F2B"/>
    <w:rsid w:val="008F1ECC"/>
    <w:rsid w:val="008F5894"/>
    <w:rsid w:val="00901521"/>
    <w:rsid w:val="00906EF1"/>
    <w:rsid w:val="00907E95"/>
    <w:rsid w:val="00911AB0"/>
    <w:rsid w:val="00914084"/>
    <w:rsid w:val="0092178C"/>
    <w:rsid w:val="00923F84"/>
    <w:rsid w:val="009275A8"/>
    <w:rsid w:val="00940DCC"/>
    <w:rsid w:val="0094179A"/>
    <w:rsid w:val="00943920"/>
    <w:rsid w:val="00943BDB"/>
    <w:rsid w:val="0094414E"/>
    <w:rsid w:val="0094459E"/>
    <w:rsid w:val="00944DBC"/>
    <w:rsid w:val="00950977"/>
    <w:rsid w:val="00951A7B"/>
    <w:rsid w:val="00952E29"/>
    <w:rsid w:val="0095574F"/>
    <w:rsid w:val="009564A6"/>
    <w:rsid w:val="00962B5E"/>
    <w:rsid w:val="00963208"/>
    <w:rsid w:val="00964EF3"/>
    <w:rsid w:val="00970E74"/>
    <w:rsid w:val="0098071E"/>
    <w:rsid w:val="00983EE2"/>
    <w:rsid w:val="0098413D"/>
    <w:rsid w:val="0098432D"/>
    <w:rsid w:val="00986F26"/>
    <w:rsid w:val="0098795B"/>
    <w:rsid w:val="009A1CE5"/>
    <w:rsid w:val="009A2923"/>
    <w:rsid w:val="009A4ACC"/>
    <w:rsid w:val="009A5096"/>
    <w:rsid w:val="009A6528"/>
    <w:rsid w:val="009B371F"/>
    <w:rsid w:val="009B4A0F"/>
    <w:rsid w:val="009B78F6"/>
    <w:rsid w:val="009C1324"/>
    <w:rsid w:val="009C2890"/>
    <w:rsid w:val="009C6D94"/>
    <w:rsid w:val="009D0B63"/>
    <w:rsid w:val="009D28F0"/>
    <w:rsid w:val="009D3F3B"/>
    <w:rsid w:val="009D59AB"/>
    <w:rsid w:val="009E566E"/>
    <w:rsid w:val="009E6DF7"/>
    <w:rsid w:val="009F1E8A"/>
    <w:rsid w:val="009F56D6"/>
    <w:rsid w:val="009F7B52"/>
    <w:rsid w:val="00A10BBD"/>
    <w:rsid w:val="00A1348D"/>
    <w:rsid w:val="00A14A1D"/>
    <w:rsid w:val="00A17BA5"/>
    <w:rsid w:val="00A232EE"/>
    <w:rsid w:val="00A25358"/>
    <w:rsid w:val="00A41B84"/>
    <w:rsid w:val="00A42891"/>
    <w:rsid w:val="00A44411"/>
    <w:rsid w:val="00A469FA"/>
    <w:rsid w:val="00A55740"/>
    <w:rsid w:val="00A55B01"/>
    <w:rsid w:val="00A56B5B"/>
    <w:rsid w:val="00A6004A"/>
    <w:rsid w:val="00A64EE6"/>
    <w:rsid w:val="00A657DD"/>
    <w:rsid w:val="00A659F9"/>
    <w:rsid w:val="00A666A6"/>
    <w:rsid w:val="00A6689A"/>
    <w:rsid w:val="00A66E15"/>
    <w:rsid w:val="00A676CB"/>
    <w:rsid w:val="00A7486A"/>
    <w:rsid w:val="00A767C1"/>
    <w:rsid w:val="00A80611"/>
    <w:rsid w:val="00A81CD8"/>
    <w:rsid w:val="00A861C0"/>
    <w:rsid w:val="00A91A56"/>
    <w:rsid w:val="00A92AB4"/>
    <w:rsid w:val="00A93A1D"/>
    <w:rsid w:val="00A9783E"/>
    <w:rsid w:val="00AA08E6"/>
    <w:rsid w:val="00AA2B05"/>
    <w:rsid w:val="00AA31A3"/>
    <w:rsid w:val="00AA3A0E"/>
    <w:rsid w:val="00AA4E66"/>
    <w:rsid w:val="00AB2918"/>
    <w:rsid w:val="00AB5340"/>
    <w:rsid w:val="00AC7790"/>
    <w:rsid w:val="00AC7C96"/>
    <w:rsid w:val="00AD07F8"/>
    <w:rsid w:val="00AD4722"/>
    <w:rsid w:val="00AD7C9B"/>
    <w:rsid w:val="00AE0474"/>
    <w:rsid w:val="00AE1DA5"/>
    <w:rsid w:val="00AE237D"/>
    <w:rsid w:val="00AE5B98"/>
    <w:rsid w:val="00AE78E0"/>
    <w:rsid w:val="00AE7DFE"/>
    <w:rsid w:val="00AF34B1"/>
    <w:rsid w:val="00AF7249"/>
    <w:rsid w:val="00AF7C07"/>
    <w:rsid w:val="00B02DB7"/>
    <w:rsid w:val="00B04D46"/>
    <w:rsid w:val="00B0739F"/>
    <w:rsid w:val="00B13586"/>
    <w:rsid w:val="00B17933"/>
    <w:rsid w:val="00B22A15"/>
    <w:rsid w:val="00B24527"/>
    <w:rsid w:val="00B25B1B"/>
    <w:rsid w:val="00B275BB"/>
    <w:rsid w:val="00B34BBF"/>
    <w:rsid w:val="00B405B7"/>
    <w:rsid w:val="00B4262C"/>
    <w:rsid w:val="00B46490"/>
    <w:rsid w:val="00B63984"/>
    <w:rsid w:val="00B66901"/>
    <w:rsid w:val="00B71E6D"/>
    <w:rsid w:val="00B72070"/>
    <w:rsid w:val="00B74529"/>
    <w:rsid w:val="00B76CA1"/>
    <w:rsid w:val="00B76CB6"/>
    <w:rsid w:val="00B771A3"/>
    <w:rsid w:val="00B779E1"/>
    <w:rsid w:val="00B82774"/>
    <w:rsid w:val="00B84371"/>
    <w:rsid w:val="00B84486"/>
    <w:rsid w:val="00B85A41"/>
    <w:rsid w:val="00B87967"/>
    <w:rsid w:val="00B96BF7"/>
    <w:rsid w:val="00BA1A67"/>
    <w:rsid w:val="00BA2D85"/>
    <w:rsid w:val="00BA3744"/>
    <w:rsid w:val="00BB15DE"/>
    <w:rsid w:val="00BB28A6"/>
    <w:rsid w:val="00BB44A6"/>
    <w:rsid w:val="00BB5833"/>
    <w:rsid w:val="00BB7256"/>
    <w:rsid w:val="00BB7851"/>
    <w:rsid w:val="00BC093D"/>
    <w:rsid w:val="00BC3617"/>
    <w:rsid w:val="00BD0B5C"/>
    <w:rsid w:val="00BD1287"/>
    <w:rsid w:val="00BD249F"/>
    <w:rsid w:val="00BE2356"/>
    <w:rsid w:val="00BF1300"/>
    <w:rsid w:val="00BF3DE7"/>
    <w:rsid w:val="00BF41EA"/>
    <w:rsid w:val="00BF7A7C"/>
    <w:rsid w:val="00BF7E4E"/>
    <w:rsid w:val="00BF7F8F"/>
    <w:rsid w:val="00C0058D"/>
    <w:rsid w:val="00C02585"/>
    <w:rsid w:val="00C02AD4"/>
    <w:rsid w:val="00C1103D"/>
    <w:rsid w:val="00C11416"/>
    <w:rsid w:val="00C17C28"/>
    <w:rsid w:val="00C24FF8"/>
    <w:rsid w:val="00C30C63"/>
    <w:rsid w:val="00C3123E"/>
    <w:rsid w:val="00C3419C"/>
    <w:rsid w:val="00C41236"/>
    <w:rsid w:val="00C42832"/>
    <w:rsid w:val="00C47B77"/>
    <w:rsid w:val="00C51F45"/>
    <w:rsid w:val="00C530FB"/>
    <w:rsid w:val="00C549DA"/>
    <w:rsid w:val="00C549E6"/>
    <w:rsid w:val="00C558DA"/>
    <w:rsid w:val="00C57630"/>
    <w:rsid w:val="00C57664"/>
    <w:rsid w:val="00C62154"/>
    <w:rsid w:val="00C644FB"/>
    <w:rsid w:val="00C67678"/>
    <w:rsid w:val="00C72456"/>
    <w:rsid w:val="00C725DC"/>
    <w:rsid w:val="00C74DE4"/>
    <w:rsid w:val="00C760D9"/>
    <w:rsid w:val="00C84759"/>
    <w:rsid w:val="00C90FDD"/>
    <w:rsid w:val="00C9318F"/>
    <w:rsid w:val="00C93203"/>
    <w:rsid w:val="00C93A3A"/>
    <w:rsid w:val="00C93E05"/>
    <w:rsid w:val="00C9447D"/>
    <w:rsid w:val="00C94681"/>
    <w:rsid w:val="00C956B3"/>
    <w:rsid w:val="00C95831"/>
    <w:rsid w:val="00C961BB"/>
    <w:rsid w:val="00CA2CB5"/>
    <w:rsid w:val="00CA3FEB"/>
    <w:rsid w:val="00CA5494"/>
    <w:rsid w:val="00CA6C7F"/>
    <w:rsid w:val="00CA7CA7"/>
    <w:rsid w:val="00CB1404"/>
    <w:rsid w:val="00CB5521"/>
    <w:rsid w:val="00CC10A6"/>
    <w:rsid w:val="00CC2354"/>
    <w:rsid w:val="00CD2A97"/>
    <w:rsid w:val="00CD3D68"/>
    <w:rsid w:val="00CD6BB2"/>
    <w:rsid w:val="00CD7044"/>
    <w:rsid w:val="00CE0A09"/>
    <w:rsid w:val="00CE2264"/>
    <w:rsid w:val="00CE229D"/>
    <w:rsid w:val="00CE2A2D"/>
    <w:rsid w:val="00CE524C"/>
    <w:rsid w:val="00CE5FCF"/>
    <w:rsid w:val="00CF141F"/>
    <w:rsid w:val="00CF1A24"/>
    <w:rsid w:val="00CF39B4"/>
    <w:rsid w:val="00CF4777"/>
    <w:rsid w:val="00CF7C54"/>
    <w:rsid w:val="00D02075"/>
    <w:rsid w:val="00D02124"/>
    <w:rsid w:val="00D023AA"/>
    <w:rsid w:val="00D1252B"/>
    <w:rsid w:val="00D12B2C"/>
    <w:rsid w:val="00D15118"/>
    <w:rsid w:val="00D169AF"/>
    <w:rsid w:val="00D22513"/>
    <w:rsid w:val="00D23E67"/>
    <w:rsid w:val="00D25249"/>
    <w:rsid w:val="00D25F71"/>
    <w:rsid w:val="00D34434"/>
    <w:rsid w:val="00D34988"/>
    <w:rsid w:val="00D43C7C"/>
    <w:rsid w:val="00D44172"/>
    <w:rsid w:val="00D44EFF"/>
    <w:rsid w:val="00D46C05"/>
    <w:rsid w:val="00D4799D"/>
    <w:rsid w:val="00D50E8C"/>
    <w:rsid w:val="00D539B7"/>
    <w:rsid w:val="00D63B8C"/>
    <w:rsid w:val="00D651B0"/>
    <w:rsid w:val="00D660F4"/>
    <w:rsid w:val="00D71D25"/>
    <w:rsid w:val="00D7210B"/>
    <w:rsid w:val="00D72AE3"/>
    <w:rsid w:val="00D739CC"/>
    <w:rsid w:val="00D8093D"/>
    <w:rsid w:val="00D80A9A"/>
    <w:rsid w:val="00D8108C"/>
    <w:rsid w:val="00D82D20"/>
    <w:rsid w:val="00D842AE"/>
    <w:rsid w:val="00D8680C"/>
    <w:rsid w:val="00D86FBA"/>
    <w:rsid w:val="00D9211C"/>
    <w:rsid w:val="00D92DE0"/>
    <w:rsid w:val="00D936FA"/>
    <w:rsid w:val="00D93A0F"/>
    <w:rsid w:val="00D956AE"/>
    <w:rsid w:val="00D96369"/>
    <w:rsid w:val="00D97F1C"/>
    <w:rsid w:val="00DA1BCA"/>
    <w:rsid w:val="00DA32B0"/>
    <w:rsid w:val="00DA400B"/>
    <w:rsid w:val="00DA527D"/>
    <w:rsid w:val="00DB1194"/>
    <w:rsid w:val="00DB4EC6"/>
    <w:rsid w:val="00DB6715"/>
    <w:rsid w:val="00DB735C"/>
    <w:rsid w:val="00DC1277"/>
    <w:rsid w:val="00DC357C"/>
    <w:rsid w:val="00DC46FF"/>
    <w:rsid w:val="00DC53CD"/>
    <w:rsid w:val="00DD0DDA"/>
    <w:rsid w:val="00DD1207"/>
    <w:rsid w:val="00DD1A4F"/>
    <w:rsid w:val="00DD226E"/>
    <w:rsid w:val="00DD7C2C"/>
    <w:rsid w:val="00DE7A06"/>
    <w:rsid w:val="00DF33F6"/>
    <w:rsid w:val="00DF59F6"/>
    <w:rsid w:val="00E01CC6"/>
    <w:rsid w:val="00E03F3B"/>
    <w:rsid w:val="00E04301"/>
    <w:rsid w:val="00E05091"/>
    <w:rsid w:val="00E06389"/>
    <w:rsid w:val="00E06797"/>
    <w:rsid w:val="00E07216"/>
    <w:rsid w:val="00E10FB7"/>
    <w:rsid w:val="00E110C8"/>
    <w:rsid w:val="00E11947"/>
    <w:rsid w:val="00E14B20"/>
    <w:rsid w:val="00E1511C"/>
    <w:rsid w:val="00E17AB5"/>
    <w:rsid w:val="00E17BD4"/>
    <w:rsid w:val="00E215B0"/>
    <w:rsid w:val="00E21C83"/>
    <w:rsid w:val="00E2657C"/>
    <w:rsid w:val="00E273D8"/>
    <w:rsid w:val="00E302D9"/>
    <w:rsid w:val="00E32AEE"/>
    <w:rsid w:val="00E41FB3"/>
    <w:rsid w:val="00E4438D"/>
    <w:rsid w:val="00E44C93"/>
    <w:rsid w:val="00E44F41"/>
    <w:rsid w:val="00E45435"/>
    <w:rsid w:val="00E4612E"/>
    <w:rsid w:val="00E46D9A"/>
    <w:rsid w:val="00E4755D"/>
    <w:rsid w:val="00E47CC4"/>
    <w:rsid w:val="00E529FB"/>
    <w:rsid w:val="00E565FF"/>
    <w:rsid w:val="00E56947"/>
    <w:rsid w:val="00E579BD"/>
    <w:rsid w:val="00E61362"/>
    <w:rsid w:val="00E6268A"/>
    <w:rsid w:val="00E65388"/>
    <w:rsid w:val="00E716E4"/>
    <w:rsid w:val="00E730F5"/>
    <w:rsid w:val="00E73C06"/>
    <w:rsid w:val="00E76253"/>
    <w:rsid w:val="00E81947"/>
    <w:rsid w:val="00E85B7D"/>
    <w:rsid w:val="00E9121B"/>
    <w:rsid w:val="00E92B5F"/>
    <w:rsid w:val="00EA0B53"/>
    <w:rsid w:val="00EA0F3E"/>
    <w:rsid w:val="00EA1C2C"/>
    <w:rsid w:val="00EA1C40"/>
    <w:rsid w:val="00EA39D6"/>
    <w:rsid w:val="00EA39E5"/>
    <w:rsid w:val="00EA41A4"/>
    <w:rsid w:val="00EA450F"/>
    <w:rsid w:val="00EA5E5C"/>
    <w:rsid w:val="00EB1B8B"/>
    <w:rsid w:val="00EB351F"/>
    <w:rsid w:val="00EC17E7"/>
    <w:rsid w:val="00EC2992"/>
    <w:rsid w:val="00EC3219"/>
    <w:rsid w:val="00EC388E"/>
    <w:rsid w:val="00EC5A46"/>
    <w:rsid w:val="00EC63E2"/>
    <w:rsid w:val="00EC6548"/>
    <w:rsid w:val="00ED2B9A"/>
    <w:rsid w:val="00ED4F70"/>
    <w:rsid w:val="00EE020D"/>
    <w:rsid w:val="00EF0D34"/>
    <w:rsid w:val="00EF22B3"/>
    <w:rsid w:val="00EF2844"/>
    <w:rsid w:val="00EF3F11"/>
    <w:rsid w:val="00EF678C"/>
    <w:rsid w:val="00F044F7"/>
    <w:rsid w:val="00F063CC"/>
    <w:rsid w:val="00F064C1"/>
    <w:rsid w:val="00F113DA"/>
    <w:rsid w:val="00F12540"/>
    <w:rsid w:val="00F12903"/>
    <w:rsid w:val="00F17586"/>
    <w:rsid w:val="00F22D44"/>
    <w:rsid w:val="00F30D3E"/>
    <w:rsid w:val="00F32F67"/>
    <w:rsid w:val="00F366DE"/>
    <w:rsid w:val="00F37DC8"/>
    <w:rsid w:val="00F41127"/>
    <w:rsid w:val="00F42017"/>
    <w:rsid w:val="00F47CD5"/>
    <w:rsid w:val="00F5341A"/>
    <w:rsid w:val="00F55B9C"/>
    <w:rsid w:val="00F650C3"/>
    <w:rsid w:val="00F701AE"/>
    <w:rsid w:val="00F71407"/>
    <w:rsid w:val="00F716AD"/>
    <w:rsid w:val="00F73DF5"/>
    <w:rsid w:val="00F8091E"/>
    <w:rsid w:val="00F80C91"/>
    <w:rsid w:val="00F83F10"/>
    <w:rsid w:val="00F8577F"/>
    <w:rsid w:val="00F8615C"/>
    <w:rsid w:val="00F86FDB"/>
    <w:rsid w:val="00F9516F"/>
    <w:rsid w:val="00F9521B"/>
    <w:rsid w:val="00FA13F7"/>
    <w:rsid w:val="00FA380A"/>
    <w:rsid w:val="00FA7174"/>
    <w:rsid w:val="00FB254A"/>
    <w:rsid w:val="00FB2B3E"/>
    <w:rsid w:val="00FB6C90"/>
    <w:rsid w:val="00FC47C2"/>
    <w:rsid w:val="00FD2FDA"/>
    <w:rsid w:val="00FD3EE8"/>
    <w:rsid w:val="00FD534F"/>
    <w:rsid w:val="00FD5860"/>
    <w:rsid w:val="00FE352D"/>
    <w:rsid w:val="00FE51C6"/>
    <w:rsid w:val="00FE7D62"/>
    <w:rsid w:val="00FF11E9"/>
    <w:rsid w:val="00FF21C7"/>
    <w:rsid w:val="00FF2F85"/>
    <w:rsid w:val="00FF38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4B5F4A"/>
  <w15:docId w15:val="{890B184C-6E25-45AC-BF0F-30C225C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styleId="BalloonText">
    <w:name w:val="Balloon Text"/>
    <w:basedOn w:val="Normal"/>
    <w:link w:val="BalloonTextChar"/>
    <w:semiHidden/>
    <w:unhideWhenUsed/>
    <w:rsid w:val="009B371F"/>
    <w:rPr>
      <w:rFonts w:ascii="Tahoma" w:hAnsi="Tahoma" w:cs="Tahoma"/>
      <w:sz w:val="16"/>
      <w:szCs w:val="16"/>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customStyle="1" w:styleId="BalloonTextChar">
    <w:name w:val="Balloon Text Char"/>
    <w:basedOn w:val="DefaultParagraphFont"/>
    <w:link w:val="BalloonText"/>
    <w:semiHidden/>
    <w:rsid w:val="009B371F"/>
    <w:rPr>
      <w:rFonts w:ascii="Tahoma" w:eastAsia="MS Mincho" w:hAnsi="Tahoma" w:cs="Tahoma"/>
      <w:sz w:val="16"/>
      <w:szCs w:val="16"/>
      <w:lang w:val="en-GB"/>
    </w:rPr>
  </w:style>
  <w:style w:type="paragraph" w:styleId="FootnoteText">
    <w:name w:val="footnote text"/>
    <w:basedOn w:val="Normal-pool"/>
    <w:semiHidden/>
    <w:rsid w:val="00AA4E66"/>
    <w:pPr>
      <w:spacing w:before="20" w:after="40"/>
      <w:ind w:left="1247"/>
    </w:pPr>
    <w:rPr>
      <w:sz w:val="18"/>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uiPriority w:val="99"/>
    <w:rsid w:val="004A36DE"/>
    <w:rPr>
      <w:rFonts w:eastAsia="Gulim"/>
      <w:b/>
      <w:sz w:val="24"/>
      <w:szCs w:val="24"/>
      <w:lang w:val="en-GB" w:eastAsia="ko-KR"/>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
    <w:name w:val="Normal_list"/>
    <w:basedOn w:val="NoList"/>
    <w:rsid w:val="00AA4E66"/>
    <w:pPr>
      <w:numPr>
        <w:numId w:val="30"/>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Revision">
    <w:name w:val="Revision"/>
    <w:hidden/>
    <w:uiPriority w:val="99"/>
    <w:semiHidden/>
    <w:rsid w:val="003944A9"/>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769">
      <w:bodyDiv w:val="1"/>
      <w:marLeft w:val="0"/>
      <w:marRight w:val="0"/>
      <w:marTop w:val="0"/>
      <w:marBottom w:val="0"/>
      <w:divBdr>
        <w:top w:val="none" w:sz="0" w:space="0" w:color="auto"/>
        <w:left w:val="none" w:sz="0" w:space="0" w:color="auto"/>
        <w:bottom w:val="none" w:sz="0" w:space="0" w:color="auto"/>
        <w:right w:val="none" w:sz="0" w:space="0" w:color="auto"/>
      </w:divBdr>
    </w:div>
    <w:div w:id="31977572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032188">
      <w:bodyDiv w:val="1"/>
      <w:marLeft w:val="0"/>
      <w:marRight w:val="0"/>
      <w:marTop w:val="0"/>
      <w:marBottom w:val="0"/>
      <w:divBdr>
        <w:top w:val="none" w:sz="0" w:space="0" w:color="auto"/>
        <w:left w:val="none" w:sz="0" w:space="0" w:color="auto"/>
        <w:bottom w:val="none" w:sz="0" w:space="0" w:color="auto"/>
        <w:right w:val="none" w:sz="0" w:space="0" w:color="auto"/>
      </w:divBdr>
    </w:div>
    <w:div w:id="917132016">
      <w:bodyDiv w:val="1"/>
      <w:marLeft w:val="0"/>
      <w:marRight w:val="0"/>
      <w:marTop w:val="0"/>
      <w:marBottom w:val="0"/>
      <w:divBdr>
        <w:top w:val="none" w:sz="0" w:space="0" w:color="auto"/>
        <w:left w:val="none" w:sz="0" w:space="0" w:color="auto"/>
        <w:bottom w:val="none" w:sz="0" w:space="0" w:color="auto"/>
        <w:right w:val="none" w:sz="0" w:space="0" w:color="auto"/>
      </w:divBdr>
    </w:div>
    <w:div w:id="92218627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93444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52296614">
      <w:bodyDiv w:val="1"/>
      <w:marLeft w:val="0"/>
      <w:marRight w:val="0"/>
      <w:marTop w:val="0"/>
      <w:marBottom w:val="0"/>
      <w:divBdr>
        <w:top w:val="none" w:sz="0" w:space="0" w:color="auto"/>
        <w:left w:val="none" w:sz="0" w:space="0" w:color="auto"/>
        <w:bottom w:val="none" w:sz="0" w:space="0" w:color="auto"/>
        <w:right w:val="none" w:sz="0" w:space="0" w:color="auto"/>
      </w:divBdr>
    </w:div>
    <w:div w:id="1796363313">
      <w:bodyDiv w:val="1"/>
      <w:marLeft w:val="0"/>
      <w:marRight w:val="0"/>
      <w:marTop w:val="0"/>
      <w:marBottom w:val="0"/>
      <w:divBdr>
        <w:top w:val="none" w:sz="0" w:space="0" w:color="auto"/>
        <w:left w:val="none" w:sz="0" w:space="0" w:color="auto"/>
        <w:bottom w:val="none" w:sz="0" w:space="0" w:color="auto"/>
        <w:right w:val="none" w:sz="0" w:space="0" w:color="auto"/>
      </w:divBdr>
    </w:div>
    <w:div w:id="2020496770">
      <w:bodyDiv w:val="1"/>
      <w:marLeft w:val="0"/>
      <w:marRight w:val="0"/>
      <w:marTop w:val="0"/>
      <w:marBottom w:val="0"/>
      <w:divBdr>
        <w:top w:val="none" w:sz="0" w:space="0" w:color="auto"/>
        <w:left w:val="none" w:sz="0" w:space="0" w:color="auto"/>
        <w:bottom w:val="none" w:sz="0" w:space="0" w:color="auto"/>
        <w:right w:val="none" w:sz="0" w:space="0" w:color="auto"/>
      </w:divBdr>
    </w:div>
    <w:div w:id="2053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schemas.openxmlformats.org/package/2006/metadata/core-properties"/>
    <ds:schemaRef ds:uri="9a8f22b8-05ea-4936-a963-5334b0fbdd5f"/>
    <ds:schemaRef ds:uri="http://purl.org/dc/dcmitype/"/>
    <ds:schemaRef ds:uri="d4f199e1-8ff6-4421-800c-b60412eeab13"/>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699a0643-be3a-4930-aa07-4f5905529aa4"/>
  </ds:schemaRefs>
</ds:datastoreItem>
</file>

<file path=customXml/itemProps4.xml><?xml version="1.0" encoding="utf-8"?>
<ds:datastoreItem xmlns:ds="http://schemas.openxmlformats.org/officeDocument/2006/customXml" ds:itemID="{CC9E2965-1FCD-4D86-A6F5-2CB94AC03A30}">
  <ds:schemaRefs>
    <ds:schemaRef ds:uri="http://schemas.openxmlformats.org/officeDocument/2006/bibliography"/>
  </ds:schemaRefs>
</ds:datastoreItem>
</file>

<file path=customXml/itemProps5.xml><?xml version="1.0" encoding="utf-8"?>
<ds:datastoreItem xmlns:ds="http://schemas.openxmlformats.org/officeDocument/2006/customXml" ds:itemID="{E69B4FCA-359F-48C4-806A-F8177DE5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6</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2017-12-18T13:30:00Z</cp:lastPrinted>
  <dcterms:created xsi:type="dcterms:W3CDTF">2018-01-29T11:05:00Z</dcterms:created>
  <dcterms:modified xsi:type="dcterms:W3CDTF">2018-01-29T11:05:00Z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