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6" w:type="dxa"/>
        <w:tblLayout w:type="fixed"/>
        <w:tblLook w:val="0000" w:firstRow="0" w:lastRow="0" w:firstColumn="0" w:lastColumn="0" w:noHBand="0" w:noVBand="0"/>
      </w:tblPr>
      <w:tblGrid>
        <w:gridCol w:w="1559"/>
        <w:gridCol w:w="6520"/>
        <w:gridCol w:w="1417"/>
      </w:tblGrid>
      <w:tr w:rsidR="007413F6" w:rsidRPr="00A76798" w14:paraId="3FA4EDFA" w14:textId="77777777" w:rsidTr="007413F6">
        <w:trPr>
          <w:trHeight w:val="850"/>
        </w:trPr>
        <w:tc>
          <w:tcPr>
            <w:tcW w:w="1559" w:type="dxa"/>
            <w:shd w:val="clear" w:color="auto" w:fill="auto"/>
          </w:tcPr>
          <w:p w14:paraId="7575F370" w14:textId="1C4D13EC" w:rsidR="007413F6" w:rsidRPr="00A76798" w:rsidRDefault="00B907B4" w:rsidP="00B907B4">
            <w:pPr>
              <w:pStyle w:val="AUnitedNations"/>
              <w:rPr>
                <w:lang w:val="en-GB"/>
              </w:rPr>
            </w:pPr>
            <w:r w:rsidRPr="00A76798">
              <w:rPr>
                <w:lang w:val="en-GB"/>
              </w:rPr>
              <w:t xml:space="preserve">UNITED </w:t>
            </w:r>
            <w:r w:rsidRPr="00A76798">
              <w:rPr>
                <w:lang w:val="en-GB"/>
              </w:rPr>
              <w:br/>
              <w:t>NATIONS</w:t>
            </w:r>
          </w:p>
        </w:tc>
        <w:tc>
          <w:tcPr>
            <w:tcW w:w="6520" w:type="dxa"/>
            <w:shd w:val="clear" w:color="auto" w:fill="auto"/>
          </w:tcPr>
          <w:p w14:paraId="49090AF2" w14:textId="58BD35F3" w:rsidR="007413F6" w:rsidRPr="00A76798" w:rsidRDefault="00B907B4" w:rsidP="007413F6">
            <w:pPr>
              <w:pStyle w:val="Normal-pool"/>
              <w:rPr>
                <w:lang w:val="en-GB"/>
              </w:rPr>
            </w:pPr>
            <w:r w:rsidRPr="00A76798">
              <w:rPr>
                <w:noProof/>
                <w:lang w:val="en-GB"/>
              </w:rPr>
              <w:drawing>
                <wp:anchor distT="0" distB="0" distL="114300" distR="114300" simplePos="0" relativeHeight="251658241" behindDoc="0" locked="0" layoutInCell="1" allowOverlap="1" wp14:anchorId="6DCB9D04" wp14:editId="01A12D0D">
                  <wp:simplePos x="0" y="0"/>
                  <wp:positionH relativeFrom="column">
                    <wp:posOffset>454</wp:posOffset>
                  </wp:positionH>
                  <wp:positionV relativeFrom="paragraph">
                    <wp:posOffset>8</wp:posOffset>
                  </wp:positionV>
                  <wp:extent cx="4003040" cy="405130"/>
                  <wp:effectExtent l="0" t="0" r="0" b="0"/>
                  <wp:wrapNone/>
                  <wp:docPr id="1047834693" name="Picture 1047834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83469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r w:rsidR="007413F6" w:rsidRPr="00A76798">
              <w:rPr>
                <w:noProof/>
                <w:lang w:val="en-GB"/>
              </w:rPr>
              <w:drawing>
                <wp:anchor distT="0" distB="0" distL="114300" distR="114300" simplePos="0" relativeHeight="251658240" behindDoc="0" locked="0" layoutInCell="1" allowOverlap="1" wp14:anchorId="2CAE416B" wp14:editId="13E3B9DF">
                  <wp:simplePos x="0" y="0"/>
                  <wp:positionH relativeFrom="column">
                    <wp:posOffset>3175</wp:posOffset>
                  </wp:positionH>
                  <wp:positionV relativeFrom="paragraph">
                    <wp:posOffset>-4445</wp:posOffset>
                  </wp:positionV>
                  <wp:extent cx="4003040"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3040" cy="405130"/>
                          </a:xfrm>
                          <a:prstGeom prst="rect">
                            <a:avLst/>
                          </a:prstGeom>
                        </pic:spPr>
                      </pic:pic>
                    </a:graphicData>
                  </a:graphic>
                </wp:anchor>
              </w:drawing>
            </w:r>
          </w:p>
        </w:tc>
        <w:tc>
          <w:tcPr>
            <w:tcW w:w="1417" w:type="dxa"/>
            <w:shd w:val="clear" w:color="auto" w:fill="auto"/>
          </w:tcPr>
          <w:p w14:paraId="7AF5B81B" w14:textId="77777777" w:rsidR="007413F6" w:rsidRPr="00A76798" w:rsidRDefault="007413F6" w:rsidP="007413F6">
            <w:pPr>
              <w:pStyle w:val="Normal-pool"/>
              <w:rPr>
                <w:lang w:val="en-GB"/>
              </w:rPr>
            </w:pPr>
          </w:p>
        </w:tc>
      </w:tr>
    </w:tbl>
    <w:p w14:paraId="15C5A6AE" w14:textId="75D3DB2A" w:rsidR="00A87016" w:rsidRPr="00A76798" w:rsidRDefault="00A87016" w:rsidP="007413F6">
      <w:pPr>
        <w:pStyle w:val="ASpacer"/>
        <w:rPr>
          <w:lang w:val="en-GB"/>
        </w:rPr>
      </w:pPr>
    </w:p>
    <w:tbl>
      <w:tblPr>
        <w:tblW w:w="9496" w:type="dxa"/>
        <w:tblLook w:val="0000" w:firstRow="0" w:lastRow="0" w:firstColumn="0" w:lastColumn="0" w:noHBand="0" w:noVBand="0"/>
      </w:tblPr>
      <w:tblGrid>
        <w:gridCol w:w="6945"/>
        <w:gridCol w:w="2551"/>
      </w:tblGrid>
      <w:tr w:rsidR="007413F6" w:rsidRPr="00A76798" w14:paraId="2EE9A1DC" w14:textId="77777777" w:rsidTr="007413F6">
        <w:trPr>
          <w:trHeight w:val="340"/>
        </w:trPr>
        <w:tc>
          <w:tcPr>
            <w:tcW w:w="3657" w:type="pct"/>
            <w:shd w:val="clear" w:color="auto" w:fill="auto"/>
            <w:vAlign w:val="bottom"/>
          </w:tcPr>
          <w:p w14:paraId="3AA01958" w14:textId="77777777" w:rsidR="007413F6" w:rsidRPr="00A76798" w:rsidRDefault="007413F6" w:rsidP="007413F6">
            <w:pPr>
              <w:pStyle w:val="Normal-pool"/>
              <w:rPr>
                <w:lang w:val="en-GB"/>
              </w:rPr>
            </w:pPr>
          </w:p>
        </w:tc>
        <w:tc>
          <w:tcPr>
            <w:tcW w:w="1343" w:type="pct"/>
            <w:shd w:val="clear" w:color="auto" w:fill="auto"/>
            <w:noWrap/>
            <w:vAlign w:val="bottom"/>
          </w:tcPr>
          <w:p w14:paraId="2AF90961" w14:textId="5D71A97A" w:rsidR="007413F6" w:rsidRPr="00A76798" w:rsidRDefault="007413F6" w:rsidP="00B907B4">
            <w:pPr>
              <w:pStyle w:val="ASymbol"/>
            </w:pPr>
            <w:r w:rsidRPr="00A76798">
              <w:rPr>
                <w:b/>
                <w:sz w:val="28"/>
              </w:rPr>
              <w:t>IPBES</w:t>
            </w:r>
            <w:r w:rsidRPr="00A76798">
              <w:t>/</w:t>
            </w:r>
            <w:r w:rsidR="00303FF6" w:rsidRPr="00A76798">
              <w:t>10</w:t>
            </w:r>
            <w:r w:rsidR="004E0948" w:rsidRPr="00A76798">
              <w:t>/INF</w:t>
            </w:r>
            <w:r w:rsidR="002A1AEE" w:rsidRPr="00A76798">
              <w:t>/5</w:t>
            </w:r>
          </w:p>
        </w:tc>
      </w:tr>
    </w:tbl>
    <w:p w14:paraId="5B8BDF67" w14:textId="77777777" w:rsidR="007413F6" w:rsidRPr="00A76798" w:rsidRDefault="007413F6" w:rsidP="007413F6">
      <w:pPr>
        <w:pStyle w:val="ASpacer"/>
        <w:rPr>
          <w:lang w:val="en-GB"/>
        </w:rPr>
      </w:pPr>
    </w:p>
    <w:tbl>
      <w:tblPr>
        <w:tblW w:w="9496" w:type="dxa"/>
        <w:tblBorders>
          <w:top w:val="single" w:sz="4" w:space="0" w:color="auto"/>
          <w:bottom w:val="single" w:sz="24" w:space="0" w:color="auto"/>
        </w:tblBorders>
        <w:tblLayout w:type="fixed"/>
        <w:tblLook w:val="0000" w:firstRow="0" w:lastRow="0" w:firstColumn="0" w:lastColumn="0" w:noHBand="0" w:noVBand="0"/>
      </w:tblPr>
      <w:tblGrid>
        <w:gridCol w:w="2126"/>
        <w:gridCol w:w="4819"/>
        <w:gridCol w:w="2551"/>
      </w:tblGrid>
      <w:tr w:rsidR="007413F6" w:rsidRPr="00A76798" w14:paraId="6D9CDADA" w14:textId="77777777" w:rsidTr="007413F6">
        <w:trPr>
          <w:trHeight w:val="2098"/>
        </w:trPr>
        <w:tc>
          <w:tcPr>
            <w:tcW w:w="2126" w:type="dxa"/>
            <w:shd w:val="clear" w:color="auto" w:fill="auto"/>
          </w:tcPr>
          <w:p w14:paraId="398BE1F2" w14:textId="1942CFA9" w:rsidR="007413F6" w:rsidRPr="00A76798" w:rsidRDefault="007413F6" w:rsidP="007413F6">
            <w:pPr>
              <w:pStyle w:val="ALogo"/>
              <w:rPr>
                <w:lang w:val="en-GB"/>
              </w:rPr>
            </w:pPr>
            <w:r w:rsidRPr="00A76798">
              <w:rPr>
                <w:noProof/>
                <w:lang w:val="en-GB"/>
              </w:rPr>
              <w:drawing>
                <wp:inline distT="0" distB="0" distL="0" distR="0" wp14:anchorId="3325354D" wp14:editId="48BB7896">
                  <wp:extent cx="1116610" cy="518644"/>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116610" cy="518644"/>
                          </a:xfrm>
                          <a:prstGeom prst="rect">
                            <a:avLst/>
                          </a:prstGeom>
                        </pic:spPr>
                      </pic:pic>
                    </a:graphicData>
                  </a:graphic>
                </wp:inline>
              </w:drawing>
            </w:r>
            <w:r w:rsidRPr="00A76798">
              <w:rPr>
                <w:lang w:val="en-GB"/>
              </w:rPr>
              <w:t xml:space="preserve"> </w:t>
            </w:r>
          </w:p>
          <w:p w14:paraId="1B7355C2" w14:textId="1BA16137" w:rsidR="00B907B4" w:rsidRPr="00A76798" w:rsidRDefault="00B907B4" w:rsidP="00B907B4">
            <w:pPr>
              <w:pStyle w:val="ALogo"/>
              <w:rPr>
                <w:lang w:val="en-GB"/>
              </w:rPr>
            </w:pPr>
            <w:r w:rsidRPr="00A76798">
              <w:rPr>
                <w:lang w:val="en-GB"/>
              </w:rPr>
              <w:t xml:space="preserve"> </w:t>
            </w:r>
          </w:p>
          <w:p w14:paraId="73DE6560" w14:textId="71606E46" w:rsidR="007413F6" w:rsidRPr="00A76798" w:rsidRDefault="007413F6" w:rsidP="00B907B4">
            <w:pPr>
              <w:pStyle w:val="ALogo"/>
              <w:rPr>
                <w:lang w:val="en-GB"/>
              </w:rPr>
            </w:pPr>
          </w:p>
        </w:tc>
        <w:tc>
          <w:tcPr>
            <w:tcW w:w="4819" w:type="dxa"/>
            <w:shd w:val="clear" w:color="auto" w:fill="auto"/>
          </w:tcPr>
          <w:p w14:paraId="35E4126E" w14:textId="753E3346" w:rsidR="007413F6" w:rsidRPr="00A76798" w:rsidRDefault="007413F6" w:rsidP="00B907B4">
            <w:pPr>
              <w:pStyle w:val="AConvName"/>
              <w:rPr>
                <w:lang w:val="en-GB"/>
              </w:rPr>
            </w:pPr>
            <w:r w:rsidRPr="00A76798">
              <w:rPr>
                <w:lang w:val="en-GB"/>
              </w:rPr>
              <w:t xml:space="preserve">Intergovernmental Science-Policy </w:t>
            </w:r>
            <w:r w:rsidRPr="00A76798">
              <w:rPr>
                <w:lang w:val="en-GB"/>
              </w:rPr>
              <w:br/>
              <w:t xml:space="preserve">Platform on Biodiversity and </w:t>
            </w:r>
            <w:r w:rsidRPr="00A76798">
              <w:rPr>
                <w:lang w:val="en-GB"/>
              </w:rPr>
              <w:br/>
              <w:t>Ecosystem Services</w:t>
            </w:r>
          </w:p>
        </w:tc>
        <w:tc>
          <w:tcPr>
            <w:tcW w:w="2551" w:type="dxa"/>
            <w:shd w:val="clear" w:color="auto" w:fill="auto"/>
          </w:tcPr>
          <w:p w14:paraId="2021B2DD" w14:textId="77777777" w:rsidR="00B907B4" w:rsidRPr="00A76798" w:rsidRDefault="007413F6" w:rsidP="00B907B4">
            <w:pPr>
              <w:pStyle w:val="AText"/>
              <w:rPr>
                <w:lang w:val="en-GB"/>
              </w:rPr>
            </w:pPr>
            <w:r w:rsidRPr="00A76798">
              <w:rPr>
                <w:lang w:val="en-GB"/>
              </w:rPr>
              <w:t xml:space="preserve">Distr.: </w:t>
            </w:r>
            <w:r w:rsidR="004E0948" w:rsidRPr="00A76798">
              <w:rPr>
                <w:lang w:val="en-GB"/>
              </w:rPr>
              <w:t>General</w:t>
            </w:r>
            <w:r w:rsidRPr="00A76798">
              <w:rPr>
                <w:lang w:val="en-GB"/>
              </w:rPr>
              <w:t xml:space="preserve"> </w:t>
            </w:r>
          </w:p>
          <w:p w14:paraId="56B4C858" w14:textId="29700E9E" w:rsidR="00B907B4" w:rsidRPr="00A76798" w:rsidRDefault="00B907B4" w:rsidP="00B907B4">
            <w:pPr>
              <w:pStyle w:val="AText0"/>
              <w:rPr>
                <w:lang w:val="en-GB"/>
              </w:rPr>
            </w:pPr>
            <w:r w:rsidRPr="00A76798">
              <w:rPr>
                <w:lang w:val="en-GB"/>
              </w:rPr>
              <w:t>15 June 2023</w:t>
            </w:r>
          </w:p>
          <w:p w14:paraId="09A3D7DC" w14:textId="101D3AC6" w:rsidR="007413F6" w:rsidRPr="00A76798" w:rsidRDefault="00792755" w:rsidP="008D5FEA">
            <w:pPr>
              <w:pStyle w:val="AText"/>
              <w:rPr>
                <w:lang w:val="en-GB"/>
              </w:rPr>
            </w:pPr>
            <w:r w:rsidRPr="00A76798">
              <w:rPr>
                <w:lang w:val="en-GB"/>
              </w:rPr>
              <w:t>English only</w:t>
            </w:r>
          </w:p>
        </w:tc>
      </w:tr>
    </w:tbl>
    <w:p w14:paraId="1D197CC2" w14:textId="77777777" w:rsidR="007413F6" w:rsidRPr="00A76798" w:rsidRDefault="007413F6" w:rsidP="007413F6">
      <w:pPr>
        <w:pStyle w:val="ASpacer"/>
        <w:rPr>
          <w:lang w:val="en-GB"/>
        </w:rPr>
      </w:pPr>
    </w:p>
    <w:tbl>
      <w:tblPr>
        <w:tblW w:w="9496" w:type="dxa"/>
        <w:tblLayout w:type="fixed"/>
        <w:tblCellMar>
          <w:left w:w="0" w:type="dxa"/>
          <w:right w:w="0" w:type="dxa"/>
        </w:tblCellMar>
        <w:tblLook w:val="0000" w:firstRow="0" w:lastRow="0" w:firstColumn="0" w:lastColumn="0" w:noHBand="0" w:noVBand="0"/>
      </w:tblPr>
      <w:tblGrid>
        <w:gridCol w:w="4734"/>
        <w:gridCol w:w="4762"/>
      </w:tblGrid>
      <w:tr w:rsidR="007413F6" w:rsidRPr="00A76798" w14:paraId="162398C4" w14:textId="77777777" w:rsidTr="007413F6">
        <w:trPr>
          <w:trHeight w:val="57"/>
        </w:trPr>
        <w:tc>
          <w:tcPr>
            <w:tcW w:w="4734" w:type="dxa"/>
            <w:shd w:val="clear" w:color="auto" w:fill="auto"/>
          </w:tcPr>
          <w:p w14:paraId="01B03EFD" w14:textId="77777777" w:rsidR="00B907B4" w:rsidRPr="00A76798" w:rsidRDefault="00B907B4" w:rsidP="00B907B4">
            <w:pPr>
              <w:pStyle w:val="AATitle"/>
              <w:rPr>
                <w:lang w:val="en-GB"/>
              </w:rPr>
            </w:pPr>
            <w:bookmarkStart w:id="0" w:name="CorNot1Text"/>
            <w:r w:rsidRPr="00A76798">
              <w:rPr>
                <w:lang w:val="en-GB"/>
              </w:rPr>
              <w:t xml:space="preserve">Plenary of the Intergovernmental Science-Policy </w:t>
            </w:r>
            <w:r w:rsidRPr="00A76798">
              <w:rPr>
                <w:lang w:val="en-GB"/>
              </w:rPr>
              <w:br/>
              <w:t xml:space="preserve">Platform on Biodiversity and Ecosystem Services </w:t>
            </w:r>
          </w:p>
          <w:p w14:paraId="099943DE" w14:textId="2A1C1273" w:rsidR="00B907B4" w:rsidRPr="00A76798" w:rsidRDefault="00B907B4" w:rsidP="00B907B4">
            <w:pPr>
              <w:pStyle w:val="AATitle"/>
              <w:rPr>
                <w:lang w:val="en-GB"/>
              </w:rPr>
            </w:pPr>
            <w:r w:rsidRPr="00A76798">
              <w:rPr>
                <w:lang w:val="en-GB"/>
              </w:rPr>
              <w:t>Tenth session</w:t>
            </w:r>
            <w:bookmarkEnd w:id="0"/>
            <w:r w:rsidRPr="00A76798">
              <w:rPr>
                <w:lang w:val="en-GB"/>
              </w:rPr>
              <w:t xml:space="preserve"> </w:t>
            </w:r>
          </w:p>
          <w:p w14:paraId="570F00FB" w14:textId="56FFC4D0" w:rsidR="00B907B4" w:rsidRPr="00A76798" w:rsidRDefault="00B907B4" w:rsidP="00B907B4">
            <w:pPr>
              <w:pStyle w:val="AATitle1"/>
              <w:rPr>
                <w:lang w:val="en-GB"/>
              </w:rPr>
            </w:pPr>
            <w:bookmarkStart w:id="1" w:name="CorNot1VenueDate"/>
            <w:r w:rsidRPr="00A76798">
              <w:rPr>
                <w:lang w:val="en-GB"/>
              </w:rPr>
              <w:t>Bonn, Germany, 28 August</w:t>
            </w:r>
            <w:r w:rsidR="00816EE4" w:rsidRPr="00A76798">
              <w:rPr>
                <w:lang w:val="en-GB"/>
              </w:rPr>
              <w:sym w:font="Symbol" w:char="F02D"/>
            </w:r>
            <w:r w:rsidRPr="00A76798">
              <w:rPr>
                <w:lang w:val="en-GB"/>
              </w:rPr>
              <w:t xml:space="preserve">2 September 2023 </w:t>
            </w:r>
            <w:bookmarkEnd w:id="1"/>
          </w:p>
          <w:p w14:paraId="0FFEC72D" w14:textId="595E0B88" w:rsidR="00B907B4" w:rsidRPr="00A76798" w:rsidRDefault="00B907B4" w:rsidP="00B907B4">
            <w:pPr>
              <w:pStyle w:val="AATitle1"/>
              <w:rPr>
                <w:lang w:val="en-GB"/>
              </w:rPr>
            </w:pPr>
            <w:bookmarkStart w:id="2" w:name="CorNot1AgItem"/>
            <w:r w:rsidRPr="00A76798">
              <w:rPr>
                <w:lang w:val="en-GB"/>
              </w:rPr>
              <w:t>Item 7 (a) of the provisional agenda</w:t>
            </w:r>
            <w:bookmarkEnd w:id="2"/>
            <w:r w:rsidR="006423AF" w:rsidRPr="00A76798">
              <w:rPr>
                <w:szCs w:val="18"/>
                <w:lang w:val="en-GB"/>
              </w:rPr>
              <w:footnoteReference w:customMarkFollows="1" w:id="2"/>
              <w:t>*</w:t>
            </w:r>
            <w:r w:rsidR="006423AF" w:rsidRPr="00A76798">
              <w:rPr>
                <w:lang w:val="en-GB"/>
              </w:rPr>
              <w:t xml:space="preserve"> </w:t>
            </w:r>
          </w:p>
          <w:p w14:paraId="70E03318" w14:textId="6593F6DA" w:rsidR="007413F6" w:rsidRPr="00A76798" w:rsidRDefault="00B907B4" w:rsidP="00B907B4">
            <w:pPr>
              <w:pStyle w:val="AATitle2"/>
              <w:rPr>
                <w:lang w:val="en-GB"/>
              </w:rPr>
            </w:pPr>
            <w:bookmarkStart w:id="3" w:name="CorNot1AgTitle"/>
            <w:r w:rsidRPr="00A76798">
              <w:rPr>
                <w:lang w:val="en-GB"/>
              </w:rPr>
              <w:t>Assessing knowledge: thematic assessment of invasive alien species</w:t>
            </w:r>
            <w:bookmarkEnd w:id="3"/>
          </w:p>
        </w:tc>
        <w:tc>
          <w:tcPr>
            <w:tcW w:w="4762" w:type="dxa"/>
            <w:shd w:val="clear" w:color="auto" w:fill="auto"/>
          </w:tcPr>
          <w:p w14:paraId="641509BE" w14:textId="77777777" w:rsidR="007413F6" w:rsidRPr="00A76798" w:rsidRDefault="007413F6" w:rsidP="007413F6">
            <w:pPr>
              <w:pStyle w:val="Normal-pool"/>
              <w:rPr>
                <w:lang w:val="en-GB"/>
              </w:rPr>
            </w:pPr>
          </w:p>
        </w:tc>
      </w:tr>
    </w:tbl>
    <w:p w14:paraId="40C839D7" w14:textId="5F8E3FB5" w:rsidR="004E0948" w:rsidRPr="00A76798" w:rsidRDefault="00C3114B" w:rsidP="004E0948">
      <w:pPr>
        <w:pStyle w:val="BBTitle"/>
        <w:rPr>
          <w:lang w:val="en-GB"/>
        </w:rPr>
      </w:pPr>
      <w:r w:rsidRPr="00A76798">
        <w:rPr>
          <w:lang w:val="en-GB"/>
        </w:rPr>
        <w:t>Overview of the process followed for the preparation of the thematic assessment of invasive alien species</w:t>
      </w:r>
      <w:r w:rsidR="00CA1045" w:rsidRPr="00A76798">
        <w:rPr>
          <w:lang w:val="en-GB"/>
        </w:rPr>
        <w:t xml:space="preserve"> and their </w:t>
      </w:r>
      <w:proofErr w:type="gramStart"/>
      <w:r w:rsidR="00CA1045" w:rsidRPr="00A76798">
        <w:rPr>
          <w:lang w:val="en-GB"/>
        </w:rPr>
        <w:t>control</w:t>
      </w:r>
      <w:proofErr w:type="gramEnd"/>
    </w:p>
    <w:p w14:paraId="6B3755C6" w14:textId="01CD89CE" w:rsidR="00CA1045" w:rsidRPr="00A76798" w:rsidRDefault="004E0948" w:rsidP="00CA1045">
      <w:pPr>
        <w:pStyle w:val="CH2"/>
        <w:rPr>
          <w:lang w:val="en-GB"/>
        </w:rPr>
      </w:pPr>
      <w:r w:rsidRPr="00A76798">
        <w:rPr>
          <w:lang w:val="en-GB"/>
        </w:rPr>
        <w:tab/>
      </w:r>
      <w:r w:rsidRPr="00A76798">
        <w:rPr>
          <w:lang w:val="en-GB"/>
        </w:rPr>
        <w:tab/>
        <w:t xml:space="preserve">Note by the </w:t>
      </w:r>
      <w:proofErr w:type="gramStart"/>
      <w:r w:rsidRPr="00A76798">
        <w:rPr>
          <w:lang w:val="en-GB"/>
        </w:rPr>
        <w:t>secretariat</w:t>
      </w:r>
      <w:proofErr w:type="gramEnd"/>
    </w:p>
    <w:p w14:paraId="44E282CB" w14:textId="07ED5872"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In section V of decision IPBES-6/1, the Plenary of the Intergovernmental Science-Policy Platform on Biodiversity and Ecosystem Services approved the undertaking of a thematic assessment of invasive alien species and their control, in accordance with the procedures for the preparation of the Platform’s deliverables set out in annex I to decision IPBES-3/3 and as outlined in the scoping report set out in annex I</w:t>
      </w:r>
      <w:r w:rsidR="001B5405" w:rsidRPr="00A76798">
        <w:t>II</w:t>
      </w:r>
      <w:r w:rsidRPr="00A76798">
        <w:t xml:space="preserve"> to decision IPBES-</w:t>
      </w:r>
      <w:r w:rsidR="001B5405" w:rsidRPr="00A76798">
        <w:t>4</w:t>
      </w:r>
      <w:r w:rsidRPr="00A76798">
        <w:t>/1.</w:t>
      </w:r>
    </w:p>
    <w:p w14:paraId="40C074F2" w14:textId="04E23E1C"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 xml:space="preserve">In response to that decision, an expert group has produced a set of six chapters and a summary for policymakers. The summary for policymakers is set out in the annex to document IPBES/10/6, and the six chapters and their executive summaries are presented in document IPBES/10/INF/1. </w:t>
      </w:r>
    </w:p>
    <w:p w14:paraId="32534188" w14:textId="4B5DFB60"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 xml:space="preserve">At its tenth session, the Plenary will be invited to approve the summary for policymakers. It will also be invited to accept the chapters of the report and their executive summaries, which will be revised after the </w:t>
      </w:r>
      <w:r w:rsidR="00F11535" w:rsidRPr="00A76798">
        <w:t>ten</w:t>
      </w:r>
      <w:r w:rsidRPr="00A76798">
        <w:t>th session to ensure consistency with the summary for policymakers as approved.</w:t>
      </w:r>
    </w:p>
    <w:p w14:paraId="3F05BB2C" w14:textId="5446EDA4"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 xml:space="preserve">The annex to the present note, which is presented without formal editing, sets out a report on the process followed </w:t>
      </w:r>
      <w:proofErr w:type="gramStart"/>
      <w:r w:rsidRPr="00A76798">
        <w:t>for the production of</w:t>
      </w:r>
      <w:proofErr w:type="gramEnd"/>
      <w:r w:rsidRPr="00A76798">
        <w:t xml:space="preserve"> the thematic assessment of invasive alien species and their control.</w:t>
      </w:r>
    </w:p>
    <w:p w14:paraId="42E46CBF" w14:textId="77777777" w:rsidR="00CA1045" w:rsidRPr="008439D3" w:rsidRDefault="00CA1045" w:rsidP="008439D3">
      <w:pPr>
        <w:pStyle w:val="Normal-pool"/>
      </w:pPr>
      <w:r w:rsidRPr="008439D3">
        <w:br w:type="page"/>
      </w:r>
    </w:p>
    <w:p w14:paraId="7FA2E2B1" w14:textId="77777777" w:rsidR="00CA1045" w:rsidRPr="00A76798" w:rsidRDefault="00CA1045" w:rsidP="00CA1045">
      <w:pPr>
        <w:pStyle w:val="ZZAnxheader"/>
        <w:rPr>
          <w:lang w:val="en-GB"/>
        </w:rPr>
      </w:pPr>
      <w:r w:rsidRPr="00A76798">
        <w:rPr>
          <w:lang w:val="en-GB"/>
        </w:rPr>
        <w:t>Annex</w:t>
      </w:r>
      <w:bookmarkStart w:id="4" w:name="_Hlk76459712"/>
      <w:bookmarkStart w:id="5" w:name="_Hlk69114350"/>
      <w:r w:rsidRPr="00A76798">
        <w:rPr>
          <w:b w:val="0"/>
          <w:bCs w:val="0"/>
          <w:lang w:val="en-GB"/>
        </w:rPr>
        <w:footnoteReference w:customMarkFollows="1" w:id="3"/>
        <w:t>*</w:t>
      </w:r>
      <w:bookmarkEnd w:id="4"/>
      <w:bookmarkEnd w:id="5"/>
    </w:p>
    <w:p w14:paraId="26DF8BF9" w14:textId="2F6819D7" w:rsidR="00CA1045" w:rsidRPr="00A76798" w:rsidRDefault="00CA1045" w:rsidP="00CA1045">
      <w:pPr>
        <w:pStyle w:val="ZZAnxtitle"/>
        <w:rPr>
          <w:lang w:val="en-GB"/>
        </w:rPr>
      </w:pPr>
      <w:bookmarkStart w:id="6" w:name="_Hlk102067335"/>
      <w:r w:rsidRPr="00A76798">
        <w:rPr>
          <w:lang w:val="en-GB"/>
        </w:rPr>
        <w:t xml:space="preserve">Overview of the process followed for the preparation of the thematic assessment of invasive alien species and their </w:t>
      </w:r>
      <w:proofErr w:type="gramStart"/>
      <w:r w:rsidRPr="00A76798">
        <w:rPr>
          <w:lang w:val="en-GB"/>
        </w:rPr>
        <w:t>control</w:t>
      </w:r>
      <w:proofErr w:type="gramEnd"/>
    </w:p>
    <w:bookmarkEnd w:id="6"/>
    <w:p w14:paraId="6909AA0B" w14:textId="77777777" w:rsidR="00CA1045" w:rsidRPr="00A76798" w:rsidRDefault="00CA1045" w:rsidP="00CA1045">
      <w:pPr>
        <w:pStyle w:val="CH1"/>
        <w:rPr>
          <w:lang w:val="en-GB"/>
        </w:rPr>
      </w:pPr>
      <w:r w:rsidRPr="00A76798">
        <w:rPr>
          <w:lang w:val="en-GB"/>
        </w:rPr>
        <w:tab/>
        <w:t>I.</w:t>
      </w:r>
      <w:r w:rsidRPr="00A76798">
        <w:rPr>
          <w:lang w:val="en-GB"/>
        </w:rPr>
        <w:tab/>
        <w:t>Context</w:t>
      </w:r>
    </w:p>
    <w:p w14:paraId="32CD58FD" w14:textId="264BF9D4"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invasive alien species assessment is a thematic assessment, prepared in line with the scoping report set out </w:t>
      </w:r>
      <w:r w:rsidR="00D7798C" w:rsidRPr="00A76798">
        <w:t>in annex III to decision IPBES-4/1</w:t>
      </w:r>
      <w:r w:rsidRPr="00A76798">
        <w:t xml:space="preserve">. The overall scope of the invasive alien species assessment is </w:t>
      </w:r>
      <w:r w:rsidR="002E353A" w:rsidRPr="00A76798">
        <w:t>to assess the array of such species that affect biodiversity and ecosystem services; the extent of the threat posed by such species to various categories of biodiversity and ecosystem services, including impacts on agrobiodiversity and food, human health and livelihood security; the major pathways for and drivers of the introduction and spread of such species between and within countries; the global status of and trends in the impacts of such species and associated management interventions by region and subregion</w:t>
      </w:r>
      <w:r w:rsidR="00D7798C" w:rsidRPr="00A76798">
        <w:t>;</w:t>
      </w:r>
      <w:r w:rsidR="002E353A" w:rsidRPr="00A76798">
        <w:t xml:space="preserve"> </w:t>
      </w:r>
      <w:r w:rsidR="00541350" w:rsidRPr="00A76798">
        <w:t xml:space="preserve">and </w:t>
      </w:r>
      <w:r w:rsidR="002E353A" w:rsidRPr="00A76798">
        <w:t>the level of awareness of the extent of invasive alien species and their impacts</w:t>
      </w:r>
      <w:r w:rsidR="00D7798C" w:rsidRPr="00A76798">
        <w:t>.</w:t>
      </w:r>
      <w:r w:rsidR="002E353A" w:rsidRPr="00A76798">
        <w:t xml:space="preserve"> </w:t>
      </w:r>
      <w:r w:rsidR="00D7798C" w:rsidRPr="00A76798">
        <w:t xml:space="preserve">The assessment </w:t>
      </w:r>
      <w:r w:rsidR="007E1860" w:rsidRPr="00A76798">
        <w:t xml:space="preserve">also </w:t>
      </w:r>
      <w:r w:rsidR="00D7798C" w:rsidRPr="00A76798">
        <w:t>emphasizes response options, assessing</w:t>
      </w:r>
      <w:r w:rsidR="002E353A" w:rsidRPr="00A76798">
        <w:t xml:space="preserve"> the effectiveness of current international, </w:t>
      </w:r>
      <w:proofErr w:type="gramStart"/>
      <w:r w:rsidR="002E353A" w:rsidRPr="00A76798">
        <w:t>national</w:t>
      </w:r>
      <w:proofErr w:type="gramEnd"/>
      <w:r w:rsidR="002E353A" w:rsidRPr="00A76798">
        <w:t xml:space="preserve"> and subnational control measures and associated policy options that could be employed to prevent, eradicate and control invasive alien species.</w:t>
      </w:r>
      <w:r w:rsidR="00D7798C" w:rsidRPr="00A76798">
        <w:t xml:space="preserve"> </w:t>
      </w:r>
      <w:r w:rsidR="007E1860" w:rsidRPr="00A76798">
        <w:t xml:space="preserve">The assessment </w:t>
      </w:r>
      <w:proofErr w:type="gramStart"/>
      <w:r w:rsidR="00D7798C" w:rsidRPr="00A76798">
        <w:t>tak</w:t>
      </w:r>
      <w:r w:rsidR="007E1860" w:rsidRPr="00A76798">
        <w:t>es</w:t>
      </w:r>
      <w:r w:rsidR="00D7798C" w:rsidRPr="00A76798">
        <w:t xml:space="preserve"> into account</w:t>
      </w:r>
      <w:proofErr w:type="gramEnd"/>
      <w:r w:rsidR="00D7798C" w:rsidRPr="00A76798">
        <w:t xml:space="preserve"> various knowledge and value systems</w:t>
      </w:r>
      <w:r w:rsidR="007E1860" w:rsidRPr="00A76798">
        <w:t>.</w:t>
      </w:r>
    </w:p>
    <w:p w14:paraId="0ADBB875" w14:textId="253D91F5"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The invasive alien species assessment consists of a review of knowledge available in peer</w:t>
      </w:r>
      <w:r w:rsidR="006A2D0C" w:rsidRPr="00A76798">
        <w:noBreakHyphen/>
      </w:r>
      <w:r w:rsidRPr="00A76798">
        <w:t xml:space="preserve">reviewed academic literature, publicly available policy documents, management documents and other important sources such as indigenous and local knowledge to provide a state-of-the-art synthesis of knowledge to inform decision-making and policy options for a diverse range of stakeholders (including governments, multilateral organizations, the private sector and civil society, such as </w:t>
      </w:r>
      <w:r w:rsidR="00162D9E" w:rsidRPr="00A76798">
        <w:t>I</w:t>
      </w:r>
      <w:r w:rsidRPr="00A76798">
        <w:t xml:space="preserve">ndigenous </w:t>
      </w:r>
      <w:r w:rsidR="00162D9E" w:rsidRPr="00A76798">
        <w:t>P</w:t>
      </w:r>
      <w:r w:rsidRPr="00A76798">
        <w:t>eoples and local communities and non-governmental organizations). The assessment is the result of the review of more than 13,000</w:t>
      </w:r>
      <w:r w:rsidR="00846F5B" w:rsidRPr="00A76798">
        <w:t xml:space="preserve"> scientific articles and other</w:t>
      </w:r>
      <w:r w:rsidRPr="00A76798">
        <w:t xml:space="preserve"> sources of evidence.</w:t>
      </w:r>
    </w:p>
    <w:p w14:paraId="569C8372" w14:textId="0BA40AC9" w:rsidR="002E65EB"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 xml:space="preserve">The specific objectives of the </w:t>
      </w:r>
      <w:r w:rsidR="00162D9E" w:rsidRPr="00A76798">
        <w:t>invasive alien species</w:t>
      </w:r>
      <w:r w:rsidRPr="00A76798">
        <w:t xml:space="preserve"> assessment addressed across the six chapters of the assessment are to: (</w:t>
      </w:r>
      <w:proofErr w:type="spellStart"/>
      <w:r w:rsidRPr="00A76798">
        <w:t>i</w:t>
      </w:r>
      <w:proofErr w:type="spellEnd"/>
      <w:r w:rsidRPr="00A76798">
        <w:t>)</w:t>
      </w:r>
      <w:r w:rsidR="002E65EB" w:rsidRPr="00A76798">
        <w:t xml:space="preserve"> explore the key </w:t>
      </w:r>
      <w:r w:rsidR="006010BD" w:rsidRPr="00A76798">
        <w:t>definitions, terminology</w:t>
      </w:r>
      <w:r w:rsidR="002E65EB" w:rsidRPr="00A76798">
        <w:t xml:space="preserve"> and concept</w:t>
      </w:r>
      <w:r w:rsidR="006010BD" w:rsidRPr="00A76798">
        <w:t xml:space="preserve">s of the assessment, including of </w:t>
      </w:r>
      <w:r w:rsidR="001B670F" w:rsidRPr="00A76798">
        <w:t>invasive</w:t>
      </w:r>
      <w:r w:rsidR="006010BD" w:rsidRPr="00A76798">
        <w:t xml:space="preserve"> alien species</w:t>
      </w:r>
      <w:r w:rsidRPr="00A76798">
        <w:t>; (ii)</w:t>
      </w:r>
      <w:r w:rsidR="00243323" w:rsidRPr="00A76798">
        <w:t xml:space="preserve"> synthesize past and future trends in the</w:t>
      </w:r>
      <w:r w:rsidR="001B670F" w:rsidRPr="00A76798">
        <w:t xml:space="preserve"> spread, pathways, evolutionary changes and distribution of invasive alien species</w:t>
      </w:r>
      <w:r w:rsidRPr="00A76798">
        <w:t>; (iii)</w:t>
      </w:r>
      <w:r w:rsidR="000F2E82" w:rsidRPr="00A76798">
        <w:t xml:space="preserve"> assess </w:t>
      </w:r>
      <w:r w:rsidR="007A13FB" w:rsidRPr="00A76798">
        <w:t>the direct and indirect drivers responsible for the introduction, spread, abundance and dynamics of invasive alien species</w:t>
      </w:r>
      <w:r w:rsidRPr="00A76798">
        <w:t>; (iv)</w:t>
      </w:r>
      <w:r w:rsidR="007A13FB" w:rsidRPr="00A76798">
        <w:t xml:space="preserve"> </w:t>
      </w:r>
      <w:proofErr w:type="spellStart"/>
      <w:r w:rsidR="00573761" w:rsidRPr="00A76798">
        <w:t>analyze</w:t>
      </w:r>
      <w:proofErr w:type="spellEnd"/>
      <w:r w:rsidR="00573761" w:rsidRPr="00A76798">
        <w:t xml:space="preserve"> global environmental, economic and social impacts </w:t>
      </w:r>
      <w:r w:rsidR="000F3B4F" w:rsidRPr="00A76798">
        <w:t>of invasive alien species</w:t>
      </w:r>
      <w:r w:rsidRPr="00A76798">
        <w:t xml:space="preserve">; </w:t>
      </w:r>
      <w:r w:rsidR="00162D9E" w:rsidRPr="00A76798">
        <w:t xml:space="preserve">(v) </w:t>
      </w:r>
      <w:r w:rsidR="000F3B4F" w:rsidRPr="00A76798">
        <w:t xml:space="preserve">review the effectiveness </w:t>
      </w:r>
      <w:r w:rsidR="0072432A" w:rsidRPr="00A76798">
        <w:t>of management programmes and tools across scales</w:t>
      </w:r>
      <w:r w:rsidR="00C12C5B" w:rsidRPr="00A76798">
        <w:t>;</w:t>
      </w:r>
      <w:r w:rsidR="0072432A" w:rsidRPr="00A76798">
        <w:t xml:space="preserve"> </w:t>
      </w:r>
      <w:r w:rsidRPr="00A76798">
        <w:t>and (vi)</w:t>
      </w:r>
      <w:r w:rsidR="00E96F4E" w:rsidRPr="00A76798">
        <w:t xml:space="preserve"> explore future options for the prevention and control of invasive alien species</w:t>
      </w:r>
      <w:r w:rsidRPr="00A76798">
        <w:t>.</w:t>
      </w:r>
    </w:p>
    <w:p w14:paraId="761D836F" w14:textId="1B638C6A" w:rsidR="00CA1045" w:rsidRPr="00A76798" w:rsidRDefault="00CA1045" w:rsidP="008439D3">
      <w:pPr>
        <w:pStyle w:val="Normalnumber"/>
        <w:numPr>
          <w:ilvl w:val="0"/>
          <w:numId w:val="14"/>
        </w:numPr>
        <w:tabs>
          <w:tab w:val="clear" w:pos="1247"/>
          <w:tab w:val="clear" w:pos="1814"/>
          <w:tab w:val="clear" w:pos="2381"/>
          <w:tab w:val="clear" w:pos="2948"/>
          <w:tab w:val="clear" w:pos="3515"/>
          <w:tab w:val="left" w:pos="624"/>
        </w:tabs>
        <w:ind w:left="1247"/>
      </w:pPr>
      <w:r w:rsidRPr="00A76798">
        <w:t>The invasive alien species assessment was carried out by a team of 86 interdisciplinary experts, including co-chairs, coordinating lead authors, lead authors</w:t>
      </w:r>
      <w:r w:rsidR="002751BA" w:rsidRPr="00A76798">
        <w:t xml:space="preserve">, </w:t>
      </w:r>
      <w:r w:rsidRPr="00A76798">
        <w:t xml:space="preserve">review editors, and fellows, assisted by </w:t>
      </w:r>
      <w:r w:rsidR="00EA261E" w:rsidRPr="00A76798">
        <w:t xml:space="preserve">approximately 200 </w:t>
      </w:r>
      <w:r w:rsidRPr="00A76798">
        <w:t xml:space="preserve">contributing authors over a period of approximately 4 years between 2019 and 2023. The assessment report is composed of the summary for policymakers together with the six chapters and front and back matters, which will be added following the tenth session of the Plenary. The assessment report will be laid out and posted on the IPBES website following the tenth session of the Plenary. </w:t>
      </w:r>
    </w:p>
    <w:p w14:paraId="65481D6D" w14:textId="77777777" w:rsidR="00CA1045" w:rsidRPr="00A76798" w:rsidRDefault="00CA1045" w:rsidP="00CA1045">
      <w:pPr>
        <w:pStyle w:val="CH1"/>
        <w:rPr>
          <w:lang w:val="en-GB"/>
        </w:rPr>
      </w:pPr>
      <w:r w:rsidRPr="00A76798">
        <w:rPr>
          <w:lang w:val="en-GB"/>
        </w:rPr>
        <w:tab/>
        <w:t>II.</w:t>
      </w:r>
      <w:r w:rsidRPr="00A76798">
        <w:rPr>
          <w:lang w:val="en-GB"/>
        </w:rPr>
        <w:tab/>
        <w:t xml:space="preserve">The assessment </w:t>
      </w:r>
      <w:proofErr w:type="gramStart"/>
      <w:r w:rsidRPr="00A76798">
        <w:rPr>
          <w:lang w:val="en-GB"/>
        </w:rPr>
        <w:t>team</w:t>
      </w:r>
      <w:proofErr w:type="gramEnd"/>
    </w:p>
    <w:p w14:paraId="1A9DD237" w14:textId="77777777" w:rsidR="00CA1045" w:rsidRPr="00A76798" w:rsidRDefault="00CA1045" w:rsidP="00CA1045">
      <w:pPr>
        <w:pStyle w:val="CH2"/>
        <w:rPr>
          <w:lang w:val="en-GB"/>
        </w:rPr>
      </w:pPr>
      <w:r w:rsidRPr="00A76798">
        <w:rPr>
          <w:lang w:val="en-GB"/>
        </w:rPr>
        <w:tab/>
        <w:t>A.</w:t>
      </w:r>
      <w:r w:rsidRPr="00A76798">
        <w:rPr>
          <w:lang w:val="en-GB"/>
        </w:rPr>
        <w:tab/>
        <w:t>Dedicated Multidisciplinary Expert Panel and Bureau members</w:t>
      </w:r>
    </w:p>
    <w:p w14:paraId="339645DF" w14:textId="77777777"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In line with the procedures for the preparation of IPBES deliverables (decision IPBES-3/3, annex I), the following dedicated members of the Multidisciplinary Expert Panel and Bureau oversaw the production of the assessment report on behalf of the Panel and the Bureau: </w:t>
      </w:r>
    </w:p>
    <w:p w14:paraId="27035734" w14:textId="1A8296D0" w:rsidR="00CA1045" w:rsidRPr="00A76798" w:rsidRDefault="00CA1045" w:rsidP="00AA45B7">
      <w:pPr>
        <w:pStyle w:val="Normalnumber"/>
        <w:numPr>
          <w:ilvl w:val="1"/>
          <w:numId w:val="13"/>
        </w:numPr>
        <w:tabs>
          <w:tab w:val="clear" w:pos="1247"/>
          <w:tab w:val="clear" w:pos="1814"/>
          <w:tab w:val="clear" w:pos="2381"/>
          <w:tab w:val="clear" w:pos="2495"/>
          <w:tab w:val="clear" w:pos="2948"/>
          <w:tab w:val="clear" w:pos="3515"/>
          <w:tab w:val="left" w:pos="624"/>
        </w:tabs>
        <w:ind w:left="1247" w:firstLine="624"/>
      </w:pPr>
      <w:r w:rsidRPr="00A76798">
        <w:rPr>
          <w:b/>
        </w:rPr>
        <w:t>Bureau</w:t>
      </w:r>
      <w:r w:rsidRPr="00A76798">
        <w:t xml:space="preserve">: </w:t>
      </w:r>
      <w:r w:rsidR="003E5785" w:rsidRPr="00A76798">
        <w:t xml:space="preserve">Vinod Bihari Mathur, </w:t>
      </w:r>
      <w:r w:rsidR="004C0C8F" w:rsidRPr="00A76798">
        <w:t xml:space="preserve">Rashad </w:t>
      </w:r>
      <w:proofErr w:type="spellStart"/>
      <w:r w:rsidR="004C0C8F" w:rsidRPr="00A76798">
        <w:t>Allahverdiyev</w:t>
      </w:r>
      <w:proofErr w:type="spellEnd"/>
      <w:r w:rsidR="00846F5B" w:rsidRPr="00A76798">
        <w:t xml:space="preserve">, </w:t>
      </w:r>
      <w:proofErr w:type="spellStart"/>
      <w:r w:rsidR="003E5785" w:rsidRPr="00A76798">
        <w:t>Youngbae</w:t>
      </w:r>
      <w:proofErr w:type="spellEnd"/>
      <w:r w:rsidR="003E5785" w:rsidRPr="00A76798">
        <w:t xml:space="preserve"> Suh (until </w:t>
      </w:r>
      <w:r w:rsidR="00846F5B" w:rsidRPr="00A76798">
        <w:t>the eighth session of the Plenary</w:t>
      </w:r>
      <w:proofErr w:type="gramStart"/>
      <w:r w:rsidR="003E5785" w:rsidRPr="00A76798">
        <w:t>)</w:t>
      </w:r>
      <w:r w:rsidR="00FB599A" w:rsidRPr="00A76798">
        <w:t>;</w:t>
      </w:r>
      <w:proofErr w:type="gramEnd"/>
    </w:p>
    <w:p w14:paraId="46351B8A" w14:textId="48974B8E" w:rsidR="00CA1045" w:rsidRPr="00A76798" w:rsidRDefault="00CA1045" w:rsidP="00AA45B7">
      <w:pPr>
        <w:pStyle w:val="Normalnumber"/>
        <w:numPr>
          <w:ilvl w:val="1"/>
          <w:numId w:val="13"/>
        </w:numPr>
        <w:tabs>
          <w:tab w:val="clear" w:pos="1247"/>
          <w:tab w:val="clear" w:pos="1814"/>
          <w:tab w:val="clear" w:pos="2381"/>
          <w:tab w:val="clear" w:pos="2495"/>
          <w:tab w:val="clear" w:pos="2948"/>
          <w:tab w:val="clear" w:pos="3515"/>
          <w:tab w:val="left" w:pos="624"/>
        </w:tabs>
        <w:ind w:left="1247" w:firstLine="624"/>
      </w:pPr>
      <w:r w:rsidRPr="00A76798">
        <w:rPr>
          <w:b/>
        </w:rPr>
        <w:t>Multidisciplinary Expert Panel</w:t>
      </w:r>
      <w:r w:rsidRPr="00A76798">
        <w:t xml:space="preserve">: </w:t>
      </w:r>
      <w:r w:rsidR="003E5785" w:rsidRPr="00A76798">
        <w:t xml:space="preserve">Eric </w:t>
      </w:r>
      <w:proofErr w:type="spellStart"/>
      <w:r w:rsidR="003E5785" w:rsidRPr="00A76798">
        <w:t>Fokam</w:t>
      </w:r>
      <w:proofErr w:type="spellEnd"/>
      <w:r w:rsidR="003E5785" w:rsidRPr="00A76798">
        <w:t xml:space="preserve">, Shizuka Hashimoto, Rizwan Irshad, Ruslan </w:t>
      </w:r>
      <w:proofErr w:type="spellStart"/>
      <w:r w:rsidR="003E5785" w:rsidRPr="00A76798">
        <w:t>Novitsky</w:t>
      </w:r>
      <w:proofErr w:type="spellEnd"/>
      <w:r w:rsidR="003E5785" w:rsidRPr="00A76798">
        <w:t xml:space="preserve"> (until the ninth session of the Plenary)</w:t>
      </w:r>
      <w:r w:rsidRPr="00A76798">
        <w:t>.</w:t>
      </w:r>
    </w:p>
    <w:p w14:paraId="7E6E5911" w14:textId="2CF1EB2A" w:rsidR="00CA1045" w:rsidRPr="00A76798" w:rsidRDefault="00CA1045" w:rsidP="00AA45B7">
      <w:pPr>
        <w:pStyle w:val="Normalnumber"/>
        <w:keepNext/>
        <w:keepLines/>
        <w:numPr>
          <w:ilvl w:val="0"/>
          <w:numId w:val="15"/>
        </w:numPr>
        <w:tabs>
          <w:tab w:val="clear" w:pos="1247"/>
          <w:tab w:val="clear" w:pos="1814"/>
          <w:tab w:val="clear" w:pos="2381"/>
          <w:tab w:val="clear" w:pos="2948"/>
          <w:tab w:val="clear" w:pos="3515"/>
          <w:tab w:val="left" w:pos="624"/>
        </w:tabs>
        <w:ind w:left="1247"/>
      </w:pPr>
      <w:r w:rsidRPr="00A76798">
        <w:t xml:space="preserve">The management committee for the assessment consisted of the Multidisciplinary Expert Panel and Bureau members mentioned above, the co-chairs of the assessment, the technical support unit, as well as a </w:t>
      </w:r>
      <w:r w:rsidR="00846F5B" w:rsidRPr="00A76798">
        <w:t xml:space="preserve">member </w:t>
      </w:r>
      <w:r w:rsidRPr="00A76798">
        <w:t xml:space="preserve">of the IPBES secretariat. Management committee meetings were held, usually remotely, at regular intervals. </w:t>
      </w:r>
    </w:p>
    <w:p w14:paraId="6A5BDC81" w14:textId="77777777" w:rsidR="00CA1045" w:rsidRPr="00A76798" w:rsidRDefault="00CA1045" w:rsidP="00CA1045">
      <w:pPr>
        <w:pStyle w:val="CH2"/>
        <w:rPr>
          <w:lang w:val="en-GB"/>
        </w:rPr>
      </w:pPr>
      <w:r w:rsidRPr="00A76798">
        <w:rPr>
          <w:lang w:val="en-GB"/>
        </w:rPr>
        <w:tab/>
        <w:t>B.</w:t>
      </w:r>
      <w:r w:rsidRPr="00A76798">
        <w:rPr>
          <w:lang w:val="en-GB"/>
        </w:rPr>
        <w:tab/>
        <w:t xml:space="preserve">Selection of experts </w:t>
      </w:r>
    </w:p>
    <w:p w14:paraId="61274077" w14:textId="01B5D926"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A call for the nomination of experts (EM/2018/</w:t>
      </w:r>
      <w:r w:rsidR="003E5785" w:rsidRPr="00A76798">
        <w:t>22</w:t>
      </w:r>
      <w:r w:rsidRPr="00A76798">
        <w:t xml:space="preserve">) for the assessment was issued on </w:t>
      </w:r>
      <w:r w:rsidR="006826AB" w:rsidRPr="00A76798">
        <w:t>4</w:t>
      </w:r>
      <w:r w:rsidR="003E5785" w:rsidRPr="00A76798">
        <w:t xml:space="preserve"> October</w:t>
      </w:r>
      <w:r w:rsidRPr="00A76798">
        <w:t xml:space="preserve"> 2018 inviting nominations by </w:t>
      </w:r>
      <w:r w:rsidR="003E5785" w:rsidRPr="00A76798">
        <w:t>1 February 2019</w:t>
      </w:r>
      <w:r w:rsidRPr="00A76798">
        <w:t>. Co-chairs, coordinating lead authors, lead authors and review editors were selected for the assessment in accordance with the procedures for the preparation of Platform deliverables set out in annex I to decision IPBES-3/3 and the procedure for filling gaps in the availability of experts set out in annex I to decision IPBES-4/3.</w:t>
      </w:r>
    </w:p>
    <w:p w14:paraId="39E0FBE2" w14:textId="018DCB24"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A total of </w:t>
      </w:r>
      <w:r w:rsidR="003E5785" w:rsidRPr="00A76798">
        <w:t>260</w:t>
      </w:r>
      <w:r w:rsidRPr="00A76798">
        <w:t xml:space="preserve"> nominations was received. </w:t>
      </w:r>
      <w:r w:rsidR="00CC0501" w:rsidRPr="00A76798">
        <w:t xml:space="preserve">The Multidisciplinary Expert Panel, in consultation with the Bureau, reviewed the nominations during a teleconference in April 2019, and </w:t>
      </w:r>
      <w:r w:rsidR="00846F5B" w:rsidRPr="00A76798">
        <w:t xml:space="preserve">at a meeting </w:t>
      </w:r>
      <w:r w:rsidR="00CC0501" w:rsidRPr="00A76798">
        <w:t>in the margins of the seventh session of the Plenary. They completed a pre-selection of experts based on candidates’ expertise with respect to the deliverable</w:t>
      </w:r>
      <w:r w:rsidR="00CC0501" w:rsidRPr="00A76798" w:rsidDel="004C41BB">
        <w:t xml:space="preserve"> </w:t>
      </w:r>
      <w:r w:rsidR="00CC0501" w:rsidRPr="00A76798">
        <w:t xml:space="preserve">as reflected in the nomination forms and curricula vitae of the nominees. Once selected based on merit, </w:t>
      </w:r>
      <w:r w:rsidR="00E53542" w:rsidRPr="00A76798">
        <w:t xml:space="preserve">a </w:t>
      </w:r>
      <w:r w:rsidR="00CC0501" w:rsidRPr="00A76798">
        <w:t>further selection focused on balancing disciplinary, regional and gender diversity</w:t>
      </w:r>
      <w:r w:rsidR="00D25AC5" w:rsidRPr="00A76798">
        <w:t xml:space="preserve"> was conducted</w:t>
      </w:r>
      <w:r w:rsidR="00CC0501" w:rsidRPr="00A76798">
        <w:t xml:space="preserve">. The final selection of experts, </w:t>
      </w:r>
      <w:proofErr w:type="gramStart"/>
      <w:r w:rsidR="00D25AC5" w:rsidRPr="00A76798">
        <w:t>with</w:t>
      </w:r>
      <w:r w:rsidR="00CC0501" w:rsidRPr="00A76798">
        <w:t xml:space="preserve"> the exception of</w:t>
      </w:r>
      <w:proofErr w:type="gramEnd"/>
      <w:r w:rsidR="00CC0501" w:rsidRPr="00A76798">
        <w:t xml:space="preserve"> review editors, was made during the first management committee meeting </w:t>
      </w:r>
      <w:r w:rsidR="00D25AC5" w:rsidRPr="00A76798">
        <w:t>for</w:t>
      </w:r>
      <w:r w:rsidR="00CC0501" w:rsidRPr="00A76798">
        <w:t xml:space="preserve"> the assessment in June 2019. Following the same procedure, the selection of review editors took place in April 2020.</w:t>
      </w:r>
      <w:r w:rsidRPr="00A76798">
        <w:t xml:space="preserve"> Out of the </w:t>
      </w:r>
      <w:r w:rsidR="003E5785" w:rsidRPr="00A76798">
        <w:t>260</w:t>
      </w:r>
      <w:r w:rsidRPr="00A76798">
        <w:t xml:space="preserve"> nominated experts, a total of </w:t>
      </w:r>
      <w:r w:rsidR="00137A1A" w:rsidRPr="00A76798">
        <w:t xml:space="preserve">47 </w:t>
      </w:r>
      <w:r w:rsidRPr="00A76798">
        <w:t xml:space="preserve">were selected, including 3 co-chairs. </w:t>
      </w:r>
    </w:p>
    <w:p w14:paraId="072BE11A" w14:textId="393E905A"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management committee also identified gaps in the availability of experts </w:t>
      </w:r>
      <w:proofErr w:type="gramStart"/>
      <w:r w:rsidRPr="00A76798">
        <w:t>with regard to</w:t>
      </w:r>
      <w:proofErr w:type="gramEnd"/>
      <w:r w:rsidRPr="00A76798">
        <w:t xml:space="preserve"> geographic and disciplinary balances in the nominations received and suggested fill</w:t>
      </w:r>
      <w:r w:rsidR="00D44F47" w:rsidRPr="00A76798">
        <w:t>ing</w:t>
      </w:r>
      <w:r w:rsidRPr="00A76798">
        <w:t xml:space="preserve"> the gaps in accordance with the procedure for filling gaps in the availability of experts set out in annex I to decision IPBES-4/3.</w:t>
      </w:r>
      <w:r w:rsidR="00AF6269" w:rsidRPr="00A76798">
        <w:t xml:space="preserve"> </w:t>
      </w:r>
      <w:r w:rsidR="00131215" w:rsidRPr="00A76798">
        <w:t>E</w:t>
      </w:r>
      <w:r w:rsidRPr="00A76798">
        <w:t xml:space="preserve">xperts were identified by the co-chairs of the assessment and members of the Multidisciplinary Expert Panel and the Bureau, and subsequently nominated by the respective Governments or organizations. </w:t>
      </w:r>
    </w:p>
    <w:p w14:paraId="39674750" w14:textId="7EEFA33A"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proofErr w:type="gramStart"/>
      <w:r w:rsidRPr="00A76798">
        <w:t>During the course of</w:t>
      </w:r>
      <w:proofErr w:type="gramEnd"/>
      <w:r w:rsidRPr="00A76798">
        <w:t xml:space="preserve"> the assessment, </w:t>
      </w:r>
      <w:r w:rsidR="00ED3FD1" w:rsidRPr="00A76798">
        <w:t xml:space="preserve">4 </w:t>
      </w:r>
      <w:r w:rsidRPr="00A76798">
        <w:t>experts resigned from the assessment due to constraints in their time availability for the preparation of the assessment</w:t>
      </w:r>
      <w:r w:rsidR="000E4CD0" w:rsidRPr="00A76798">
        <w:t xml:space="preserve"> or </w:t>
      </w:r>
      <w:r w:rsidRPr="00A76798">
        <w:t>following the procedure to address non-responsive authors. Several of these experts were replaced in accordance with the procedure for filling gaps in the availability of experts.</w:t>
      </w:r>
    </w:p>
    <w:p w14:paraId="4A2789A0" w14:textId="74109BAC"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In line with decision IPBES-6/1, in which the Plenary requested the task force on capacity</w:t>
      </w:r>
      <w:r w:rsidRPr="00A76798">
        <w:noBreakHyphen/>
        <w:t>building to continue implementing the capacity-building rolling plan, which includes the IPBES fellowship programme, the Executive Secretary launched a call for nominations for fellows for the assessment (</w:t>
      </w:r>
      <w:r w:rsidR="007169B9" w:rsidRPr="00A76798">
        <w:t>EM/2018/30</w:t>
      </w:r>
      <w:r w:rsidRPr="00A76798">
        <w:t>)</w:t>
      </w:r>
      <w:r w:rsidR="007169B9" w:rsidRPr="00A76798">
        <w:t xml:space="preserve"> on 13 December 2018</w:t>
      </w:r>
      <w:r w:rsidRPr="00A76798">
        <w:t xml:space="preserve">. </w:t>
      </w:r>
      <w:r w:rsidR="002751BA" w:rsidRPr="00A76798">
        <w:t xml:space="preserve">Fellows are experts in the early stages of their careers, who collaborated with the coordinating lead authors and lead authors in developing sections of the chapters, under the guidance of one of the experts who acted as their mentor, as part of the IPBES fellowship programme. A total of 115 nominations </w:t>
      </w:r>
      <w:proofErr w:type="gramStart"/>
      <w:r w:rsidR="002751BA" w:rsidRPr="00A76798">
        <w:t>were received,</w:t>
      </w:r>
      <w:proofErr w:type="gramEnd"/>
      <w:r w:rsidR="002751BA" w:rsidRPr="00A76798">
        <w:t xml:space="preserve"> from which 14 fellows were selected by the management committee of the assessment, out of which 2 subsequently resigned. </w:t>
      </w:r>
    </w:p>
    <w:p w14:paraId="69D7967D" w14:textId="633197FF"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following table provides information on the number of experts selected for this assessment. The expert group was led by three co-chairs, who oversaw the preparation of the assessment report and ensured that it was completed to a high standard. Each chapter was coordinated by two to three coordinating lead authors, and produced by a group of lead authors, who were responsible for </w:t>
      </w:r>
      <w:r w:rsidR="002751BA" w:rsidRPr="00A76798">
        <w:t xml:space="preserve">drafting </w:t>
      </w:r>
      <w:r w:rsidRPr="00A76798">
        <w:t>various parts of the chapter. Each chapter had two review editors, who ensured that all substantive comments were afforded appropriate consideration and advised lead authors on how to handle controversial issues, if any existed. In addition, two fellows were also part of each chapter</w:t>
      </w:r>
      <w:r w:rsidR="002751BA" w:rsidRPr="00A76798">
        <w:t>’s</w:t>
      </w:r>
      <w:r w:rsidRPr="00A76798">
        <w:t xml:space="preserve"> team. </w:t>
      </w:r>
    </w:p>
    <w:tbl>
      <w:tblPr>
        <w:tblStyle w:val="TableGrid"/>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594"/>
        <w:gridCol w:w="1219"/>
        <w:gridCol w:w="1334"/>
        <w:gridCol w:w="992"/>
        <w:gridCol w:w="2070"/>
      </w:tblGrid>
      <w:tr w:rsidR="00413A82" w:rsidRPr="00A76798" w14:paraId="55FF68F6" w14:textId="77777777" w:rsidTr="00AC1897">
        <w:trPr>
          <w:trHeight w:val="57"/>
          <w:jc w:val="right"/>
        </w:trPr>
        <w:tc>
          <w:tcPr>
            <w:tcW w:w="8307" w:type="dxa"/>
            <w:gridSpan w:val="6"/>
            <w:tcBorders>
              <w:top w:val="single" w:sz="4" w:space="0" w:color="auto"/>
              <w:bottom w:val="single" w:sz="12" w:space="0" w:color="auto"/>
            </w:tcBorders>
            <w:vAlign w:val="bottom"/>
          </w:tcPr>
          <w:p w14:paraId="64ACD8A0" w14:textId="6B48B7FF" w:rsidR="00413A82" w:rsidRPr="00AC1897" w:rsidRDefault="00413A82" w:rsidP="00AC1897">
            <w:pPr>
              <w:pStyle w:val="Normal-pool-Table"/>
              <w:jc w:val="center"/>
              <w:rPr>
                <w:i/>
                <w:iCs/>
              </w:rPr>
            </w:pPr>
            <w:r w:rsidRPr="00AC1897">
              <w:rPr>
                <w:i/>
                <w:iCs/>
              </w:rPr>
              <w:t>Composition of the expert group</w:t>
            </w:r>
          </w:p>
        </w:tc>
      </w:tr>
      <w:tr w:rsidR="00CA1045" w:rsidRPr="00A76798" w14:paraId="6E4EA834" w14:textId="77777777" w:rsidTr="00AA45B7">
        <w:trPr>
          <w:trHeight w:val="57"/>
          <w:jc w:val="right"/>
        </w:trPr>
        <w:tc>
          <w:tcPr>
            <w:tcW w:w="1098" w:type="dxa"/>
            <w:tcBorders>
              <w:top w:val="single" w:sz="12" w:space="0" w:color="auto"/>
              <w:bottom w:val="single" w:sz="6" w:space="0" w:color="auto"/>
            </w:tcBorders>
            <w:vAlign w:val="bottom"/>
          </w:tcPr>
          <w:p w14:paraId="0EB531AC" w14:textId="308220DA" w:rsidR="00CA1045" w:rsidRPr="00A76798" w:rsidRDefault="00CA1045" w:rsidP="00AC1897">
            <w:pPr>
              <w:pStyle w:val="Normal-pool-Table"/>
              <w:jc w:val="right"/>
              <w:rPr>
                <w:i/>
                <w:iCs/>
              </w:rPr>
            </w:pPr>
            <w:r w:rsidRPr="00A76798">
              <w:rPr>
                <w:i/>
                <w:iCs/>
              </w:rPr>
              <w:t>Co-chairs</w:t>
            </w:r>
            <w:bookmarkStart w:id="7" w:name="_Hlk503529205"/>
          </w:p>
        </w:tc>
        <w:tc>
          <w:tcPr>
            <w:tcW w:w="1594" w:type="dxa"/>
            <w:tcBorders>
              <w:top w:val="single" w:sz="12" w:space="0" w:color="auto"/>
              <w:bottom w:val="single" w:sz="6" w:space="0" w:color="auto"/>
            </w:tcBorders>
            <w:vAlign w:val="bottom"/>
          </w:tcPr>
          <w:p w14:paraId="583F5B6A" w14:textId="73B2116F" w:rsidR="00CA1045" w:rsidRPr="00A76798" w:rsidRDefault="00CA1045" w:rsidP="00AC1897">
            <w:pPr>
              <w:pStyle w:val="Normal-pool-Table"/>
              <w:jc w:val="right"/>
              <w:rPr>
                <w:i/>
                <w:iCs/>
              </w:rPr>
            </w:pPr>
            <w:r w:rsidRPr="00A76798">
              <w:rPr>
                <w:i/>
                <w:iCs/>
              </w:rPr>
              <w:t xml:space="preserve">Coordinating </w:t>
            </w:r>
            <w:r w:rsidR="00AA45B7">
              <w:rPr>
                <w:i/>
                <w:iCs/>
              </w:rPr>
              <w:br/>
            </w:r>
            <w:r w:rsidRPr="00A76798">
              <w:rPr>
                <w:i/>
                <w:iCs/>
              </w:rPr>
              <w:t>lead authors</w:t>
            </w:r>
          </w:p>
        </w:tc>
        <w:tc>
          <w:tcPr>
            <w:tcW w:w="1219" w:type="dxa"/>
            <w:tcBorders>
              <w:top w:val="single" w:sz="12" w:space="0" w:color="auto"/>
              <w:bottom w:val="single" w:sz="6" w:space="0" w:color="auto"/>
            </w:tcBorders>
            <w:vAlign w:val="bottom"/>
          </w:tcPr>
          <w:p w14:paraId="11A2D9BC" w14:textId="77777777" w:rsidR="00CA1045" w:rsidRPr="00A76798" w:rsidRDefault="00CA1045" w:rsidP="00AC1897">
            <w:pPr>
              <w:pStyle w:val="Normal-pool-Table"/>
              <w:jc w:val="right"/>
              <w:rPr>
                <w:i/>
                <w:iCs/>
              </w:rPr>
            </w:pPr>
            <w:r w:rsidRPr="00A76798">
              <w:rPr>
                <w:i/>
                <w:iCs/>
              </w:rPr>
              <w:t>Lead authors</w:t>
            </w:r>
          </w:p>
        </w:tc>
        <w:tc>
          <w:tcPr>
            <w:tcW w:w="1334" w:type="dxa"/>
            <w:tcBorders>
              <w:top w:val="single" w:sz="12" w:space="0" w:color="auto"/>
              <w:bottom w:val="single" w:sz="6" w:space="0" w:color="auto"/>
            </w:tcBorders>
            <w:vAlign w:val="bottom"/>
          </w:tcPr>
          <w:p w14:paraId="2F87CE2D" w14:textId="77777777" w:rsidR="00CA1045" w:rsidRPr="00A76798" w:rsidRDefault="00CA1045" w:rsidP="00AC1897">
            <w:pPr>
              <w:pStyle w:val="Normal-pool-Table"/>
              <w:jc w:val="right"/>
              <w:rPr>
                <w:i/>
                <w:iCs/>
              </w:rPr>
            </w:pPr>
            <w:r w:rsidRPr="00A76798">
              <w:rPr>
                <w:i/>
                <w:iCs/>
              </w:rPr>
              <w:t>Review editors</w:t>
            </w:r>
          </w:p>
        </w:tc>
        <w:tc>
          <w:tcPr>
            <w:tcW w:w="992" w:type="dxa"/>
            <w:tcBorders>
              <w:top w:val="single" w:sz="12" w:space="0" w:color="auto"/>
              <w:bottom w:val="single" w:sz="6" w:space="0" w:color="auto"/>
            </w:tcBorders>
            <w:vAlign w:val="bottom"/>
          </w:tcPr>
          <w:p w14:paraId="07FD55C4" w14:textId="77777777" w:rsidR="00CA1045" w:rsidRPr="00A76798" w:rsidRDefault="00CA1045" w:rsidP="00AC1897">
            <w:pPr>
              <w:pStyle w:val="Normal-pool-Table"/>
              <w:jc w:val="right"/>
              <w:rPr>
                <w:i/>
                <w:iCs/>
              </w:rPr>
            </w:pPr>
            <w:r w:rsidRPr="00A76798">
              <w:rPr>
                <w:i/>
                <w:iCs/>
              </w:rPr>
              <w:t>Fellows</w:t>
            </w:r>
          </w:p>
        </w:tc>
        <w:tc>
          <w:tcPr>
            <w:tcW w:w="2070" w:type="dxa"/>
            <w:tcBorders>
              <w:top w:val="single" w:sz="12" w:space="0" w:color="auto"/>
              <w:bottom w:val="single" w:sz="6" w:space="0" w:color="auto"/>
            </w:tcBorders>
            <w:vAlign w:val="bottom"/>
          </w:tcPr>
          <w:p w14:paraId="1CCFE346" w14:textId="7717DADB" w:rsidR="00CA1045" w:rsidRPr="00A76798" w:rsidRDefault="00CA1045" w:rsidP="00AC1897">
            <w:pPr>
              <w:pStyle w:val="Normal-pool-Table"/>
              <w:jc w:val="right"/>
              <w:rPr>
                <w:i/>
                <w:iCs/>
              </w:rPr>
            </w:pPr>
            <w:r w:rsidRPr="00A76798">
              <w:rPr>
                <w:i/>
                <w:iCs/>
              </w:rPr>
              <w:t>Total number of experts including fellows</w:t>
            </w:r>
          </w:p>
        </w:tc>
      </w:tr>
      <w:tr w:rsidR="00CA1045" w:rsidRPr="00A76798" w14:paraId="053FC505" w14:textId="77777777" w:rsidTr="00AA45B7">
        <w:trPr>
          <w:trHeight w:val="384"/>
          <w:jc w:val="right"/>
        </w:trPr>
        <w:tc>
          <w:tcPr>
            <w:tcW w:w="0" w:type="auto"/>
            <w:tcBorders>
              <w:top w:val="single" w:sz="6" w:space="0" w:color="auto"/>
              <w:bottom w:val="single" w:sz="12" w:space="0" w:color="auto"/>
            </w:tcBorders>
          </w:tcPr>
          <w:p w14:paraId="5A97C06F" w14:textId="77777777" w:rsidR="00CA1045" w:rsidRPr="00A76798" w:rsidRDefault="00CA1045" w:rsidP="00AC1897">
            <w:pPr>
              <w:pStyle w:val="Normal-pool-Table"/>
              <w:jc w:val="right"/>
            </w:pPr>
            <w:r w:rsidRPr="00A76798">
              <w:t>3</w:t>
            </w:r>
          </w:p>
        </w:tc>
        <w:tc>
          <w:tcPr>
            <w:tcW w:w="0" w:type="auto"/>
            <w:tcBorders>
              <w:top w:val="single" w:sz="6" w:space="0" w:color="auto"/>
              <w:bottom w:val="single" w:sz="12" w:space="0" w:color="auto"/>
            </w:tcBorders>
          </w:tcPr>
          <w:p w14:paraId="0ABE51BF" w14:textId="7A44934C" w:rsidR="00CA1045" w:rsidRPr="00A76798" w:rsidRDefault="00CA1045" w:rsidP="00AC1897">
            <w:pPr>
              <w:pStyle w:val="Normal-pool-Table"/>
              <w:jc w:val="right"/>
            </w:pPr>
            <w:r w:rsidRPr="00A76798">
              <w:t>1</w:t>
            </w:r>
            <w:r w:rsidR="00CC0501" w:rsidRPr="00A76798">
              <w:t>4</w:t>
            </w:r>
          </w:p>
        </w:tc>
        <w:tc>
          <w:tcPr>
            <w:tcW w:w="0" w:type="auto"/>
            <w:tcBorders>
              <w:top w:val="single" w:sz="6" w:space="0" w:color="auto"/>
              <w:bottom w:val="single" w:sz="12" w:space="0" w:color="auto"/>
            </w:tcBorders>
          </w:tcPr>
          <w:p w14:paraId="4252C3AF" w14:textId="105DC5A4" w:rsidR="00CA1045" w:rsidRPr="00A76798" w:rsidRDefault="00CC0501" w:rsidP="00AC1897">
            <w:pPr>
              <w:pStyle w:val="Normal-pool-Table"/>
              <w:jc w:val="right"/>
            </w:pPr>
            <w:r w:rsidRPr="00A76798">
              <w:t>45</w:t>
            </w:r>
          </w:p>
        </w:tc>
        <w:tc>
          <w:tcPr>
            <w:tcW w:w="1334" w:type="dxa"/>
            <w:tcBorders>
              <w:top w:val="single" w:sz="6" w:space="0" w:color="auto"/>
              <w:bottom w:val="single" w:sz="12" w:space="0" w:color="auto"/>
            </w:tcBorders>
          </w:tcPr>
          <w:p w14:paraId="7C29EC5C" w14:textId="77777777" w:rsidR="00CA1045" w:rsidRPr="00A76798" w:rsidRDefault="00CA1045" w:rsidP="00AC1897">
            <w:pPr>
              <w:pStyle w:val="Normal-pool-Table"/>
              <w:jc w:val="right"/>
            </w:pPr>
            <w:r w:rsidRPr="00A76798">
              <w:t>12</w:t>
            </w:r>
          </w:p>
        </w:tc>
        <w:tc>
          <w:tcPr>
            <w:tcW w:w="992" w:type="dxa"/>
            <w:tcBorders>
              <w:top w:val="single" w:sz="6" w:space="0" w:color="auto"/>
              <w:bottom w:val="single" w:sz="12" w:space="0" w:color="auto"/>
            </w:tcBorders>
          </w:tcPr>
          <w:p w14:paraId="6F5D72D1" w14:textId="0BC0B1B5" w:rsidR="00CA1045" w:rsidRPr="00A76798" w:rsidRDefault="00CA1045" w:rsidP="00AC1897">
            <w:pPr>
              <w:pStyle w:val="Normal-pool-Table"/>
              <w:jc w:val="right"/>
            </w:pPr>
            <w:r w:rsidRPr="00A76798">
              <w:t>1</w:t>
            </w:r>
            <w:r w:rsidR="00CC0501" w:rsidRPr="00A76798">
              <w:t>2</w:t>
            </w:r>
          </w:p>
        </w:tc>
        <w:tc>
          <w:tcPr>
            <w:tcW w:w="2070" w:type="dxa"/>
            <w:tcBorders>
              <w:top w:val="single" w:sz="6" w:space="0" w:color="auto"/>
              <w:bottom w:val="single" w:sz="12" w:space="0" w:color="auto"/>
            </w:tcBorders>
          </w:tcPr>
          <w:p w14:paraId="6F0A9D41" w14:textId="2B20C103" w:rsidR="00CA1045" w:rsidRPr="00A76798" w:rsidRDefault="00CA1045" w:rsidP="00AC1897">
            <w:pPr>
              <w:pStyle w:val="Normal-pool-Table"/>
              <w:jc w:val="right"/>
            </w:pPr>
            <w:r w:rsidRPr="00A76798">
              <w:t>8</w:t>
            </w:r>
            <w:r w:rsidR="00CC0501" w:rsidRPr="00A76798">
              <w:t>6</w:t>
            </w:r>
          </w:p>
        </w:tc>
      </w:tr>
    </w:tbl>
    <w:bookmarkEnd w:id="7"/>
    <w:p w14:paraId="7A7614C6" w14:textId="75A8AA38" w:rsidR="00CA1045" w:rsidRPr="00A76798" w:rsidRDefault="00CA1045" w:rsidP="00AA45B7">
      <w:pPr>
        <w:pStyle w:val="Normalnumber"/>
        <w:numPr>
          <w:ilvl w:val="0"/>
          <w:numId w:val="15"/>
        </w:numPr>
        <w:tabs>
          <w:tab w:val="clear" w:pos="1247"/>
          <w:tab w:val="clear" w:pos="1814"/>
          <w:tab w:val="clear" w:pos="2381"/>
          <w:tab w:val="clear" w:pos="2948"/>
          <w:tab w:val="clear" w:pos="3515"/>
          <w:tab w:val="left" w:pos="624"/>
        </w:tabs>
        <w:spacing w:before="120"/>
        <w:ind w:left="1247"/>
      </w:pPr>
      <w:r w:rsidRPr="00A76798">
        <w:t>The list of all experts is provided on the IPBES website:</w:t>
      </w:r>
      <w:r w:rsidR="00CC0501" w:rsidRPr="00A76798">
        <w:t xml:space="preserve"> https://www.ipbes.net/invasive-alien-species-experts-2019</w:t>
      </w:r>
      <w:r w:rsidRPr="00A76798">
        <w:t>.</w:t>
      </w:r>
    </w:p>
    <w:p w14:paraId="1F07E678" w14:textId="77777777" w:rsidR="00CA1045" w:rsidRPr="00A76798" w:rsidRDefault="00CA1045" w:rsidP="00CA1045">
      <w:pPr>
        <w:pStyle w:val="CH2"/>
        <w:rPr>
          <w:lang w:val="en-GB"/>
        </w:rPr>
      </w:pPr>
      <w:r w:rsidRPr="00A76798">
        <w:rPr>
          <w:lang w:val="en-GB"/>
        </w:rPr>
        <w:tab/>
        <w:t>C.</w:t>
      </w:r>
      <w:r w:rsidRPr="00A76798">
        <w:rPr>
          <w:lang w:val="en-GB"/>
        </w:rPr>
        <w:tab/>
        <w:t>The technical support unit</w:t>
      </w:r>
    </w:p>
    <w:p w14:paraId="0D214ADC" w14:textId="3D337761"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In decision IPBES-6/1, the Plenary requested the secretariat, in consultation with the Bureau and in accordance with the approved budget set out in the annex to the decision IPBES-6/4, to establish the institutional arrangements necessary to operationalize the technical support required for the work programme. Following an open call for expressions of interest in hosting the technical support unit</w:t>
      </w:r>
      <w:r w:rsidR="00C85519" w:rsidRPr="00A76798">
        <w:t xml:space="preserve"> </w:t>
      </w:r>
      <w:r w:rsidRPr="00A76798">
        <w:t>for the assessment</w:t>
      </w:r>
      <w:r w:rsidR="006E3F6B" w:rsidRPr="00A76798">
        <w:t>,</w:t>
      </w:r>
      <w:r w:rsidRPr="00A76798">
        <w:t xml:space="preserve"> the </w:t>
      </w:r>
      <w:r w:rsidR="00307609" w:rsidRPr="00A76798">
        <w:t>Institute for Global Environmental Strategies</w:t>
      </w:r>
      <w:r w:rsidRPr="00A76798">
        <w:t xml:space="preserve"> (</w:t>
      </w:r>
      <w:r w:rsidR="00307609" w:rsidRPr="00A76798">
        <w:t>IGES</w:t>
      </w:r>
      <w:r w:rsidRPr="00A76798">
        <w:t xml:space="preserve">), </w:t>
      </w:r>
      <w:r w:rsidR="00307609" w:rsidRPr="00A76798">
        <w:t>Japan</w:t>
      </w:r>
      <w:r w:rsidRPr="00A76798">
        <w:t>,</w:t>
      </w:r>
      <w:r w:rsidR="00307609" w:rsidRPr="00A76798">
        <w:t xml:space="preserve"> was </w:t>
      </w:r>
      <w:r w:rsidRPr="00A76798">
        <w:t xml:space="preserve">selected by the Bureau and the relevant institutional arrangements </w:t>
      </w:r>
      <w:r w:rsidR="006E3F6B" w:rsidRPr="00A76798">
        <w:t xml:space="preserve">were </w:t>
      </w:r>
      <w:r w:rsidRPr="00A76798">
        <w:t xml:space="preserve">made. The head of the technical support unit, </w:t>
      </w:r>
      <w:r w:rsidR="006E3F6B" w:rsidRPr="00A76798">
        <w:t xml:space="preserve">Ms. Noriko </w:t>
      </w:r>
      <w:proofErr w:type="spellStart"/>
      <w:r w:rsidR="006E3F6B" w:rsidRPr="00A76798">
        <w:t>Moriwake</w:t>
      </w:r>
      <w:proofErr w:type="spellEnd"/>
      <w:r w:rsidR="006E3F6B" w:rsidRPr="00A76798">
        <w:t xml:space="preserve">, </w:t>
      </w:r>
      <w:r w:rsidR="00851B0C" w:rsidRPr="00A76798">
        <w:t xml:space="preserve">who was later </w:t>
      </w:r>
      <w:r w:rsidR="006E3F6B" w:rsidRPr="00A76798">
        <w:t xml:space="preserve">succeeded by </w:t>
      </w:r>
      <w:r w:rsidR="00307609" w:rsidRPr="00A76798">
        <w:t xml:space="preserve">Mr. Naoki </w:t>
      </w:r>
      <w:proofErr w:type="spellStart"/>
      <w:r w:rsidR="00307609" w:rsidRPr="00A76798">
        <w:t>Amako</w:t>
      </w:r>
      <w:proofErr w:type="spellEnd"/>
      <w:r w:rsidRPr="00A76798">
        <w:t xml:space="preserve">, the </w:t>
      </w:r>
      <w:r w:rsidR="00307609" w:rsidRPr="00A76798">
        <w:t>assessment coordinator</w:t>
      </w:r>
      <w:r w:rsidRPr="00A76798">
        <w:t xml:space="preserve">, Ms. </w:t>
      </w:r>
      <w:proofErr w:type="spellStart"/>
      <w:r w:rsidR="00307609" w:rsidRPr="00A76798">
        <w:t>Tanara</w:t>
      </w:r>
      <w:proofErr w:type="spellEnd"/>
      <w:r w:rsidR="00307609" w:rsidRPr="00A76798">
        <w:t xml:space="preserve"> Renard Truong</w:t>
      </w:r>
      <w:r w:rsidRPr="00A76798">
        <w:t xml:space="preserve">, </w:t>
      </w:r>
      <w:r w:rsidR="006E3F6B" w:rsidRPr="00A76798">
        <w:t xml:space="preserve">and the </w:t>
      </w:r>
      <w:r w:rsidR="006E3F6B" w:rsidRPr="00A76798">
        <w:rPr>
          <w:color w:val="000000"/>
        </w:rPr>
        <w:t xml:space="preserve">administrative officer, Ms. Ryoko Kawakami, </w:t>
      </w:r>
      <w:r w:rsidRPr="00A76798">
        <w:t>have been fulfilling their respective roles from</w:t>
      </w:r>
      <w:r w:rsidR="00307609" w:rsidRPr="00A76798">
        <w:t xml:space="preserve"> Tokyo Sustainability Forum office, Japan</w:t>
      </w:r>
      <w:r w:rsidRPr="00A76798">
        <w:t>.</w:t>
      </w:r>
    </w:p>
    <w:p w14:paraId="5141956A" w14:textId="61DC4808"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role of the technical support unit is to provide scientific, </w:t>
      </w:r>
      <w:proofErr w:type="gramStart"/>
      <w:r w:rsidRPr="00A76798">
        <w:t>technical</w:t>
      </w:r>
      <w:proofErr w:type="gramEnd"/>
      <w:r w:rsidRPr="00A76798">
        <w:t xml:space="preserve"> and organizational support toward the delivery of the assessment. In addition, the technical support unit has been liaising with those units that support the IPBES task forces and the production of other assessments, as necessary, to support work towards other deliverables </w:t>
      </w:r>
      <w:proofErr w:type="gramStart"/>
      <w:r w:rsidRPr="00A76798">
        <w:t>in order to</w:t>
      </w:r>
      <w:proofErr w:type="gramEnd"/>
      <w:r w:rsidRPr="00A76798">
        <w:t xml:space="preserve"> ensure that cross-cutting issues are properly addressed. </w:t>
      </w:r>
    </w:p>
    <w:p w14:paraId="5C0DE5E3" w14:textId="67287934"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bookmarkStart w:id="8" w:name="_Hlk102063301"/>
      <w:r w:rsidRPr="00A76798">
        <w:t>Additional information on institutional arrangements is provided in IPBES/</w:t>
      </w:r>
      <w:r w:rsidR="00307609" w:rsidRPr="00A76798">
        <w:t>10</w:t>
      </w:r>
      <w:r w:rsidRPr="00A76798">
        <w:t>/INF/</w:t>
      </w:r>
      <w:r w:rsidR="00D5210E" w:rsidRPr="00A76798">
        <w:t>4</w:t>
      </w:r>
      <w:r w:rsidRPr="00A76798">
        <w:t>.</w:t>
      </w:r>
    </w:p>
    <w:bookmarkEnd w:id="8"/>
    <w:p w14:paraId="1C392243" w14:textId="77777777" w:rsidR="00CA1045" w:rsidRPr="00A76798" w:rsidRDefault="00CA1045" w:rsidP="00CA1045">
      <w:pPr>
        <w:pStyle w:val="CH1"/>
        <w:rPr>
          <w:lang w:val="en-GB"/>
        </w:rPr>
      </w:pPr>
      <w:r w:rsidRPr="00A76798">
        <w:rPr>
          <w:lang w:val="en-GB"/>
        </w:rPr>
        <w:tab/>
        <w:t>III.</w:t>
      </w:r>
      <w:r w:rsidRPr="00A76798">
        <w:rPr>
          <w:lang w:val="en-GB"/>
        </w:rPr>
        <w:tab/>
        <w:t>Key steps toward the production of the assessment</w:t>
      </w:r>
    </w:p>
    <w:p w14:paraId="0BB6CD75" w14:textId="77777777" w:rsidR="00CA1045" w:rsidRPr="00A76798" w:rsidRDefault="00CA1045" w:rsidP="00CA1045">
      <w:pPr>
        <w:pStyle w:val="CH2"/>
        <w:rPr>
          <w:lang w:val="en-GB"/>
        </w:rPr>
      </w:pPr>
      <w:r w:rsidRPr="00A76798">
        <w:rPr>
          <w:lang w:val="en-GB"/>
        </w:rPr>
        <w:tab/>
        <w:t>A.</w:t>
      </w:r>
      <w:r w:rsidRPr="00A76798">
        <w:rPr>
          <w:lang w:val="en-GB"/>
        </w:rPr>
        <w:tab/>
        <w:t>Production of the final draft of the assessment report</w:t>
      </w:r>
    </w:p>
    <w:p w14:paraId="1A07F88D" w14:textId="16A1831F" w:rsidR="00C85519" w:rsidRPr="00A76798" w:rsidRDefault="00C85519"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following paragraphs describe the final steps of the production of the invasive alien species assessment, undertaken after the ninth session of the Plenary. A detailed description of the steps taken before the ninth session can be found in IPBES/8/INF/3 and IPBES/9/INF/9. </w:t>
      </w:r>
    </w:p>
    <w:p w14:paraId="77C0940E" w14:textId="5778A961" w:rsidR="00FD729F" w:rsidRPr="00A76798" w:rsidRDefault="00FD729F"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In response to decision IPBES-9/1, an additional </w:t>
      </w:r>
      <w:r w:rsidR="00402DC4" w:rsidRPr="00A76798">
        <w:t xml:space="preserve">Government </w:t>
      </w:r>
      <w:r w:rsidRPr="00A76798">
        <w:t>review of the summary for policymakers of the invasive alien species assessment was piloted to enhance the relevance of the document and facilitate the consideration of its final version by the Plenary. This review was conducted from 20 July to 15 September 2022</w:t>
      </w:r>
      <w:r w:rsidR="00BC7315" w:rsidRPr="00A76798">
        <w:t xml:space="preserve">. </w:t>
      </w:r>
    </w:p>
    <w:p w14:paraId="0DC707BD" w14:textId="63E1E1B0" w:rsidR="00CA1045" w:rsidRPr="00A76798" w:rsidRDefault="00FD729F"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In parallel, </w:t>
      </w:r>
      <w:r w:rsidR="00402DC4" w:rsidRPr="00A76798">
        <w:t>the Multidisciplinary Expert Panel and the Bureau were invited to submit comments on the summary for policymakers and on the</w:t>
      </w:r>
      <w:r w:rsidR="00DD1600" w:rsidRPr="00A76798">
        <w:t xml:space="preserve"> assessment</w:t>
      </w:r>
      <w:r w:rsidR="002751BA" w:rsidRPr="00A76798">
        <w:t>’s</w:t>
      </w:r>
      <w:r w:rsidR="00402DC4" w:rsidRPr="00A76798">
        <w:t xml:space="preserve"> chapters before the final delivery of the assessment report</w:t>
      </w:r>
      <w:r w:rsidR="00CA1045" w:rsidRPr="00A76798">
        <w:t xml:space="preserve">. </w:t>
      </w:r>
      <w:r w:rsidR="00402DC4" w:rsidRPr="00A76798">
        <w:t>The assessment</w:t>
      </w:r>
      <w:r w:rsidR="002751BA" w:rsidRPr="00A76798">
        <w:t>’s</w:t>
      </w:r>
      <w:r w:rsidR="00402DC4" w:rsidRPr="00A76798">
        <w:t xml:space="preserve"> co-chairs were invited to participate </w:t>
      </w:r>
      <w:r w:rsidR="001B2778" w:rsidRPr="00A76798">
        <w:t>in</w:t>
      </w:r>
      <w:r w:rsidR="00402DC4" w:rsidRPr="00A76798">
        <w:t xml:space="preserve"> the </w:t>
      </w:r>
      <w:r w:rsidR="007A31D4" w:rsidRPr="00A76798">
        <w:t>19</w:t>
      </w:r>
      <w:r w:rsidR="007A31D4" w:rsidRPr="00A76798">
        <w:rPr>
          <w:vertAlign w:val="superscript"/>
        </w:rPr>
        <w:t>th</w:t>
      </w:r>
      <w:r w:rsidR="007A31D4" w:rsidRPr="00A76798">
        <w:t xml:space="preserve"> </w:t>
      </w:r>
      <w:r w:rsidR="00402DC4" w:rsidRPr="00A76798">
        <w:t>meetings of the Multidisciplinary Expert Panel and Bureau, where they made a presentation o</w:t>
      </w:r>
      <w:r w:rsidR="001B2778" w:rsidRPr="00A76798">
        <w:t>n</w:t>
      </w:r>
      <w:r w:rsidR="00402DC4" w:rsidRPr="00A76798">
        <w:t xml:space="preserve"> the summary for policymakers,</w:t>
      </w:r>
      <w:r w:rsidR="00DD1600" w:rsidRPr="00A76798">
        <w:t xml:space="preserve"> which was</w:t>
      </w:r>
      <w:r w:rsidR="00402DC4" w:rsidRPr="00A76798">
        <w:t xml:space="preserve"> followed by a discussion.</w:t>
      </w:r>
    </w:p>
    <w:p w14:paraId="2780878C" w14:textId="07D57065"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bookmarkStart w:id="9" w:name="_Toc27564456"/>
      <w:r w:rsidRPr="00A76798">
        <w:t>A</w:t>
      </w:r>
      <w:r w:rsidR="00402DC4" w:rsidRPr="00A76798">
        <w:t>n additional meeting</w:t>
      </w:r>
      <w:r w:rsidRPr="00A76798">
        <w:t xml:space="preserve"> to further advance the summary for policymakers was held </w:t>
      </w:r>
      <w:bookmarkEnd w:id="9"/>
      <w:r w:rsidR="00402DC4" w:rsidRPr="00A76798">
        <w:t>in Santiago, Chile</w:t>
      </w:r>
      <w:r w:rsidR="001B2778" w:rsidRPr="00A76798">
        <w:t xml:space="preserve">, </w:t>
      </w:r>
      <w:r w:rsidR="00FB65BE" w:rsidRPr="00A76798">
        <w:t>on 24-27</w:t>
      </w:r>
      <w:r w:rsidR="001B2778" w:rsidRPr="00A76798">
        <w:t> October 2022</w:t>
      </w:r>
      <w:r w:rsidRPr="00A76798">
        <w:t>.</w:t>
      </w:r>
      <w:r w:rsidR="00402DC4" w:rsidRPr="00A76798">
        <w:t xml:space="preserve"> The meeting was hosted by the University of Concepci</w:t>
      </w:r>
      <w:r w:rsidR="001B2778" w:rsidRPr="00A76798">
        <w:t>ó</w:t>
      </w:r>
      <w:r w:rsidR="00402DC4" w:rsidRPr="00A76798">
        <w:t>n</w:t>
      </w:r>
      <w:r w:rsidR="001B2778" w:rsidRPr="00A76798">
        <w:t xml:space="preserve"> and the Institute of Ecology and Biodiversity</w:t>
      </w:r>
      <w:r w:rsidR="00402DC4" w:rsidRPr="00A76798">
        <w:t>, Chile.</w:t>
      </w:r>
      <w:r w:rsidRPr="00A76798">
        <w:t xml:space="preserve"> The meeting focused on addressing the comments received from the </w:t>
      </w:r>
      <w:r w:rsidR="00402DC4" w:rsidRPr="00A76798">
        <w:t>additional</w:t>
      </w:r>
      <w:r w:rsidRPr="00A76798">
        <w:t xml:space="preserve"> </w:t>
      </w:r>
      <w:r w:rsidR="00402DC4" w:rsidRPr="00A76798">
        <w:t>Government</w:t>
      </w:r>
      <w:r w:rsidRPr="00A76798">
        <w:t xml:space="preserve"> review</w:t>
      </w:r>
      <w:r w:rsidR="00402DC4" w:rsidRPr="00A76798">
        <w:t xml:space="preserve"> on the summary for policymakers, while increasing its policy relevance.</w:t>
      </w:r>
    </w:p>
    <w:p w14:paraId="08DCCDF2" w14:textId="0435E07E" w:rsidR="00CA1045" w:rsidRPr="00A76798" w:rsidRDefault="00402DC4"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external review process was supported by the review editors, who helped authors in interpreting review comments and ensured their appropriate consideration by the authors. Responses to all comments received from the first and second external reviews will be published on the IPBES website after the approval of the summary for policymakers and the acceptance of the chapters, following the </w:t>
      </w:r>
      <w:r w:rsidR="00641DA4" w:rsidRPr="00A76798">
        <w:t xml:space="preserve">tenth </w:t>
      </w:r>
      <w:r w:rsidRPr="00A76798">
        <w:t>session of the Plenary</w:t>
      </w:r>
      <w:r w:rsidR="00CA1045" w:rsidRPr="00A76798">
        <w:t xml:space="preserve">.  </w:t>
      </w:r>
    </w:p>
    <w:p w14:paraId="2FA09262" w14:textId="07174750" w:rsidR="00CA1045" w:rsidRPr="00A76798" w:rsidRDefault="00CA1045" w:rsidP="00CA1045">
      <w:pPr>
        <w:pStyle w:val="CH2"/>
        <w:rPr>
          <w:lang w:val="en-GB"/>
        </w:rPr>
      </w:pPr>
      <w:r w:rsidRPr="00A76798">
        <w:rPr>
          <w:lang w:val="en-GB"/>
        </w:rPr>
        <w:tab/>
        <w:t>B.</w:t>
      </w:r>
      <w:r w:rsidRPr="00A76798">
        <w:rPr>
          <w:lang w:val="en-GB"/>
        </w:rPr>
        <w:tab/>
        <w:t xml:space="preserve">Implementation of the approach to recognizing and working with </w:t>
      </w:r>
      <w:r w:rsidR="00641DA4" w:rsidRPr="00A76798">
        <w:rPr>
          <w:lang w:val="en-GB"/>
        </w:rPr>
        <w:t>I</w:t>
      </w:r>
      <w:r w:rsidRPr="00A76798">
        <w:rPr>
          <w:lang w:val="en-GB"/>
        </w:rPr>
        <w:t xml:space="preserve">ndigenous and local knowledge </w:t>
      </w:r>
    </w:p>
    <w:p w14:paraId="3E1C90E5" w14:textId="0734AA89"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In order to implement the approach to recognizing and working with </w:t>
      </w:r>
      <w:r w:rsidR="00641DA4" w:rsidRPr="00A76798">
        <w:t>I</w:t>
      </w:r>
      <w:r w:rsidRPr="00A76798">
        <w:t xml:space="preserve">ndigenous and local knowledge in the assessment, set out in decision IPBES-5/1, </w:t>
      </w:r>
      <w:r w:rsidR="002751BA" w:rsidRPr="00A76798">
        <w:t xml:space="preserve">the </w:t>
      </w:r>
      <w:r w:rsidRPr="00A76798">
        <w:t xml:space="preserve">task force on </w:t>
      </w:r>
      <w:r w:rsidR="002751BA" w:rsidRPr="00A76798">
        <w:t>I</w:t>
      </w:r>
      <w:r w:rsidRPr="00A76798">
        <w:t xml:space="preserve">ndigenous and local knowledge and its technical support unit </w:t>
      </w:r>
      <w:r w:rsidR="00714E74" w:rsidRPr="00A76798">
        <w:t xml:space="preserve">supported the assessment </w:t>
      </w:r>
      <w:r w:rsidR="00E43A91" w:rsidRPr="00A76798">
        <w:t xml:space="preserve">in </w:t>
      </w:r>
      <w:r w:rsidRPr="00A76798">
        <w:t>form</w:t>
      </w:r>
      <w:r w:rsidR="00E43A91" w:rsidRPr="00A76798">
        <w:t>ing</w:t>
      </w:r>
      <w:r w:rsidRPr="00A76798">
        <w:t xml:space="preserve"> a liaison group </w:t>
      </w:r>
      <w:r w:rsidR="00714E74" w:rsidRPr="00A76798">
        <w:t xml:space="preserve">on </w:t>
      </w:r>
      <w:r w:rsidR="00E43A91" w:rsidRPr="00A76798">
        <w:t>I</w:t>
      </w:r>
      <w:r w:rsidR="00714E74" w:rsidRPr="00A76798">
        <w:t>ndigenous and local knowledge</w:t>
      </w:r>
      <w:r w:rsidRPr="00A76798">
        <w:t>, organize</w:t>
      </w:r>
      <w:r w:rsidR="00606A68" w:rsidRPr="00A76798">
        <w:t>d</w:t>
      </w:r>
      <w:r w:rsidRPr="00A76798">
        <w:t xml:space="preserve"> dialogues and online calls concerning </w:t>
      </w:r>
      <w:r w:rsidR="009C2778" w:rsidRPr="00A76798">
        <w:t>I</w:t>
      </w:r>
      <w:r w:rsidRPr="00A76798">
        <w:t xml:space="preserve">ndigenous and local knowledge within the assessment and provided </w:t>
      </w:r>
      <w:r w:rsidR="00DD1600" w:rsidRPr="00A76798">
        <w:t xml:space="preserve">overall </w:t>
      </w:r>
      <w:r w:rsidRPr="00A76798">
        <w:t xml:space="preserve">guidance to all experts on implementing the approach within the assessment. </w:t>
      </w:r>
    </w:p>
    <w:p w14:paraId="68EF6C1E" w14:textId="2ABF73C4"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liaison group developed a set of key questions relevant to the assessment which assisted authors in addressing </w:t>
      </w:r>
      <w:r w:rsidR="009C2778" w:rsidRPr="00A76798">
        <w:t>I</w:t>
      </w:r>
      <w:r w:rsidRPr="00A76798">
        <w:t>ndigenous and local knowledge across the chapters of the assessment.</w:t>
      </w:r>
    </w:p>
    <w:p w14:paraId="4413AD50" w14:textId="4F096D12" w:rsidR="00CA1045" w:rsidRPr="00A76798" w:rsidRDefault="00CA1045" w:rsidP="008439D3">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Three dialogues on </w:t>
      </w:r>
      <w:r w:rsidR="00E43A91" w:rsidRPr="00A76798">
        <w:t>I</w:t>
      </w:r>
      <w:r w:rsidRPr="00A76798">
        <w:t xml:space="preserve">ndigenous and local knowledge were organized in coordination with the task force on </w:t>
      </w:r>
      <w:r w:rsidR="00E43A91" w:rsidRPr="00A76798">
        <w:t>I</w:t>
      </w:r>
      <w:r w:rsidRPr="00A76798">
        <w:t xml:space="preserve">ndigenous and local knowledge. Reports on all three dialogues listed below have been made available to authors of the assessment and to participants of the workshops: </w:t>
      </w:r>
    </w:p>
    <w:p w14:paraId="41ECBDEA" w14:textId="4B69D2E0" w:rsidR="00CA1045" w:rsidRPr="00A76798" w:rsidRDefault="00CA1045" w:rsidP="00720862">
      <w:pPr>
        <w:pStyle w:val="Normalnumber"/>
        <w:numPr>
          <w:ilvl w:val="1"/>
          <w:numId w:val="13"/>
        </w:numPr>
        <w:tabs>
          <w:tab w:val="clear" w:pos="1247"/>
          <w:tab w:val="clear" w:pos="1814"/>
          <w:tab w:val="clear" w:pos="2381"/>
          <w:tab w:val="clear" w:pos="2495"/>
          <w:tab w:val="clear" w:pos="2948"/>
          <w:tab w:val="clear" w:pos="3515"/>
          <w:tab w:val="left" w:pos="624"/>
        </w:tabs>
        <w:ind w:left="1247" w:firstLine="624"/>
      </w:pPr>
      <w:r w:rsidRPr="00A76798">
        <w:t xml:space="preserve">The first dialogue was held on </w:t>
      </w:r>
      <w:r w:rsidR="00197D03" w:rsidRPr="00A76798">
        <w:t xml:space="preserve">15 and 16 </w:t>
      </w:r>
      <w:r w:rsidR="00402DC4" w:rsidRPr="00A76798">
        <w:t>November</w:t>
      </w:r>
      <w:r w:rsidRPr="00A76798">
        <w:t xml:space="preserve"> 2019 in </w:t>
      </w:r>
      <w:r w:rsidR="00402DC4" w:rsidRPr="00A76798">
        <w:t>Montreal, Canada</w:t>
      </w:r>
      <w:r w:rsidRPr="00A76798">
        <w:t xml:space="preserve">. </w:t>
      </w:r>
    </w:p>
    <w:p w14:paraId="323E8A68" w14:textId="59369811" w:rsidR="00CA1045" w:rsidRPr="00A76798" w:rsidRDefault="00CA1045" w:rsidP="00720862">
      <w:pPr>
        <w:pStyle w:val="Normalnumber"/>
        <w:numPr>
          <w:ilvl w:val="1"/>
          <w:numId w:val="13"/>
        </w:numPr>
        <w:tabs>
          <w:tab w:val="clear" w:pos="1247"/>
          <w:tab w:val="clear" w:pos="1814"/>
          <w:tab w:val="clear" w:pos="2381"/>
          <w:tab w:val="clear" w:pos="2495"/>
          <w:tab w:val="clear" w:pos="2948"/>
          <w:tab w:val="clear" w:pos="3515"/>
          <w:tab w:val="left" w:pos="624"/>
        </w:tabs>
        <w:ind w:left="1247" w:firstLine="624"/>
      </w:pPr>
      <w:r w:rsidRPr="00A76798">
        <w:t>The second dialogue was held on</w:t>
      </w:r>
      <w:r w:rsidR="00197D03" w:rsidRPr="00A76798">
        <w:t xml:space="preserve">line </w:t>
      </w:r>
      <w:r w:rsidR="00E43A91" w:rsidRPr="00A76798">
        <w:t xml:space="preserve">from </w:t>
      </w:r>
      <w:r w:rsidR="00197D03" w:rsidRPr="00A76798">
        <w:t>29 September to 1</w:t>
      </w:r>
      <w:r w:rsidRPr="00A76798">
        <w:t xml:space="preserve"> October </w:t>
      </w:r>
      <w:r w:rsidR="00197D03" w:rsidRPr="00A76798">
        <w:t>2021</w:t>
      </w:r>
      <w:r w:rsidRPr="00A76798">
        <w:t>.</w:t>
      </w:r>
    </w:p>
    <w:p w14:paraId="24508DCD" w14:textId="2F61111A" w:rsidR="00CA1045" w:rsidRPr="00A76798" w:rsidRDefault="00CA1045" w:rsidP="00720862">
      <w:pPr>
        <w:pStyle w:val="Normalnumber"/>
        <w:numPr>
          <w:ilvl w:val="1"/>
          <w:numId w:val="13"/>
        </w:numPr>
        <w:tabs>
          <w:tab w:val="clear" w:pos="1247"/>
          <w:tab w:val="clear" w:pos="1814"/>
          <w:tab w:val="clear" w:pos="2381"/>
          <w:tab w:val="clear" w:pos="2495"/>
          <w:tab w:val="clear" w:pos="2948"/>
          <w:tab w:val="clear" w:pos="3515"/>
          <w:tab w:val="left" w:pos="624"/>
        </w:tabs>
        <w:ind w:left="1247" w:firstLine="624"/>
      </w:pPr>
      <w:r w:rsidRPr="00A76798">
        <w:t xml:space="preserve">The third dialogue was held online from </w:t>
      </w:r>
      <w:r w:rsidR="00197D03" w:rsidRPr="00A76798">
        <w:t>1 to 3 February</w:t>
      </w:r>
      <w:r w:rsidRPr="00A76798">
        <w:t xml:space="preserve"> </w:t>
      </w:r>
      <w:r w:rsidR="00197D03" w:rsidRPr="00A76798">
        <w:t>2022</w:t>
      </w:r>
      <w:r w:rsidRPr="00A76798">
        <w:t>.</w:t>
      </w:r>
    </w:p>
    <w:p w14:paraId="415CB908" w14:textId="32ED3E64" w:rsidR="00CA1045" w:rsidRPr="00A76798" w:rsidRDefault="00CA1045" w:rsidP="00720862">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task force on </w:t>
      </w:r>
      <w:r w:rsidR="00E43A91" w:rsidRPr="00A76798">
        <w:t>I</w:t>
      </w:r>
      <w:r w:rsidRPr="00A76798">
        <w:t xml:space="preserve">ndigenous and local knowledge also organized a call for contributions and received over </w:t>
      </w:r>
      <w:r w:rsidR="00197D03" w:rsidRPr="00A76798">
        <w:t>30</w:t>
      </w:r>
      <w:r w:rsidRPr="00A76798">
        <w:t xml:space="preserve"> contributions, including community reports, declarations, </w:t>
      </w:r>
      <w:proofErr w:type="gramStart"/>
      <w:r w:rsidRPr="00A76798">
        <w:t>images</w:t>
      </w:r>
      <w:proofErr w:type="gramEnd"/>
      <w:r w:rsidRPr="00A76798">
        <w:t xml:space="preserve"> and videos.</w:t>
      </w:r>
    </w:p>
    <w:p w14:paraId="1D332D4B" w14:textId="77777777" w:rsidR="00CA1045" w:rsidRPr="00A76798" w:rsidRDefault="00CA1045" w:rsidP="00CA1045">
      <w:pPr>
        <w:pStyle w:val="CH2"/>
        <w:rPr>
          <w:lang w:val="en-GB"/>
        </w:rPr>
      </w:pPr>
      <w:r w:rsidRPr="00A76798">
        <w:rPr>
          <w:lang w:val="en-GB"/>
        </w:rPr>
        <w:tab/>
        <w:t>C.</w:t>
      </w:r>
      <w:r w:rsidRPr="00A76798">
        <w:rPr>
          <w:lang w:val="en-GB"/>
        </w:rPr>
        <w:tab/>
        <w:t xml:space="preserve">Collaboration with other IPBES task forces and expert groups </w:t>
      </w:r>
    </w:p>
    <w:p w14:paraId="32C42146" w14:textId="2607A12B" w:rsidR="00197D03" w:rsidRPr="00A76798" w:rsidRDefault="00197D03" w:rsidP="00AC1897">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In addition to the support received from the task force and technical support unit on </w:t>
      </w:r>
      <w:r w:rsidR="00E43A91" w:rsidRPr="00A76798">
        <w:t>I</w:t>
      </w:r>
      <w:r w:rsidRPr="00A76798">
        <w:t xml:space="preserve">ndigenous and local knowledge set out above, the </w:t>
      </w:r>
      <w:r w:rsidR="00E43A91" w:rsidRPr="00A76798">
        <w:t xml:space="preserve">experts from the </w:t>
      </w:r>
      <w:r w:rsidRPr="00A76798">
        <w:t>invasive alien species assessment</w:t>
      </w:r>
      <w:r w:rsidR="00DD1600" w:rsidRPr="00A76798">
        <w:t xml:space="preserve"> </w:t>
      </w:r>
      <w:r w:rsidR="00E43A91" w:rsidRPr="00A76798">
        <w:t>received support from</w:t>
      </w:r>
      <w:r w:rsidRPr="00A76798">
        <w:t xml:space="preserve"> other IPBES task forces, and their respective technical support units as described </w:t>
      </w:r>
      <w:r w:rsidR="00E43A91" w:rsidRPr="00A76798">
        <w:t>below</w:t>
      </w:r>
      <w:r w:rsidRPr="00A76798">
        <w:t xml:space="preserve">. </w:t>
      </w:r>
    </w:p>
    <w:p w14:paraId="6D7CC14B" w14:textId="00EE54D7" w:rsidR="00197D03" w:rsidRPr="00A76798" w:rsidRDefault="00197D03" w:rsidP="00AC1897">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w:t>
      </w:r>
      <w:r w:rsidR="00E43A91" w:rsidRPr="00A76798">
        <w:t xml:space="preserve">experts from the </w:t>
      </w:r>
      <w:r w:rsidRPr="00A76798">
        <w:t xml:space="preserve">invasive alien species assessment </w:t>
      </w:r>
      <w:r w:rsidR="00E43A91" w:rsidRPr="00A76798">
        <w:t>received support from</w:t>
      </w:r>
      <w:r w:rsidRPr="00A76798">
        <w:t xml:space="preserve"> the task force on knowledge and data and its technical support unit to implement the IPBES data management policy. This led to the production of publicly available data management reports in support of the findings presented in the assessment. Additional collaboration between technical support units supported other aspects related to data management across the assessment. </w:t>
      </w:r>
    </w:p>
    <w:p w14:paraId="50D02416" w14:textId="70A54B20" w:rsidR="00197D03" w:rsidRPr="00A76798" w:rsidRDefault="005E73F6" w:rsidP="00AC1897">
      <w:pPr>
        <w:pStyle w:val="Normalnumber"/>
        <w:numPr>
          <w:ilvl w:val="0"/>
          <w:numId w:val="15"/>
        </w:numPr>
        <w:tabs>
          <w:tab w:val="clear" w:pos="1247"/>
          <w:tab w:val="clear" w:pos="1814"/>
          <w:tab w:val="clear" w:pos="2381"/>
          <w:tab w:val="clear" w:pos="2948"/>
          <w:tab w:val="clear" w:pos="3515"/>
          <w:tab w:val="left" w:pos="624"/>
        </w:tabs>
        <w:ind w:left="1247"/>
      </w:pPr>
      <w:r w:rsidRPr="00A76798">
        <w:t>T</w:t>
      </w:r>
      <w:r w:rsidR="00197D03" w:rsidRPr="00A76798">
        <w:t xml:space="preserve">he </w:t>
      </w:r>
      <w:r w:rsidR="00E43A91" w:rsidRPr="00A76798">
        <w:t xml:space="preserve">experts from the </w:t>
      </w:r>
      <w:r w:rsidR="00197D03" w:rsidRPr="00A76798">
        <w:t xml:space="preserve">invasive alien species assessment </w:t>
      </w:r>
      <w:r w:rsidR="00E43A91" w:rsidRPr="00A76798">
        <w:t>also</w:t>
      </w:r>
      <w:r w:rsidR="00197D03" w:rsidRPr="00A76798">
        <w:t xml:space="preserve"> </w:t>
      </w:r>
      <w:r w:rsidR="00E43A91" w:rsidRPr="00A76798">
        <w:t>received support from</w:t>
      </w:r>
      <w:r w:rsidR="00197D03" w:rsidRPr="00A76798">
        <w:t xml:space="preserve"> the task force on capacity</w:t>
      </w:r>
      <w:r w:rsidRPr="00A76798">
        <w:t>-</w:t>
      </w:r>
      <w:r w:rsidR="00197D03" w:rsidRPr="00A76798">
        <w:t xml:space="preserve">building and </w:t>
      </w:r>
      <w:r w:rsidR="00606A68" w:rsidRPr="00A76798">
        <w:t xml:space="preserve">its </w:t>
      </w:r>
      <w:r w:rsidR="00197D03" w:rsidRPr="00A76798">
        <w:t>technical support unit in the development of</w:t>
      </w:r>
      <w:r w:rsidR="007A31D4" w:rsidRPr="00A76798">
        <w:t xml:space="preserve"> a pilot educational interface on the findings of the invasive alien species assessment</w:t>
      </w:r>
      <w:r w:rsidRPr="00A76798">
        <w:t>, in line with decision IPBES-9/1.</w:t>
      </w:r>
    </w:p>
    <w:p w14:paraId="20210E7A" w14:textId="1EBAE33A" w:rsidR="008F3991" w:rsidRPr="00A76798" w:rsidRDefault="002235A1" w:rsidP="00AC1897">
      <w:pPr>
        <w:pStyle w:val="Normalnumber"/>
        <w:numPr>
          <w:ilvl w:val="0"/>
          <w:numId w:val="15"/>
        </w:numPr>
        <w:tabs>
          <w:tab w:val="clear" w:pos="1247"/>
          <w:tab w:val="clear" w:pos="1814"/>
          <w:tab w:val="clear" w:pos="2381"/>
          <w:tab w:val="clear" w:pos="2948"/>
          <w:tab w:val="clear" w:pos="3515"/>
          <w:tab w:val="left" w:pos="624"/>
        </w:tabs>
        <w:ind w:left="1247"/>
      </w:pPr>
      <w:r w:rsidRPr="00A76798">
        <w:t xml:space="preserve">The experts from the invasive alien species assessment also received support from the task force on policy support and methodologies and its technical support unit in the development of draft fact sheets in line with </w:t>
      </w:r>
      <w:proofErr w:type="gramStart"/>
      <w:r w:rsidRPr="00A76798">
        <w:t>decision-9</w:t>
      </w:r>
      <w:proofErr w:type="gramEnd"/>
      <w:r w:rsidRPr="00A76798">
        <w:t>/1. Three draft fact sheets</w:t>
      </w:r>
      <w:r w:rsidR="004B6357" w:rsidRPr="00A76798">
        <w:t xml:space="preserve"> were </w:t>
      </w:r>
      <w:r w:rsidRPr="00A76798">
        <w:t>developed t</w:t>
      </w:r>
      <w:r w:rsidR="004B6357" w:rsidRPr="00A76798">
        <w:t>hat will</w:t>
      </w:r>
      <w:r w:rsidRPr="00A76798">
        <w:t xml:space="preserve"> be revised and released following the </w:t>
      </w:r>
      <w:r w:rsidR="00F626CB" w:rsidRPr="00A76798">
        <w:t xml:space="preserve">approval </w:t>
      </w:r>
      <w:r w:rsidRPr="00A76798">
        <w:t xml:space="preserve">of the </w:t>
      </w:r>
      <w:r w:rsidR="00F626CB" w:rsidRPr="00A76798">
        <w:t xml:space="preserve">summary for policymakers </w:t>
      </w:r>
      <w:r w:rsidRPr="00A76798">
        <w:t xml:space="preserve">by </w:t>
      </w:r>
      <w:r w:rsidR="00B47F85" w:rsidRPr="00A76798">
        <w:t>the P</w:t>
      </w:r>
      <w:r w:rsidRPr="00A76798">
        <w:t xml:space="preserve">lenary. </w:t>
      </w:r>
      <w:r w:rsidR="004B6357" w:rsidRPr="00A76798">
        <w:t xml:space="preserve">The three fact sheets </w:t>
      </w:r>
      <w:r w:rsidR="00F626CB" w:rsidRPr="00A76798">
        <w:t>focus</w:t>
      </w:r>
      <w:r w:rsidR="007A3B60" w:rsidRPr="00A76798">
        <w:t xml:space="preserve"> on trends and impacts, management and policy options</w:t>
      </w:r>
      <w:r w:rsidR="004B6357" w:rsidRPr="00A76798">
        <w:t>,</w:t>
      </w:r>
      <w:r w:rsidR="007A3B60" w:rsidRPr="00A76798">
        <w:t xml:space="preserve"> and islands</w:t>
      </w:r>
      <w:r w:rsidR="00F626CB" w:rsidRPr="00A76798">
        <w:t>, respectively</w:t>
      </w:r>
      <w:r w:rsidR="007A3B60" w:rsidRPr="00A76798">
        <w:t xml:space="preserve">. </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CA1045" w:rsidRPr="00A76798" w14:paraId="0C1636BE" w14:textId="77777777" w:rsidTr="009C2778">
        <w:tc>
          <w:tcPr>
            <w:tcW w:w="1898" w:type="dxa"/>
          </w:tcPr>
          <w:p w14:paraId="139634FA" w14:textId="77777777" w:rsidR="00CA1045" w:rsidRPr="00A76798" w:rsidRDefault="00CA1045" w:rsidP="009C2778">
            <w:pPr>
              <w:pStyle w:val="Normal-pool"/>
              <w:spacing w:before="520"/>
              <w:rPr>
                <w:lang w:val="en-GB"/>
              </w:rPr>
            </w:pPr>
          </w:p>
        </w:tc>
        <w:tc>
          <w:tcPr>
            <w:tcW w:w="1899" w:type="dxa"/>
          </w:tcPr>
          <w:p w14:paraId="047B28E6" w14:textId="77777777" w:rsidR="00CA1045" w:rsidRPr="00A76798" w:rsidRDefault="00CA1045" w:rsidP="009C2778">
            <w:pPr>
              <w:pStyle w:val="Normal-pool"/>
              <w:spacing w:before="520"/>
              <w:rPr>
                <w:lang w:val="en-GB"/>
              </w:rPr>
            </w:pPr>
          </w:p>
        </w:tc>
        <w:tc>
          <w:tcPr>
            <w:tcW w:w="1899" w:type="dxa"/>
            <w:tcBorders>
              <w:bottom w:val="single" w:sz="4" w:space="0" w:color="auto"/>
            </w:tcBorders>
          </w:tcPr>
          <w:p w14:paraId="03DCBD60" w14:textId="77777777" w:rsidR="00CA1045" w:rsidRPr="00A76798" w:rsidRDefault="00CA1045" w:rsidP="009C2778">
            <w:pPr>
              <w:pStyle w:val="Normal-pool"/>
              <w:spacing w:before="520"/>
              <w:rPr>
                <w:lang w:val="en-GB"/>
              </w:rPr>
            </w:pPr>
          </w:p>
        </w:tc>
        <w:tc>
          <w:tcPr>
            <w:tcW w:w="1900" w:type="dxa"/>
          </w:tcPr>
          <w:p w14:paraId="4659B9BB" w14:textId="77777777" w:rsidR="00CA1045" w:rsidRPr="00A76798" w:rsidRDefault="00CA1045" w:rsidP="009C2778">
            <w:pPr>
              <w:pStyle w:val="Normal-pool"/>
              <w:spacing w:before="520"/>
              <w:rPr>
                <w:lang w:val="en-GB"/>
              </w:rPr>
            </w:pPr>
          </w:p>
        </w:tc>
        <w:tc>
          <w:tcPr>
            <w:tcW w:w="1900" w:type="dxa"/>
          </w:tcPr>
          <w:p w14:paraId="7B371B10" w14:textId="77777777" w:rsidR="00CA1045" w:rsidRPr="00A76798" w:rsidRDefault="00CA1045" w:rsidP="009C2778">
            <w:pPr>
              <w:pStyle w:val="Normal-pool"/>
              <w:spacing w:before="520"/>
              <w:rPr>
                <w:lang w:val="en-GB"/>
              </w:rPr>
            </w:pPr>
          </w:p>
        </w:tc>
      </w:tr>
    </w:tbl>
    <w:p w14:paraId="544FF496" w14:textId="3584C56C" w:rsidR="007413F6" w:rsidRPr="00A76798" w:rsidRDefault="007413F6" w:rsidP="00FE0BE2">
      <w:pPr>
        <w:snapToGrid w:val="0"/>
      </w:pPr>
    </w:p>
    <w:sectPr w:rsidR="007413F6" w:rsidRPr="00A76798" w:rsidSect="00B907B4">
      <w:headerReference w:type="even" r:id="rId13"/>
      <w:headerReference w:type="default" r:id="rId14"/>
      <w:footerReference w:type="even" r:id="rId15"/>
      <w:footerReference w:type="default" r:id="rId16"/>
      <w:footerReference w:type="first" r:id="rId1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2946A" w14:textId="77777777" w:rsidR="00311576" w:rsidRPr="00B907B4" w:rsidRDefault="00311576">
      <w:pPr>
        <w:rPr>
          <w:lang w:val="en-US"/>
        </w:rPr>
      </w:pPr>
      <w:r w:rsidRPr="00B907B4">
        <w:rPr>
          <w:lang w:val="en-US"/>
        </w:rPr>
        <w:separator/>
      </w:r>
    </w:p>
  </w:endnote>
  <w:endnote w:type="continuationSeparator" w:id="0">
    <w:p w14:paraId="5A356EE0" w14:textId="77777777" w:rsidR="00311576" w:rsidRPr="00B907B4" w:rsidRDefault="00311576">
      <w:pPr>
        <w:rPr>
          <w:lang w:val="en-US"/>
        </w:rPr>
      </w:pPr>
      <w:r w:rsidRPr="00B907B4">
        <w:rPr>
          <w:lang w:val="en-US"/>
        </w:rPr>
        <w:continuationSeparator/>
      </w:r>
    </w:p>
  </w:endnote>
  <w:endnote w:type="continuationNotice" w:id="1">
    <w:p w14:paraId="72D00CB1" w14:textId="77777777" w:rsidR="00AC1897" w:rsidRDefault="00AC1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11FDE" w14:textId="70D7EED6" w:rsidR="009C2778" w:rsidRPr="00B907B4" w:rsidRDefault="00B907B4" w:rsidP="00B907B4">
    <w:pPr>
      <w:pStyle w:val="Footer"/>
    </w:pPr>
    <w:r>
      <w:rPr>
        <w:b/>
      </w:rPr>
      <w:fldChar w:fldCharType="begin"/>
    </w:r>
    <w:r>
      <w:rPr>
        <w:b/>
      </w:rPr>
      <w:instrText xml:space="preserve"> PAGE </w:instrText>
    </w:r>
    <w:r>
      <w:rPr>
        <w:b/>
      </w:rPr>
      <w:fldChar w:fldCharType="separate"/>
    </w:r>
    <w:r>
      <w:rPr>
        <w:b/>
        <w:noProof/>
      </w:rPr>
      <w:t>5</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4962E" w14:textId="685F7E3A" w:rsidR="009C2778" w:rsidRPr="00B907B4" w:rsidRDefault="00B907B4" w:rsidP="00B907B4">
    <w:pPr>
      <w:pStyle w:val="Footer-pool"/>
      <w:jc w:val="right"/>
    </w:pP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F47F4" w14:textId="5AF403FA" w:rsidR="009C2778" w:rsidRPr="00B907B4" w:rsidRDefault="00B907B4" w:rsidP="00B907B4">
    <w:pPr>
      <w:pStyle w:val="Normal-pool"/>
    </w:pPr>
    <w:bookmarkStart w:id="10" w:name="FooterJobDate"/>
    <w:r>
      <w:t>K2311536[E]</w:t>
    </w:r>
    <w:r>
      <w:tab/>
    </w:r>
    <w:r w:rsidR="00F85D99">
      <w:t>10</w:t>
    </w:r>
    <w:r>
      <w:t>0</w:t>
    </w:r>
    <w:r w:rsidR="00F85D99">
      <w:t>7</w:t>
    </w:r>
    <w:r>
      <w:t>23</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661A6" w14:textId="77777777" w:rsidR="00311576" w:rsidRPr="00B907B4" w:rsidRDefault="00311576" w:rsidP="00D92DE0">
      <w:pPr>
        <w:ind w:left="624"/>
        <w:rPr>
          <w:lang w:val="en-US"/>
        </w:rPr>
      </w:pPr>
      <w:r w:rsidRPr="00B907B4">
        <w:rPr>
          <w:lang w:val="en-US"/>
        </w:rPr>
        <w:separator/>
      </w:r>
    </w:p>
  </w:footnote>
  <w:footnote w:type="continuationSeparator" w:id="0">
    <w:p w14:paraId="37BD82CB" w14:textId="77777777" w:rsidR="00311576" w:rsidRPr="00B907B4" w:rsidRDefault="00311576">
      <w:pPr>
        <w:rPr>
          <w:lang w:val="en-US"/>
        </w:rPr>
      </w:pPr>
      <w:r w:rsidRPr="00B907B4">
        <w:rPr>
          <w:lang w:val="en-US"/>
        </w:rPr>
        <w:continuationSeparator/>
      </w:r>
    </w:p>
  </w:footnote>
  <w:footnote w:type="continuationNotice" w:id="1">
    <w:p w14:paraId="016D2646" w14:textId="77777777" w:rsidR="00AC1897" w:rsidRDefault="00AC1897"/>
  </w:footnote>
  <w:footnote w:id="2">
    <w:p w14:paraId="7834A610" w14:textId="77777777" w:rsidR="006423AF" w:rsidRPr="00687CDE" w:rsidRDefault="006423AF" w:rsidP="006423AF">
      <w:pPr>
        <w:pStyle w:val="Footnote-Text"/>
        <w:rPr>
          <w:rFonts w:eastAsia="SimSun"/>
        </w:rPr>
      </w:pPr>
      <w:r w:rsidRPr="00687CDE">
        <w:rPr>
          <w:rStyle w:val="FootnoteReference"/>
          <w:sz w:val="18"/>
          <w:szCs w:val="20"/>
          <w:vertAlign w:val="baseline"/>
        </w:rPr>
        <w:t xml:space="preserve">* </w:t>
      </w:r>
      <w:r w:rsidRPr="00687CDE">
        <w:t>IPBES/10/1.</w:t>
      </w:r>
    </w:p>
  </w:footnote>
  <w:footnote w:id="3">
    <w:p w14:paraId="42BD643E" w14:textId="0BD09502" w:rsidR="009C2778" w:rsidRPr="00AA45B7" w:rsidRDefault="009C2778" w:rsidP="00AA45B7">
      <w:pPr>
        <w:pStyle w:val="Footnote-Text"/>
        <w:rPr>
          <w:szCs w:val="18"/>
        </w:rPr>
      </w:pPr>
      <w:r w:rsidRPr="00AA45B7">
        <w:rPr>
          <w:rStyle w:val="FootnoteReference"/>
          <w:sz w:val="18"/>
          <w:szCs w:val="20"/>
          <w:vertAlign w:val="baseline"/>
        </w:rPr>
        <w:t>*</w:t>
      </w:r>
      <w:r w:rsidRPr="00AA45B7">
        <w:t>The annex has not been formally edited.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4A17E" w14:textId="18E4FE97" w:rsidR="009C2778" w:rsidRPr="00B907B4" w:rsidRDefault="00B907B4" w:rsidP="00B907B4">
    <w:pPr>
      <w:pStyle w:val="Header-pool"/>
    </w:pPr>
    <w:r>
      <w:fldChar w:fldCharType="begin"/>
    </w:r>
    <w:r>
      <w:instrText xml:space="preserve"> StyleRef A_Symbol </w:instrText>
    </w:r>
    <w:r>
      <w:fldChar w:fldCharType="separate"/>
    </w:r>
    <w:r w:rsidR="002358C2">
      <w:rPr>
        <w:noProof/>
      </w:rPr>
      <w:t>IPBES/10/INF/5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3ADA26" w14:textId="74C3FB89" w:rsidR="009C2778" w:rsidRPr="00B907B4" w:rsidRDefault="00B907B4" w:rsidP="00B907B4">
    <w:pPr>
      <w:pStyle w:val="Header-pool"/>
      <w:jc w:val="right"/>
    </w:pPr>
    <w:r>
      <w:fldChar w:fldCharType="begin"/>
    </w:r>
    <w:r>
      <w:instrText xml:space="preserve"> StyleRef A_Symbol </w:instrText>
    </w:r>
    <w:r>
      <w:fldChar w:fldCharType="separate"/>
    </w:r>
    <w:r w:rsidR="002358C2">
      <w:rPr>
        <w:noProof/>
      </w:rPr>
      <w:t>IPBES/10/INF/5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64E15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9258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AAD1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2893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2694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22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8C91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877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69A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E65D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A66A9D"/>
    <w:multiLevelType w:val="multilevel"/>
    <w:tmpl w:val="279252A2"/>
    <w:styleLink w:val="Normallist"/>
    <w:lvl w:ilvl="0">
      <w:start w:val="1"/>
      <w:numFmt w:val="decimal"/>
      <w:pStyle w:val="Normalnumber"/>
      <w:lvlText w:val="%1."/>
      <w:lvlJc w:val="left"/>
      <w:pPr>
        <w:tabs>
          <w:tab w:val="num" w:pos="624"/>
        </w:tabs>
        <w:ind w:left="1248" w:firstLine="0"/>
      </w:pPr>
      <w:rPr>
        <w:rFonts w:hint="default"/>
      </w:rPr>
    </w:lvl>
    <w:lvl w:ilvl="1">
      <w:start w:val="1"/>
      <w:numFmt w:val="lowerLetter"/>
      <w:lvlText w:val="(%2)"/>
      <w:lvlJc w:val="left"/>
      <w:pPr>
        <w:tabs>
          <w:tab w:val="num" w:pos="2495"/>
        </w:tabs>
        <w:ind w:left="1248" w:firstLine="623"/>
      </w:pPr>
      <w:rPr>
        <w:rFonts w:hint="default"/>
      </w:rPr>
    </w:lvl>
    <w:lvl w:ilvl="2">
      <w:start w:val="1"/>
      <w:numFmt w:val="lowerRoman"/>
      <w:lvlText w:val="(%3)"/>
      <w:lvlJc w:val="left"/>
      <w:pPr>
        <w:tabs>
          <w:tab w:val="num" w:pos="3119"/>
        </w:tabs>
        <w:ind w:left="3119" w:hanging="624"/>
      </w:pPr>
      <w:rPr>
        <w:rFonts w:hint="default"/>
      </w:rPr>
    </w:lvl>
    <w:lvl w:ilvl="3">
      <w:start w:val="1"/>
      <w:numFmt w:val="lowerLetter"/>
      <w:lvlText w:val="%4."/>
      <w:lvlJc w:val="left"/>
      <w:pPr>
        <w:tabs>
          <w:tab w:val="num" w:pos="3742"/>
        </w:tabs>
        <w:ind w:left="3742" w:hanging="623"/>
      </w:pPr>
      <w:rPr>
        <w:rFonts w:hint="default"/>
      </w:rPr>
    </w:lvl>
    <w:lvl w:ilvl="4">
      <w:start w:val="1"/>
      <w:numFmt w:val="lowerRoman"/>
      <w:lvlText w:val="%5."/>
      <w:lvlJc w:val="left"/>
      <w:pPr>
        <w:tabs>
          <w:tab w:val="num" w:pos="4366"/>
        </w:tabs>
        <w:ind w:left="4366" w:hanging="624"/>
      </w:pPr>
      <w:rPr>
        <w:rFonts w:hint="default"/>
      </w:rPr>
    </w:lvl>
    <w:lvl w:ilvl="5">
      <w:start w:val="1"/>
      <w:numFmt w:val="lowerRoman"/>
      <w:lvlText w:val="%6."/>
      <w:lvlJc w:val="right"/>
      <w:pPr>
        <w:tabs>
          <w:tab w:val="num" w:pos="7836"/>
        </w:tabs>
        <w:ind w:left="7836" w:hanging="180"/>
      </w:pPr>
      <w:rPr>
        <w:rFonts w:hint="default"/>
      </w:rPr>
    </w:lvl>
    <w:lvl w:ilvl="6">
      <w:start w:val="1"/>
      <w:numFmt w:val="decimal"/>
      <w:lvlText w:val="%7."/>
      <w:lvlJc w:val="left"/>
      <w:pPr>
        <w:tabs>
          <w:tab w:val="num" w:pos="8556"/>
        </w:tabs>
        <w:ind w:left="8556" w:hanging="360"/>
      </w:pPr>
      <w:rPr>
        <w:rFonts w:hint="default"/>
      </w:rPr>
    </w:lvl>
    <w:lvl w:ilvl="7">
      <w:start w:val="1"/>
      <w:numFmt w:val="lowerLetter"/>
      <w:lvlText w:val="%8."/>
      <w:lvlJc w:val="left"/>
      <w:pPr>
        <w:tabs>
          <w:tab w:val="num" w:pos="9276"/>
        </w:tabs>
        <w:ind w:left="9276" w:hanging="360"/>
      </w:pPr>
      <w:rPr>
        <w:rFonts w:hint="default"/>
      </w:rPr>
    </w:lvl>
    <w:lvl w:ilvl="8">
      <w:start w:val="1"/>
      <w:numFmt w:val="lowerRoman"/>
      <w:lvlText w:val="%9."/>
      <w:lvlJc w:val="right"/>
      <w:pPr>
        <w:tabs>
          <w:tab w:val="num" w:pos="9996"/>
        </w:tabs>
        <w:ind w:left="9996" w:hanging="180"/>
      </w:pPr>
      <w:rPr>
        <w:rFonts w:hint="default"/>
      </w:rPr>
    </w:lvl>
  </w:abstractNum>
  <w:abstractNum w:abstractNumId="11"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90323980">
    <w:abstractNumId w:val="10"/>
  </w:num>
  <w:num w:numId="2" w16cid:durableId="671566768">
    <w:abstractNumId w:val="11"/>
  </w:num>
  <w:num w:numId="3" w16cid:durableId="25835711">
    <w:abstractNumId w:val="9"/>
  </w:num>
  <w:num w:numId="4" w16cid:durableId="275797223">
    <w:abstractNumId w:val="7"/>
  </w:num>
  <w:num w:numId="5" w16cid:durableId="465854042">
    <w:abstractNumId w:val="6"/>
  </w:num>
  <w:num w:numId="6" w16cid:durableId="1037316599">
    <w:abstractNumId w:val="5"/>
  </w:num>
  <w:num w:numId="7" w16cid:durableId="1775979120">
    <w:abstractNumId w:val="4"/>
  </w:num>
  <w:num w:numId="8" w16cid:durableId="785583123">
    <w:abstractNumId w:val="8"/>
  </w:num>
  <w:num w:numId="9" w16cid:durableId="554315864">
    <w:abstractNumId w:val="3"/>
  </w:num>
  <w:num w:numId="10" w16cid:durableId="1696543155">
    <w:abstractNumId w:val="2"/>
  </w:num>
  <w:num w:numId="11" w16cid:durableId="1175808503">
    <w:abstractNumId w:val="1"/>
  </w:num>
  <w:num w:numId="12" w16cid:durableId="331377701">
    <w:abstractNumId w:val="0"/>
  </w:num>
  <w:num w:numId="13" w16cid:durableId="260064861">
    <w:abstractNumId w:val="10"/>
  </w:num>
  <w:num w:numId="14" w16cid:durableId="1944876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9155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294847">
    <w:abstractNumId w:val="10"/>
  </w:num>
  <w:num w:numId="17" w16cid:durableId="925649843">
    <w:abstractNumId w:val="10"/>
  </w:num>
  <w:num w:numId="18" w16cid:durableId="626857757">
    <w:abstractNumId w:val="10"/>
  </w:num>
  <w:num w:numId="19" w16cid:durableId="920599261">
    <w:abstractNumId w:val="10"/>
  </w:num>
  <w:num w:numId="20" w16cid:durableId="202795913">
    <w:abstractNumId w:val="10"/>
  </w:num>
  <w:num w:numId="21" w16cid:durableId="1984265936">
    <w:abstractNumId w:val="10"/>
  </w:num>
  <w:num w:numId="22" w16cid:durableId="1031997377">
    <w:abstractNumId w:val="10"/>
  </w:num>
  <w:num w:numId="23" w16cid:durableId="465466079">
    <w:abstractNumId w:val="10"/>
  </w:num>
  <w:num w:numId="24" w16cid:durableId="1781217145">
    <w:abstractNumId w:val="10"/>
  </w:num>
  <w:num w:numId="25" w16cid:durableId="1912079582">
    <w:abstractNumId w:val="10"/>
  </w:num>
  <w:num w:numId="26" w16cid:durableId="550926179">
    <w:abstractNumId w:val="10"/>
  </w:num>
  <w:num w:numId="27" w16cid:durableId="1225986106">
    <w:abstractNumId w:val="10"/>
  </w:num>
  <w:num w:numId="28" w16cid:durableId="826441596">
    <w:abstractNumId w:val="10"/>
  </w:num>
  <w:num w:numId="29" w16cid:durableId="546838096">
    <w:abstractNumId w:val="10"/>
  </w:num>
  <w:num w:numId="30" w16cid:durableId="518278439">
    <w:abstractNumId w:val="10"/>
  </w:num>
  <w:num w:numId="31" w16cid:durableId="637800596">
    <w:abstractNumId w:val="10"/>
  </w:num>
  <w:num w:numId="32" w16cid:durableId="1458797840">
    <w:abstractNumId w:val="10"/>
  </w:num>
  <w:num w:numId="33" w16cid:durableId="1649899805">
    <w:abstractNumId w:val="10"/>
  </w:num>
  <w:num w:numId="34" w16cid:durableId="1806854435">
    <w:abstractNumId w:val="10"/>
  </w:num>
  <w:num w:numId="35" w16cid:durableId="638222332">
    <w:abstractNumId w:val="10"/>
  </w:num>
  <w:num w:numId="36" w16cid:durableId="1577090311">
    <w:abstractNumId w:val="10"/>
  </w:num>
  <w:num w:numId="37" w16cid:durableId="1489201027">
    <w:abstractNumId w:val="10"/>
  </w:num>
  <w:num w:numId="38" w16cid:durableId="1833645515">
    <w:abstractNumId w:val="10"/>
  </w:num>
  <w:num w:numId="39" w16cid:durableId="615407607">
    <w:abstractNumId w:val="10"/>
  </w:num>
  <w:num w:numId="40" w16cid:durableId="1303997644">
    <w:abstractNumId w:val="10"/>
  </w:num>
  <w:num w:numId="41" w16cid:durableId="192402912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F6"/>
    <w:rsid w:val="000149E6"/>
    <w:rsid w:val="00021115"/>
    <w:rsid w:val="000247B0"/>
    <w:rsid w:val="00024A65"/>
    <w:rsid w:val="00025FA9"/>
    <w:rsid w:val="00026997"/>
    <w:rsid w:val="0003347A"/>
    <w:rsid w:val="00033E0B"/>
    <w:rsid w:val="00035EDE"/>
    <w:rsid w:val="00040DBD"/>
    <w:rsid w:val="00046253"/>
    <w:rsid w:val="000509B4"/>
    <w:rsid w:val="0006035B"/>
    <w:rsid w:val="00060C9A"/>
    <w:rsid w:val="0007166E"/>
    <w:rsid w:val="00071886"/>
    <w:rsid w:val="000742BC"/>
    <w:rsid w:val="00082A0C"/>
    <w:rsid w:val="00083504"/>
    <w:rsid w:val="0009640C"/>
    <w:rsid w:val="000B21D5"/>
    <w:rsid w:val="000B22A2"/>
    <w:rsid w:val="000C2A52"/>
    <w:rsid w:val="000D05A6"/>
    <w:rsid w:val="000D33C0"/>
    <w:rsid w:val="000D6941"/>
    <w:rsid w:val="000E4CD0"/>
    <w:rsid w:val="000F2E82"/>
    <w:rsid w:val="000F3B4F"/>
    <w:rsid w:val="00107883"/>
    <w:rsid w:val="001202E3"/>
    <w:rsid w:val="00123699"/>
    <w:rsid w:val="0013059D"/>
    <w:rsid w:val="00131215"/>
    <w:rsid w:val="00137A1A"/>
    <w:rsid w:val="00141A55"/>
    <w:rsid w:val="001446A3"/>
    <w:rsid w:val="00155395"/>
    <w:rsid w:val="00162D9E"/>
    <w:rsid w:val="00181EC8"/>
    <w:rsid w:val="00184349"/>
    <w:rsid w:val="00186A92"/>
    <w:rsid w:val="0019335D"/>
    <w:rsid w:val="00195F33"/>
    <w:rsid w:val="00197D03"/>
    <w:rsid w:val="001A6166"/>
    <w:rsid w:val="001B1617"/>
    <w:rsid w:val="001B2778"/>
    <w:rsid w:val="001B504B"/>
    <w:rsid w:val="001B5405"/>
    <w:rsid w:val="001B670F"/>
    <w:rsid w:val="001B6D54"/>
    <w:rsid w:val="001C54CA"/>
    <w:rsid w:val="001D3874"/>
    <w:rsid w:val="001D7E75"/>
    <w:rsid w:val="001E56D2"/>
    <w:rsid w:val="001E7D56"/>
    <w:rsid w:val="001F75DE"/>
    <w:rsid w:val="00200D58"/>
    <w:rsid w:val="002013BE"/>
    <w:rsid w:val="002063A4"/>
    <w:rsid w:val="0021145B"/>
    <w:rsid w:val="00214F54"/>
    <w:rsid w:val="0022026A"/>
    <w:rsid w:val="002235A1"/>
    <w:rsid w:val="00230C68"/>
    <w:rsid w:val="002358C2"/>
    <w:rsid w:val="00243323"/>
    <w:rsid w:val="00243D36"/>
    <w:rsid w:val="00247707"/>
    <w:rsid w:val="00254B4A"/>
    <w:rsid w:val="00257C6A"/>
    <w:rsid w:val="00266F52"/>
    <w:rsid w:val="002751BA"/>
    <w:rsid w:val="00275F4D"/>
    <w:rsid w:val="00286740"/>
    <w:rsid w:val="002929D8"/>
    <w:rsid w:val="002A1AEE"/>
    <w:rsid w:val="002A237D"/>
    <w:rsid w:val="002A282A"/>
    <w:rsid w:val="002A3884"/>
    <w:rsid w:val="002A4C53"/>
    <w:rsid w:val="002B0672"/>
    <w:rsid w:val="002B1B4C"/>
    <w:rsid w:val="002B247F"/>
    <w:rsid w:val="002C145D"/>
    <w:rsid w:val="002C2C3E"/>
    <w:rsid w:val="002C533E"/>
    <w:rsid w:val="002D027F"/>
    <w:rsid w:val="002D7A85"/>
    <w:rsid w:val="002D7B60"/>
    <w:rsid w:val="002E353A"/>
    <w:rsid w:val="002E65EB"/>
    <w:rsid w:val="002F4761"/>
    <w:rsid w:val="002F5C79"/>
    <w:rsid w:val="003019E2"/>
    <w:rsid w:val="00301E16"/>
    <w:rsid w:val="00303FF6"/>
    <w:rsid w:val="00307609"/>
    <w:rsid w:val="00311576"/>
    <w:rsid w:val="0031413F"/>
    <w:rsid w:val="003148BB"/>
    <w:rsid w:val="00317976"/>
    <w:rsid w:val="00352EAB"/>
    <w:rsid w:val="00355EA9"/>
    <w:rsid w:val="003578DE"/>
    <w:rsid w:val="00396257"/>
    <w:rsid w:val="00397EB8"/>
    <w:rsid w:val="003A086E"/>
    <w:rsid w:val="003A4FD0"/>
    <w:rsid w:val="003A69D1"/>
    <w:rsid w:val="003A7705"/>
    <w:rsid w:val="003B1545"/>
    <w:rsid w:val="003C409D"/>
    <w:rsid w:val="003C5BA6"/>
    <w:rsid w:val="003D0E53"/>
    <w:rsid w:val="003D5F13"/>
    <w:rsid w:val="003E5785"/>
    <w:rsid w:val="003F0E85"/>
    <w:rsid w:val="00402DC4"/>
    <w:rsid w:val="00405251"/>
    <w:rsid w:val="00410C55"/>
    <w:rsid w:val="0041275A"/>
    <w:rsid w:val="00413A82"/>
    <w:rsid w:val="00416854"/>
    <w:rsid w:val="00417725"/>
    <w:rsid w:val="00420993"/>
    <w:rsid w:val="00431B3A"/>
    <w:rsid w:val="00437F26"/>
    <w:rsid w:val="00444097"/>
    <w:rsid w:val="00445487"/>
    <w:rsid w:val="00454769"/>
    <w:rsid w:val="00463100"/>
    <w:rsid w:val="00466991"/>
    <w:rsid w:val="0047064C"/>
    <w:rsid w:val="00480E38"/>
    <w:rsid w:val="004A42E1"/>
    <w:rsid w:val="004B162C"/>
    <w:rsid w:val="004B6357"/>
    <w:rsid w:val="004C0C8F"/>
    <w:rsid w:val="004C3CFE"/>
    <w:rsid w:val="004C3DBE"/>
    <w:rsid w:val="004C5C96"/>
    <w:rsid w:val="004D06A4"/>
    <w:rsid w:val="004D2EE9"/>
    <w:rsid w:val="004D5BB9"/>
    <w:rsid w:val="004E0948"/>
    <w:rsid w:val="004E4019"/>
    <w:rsid w:val="004E57FF"/>
    <w:rsid w:val="004F0FAB"/>
    <w:rsid w:val="004F1A81"/>
    <w:rsid w:val="004F45F5"/>
    <w:rsid w:val="005218D9"/>
    <w:rsid w:val="00524426"/>
    <w:rsid w:val="00531259"/>
    <w:rsid w:val="00536186"/>
    <w:rsid w:val="00541350"/>
    <w:rsid w:val="00544CBB"/>
    <w:rsid w:val="005555FA"/>
    <w:rsid w:val="005606E0"/>
    <w:rsid w:val="005714F7"/>
    <w:rsid w:val="0057315F"/>
    <w:rsid w:val="00573761"/>
    <w:rsid w:val="00574B77"/>
    <w:rsid w:val="00576104"/>
    <w:rsid w:val="00583070"/>
    <w:rsid w:val="00594BA0"/>
    <w:rsid w:val="00595CE0"/>
    <w:rsid w:val="005B744D"/>
    <w:rsid w:val="005C67C8"/>
    <w:rsid w:val="005D0249"/>
    <w:rsid w:val="005D6E8C"/>
    <w:rsid w:val="005E73F6"/>
    <w:rsid w:val="005F100C"/>
    <w:rsid w:val="005F68DA"/>
    <w:rsid w:val="006010BD"/>
    <w:rsid w:val="00606A68"/>
    <w:rsid w:val="0060773B"/>
    <w:rsid w:val="006157B5"/>
    <w:rsid w:val="0061796B"/>
    <w:rsid w:val="00626FC6"/>
    <w:rsid w:val="006303B4"/>
    <w:rsid w:val="00633D3D"/>
    <w:rsid w:val="00641703"/>
    <w:rsid w:val="00641DA4"/>
    <w:rsid w:val="006423AF"/>
    <w:rsid w:val="006431A6"/>
    <w:rsid w:val="006459F6"/>
    <w:rsid w:val="006501AD"/>
    <w:rsid w:val="00651BFA"/>
    <w:rsid w:val="006657FA"/>
    <w:rsid w:val="00665A4B"/>
    <w:rsid w:val="006826AB"/>
    <w:rsid w:val="00682AE7"/>
    <w:rsid w:val="00692E2A"/>
    <w:rsid w:val="006A1125"/>
    <w:rsid w:val="006A2D0C"/>
    <w:rsid w:val="006A5C76"/>
    <w:rsid w:val="006A76F2"/>
    <w:rsid w:val="006B195B"/>
    <w:rsid w:val="006D5D69"/>
    <w:rsid w:val="006D69E3"/>
    <w:rsid w:val="006D7EFB"/>
    <w:rsid w:val="006E3F6B"/>
    <w:rsid w:val="006E6672"/>
    <w:rsid w:val="006E6722"/>
    <w:rsid w:val="007027B9"/>
    <w:rsid w:val="00710159"/>
    <w:rsid w:val="00713235"/>
    <w:rsid w:val="00713D8F"/>
    <w:rsid w:val="00714E74"/>
    <w:rsid w:val="00715E88"/>
    <w:rsid w:val="007169B9"/>
    <w:rsid w:val="00720862"/>
    <w:rsid w:val="0072432A"/>
    <w:rsid w:val="00734CAA"/>
    <w:rsid w:val="00737BDD"/>
    <w:rsid w:val="007413F6"/>
    <w:rsid w:val="00745B64"/>
    <w:rsid w:val="00751F5F"/>
    <w:rsid w:val="0075533C"/>
    <w:rsid w:val="00757581"/>
    <w:rsid w:val="007611A0"/>
    <w:rsid w:val="007742A9"/>
    <w:rsid w:val="00792755"/>
    <w:rsid w:val="00796D3F"/>
    <w:rsid w:val="007A13FB"/>
    <w:rsid w:val="007A1683"/>
    <w:rsid w:val="007A31D4"/>
    <w:rsid w:val="007A36F8"/>
    <w:rsid w:val="007A3B60"/>
    <w:rsid w:val="007A5C12"/>
    <w:rsid w:val="007A7CB0"/>
    <w:rsid w:val="007B68A3"/>
    <w:rsid w:val="007C2541"/>
    <w:rsid w:val="007D66A8"/>
    <w:rsid w:val="007E003F"/>
    <w:rsid w:val="007E053D"/>
    <w:rsid w:val="007E1860"/>
    <w:rsid w:val="00802E72"/>
    <w:rsid w:val="008164F2"/>
    <w:rsid w:val="00816EE4"/>
    <w:rsid w:val="00821395"/>
    <w:rsid w:val="00830E26"/>
    <w:rsid w:val="00843576"/>
    <w:rsid w:val="008439D3"/>
    <w:rsid w:val="00843B64"/>
    <w:rsid w:val="00846F5B"/>
    <w:rsid w:val="008478FC"/>
    <w:rsid w:val="00851B0C"/>
    <w:rsid w:val="0086479B"/>
    <w:rsid w:val="00867BFF"/>
    <w:rsid w:val="0088480A"/>
    <w:rsid w:val="008850D7"/>
    <w:rsid w:val="0088757A"/>
    <w:rsid w:val="008957DD"/>
    <w:rsid w:val="00896EDD"/>
    <w:rsid w:val="00897D98"/>
    <w:rsid w:val="008A26B4"/>
    <w:rsid w:val="008A6DF2"/>
    <w:rsid w:val="008A7807"/>
    <w:rsid w:val="008B4CC9"/>
    <w:rsid w:val="008D3F5A"/>
    <w:rsid w:val="008D41A0"/>
    <w:rsid w:val="008D5FEA"/>
    <w:rsid w:val="008D7C99"/>
    <w:rsid w:val="008E0FCB"/>
    <w:rsid w:val="008F3991"/>
    <w:rsid w:val="008F72EE"/>
    <w:rsid w:val="00901D5F"/>
    <w:rsid w:val="00917DD7"/>
    <w:rsid w:val="0092178C"/>
    <w:rsid w:val="00930B88"/>
    <w:rsid w:val="00934F85"/>
    <w:rsid w:val="00940DCC"/>
    <w:rsid w:val="0094179A"/>
    <w:rsid w:val="0094459E"/>
    <w:rsid w:val="00944DBC"/>
    <w:rsid w:val="00950977"/>
    <w:rsid w:val="00951A7B"/>
    <w:rsid w:val="009564A6"/>
    <w:rsid w:val="00967621"/>
    <w:rsid w:val="00967E6A"/>
    <w:rsid w:val="00977175"/>
    <w:rsid w:val="009935AC"/>
    <w:rsid w:val="00993DBE"/>
    <w:rsid w:val="00997ADD"/>
    <w:rsid w:val="009B4A0F"/>
    <w:rsid w:val="009C11D2"/>
    <w:rsid w:val="009C2778"/>
    <w:rsid w:val="009C6C70"/>
    <w:rsid w:val="009D0B63"/>
    <w:rsid w:val="009D4865"/>
    <w:rsid w:val="009E307E"/>
    <w:rsid w:val="009E48FB"/>
    <w:rsid w:val="00A07870"/>
    <w:rsid w:val="00A07F19"/>
    <w:rsid w:val="00A1348D"/>
    <w:rsid w:val="00A232EE"/>
    <w:rsid w:val="00A4175F"/>
    <w:rsid w:val="00A44411"/>
    <w:rsid w:val="00A46700"/>
    <w:rsid w:val="00A469FA"/>
    <w:rsid w:val="00A53C2F"/>
    <w:rsid w:val="00A55B01"/>
    <w:rsid w:val="00A56B5B"/>
    <w:rsid w:val="00A603FF"/>
    <w:rsid w:val="00A657DD"/>
    <w:rsid w:val="00A666A6"/>
    <w:rsid w:val="00A675FD"/>
    <w:rsid w:val="00A7064E"/>
    <w:rsid w:val="00A72437"/>
    <w:rsid w:val="00A75360"/>
    <w:rsid w:val="00A76798"/>
    <w:rsid w:val="00A80611"/>
    <w:rsid w:val="00A86E8F"/>
    <w:rsid w:val="00A87016"/>
    <w:rsid w:val="00AA45B7"/>
    <w:rsid w:val="00AB5340"/>
    <w:rsid w:val="00AC1897"/>
    <w:rsid w:val="00AC7C96"/>
    <w:rsid w:val="00AD6A05"/>
    <w:rsid w:val="00AE237D"/>
    <w:rsid w:val="00AE2C85"/>
    <w:rsid w:val="00AE502A"/>
    <w:rsid w:val="00AE53F1"/>
    <w:rsid w:val="00AF6269"/>
    <w:rsid w:val="00AF7C07"/>
    <w:rsid w:val="00B22C93"/>
    <w:rsid w:val="00B27589"/>
    <w:rsid w:val="00B405B7"/>
    <w:rsid w:val="00B43812"/>
    <w:rsid w:val="00B47F85"/>
    <w:rsid w:val="00B52222"/>
    <w:rsid w:val="00B54FE7"/>
    <w:rsid w:val="00B66901"/>
    <w:rsid w:val="00B71E6D"/>
    <w:rsid w:val="00B72070"/>
    <w:rsid w:val="00B77174"/>
    <w:rsid w:val="00B779E1"/>
    <w:rsid w:val="00B907B4"/>
    <w:rsid w:val="00B91EE1"/>
    <w:rsid w:val="00BA0090"/>
    <w:rsid w:val="00BA1A67"/>
    <w:rsid w:val="00BC2F82"/>
    <w:rsid w:val="00BC7315"/>
    <w:rsid w:val="00BD0ABB"/>
    <w:rsid w:val="00BD37F7"/>
    <w:rsid w:val="00BE5B5F"/>
    <w:rsid w:val="00BF1AA7"/>
    <w:rsid w:val="00BF461D"/>
    <w:rsid w:val="00C12C5B"/>
    <w:rsid w:val="00C139B2"/>
    <w:rsid w:val="00C1614F"/>
    <w:rsid w:val="00C26F55"/>
    <w:rsid w:val="00C30C63"/>
    <w:rsid w:val="00C3114B"/>
    <w:rsid w:val="00C36B8B"/>
    <w:rsid w:val="00C41676"/>
    <w:rsid w:val="00C47DBF"/>
    <w:rsid w:val="00C552FF"/>
    <w:rsid w:val="00C558DA"/>
    <w:rsid w:val="00C55AF3"/>
    <w:rsid w:val="00C57CC6"/>
    <w:rsid w:val="00C84759"/>
    <w:rsid w:val="00C85519"/>
    <w:rsid w:val="00C9477F"/>
    <w:rsid w:val="00CA1045"/>
    <w:rsid w:val="00CA6C7F"/>
    <w:rsid w:val="00CC0501"/>
    <w:rsid w:val="00CC10A6"/>
    <w:rsid w:val="00CD5EB8"/>
    <w:rsid w:val="00CD7044"/>
    <w:rsid w:val="00CE08B9"/>
    <w:rsid w:val="00CE524C"/>
    <w:rsid w:val="00CF141F"/>
    <w:rsid w:val="00CF4777"/>
    <w:rsid w:val="00D067BB"/>
    <w:rsid w:val="00D13269"/>
    <w:rsid w:val="00D1352A"/>
    <w:rsid w:val="00D169AF"/>
    <w:rsid w:val="00D25249"/>
    <w:rsid w:val="00D25AC5"/>
    <w:rsid w:val="00D324BC"/>
    <w:rsid w:val="00D374F6"/>
    <w:rsid w:val="00D44172"/>
    <w:rsid w:val="00D449AD"/>
    <w:rsid w:val="00D44F47"/>
    <w:rsid w:val="00D47798"/>
    <w:rsid w:val="00D5210E"/>
    <w:rsid w:val="00D61F4B"/>
    <w:rsid w:val="00D62AB4"/>
    <w:rsid w:val="00D63B8C"/>
    <w:rsid w:val="00D739CC"/>
    <w:rsid w:val="00D7798C"/>
    <w:rsid w:val="00D8093D"/>
    <w:rsid w:val="00D8108C"/>
    <w:rsid w:val="00D81FDB"/>
    <w:rsid w:val="00D842AE"/>
    <w:rsid w:val="00D9211C"/>
    <w:rsid w:val="00D92DE0"/>
    <w:rsid w:val="00D92FEF"/>
    <w:rsid w:val="00D93A0F"/>
    <w:rsid w:val="00DA1BCA"/>
    <w:rsid w:val="00DA3C10"/>
    <w:rsid w:val="00DA4696"/>
    <w:rsid w:val="00DC46FF"/>
    <w:rsid w:val="00DC5254"/>
    <w:rsid w:val="00DD1600"/>
    <w:rsid w:val="00DD1A4F"/>
    <w:rsid w:val="00DD3107"/>
    <w:rsid w:val="00DD7C2C"/>
    <w:rsid w:val="00E06797"/>
    <w:rsid w:val="00E116E5"/>
    <w:rsid w:val="00E1265B"/>
    <w:rsid w:val="00E13B48"/>
    <w:rsid w:val="00E1404F"/>
    <w:rsid w:val="00E21C83"/>
    <w:rsid w:val="00E24ADA"/>
    <w:rsid w:val="00E32F59"/>
    <w:rsid w:val="00E43A91"/>
    <w:rsid w:val="00E46D9A"/>
    <w:rsid w:val="00E53542"/>
    <w:rsid w:val="00E55699"/>
    <w:rsid w:val="00E565FF"/>
    <w:rsid w:val="00E65388"/>
    <w:rsid w:val="00E85B7D"/>
    <w:rsid w:val="00E9121B"/>
    <w:rsid w:val="00E96F4E"/>
    <w:rsid w:val="00EA0AE2"/>
    <w:rsid w:val="00EA261E"/>
    <w:rsid w:val="00EA39E5"/>
    <w:rsid w:val="00EC5A46"/>
    <w:rsid w:val="00EC63E2"/>
    <w:rsid w:val="00ED3FD1"/>
    <w:rsid w:val="00EF22B3"/>
    <w:rsid w:val="00EF6424"/>
    <w:rsid w:val="00F03B69"/>
    <w:rsid w:val="00F07A50"/>
    <w:rsid w:val="00F113DA"/>
    <w:rsid w:val="00F11535"/>
    <w:rsid w:val="00F33429"/>
    <w:rsid w:val="00F37DC8"/>
    <w:rsid w:val="00F439B3"/>
    <w:rsid w:val="00F626CB"/>
    <w:rsid w:val="00F650C3"/>
    <w:rsid w:val="00F65D85"/>
    <w:rsid w:val="00F7572E"/>
    <w:rsid w:val="00F8091E"/>
    <w:rsid w:val="00F85D99"/>
    <w:rsid w:val="00F8615C"/>
    <w:rsid w:val="00F969E5"/>
    <w:rsid w:val="00F973F4"/>
    <w:rsid w:val="00F9783C"/>
    <w:rsid w:val="00FA6BB0"/>
    <w:rsid w:val="00FB1402"/>
    <w:rsid w:val="00FB599A"/>
    <w:rsid w:val="00FB65BE"/>
    <w:rsid w:val="00FD38CE"/>
    <w:rsid w:val="00FD5860"/>
    <w:rsid w:val="00FD729F"/>
    <w:rsid w:val="00FD7DA6"/>
    <w:rsid w:val="00FE0BE2"/>
    <w:rsid w:val="00FE352D"/>
    <w:rsid w:val="00FE40EB"/>
    <w:rsid w:val="00FE46CF"/>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ACE2A1"/>
  <w15:chartTrackingRefBased/>
  <w15:docId w15:val="{C0BF8C1D-9CF0-4E9D-9A1E-0AC042FB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07B4"/>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rsid w:val="00B907B4"/>
    <w:pPr>
      <w:keepNext/>
      <w:numPr>
        <w:numId w:val="2"/>
      </w:numPr>
      <w:spacing w:before="240" w:after="120"/>
      <w:outlineLvl w:val="0"/>
    </w:pPr>
    <w:rPr>
      <w:b/>
      <w:sz w:val="28"/>
      <w:lang w:val="en-US"/>
    </w:rPr>
  </w:style>
  <w:style w:type="paragraph" w:styleId="Heading2">
    <w:name w:val="heading 2"/>
    <w:basedOn w:val="Normal"/>
    <w:next w:val="Normalnumber"/>
    <w:link w:val="Heading2Char"/>
    <w:rsid w:val="00B907B4"/>
    <w:pPr>
      <w:keepNext/>
      <w:numPr>
        <w:ilvl w:val="1"/>
        <w:numId w:val="2"/>
      </w:numPr>
      <w:spacing w:before="240" w:after="120"/>
      <w:outlineLvl w:val="1"/>
    </w:pPr>
    <w:rPr>
      <w:b/>
      <w:sz w:val="24"/>
      <w:szCs w:val="24"/>
      <w:lang w:val="en-US"/>
    </w:rPr>
  </w:style>
  <w:style w:type="paragraph" w:styleId="Heading3">
    <w:name w:val="heading 3"/>
    <w:basedOn w:val="Normal"/>
    <w:next w:val="Normalnumber"/>
    <w:link w:val="Heading3Char"/>
    <w:rsid w:val="00B907B4"/>
    <w:pPr>
      <w:numPr>
        <w:ilvl w:val="2"/>
        <w:numId w:val="2"/>
      </w:numPr>
      <w:spacing w:after="120"/>
      <w:outlineLvl w:val="2"/>
    </w:pPr>
    <w:rPr>
      <w:b/>
      <w:lang w:val="en-US"/>
    </w:rPr>
  </w:style>
  <w:style w:type="paragraph" w:styleId="Heading4">
    <w:name w:val="heading 4"/>
    <w:basedOn w:val="Heading3"/>
    <w:next w:val="Normalnumber"/>
    <w:link w:val="Heading4Char"/>
    <w:rsid w:val="00B907B4"/>
    <w:pPr>
      <w:keepNext/>
      <w:numPr>
        <w:ilvl w:val="3"/>
      </w:numPr>
      <w:outlineLvl w:val="3"/>
    </w:pPr>
  </w:style>
  <w:style w:type="paragraph" w:styleId="Heading5">
    <w:name w:val="heading 5"/>
    <w:basedOn w:val="Normal"/>
    <w:next w:val="Normal"/>
    <w:link w:val="Heading5Char"/>
    <w:rsid w:val="00B907B4"/>
    <w:pPr>
      <w:keepNext/>
      <w:numPr>
        <w:ilvl w:val="4"/>
        <w:numId w:val="2"/>
      </w:numPr>
      <w:outlineLvl w:val="4"/>
    </w:pPr>
    <w:rPr>
      <w:rFonts w:ascii="Univers" w:hAnsi="Univers"/>
      <w:b/>
      <w:sz w:val="24"/>
      <w:lang w:val="en-US"/>
    </w:rPr>
  </w:style>
  <w:style w:type="paragraph" w:styleId="Heading6">
    <w:name w:val="heading 6"/>
    <w:basedOn w:val="Normal"/>
    <w:next w:val="Normal"/>
    <w:link w:val="Heading6Char"/>
    <w:rsid w:val="00B907B4"/>
    <w:pPr>
      <w:keepNext/>
      <w:numPr>
        <w:ilvl w:val="5"/>
        <w:numId w:val="2"/>
      </w:numPr>
      <w:outlineLvl w:val="5"/>
    </w:pPr>
    <w:rPr>
      <w:b/>
      <w:bCs/>
      <w:sz w:val="24"/>
      <w:lang w:val="en-US"/>
    </w:rPr>
  </w:style>
  <w:style w:type="paragraph" w:styleId="Heading7">
    <w:name w:val="heading 7"/>
    <w:basedOn w:val="Normal"/>
    <w:next w:val="Normal"/>
    <w:link w:val="Heading7Char"/>
    <w:rsid w:val="00B907B4"/>
    <w:pPr>
      <w:keepNext/>
      <w:widowControl w:val="0"/>
      <w:numPr>
        <w:ilvl w:val="6"/>
        <w:numId w:val="2"/>
      </w:numPr>
      <w:jc w:val="center"/>
      <w:outlineLvl w:val="6"/>
    </w:pPr>
    <w:rPr>
      <w:snapToGrid w:val="0"/>
      <w:u w:val="single"/>
      <w:lang w:val="en-US"/>
    </w:rPr>
  </w:style>
  <w:style w:type="paragraph" w:styleId="Heading8">
    <w:name w:val="heading 8"/>
    <w:basedOn w:val="Normal"/>
    <w:next w:val="Normal"/>
    <w:link w:val="Heading8Char"/>
    <w:rsid w:val="00B907B4"/>
    <w:pPr>
      <w:keepNext/>
      <w:widowControl w:val="0"/>
      <w:numPr>
        <w:ilvl w:val="7"/>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rsid w:val="00B907B4"/>
    <w:pPr>
      <w:keepNext/>
      <w:widowControl w:val="0"/>
      <w:numPr>
        <w:ilvl w:val="8"/>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907B4"/>
    <w:rPr>
      <w:rFonts w:ascii="Times New Roman" w:hAnsi="Times New Roman"/>
      <w:b/>
      <w:sz w:val="18"/>
      <w:lang w:val="en-US"/>
    </w:rPr>
  </w:style>
  <w:style w:type="table" w:customStyle="1" w:styleId="Tabledocright">
    <w:name w:val="Table_doc_right"/>
    <w:basedOn w:val="TableNormal"/>
    <w:rsid w:val="00B907B4"/>
    <w:pPr>
      <w:spacing w:before="40" w:after="40" w:line="240" w:lineRule="auto"/>
    </w:pPr>
    <w:rPr>
      <w:rFonts w:ascii="Times New Roman" w:eastAsia="SimSu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B907B4"/>
    <w:pPr>
      <w:ind w:left="1000"/>
    </w:pPr>
    <w:rPr>
      <w:sz w:val="18"/>
      <w:szCs w:val="18"/>
    </w:rPr>
  </w:style>
  <w:style w:type="paragraph" w:styleId="TOC7">
    <w:name w:val="toc 7"/>
    <w:basedOn w:val="Normal"/>
    <w:next w:val="Normal"/>
    <w:autoRedefine/>
    <w:semiHidden/>
    <w:rsid w:val="00B907B4"/>
    <w:pPr>
      <w:ind w:left="1200"/>
    </w:pPr>
    <w:rPr>
      <w:sz w:val="18"/>
      <w:szCs w:val="18"/>
    </w:rPr>
  </w:style>
  <w:style w:type="paragraph" w:styleId="TOC8">
    <w:name w:val="toc 8"/>
    <w:basedOn w:val="Normal"/>
    <w:next w:val="Normal"/>
    <w:autoRedefine/>
    <w:semiHidden/>
    <w:rsid w:val="00B907B4"/>
    <w:pPr>
      <w:ind w:left="1400"/>
    </w:pPr>
    <w:rPr>
      <w:sz w:val="18"/>
      <w:szCs w:val="18"/>
    </w:rPr>
  </w:style>
  <w:style w:type="paragraph" w:styleId="TOC9">
    <w:name w:val="toc 9"/>
    <w:basedOn w:val="Normal"/>
    <w:next w:val="Normal"/>
    <w:autoRedefine/>
    <w:semiHidden/>
    <w:rsid w:val="00B907B4"/>
    <w:pPr>
      <w:ind w:left="1600"/>
    </w:pPr>
    <w:rPr>
      <w:sz w:val="18"/>
      <w:szCs w:val="18"/>
    </w:rPr>
  </w:style>
  <w:style w:type="paragraph" w:customStyle="1" w:styleId="Titlefigure">
    <w:name w:val="Title_figure"/>
    <w:basedOn w:val="Titletable"/>
    <w:next w:val="NormalNonumber"/>
    <w:rsid w:val="00B907B4"/>
    <w:rPr>
      <w:bCs w:val="0"/>
    </w:rPr>
  </w:style>
  <w:style w:type="paragraph" w:styleId="TableofFigures">
    <w:name w:val="table of figures"/>
    <w:basedOn w:val="Normal"/>
    <w:next w:val="Normal"/>
    <w:autoRedefine/>
    <w:semiHidden/>
    <w:rsid w:val="00B907B4"/>
    <w:pPr>
      <w:ind w:left="1814" w:hanging="567"/>
    </w:pPr>
  </w:style>
  <w:style w:type="paragraph" w:customStyle="1" w:styleId="CH1">
    <w:name w:val="CH1"/>
    <w:basedOn w:val="Normal-pool"/>
    <w:next w:val="CH2"/>
    <w:qFormat/>
    <w:rsid w:val="00B907B4"/>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B907B4"/>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B907B4"/>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B907B4"/>
    <w:pPr>
      <w:keepNext/>
      <w:keepLines/>
      <w:tabs>
        <w:tab w:val="clear" w:pos="624"/>
        <w:tab w:val="right" w:pos="851"/>
      </w:tabs>
      <w:suppressAutoHyphens/>
      <w:spacing w:before="120" w:after="120"/>
      <w:ind w:left="1247" w:right="284" w:hanging="1247"/>
    </w:pPr>
    <w:rPr>
      <w:b/>
    </w:rPr>
  </w:style>
  <w:style w:type="table" w:customStyle="1" w:styleId="Footertable">
    <w:name w:val="Footer_table"/>
    <w:basedOn w:val="TableNormal"/>
    <w:semiHidden/>
    <w:rsid w:val="00B907B4"/>
    <w:pPr>
      <w:spacing w:after="0" w:line="240" w:lineRule="auto"/>
    </w:pPr>
    <w:rPr>
      <w:rFonts w:ascii="Arial" w:eastAsia="SimSu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B907B4"/>
    <w:pPr>
      <w:keepNext/>
      <w:keepLines/>
      <w:tabs>
        <w:tab w:val="right" w:pos="851"/>
        <w:tab w:val="left" w:pos="4082"/>
      </w:tabs>
      <w:suppressAutoHyphens/>
      <w:spacing w:after="120"/>
      <w:ind w:left="1247" w:right="284" w:hanging="1247"/>
    </w:pPr>
    <w:rPr>
      <w:b/>
      <w:lang w:val="en-US"/>
    </w:rPr>
  </w:style>
  <w:style w:type="paragraph" w:customStyle="1" w:styleId="Footerpool">
    <w:name w:val="Footer_pool"/>
    <w:basedOn w:val="Normal"/>
    <w:next w:val="Normal"/>
    <w:semiHidden/>
    <w:rsid w:val="00B907B4"/>
    <w:pPr>
      <w:tabs>
        <w:tab w:val="left" w:pos="4321"/>
        <w:tab w:val="right" w:pos="8641"/>
      </w:tabs>
      <w:spacing w:before="60" w:after="120"/>
    </w:pPr>
    <w:rPr>
      <w:b/>
      <w:sz w:val="18"/>
      <w:lang w:val="en-US"/>
    </w:rPr>
  </w:style>
  <w:style w:type="paragraph" w:customStyle="1" w:styleId="Footer-pool">
    <w:name w:val="Footer-pool"/>
    <w:basedOn w:val="Normal"/>
    <w:next w:val="Normal"/>
    <w:rsid w:val="00B907B4"/>
    <w:pPr>
      <w:tabs>
        <w:tab w:val="clear" w:pos="1814"/>
        <w:tab w:val="clear" w:pos="2381"/>
        <w:tab w:val="clear" w:pos="2948"/>
        <w:tab w:val="clear" w:pos="3515"/>
        <w:tab w:val="left" w:pos="624"/>
        <w:tab w:val="left" w:pos="1871"/>
        <w:tab w:val="left" w:pos="2495"/>
        <w:tab w:val="left" w:pos="3119"/>
        <w:tab w:val="left" w:pos="3742"/>
        <w:tab w:val="left" w:pos="4366"/>
        <w:tab w:val="right" w:pos="8641"/>
      </w:tabs>
      <w:spacing w:after="120"/>
    </w:pPr>
    <w:rPr>
      <w:b/>
      <w:sz w:val="18"/>
      <w:lang w:val="en-US"/>
    </w:rPr>
  </w:style>
  <w:style w:type="paragraph" w:customStyle="1" w:styleId="Header-pool">
    <w:name w:val="Header-pool"/>
    <w:basedOn w:val="Normal"/>
    <w:next w:val="Normal"/>
    <w:rsid w:val="00B907B4"/>
    <w:pPr>
      <w:pBdr>
        <w:bottom w:val="single" w:sz="4" w:space="1" w:color="auto"/>
      </w:pBdr>
      <w:tabs>
        <w:tab w:val="clear" w:pos="1814"/>
        <w:tab w:val="clear" w:pos="2381"/>
        <w:tab w:val="clear" w:pos="2948"/>
        <w:tab w:val="clear" w:pos="3515"/>
        <w:tab w:val="left" w:pos="624"/>
        <w:tab w:val="left" w:pos="1871"/>
        <w:tab w:val="left" w:pos="2495"/>
        <w:tab w:val="left" w:pos="3119"/>
        <w:tab w:val="left" w:pos="3742"/>
        <w:tab w:val="left" w:pos="4366"/>
        <w:tab w:val="right" w:pos="9072"/>
      </w:tabs>
      <w:spacing w:after="120"/>
    </w:pPr>
    <w:rPr>
      <w:b/>
      <w:sz w:val="18"/>
      <w:lang w:val="en-US"/>
    </w:rPr>
  </w:style>
  <w:style w:type="paragraph" w:customStyle="1" w:styleId="Normal-pool">
    <w:name w:val="Normal-pool"/>
    <w:link w:val="Normal-poolChar"/>
    <w:qFormat/>
    <w:rsid w:val="00B907B4"/>
    <w:pPr>
      <w:tabs>
        <w:tab w:val="left" w:pos="624"/>
        <w:tab w:val="left" w:pos="1247"/>
        <w:tab w:val="left" w:pos="1871"/>
        <w:tab w:val="left" w:pos="2495"/>
        <w:tab w:val="left" w:pos="3119"/>
        <w:tab w:val="left" w:pos="3742"/>
        <w:tab w:val="left" w:pos="4366"/>
      </w:tabs>
      <w:spacing w:after="0" w:line="240" w:lineRule="auto"/>
    </w:pPr>
    <w:rPr>
      <w:rFonts w:ascii="Times New Roman" w:eastAsia="Times New Roman" w:hAnsi="Times New Roman" w:cs="Times New Roman"/>
      <w:sz w:val="20"/>
      <w:szCs w:val="20"/>
      <w:lang w:val="en-US"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B907B4"/>
    <w:rPr>
      <w:rFonts w:ascii="Times New Roman" w:hAnsi="Times New Roman"/>
      <w:color w:val="auto"/>
      <w:sz w:val="20"/>
      <w:szCs w:val="18"/>
      <w:vertAlign w:val="superscript"/>
      <w:lang w:val="en-US"/>
    </w:rPr>
  </w:style>
  <w:style w:type="paragraph" w:styleId="FootnoteText">
    <w:name w:val="footnote text"/>
    <w:basedOn w:val="Normal"/>
    <w:link w:val="FootnoteTextChar"/>
    <w:rsid w:val="00B907B4"/>
    <w:pPr>
      <w:tabs>
        <w:tab w:val="left" w:pos="4082"/>
      </w:tabs>
      <w:spacing w:before="20" w:after="40"/>
      <w:ind w:left="1247"/>
    </w:pPr>
    <w:rPr>
      <w:sz w:val="18"/>
      <w:lang w:val="en-US"/>
    </w:rPr>
  </w:style>
  <w:style w:type="character" w:customStyle="1" w:styleId="FootnoteTextChar">
    <w:name w:val="Footnote Text Char"/>
    <w:basedOn w:val="DefaultParagraphFont"/>
    <w:link w:val="FootnoteText"/>
    <w:rsid w:val="00B907B4"/>
    <w:rPr>
      <w:rFonts w:ascii="Times New Roman" w:eastAsia="Times New Roman" w:hAnsi="Times New Roman" w:cs="Times New Roman"/>
      <w:sz w:val="18"/>
      <w:szCs w:val="20"/>
      <w:lang w:eastAsia="en-US"/>
    </w:rPr>
  </w:style>
  <w:style w:type="table" w:customStyle="1" w:styleId="AATable">
    <w:name w:val="AA_Table"/>
    <w:basedOn w:val="TableNormal"/>
    <w:semiHidden/>
    <w:rsid w:val="00B907B4"/>
    <w:pPr>
      <w:spacing w:after="0" w:line="240" w:lineRule="auto"/>
    </w:pPr>
    <w:rPr>
      <w:rFonts w:ascii="Times New Roman" w:eastAsia="SimSu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B907B4"/>
    <w:pPr>
      <w:keepNext/>
      <w:keepLines/>
      <w:suppressAutoHyphens/>
    </w:pPr>
    <w:rPr>
      <w:b/>
    </w:rPr>
  </w:style>
  <w:style w:type="paragraph" w:customStyle="1" w:styleId="AATitle2">
    <w:name w:val="AA_Title2"/>
    <w:basedOn w:val="AATitle"/>
    <w:qFormat/>
    <w:rsid w:val="00B907B4"/>
    <w:pPr>
      <w:keepNext w:val="0"/>
      <w:keepLines w:val="0"/>
      <w:spacing w:before="120" w:after="120"/>
    </w:pPr>
  </w:style>
  <w:style w:type="paragraph" w:customStyle="1" w:styleId="BBTitle">
    <w:name w:val="BB_Title"/>
    <w:basedOn w:val="Normal-pool"/>
    <w:qFormat/>
    <w:rsid w:val="00B907B4"/>
    <w:pPr>
      <w:keepNext/>
      <w:keepLines/>
      <w:suppressAutoHyphens/>
      <w:spacing w:before="320" w:after="240"/>
      <w:ind w:left="1247" w:right="567"/>
    </w:pPr>
    <w:rPr>
      <w:b/>
      <w:sz w:val="28"/>
      <w:szCs w:val="28"/>
    </w:rPr>
  </w:style>
  <w:style w:type="paragraph" w:styleId="Footer">
    <w:name w:val="footer"/>
    <w:basedOn w:val="Normal"/>
    <w:link w:val="FooterChar"/>
    <w:semiHidden/>
    <w:rsid w:val="00B907B4"/>
    <w:pPr>
      <w:tabs>
        <w:tab w:val="center" w:pos="4320"/>
        <w:tab w:val="right" w:pos="8640"/>
      </w:tabs>
      <w:spacing w:before="60" w:after="120"/>
    </w:pPr>
    <w:rPr>
      <w:sz w:val="18"/>
      <w:lang w:val="en-US"/>
    </w:rPr>
  </w:style>
  <w:style w:type="character" w:customStyle="1" w:styleId="FooterChar">
    <w:name w:val="Footer Char"/>
    <w:basedOn w:val="DefaultParagraphFont"/>
    <w:link w:val="Footer"/>
    <w:semiHidden/>
    <w:rsid w:val="00B907B4"/>
    <w:rPr>
      <w:rFonts w:ascii="Times New Roman" w:eastAsia="Times New Roman" w:hAnsi="Times New Roman" w:cs="Times New Roman"/>
      <w:sz w:val="18"/>
      <w:szCs w:val="20"/>
      <w:lang w:eastAsia="en-US"/>
    </w:rPr>
  </w:style>
  <w:style w:type="paragraph" w:styleId="Header">
    <w:name w:val="header"/>
    <w:basedOn w:val="Normal"/>
    <w:link w:val="HeaderChar"/>
    <w:semiHidden/>
    <w:rsid w:val="00B907B4"/>
    <w:pPr>
      <w:tabs>
        <w:tab w:val="center" w:pos="4536"/>
        <w:tab w:val="right" w:pos="9072"/>
      </w:tabs>
    </w:pPr>
    <w:rPr>
      <w:b/>
      <w:sz w:val="18"/>
      <w:lang w:val="en-US"/>
    </w:rPr>
  </w:style>
  <w:style w:type="character" w:customStyle="1" w:styleId="HeaderChar">
    <w:name w:val="Header Char"/>
    <w:basedOn w:val="DefaultParagraphFont"/>
    <w:link w:val="Header"/>
    <w:semiHidden/>
    <w:rsid w:val="00B907B4"/>
    <w:rPr>
      <w:rFonts w:ascii="Times New Roman" w:eastAsia="Times New Roman" w:hAnsi="Times New Roman" w:cs="Times New Roman"/>
      <w:b/>
      <w:sz w:val="18"/>
      <w:szCs w:val="20"/>
      <w:lang w:eastAsia="en-US"/>
    </w:rPr>
  </w:style>
  <w:style w:type="character" w:styleId="Hyperlink">
    <w:name w:val="Hyperlink"/>
    <w:uiPriority w:val="99"/>
    <w:unhideWhenUsed/>
    <w:rsid w:val="00B907B4"/>
    <w:rPr>
      <w:rFonts w:ascii="Times New Roman" w:hAnsi="Times New Roman"/>
      <w:color w:val="0000FF"/>
      <w:sz w:val="20"/>
      <w:szCs w:val="20"/>
      <w:u w:val="none"/>
      <w:lang w:val="en-US"/>
    </w:rPr>
  </w:style>
  <w:style w:type="numbering" w:customStyle="1" w:styleId="Normallist">
    <w:name w:val="Normal_list"/>
    <w:basedOn w:val="NoList"/>
    <w:rsid w:val="00B907B4"/>
    <w:pPr>
      <w:numPr>
        <w:numId w:val="1"/>
      </w:numPr>
    </w:pPr>
  </w:style>
  <w:style w:type="paragraph" w:customStyle="1" w:styleId="NormalNonumber">
    <w:name w:val="Normal_No_number"/>
    <w:basedOn w:val="Normal-pool"/>
    <w:qFormat/>
    <w:rsid w:val="00B907B4"/>
    <w:pPr>
      <w:spacing w:after="120"/>
      <w:ind w:left="1247"/>
    </w:pPr>
  </w:style>
  <w:style w:type="paragraph" w:customStyle="1" w:styleId="Normalnumber">
    <w:name w:val="Normal_number"/>
    <w:basedOn w:val="Normal"/>
    <w:link w:val="NormalnumberChar"/>
    <w:rsid w:val="00B907B4"/>
    <w:pPr>
      <w:numPr>
        <w:numId w:val="1"/>
      </w:numPr>
      <w:spacing w:after="120"/>
    </w:pPr>
  </w:style>
  <w:style w:type="paragraph" w:customStyle="1" w:styleId="Titletable">
    <w:name w:val="Title_table"/>
    <w:basedOn w:val="Normal-pool"/>
    <w:next w:val="NormalNonumber"/>
    <w:rsid w:val="00B907B4"/>
    <w:pPr>
      <w:keepNext/>
      <w:keepLines/>
      <w:suppressAutoHyphens/>
      <w:spacing w:after="60"/>
      <w:ind w:left="1247"/>
    </w:pPr>
    <w:rPr>
      <w:b/>
      <w:bCs/>
    </w:rPr>
  </w:style>
  <w:style w:type="paragraph" w:styleId="TOC1">
    <w:name w:val="toc 1"/>
    <w:basedOn w:val="Normal-pool"/>
    <w:next w:val="Normal-pool"/>
    <w:uiPriority w:val="39"/>
    <w:unhideWhenUsed/>
    <w:rsid w:val="00B907B4"/>
    <w:pPr>
      <w:tabs>
        <w:tab w:val="right" w:leader="dot" w:pos="9486"/>
      </w:tabs>
      <w:spacing w:before="240"/>
      <w:ind w:left="1814" w:hanging="567"/>
    </w:pPr>
    <w:rPr>
      <w:bCs/>
    </w:rPr>
  </w:style>
  <w:style w:type="paragraph" w:styleId="TOC2">
    <w:name w:val="toc 2"/>
    <w:basedOn w:val="Normal-pool"/>
    <w:next w:val="Normal-pool"/>
    <w:uiPriority w:val="39"/>
    <w:unhideWhenUsed/>
    <w:rsid w:val="00B907B4"/>
    <w:pPr>
      <w:tabs>
        <w:tab w:val="right" w:leader="dot" w:pos="9486"/>
      </w:tabs>
      <w:ind w:left="2381" w:hanging="567"/>
    </w:pPr>
  </w:style>
  <w:style w:type="paragraph" w:styleId="TOC3">
    <w:name w:val="toc 3"/>
    <w:basedOn w:val="Normal-pool"/>
    <w:next w:val="Normal-pool"/>
    <w:unhideWhenUsed/>
    <w:rsid w:val="00B907B4"/>
    <w:pPr>
      <w:tabs>
        <w:tab w:val="right" w:leader="dot" w:pos="9486"/>
      </w:tabs>
      <w:ind w:left="2948" w:hanging="567"/>
    </w:pPr>
    <w:rPr>
      <w:iCs/>
    </w:rPr>
  </w:style>
  <w:style w:type="paragraph" w:styleId="TOC4">
    <w:name w:val="toc 4"/>
    <w:basedOn w:val="Normal-pool"/>
    <w:next w:val="Normal-pool"/>
    <w:unhideWhenUsed/>
    <w:rsid w:val="00B907B4"/>
    <w:pPr>
      <w:tabs>
        <w:tab w:val="left" w:pos="1000"/>
        <w:tab w:val="right" w:leader="dot" w:pos="9486"/>
      </w:tabs>
      <w:ind w:left="3515" w:hanging="567"/>
    </w:pPr>
    <w:rPr>
      <w:szCs w:val="18"/>
    </w:rPr>
  </w:style>
  <w:style w:type="paragraph" w:styleId="TOC5">
    <w:name w:val="toc 5"/>
    <w:basedOn w:val="Normal-pool"/>
    <w:next w:val="Normal-pool"/>
    <w:rsid w:val="00B907B4"/>
    <w:pPr>
      <w:ind w:left="800"/>
    </w:pPr>
    <w:rPr>
      <w:sz w:val="18"/>
      <w:szCs w:val="18"/>
    </w:rPr>
  </w:style>
  <w:style w:type="paragraph" w:customStyle="1" w:styleId="ZZAnxheader">
    <w:name w:val="ZZ_Anx_header"/>
    <w:basedOn w:val="Normal-pool"/>
    <w:rsid w:val="00B907B4"/>
    <w:rPr>
      <w:b/>
      <w:bCs/>
      <w:sz w:val="28"/>
      <w:szCs w:val="22"/>
    </w:rPr>
  </w:style>
  <w:style w:type="paragraph" w:customStyle="1" w:styleId="ZZAnxtitle">
    <w:name w:val="ZZ_Anx_title"/>
    <w:basedOn w:val="Normal-pool"/>
    <w:rsid w:val="00B907B4"/>
    <w:pPr>
      <w:spacing w:before="360" w:after="120"/>
      <w:ind w:left="1247"/>
    </w:pPr>
    <w:rPr>
      <w:b/>
      <w:bCs/>
      <w:sz w:val="28"/>
      <w:szCs w:val="26"/>
    </w:rPr>
  </w:style>
  <w:style w:type="paragraph" w:styleId="NormalWeb">
    <w:name w:val="Normal (Web)"/>
    <w:basedOn w:val="Normal"/>
    <w:uiPriority w:val="99"/>
    <w:semiHidden/>
    <w:unhideWhenUsed/>
    <w:rsid w:val="00B907B4"/>
    <w:pPr>
      <w:spacing w:before="100" w:beforeAutospacing="1" w:after="100" w:afterAutospacing="1"/>
    </w:pPr>
    <w:rPr>
      <w:rFonts w:eastAsiaTheme="minorEastAsia"/>
      <w:sz w:val="24"/>
      <w:szCs w:val="24"/>
    </w:rPr>
  </w:style>
  <w:style w:type="paragraph" w:customStyle="1" w:styleId="Normal-pool-Table">
    <w:name w:val="Normal-pool-Table"/>
    <w:basedOn w:val="Normal-pool"/>
    <w:rsid w:val="00B907B4"/>
    <w:pPr>
      <w:spacing w:before="40" w:after="40"/>
    </w:pPr>
    <w:rPr>
      <w:sz w:val="18"/>
    </w:rPr>
  </w:style>
  <w:style w:type="paragraph" w:customStyle="1" w:styleId="Footnote-Text">
    <w:name w:val="Footnote-Text"/>
    <w:basedOn w:val="Normal-pool"/>
    <w:rsid w:val="00B907B4"/>
    <w:pPr>
      <w:spacing w:before="20" w:after="40"/>
      <w:ind w:left="1247"/>
    </w:pPr>
    <w:rPr>
      <w:sz w:val="18"/>
    </w:rPr>
  </w:style>
  <w:style w:type="character" w:customStyle="1" w:styleId="Normal-poolChar">
    <w:name w:val="Normal-pool Char"/>
    <w:link w:val="Normal-pool"/>
    <w:locked/>
    <w:rsid w:val="00B907B4"/>
    <w:rPr>
      <w:rFonts w:ascii="Times New Roman" w:eastAsia="Times New Roman" w:hAnsi="Times New Roman" w:cs="Times New Roman"/>
      <w:sz w:val="20"/>
      <w:szCs w:val="20"/>
      <w:lang w:val="en-US" w:eastAsia="en-US"/>
    </w:rPr>
  </w:style>
  <w:style w:type="paragraph" w:customStyle="1" w:styleId="AConvName">
    <w:name w:val="A_ConvName"/>
    <w:basedOn w:val="Normal-pool"/>
    <w:next w:val="Normal-pool"/>
    <w:rsid w:val="00B907B4"/>
    <w:pPr>
      <w:spacing w:before="120" w:after="240"/>
    </w:pPr>
    <w:rPr>
      <w:rFonts w:ascii="Arial" w:hAnsi="Arial"/>
      <w:b/>
      <w:sz w:val="28"/>
    </w:rPr>
  </w:style>
  <w:style w:type="paragraph" w:customStyle="1" w:styleId="ASymbol">
    <w:name w:val="A_Symbol"/>
    <w:basedOn w:val="Normal-pool"/>
    <w:rsid w:val="00B907B4"/>
    <w:pPr>
      <w:tabs>
        <w:tab w:val="clear" w:pos="624"/>
        <w:tab w:val="clear" w:pos="1247"/>
        <w:tab w:val="right" w:pos="2920"/>
      </w:tabs>
    </w:pPr>
    <w:rPr>
      <w:rFonts w:eastAsia="SimSun"/>
      <w:lang w:val="en-GB"/>
    </w:rPr>
  </w:style>
  <w:style w:type="paragraph" w:customStyle="1" w:styleId="AText">
    <w:name w:val="A_Text"/>
    <w:basedOn w:val="Normal-pool"/>
    <w:rsid w:val="00B907B4"/>
    <w:pPr>
      <w:spacing w:before="120"/>
    </w:pPr>
  </w:style>
  <w:style w:type="paragraph" w:customStyle="1" w:styleId="ATwoLetters">
    <w:name w:val="A_TwoLetters"/>
    <w:basedOn w:val="Normal-pool"/>
    <w:next w:val="Normal-pool"/>
    <w:rsid w:val="00B907B4"/>
    <w:pPr>
      <w:tabs>
        <w:tab w:val="clear" w:pos="1247"/>
      </w:tabs>
      <w:jc w:val="right"/>
    </w:pPr>
    <w:rPr>
      <w:rFonts w:ascii="Arial" w:hAnsi="Arial" w:cs="Arial"/>
      <w:b/>
      <w:caps/>
      <w:sz w:val="64"/>
      <w:szCs w:val="64"/>
    </w:rPr>
  </w:style>
  <w:style w:type="paragraph" w:customStyle="1" w:styleId="AUnitedNations">
    <w:name w:val="A_United_Nations"/>
    <w:basedOn w:val="Normal-pool"/>
    <w:next w:val="Normal-pool"/>
    <w:rsid w:val="00B907B4"/>
    <w:pPr>
      <w:tabs>
        <w:tab w:val="clear" w:pos="1247"/>
      </w:tabs>
      <w:spacing w:before="20" w:after="20"/>
    </w:pPr>
    <w:rPr>
      <w:rFonts w:ascii="Arial" w:hAnsi="Arial" w:cs="Times New Roman Bold"/>
      <w:b/>
      <w:caps/>
      <w:color w:val="000000" w:themeColor="text1"/>
      <w:sz w:val="27"/>
    </w:rPr>
  </w:style>
  <w:style w:type="paragraph" w:styleId="BalloonText">
    <w:name w:val="Balloon Text"/>
    <w:basedOn w:val="Normal"/>
    <w:link w:val="BalloonTextChar"/>
    <w:unhideWhenUsed/>
    <w:rsid w:val="00B907B4"/>
    <w:rPr>
      <w:rFonts w:ascii="Tahoma" w:hAnsi="Tahoma" w:cs="Tahoma"/>
      <w:sz w:val="16"/>
      <w:szCs w:val="16"/>
      <w:lang w:val="en-US"/>
    </w:rPr>
  </w:style>
  <w:style w:type="character" w:customStyle="1" w:styleId="BalloonTextChar">
    <w:name w:val="Balloon Text Char"/>
    <w:basedOn w:val="DefaultParagraphFont"/>
    <w:link w:val="BalloonText"/>
    <w:rsid w:val="00B907B4"/>
    <w:rPr>
      <w:rFonts w:ascii="Tahoma" w:eastAsia="Times New Roman" w:hAnsi="Tahoma" w:cs="Tahoma"/>
      <w:sz w:val="16"/>
      <w:szCs w:val="16"/>
      <w:lang w:val="en-US" w:eastAsia="en-US"/>
    </w:rPr>
  </w:style>
  <w:style w:type="character" w:styleId="CommentReference">
    <w:name w:val="annotation reference"/>
    <w:basedOn w:val="DefaultParagraphFont"/>
    <w:unhideWhenUsed/>
    <w:rsid w:val="00B907B4"/>
    <w:rPr>
      <w:sz w:val="16"/>
      <w:szCs w:val="16"/>
      <w:lang w:val="en-US"/>
    </w:rPr>
  </w:style>
  <w:style w:type="paragraph" w:styleId="CommentText">
    <w:name w:val="annotation text"/>
    <w:basedOn w:val="Normal"/>
    <w:link w:val="CommentTextChar"/>
    <w:unhideWhenUsed/>
    <w:rsid w:val="00B907B4"/>
    <w:rPr>
      <w:lang w:val="en-US"/>
    </w:rPr>
  </w:style>
  <w:style w:type="character" w:customStyle="1" w:styleId="CommentTextChar">
    <w:name w:val="Comment Text Char"/>
    <w:basedOn w:val="DefaultParagraphFont"/>
    <w:link w:val="CommentText"/>
    <w:rsid w:val="00B907B4"/>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unhideWhenUsed/>
    <w:rsid w:val="00B907B4"/>
    <w:rPr>
      <w:b/>
      <w:bCs/>
    </w:rPr>
  </w:style>
  <w:style w:type="character" w:customStyle="1" w:styleId="CommentSubjectChar">
    <w:name w:val="Comment Subject Char"/>
    <w:basedOn w:val="CommentTextChar"/>
    <w:link w:val="CommentSubject"/>
    <w:semiHidden/>
    <w:rsid w:val="00B907B4"/>
    <w:rPr>
      <w:rFonts w:ascii="Times New Roman" w:eastAsia="Times New Roman" w:hAnsi="Times New Roman" w:cs="Times New Roman"/>
      <w:b/>
      <w:bCs/>
      <w:sz w:val="20"/>
      <w:szCs w:val="20"/>
      <w:lang w:val="en-US" w:eastAsia="en-US"/>
    </w:rPr>
  </w:style>
  <w:style w:type="character" w:styleId="FollowedHyperlink">
    <w:name w:val="FollowedHyperlink"/>
    <w:uiPriority w:val="99"/>
    <w:semiHidden/>
    <w:rsid w:val="00B907B4"/>
    <w:rPr>
      <w:color w:val="0000FF"/>
      <w:u w:val="none"/>
      <w:lang w:val="en-US"/>
    </w:rPr>
  </w:style>
  <w:style w:type="character" w:customStyle="1" w:styleId="Heading1Char">
    <w:name w:val="Heading 1 Char"/>
    <w:basedOn w:val="DefaultParagraphFont"/>
    <w:link w:val="Heading1"/>
    <w:rsid w:val="00B907B4"/>
    <w:rPr>
      <w:rFonts w:ascii="Times New Roman" w:eastAsia="Times New Roman" w:hAnsi="Times New Roman" w:cs="Times New Roman"/>
      <w:b/>
      <w:sz w:val="28"/>
      <w:szCs w:val="20"/>
      <w:lang w:val="en-US" w:eastAsia="en-US"/>
    </w:rPr>
  </w:style>
  <w:style w:type="character" w:customStyle="1" w:styleId="Heading2Char">
    <w:name w:val="Heading 2 Char"/>
    <w:basedOn w:val="DefaultParagraphFont"/>
    <w:link w:val="Heading2"/>
    <w:rsid w:val="00B907B4"/>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907B4"/>
    <w:rPr>
      <w:rFonts w:ascii="Times New Roman" w:eastAsia="Times New Roman" w:hAnsi="Times New Roman" w:cs="Times New Roman"/>
      <w:b/>
      <w:sz w:val="20"/>
      <w:szCs w:val="20"/>
      <w:lang w:val="en-US" w:eastAsia="en-US"/>
    </w:rPr>
  </w:style>
  <w:style w:type="character" w:customStyle="1" w:styleId="Heading4Char">
    <w:name w:val="Heading 4 Char"/>
    <w:basedOn w:val="DefaultParagraphFont"/>
    <w:link w:val="Heading4"/>
    <w:rsid w:val="00B907B4"/>
    <w:rPr>
      <w:rFonts w:ascii="Times New Roman" w:eastAsia="Times New Roman" w:hAnsi="Times New Roman" w:cs="Times New Roman"/>
      <w:b/>
      <w:sz w:val="20"/>
      <w:szCs w:val="20"/>
      <w:lang w:val="en-US" w:eastAsia="en-US"/>
    </w:rPr>
  </w:style>
  <w:style w:type="character" w:customStyle="1" w:styleId="Heading5Char">
    <w:name w:val="Heading 5 Char"/>
    <w:basedOn w:val="DefaultParagraphFont"/>
    <w:link w:val="Heading5"/>
    <w:rsid w:val="00B907B4"/>
    <w:rPr>
      <w:rFonts w:ascii="Univers" w:eastAsia="Times New Roman" w:hAnsi="Univers" w:cs="Times New Roman"/>
      <w:b/>
      <w:sz w:val="24"/>
      <w:szCs w:val="20"/>
      <w:lang w:val="en-US" w:eastAsia="en-US"/>
    </w:rPr>
  </w:style>
  <w:style w:type="character" w:customStyle="1" w:styleId="Heading6Char">
    <w:name w:val="Heading 6 Char"/>
    <w:basedOn w:val="DefaultParagraphFont"/>
    <w:link w:val="Heading6"/>
    <w:rsid w:val="00B907B4"/>
    <w:rPr>
      <w:rFonts w:ascii="Times New Roman" w:eastAsia="Times New Roman" w:hAnsi="Times New Roman" w:cs="Times New Roman"/>
      <w:b/>
      <w:bCs/>
      <w:sz w:val="24"/>
      <w:szCs w:val="20"/>
      <w:lang w:val="en-US" w:eastAsia="en-US"/>
    </w:rPr>
  </w:style>
  <w:style w:type="character" w:customStyle="1" w:styleId="Heading7Char">
    <w:name w:val="Heading 7 Char"/>
    <w:basedOn w:val="DefaultParagraphFont"/>
    <w:link w:val="Heading7"/>
    <w:rsid w:val="00B907B4"/>
    <w:rPr>
      <w:rFonts w:ascii="Times New Roman" w:eastAsia="Times New Roman" w:hAnsi="Times New Roman" w:cs="Times New Roman"/>
      <w:snapToGrid w:val="0"/>
      <w:sz w:val="20"/>
      <w:szCs w:val="20"/>
      <w:u w:val="single"/>
      <w:lang w:val="en-US" w:eastAsia="en-US"/>
    </w:rPr>
  </w:style>
  <w:style w:type="character" w:customStyle="1" w:styleId="Heading8Char">
    <w:name w:val="Heading 8 Char"/>
    <w:basedOn w:val="DefaultParagraphFont"/>
    <w:link w:val="Heading8"/>
    <w:rsid w:val="00B907B4"/>
    <w:rPr>
      <w:rFonts w:ascii="Times New Roman" w:eastAsia="Times New Roman" w:hAnsi="Times New Roman" w:cs="Times New Roman"/>
      <w:snapToGrid w:val="0"/>
      <w:sz w:val="20"/>
      <w:szCs w:val="20"/>
      <w:u w:val="single"/>
      <w:lang w:val="en-US" w:eastAsia="en-US"/>
    </w:rPr>
  </w:style>
  <w:style w:type="character" w:customStyle="1" w:styleId="Heading9Char">
    <w:name w:val="Heading 9 Char"/>
    <w:basedOn w:val="DefaultParagraphFont"/>
    <w:link w:val="Heading9"/>
    <w:rsid w:val="00B907B4"/>
    <w:rPr>
      <w:rFonts w:ascii="Times New Roman" w:eastAsia="Times New Roman" w:hAnsi="Times New Roman" w:cs="Times New Roman"/>
      <w:snapToGrid w:val="0"/>
      <w:sz w:val="20"/>
      <w:szCs w:val="20"/>
      <w:u w:val="single"/>
      <w:lang w:val="en-US" w:eastAsia="en-US"/>
    </w:rPr>
  </w:style>
  <w:style w:type="paragraph" w:styleId="ListParagraph">
    <w:name w:val="List Paragraph"/>
    <w:basedOn w:val="Normal"/>
    <w:uiPriority w:val="34"/>
    <w:qFormat/>
    <w:rsid w:val="00B907B4"/>
    <w:pPr>
      <w:ind w:left="720"/>
      <w:contextualSpacing/>
    </w:pPr>
    <w:rPr>
      <w:lang w:val="en-US"/>
    </w:rPr>
  </w:style>
  <w:style w:type="paragraph" w:styleId="NoSpacing">
    <w:name w:val="No Spacing"/>
    <w:uiPriority w:val="1"/>
    <w:qFormat/>
    <w:rsid w:val="00B907B4"/>
    <w:pPr>
      <w:spacing w:after="0" w:line="240" w:lineRule="auto"/>
    </w:pPr>
    <w:rPr>
      <w:rFonts w:eastAsiaTheme="minorHAnsi"/>
      <w:lang w:val="en-US" w:eastAsia="en-US"/>
    </w:rPr>
  </w:style>
  <w:style w:type="character" w:customStyle="1" w:styleId="NormalnumberChar">
    <w:name w:val="Normal_number Char"/>
    <w:link w:val="Normalnumber"/>
    <w:rsid w:val="00B907B4"/>
    <w:rPr>
      <w:rFonts w:ascii="Times New Roman" w:eastAsia="Times New Roman" w:hAnsi="Times New Roman" w:cs="Times New Roman"/>
      <w:sz w:val="20"/>
      <w:szCs w:val="20"/>
      <w:lang w:val="en-GB" w:eastAsia="en-US"/>
    </w:rPr>
  </w:style>
  <w:style w:type="character" w:styleId="PlaceholderText">
    <w:name w:val="Placeholder Text"/>
    <w:basedOn w:val="DefaultParagraphFont"/>
    <w:uiPriority w:val="99"/>
    <w:semiHidden/>
    <w:rsid w:val="00B907B4"/>
    <w:rPr>
      <w:color w:val="808080"/>
    </w:rPr>
  </w:style>
  <w:style w:type="table" w:styleId="TableGrid">
    <w:name w:val="Table Grid"/>
    <w:basedOn w:val="TableNormal"/>
    <w:rsid w:val="00B907B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B907B4"/>
    <w:pPr>
      <w:spacing w:before="120" w:after="240"/>
    </w:pPr>
  </w:style>
  <w:style w:type="character" w:customStyle="1" w:styleId="ALogoChar">
    <w:name w:val="A_Logo Char"/>
    <w:basedOn w:val="Normal-poolChar"/>
    <w:link w:val="ALogo"/>
    <w:rsid w:val="00B907B4"/>
    <w:rPr>
      <w:rFonts w:ascii="Times New Roman" w:eastAsia="Times New Roman" w:hAnsi="Times New Roman" w:cs="Times New Roman"/>
      <w:sz w:val="20"/>
      <w:szCs w:val="20"/>
      <w:lang w:val="en-US" w:eastAsia="en-US"/>
    </w:rPr>
  </w:style>
  <w:style w:type="paragraph" w:customStyle="1" w:styleId="ASpacer">
    <w:name w:val="A_Spacer"/>
    <w:basedOn w:val="Normal-pool"/>
    <w:link w:val="ASpacerChar"/>
    <w:qFormat/>
    <w:rsid w:val="00B907B4"/>
    <w:rPr>
      <w:sz w:val="2"/>
    </w:rPr>
  </w:style>
  <w:style w:type="character" w:customStyle="1" w:styleId="ASpacerChar">
    <w:name w:val="A_Spacer Char"/>
    <w:basedOn w:val="Normal-poolChar"/>
    <w:link w:val="ASpacer"/>
    <w:rsid w:val="00B907B4"/>
    <w:rPr>
      <w:rFonts w:ascii="Times New Roman" w:eastAsia="Times New Roman" w:hAnsi="Times New Roman" w:cs="Times New Roman"/>
      <w:sz w:val="2"/>
      <w:szCs w:val="20"/>
      <w:lang w:val="en-US" w:eastAsia="en-US"/>
    </w:rPr>
  </w:style>
  <w:style w:type="paragraph" w:customStyle="1" w:styleId="AATitle1">
    <w:name w:val="AA_Title1"/>
    <w:basedOn w:val="Normal-pool"/>
    <w:qFormat/>
    <w:rsid w:val="00B907B4"/>
  </w:style>
  <w:style w:type="character" w:styleId="UnresolvedMention">
    <w:name w:val="Unresolved Mention"/>
    <w:basedOn w:val="DefaultParagraphFont"/>
    <w:uiPriority w:val="99"/>
    <w:semiHidden/>
    <w:rsid w:val="00B907B4"/>
    <w:rPr>
      <w:color w:val="605E5C"/>
      <w:shd w:val="clear" w:color="auto" w:fill="E1DFDD"/>
    </w:rPr>
  </w:style>
  <w:style w:type="paragraph" w:styleId="Bibliography">
    <w:name w:val="Bibliography"/>
    <w:basedOn w:val="Normal"/>
    <w:next w:val="Normal"/>
    <w:uiPriority w:val="37"/>
    <w:semiHidden/>
    <w:unhideWhenUsed/>
    <w:rsid w:val="007413F6"/>
    <w:rPr>
      <w:lang w:val="en-US"/>
    </w:rPr>
  </w:style>
  <w:style w:type="paragraph" w:styleId="BlockText">
    <w:name w:val="Block Text"/>
    <w:basedOn w:val="Normal"/>
    <w:semiHidden/>
    <w:unhideWhenUsed/>
    <w:rsid w:val="007413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lang w:val="en-US"/>
    </w:rPr>
  </w:style>
  <w:style w:type="paragraph" w:styleId="BodyText">
    <w:name w:val="Body Text"/>
    <w:basedOn w:val="Normal"/>
    <w:link w:val="BodyTextChar"/>
    <w:semiHidden/>
    <w:unhideWhenUsed/>
    <w:rsid w:val="007413F6"/>
    <w:pPr>
      <w:spacing w:after="120"/>
    </w:pPr>
    <w:rPr>
      <w:lang w:val="en-US"/>
    </w:rPr>
  </w:style>
  <w:style w:type="character" w:customStyle="1" w:styleId="BodyTextChar">
    <w:name w:val="Body Text Char"/>
    <w:basedOn w:val="DefaultParagraphFont"/>
    <w:link w:val="BodyText"/>
    <w:semiHidden/>
    <w:rsid w:val="007413F6"/>
    <w:rPr>
      <w:rFonts w:ascii="Times New Roman" w:eastAsia="Times New Roman" w:hAnsi="Times New Roman" w:cs="Times New Roman"/>
      <w:sz w:val="20"/>
      <w:szCs w:val="20"/>
      <w:lang w:val="en-US" w:eastAsia="en-US"/>
    </w:rPr>
  </w:style>
  <w:style w:type="paragraph" w:styleId="BodyText2">
    <w:name w:val="Body Text 2"/>
    <w:basedOn w:val="Normal"/>
    <w:link w:val="BodyText2Char"/>
    <w:semiHidden/>
    <w:unhideWhenUsed/>
    <w:rsid w:val="007413F6"/>
    <w:pPr>
      <w:spacing w:after="120" w:line="480" w:lineRule="auto"/>
    </w:pPr>
    <w:rPr>
      <w:lang w:val="en-US"/>
    </w:rPr>
  </w:style>
  <w:style w:type="character" w:customStyle="1" w:styleId="BodyText2Char">
    <w:name w:val="Body Text 2 Char"/>
    <w:basedOn w:val="DefaultParagraphFont"/>
    <w:link w:val="BodyText2"/>
    <w:semiHidden/>
    <w:rsid w:val="007413F6"/>
    <w:rPr>
      <w:rFonts w:ascii="Times New Roman" w:eastAsia="Times New Roman" w:hAnsi="Times New Roman" w:cs="Times New Roman"/>
      <w:sz w:val="20"/>
      <w:szCs w:val="20"/>
      <w:lang w:val="en-US" w:eastAsia="en-US"/>
    </w:rPr>
  </w:style>
  <w:style w:type="paragraph" w:styleId="BodyText3">
    <w:name w:val="Body Text 3"/>
    <w:basedOn w:val="Normal"/>
    <w:link w:val="BodyText3Char"/>
    <w:semiHidden/>
    <w:unhideWhenUsed/>
    <w:rsid w:val="007413F6"/>
    <w:pPr>
      <w:spacing w:after="120"/>
    </w:pPr>
    <w:rPr>
      <w:sz w:val="16"/>
      <w:szCs w:val="16"/>
      <w:lang w:val="en-US"/>
    </w:rPr>
  </w:style>
  <w:style w:type="character" w:customStyle="1" w:styleId="BodyText3Char">
    <w:name w:val="Body Text 3 Char"/>
    <w:basedOn w:val="DefaultParagraphFont"/>
    <w:link w:val="BodyText3"/>
    <w:semiHidden/>
    <w:rsid w:val="007413F6"/>
    <w:rPr>
      <w:rFonts w:ascii="Times New Roman" w:eastAsia="Times New Roman" w:hAnsi="Times New Roman" w:cs="Times New Roman"/>
      <w:sz w:val="16"/>
      <w:szCs w:val="16"/>
      <w:lang w:val="en-US" w:eastAsia="en-US"/>
    </w:rPr>
  </w:style>
  <w:style w:type="paragraph" w:styleId="BodyTextFirstIndent">
    <w:name w:val="Body Text First Indent"/>
    <w:basedOn w:val="BodyText"/>
    <w:link w:val="BodyTextFirstIndentChar"/>
    <w:semiHidden/>
    <w:unhideWhenUsed/>
    <w:rsid w:val="007413F6"/>
    <w:pPr>
      <w:spacing w:after="0"/>
      <w:ind w:firstLine="360"/>
    </w:pPr>
  </w:style>
  <w:style w:type="character" w:customStyle="1" w:styleId="BodyTextFirstIndentChar">
    <w:name w:val="Body Text First Indent Char"/>
    <w:basedOn w:val="BodyTextChar"/>
    <w:link w:val="BodyTextFirstIndent"/>
    <w:semiHidden/>
    <w:rsid w:val="007413F6"/>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semiHidden/>
    <w:unhideWhenUsed/>
    <w:rsid w:val="007413F6"/>
    <w:pPr>
      <w:spacing w:after="120"/>
      <w:ind w:left="283"/>
    </w:pPr>
    <w:rPr>
      <w:lang w:val="en-US"/>
    </w:rPr>
  </w:style>
  <w:style w:type="character" w:customStyle="1" w:styleId="BodyTextIndentChar">
    <w:name w:val="Body Text Indent Char"/>
    <w:basedOn w:val="DefaultParagraphFont"/>
    <w:link w:val="BodyTextIndent"/>
    <w:semiHidden/>
    <w:rsid w:val="007413F6"/>
    <w:rPr>
      <w:rFonts w:ascii="Times New Roman" w:eastAsia="Times New Roman" w:hAnsi="Times New Roman" w:cs="Times New Roman"/>
      <w:sz w:val="20"/>
      <w:szCs w:val="20"/>
      <w:lang w:val="en-US" w:eastAsia="en-US"/>
    </w:rPr>
  </w:style>
  <w:style w:type="paragraph" w:styleId="BodyTextFirstIndent2">
    <w:name w:val="Body Text First Indent 2"/>
    <w:basedOn w:val="BodyTextIndent"/>
    <w:link w:val="BodyTextFirstIndent2Char"/>
    <w:semiHidden/>
    <w:unhideWhenUsed/>
    <w:rsid w:val="007413F6"/>
    <w:pPr>
      <w:spacing w:after="0"/>
      <w:ind w:left="360" w:firstLine="360"/>
    </w:pPr>
  </w:style>
  <w:style w:type="character" w:customStyle="1" w:styleId="BodyTextFirstIndent2Char">
    <w:name w:val="Body Text First Indent 2 Char"/>
    <w:basedOn w:val="BodyTextIndentChar"/>
    <w:link w:val="BodyTextFirstIndent2"/>
    <w:semiHidden/>
    <w:rsid w:val="007413F6"/>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semiHidden/>
    <w:unhideWhenUsed/>
    <w:rsid w:val="007413F6"/>
    <w:pPr>
      <w:spacing w:after="120" w:line="480" w:lineRule="auto"/>
      <w:ind w:left="283"/>
    </w:pPr>
    <w:rPr>
      <w:lang w:val="en-US"/>
    </w:rPr>
  </w:style>
  <w:style w:type="character" w:customStyle="1" w:styleId="BodyTextIndent2Char">
    <w:name w:val="Body Text Indent 2 Char"/>
    <w:basedOn w:val="DefaultParagraphFont"/>
    <w:link w:val="BodyTextIndent2"/>
    <w:semiHidden/>
    <w:rsid w:val="007413F6"/>
    <w:rPr>
      <w:rFonts w:ascii="Times New Roman" w:eastAsia="Times New Roman" w:hAnsi="Times New Roman" w:cs="Times New Roman"/>
      <w:sz w:val="20"/>
      <w:szCs w:val="20"/>
      <w:lang w:val="en-US" w:eastAsia="en-US"/>
    </w:rPr>
  </w:style>
  <w:style w:type="paragraph" w:styleId="BodyTextIndent3">
    <w:name w:val="Body Text Indent 3"/>
    <w:basedOn w:val="Normal"/>
    <w:link w:val="BodyTextIndent3Char"/>
    <w:semiHidden/>
    <w:unhideWhenUsed/>
    <w:rsid w:val="007413F6"/>
    <w:pPr>
      <w:spacing w:after="120"/>
      <w:ind w:left="283"/>
    </w:pPr>
    <w:rPr>
      <w:sz w:val="16"/>
      <w:szCs w:val="16"/>
      <w:lang w:val="en-US"/>
    </w:rPr>
  </w:style>
  <w:style w:type="character" w:customStyle="1" w:styleId="BodyTextIndent3Char">
    <w:name w:val="Body Text Indent 3 Char"/>
    <w:basedOn w:val="DefaultParagraphFont"/>
    <w:link w:val="BodyTextIndent3"/>
    <w:semiHidden/>
    <w:rsid w:val="007413F6"/>
    <w:rPr>
      <w:rFonts w:ascii="Times New Roman" w:eastAsia="Times New Roman" w:hAnsi="Times New Roman" w:cs="Times New Roman"/>
      <w:sz w:val="16"/>
      <w:szCs w:val="16"/>
      <w:lang w:val="en-US" w:eastAsia="en-US"/>
    </w:rPr>
  </w:style>
  <w:style w:type="character" w:styleId="BookTitle">
    <w:name w:val="Book Title"/>
    <w:basedOn w:val="DefaultParagraphFont"/>
    <w:uiPriority w:val="33"/>
    <w:qFormat/>
    <w:rsid w:val="007413F6"/>
    <w:rPr>
      <w:b/>
      <w:bCs/>
      <w:i/>
      <w:iCs/>
      <w:spacing w:val="5"/>
      <w:lang w:val="en-US"/>
    </w:rPr>
  </w:style>
  <w:style w:type="paragraph" w:styleId="Caption">
    <w:name w:val="caption"/>
    <w:basedOn w:val="Normal"/>
    <w:next w:val="Normal"/>
    <w:semiHidden/>
    <w:unhideWhenUsed/>
    <w:qFormat/>
    <w:rsid w:val="007413F6"/>
    <w:pPr>
      <w:spacing w:after="200"/>
    </w:pPr>
    <w:rPr>
      <w:i/>
      <w:iCs/>
      <w:color w:val="1F497D" w:themeColor="text2"/>
      <w:sz w:val="18"/>
      <w:szCs w:val="18"/>
      <w:lang w:val="en-US"/>
    </w:rPr>
  </w:style>
  <w:style w:type="paragraph" w:styleId="Closing">
    <w:name w:val="Closing"/>
    <w:basedOn w:val="Normal"/>
    <w:link w:val="ClosingChar"/>
    <w:semiHidden/>
    <w:unhideWhenUsed/>
    <w:rsid w:val="007413F6"/>
    <w:pPr>
      <w:ind w:left="4252"/>
    </w:pPr>
    <w:rPr>
      <w:lang w:val="en-US"/>
    </w:rPr>
  </w:style>
  <w:style w:type="character" w:customStyle="1" w:styleId="ClosingChar">
    <w:name w:val="Closing Char"/>
    <w:basedOn w:val="DefaultParagraphFont"/>
    <w:link w:val="Closing"/>
    <w:semiHidden/>
    <w:rsid w:val="007413F6"/>
    <w:rPr>
      <w:rFonts w:ascii="Times New Roman" w:eastAsia="Times New Roman" w:hAnsi="Times New Roman" w:cs="Times New Roman"/>
      <w:sz w:val="20"/>
      <w:szCs w:val="20"/>
      <w:lang w:val="en-US" w:eastAsia="en-US"/>
    </w:rPr>
  </w:style>
  <w:style w:type="table" w:styleId="ColorfulGrid">
    <w:name w:val="Colorful Grid"/>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413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413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413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413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7413F6"/>
    <w:rPr>
      <w:lang w:val="en-US"/>
    </w:rPr>
  </w:style>
  <w:style w:type="character" w:customStyle="1" w:styleId="DateChar">
    <w:name w:val="Date Char"/>
    <w:basedOn w:val="DefaultParagraphFont"/>
    <w:link w:val="Date"/>
    <w:semiHidden/>
    <w:rsid w:val="007413F6"/>
    <w:rPr>
      <w:rFonts w:ascii="Times New Roman" w:eastAsia="Times New Roman" w:hAnsi="Times New Roman" w:cs="Times New Roman"/>
      <w:sz w:val="20"/>
      <w:szCs w:val="20"/>
      <w:lang w:val="en-US" w:eastAsia="en-US"/>
    </w:rPr>
  </w:style>
  <w:style w:type="paragraph" w:styleId="DocumentMap">
    <w:name w:val="Document Map"/>
    <w:basedOn w:val="Normal"/>
    <w:link w:val="DocumentMapChar"/>
    <w:semiHidden/>
    <w:unhideWhenUsed/>
    <w:rsid w:val="007413F6"/>
    <w:rPr>
      <w:rFonts w:ascii="Segoe UI" w:hAnsi="Segoe UI" w:cs="Segoe UI"/>
      <w:sz w:val="16"/>
      <w:szCs w:val="16"/>
      <w:lang w:val="en-US"/>
    </w:rPr>
  </w:style>
  <w:style w:type="character" w:customStyle="1" w:styleId="DocumentMapChar">
    <w:name w:val="Document Map Char"/>
    <w:basedOn w:val="DefaultParagraphFont"/>
    <w:link w:val="DocumentMap"/>
    <w:semiHidden/>
    <w:rsid w:val="007413F6"/>
    <w:rPr>
      <w:rFonts w:ascii="Segoe UI" w:eastAsia="Times New Roman" w:hAnsi="Segoe UI" w:cs="Segoe UI"/>
      <w:sz w:val="16"/>
      <w:szCs w:val="16"/>
      <w:lang w:eastAsia="en-US"/>
    </w:rPr>
  </w:style>
  <w:style w:type="paragraph" w:styleId="E-mailSignature">
    <w:name w:val="E-mail Signature"/>
    <w:basedOn w:val="Normal"/>
    <w:link w:val="E-mailSignatureChar"/>
    <w:semiHidden/>
    <w:unhideWhenUsed/>
    <w:rsid w:val="007413F6"/>
    <w:rPr>
      <w:lang w:val="en-US"/>
    </w:rPr>
  </w:style>
  <w:style w:type="character" w:customStyle="1" w:styleId="E-mailSignatureChar">
    <w:name w:val="E-mail Signature Char"/>
    <w:basedOn w:val="DefaultParagraphFont"/>
    <w:link w:val="E-mailSignature"/>
    <w:semiHidden/>
    <w:rsid w:val="007413F6"/>
    <w:rPr>
      <w:rFonts w:ascii="Times New Roman" w:eastAsia="Times New Roman" w:hAnsi="Times New Roman" w:cs="Times New Roman"/>
      <w:sz w:val="20"/>
      <w:szCs w:val="20"/>
      <w:lang w:eastAsia="en-US"/>
    </w:rPr>
  </w:style>
  <w:style w:type="character" w:styleId="Emphasis">
    <w:name w:val="Emphasis"/>
    <w:basedOn w:val="DefaultParagraphFont"/>
    <w:qFormat/>
    <w:rsid w:val="007413F6"/>
    <w:rPr>
      <w:i/>
      <w:iCs/>
    </w:rPr>
  </w:style>
  <w:style w:type="character" w:styleId="EndnoteReference">
    <w:name w:val="endnote reference"/>
    <w:basedOn w:val="DefaultParagraphFont"/>
    <w:semiHidden/>
    <w:unhideWhenUsed/>
    <w:rsid w:val="007413F6"/>
    <w:rPr>
      <w:vertAlign w:val="superscript"/>
    </w:rPr>
  </w:style>
  <w:style w:type="paragraph" w:styleId="EndnoteText">
    <w:name w:val="endnote text"/>
    <w:basedOn w:val="Normal"/>
    <w:link w:val="EndnoteTextChar"/>
    <w:semiHidden/>
    <w:unhideWhenUsed/>
    <w:rsid w:val="007413F6"/>
    <w:rPr>
      <w:lang w:val="en-US"/>
    </w:rPr>
  </w:style>
  <w:style w:type="character" w:customStyle="1" w:styleId="EndnoteTextChar">
    <w:name w:val="Endnote Text Char"/>
    <w:basedOn w:val="DefaultParagraphFont"/>
    <w:link w:val="EndnoteText"/>
    <w:semiHidden/>
    <w:rsid w:val="007413F6"/>
    <w:rPr>
      <w:rFonts w:ascii="Times New Roman" w:eastAsia="Times New Roman" w:hAnsi="Times New Roman" w:cs="Times New Roman"/>
      <w:sz w:val="20"/>
      <w:szCs w:val="20"/>
      <w:lang w:eastAsia="en-US"/>
    </w:rPr>
  </w:style>
  <w:style w:type="paragraph" w:styleId="EnvelopeAddress">
    <w:name w:val="envelope address"/>
    <w:basedOn w:val="Normal"/>
    <w:semiHidden/>
    <w:unhideWhenUsed/>
    <w:rsid w:val="007413F6"/>
    <w:pPr>
      <w:framePr w:w="7938" w:h="1985" w:hRule="exact" w:hSpace="141" w:wrap="auto" w:hAnchor="page" w:xAlign="center" w:yAlign="bottom"/>
      <w:ind w:left="2835"/>
    </w:pPr>
    <w:rPr>
      <w:rFonts w:asciiTheme="majorHAnsi" w:eastAsiaTheme="majorEastAsia" w:hAnsiTheme="majorHAnsi" w:cstheme="majorBidi"/>
      <w:sz w:val="24"/>
      <w:szCs w:val="24"/>
      <w:lang w:val="en-US"/>
    </w:rPr>
  </w:style>
  <w:style w:type="paragraph" w:styleId="EnvelopeReturn">
    <w:name w:val="envelope return"/>
    <w:basedOn w:val="Normal"/>
    <w:semiHidden/>
    <w:unhideWhenUsed/>
    <w:rsid w:val="007413F6"/>
    <w:rPr>
      <w:rFonts w:asciiTheme="majorHAnsi" w:eastAsiaTheme="majorEastAsia" w:hAnsiTheme="majorHAnsi" w:cstheme="majorBidi"/>
      <w:lang w:val="en-US"/>
    </w:rPr>
  </w:style>
  <w:style w:type="table" w:styleId="GridTable1Light">
    <w:name w:val="Grid Table 1 Light"/>
    <w:basedOn w:val="TableNormal"/>
    <w:uiPriority w:val="46"/>
    <w:rsid w:val="007413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13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413F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413F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413F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413F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13F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413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413F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413F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413F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413F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413F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413F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413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413F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413F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413F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413F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413F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413F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413F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413F6"/>
    <w:rPr>
      <w:color w:val="2B579A"/>
      <w:shd w:val="clear" w:color="auto" w:fill="E1DFDD"/>
    </w:rPr>
  </w:style>
  <w:style w:type="character" w:styleId="HTMLAcronym">
    <w:name w:val="HTML Acronym"/>
    <w:basedOn w:val="DefaultParagraphFont"/>
    <w:semiHidden/>
    <w:unhideWhenUsed/>
    <w:rsid w:val="007413F6"/>
  </w:style>
  <w:style w:type="paragraph" w:styleId="HTMLAddress">
    <w:name w:val="HTML Address"/>
    <w:basedOn w:val="Normal"/>
    <w:link w:val="HTMLAddressChar"/>
    <w:semiHidden/>
    <w:unhideWhenUsed/>
    <w:rsid w:val="007413F6"/>
    <w:rPr>
      <w:i/>
      <w:iCs/>
      <w:lang w:val="en-US"/>
    </w:rPr>
  </w:style>
  <w:style w:type="character" w:customStyle="1" w:styleId="HTMLAddressChar">
    <w:name w:val="HTML Address Char"/>
    <w:basedOn w:val="DefaultParagraphFont"/>
    <w:link w:val="HTMLAddress"/>
    <w:semiHidden/>
    <w:rsid w:val="007413F6"/>
    <w:rPr>
      <w:rFonts w:ascii="Times New Roman" w:eastAsia="Times New Roman" w:hAnsi="Times New Roman" w:cs="Times New Roman"/>
      <w:i/>
      <w:iCs/>
      <w:sz w:val="20"/>
      <w:szCs w:val="20"/>
      <w:lang w:eastAsia="en-US"/>
    </w:rPr>
  </w:style>
  <w:style w:type="character" w:styleId="HTMLCite">
    <w:name w:val="HTML Cite"/>
    <w:basedOn w:val="DefaultParagraphFont"/>
    <w:semiHidden/>
    <w:unhideWhenUsed/>
    <w:rsid w:val="007413F6"/>
    <w:rPr>
      <w:i/>
      <w:iCs/>
    </w:rPr>
  </w:style>
  <w:style w:type="character" w:styleId="HTMLCode">
    <w:name w:val="HTML Code"/>
    <w:basedOn w:val="DefaultParagraphFont"/>
    <w:semiHidden/>
    <w:unhideWhenUsed/>
    <w:rsid w:val="007413F6"/>
    <w:rPr>
      <w:rFonts w:ascii="Consolas" w:hAnsi="Consolas"/>
      <w:sz w:val="20"/>
      <w:szCs w:val="20"/>
    </w:rPr>
  </w:style>
  <w:style w:type="character" w:styleId="HTMLDefinition">
    <w:name w:val="HTML Definition"/>
    <w:basedOn w:val="DefaultParagraphFont"/>
    <w:semiHidden/>
    <w:unhideWhenUsed/>
    <w:rsid w:val="007413F6"/>
    <w:rPr>
      <w:i/>
      <w:iCs/>
    </w:rPr>
  </w:style>
  <w:style w:type="character" w:styleId="HTMLKeyboard">
    <w:name w:val="HTML Keyboard"/>
    <w:basedOn w:val="DefaultParagraphFont"/>
    <w:semiHidden/>
    <w:unhideWhenUsed/>
    <w:rsid w:val="007413F6"/>
    <w:rPr>
      <w:rFonts w:ascii="Consolas" w:hAnsi="Consolas"/>
      <w:sz w:val="20"/>
      <w:szCs w:val="20"/>
    </w:rPr>
  </w:style>
  <w:style w:type="paragraph" w:styleId="HTMLPreformatted">
    <w:name w:val="HTML Preformatted"/>
    <w:basedOn w:val="Normal"/>
    <w:link w:val="HTMLPreformattedChar"/>
    <w:semiHidden/>
    <w:unhideWhenUsed/>
    <w:rsid w:val="007413F6"/>
    <w:rPr>
      <w:rFonts w:ascii="Consolas" w:hAnsi="Consolas"/>
      <w:lang w:val="en-US"/>
    </w:rPr>
  </w:style>
  <w:style w:type="character" w:customStyle="1" w:styleId="HTMLPreformattedChar">
    <w:name w:val="HTML Preformatted Char"/>
    <w:basedOn w:val="DefaultParagraphFont"/>
    <w:link w:val="HTMLPreformatted"/>
    <w:semiHidden/>
    <w:rsid w:val="007413F6"/>
    <w:rPr>
      <w:rFonts w:ascii="Consolas" w:eastAsia="Times New Roman" w:hAnsi="Consolas" w:cs="Times New Roman"/>
      <w:sz w:val="20"/>
      <w:szCs w:val="20"/>
      <w:lang w:eastAsia="en-US"/>
    </w:rPr>
  </w:style>
  <w:style w:type="character" w:styleId="HTMLSample">
    <w:name w:val="HTML Sample"/>
    <w:basedOn w:val="DefaultParagraphFont"/>
    <w:semiHidden/>
    <w:unhideWhenUsed/>
    <w:rsid w:val="007413F6"/>
    <w:rPr>
      <w:rFonts w:ascii="Consolas" w:hAnsi="Consolas"/>
      <w:sz w:val="24"/>
      <w:szCs w:val="24"/>
    </w:rPr>
  </w:style>
  <w:style w:type="character" w:styleId="HTMLTypewriter">
    <w:name w:val="HTML Typewriter"/>
    <w:basedOn w:val="DefaultParagraphFont"/>
    <w:semiHidden/>
    <w:unhideWhenUsed/>
    <w:rsid w:val="007413F6"/>
    <w:rPr>
      <w:rFonts w:ascii="Consolas" w:hAnsi="Consolas"/>
      <w:sz w:val="20"/>
      <w:szCs w:val="20"/>
    </w:rPr>
  </w:style>
  <w:style w:type="character" w:styleId="HTMLVariable">
    <w:name w:val="HTML Variable"/>
    <w:basedOn w:val="DefaultParagraphFont"/>
    <w:semiHidden/>
    <w:unhideWhenUsed/>
    <w:rsid w:val="007413F6"/>
    <w:rPr>
      <w:i/>
      <w:iCs/>
    </w:rPr>
  </w:style>
  <w:style w:type="paragraph" w:styleId="Index1">
    <w:name w:val="index 1"/>
    <w:basedOn w:val="Normal"/>
    <w:next w:val="Normal"/>
    <w:autoRedefine/>
    <w:semiHidden/>
    <w:unhideWhenUsed/>
    <w:rsid w:val="007413F6"/>
    <w:pPr>
      <w:tabs>
        <w:tab w:val="clear" w:pos="1247"/>
        <w:tab w:val="clear" w:pos="1814"/>
        <w:tab w:val="clear" w:pos="2381"/>
        <w:tab w:val="clear" w:pos="2948"/>
        <w:tab w:val="clear" w:pos="3515"/>
      </w:tabs>
      <w:ind w:left="200" w:hanging="200"/>
    </w:pPr>
    <w:rPr>
      <w:lang w:val="en-US"/>
    </w:rPr>
  </w:style>
  <w:style w:type="paragraph" w:styleId="Index2">
    <w:name w:val="index 2"/>
    <w:basedOn w:val="Normal"/>
    <w:next w:val="Normal"/>
    <w:autoRedefine/>
    <w:semiHidden/>
    <w:unhideWhenUsed/>
    <w:rsid w:val="007413F6"/>
    <w:pPr>
      <w:tabs>
        <w:tab w:val="clear" w:pos="1247"/>
        <w:tab w:val="clear" w:pos="1814"/>
        <w:tab w:val="clear" w:pos="2381"/>
        <w:tab w:val="clear" w:pos="2948"/>
        <w:tab w:val="clear" w:pos="3515"/>
      </w:tabs>
      <w:ind w:left="400" w:hanging="200"/>
    </w:pPr>
    <w:rPr>
      <w:lang w:val="en-US"/>
    </w:rPr>
  </w:style>
  <w:style w:type="paragraph" w:styleId="Index3">
    <w:name w:val="index 3"/>
    <w:basedOn w:val="Normal"/>
    <w:next w:val="Normal"/>
    <w:autoRedefine/>
    <w:semiHidden/>
    <w:unhideWhenUsed/>
    <w:rsid w:val="007413F6"/>
    <w:pPr>
      <w:tabs>
        <w:tab w:val="clear" w:pos="1247"/>
        <w:tab w:val="clear" w:pos="1814"/>
        <w:tab w:val="clear" w:pos="2381"/>
        <w:tab w:val="clear" w:pos="2948"/>
        <w:tab w:val="clear" w:pos="3515"/>
      </w:tabs>
      <w:ind w:left="600" w:hanging="200"/>
    </w:pPr>
    <w:rPr>
      <w:lang w:val="en-US"/>
    </w:rPr>
  </w:style>
  <w:style w:type="paragraph" w:styleId="Index4">
    <w:name w:val="index 4"/>
    <w:basedOn w:val="Normal"/>
    <w:next w:val="Normal"/>
    <w:autoRedefine/>
    <w:semiHidden/>
    <w:unhideWhenUsed/>
    <w:rsid w:val="007413F6"/>
    <w:pPr>
      <w:tabs>
        <w:tab w:val="clear" w:pos="1247"/>
        <w:tab w:val="clear" w:pos="1814"/>
        <w:tab w:val="clear" w:pos="2381"/>
        <w:tab w:val="clear" w:pos="2948"/>
        <w:tab w:val="clear" w:pos="3515"/>
      </w:tabs>
      <w:ind w:left="800" w:hanging="200"/>
    </w:pPr>
    <w:rPr>
      <w:lang w:val="en-US"/>
    </w:rPr>
  </w:style>
  <w:style w:type="paragraph" w:styleId="Index5">
    <w:name w:val="index 5"/>
    <w:basedOn w:val="Normal"/>
    <w:next w:val="Normal"/>
    <w:autoRedefine/>
    <w:semiHidden/>
    <w:unhideWhenUsed/>
    <w:rsid w:val="007413F6"/>
    <w:pPr>
      <w:tabs>
        <w:tab w:val="clear" w:pos="1247"/>
        <w:tab w:val="clear" w:pos="1814"/>
        <w:tab w:val="clear" w:pos="2381"/>
        <w:tab w:val="clear" w:pos="2948"/>
        <w:tab w:val="clear" w:pos="3515"/>
      </w:tabs>
      <w:ind w:left="1000" w:hanging="200"/>
    </w:pPr>
    <w:rPr>
      <w:lang w:val="en-US"/>
    </w:rPr>
  </w:style>
  <w:style w:type="paragraph" w:styleId="Index6">
    <w:name w:val="index 6"/>
    <w:basedOn w:val="Normal"/>
    <w:next w:val="Normal"/>
    <w:autoRedefine/>
    <w:semiHidden/>
    <w:unhideWhenUsed/>
    <w:rsid w:val="007413F6"/>
    <w:pPr>
      <w:tabs>
        <w:tab w:val="clear" w:pos="1247"/>
        <w:tab w:val="clear" w:pos="1814"/>
        <w:tab w:val="clear" w:pos="2381"/>
        <w:tab w:val="clear" w:pos="2948"/>
        <w:tab w:val="clear" w:pos="3515"/>
      </w:tabs>
      <w:ind w:left="1200" w:hanging="200"/>
    </w:pPr>
    <w:rPr>
      <w:lang w:val="en-US"/>
    </w:rPr>
  </w:style>
  <w:style w:type="paragraph" w:styleId="Index7">
    <w:name w:val="index 7"/>
    <w:basedOn w:val="Normal"/>
    <w:next w:val="Normal"/>
    <w:autoRedefine/>
    <w:semiHidden/>
    <w:unhideWhenUsed/>
    <w:rsid w:val="007413F6"/>
    <w:pPr>
      <w:tabs>
        <w:tab w:val="clear" w:pos="1247"/>
        <w:tab w:val="clear" w:pos="1814"/>
        <w:tab w:val="clear" w:pos="2381"/>
        <w:tab w:val="clear" w:pos="2948"/>
        <w:tab w:val="clear" w:pos="3515"/>
      </w:tabs>
      <w:ind w:left="1400" w:hanging="200"/>
    </w:pPr>
    <w:rPr>
      <w:lang w:val="en-US"/>
    </w:rPr>
  </w:style>
  <w:style w:type="paragraph" w:styleId="Index8">
    <w:name w:val="index 8"/>
    <w:basedOn w:val="Normal"/>
    <w:next w:val="Normal"/>
    <w:autoRedefine/>
    <w:semiHidden/>
    <w:unhideWhenUsed/>
    <w:rsid w:val="007413F6"/>
    <w:pPr>
      <w:tabs>
        <w:tab w:val="clear" w:pos="1247"/>
        <w:tab w:val="clear" w:pos="1814"/>
        <w:tab w:val="clear" w:pos="2381"/>
        <w:tab w:val="clear" w:pos="2948"/>
        <w:tab w:val="clear" w:pos="3515"/>
      </w:tabs>
      <w:ind w:left="1600" w:hanging="200"/>
    </w:pPr>
    <w:rPr>
      <w:lang w:val="en-US"/>
    </w:rPr>
  </w:style>
  <w:style w:type="paragraph" w:styleId="Index9">
    <w:name w:val="index 9"/>
    <w:basedOn w:val="Normal"/>
    <w:next w:val="Normal"/>
    <w:autoRedefine/>
    <w:semiHidden/>
    <w:unhideWhenUsed/>
    <w:rsid w:val="007413F6"/>
    <w:pPr>
      <w:tabs>
        <w:tab w:val="clear" w:pos="1247"/>
        <w:tab w:val="clear" w:pos="1814"/>
        <w:tab w:val="clear" w:pos="2381"/>
        <w:tab w:val="clear" w:pos="2948"/>
        <w:tab w:val="clear" w:pos="3515"/>
      </w:tabs>
      <w:ind w:left="1800" w:hanging="200"/>
    </w:pPr>
    <w:rPr>
      <w:lang w:val="en-US"/>
    </w:rPr>
  </w:style>
  <w:style w:type="paragraph" w:styleId="IndexHeading">
    <w:name w:val="index heading"/>
    <w:basedOn w:val="Normal"/>
    <w:next w:val="Index1"/>
    <w:semiHidden/>
    <w:unhideWhenUsed/>
    <w:rsid w:val="007413F6"/>
    <w:rPr>
      <w:rFonts w:asciiTheme="majorHAnsi" w:eastAsiaTheme="majorEastAsia" w:hAnsiTheme="majorHAnsi" w:cstheme="majorBidi"/>
      <w:b/>
      <w:bCs/>
      <w:lang w:val="en-US"/>
    </w:rPr>
  </w:style>
  <w:style w:type="character" w:styleId="IntenseEmphasis">
    <w:name w:val="Intense Emphasis"/>
    <w:basedOn w:val="DefaultParagraphFont"/>
    <w:uiPriority w:val="21"/>
    <w:qFormat/>
    <w:rsid w:val="007413F6"/>
    <w:rPr>
      <w:i/>
      <w:iCs/>
      <w:color w:val="4F81BD" w:themeColor="accent1"/>
    </w:rPr>
  </w:style>
  <w:style w:type="paragraph" w:styleId="IntenseQuote">
    <w:name w:val="Intense Quote"/>
    <w:basedOn w:val="Normal"/>
    <w:next w:val="Normal"/>
    <w:link w:val="IntenseQuoteChar"/>
    <w:uiPriority w:val="30"/>
    <w:qFormat/>
    <w:rsid w:val="007413F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US"/>
    </w:rPr>
  </w:style>
  <w:style w:type="character" w:customStyle="1" w:styleId="IntenseQuoteChar">
    <w:name w:val="Intense Quote Char"/>
    <w:basedOn w:val="DefaultParagraphFont"/>
    <w:link w:val="IntenseQuote"/>
    <w:uiPriority w:val="30"/>
    <w:rsid w:val="007413F6"/>
    <w:rPr>
      <w:rFonts w:ascii="Times New Roman" w:eastAsia="Times New Roman" w:hAnsi="Times New Roman" w:cs="Times New Roman"/>
      <w:i/>
      <w:iCs/>
      <w:color w:val="4F81BD" w:themeColor="accent1"/>
      <w:sz w:val="20"/>
      <w:szCs w:val="20"/>
      <w:lang w:eastAsia="en-US"/>
    </w:rPr>
  </w:style>
  <w:style w:type="character" w:styleId="IntenseReference">
    <w:name w:val="Intense Reference"/>
    <w:basedOn w:val="DefaultParagraphFont"/>
    <w:uiPriority w:val="32"/>
    <w:qFormat/>
    <w:rsid w:val="007413F6"/>
    <w:rPr>
      <w:b/>
      <w:bCs/>
      <w:smallCaps/>
      <w:color w:val="4F81BD" w:themeColor="accent1"/>
      <w:spacing w:val="5"/>
    </w:rPr>
  </w:style>
  <w:style w:type="table" w:styleId="LightGrid">
    <w:name w:val="Light Grid"/>
    <w:basedOn w:val="TableNormal"/>
    <w:uiPriority w:val="62"/>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413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413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413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413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413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413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413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413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413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413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413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413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413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413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413F6"/>
  </w:style>
  <w:style w:type="paragraph" w:styleId="List">
    <w:name w:val="List"/>
    <w:basedOn w:val="Normal"/>
    <w:semiHidden/>
    <w:unhideWhenUsed/>
    <w:rsid w:val="007413F6"/>
    <w:pPr>
      <w:ind w:left="283" w:hanging="283"/>
      <w:contextualSpacing/>
    </w:pPr>
    <w:rPr>
      <w:lang w:val="en-US"/>
    </w:rPr>
  </w:style>
  <w:style w:type="paragraph" w:styleId="List2">
    <w:name w:val="List 2"/>
    <w:basedOn w:val="Normal"/>
    <w:semiHidden/>
    <w:unhideWhenUsed/>
    <w:rsid w:val="007413F6"/>
    <w:pPr>
      <w:ind w:left="566" w:hanging="283"/>
      <w:contextualSpacing/>
    </w:pPr>
    <w:rPr>
      <w:lang w:val="en-US"/>
    </w:rPr>
  </w:style>
  <w:style w:type="paragraph" w:styleId="List3">
    <w:name w:val="List 3"/>
    <w:basedOn w:val="Normal"/>
    <w:semiHidden/>
    <w:unhideWhenUsed/>
    <w:rsid w:val="007413F6"/>
    <w:pPr>
      <w:ind w:left="849" w:hanging="283"/>
      <w:contextualSpacing/>
    </w:pPr>
    <w:rPr>
      <w:lang w:val="en-US"/>
    </w:rPr>
  </w:style>
  <w:style w:type="paragraph" w:styleId="List4">
    <w:name w:val="List 4"/>
    <w:basedOn w:val="Normal"/>
    <w:semiHidden/>
    <w:unhideWhenUsed/>
    <w:rsid w:val="007413F6"/>
    <w:pPr>
      <w:ind w:left="1132" w:hanging="283"/>
      <w:contextualSpacing/>
    </w:pPr>
    <w:rPr>
      <w:lang w:val="en-US"/>
    </w:rPr>
  </w:style>
  <w:style w:type="paragraph" w:styleId="List5">
    <w:name w:val="List 5"/>
    <w:basedOn w:val="Normal"/>
    <w:semiHidden/>
    <w:unhideWhenUsed/>
    <w:rsid w:val="007413F6"/>
    <w:pPr>
      <w:ind w:left="1415" w:hanging="283"/>
      <w:contextualSpacing/>
    </w:pPr>
    <w:rPr>
      <w:lang w:val="en-US"/>
    </w:rPr>
  </w:style>
  <w:style w:type="paragraph" w:styleId="ListBullet">
    <w:name w:val="List Bullet"/>
    <w:basedOn w:val="Normal"/>
    <w:rsid w:val="007413F6"/>
    <w:pPr>
      <w:numPr>
        <w:numId w:val="3"/>
      </w:numPr>
      <w:contextualSpacing/>
    </w:pPr>
    <w:rPr>
      <w:lang w:val="en-US"/>
    </w:rPr>
  </w:style>
  <w:style w:type="paragraph" w:styleId="ListBullet2">
    <w:name w:val="List Bullet 2"/>
    <w:basedOn w:val="Normal"/>
    <w:semiHidden/>
    <w:unhideWhenUsed/>
    <w:rsid w:val="007413F6"/>
    <w:pPr>
      <w:numPr>
        <w:numId w:val="4"/>
      </w:numPr>
      <w:contextualSpacing/>
    </w:pPr>
    <w:rPr>
      <w:lang w:val="en-US"/>
    </w:rPr>
  </w:style>
  <w:style w:type="paragraph" w:styleId="ListBullet3">
    <w:name w:val="List Bullet 3"/>
    <w:basedOn w:val="Normal"/>
    <w:semiHidden/>
    <w:unhideWhenUsed/>
    <w:rsid w:val="007413F6"/>
    <w:pPr>
      <w:numPr>
        <w:numId w:val="5"/>
      </w:numPr>
      <w:contextualSpacing/>
    </w:pPr>
    <w:rPr>
      <w:lang w:val="en-US"/>
    </w:rPr>
  </w:style>
  <w:style w:type="paragraph" w:styleId="ListBullet4">
    <w:name w:val="List Bullet 4"/>
    <w:basedOn w:val="Normal"/>
    <w:semiHidden/>
    <w:unhideWhenUsed/>
    <w:rsid w:val="007413F6"/>
    <w:pPr>
      <w:numPr>
        <w:numId w:val="6"/>
      </w:numPr>
      <w:contextualSpacing/>
    </w:pPr>
    <w:rPr>
      <w:lang w:val="en-US"/>
    </w:rPr>
  </w:style>
  <w:style w:type="paragraph" w:styleId="ListBullet5">
    <w:name w:val="List Bullet 5"/>
    <w:basedOn w:val="Normal"/>
    <w:semiHidden/>
    <w:unhideWhenUsed/>
    <w:rsid w:val="007413F6"/>
    <w:pPr>
      <w:numPr>
        <w:numId w:val="7"/>
      </w:numPr>
      <w:contextualSpacing/>
    </w:pPr>
    <w:rPr>
      <w:lang w:val="en-US"/>
    </w:rPr>
  </w:style>
  <w:style w:type="paragraph" w:styleId="ListContinue">
    <w:name w:val="List Continue"/>
    <w:basedOn w:val="Normal"/>
    <w:semiHidden/>
    <w:unhideWhenUsed/>
    <w:rsid w:val="007413F6"/>
    <w:pPr>
      <w:spacing w:after="120"/>
      <w:ind w:left="283"/>
      <w:contextualSpacing/>
    </w:pPr>
    <w:rPr>
      <w:lang w:val="en-US"/>
    </w:rPr>
  </w:style>
  <w:style w:type="paragraph" w:styleId="ListContinue2">
    <w:name w:val="List Continue 2"/>
    <w:basedOn w:val="Normal"/>
    <w:semiHidden/>
    <w:unhideWhenUsed/>
    <w:rsid w:val="007413F6"/>
    <w:pPr>
      <w:spacing w:after="120"/>
      <w:ind w:left="566"/>
      <w:contextualSpacing/>
    </w:pPr>
    <w:rPr>
      <w:lang w:val="en-US"/>
    </w:rPr>
  </w:style>
  <w:style w:type="paragraph" w:styleId="ListContinue3">
    <w:name w:val="List Continue 3"/>
    <w:basedOn w:val="Normal"/>
    <w:rsid w:val="007413F6"/>
    <w:pPr>
      <w:spacing w:after="120"/>
      <w:ind w:left="849"/>
      <w:contextualSpacing/>
    </w:pPr>
    <w:rPr>
      <w:lang w:val="en-US"/>
    </w:rPr>
  </w:style>
  <w:style w:type="paragraph" w:styleId="ListContinue4">
    <w:name w:val="List Continue 4"/>
    <w:basedOn w:val="Normal"/>
    <w:rsid w:val="007413F6"/>
    <w:pPr>
      <w:spacing w:after="120"/>
      <w:ind w:left="1132"/>
      <w:contextualSpacing/>
    </w:pPr>
    <w:rPr>
      <w:lang w:val="en-US"/>
    </w:rPr>
  </w:style>
  <w:style w:type="paragraph" w:styleId="ListContinue5">
    <w:name w:val="List Continue 5"/>
    <w:basedOn w:val="Normal"/>
    <w:rsid w:val="007413F6"/>
    <w:pPr>
      <w:spacing w:after="120"/>
      <w:ind w:left="1415"/>
      <w:contextualSpacing/>
    </w:pPr>
    <w:rPr>
      <w:lang w:val="en-US"/>
    </w:rPr>
  </w:style>
  <w:style w:type="paragraph" w:styleId="ListNumber">
    <w:name w:val="List Number"/>
    <w:basedOn w:val="Normal"/>
    <w:rsid w:val="007413F6"/>
    <w:pPr>
      <w:numPr>
        <w:numId w:val="8"/>
      </w:numPr>
      <w:contextualSpacing/>
    </w:pPr>
    <w:rPr>
      <w:lang w:val="en-US"/>
    </w:rPr>
  </w:style>
  <w:style w:type="paragraph" w:styleId="ListNumber2">
    <w:name w:val="List Number 2"/>
    <w:basedOn w:val="Normal"/>
    <w:semiHidden/>
    <w:unhideWhenUsed/>
    <w:rsid w:val="007413F6"/>
    <w:pPr>
      <w:numPr>
        <w:numId w:val="9"/>
      </w:numPr>
      <w:contextualSpacing/>
    </w:pPr>
    <w:rPr>
      <w:lang w:val="en-US"/>
    </w:rPr>
  </w:style>
  <w:style w:type="paragraph" w:styleId="ListNumber3">
    <w:name w:val="List Number 3"/>
    <w:basedOn w:val="Normal"/>
    <w:semiHidden/>
    <w:unhideWhenUsed/>
    <w:rsid w:val="007413F6"/>
    <w:pPr>
      <w:numPr>
        <w:numId w:val="10"/>
      </w:numPr>
      <w:contextualSpacing/>
    </w:pPr>
    <w:rPr>
      <w:lang w:val="en-US"/>
    </w:rPr>
  </w:style>
  <w:style w:type="paragraph" w:styleId="ListNumber4">
    <w:name w:val="List Number 4"/>
    <w:basedOn w:val="Normal"/>
    <w:semiHidden/>
    <w:unhideWhenUsed/>
    <w:rsid w:val="007413F6"/>
    <w:pPr>
      <w:numPr>
        <w:numId w:val="11"/>
      </w:numPr>
      <w:contextualSpacing/>
    </w:pPr>
    <w:rPr>
      <w:lang w:val="en-US"/>
    </w:rPr>
  </w:style>
  <w:style w:type="paragraph" w:styleId="ListNumber5">
    <w:name w:val="List Number 5"/>
    <w:basedOn w:val="Normal"/>
    <w:semiHidden/>
    <w:unhideWhenUsed/>
    <w:rsid w:val="007413F6"/>
    <w:pPr>
      <w:numPr>
        <w:numId w:val="12"/>
      </w:numPr>
      <w:contextualSpacing/>
    </w:pPr>
    <w:rPr>
      <w:lang w:val="en-US"/>
    </w:rPr>
  </w:style>
  <w:style w:type="table" w:styleId="ListTable1Light">
    <w:name w:val="List Table 1 Light"/>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413F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413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413F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413F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413F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413F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413F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413F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413F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413F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413F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413F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413F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413F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413F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413F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413F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413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413F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413F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413F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413F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413F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413F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413F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413F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413F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413F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413F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413F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413F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413F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413F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413F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413F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413F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413F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413F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413F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413F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413F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413F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413F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7413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val="en-US" w:eastAsia="en-US"/>
    </w:rPr>
  </w:style>
  <w:style w:type="character" w:customStyle="1" w:styleId="MacroTextChar">
    <w:name w:val="Macro Text Char"/>
    <w:basedOn w:val="DefaultParagraphFont"/>
    <w:link w:val="MacroText"/>
    <w:rsid w:val="007413F6"/>
    <w:rPr>
      <w:rFonts w:ascii="Consolas" w:eastAsia="Times New Roman" w:hAnsi="Consolas" w:cs="Times New Roman"/>
      <w:sz w:val="20"/>
      <w:szCs w:val="20"/>
      <w:lang w:eastAsia="en-US"/>
    </w:rPr>
  </w:style>
  <w:style w:type="table" w:styleId="MediumGrid1">
    <w:name w:val="Medium Grid 1"/>
    <w:basedOn w:val="TableNormal"/>
    <w:uiPriority w:val="67"/>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413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413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413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413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413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413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413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413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413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413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7413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7413F6"/>
    <w:rPr>
      <w:color w:val="2B579A"/>
      <w:shd w:val="clear" w:color="auto" w:fill="E1DFDD"/>
    </w:rPr>
  </w:style>
  <w:style w:type="paragraph" w:styleId="MessageHeader">
    <w:name w:val="Message Header"/>
    <w:basedOn w:val="Normal"/>
    <w:link w:val="MessageHeaderChar"/>
    <w:rsid w:val="007413F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en-US"/>
    </w:rPr>
  </w:style>
  <w:style w:type="character" w:customStyle="1" w:styleId="MessageHeaderChar">
    <w:name w:val="Message Header Char"/>
    <w:basedOn w:val="DefaultParagraphFont"/>
    <w:link w:val="MessageHeader"/>
    <w:rsid w:val="007413F6"/>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7413F6"/>
    <w:pPr>
      <w:ind w:left="708"/>
    </w:pPr>
  </w:style>
  <w:style w:type="paragraph" w:styleId="NoteHeading">
    <w:name w:val="Note Heading"/>
    <w:basedOn w:val="Normal"/>
    <w:next w:val="Normal"/>
    <w:link w:val="NoteHeadingChar"/>
    <w:semiHidden/>
    <w:unhideWhenUsed/>
    <w:rsid w:val="007413F6"/>
  </w:style>
  <w:style w:type="character" w:customStyle="1" w:styleId="NoteHeadingChar">
    <w:name w:val="Note Heading Char"/>
    <w:basedOn w:val="DefaultParagraphFont"/>
    <w:link w:val="NoteHeading"/>
    <w:semiHidden/>
    <w:rsid w:val="007413F6"/>
    <w:rPr>
      <w:rFonts w:ascii="Times New Roman" w:eastAsia="Times New Roman" w:hAnsi="Times New Roman" w:cs="Times New Roman"/>
      <w:sz w:val="20"/>
      <w:szCs w:val="20"/>
      <w:lang w:eastAsia="en-US"/>
    </w:rPr>
  </w:style>
  <w:style w:type="table" w:styleId="PlainTable1">
    <w:name w:val="Plain Table 1"/>
    <w:basedOn w:val="TableNormal"/>
    <w:uiPriority w:val="41"/>
    <w:rsid w:val="007413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413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413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413F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413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7413F6"/>
    <w:rPr>
      <w:rFonts w:ascii="Consolas" w:hAnsi="Consolas"/>
      <w:sz w:val="21"/>
      <w:szCs w:val="21"/>
    </w:rPr>
  </w:style>
  <w:style w:type="character" w:customStyle="1" w:styleId="PlainTextChar">
    <w:name w:val="Plain Text Char"/>
    <w:basedOn w:val="DefaultParagraphFont"/>
    <w:link w:val="PlainText"/>
    <w:semiHidden/>
    <w:rsid w:val="007413F6"/>
    <w:rPr>
      <w:rFonts w:ascii="Consolas" w:eastAsia="Times New Roman" w:hAnsi="Consolas" w:cs="Times New Roman"/>
      <w:sz w:val="21"/>
      <w:szCs w:val="21"/>
      <w:lang w:eastAsia="en-US"/>
    </w:rPr>
  </w:style>
  <w:style w:type="paragraph" w:styleId="Quote">
    <w:name w:val="Quote"/>
    <w:basedOn w:val="Normal"/>
    <w:next w:val="Normal"/>
    <w:link w:val="QuoteChar"/>
    <w:uiPriority w:val="29"/>
    <w:qFormat/>
    <w:rsid w:val="007413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413F6"/>
    <w:rPr>
      <w:rFonts w:ascii="Times New Roman" w:eastAsia="Times New Roman" w:hAnsi="Times New Roman" w:cs="Times New Roman"/>
      <w:i/>
      <w:iCs/>
      <w:color w:val="404040" w:themeColor="text1" w:themeTint="BF"/>
      <w:sz w:val="20"/>
      <w:szCs w:val="20"/>
      <w:lang w:eastAsia="en-US"/>
    </w:rPr>
  </w:style>
  <w:style w:type="paragraph" w:styleId="Salutation">
    <w:name w:val="Salutation"/>
    <w:basedOn w:val="Normal"/>
    <w:next w:val="Normal"/>
    <w:link w:val="SalutationChar"/>
    <w:semiHidden/>
    <w:unhideWhenUsed/>
    <w:rsid w:val="007413F6"/>
  </w:style>
  <w:style w:type="character" w:customStyle="1" w:styleId="SalutationChar">
    <w:name w:val="Salutation Char"/>
    <w:basedOn w:val="DefaultParagraphFont"/>
    <w:link w:val="Salutation"/>
    <w:semiHidden/>
    <w:rsid w:val="007413F6"/>
    <w:rPr>
      <w:rFonts w:ascii="Times New Roman" w:eastAsia="Times New Roman" w:hAnsi="Times New Roman" w:cs="Times New Roman"/>
      <w:sz w:val="20"/>
      <w:szCs w:val="20"/>
      <w:lang w:eastAsia="en-US"/>
    </w:rPr>
  </w:style>
  <w:style w:type="paragraph" w:styleId="Signature">
    <w:name w:val="Signature"/>
    <w:basedOn w:val="Normal"/>
    <w:link w:val="SignatureChar"/>
    <w:semiHidden/>
    <w:unhideWhenUsed/>
    <w:rsid w:val="007413F6"/>
    <w:pPr>
      <w:ind w:left="4252"/>
    </w:pPr>
  </w:style>
  <w:style w:type="character" w:customStyle="1" w:styleId="SignatureChar">
    <w:name w:val="Signature Char"/>
    <w:basedOn w:val="DefaultParagraphFont"/>
    <w:link w:val="Signature"/>
    <w:semiHidden/>
    <w:rsid w:val="007413F6"/>
    <w:rPr>
      <w:rFonts w:ascii="Times New Roman" w:eastAsia="Times New Roman" w:hAnsi="Times New Roman" w:cs="Times New Roman"/>
      <w:sz w:val="20"/>
      <w:szCs w:val="20"/>
      <w:lang w:eastAsia="en-US"/>
    </w:rPr>
  </w:style>
  <w:style w:type="character" w:styleId="SmartHyperlink">
    <w:name w:val="Smart Hyperlink"/>
    <w:basedOn w:val="DefaultParagraphFont"/>
    <w:uiPriority w:val="99"/>
    <w:semiHidden/>
    <w:unhideWhenUsed/>
    <w:rsid w:val="007413F6"/>
    <w:rPr>
      <w:u w:val="dotted"/>
    </w:rPr>
  </w:style>
  <w:style w:type="character" w:customStyle="1" w:styleId="SmartLink1">
    <w:name w:val="SmartLink1"/>
    <w:basedOn w:val="DefaultParagraphFont"/>
    <w:uiPriority w:val="99"/>
    <w:semiHidden/>
    <w:unhideWhenUsed/>
    <w:rsid w:val="007413F6"/>
    <w:rPr>
      <w:color w:val="0000FF"/>
      <w:u w:val="single"/>
      <w:shd w:val="clear" w:color="auto" w:fill="F3F2F1"/>
    </w:rPr>
  </w:style>
  <w:style w:type="character" w:styleId="Strong">
    <w:name w:val="Strong"/>
    <w:basedOn w:val="DefaultParagraphFont"/>
    <w:qFormat/>
    <w:rsid w:val="007413F6"/>
    <w:rPr>
      <w:b/>
      <w:bCs/>
    </w:rPr>
  </w:style>
  <w:style w:type="paragraph" w:styleId="Subtitle">
    <w:name w:val="Subtitle"/>
    <w:basedOn w:val="Normal"/>
    <w:next w:val="Normal"/>
    <w:link w:val="SubtitleChar"/>
    <w:qFormat/>
    <w:rsid w:val="007413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413F6"/>
    <w:rPr>
      <w:color w:val="5A5A5A" w:themeColor="text1" w:themeTint="A5"/>
      <w:spacing w:val="15"/>
      <w:lang w:eastAsia="en-US"/>
    </w:rPr>
  </w:style>
  <w:style w:type="character" w:styleId="SubtleEmphasis">
    <w:name w:val="Subtle Emphasis"/>
    <w:basedOn w:val="DefaultParagraphFont"/>
    <w:uiPriority w:val="19"/>
    <w:qFormat/>
    <w:rsid w:val="007413F6"/>
    <w:rPr>
      <w:i/>
      <w:iCs/>
      <w:color w:val="404040" w:themeColor="text1" w:themeTint="BF"/>
    </w:rPr>
  </w:style>
  <w:style w:type="character" w:styleId="SubtleReference">
    <w:name w:val="Subtle Reference"/>
    <w:basedOn w:val="DefaultParagraphFont"/>
    <w:uiPriority w:val="31"/>
    <w:qFormat/>
    <w:rsid w:val="007413F6"/>
    <w:rPr>
      <w:smallCaps/>
      <w:color w:val="5A5A5A" w:themeColor="text1" w:themeTint="A5"/>
    </w:rPr>
  </w:style>
  <w:style w:type="table" w:styleId="Table3Deffects1">
    <w:name w:val="Table 3D effects 1"/>
    <w:basedOn w:val="TableNormal"/>
    <w:semiHidden/>
    <w:unhideWhenUsed/>
    <w:rsid w:val="007413F6"/>
    <w:pPr>
      <w:tabs>
        <w:tab w:val="left" w:pos="1247"/>
        <w:tab w:val="left" w:pos="1814"/>
        <w:tab w:val="left" w:pos="2381"/>
        <w:tab w:val="left" w:pos="2948"/>
        <w:tab w:val="left" w:pos="3515"/>
      </w:tabs>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413F6"/>
    <w:pPr>
      <w:tabs>
        <w:tab w:val="left" w:pos="1247"/>
        <w:tab w:val="left" w:pos="1814"/>
        <w:tab w:val="left" w:pos="2381"/>
        <w:tab w:val="left" w:pos="2948"/>
        <w:tab w:val="left" w:pos="3515"/>
      </w:tabs>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413F6"/>
    <w:pPr>
      <w:tabs>
        <w:tab w:val="left" w:pos="1247"/>
        <w:tab w:val="left" w:pos="1814"/>
        <w:tab w:val="left" w:pos="2381"/>
        <w:tab w:val="left" w:pos="2948"/>
        <w:tab w:val="left" w:pos="3515"/>
      </w:tabs>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413F6"/>
    <w:pPr>
      <w:tabs>
        <w:tab w:val="left" w:pos="1247"/>
        <w:tab w:val="left" w:pos="1814"/>
        <w:tab w:val="left" w:pos="2381"/>
        <w:tab w:val="left" w:pos="2948"/>
        <w:tab w:val="left" w:pos="3515"/>
      </w:tabs>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413F6"/>
    <w:pPr>
      <w:tabs>
        <w:tab w:val="left" w:pos="1247"/>
        <w:tab w:val="left" w:pos="1814"/>
        <w:tab w:val="left" w:pos="2381"/>
        <w:tab w:val="left" w:pos="2948"/>
        <w:tab w:val="left" w:pos="3515"/>
      </w:tabs>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413F6"/>
    <w:pPr>
      <w:tabs>
        <w:tab w:val="left" w:pos="1247"/>
        <w:tab w:val="left" w:pos="1814"/>
        <w:tab w:val="left" w:pos="2381"/>
        <w:tab w:val="left" w:pos="2948"/>
        <w:tab w:val="left" w:pos="3515"/>
      </w:tabs>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413F6"/>
    <w:pPr>
      <w:tabs>
        <w:tab w:val="left" w:pos="1247"/>
        <w:tab w:val="left" w:pos="1814"/>
        <w:tab w:val="left" w:pos="2381"/>
        <w:tab w:val="left" w:pos="2948"/>
        <w:tab w:val="left" w:pos="3515"/>
      </w:tabs>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413F6"/>
    <w:pPr>
      <w:tabs>
        <w:tab w:val="left" w:pos="1247"/>
        <w:tab w:val="left" w:pos="1814"/>
        <w:tab w:val="left" w:pos="2381"/>
        <w:tab w:val="left" w:pos="2948"/>
        <w:tab w:val="left" w:pos="3515"/>
      </w:tabs>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413F6"/>
    <w:pPr>
      <w:tabs>
        <w:tab w:val="left" w:pos="1247"/>
        <w:tab w:val="left" w:pos="1814"/>
        <w:tab w:val="left" w:pos="2381"/>
        <w:tab w:val="left" w:pos="2948"/>
        <w:tab w:val="left" w:pos="3515"/>
      </w:tabs>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413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413F6"/>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413F6"/>
    <w:pPr>
      <w:tabs>
        <w:tab w:val="left" w:pos="1247"/>
        <w:tab w:val="left" w:pos="1814"/>
        <w:tab w:val="left" w:pos="2381"/>
        <w:tab w:val="left" w:pos="2948"/>
        <w:tab w:val="left" w:pos="3515"/>
      </w:tabs>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413F6"/>
    <w:pPr>
      <w:tabs>
        <w:tab w:val="left" w:pos="1247"/>
        <w:tab w:val="left" w:pos="1814"/>
        <w:tab w:val="left" w:pos="2381"/>
        <w:tab w:val="left" w:pos="2948"/>
        <w:tab w:val="left" w:pos="3515"/>
      </w:tabs>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413F6"/>
    <w:pPr>
      <w:tabs>
        <w:tab w:val="left" w:pos="1247"/>
        <w:tab w:val="left" w:pos="1814"/>
        <w:tab w:val="left" w:pos="2381"/>
        <w:tab w:val="left" w:pos="2948"/>
        <w:tab w:val="left" w:pos="3515"/>
      </w:tabs>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413F6"/>
    <w:pPr>
      <w:tabs>
        <w:tab w:val="left" w:pos="1247"/>
        <w:tab w:val="left" w:pos="1814"/>
        <w:tab w:val="left" w:pos="2381"/>
        <w:tab w:val="left" w:pos="2948"/>
        <w:tab w:val="left" w:pos="3515"/>
      </w:tab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413F6"/>
    <w:pPr>
      <w:tabs>
        <w:tab w:val="left" w:pos="1247"/>
        <w:tab w:val="left" w:pos="1814"/>
        <w:tab w:val="left" w:pos="2381"/>
        <w:tab w:val="left" w:pos="2948"/>
        <w:tab w:val="left" w:pos="3515"/>
      </w:tabs>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413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13F6"/>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7413F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413F6"/>
    <w:pPr>
      <w:keepLines/>
      <w:numPr>
        <w:numId w:val="0"/>
      </w:numPr>
      <w:spacing w:after="0"/>
      <w:outlineLvl w:val="9"/>
    </w:pPr>
    <w:rPr>
      <w:rFonts w:asciiTheme="majorHAnsi" w:eastAsiaTheme="majorEastAsia" w:hAnsiTheme="majorHAnsi" w:cstheme="majorBidi"/>
      <w:b w:val="0"/>
      <w:color w:val="365F91" w:themeColor="accent1" w:themeShade="BF"/>
      <w:sz w:val="32"/>
      <w:szCs w:val="32"/>
    </w:rPr>
  </w:style>
  <w:style w:type="character" w:customStyle="1" w:styleId="CH2Char">
    <w:name w:val="CH2 Char"/>
    <w:link w:val="CH2"/>
    <w:locked/>
    <w:rsid w:val="004E0948"/>
    <w:rPr>
      <w:rFonts w:ascii="Times New Roman" w:eastAsia="Times New Roman" w:hAnsi="Times New Roman" w:cs="Times New Roman"/>
      <w:b/>
      <w:sz w:val="24"/>
      <w:szCs w:val="24"/>
      <w:lang w:val="en-US" w:eastAsia="en-US"/>
    </w:rPr>
  </w:style>
  <w:style w:type="paragraph" w:styleId="Revision">
    <w:name w:val="Revision"/>
    <w:hidden/>
    <w:uiPriority w:val="99"/>
    <w:semiHidden/>
    <w:rsid w:val="001C54CA"/>
    <w:pPr>
      <w:spacing w:after="0" w:line="240" w:lineRule="auto"/>
    </w:pPr>
    <w:rPr>
      <w:rFonts w:ascii="Times New Roman" w:eastAsia="Times New Roman" w:hAnsi="Times New Roman" w:cs="Times New Roman"/>
      <w:sz w:val="20"/>
      <w:szCs w:val="20"/>
      <w:lang w:val="en-US" w:eastAsia="en-US"/>
    </w:rPr>
  </w:style>
  <w:style w:type="paragraph" w:customStyle="1" w:styleId="Default">
    <w:name w:val="Default"/>
    <w:rsid w:val="002E65E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Normal">
    <w:name w:val="A_Normal"/>
    <w:basedOn w:val="Normal-pool"/>
    <w:qFormat/>
    <w:rsid w:val="00B907B4"/>
  </w:style>
  <w:style w:type="paragraph" w:customStyle="1" w:styleId="AText0">
    <w:name w:val="A_Text0"/>
    <w:basedOn w:val="AText"/>
    <w:next w:val="AText"/>
    <w:qFormat/>
    <w:rsid w:val="00B907B4"/>
    <w:pPr>
      <w:spacing w:before="0" w:after="120"/>
    </w:pPr>
  </w:style>
  <w:style w:type="character" w:styleId="SmartLink">
    <w:name w:val="Smart Link"/>
    <w:basedOn w:val="DefaultParagraphFont"/>
    <w:uiPriority w:val="99"/>
    <w:semiHidden/>
    <w:unhideWhenUsed/>
    <w:rsid w:val="00B907B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7379294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1D779-4335-47FC-86EB-691AA55E4DAD}">
  <ds:schemaRefs>
    <ds:schemaRef ds:uri="http://schemas.openxmlformats.org/officeDocument/2006/bibliography"/>
  </ds:schemaRefs>
</ds:datastoreItem>
</file>

<file path=customXml/itemProps2.xml><?xml version="1.0" encoding="utf-8"?>
<ds:datastoreItem xmlns:ds="http://schemas.openxmlformats.org/officeDocument/2006/customXml" ds:itemID="{357C1817-B70E-47FD-A068-BCE000F6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362A-3EB0-4F16-A636-13A68E2CB392}">
  <ds:schemaRefs>
    <ds:schemaRef ds:uri="http://schemas.microsoft.com/sharepoint/v3/contenttype/forms"/>
  </ds:schemaRefs>
</ds:datastoreItem>
</file>

<file path=customXml/itemProps4.xml><?xml version="1.0" encoding="utf-8"?>
<ds:datastoreItem xmlns:ds="http://schemas.openxmlformats.org/officeDocument/2006/customXml" ds:itemID="{C692DACA-6EB6-4F76-A688-787EADF6D421}">
  <ds:schemaRefs>
    <ds:schemaRef ds:uri="http://schemas.microsoft.com/office/infopath/2007/PartnerControls"/>
    <ds:schemaRef ds:uri="a591afa8-fd54-42f1-9ea9-749d51e1c00b"/>
    <ds:schemaRef ds:uri="44b29a07-ae0c-4297-aad9-2f7ae2e24b8e"/>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2507</Words>
  <Characters>14059</Characters>
  <Application>Microsoft Office Word</Application>
  <DocSecurity>4</DocSecurity>
  <PresentationFormat/>
  <Lines>234</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16536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UNON-DCS-TES-FLU</dc:creator>
  <cp:keywords/>
  <dc:description/>
  <cp:lastModifiedBy>Jane Mbau</cp:lastModifiedBy>
  <cp:revision>13</cp:revision>
  <cp:lastPrinted>2023-07-10T18:54:00Z</cp:lastPrinted>
  <dcterms:created xsi:type="dcterms:W3CDTF">2023-07-10T16:04:00Z</dcterms:created>
  <dcterms:modified xsi:type="dcterms:W3CDTF">2023-07-10T18:55:00Z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ONDCSTES-Generator">
    <vt:lpwstr>0</vt:lpwstr>
  </property>
  <property fmtid="{D5CDD505-2E9C-101B-9397-08002B2CF9AE}" pid="3" name="UNONDCSTES-ReqEmail">
    <vt:lpwstr>lievenke@gmail.com</vt:lpwstr>
  </property>
  <property fmtid="{D5CDD505-2E9C-101B-9397-08002B2CF9AE}" pid="4" name="UNONDCSTES-ReqID">
    <vt:lpwstr>137</vt:lpwstr>
  </property>
  <property fmtid="{D5CDD505-2E9C-101B-9397-08002B2CF9AE}" pid="5" name="UNONDCSTES-Language">
    <vt:lpwstr>EN</vt:lpwstr>
  </property>
  <property fmtid="{D5CDD505-2E9C-101B-9397-08002B2CF9AE}" pid="6" name="UNONDCSTES-Category">
    <vt:lpwstr>UNEP-IPBES</vt:lpwstr>
  </property>
  <property fmtid="{D5CDD505-2E9C-101B-9397-08002B2CF9AE}" pid="7" name="UNONDCSTES-NoSymbol">
    <vt:lpwstr>1</vt:lpwstr>
  </property>
  <property fmtid="{D5CDD505-2E9C-101B-9397-08002B2CF9AE}" pid="8" name="UNONDCSTES-LangDistr">
    <vt:lpwstr>EN_EN</vt:lpwstr>
  </property>
  <property fmtid="{D5CDD505-2E9C-101B-9397-08002B2CF9AE}" pid="9" name="ContentTypeId">
    <vt:lpwstr>0x010100A8527E0A0837F64083645E115EB57567</vt:lpwstr>
  </property>
  <property fmtid="{D5CDD505-2E9C-101B-9397-08002B2CF9AE}" pid="10" name="MediaServiceImageTags">
    <vt:lpwstr/>
  </property>
</Properties>
</file>