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EC2E97" w:rsidRPr="000A1C4F" w14:paraId="41E10AB1" w14:textId="77777777" w:rsidTr="004854D5">
        <w:trPr>
          <w:cantSplit/>
          <w:trHeight w:val="57"/>
          <w:jc w:val="right"/>
        </w:trPr>
        <w:tc>
          <w:tcPr>
            <w:tcW w:w="1560" w:type="dxa"/>
          </w:tcPr>
          <w:p w14:paraId="09C76795" w14:textId="77777777" w:rsidR="00EC2E97" w:rsidRPr="000A1C4F" w:rsidRDefault="00EC2E97" w:rsidP="004854D5">
            <w:pPr>
              <w:pStyle w:val="AUnitedNations"/>
            </w:pPr>
            <w:r w:rsidRPr="000A1C4F">
              <w:t xml:space="preserve">UNITED </w:t>
            </w:r>
            <w:r w:rsidRPr="000A1C4F">
              <w:br/>
              <w:t>NATIONS</w:t>
            </w:r>
          </w:p>
        </w:tc>
        <w:tc>
          <w:tcPr>
            <w:tcW w:w="5953" w:type="dxa"/>
            <w:gridSpan w:val="3"/>
          </w:tcPr>
          <w:p w14:paraId="41DD8034" w14:textId="77777777" w:rsidR="00EC2E97" w:rsidRPr="000A1C4F" w:rsidRDefault="00EC2E97" w:rsidP="004854D5">
            <w:pPr>
              <w:pStyle w:val="AText"/>
              <w:spacing w:before="20"/>
              <w:ind w:left="-113"/>
            </w:pPr>
            <w:r w:rsidRPr="000A1C4F">
              <w:rPr>
                <w:noProof/>
              </w:rPr>
              <w:drawing>
                <wp:inline distT="0" distB="0" distL="0" distR="0" wp14:anchorId="22C18995" wp14:editId="75C7D1D9">
                  <wp:extent cx="3559810" cy="442595"/>
                  <wp:effectExtent l="0" t="0" r="254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698C2E81" w14:textId="77777777" w:rsidR="00EC2E97" w:rsidRPr="000A1C4F" w:rsidRDefault="00EC2E97" w:rsidP="004854D5">
            <w:pPr>
              <w:pStyle w:val="ATwoLetters"/>
              <w:rPr>
                <w:sz w:val="24"/>
                <w:szCs w:val="24"/>
              </w:rPr>
            </w:pPr>
            <w:r w:rsidRPr="000A1C4F">
              <w:t>BES</w:t>
            </w:r>
          </w:p>
        </w:tc>
      </w:tr>
      <w:tr w:rsidR="00EC2E97" w:rsidRPr="000A1C4F" w14:paraId="55FDF9BB" w14:textId="77777777" w:rsidTr="004854D5">
        <w:trPr>
          <w:cantSplit/>
          <w:trHeight w:val="57"/>
          <w:jc w:val="right"/>
        </w:trPr>
        <w:tc>
          <w:tcPr>
            <w:tcW w:w="1985" w:type="dxa"/>
            <w:gridSpan w:val="2"/>
            <w:tcBorders>
              <w:bottom w:val="single" w:sz="4" w:space="0" w:color="auto"/>
            </w:tcBorders>
          </w:tcPr>
          <w:p w14:paraId="7163FD7E" w14:textId="77777777" w:rsidR="00EC2E97" w:rsidRPr="000A1C4F" w:rsidRDefault="00EC2E97" w:rsidP="004854D5">
            <w:pPr>
              <w:pStyle w:val="Normal-pool"/>
            </w:pPr>
          </w:p>
        </w:tc>
        <w:tc>
          <w:tcPr>
            <w:tcW w:w="4819" w:type="dxa"/>
            <w:tcBorders>
              <w:bottom w:val="single" w:sz="4" w:space="0" w:color="auto"/>
            </w:tcBorders>
          </w:tcPr>
          <w:p w14:paraId="2400B8C5" w14:textId="77777777" w:rsidR="00EC2E97" w:rsidRPr="000A1C4F" w:rsidRDefault="00EC2E97" w:rsidP="004854D5">
            <w:pPr>
              <w:pStyle w:val="Normal-pool"/>
            </w:pPr>
          </w:p>
        </w:tc>
        <w:tc>
          <w:tcPr>
            <w:tcW w:w="2692" w:type="dxa"/>
            <w:gridSpan w:val="2"/>
            <w:tcBorders>
              <w:bottom w:val="single" w:sz="4" w:space="0" w:color="auto"/>
            </w:tcBorders>
          </w:tcPr>
          <w:p w14:paraId="4ABD29EB" w14:textId="3FED3602" w:rsidR="00EC2E97" w:rsidRPr="000A1C4F" w:rsidRDefault="00EC2E97" w:rsidP="004854D5">
            <w:pPr>
              <w:pStyle w:val="ASymbol"/>
            </w:pPr>
            <w:r w:rsidRPr="000A1C4F">
              <w:rPr>
                <w:b/>
                <w:sz w:val="28"/>
                <w:szCs w:val="28"/>
              </w:rPr>
              <w:t>IPBES</w:t>
            </w:r>
            <w:r w:rsidRPr="000A1C4F">
              <w:t>/9/INF/22</w:t>
            </w:r>
          </w:p>
        </w:tc>
      </w:tr>
      <w:tr w:rsidR="00EC2E97" w:rsidRPr="000A1C4F" w14:paraId="53C2D5C0" w14:textId="77777777" w:rsidTr="004854D5">
        <w:trPr>
          <w:cantSplit/>
          <w:trHeight w:val="2098"/>
          <w:jc w:val="right"/>
        </w:trPr>
        <w:tc>
          <w:tcPr>
            <w:tcW w:w="1985" w:type="dxa"/>
            <w:gridSpan w:val="2"/>
            <w:tcBorders>
              <w:top w:val="single" w:sz="4" w:space="0" w:color="auto"/>
              <w:bottom w:val="single" w:sz="24" w:space="0" w:color="auto"/>
            </w:tcBorders>
          </w:tcPr>
          <w:p w14:paraId="0B626137" w14:textId="77777777" w:rsidR="00EC2E97" w:rsidRPr="000A1C4F" w:rsidRDefault="00EC2E97" w:rsidP="004854D5">
            <w:pPr>
              <w:pStyle w:val="AText"/>
              <w:spacing w:before="160"/>
            </w:pPr>
            <w:r w:rsidRPr="000A1C4F">
              <w:rPr>
                <w:noProof/>
              </w:rPr>
              <w:drawing>
                <wp:inline distT="0" distB="0" distL="0" distR="0" wp14:anchorId="0DCA5EEE" wp14:editId="27A895EC">
                  <wp:extent cx="1112520" cy="518795"/>
                  <wp:effectExtent l="0" t="0" r="0" b="0"/>
                  <wp:docPr id="14"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58382C22" w14:textId="77777777" w:rsidR="00EC2E97" w:rsidRPr="000A1C4F" w:rsidRDefault="00EC2E97" w:rsidP="004854D5">
            <w:pPr>
              <w:pStyle w:val="AConvName"/>
              <w:spacing w:before="120"/>
            </w:pPr>
            <w:r w:rsidRPr="000A1C4F">
              <w:t xml:space="preserve">Intergovernmental Science-Policy </w:t>
            </w:r>
            <w:r w:rsidRPr="000A1C4F">
              <w:br/>
              <w:t xml:space="preserve">Platform on Biodiversity and </w:t>
            </w:r>
            <w:r w:rsidRPr="000A1C4F">
              <w:br/>
              <w:t>Ecosystem Services</w:t>
            </w:r>
          </w:p>
        </w:tc>
        <w:tc>
          <w:tcPr>
            <w:tcW w:w="2692" w:type="dxa"/>
            <w:gridSpan w:val="2"/>
            <w:tcBorders>
              <w:top w:val="single" w:sz="4" w:space="0" w:color="auto"/>
              <w:bottom w:val="single" w:sz="24" w:space="0" w:color="auto"/>
            </w:tcBorders>
          </w:tcPr>
          <w:p w14:paraId="7E01F42E" w14:textId="404D520C" w:rsidR="00EC2E97" w:rsidRPr="000A1C4F" w:rsidRDefault="00EC2E97" w:rsidP="004854D5">
            <w:pPr>
              <w:pStyle w:val="AText"/>
            </w:pPr>
            <w:r w:rsidRPr="000A1C4F">
              <w:t>Distr.: General</w:t>
            </w:r>
            <w:r w:rsidRPr="000A1C4F">
              <w:br/>
              <w:t>29 June 2022</w:t>
            </w:r>
          </w:p>
          <w:p w14:paraId="2C019521" w14:textId="166B1BDC" w:rsidR="00EC2E97" w:rsidRPr="000A1C4F" w:rsidRDefault="00EC2E97" w:rsidP="004854D5">
            <w:pPr>
              <w:pStyle w:val="AText"/>
            </w:pPr>
            <w:r w:rsidRPr="000A1C4F">
              <w:t>English only</w:t>
            </w:r>
          </w:p>
        </w:tc>
      </w:tr>
    </w:tbl>
    <w:p w14:paraId="748EFA84" w14:textId="77777777" w:rsidR="00EC2E97" w:rsidRPr="000A1C4F" w:rsidRDefault="00EC2E97" w:rsidP="00EC2E97">
      <w:pPr>
        <w:pStyle w:val="AATitle"/>
      </w:pPr>
      <w:r w:rsidRPr="000A1C4F">
        <w:t xml:space="preserve">Plenary of the Intergovernmental Science-Policy </w:t>
      </w:r>
      <w:r w:rsidRPr="000A1C4F">
        <w:br/>
        <w:t>Platform on Biodiversity and Ecosystem Services</w:t>
      </w:r>
    </w:p>
    <w:p w14:paraId="2C2D9D01" w14:textId="77777777" w:rsidR="00EC2E97" w:rsidRPr="000A1C4F" w:rsidRDefault="00EC2E97" w:rsidP="00EC2E97">
      <w:pPr>
        <w:pStyle w:val="AATitle"/>
      </w:pPr>
      <w:r w:rsidRPr="000A1C4F">
        <w:t>Ninth session</w:t>
      </w:r>
    </w:p>
    <w:p w14:paraId="6CECFD5C" w14:textId="77777777" w:rsidR="00EC2E97" w:rsidRPr="000A1C4F" w:rsidRDefault="00EC2E97" w:rsidP="00EC2E97">
      <w:pPr>
        <w:pStyle w:val="AATitle"/>
        <w:rPr>
          <w:b w:val="0"/>
        </w:rPr>
      </w:pPr>
      <w:r w:rsidRPr="000A1C4F">
        <w:rPr>
          <w:b w:val="0"/>
          <w:lang w:eastAsia="ja-JP"/>
        </w:rPr>
        <w:t>Bonn, Germany, 3–9 July 2022</w:t>
      </w:r>
    </w:p>
    <w:p w14:paraId="5AC0B5FF" w14:textId="77777777" w:rsidR="00EC2E97" w:rsidRPr="000A1C4F" w:rsidRDefault="00EC2E97" w:rsidP="00EC2E97">
      <w:pPr>
        <w:pStyle w:val="AATitle"/>
        <w:rPr>
          <w:b w:val="0"/>
          <w:szCs w:val="18"/>
        </w:rPr>
      </w:pPr>
      <w:r w:rsidRPr="000A1C4F">
        <w:rPr>
          <w:b w:val="0"/>
        </w:rPr>
        <w:t>Item 9 of the provisional agenda</w:t>
      </w:r>
      <w:r w:rsidRPr="000A1C4F">
        <w:rPr>
          <w:b w:val="0"/>
          <w:szCs w:val="18"/>
        </w:rPr>
        <w:footnoteReference w:customMarkFollows="1" w:id="2"/>
        <w:t>*</w:t>
      </w:r>
    </w:p>
    <w:p w14:paraId="2E12CFFB" w14:textId="77777777" w:rsidR="00EC2E97" w:rsidRPr="000A1C4F" w:rsidRDefault="00EC2E97" w:rsidP="00EC2E97">
      <w:pPr>
        <w:pStyle w:val="AATitle2"/>
      </w:pPr>
      <w:r w:rsidRPr="000A1C4F">
        <w:t xml:space="preserve">Improving the effectiveness of the Platform </w:t>
      </w:r>
    </w:p>
    <w:p w14:paraId="77C70ED2" w14:textId="34880F84" w:rsidR="00FA1F59" w:rsidRPr="000A1C4F" w:rsidRDefault="00443C6E" w:rsidP="00FA1F59">
      <w:pPr>
        <w:pStyle w:val="BBTitle"/>
      </w:pPr>
      <w:r w:rsidRPr="000A1C4F">
        <w:t>Review of the</w:t>
      </w:r>
      <w:r w:rsidR="00CE3F08" w:rsidRPr="000A1C4F">
        <w:t xml:space="preserve"> </w:t>
      </w:r>
      <w:r w:rsidR="00805C65" w:rsidRPr="000A1C4F">
        <w:t>nomination and selection process</w:t>
      </w:r>
      <w:r w:rsidRPr="000A1C4F">
        <w:t>es</w:t>
      </w:r>
      <w:r w:rsidR="001313F6" w:rsidRPr="000A1C4F">
        <w:t xml:space="preserve"> of the Intergovernmental Science-Policy Platform</w:t>
      </w:r>
      <w:r w:rsidR="00C31D4E" w:rsidRPr="000A1C4F">
        <w:t xml:space="preserve"> on Biodiversity and Ecosystem Services</w:t>
      </w:r>
    </w:p>
    <w:p w14:paraId="3757FFEF" w14:textId="7FCD9B11" w:rsidR="00443C6E" w:rsidRPr="00DE5427" w:rsidRDefault="00443C6E" w:rsidP="00DE5427">
      <w:pPr>
        <w:pStyle w:val="Normalnumber"/>
        <w:tabs>
          <w:tab w:val="clear" w:pos="567"/>
          <w:tab w:val="clear" w:pos="1247"/>
          <w:tab w:val="clear" w:pos="1814"/>
          <w:tab w:val="clear" w:pos="2381"/>
          <w:tab w:val="clear" w:pos="2948"/>
          <w:tab w:val="clear" w:pos="3515"/>
          <w:tab w:val="clear" w:pos="4082"/>
          <w:tab w:val="num" w:pos="624"/>
        </w:tabs>
        <w:rPr>
          <w:rFonts w:eastAsia="MS Mincho"/>
        </w:rPr>
      </w:pPr>
      <w:r w:rsidRPr="000A1C4F">
        <w:rPr>
          <w:rFonts w:eastAsia="MS Mincho"/>
        </w:rPr>
        <w:t>In decision IPBES</w:t>
      </w:r>
      <w:r w:rsidRPr="000A1C4F">
        <w:rPr>
          <w:rFonts w:eastAsia="MS Mincho"/>
        </w:rPr>
        <w:noBreakHyphen/>
        <w:t>8/1, the Plenary requested the Bureau, the Multidisciplinary Expert Panel and the Executive Secretary of the Intergovernmental Science-Policy Platform on Biodiversity and Ecosystem Services (IPBES), in accordance with their respective mandates, to critically review the process for the nomination and selection of experts, including the implementation of the approach to filling gaps in expertise and disciplinary, regional and gender balance, for scoping and preparing assessments and task forces</w:t>
      </w:r>
      <w:r w:rsidR="00416E62" w:rsidRPr="000A1C4F">
        <w:rPr>
          <w:rFonts w:eastAsia="MS Mincho"/>
        </w:rPr>
        <w:t>,</w:t>
      </w:r>
      <w:r w:rsidRPr="000A1C4F">
        <w:rPr>
          <w:rFonts w:eastAsia="MS Mincho"/>
        </w:rPr>
        <w:t xml:space="preserve"> as outlined in annex I to decision IPBES</w:t>
      </w:r>
      <w:r w:rsidRPr="000A1C4F">
        <w:rPr>
          <w:rFonts w:eastAsia="MS Mincho"/>
        </w:rPr>
        <w:noBreakHyphen/>
        <w:t xml:space="preserve">4/3, including with a view to increasing the participation of practitioners in the assessment process, and to report to the Plenary at its ninth session on progress in that regard. </w:t>
      </w:r>
    </w:p>
    <w:p w14:paraId="087F4D2D" w14:textId="7E885BA8" w:rsidR="0076633D" w:rsidRPr="000A1C4F" w:rsidRDefault="00443C6E" w:rsidP="00DE5427">
      <w:pPr>
        <w:pStyle w:val="Normalnumber"/>
        <w:tabs>
          <w:tab w:val="clear" w:pos="567"/>
          <w:tab w:val="clear" w:pos="1247"/>
          <w:tab w:val="clear" w:pos="1814"/>
          <w:tab w:val="clear" w:pos="2381"/>
          <w:tab w:val="clear" w:pos="2948"/>
          <w:tab w:val="clear" w:pos="3515"/>
          <w:tab w:val="clear" w:pos="4082"/>
          <w:tab w:val="num" w:pos="624"/>
        </w:tabs>
        <w:rPr>
          <w:rFonts w:eastAsia="MS Mincho"/>
        </w:rPr>
      </w:pPr>
      <w:r w:rsidRPr="000A1C4F">
        <w:rPr>
          <w:rFonts w:eastAsia="MS Mincho"/>
        </w:rPr>
        <w:t xml:space="preserve">The secretariat has prepared an analysis of </w:t>
      </w:r>
      <w:r w:rsidR="0076633D" w:rsidRPr="000A1C4F">
        <w:rPr>
          <w:rFonts w:eastAsia="MS Mincho"/>
        </w:rPr>
        <w:t xml:space="preserve">major </w:t>
      </w:r>
      <w:r w:rsidRPr="000A1C4F">
        <w:rPr>
          <w:rFonts w:eastAsia="MS Mincho"/>
        </w:rPr>
        <w:t xml:space="preserve">nomination and selection processes conducted </w:t>
      </w:r>
      <w:r w:rsidR="0076633D" w:rsidRPr="000A1C4F">
        <w:rPr>
          <w:rFonts w:eastAsia="MS Mincho"/>
        </w:rPr>
        <w:t>since the inception of IPBES</w:t>
      </w:r>
      <w:r w:rsidR="00147CEC" w:rsidRPr="000A1C4F">
        <w:rPr>
          <w:rFonts w:eastAsia="MS Mincho"/>
        </w:rPr>
        <w:t xml:space="preserve">, </w:t>
      </w:r>
      <w:r w:rsidR="00224C07" w:rsidRPr="000A1C4F">
        <w:rPr>
          <w:rFonts w:eastAsia="MS Mincho"/>
        </w:rPr>
        <w:t>focusing on</w:t>
      </w:r>
      <w:r w:rsidR="004D2EE8" w:rsidRPr="000A1C4F">
        <w:rPr>
          <w:rFonts w:eastAsia="MS Mincho"/>
        </w:rPr>
        <w:t xml:space="preserve"> regional and gender balance</w:t>
      </w:r>
      <w:r w:rsidR="002674E3" w:rsidRPr="000A1C4F">
        <w:rPr>
          <w:rFonts w:eastAsia="MS Mincho"/>
        </w:rPr>
        <w:t xml:space="preserve"> and</w:t>
      </w:r>
      <w:r w:rsidR="004D2EE8" w:rsidRPr="000A1C4F">
        <w:rPr>
          <w:rFonts w:eastAsia="MS Mincho"/>
        </w:rPr>
        <w:t xml:space="preserve"> the use of the procedure </w:t>
      </w:r>
      <w:r w:rsidR="00063815" w:rsidRPr="000A1C4F">
        <w:rPr>
          <w:rFonts w:eastAsia="MS Mincho"/>
        </w:rPr>
        <w:t>for</w:t>
      </w:r>
      <w:r w:rsidR="004D2EE8" w:rsidRPr="000A1C4F">
        <w:rPr>
          <w:rFonts w:eastAsia="MS Mincho"/>
        </w:rPr>
        <w:t xml:space="preserve"> fill</w:t>
      </w:r>
      <w:r w:rsidR="00063815" w:rsidRPr="000A1C4F">
        <w:rPr>
          <w:rFonts w:eastAsia="MS Mincho"/>
        </w:rPr>
        <w:t>ing</w:t>
      </w:r>
      <w:r w:rsidR="004D2EE8" w:rsidRPr="000A1C4F">
        <w:rPr>
          <w:rFonts w:eastAsia="MS Mincho"/>
        </w:rPr>
        <w:t xml:space="preserve"> gaps in expertise</w:t>
      </w:r>
      <w:r w:rsidR="00063815" w:rsidRPr="000A1C4F">
        <w:rPr>
          <w:rFonts w:eastAsia="MS Mincho"/>
        </w:rPr>
        <w:t xml:space="preserve"> set out in annex I to decision IPBES-4/3</w:t>
      </w:r>
      <w:r w:rsidR="004D2EE8" w:rsidRPr="000A1C4F">
        <w:rPr>
          <w:rFonts w:eastAsia="MS Mincho"/>
        </w:rPr>
        <w:t xml:space="preserve">. </w:t>
      </w:r>
      <w:r w:rsidR="0076633D" w:rsidRPr="000A1C4F">
        <w:rPr>
          <w:rFonts w:eastAsia="MS Mincho"/>
        </w:rPr>
        <w:t>To date, the secretariat ha</w:t>
      </w:r>
      <w:r w:rsidR="00507A77" w:rsidRPr="000A1C4F">
        <w:rPr>
          <w:rFonts w:eastAsia="MS Mincho"/>
        </w:rPr>
        <w:t>s</w:t>
      </w:r>
      <w:r w:rsidR="0076633D" w:rsidRPr="000A1C4F">
        <w:rPr>
          <w:rFonts w:eastAsia="MS Mincho"/>
        </w:rPr>
        <w:t xml:space="preserve"> not systematically documented information on disciplinary balance</w:t>
      </w:r>
      <w:r w:rsidR="00E433BD" w:rsidRPr="000A1C4F">
        <w:rPr>
          <w:rFonts w:eastAsia="MS Mincho"/>
        </w:rPr>
        <w:t>,</w:t>
      </w:r>
      <w:r w:rsidR="00F16D94" w:rsidRPr="000A1C4F">
        <w:rPr>
          <w:rFonts w:eastAsia="MS Mincho"/>
        </w:rPr>
        <w:t xml:space="preserve"> and</w:t>
      </w:r>
      <w:r w:rsidR="0076633D" w:rsidRPr="000A1C4F">
        <w:rPr>
          <w:rFonts w:eastAsia="MS Mincho"/>
        </w:rPr>
        <w:t xml:space="preserve"> therefore insufficient data w</w:t>
      </w:r>
      <w:r w:rsidR="00E433BD" w:rsidRPr="000A1C4F">
        <w:rPr>
          <w:rFonts w:eastAsia="MS Mincho"/>
        </w:rPr>
        <w:t>ere</w:t>
      </w:r>
      <w:r w:rsidR="0076633D" w:rsidRPr="000A1C4F">
        <w:rPr>
          <w:rFonts w:eastAsia="MS Mincho"/>
        </w:rPr>
        <w:t xml:space="preserve"> available to include an analysis of th</w:t>
      </w:r>
      <w:r w:rsidR="003D511E" w:rsidRPr="000A1C4F">
        <w:rPr>
          <w:rFonts w:eastAsia="MS Mincho"/>
        </w:rPr>
        <w:t>at</w:t>
      </w:r>
      <w:r w:rsidR="0076633D" w:rsidRPr="000A1C4F">
        <w:rPr>
          <w:rFonts w:eastAsia="MS Mincho"/>
        </w:rPr>
        <w:t xml:space="preserve"> aspect. The secretariat plans to systematically collect data relevant to disciplinary background for future calls for nominations. </w:t>
      </w:r>
    </w:p>
    <w:p w14:paraId="46023323" w14:textId="4A8127DE" w:rsidR="00443C6E" w:rsidRPr="000A1C4F" w:rsidRDefault="0076633D" w:rsidP="00DE5427">
      <w:pPr>
        <w:pStyle w:val="Normalnumber"/>
        <w:tabs>
          <w:tab w:val="clear" w:pos="567"/>
          <w:tab w:val="clear" w:pos="1247"/>
          <w:tab w:val="clear" w:pos="1814"/>
          <w:tab w:val="clear" w:pos="2381"/>
          <w:tab w:val="clear" w:pos="2948"/>
          <w:tab w:val="clear" w:pos="3515"/>
          <w:tab w:val="clear" w:pos="4082"/>
          <w:tab w:val="num" w:pos="624"/>
        </w:tabs>
        <w:rPr>
          <w:rFonts w:eastAsia="MS Mincho"/>
        </w:rPr>
      </w:pPr>
      <w:r w:rsidRPr="000A1C4F">
        <w:rPr>
          <w:rFonts w:eastAsia="MS Mincho"/>
        </w:rPr>
        <w:t>The analysis of nomination and selection processes</w:t>
      </w:r>
      <w:r w:rsidR="00147CEC" w:rsidRPr="000A1C4F">
        <w:rPr>
          <w:rFonts w:eastAsia="MS Mincho"/>
        </w:rPr>
        <w:t xml:space="preserve">, </w:t>
      </w:r>
      <w:r w:rsidR="00224C07" w:rsidRPr="000A1C4F">
        <w:rPr>
          <w:rFonts w:eastAsia="MS Mincho"/>
        </w:rPr>
        <w:t>focusing on</w:t>
      </w:r>
      <w:r w:rsidRPr="000A1C4F">
        <w:rPr>
          <w:rFonts w:eastAsia="MS Mincho"/>
        </w:rPr>
        <w:t xml:space="preserve"> regional and gender balance </w:t>
      </w:r>
      <w:r w:rsidR="00E551A1" w:rsidRPr="000A1C4F">
        <w:rPr>
          <w:rFonts w:eastAsia="MS Mincho"/>
        </w:rPr>
        <w:t>and</w:t>
      </w:r>
      <w:r w:rsidRPr="000A1C4F">
        <w:rPr>
          <w:rFonts w:eastAsia="MS Mincho"/>
        </w:rPr>
        <w:t xml:space="preserve"> the use of the procedure </w:t>
      </w:r>
      <w:r w:rsidR="00063815" w:rsidRPr="000A1C4F">
        <w:rPr>
          <w:rFonts w:eastAsia="MS Mincho"/>
        </w:rPr>
        <w:t>for</w:t>
      </w:r>
      <w:r w:rsidRPr="000A1C4F">
        <w:rPr>
          <w:rFonts w:eastAsia="MS Mincho"/>
        </w:rPr>
        <w:t xml:space="preserve"> fill</w:t>
      </w:r>
      <w:r w:rsidR="00063815" w:rsidRPr="000A1C4F">
        <w:rPr>
          <w:rFonts w:eastAsia="MS Mincho"/>
        </w:rPr>
        <w:t>ing</w:t>
      </w:r>
      <w:r w:rsidRPr="000A1C4F">
        <w:rPr>
          <w:rFonts w:eastAsia="MS Mincho"/>
        </w:rPr>
        <w:t xml:space="preserve"> gaps in expertise</w:t>
      </w:r>
      <w:r w:rsidR="00147CEC" w:rsidRPr="000A1C4F">
        <w:rPr>
          <w:rFonts w:eastAsia="MS Mincho"/>
        </w:rPr>
        <w:t>,</w:t>
      </w:r>
      <w:r w:rsidRPr="000A1C4F">
        <w:rPr>
          <w:rFonts w:eastAsia="MS Mincho"/>
        </w:rPr>
        <w:t xml:space="preserve"> is set out in the annex to th</w:t>
      </w:r>
      <w:r w:rsidR="00235BE4" w:rsidRPr="000A1C4F">
        <w:rPr>
          <w:rFonts w:eastAsia="MS Mincho"/>
        </w:rPr>
        <w:t>e present</w:t>
      </w:r>
      <w:r w:rsidRPr="000A1C4F">
        <w:rPr>
          <w:rFonts w:eastAsia="MS Mincho"/>
        </w:rPr>
        <w:t xml:space="preserve"> note</w:t>
      </w:r>
      <w:r w:rsidR="006A66AB" w:rsidRPr="000A1C4F">
        <w:rPr>
          <w:rFonts w:eastAsia="MS Mincho"/>
        </w:rPr>
        <w:t xml:space="preserve">, </w:t>
      </w:r>
      <w:r w:rsidRPr="000A1C4F">
        <w:rPr>
          <w:rFonts w:eastAsia="MS Mincho"/>
        </w:rPr>
        <w:t xml:space="preserve">without formal editing. </w:t>
      </w:r>
    </w:p>
    <w:p w14:paraId="4A960360" w14:textId="4D79C6A5" w:rsidR="00FA1F59" w:rsidRPr="000A1C4F" w:rsidRDefault="00FA1F59">
      <w:pPr>
        <w:spacing w:after="120" w:line="264" w:lineRule="auto"/>
      </w:pPr>
      <w:r w:rsidRPr="000A1C4F">
        <w:br w:type="page"/>
      </w:r>
    </w:p>
    <w:p w14:paraId="780C5A01" w14:textId="6C5B6C8D" w:rsidR="00FA1F59" w:rsidRPr="000A1C4F" w:rsidRDefault="00443C6E" w:rsidP="00443C6E">
      <w:pPr>
        <w:pStyle w:val="ZZAnxheader"/>
      </w:pPr>
      <w:r w:rsidRPr="000A1C4F">
        <w:lastRenderedPageBreak/>
        <w:t>Annex</w:t>
      </w:r>
      <w:bookmarkStart w:id="0" w:name="_Hlk76459712"/>
      <w:bookmarkStart w:id="1" w:name="_Hlk69114350"/>
      <w:r w:rsidR="00A54005" w:rsidRPr="000A1C4F">
        <w:rPr>
          <w:b w:val="0"/>
          <w:bCs w:val="0"/>
        </w:rPr>
        <w:footnoteReference w:customMarkFollows="1" w:id="3"/>
        <w:t>*</w:t>
      </w:r>
      <w:bookmarkEnd w:id="0"/>
      <w:bookmarkEnd w:id="1"/>
    </w:p>
    <w:p w14:paraId="086F3FCE" w14:textId="1704CA74" w:rsidR="00646E10" w:rsidRPr="000A1C4F" w:rsidRDefault="00646E10" w:rsidP="00190091">
      <w:pPr>
        <w:pStyle w:val="ZZAnxtitle"/>
      </w:pPr>
      <w:r w:rsidRPr="000A1C4F">
        <w:t>Review of the IPBES nomination and selection processes</w:t>
      </w:r>
    </w:p>
    <w:p w14:paraId="65556057" w14:textId="49E3019A" w:rsidR="00646E10" w:rsidRPr="000A1C4F" w:rsidRDefault="00646E10" w:rsidP="0019009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r w:rsidRPr="000A1C4F">
        <w:t xml:space="preserve">Since its inception, IPBES received </w:t>
      </w:r>
      <w:r w:rsidR="00556B0A" w:rsidRPr="000A1C4F">
        <w:t>75</w:t>
      </w:r>
      <w:r w:rsidR="0033702C" w:rsidRPr="000A1C4F">
        <w:t>17</w:t>
      </w:r>
      <w:r w:rsidR="00556B0A" w:rsidRPr="000A1C4F">
        <w:t xml:space="preserve"> </w:t>
      </w:r>
      <w:r w:rsidRPr="000A1C4F">
        <w:t xml:space="preserve">applications for experts to participate in IPBES processes related to assessments and task forces. Out of these </w:t>
      </w:r>
      <w:r w:rsidR="000110C5" w:rsidRPr="000A1C4F">
        <w:t>75</w:t>
      </w:r>
      <w:r w:rsidR="0033702C" w:rsidRPr="000A1C4F">
        <w:t>17</w:t>
      </w:r>
      <w:r w:rsidR="000110C5" w:rsidRPr="000A1C4F">
        <w:t xml:space="preserve"> </w:t>
      </w:r>
      <w:r w:rsidRPr="000A1C4F">
        <w:t>applications, 8</w:t>
      </w:r>
      <w:r w:rsidR="000110C5" w:rsidRPr="000A1C4F">
        <w:t>1</w:t>
      </w:r>
      <w:r w:rsidRPr="000A1C4F">
        <w:t>% (</w:t>
      </w:r>
      <w:r w:rsidR="000110C5" w:rsidRPr="000A1C4F">
        <w:t>607</w:t>
      </w:r>
      <w:r w:rsidR="0033702C" w:rsidRPr="000A1C4F">
        <w:t>0</w:t>
      </w:r>
      <w:r w:rsidR="000110C5" w:rsidRPr="000A1C4F">
        <w:t xml:space="preserve"> </w:t>
      </w:r>
      <w:r w:rsidRPr="000A1C4F">
        <w:t xml:space="preserve">applications) were confirmed as nominations by Governments or stakeholder organizations. </w:t>
      </w:r>
    </w:p>
    <w:p w14:paraId="267E8F24" w14:textId="11807055" w:rsidR="00BF7389" w:rsidRPr="000A1C4F" w:rsidRDefault="000C50DB" w:rsidP="00F860E2">
      <w:pPr>
        <w:keepNext/>
        <w:tabs>
          <w:tab w:val="left" w:pos="1247"/>
          <w:tab w:val="left" w:pos="1814"/>
          <w:tab w:val="left" w:pos="2381"/>
          <w:tab w:val="left" w:pos="2948"/>
          <w:tab w:val="left" w:pos="3515"/>
          <w:tab w:val="left" w:pos="4082"/>
        </w:tabs>
        <w:spacing w:after="240"/>
        <w:ind w:left="1247"/>
      </w:pPr>
      <w:r w:rsidRPr="000A1C4F">
        <w:rPr>
          <w:noProof/>
        </w:rPr>
        <w:drawing>
          <wp:inline distT="0" distB="0" distL="0" distR="0" wp14:anchorId="204473A5" wp14:editId="33D1C5D6">
            <wp:extent cx="5205412" cy="1701165"/>
            <wp:effectExtent l="0" t="0" r="14605" b="13335"/>
            <wp:docPr id="1" name="Chart 1">
              <a:extLst xmlns:a="http://schemas.openxmlformats.org/drawingml/2006/main">
                <a:ext uri="{FF2B5EF4-FFF2-40B4-BE49-F238E27FC236}">
                  <a16:creationId xmlns:a16="http://schemas.microsoft.com/office/drawing/2014/main" id="{BB1039A7-96CF-4B88-A82A-1D0664A104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5DDD99" w14:textId="1569FBF2" w:rsidR="00646E10" w:rsidRPr="000A1C4F" w:rsidRDefault="00BF7389" w:rsidP="00A4687E">
      <w:pPr>
        <w:pStyle w:val="Titlefigure"/>
        <w:spacing w:after="120"/>
        <w:jc w:val="center"/>
        <w:rPr>
          <w:rFonts w:eastAsia="Times New Roman"/>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008F3C20" w:rsidRPr="000A1C4F">
        <w:rPr>
          <w:b w:val="0"/>
          <w:bCs/>
          <w:i/>
          <w:iCs/>
          <w:noProof/>
        </w:rPr>
        <w:t>1</w:t>
      </w:r>
      <w:r w:rsidRPr="000A1C4F">
        <w:rPr>
          <w:b w:val="0"/>
          <w:bCs/>
          <w:i/>
          <w:iCs/>
        </w:rPr>
        <w:fldChar w:fldCharType="end"/>
      </w:r>
      <w:r w:rsidRPr="000A1C4F">
        <w:rPr>
          <w:b w:val="0"/>
          <w:bCs/>
          <w:i/>
          <w:iCs/>
        </w:rPr>
        <w:t>: Nominations vs</w:t>
      </w:r>
      <w:r w:rsidR="00966FB9" w:rsidRPr="000A1C4F">
        <w:rPr>
          <w:b w:val="0"/>
          <w:bCs/>
          <w:i/>
          <w:iCs/>
        </w:rPr>
        <w:t>.</w:t>
      </w:r>
      <w:r w:rsidRPr="000A1C4F">
        <w:rPr>
          <w:b w:val="0"/>
          <w:bCs/>
          <w:i/>
          <w:iCs/>
        </w:rPr>
        <w:t xml:space="preserve"> applications</w:t>
      </w:r>
      <w:r w:rsidR="00966FB9" w:rsidRPr="000A1C4F">
        <w:rPr>
          <w:b w:val="0"/>
          <w:bCs/>
          <w:i/>
          <w:iCs/>
        </w:rPr>
        <w:t xml:space="preserve"> received</w:t>
      </w:r>
    </w:p>
    <w:p w14:paraId="49CA8739" w14:textId="32196A07" w:rsidR="00646E10" w:rsidRPr="000A1C4F" w:rsidRDefault="00646E10" w:rsidP="0019009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bookmarkStart w:id="2" w:name="_Hlk93923861"/>
      <w:r w:rsidRPr="000A1C4F">
        <w:rPr>
          <w:rFonts w:eastAsia="Times New Roman"/>
        </w:rPr>
        <w:t xml:space="preserve">Out of these </w:t>
      </w:r>
      <w:r w:rsidR="000110C5" w:rsidRPr="000A1C4F">
        <w:rPr>
          <w:rFonts w:eastAsia="Times New Roman"/>
        </w:rPr>
        <w:t>607</w:t>
      </w:r>
      <w:r w:rsidR="0033702C" w:rsidRPr="000A1C4F">
        <w:rPr>
          <w:rFonts w:eastAsia="Times New Roman"/>
        </w:rPr>
        <w:t>0</w:t>
      </w:r>
      <w:r w:rsidR="000110C5" w:rsidRPr="000A1C4F">
        <w:rPr>
          <w:rFonts w:eastAsia="Times New Roman"/>
        </w:rPr>
        <w:t xml:space="preserve"> </w:t>
      </w:r>
      <w:r w:rsidRPr="000A1C4F">
        <w:rPr>
          <w:rFonts w:eastAsia="Times New Roman"/>
        </w:rPr>
        <w:t xml:space="preserve">nominations, 7% </w:t>
      </w:r>
      <w:r w:rsidR="00913E22" w:rsidRPr="000A1C4F">
        <w:rPr>
          <w:rFonts w:eastAsia="Times New Roman"/>
        </w:rPr>
        <w:t xml:space="preserve">were experts </w:t>
      </w:r>
      <w:r w:rsidRPr="000A1C4F">
        <w:rPr>
          <w:rFonts w:eastAsia="Times New Roman"/>
        </w:rPr>
        <w:t>from the Eastern European Region, 1</w:t>
      </w:r>
      <w:r w:rsidR="00D9553B" w:rsidRPr="000A1C4F">
        <w:rPr>
          <w:rFonts w:eastAsia="Times New Roman"/>
        </w:rPr>
        <w:t>7</w:t>
      </w:r>
      <w:r w:rsidRPr="000A1C4F">
        <w:rPr>
          <w:rFonts w:eastAsia="Times New Roman"/>
        </w:rPr>
        <w:t>% from the Latin America and the Caribbean Region, 17% from the African Region, 2</w:t>
      </w:r>
      <w:r w:rsidR="00D9553B" w:rsidRPr="000A1C4F">
        <w:rPr>
          <w:rFonts w:eastAsia="Times New Roman"/>
        </w:rPr>
        <w:t>0</w:t>
      </w:r>
      <w:r w:rsidRPr="000A1C4F">
        <w:rPr>
          <w:rFonts w:eastAsia="Times New Roman"/>
        </w:rPr>
        <w:t xml:space="preserve">% from the </w:t>
      </w:r>
      <w:r w:rsidR="00A4687E" w:rsidRPr="000A1C4F">
        <w:rPr>
          <w:rFonts w:eastAsia="Times New Roman"/>
        </w:rPr>
        <w:t>Asia</w:t>
      </w:r>
      <w:r w:rsidR="00A4687E" w:rsidRPr="000A1C4F">
        <w:rPr>
          <w:rFonts w:eastAsia="Times New Roman"/>
        </w:rPr>
        <w:noBreakHyphen/>
      </w:r>
      <w:r w:rsidRPr="000A1C4F">
        <w:rPr>
          <w:rFonts w:eastAsia="Times New Roman"/>
        </w:rPr>
        <w:t xml:space="preserve">Pacific Region, and 39% from the Group of Western European and Other countries. </w:t>
      </w:r>
      <w:r w:rsidR="00E46578" w:rsidRPr="000A1C4F">
        <w:rPr>
          <w:rFonts w:eastAsia="Times New Roman"/>
        </w:rPr>
        <w:t>The nominations were submitted</w:t>
      </w:r>
      <w:r w:rsidR="00950D90" w:rsidRPr="000A1C4F">
        <w:rPr>
          <w:rFonts w:eastAsia="Times New Roman"/>
        </w:rPr>
        <w:t xml:space="preserve"> from 130 Governments as follow</w:t>
      </w:r>
      <w:r w:rsidR="00EF69D2" w:rsidRPr="000A1C4F">
        <w:rPr>
          <w:rFonts w:eastAsia="Times New Roman"/>
        </w:rPr>
        <w:t>s:</w:t>
      </w:r>
      <w:r w:rsidR="00995ED3" w:rsidRPr="000A1C4F">
        <w:t xml:space="preserve"> </w:t>
      </w:r>
      <w:r w:rsidR="00995ED3" w:rsidRPr="000A1C4F">
        <w:rPr>
          <w:rFonts w:eastAsia="Times New Roman"/>
        </w:rPr>
        <w:t>France (239)</w:t>
      </w:r>
      <w:r w:rsidR="00DF2E76" w:rsidRPr="000A1C4F">
        <w:rPr>
          <w:rFonts w:eastAsia="Times New Roman"/>
        </w:rPr>
        <w:t xml:space="preserve">, </w:t>
      </w:r>
      <w:r w:rsidR="00995ED3" w:rsidRPr="000A1C4F">
        <w:t>China (217), United</w:t>
      </w:r>
      <w:r w:rsidR="00A4687E" w:rsidRPr="000A1C4F">
        <w:t> </w:t>
      </w:r>
      <w:r w:rsidR="00995ED3" w:rsidRPr="000A1C4F">
        <w:t xml:space="preserve">States of America (165), Germany (155), United Kingdom of Great Britain and Northern Ireland (125), India (110), Mexico (110), Japan (110), Spain (101), Norway (95), Brazil (90), Argentina (90), South Africa (87), Australia (84), Sweden (71), </w:t>
      </w:r>
      <w:proofErr w:type="spellStart"/>
      <w:r w:rsidR="00063815" w:rsidRPr="000A1C4F">
        <w:t>Türkiye</w:t>
      </w:r>
      <w:proofErr w:type="spellEnd"/>
      <w:r w:rsidR="00995ED3" w:rsidRPr="000A1C4F">
        <w:t xml:space="preserve"> (67), Switzerland (65), Netherlands (65), Republic of Korea (63), Belgium (63), Canada (62), Nigeria (55), Madagascar (52), Hungary (44), Bolivia (Plurinational State of) (43), United Republic of Tanzania (36), Colombia (36), New Zealand (35), Cuba (35), Malaysia (34), Portugal (33), Zambia (32), Finland (31), Chile (29), Nepal (29), Uruguay (27), Ethiopia (26), Egypt (26), Sudan (26), Kenya (26), Indonesia (24), Trinidad and Tobago (23), Pakistan (22), Cameroon (21), Ireland (20), Georgia (19), Bosnia and Herzegovina (19), Peru (19), Denmark (18), Uganda (17), Côte d'Ivoire (17), Costa Rica (16), Morocco (15), Liberia (14), Latvia (13), Ghana (13), Czechia (13), Botswana (13), Guatemala (13), Myanmar (13), Bulgaria (12), Algeria (12), Togo (11), Comoros (11), Slovakia (11), Italy (11), Yemen (10), Iran (Islamic Republic of) (10), Republic of Moldova (9), Croatia (9), Grenada (9), Benin (9), Israel (9), Russian Federation (8), Austria (7), Bhutan (6), Senegal (6), Malawi (6), Saint Lucia (6), Somalia (5), Ukraine (5), Democratic Republic of the Congo (5), Uzbekistan (5), Luxembourg (5), Central African Republic (5), Ecuador (4), Dominican Republic (4), Romania (4), Bangladesh (4), Lebanon (4), Tunisia (3), Burkina Faso (3), Zimbabwe (3), Belarus (3), Niger (3), European Union (3), Azerbaijan (3), Antigua and Barbuda (3), Guinea-Bissau (2), North Macedonia (2), Jamaica (2), Philippines (2), Dominica (2), Saudi Arabia (2), Estonia (2), Jordan (2), Guyana (2), Congo (2), Gambia (2), Haiti (2), Afghanistan (2), Kuwait (1), Tajikistan (1), Cambodia (1), Fiji (1), Venezuela (Bolivarian Republic of) (1), Armenia (1), Thailand (1), Eswatini (1), Palau (1), Chad (1), Vanuatu (1), Honduras (1), Viet Nam (1), Eritrea (1), Kyrgyzstan (1), Sri Lanka (1), Timor-Leste (1), Guinea (1), Serbia (1)</w:t>
      </w:r>
      <w:r w:rsidR="00EF69D2" w:rsidRPr="000A1C4F">
        <w:t>.</w:t>
      </w:r>
    </w:p>
    <w:p w14:paraId="7272BEEE" w14:textId="23C52192" w:rsidR="00AA0462" w:rsidRPr="000A1C4F" w:rsidRDefault="006F537B" w:rsidP="00646E10">
      <w:pPr>
        <w:tabs>
          <w:tab w:val="left" w:pos="1247"/>
          <w:tab w:val="left" w:pos="1814"/>
          <w:tab w:val="left" w:pos="2381"/>
          <w:tab w:val="left" w:pos="2948"/>
          <w:tab w:val="left" w:pos="3515"/>
          <w:tab w:val="left" w:pos="4082"/>
        </w:tabs>
        <w:spacing w:after="240"/>
        <w:ind w:left="1247"/>
        <w:rPr>
          <w:rFonts w:eastAsia="Times New Roman"/>
          <w:lang w:eastAsia="en-US"/>
        </w:rPr>
      </w:pPr>
      <w:r w:rsidRPr="000A1C4F">
        <w:rPr>
          <w:noProof/>
        </w:rPr>
        <w:lastRenderedPageBreak/>
        <w:drawing>
          <wp:inline distT="0" distB="0" distL="0" distR="0" wp14:anchorId="5CA5A9F1" wp14:editId="36E714A2">
            <wp:extent cx="5048250" cy="2262187"/>
            <wp:effectExtent l="0" t="0" r="0" b="5080"/>
            <wp:docPr id="3" name="Chart 3">
              <a:extLst xmlns:a="http://schemas.openxmlformats.org/drawingml/2006/main">
                <a:ext uri="{FF2B5EF4-FFF2-40B4-BE49-F238E27FC236}">
                  <a16:creationId xmlns:a16="http://schemas.microsoft.com/office/drawing/2014/main" id="{0122B019-EE00-401F-9C3C-5088A37CC0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20C422" w14:textId="738AB1CE" w:rsidR="0032109C" w:rsidRPr="000A1C4F" w:rsidRDefault="0032109C" w:rsidP="00A4687E">
      <w:pPr>
        <w:pStyle w:val="Titlefigure"/>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008F3C20" w:rsidRPr="000A1C4F">
        <w:rPr>
          <w:b w:val="0"/>
          <w:bCs/>
          <w:i/>
          <w:iCs/>
        </w:rPr>
        <w:t>2</w:t>
      </w:r>
      <w:r w:rsidRPr="000A1C4F">
        <w:rPr>
          <w:b w:val="0"/>
          <w:bCs/>
          <w:i/>
          <w:iCs/>
        </w:rPr>
        <w:fldChar w:fldCharType="end"/>
      </w:r>
      <w:r w:rsidRPr="000A1C4F">
        <w:rPr>
          <w:b w:val="0"/>
          <w:bCs/>
          <w:i/>
          <w:iCs/>
        </w:rPr>
        <w:t xml:space="preserve">: Nominations vs </w:t>
      </w:r>
      <w:r w:rsidR="009F7A02" w:rsidRPr="000A1C4F">
        <w:rPr>
          <w:b w:val="0"/>
          <w:bCs/>
          <w:i/>
          <w:iCs/>
        </w:rPr>
        <w:t>non-endorsed applications</w:t>
      </w:r>
      <w:r w:rsidRPr="000A1C4F">
        <w:rPr>
          <w:b w:val="0"/>
          <w:bCs/>
          <w:i/>
          <w:iCs/>
        </w:rPr>
        <w:t xml:space="preserve"> by region</w:t>
      </w:r>
    </w:p>
    <w:p w14:paraId="79B27397" w14:textId="77777777" w:rsidR="00646E10" w:rsidRPr="000A1C4F" w:rsidRDefault="00646E10" w:rsidP="00683CDA">
      <w:pPr>
        <w:pStyle w:val="Normal-pool"/>
        <w:numPr>
          <w:ilvl w:val="0"/>
          <w:numId w:val="5"/>
        </w:numPr>
        <w:tabs>
          <w:tab w:val="clear" w:pos="1247"/>
          <w:tab w:val="clear" w:pos="1814"/>
          <w:tab w:val="clear" w:pos="2381"/>
          <w:tab w:val="clear" w:pos="2948"/>
          <w:tab w:val="clear" w:pos="3515"/>
          <w:tab w:val="clear" w:pos="4082"/>
          <w:tab w:val="left" w:pos="624"/>
        </w:tabs>
        <w:spacing w:before="120" w:after="120"/>
        <w:ind w:left="1247" w:firstLine="0"/>
        <w:rPr>
          <w:rFonts w:eastAsia="Times New Roman"/>
        </w:rPr>
      </w:pPr>
      <w:r w:rsidRPr="000A1C4F">
        <w:rPr>
          <w:rFonts w:eastAsia="Times New Roman"/>
        </w:rPr>
        <w:t xml:space="preserve">In terms of gender, 63% of the nominees were male, 37% female. </w:t>
      </w:r>
    </w:p>
    <w:p w14:paraId="0559C76A" w14:textId="05EC3339" w:rsidR="00A25266" w:rsidRPr="000A1C4F" w:rsidRDefault="00646E10" w:rsidP="0019009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0A1C4F">
        <w:rPr>
          <w:rFonts w:eastAsia="Times New Roman"/>
        </w:rPr>
        <w:t xml:space="preserve">The </w:t>
      </w:r>
      <w:r w:rsidRPr="000A1C4F">
        <w:t>following</w:t>
      </w:r>
      <w:r w:rsidRPr="000A1C4F">
        <w:rPr>
          <w:rFonts w:eastAsia="Times New Roman"/>
        </w:rPr>
        <w:t xml:space="preserve"> figure shows the number of nominations for each region for each assessment-related process: </w:t>
      </w:r>
    </w:p>
    <w:p w14:paraId="22ABFACF" w14:textId="0845B4E4" w:rsidR="00E75DC6" w:rsidRPr="000A1C4F" w:rsidRDefault="00BE6454" w:rsidP="001C4046">
      <w:pPr>
        <w:spacing w:after="240"/>
        <w:ind w:left="1247"/>
        <w:rPr>
          <w:rFonts w:eastAsia="Times New Roman"/>
          <w:lang w:eastAsia="en-US"/>
        </w:rPr>
      </w:pPr>
      <w:r w:rsidRPr="000A1C4F">
        <w:rPr>
          <w:noProof/>
        </w:rPr>
        <w:drawing>
          <wp:inline distT="0" distB="0" distL="0" distR="0" wp14:anchorId="179559C8" wp14:editId="4F46755E">
            <wp:extent cx="5605145" cy="3152457"/>
            <wp:effectExtent l="0" t="0" r="14605" b="10160"/>
            <wp:docPr id="7" name="Chart 7">
              <a:extLst xmlns:a="http://schemas.openxmlformats.org/drawingml/2006/main">
                <a:ext uri="{FF2B5EF4-FFF2-40B4-BE49-F238E27FC236}">
                  <a16:creationId xmlns:a16="http://schemas.microsoft.com/office/drawing/2014/main" id="{0854C815-6ACB-4DC9-8629-A416E85E0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576FEB" w14:textId="60232C05" w:rsidR="005004E6" w:rsidRPr="000A1C4F" w:rsidRDefault="005004E6" w:rsidP="00A4687E">
      <w:pPr>
        <w:pStyle w:val="Titlefigure"/>
        <w:keepNext w:val="0"/>
        <w:keepLines w:val="0"/>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008F3C20" w:rsidRPr="000A1C4F">
        <w:rPr>
          <w:b w:val="0"/>
          <w:bCs/>
          <w:i/>
          <w:iCs/>
        </w:rPr>
        <w:t>3</w:t>
      </w:r>
      <w:r w:rsidRPr="000A1C4F">
        <w:rPr>
          <w:b w:val="0"/>
          <w:bCs/>
          <w:i/>
          <w:iCs/>
        </w:rPr>
        <w:fldChar w:fldCharType="end"/>
      </w:r>
      <w:r w:rsidR="00DE2B12" w:rsidRPr="000A1C4F">
        <w:rPr>
          <w:b w:val="0"/>
          <w:bCs/>
          <w:i/>
          <w:iCs/>
        </w:rPr>
        <w:t>a</w:t>
      </w:r>
      <w:r w:rsidR="00175229" w:rsidRPr="000A1C4F">
        <w:rPr>
          <w:b w:val="0"/>
          <w:bCs/>
          <w:i/>
          <w:iCs/>
        </w:rPr>
        <w:t>:</w:t>
      </w:r>
      <w:r w:rsidRPr="000A1C4F">
        <w:rPr>
          <w:b w:val="0"/>
          <w:bCs/>
          <w:i/>
          <w:iCs/>
        </w:rPr>
        <w:t xml:space="preserve"> Number of nominations for each region for each assessment-related process</w:t>
      </w:r>
      <w:r w:rsidR="003B018E" w:rsidRPr="000A1C4F">
        <w:rPr>
          <w:b w:val="0"/>
          <w:bCs/>
          <w:i/>
          <w:iCs/>
        </w:rPr>
        <w:t xml:space="preserve"> (excludes regional assessments</w:t>
      </w:r>
      <w:r w:rsidR="00AF6C39" w:rsidRPr="000A1C4F">
        <w:rPr>
          <w:b w:val="0"/>
          <w:bCs/>
          <w:i/>
          <w:iCs/>
        </w:rPr>
        <w:t>; for entries listed “blank” no information on the nationality of the applicant is available</w:t>
      </w:r>
      <w:r w:rsidR="003B018E" w:rsidRPr="000A1C4F">
        <w:rPr>
          <w:b w:val="0"/>
          <w:bCs/>
          <w:i/>
          <w:iCs/>
        </w:rPr>
        <w:t>)</w:t>
      </w:r>
    </w:p>
    <w:p w14:paraId="67A4F6B1" w14:textId="6CB51264" w:rsidR="003B018E" w:rsidRPr="000A1C4F" w:rsidRDefault="00405FA0" w:rsidP="001D1235">
      <w:pPr>
        <w:ind w:left="1247"/>
      </w:pPr>
      <w:r w:rsidRPr="000A1C4F">
        <w:rPr>
          <w:noProof/>
        </w:rPr>
        <w:lastRenderedPageBreak/>
        <w:drawing>
          <wp:inline distT="0" distB="0" distL="0" distR="0" wp14:anchorId="798F870D" wp14:editId="65AA028A">
            <wp:extent cx="5195887" cy="2513965"/>
            <wp:effectExtent l="0" t="0" r="5080" b="635"/>
            <wp:docPr id="11" name="Chart 11">
              <a:extLst xmlns:a="http://schemas.openxmlformats.org/drawingml/2006/main">
                <a:ext uri="{FF2B5EF4-FFF2-40B4-BE49-F238E27FC236}">
                  <a16:creationId xmlns:a16="http://schemas.microsoft.com/office/drawing/2014/main" id="{C064F6EE-E277-4CBD-87AF-810F3871F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5D8A01" w14:textId="00944E50" w:rsidR="00BB633E" w:rsidRPr="000A1C4F" w:rsidRDefault="00BB633E" w:rsidP="001C4046">
      <w:pPr>
        <w:pStyle w:val="Titlefigure"/>
        <w:keepNext w:val="0"/>
        <w:keepLines w:val="0"/>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Pr="000A1C4F">
        <w:rPr>
          <w:b w:val="0"/>
          <w:bCs/>
          <w:i/>
          <w:iCs/>
        </w:rPr>
        <w:t>3</w:t>
      </w:r>
      <w:r w:rsidRPr="000A1C4F">
        <w:rPr>
          <w:b w:val="0"/>
          <w:bCs/>
          <w:i/>
          <w:iCs/>
        </w:rPr>
        <w:fldChar w:fldCharType="end"/>
      </w:r>
      <w:r w:rsidR="00DE2B12" w:rsidRPr="000A1C4F">
        <w:rPr>
          <w:b w:val="0"/>
          <w:bCs/>
          <w:i/>
          <w:iCs/>
        </w:rPr>
        <w:t>b</w:t>
      </w:r>
      <w:r w:rsidRPr="000A1C4F">
        <w:rPr>
          <w:b w:val="0"/>
          <w:bCs/>
          <w:i/>
          <w:iCs/>
        </w:rPr>
        <w:t xml:space="preserve">: </w:t>
      </w:r>
      <w:r w:rsidR="00DE2B12" w:rsidRPr="000A1C4F">
        <w:rPr>
          <w:b w:val="0"/>
          <w:bCs/>
          <w:i/>
          <w:iCs/>
        </w:rPr>
        <w:t>Number of nominations for each region for the five IPBES Regional Assessments of Biodiversity and Ecosystem Services</w:t>
      </w:r>
    </w:p>
    <w:p w14:paraId="504BB449" w14:textId="746CBD3F" w:rsidR="00646E10" w:rsidRPr="000A1C4F" w:rsidRDefault="00646E10" w:rsidP="0019009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0A1C4F">
        <w:rPr>
          <w:rFonts w:eastAsia="Times New Roman"/>
        </w:rPr>
        <w:t xml:space="preserve">The </w:t>
      </w:r>
      <w:r w:rsidRPr="000A1C4F">
        <w:t>following</w:t>
      </w:r>
      <w:r w:rsidRPr="000A1C4F">
        <w:rPr>
          <w:rFonts w:eastAsia="Times New Roman"/>
        </w:rPr>
        <w:t xml:space="preserve"> figure shows the number of nominations for each region for each task </w:t>
      </w:r>
      <w:r w:rsidR="001D1235" w:rsidRPr="000A1C4F">
        <w:rPr>
          <w:rFonts w:eastAsia="Times New Roman"/>
        </w:rPr>
        <w:t>force</w:t>
      </w:r>
      <w:r w:rsidR="001D1235" w:rsidRPr="000A1C4F">
        <w:rPr>
          <w:rFonts w:eastAsia="Times New Roman"/>
        </w:rPr>
        <w:noBreakHyphen/>
      </w:r>
      <w:r w:rsidRPr="000A1C4F">
        <w:rPr>
          <w:rFonts w:eastAsia="Times New Roman"/>
        </w:rPr>
        <w:t xml:space="preserve">related process: </w:t>
      </w:r>
    </w:p>
    <w:p w14:paraId="035021ED" w14:textId="5C71EC51" w:rsidR="00646E10" w:rsidRPr="000A1C4F" w:rsidRDefault="00656FE7" w:rsidP="001D1235">
      <w:pPr>
        <w:spacing w:after="240"/>
        <w:ind w:left="1247"/>
        <w:rPr>
          <w:rFonts w:eastAsia="Times New Roman"/>
          <w:lang w:eastAsia="en-US"/>
        </w:rPr>
      </w:pPr>
      <w:r w:rsidRPr="000A1C4F">
        <w:rPr>
          <w:noProof/>
        </w:rPr>
        <w:drawing>
          <wp:inline distT="0" distB="0" distL="0" distR="0" wp14:anchorId="63794285" wp14:editId="6F26811F">
            <wp:extent cx="5291137" cy="2414270"/>
            <wp:effectExtent l="0" t="0" r="5080" b="5080"/>
            <wp:docPr id="2" name="Chart 2">
              <a:extLst xmlns:a="http://schemas.openxmlformats.org/drawingml/2006/main">
                <a:ext uri="{FF2B5EF4-FFF2-40B4-BE49-F238E27FC236}">
                  <a16:creationId xmlns:a16="http://schemas.microsoft.com/office/drawing/2014/main" id="{80429E75-466F-408A-8A8A-04B8984AA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BA9A9D" w14:textId="5C82539E" w:rsidR="005563B6" w:rsidRPr="000A1C4F" w:rsidRDefault="005563B6" w:rsidP="001C4046">
      <w:pPr>
        <w:pStyle w:val="Titlefigure"/>
        <w:keepNext w:val="0"/>
        <w:keepLines w:val="0"/>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008F3C20" w:rsidRPr="000A1C4F">
        <w:rPr>
          <w:b w:val="0"/>
          <w:bCs/>
          <w:i/>
          <w:iCs/>
        </w:rPr>
        <w:t>4</w:t>
      </w:r>
      <w:r w:rsidRPr="000A1C4F">
        <w:rPr>
          <w:b w:val="0"/>
          <w:bCs/>
          <w:i/>
          <w:iCs/>
        </w:rPr>
        <w:fldChar w:fldCharType="end"/>
      </w:r>
      <w:r w:rsidR="00B24D44" w:rsidRPr="000A1C4F">
        <w:rPr>
          <w:b w:val="0"/>
          <w:bCs/>
          <w:i/>
          <w:iCs/>
        </w:rPr>
        <w:t>:</w:t>
      </w:r>
      <w:r w:rsidRPr="000A1C4F">
        <w:rPr>
          <w:b w:val="0"/>
          <w:bCs/>
          <w:i/>
          <w:iCs/>
        </w:rPr>
        <w:t xml:space="preserve"> Number of nominations for each region for each task force-related process</w:t>
      </w:r>
    </w:p>
    <w:p w14:paraId="34322690" w14:textId="76E6519B" w:rsidR="00646E10" w:rsidRPr="000A1C4F" w:rsidRDefault="00646E10" w:rsidP="0019009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0A1C4F">
        <w:rPr>
          <w:rFonts w:eastAsia="Times New Roman"/>
        </w:rPr>
        <w:t>From the pool of 60</w:t>
      </w:r>
      <w:r w:rsidR="00D801AB" w:rsidRPr="000A1C4F">
        <w:rPr>
          <w:rFonts w:eastAsia="Times New Roman"/>
        </w:rPr>
        <w:t>7</w:t>
      </w:r>
      <w:r w:rsidR="00DB4BD1" w:rsidRPr="000A1C4F">
        <w:rPr>
          <w:rFonts w:eastAsia="Times New Roman"/>
        </w:rPr>
        <w:t>0</w:t>
      </w:r>
      <w:r w:rsidRPr="000A1C4F">
        <w:rPr>
          <w:rFonts w:eastAsia="Times New Roman"/>
        </w:rPr>
        <w:t xml:space="preserve"> nominations, IPBES selected 1</w:t>
      </w:r>
      <w:r w:rsidR="00F94685" w:rsidRPr="000A1C4F">
        <w:rPr>
          <w:rFonts w:eastAsia="Times New Roman"/>
        </w:rPr>
        <w:t>4</w:t>
      </w:r>
      <w:r w:rsidRPr="000A1C4F">
        <w:rPr>
          <w:rFonts w:eastAsia="Times New Roman"/>
        </w:rPr>
        <w:t xml:space="preserve">80 experts to participate in assessment or task force activities (some experts were selected for more than one activity). Of those selected, 9% came from the </w:t>
      </w:r>
      <w:r w:rsidRPr="000A1C4F">
        <w:t>Eastern</w:t>
      </w:r>
      <w:r w:rsidRPr="000A1C4F">
        <w:rPr>
          <w:rFonts w:eastAsia="Times New Roman"/>
        </w:rPr>
        <w:t xml:space="preserve"> European Region, 15% from the African Region, 1</w:t>
      </w:r>
      <w:r w:rsidR="003F6B75" w:rsidRPr="000A1C4F">
        <w:rPr>
          <w:rFonts w:eastAsia="Times New Roman"/>
        </w:rPr>
        <w:t>8</w:t>
      </w:r>
      <w:r w:rsidRPr="000A1C4F">
        <w:rPr>
          <w:rFonts w:eastAsia="Times New Roman"/>
        </w:rPr>
        <w:t>% from the Latin America and the Caribbean Region, 2</w:t>
      </w:r>
      <w:r w:rsidR="003F6B75" w:rsidRPr="000A1C4F">
        <w:rPr>
          <w:rFonts w:eastAsia="Times New Roman"/>
        </w:rPr>
        <w:t>0</w:t>
      </w:r>
      <w:r w:rsidRPr="000A1C4F">
        <w:rPr>
          <w:rFonts w:eastAsia="Times New Roman"/>
        </w:rPr>
        <w:t>% from the Asia-Pacific Region, and 3</w:t>
      </w:r>
      <w:r w:rsidR="00E939A0" w:rsidRPr="000A1C4F">
        <w:rPr>
          <w:rFonts w:eastAsia="Times New Roman"/>
        </w:rPr>
        <w:t>8</w:t>
      </w:r>
      <w:r w:rsidRPr="000A1C4F">
        <w:rPr>
          <w:rFonts w:eastAsia="Times New Roman"/>
        </w:rPr>
        <w:t>% from the Group of Western European and Other countries.</w:t>
      </w:r>
    </w:p>
    <w:p w14:paraId="02FE3544" w14:textId="26861426" w:rsidR="00646E10" w:rsidRPr="000A1C4F" w:rsidRDefault="00D53B36" w:rsidP="00646E10">
      <w:pPr>
        <w:tabs>
          <w:tab w:val="left" w:pos="1247"/>
          <w:tab w:val="left" w:pos="1814"/>
          <w:tab w:val="left" w:pos="2381"/>
          <w:tab w:val="left" w:pos="2948"/>
          <w:tab w:val="left" w:pos="3515"/>
          <w:tab w:val="left" w:pos="4082"/>
        </w:tabs>
        <w:spacing w:after="240"/>
        <w:ind w:left="1247"/>
        <w:rPr>
          <w:rFonts w:eastAsia="Times New Roman"/>
          <w:lang w:eastAsia="en-US"/>
        </w:rPr>
      </w:pPr>
      <w:r w:rsidRPr="000A1C4F">
        <w:rPr>
          <w:noProof/>
        </w:rPr>
        <w:drawing>
          <wp:inline distT="0" distB="0" distL="0" distR="0" wp14:anchorId="03111F05" wp14:editId="39976552">
            <wp:extent cx="5290820" cy="2019300"/>
            <wp:effectExtent l="0" t="0" r="5080" b="0"/>
            <wp:docPr id="10" name="Chart 10">
              <a:extLst xmlns:a="http://schemas.openxmlformats.org/drawingml/2006/main">
                <a:ext uri="{FF2B5EF4-FFF2-40B4-BE49-F238E27FC236}">
                  <a16:creationId xmlns:a16="http://schemas.microsoft.com/office/drawing/2014/main" id="{AF0F968A-60A6-46D8-B609-219553368B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64A6A" w14:textId="69AAFAB8" w:rsidR="007C72B9" w:rsidRPr="000A1C4F" w:rsidRDefault="007C72B9" w:rsidP="001C4046">
      <w:pPr>
        <w:pStyle w:val="Titlefigure"/>
        <w:keepNext w:val="0"/>
        <w:keepLines w:val="0"/>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008F3C20" w:rsidRPr="000A1C4F">
        <w:rPr>
          <w:b w:val="0"/>
          <w:bCs/>
          <w:i/>
          <w:iCs/>
        </w:rPr>
        <w:t>5</w:t>
      </w:r>
      <w:r w:rsidRPr="000A1C4F">
        <w:rPr>
          <w:b w:val="0"/>
          <w:bCs/>
          <w:i/>
          <w:iCs/>
        </w:rPr>
        <w:fldChar w:fldCharType="end"/>
      </w:r>
      <w:r w:rsidR="00A732C9" w:rsidRPr="000A1C4F">
        <w:rPr>
          <w:b w:val="0"/>
          <w:bCs/>
          <w:i/>
          <w:iCs/>
        </w:rPr>
        <w:t xml:space="preserve"> </w:t>
      </w:r>
      <w:r w:rsidRPr="000A1C4F">
        <w:rPr>
          <w:b w:val="0"/>
          <w:bCs/>
          <w:i/>
          <w:iCs/>
        </w:rPr>
        <w:t xml:space="preserve">Regional distribution of experts </w:t>
      </w:r>
      <w:r w:rsidR="00777864" w:rsidRPr="000A1C4F">
        <w:rPr>
          <w:b w:val="0"/>
          <w:bCs/>
          <w:i/>
          <w:iCs/>
        </w:rPr>
        <w:t xml:space="preserve">selected </w:t>
      </w:r>
      <w:r w:rsidRPr="000A1C4F">
        <w:rPr>
          <w:b w:val="0"/>
          <w:bCs/>
          <w:i/>
          <w:iCs/>
        </w:rPr>
        <w:t>from original pool of nominations</w:t>
      </w:r>
    </w:p>
    <w:p w14:paraId="6D4E18BD" w14:textId="094D0855" w:rsidR="00646E10" w:rsidRPr="000A1C4F" w:rsidRDefault="005D33AA" w:rsidP="00646E10">
      <w:pPr>
        <w:tabs>
          <w:tab w:val="left" w:pos="1247"/>
          <w:tab w:val="left" w:pos="1814"/>
          <w:tab w:val="left" w:pos="2381"/>
          <w:tab w:val="left" w:pos="2948"/>
          <w:tab w:val="left" w:pos="3515"/>
          <w:tab w:val="left" w:pos="4082"/>
        </w:tabs>
        <w:spacing w:after="240"/>
        <w:ind w:left="1260"/>
        <w:rPr>
          <w:rFonts w:eastAsia="MS Mincho"/>
          <w:noProof/>
          <w:color w:val="2B579A"/>
          <w:shd w:val="clear" w:color="auto" w:fill="E6E6E6"/>
          <w:lang w:eastAsia="en-US"/>
        </w:rPr>
      </w:pPr>
      <w:r w:rsidRPr="000A1C4F">
        <w:rPr>
          <w:noProof/>
        </w:rPr>
        <w:lastRenderedPageBreak/>
        <w:drawing>
          <wp:inline distT="0" distB="0" distL="0" distR="0" wp14:anchorId="566E82A1" wp14:editId="2DAA038B">
            <wp:extent cx="5214937" cy="2505075"/>
            <wp:effectExtent l="0" t="0" r="5080" b="9525"/>
            <wp:docPr id="12" name="Chart 12">
              <a:extLst xmlns:a="http://schemas.openxmlformats.org/drawingml/2006/main">
                <a:ext uri="{FF2B5EF4-FFF2-40B4-BE49-F238E27FC236}">
                  <a16:creationId xmlns:a16="http://schemas.microsoft.com/office/drawing/2014/main" id="{78A8D7B1-C04B-43DF-B9E9-D1D9965ACE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A1C4F" w:rsidDel="00CE05E2">
        <w:rPr>
          <w:rFonts w:eastAsia="MS Mincho"/>
          <w:noProof/>
          <w:color w:val="2B579A"/>
          <w:shd w:val="clear" w:color="auto" w:fill="E6E6E6"/>
          <w:lang w:eastAsia="en-US"/>
        </w:rPr>
        <w:t xml:space="preserve"> </w:t>
      </w:r>
    </w:p>
    <w:p w14:paraId="4248ECF3" w14:textId="0E056120" w:rsidR="00A732C9" w:rsidRPr="000A1C4F" w:rsidRDefault="00A732C9" w:rsidP="001C4046">
      <w:pPr>
        <w:pStyle w:val="Titlefigure"/>
        <w:keepNext w:val="0"/>
        <w:keepLines w:val="0"/>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008F3C20" w:rsidRPr="000A1C4F">
        <w:rPr>
          <w:b w:val="0"/>
          <w:bCs/>
          <w:i/>
          <w:iCs/>
        </w:rPr>
        <w:t>6</w:t>
      </w:r>
      <w:r w:rsidRPr="000A1C4F">
        <w:rPr>
          <w:b w:val="0"/>
          <w:bCs/>
          <w:i/>
          <w:iCs/>
        </w:rPr>
        <w:fldChar w:fldCharType="end"/>
      </w:r>
      <w:r w:rsidR="00104FA9" w:rsidRPr="000A1C4F">
        <w:rPr>
          <w:b w:val="0"/>
          <w:bCs/>
          <w:i/>
          <w:iCs/>
        </w:rPr>
        <w:t>:</w:t>
      </w:r>
      <w:r w:rsidRPr="000A1C4F">
        <w:rPr>
          <w:b w:val="0"/>
          <w:bCs/>
          <w:i/>
          <w:iCs/>
        </w:rPr>
        <w:t xml:space="preserve"> Regional distribution of total nominations received vs experts selected from original pool</w:t>
      </w:r>
      <w:r w:rsidR="007D7195" w:rsidRPr="000A1C4F">
        <w:rPr>
          <w:b w:val="0"/>
          <w:bCs/>
          <w:i/>
          <w:iCs/>
        </w:rPr>
        <w:t xml:space="preserve"> (for entries listed “blank” no information on the nationality of the applicant is available)</w:t>
      </w:r>
    </w:p>
    <w:p w14:paraId="6817FCDA" w14:textId="77777777" w:rsidR="00646E10" w:rsidRPr="000A1C4F" w:rsidRDefault="00646E10" w:rsidP="00683CDA">
      <w:pPr>
        <w:pStyle w:val="Normal-pool"/>
        <w:numPr>
          <w:ilvl w:val="0"/>
          <w:numId w:val="5"/>
        </w:numPr>
        <w:tabs>
          <w:tab w:val="clear" w:pos="1247"/>
          <w:tab w:val="clear" w:pos="1814"/>
          <w:tab w:val="clear" w:pos="2381"/>
          <w:tab w:val="clear" w:pos="2948"/>
          <w:tab w:val="clear" w:pos="3515"/>
          <w:tab w:val="clear" w:pos="4082"/>
          <w:tab w:val="left" w:pos="624"/>
        </w:tabs>
        <w:spacing w:before="120" w:after="120"/>
        <w:ind w:left="1247" w:firstLine="0"/>
        <w:rPr>
          <w:rFonts w:eastAsia="Times New Roman"/>
        </w:rPr>
      </w:pPr>
      <w:r w:rsidRPr="000A1C4F">
        <w:rPr>
          <w:rFonts w:eastAsia="Times New Roman"/>
        </w:rPr>
        <w:t xml:space="preserve">Of the </w:t>
      </w:r>
      <w:r w:rsidRPr="000A1C4F">
        <w:t>selected</w:t>
      </w:r>
      <w:r w:rsidRPr="000A1C4F">
        <w:rPr>
          <w:rFonts w:eastAsia="Times New Roman"/>
        </w:rPr>
        <w:t xml:space="preserve"> experts, 61% were male, 39% female. </w:t>
      </w:r>
    </w:p>
    <w:p w14:paraId="7B4C2137" w14:textId="23ADDCD0" w:rsidR="00646E10" w:rsidRPr="000A1C4F" w:rsidRDefault="00646E10" w:rsidP="0019009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0A1C4F">
        <w:rPr>
          <w:rFonts w:eastAsia="Times New Roman"/>
        </w:rPr>
        <w:t xml:space="preserve">In addition to the </w:t>
      </w:r>
      <w:r w:rsidR="00D1001F" w:rsidRPr="000A1C4F">
        <w:rPr>
          <w:rFonts w:eastAsia="Times New Roman"/>
        </w:rPr>
        <w:t>148</w:t>
      </w:r>
      <w:r w:rsidR="0012493A" w:rsidRPr="000A1C4F">
        <w:rPr>
          <w:rFonts w:eastAsia="Times New Roman"/>
        </w:rPr>
        <w:t>0</w:t>
      </w:r>
      <w:r w:rsidR="00D1001F" w:rsidRPr="000A1C4F">
        <w:rPr>
          <w:rFonts w:eastAsia="Times New Roman"/>
        </w:rPr>
        <w:t xml:space="preserve"> </w:t>
      </w:r>
      <w:r w:rsidRPr="000A1C4F">
        <w:rPr>
          <w:rFonts w:eastAsia="Times New Roman"/>
        </w:rPr>
        <w:t xml:space="preserve">experts selected from the initial pool of nominations, </w:t>
      </w:r>
      <w:r w:rsidR="00547034" w:rsidRPr="000A1C4F">
        <w:rPr>
          <w:rFonts w:eastAsia="Times New Roman"/>
        </w:rPr>
        <w:t>334</w:t>
      </w:r>
      <w:r w:rsidR="009565F9" w:rsidRPr="000A1C4F">
        <w:rPr>
          <w:rFonts w:eastAsia="Times New Roman"/>
        </w:rPr>
        <w:t xml:space="preserve"> </w:t>
      </w:r>
      <w:r w:rsidRPr="000A1C4F">
        <w:rPr>
          <w:rFonts w:eastAsia="Times New Roman"/>
        </w:rPr>
        <w:t xml:space="preserve">experts, that is </w:t>
      </w:r>
      <w:r w:rsidR="00EB5249" w:rsidRPr="000A1C4F">
        <w:rPr>
          <w:rFonts w:eastAsia="Times New Roman"/>
        </w:rPr>
        <w:t>23</w:t>
      </w:r>
      <w:r w:rsidRPr="000A1C4F">
        <w:rPr>
          <w:rFonts w:eastAsia="Times New Roman"/>
        </w:rPr>
        <w:t xml:space="preserve">% of all IPBES experts, were selected through the procedure for filling gaps in expertise and retroactively nominated. </w:t>
      </w:r>
    </w:p>
    <w:p w14:paraId="32A33C02" w14:textId="25556708" w:rsidR="00646E10" w:rsidRPr="000A1C4F" w:rsidRDefault="007C2241" w:rsidP="001D1235">
      <w:pPr>
        <w:tabs>
          <w:tab w:val="left" w:pos="1247"/>
          <w:tab w:val="left" w:pos="1814"/>
          <w:tab w:val="left" w:pos="2381"/>
          <w:tab w:val="left" w:pos="2948"/>
          <w:tab w:val="left" w:pos="3515"/>
          <w:tab w:val="left" w:pos="4082"/>
        </w:tabs>
        <w:spacing w:after="240"/>
        <w:ind w:left="1248"/>
        <w:rPr>
          <w:rFonts w:eastAsia="Times New Roman"/>
          <w:lang w:eastAsia="en-US"/>
        </w:rPr>
      </w:pPr>
      <w:r w:rsidRPr="000A1C4F">
        <w:rPr>
          <w:noProof/>
        </w:rPr>
        <w:drawing>
          <wp:inline distT="0" distB="0" distL="0" distR="0" wp14:anchorId="3545045A" wp14:editId="2775206C">
            <wp:extent cx="5191125" cy="1621790"/>
            <wp:effectExtent l="0" t="0" r="9525" b="16510"/>
            <wp:docPr id="13" name="Chart 13">
              <a:extLst xmlns:a="http://schemas.openxmlformats.org/drawingml/2006/main">
                <a:ext uri="{FF2B5EF4-FFF2-40B4-BE49-F238E27FC236}">
                  <a16:creationId xmlns:a16="http://schemas.microsoft.com/office/drawing/2014/main" id="{D65E2E6E-5B4F-4455-81C3-B03E753C9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2D5FD1" w14:textId="3F837795" w:rsidR="008F3C20" w:rsidRPr="000A1C4F" w:rsidRDefault="008F3C20" w:rsidP="001C4046">
      <w:pPr>
        <w:pStyle w:val="Titlefigure"/>
        <w:keepNext w:val="0"/>
        <w:keepLines w:val="0"/>
        <w:spacing w:after="120"/>
        <w:jc w:val="center"/>
        <w:rPr>
          <w:b w:val="0"/>
          <w:bCs/>
          <w:i/>
          <w:iCs/>
        </w:rPr>
      </w:pPr>
      <w:r w:rsidRPr="000A1C4F">
        <w:rPr>
          <w:b w:val="0"/>
          <w:bCs/>
          <w:i/>
          <w:iCs/>
        </w:rPr>
        <w:t xml:space="preserve">Figure </w:t>
      </w:r>
      <w:r w:rsidRPr="000A1C4F">
        <w:rPr>
          <w:b w:val="0"/>
          <w:bCs/>
          <w:i/>
          <w:iCs/>
        </w:rPr>
        <w:fldChar w:fldCharType="begin"/>
      </w:r>
      <w:r w:rsidRPr="000A1C4F">
        <w:rPr>
          <w:b w:val="0"/>
          <w:bCs/>
          <w:i/>
          <w:iCs/>
        </w:rPr>
        <w:instrText xml:space="preserve"> SEQ Figure \* ARABIC </w:instrText>
      </w:r>
      <w:r w:rsidRPr="000A1C4F">
        <w:rPr>
          <w:b w:val="0"/>
          <w:bCs/>
          <w:i/>
          <w:iCs/>
        </w:rPr>
        <w:fldChar w:fldCharType="separate"/>
      </w:r>
      <w:r w:rsidRPr="000A1C4F">
        <w:rPr>
          <w:b w:val="0"/>
          <w:bCs/>
          <w:i/>
          <w:iCs/>
        </w:rPr>
        <w:t>7</w:t>
      </w:r>
      <w:r w:rsidRPr="000A1C4F">
        <w:rPr>
          <w:b w:val="0"/>
          <w:bCs/>
          <w:i/>
          <w:iCs/>
        </w:rPr>
        <w:fldChar w:fldCharType="end"/>
      </w:r>
      <w:r w:rsidR="00386B6D" w:rsidRPr="000A1C4F">
        <w:rPr>
          <w:b w:val="0"/>
          <w:bCs/>
          <w:i/>
          <w:iCs/>
        </w:rPr>
        <w:t>:</w:t>
      </w:r>
      <w:r w:rsidRPr="000A1C4F">
        <w:rPr>
          <w:b w:val="0"/>
          <w:bCs/>
          <w:i/>
          <w:iCs/>
        </w:rPr>
        <w:t xml:space="preserve"> Regional distribution of experts selected through the procedure for filling gaps in expertise</w:t>
      </w:r>
    </w:p>
    <w:p w14:paraId="3B41EA79" w14:textId="77777777" w:rsidR="00646E10" w:rsidRPr="000A1C4F" w:rsidRDefault="00646E10" w:rsidP="00683CDA">
      <w:pPr>
        <w:pStyle w:val="Normal-pool"/>
        <w:numPr>
          <w:ilvl w:val="0"/>
          <w:numId w:val="5"/>
        </w:numPr>
        <w:tabs>
          <w:tab w:val="clear" w:pos="1247"/>
          <w:tab w:val="clear" w:pos="1814"/>
          <w:tab w:val="clear" w:pos="2381"/>
          <w:tab w:val="clear" w:pos="2948"/>
          <w:tab w:val="clear" w:pos="3515"/>
          <w:tab w:val="clear" w:pos="4082"/>
          <w:tab w:val="left" w:pos="624"/>
        </w:tabs>
        <w:spacing w:before="120" w:after="120"/>
        <w:ind w:left="1247" w:firstLine="0"/>
        <w:rPr>
          <w:rFonts w:eastAsia="Times New Roman"/>
        </w:rPr>
      </w:pPr>
      <w:r w:rsidRPr="000A1C4F">
        <w:rPr>
          <w:rFonts w:eastAsia="Times New Roman"/>
        </w:rPr>
        <w:t xml:space="preserve">Many of the nominated applicants applied for more than one call: </w:t>
      </w:r>
    </w:p>
    <w:p w14:paraId="1AB437A5" w14:textId="40023448" w:rsidR="00832C60" w:rsidRPr="000A1C4F" w:rsidRDefault="00832C60" w:rsidP="001C4046">
      <w:pPr>
        <w:pStyle w:val="Titletable"/>
        <w:jc w:val="center"/>
        <w:rPr>
          <w:rFonts w:eastAsia="Times New Roman"/>
          <w:b w:val="0"/>
          <w:bCs w:val="0"/>
          <w:i/>
          <w:iCs/>
        </w:rPr>
      </w:pPr>
      <w:r w:rsidRPr="000A1C4F">
        <w:rPr>
          <w:b w:val="0"/>
          <w:bCs w:val="0"/>
          <w:i/>
          <w:iCs/>
        </w:rPr>
        <w:t xml:space="preserve">Table </w:t>
      </w:r>
      <w:r w:rsidRPr="000A1C4F">
        <w:rPr>
          <w:b w:val="0"/>
          <w:bCs w:val="0"/>
          <w:i/>
          <w:iCs/>
        </w:rPr>
        <w:fldChar w:fldCharType="begin"/>
      </w:r>
      <w:r w:rsidRPr="000A1C4F">
        <w:rPr>
          <w:b w:val="0"/>
          <w:bCs w:val="0"/>
          <w:i/>
          <w:iCs/>
        </w:rPr>
        <w:instrText xml:space="preserve"> SEQ Table \* ARABIC \s 1 </w:instrText>
      </w:r>
      <w:r w:rsidRPr="000A1C4F">
        <w:rPr>
          <w:b w:val="0"/>
          <w:bCs w:val="0"/>
          <w:i/>
          <w:iCs/>
        </w:rPr>
        <w:fldChar w:fldCharType="separate"/>
      </w:r>
      <w:r w:rsidRPr="000A1C4F">
        <w:rPr>
          <w:b w:val="0"/>
          <w:bCs w:val="0"/>
          <w:i/>
          <w:iCs/>
          <w:noProof/>
        </w:rPr>
        <w:t>1</w:t>
      </w:r>
      <w:r w:rsidRPr="000A1C4F">
        <w:rPr>
          <w:b w:val="0"/>
          <w:bCs w:val="0"/>
          <w:i/>
          <w:iCs/>
        </w:rPr>
        <w:fldChar w:fldCharType="end"/>
      </w:r>
      <w:r w:rsidR="00386B6D" w:rsidRPr="000A1C4F">
        <w:rPr>
          <w:b w:val="0"/>
          <w:bCs w:val="0"/>
          <w:i/>
          <w:iCs/>
        </w:rPr>
        <w:t>:</w:t>
      </w:r>
      <w:r w:rsidRPr="000A1C4F">
        <w:rPr>
          <w:b w:val="0"/>
          <w:bCs w:val="0"/>
          <w:i/>
          <w:iCs/>
        </w:rPr>
        <w:t xml:space="preserve"> Experts who have applied for more tha</w:t>
      </w:r>
      <w:r w:rsidR="00156A71" w:rsidRPr="000A1C4F">
        <w:rPr>
          <w:b w:val="0"/>
          <w:bCs w:val="0"/>
          <w:i/>
          <w:iCs/>
        </w:rPr>
        <w:t>n one call</w:t>
      </w:r>
    </w:p>
    <w:tbl>
      <w:tblPr>
        <w:tblStyle w:val="Tabledocright"/>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49"/>
        <w:gridCol w:w="3358"/>
        <w:gridCol w:w="1900"/>
      </w:tblGrid>
      <w:tr w:rsidR="00585C07" w:rsidRPr="000A1C4F" w14:paraId="2F7A2409" w14:textId="77777777" w:rsidTr="001C4046">
        <w:trPr>
          <w:trHeight w:val="300"/>
        </w:trPr>
        <w:tc>
          <w:tcPr>
            <w:tcW w:w="1380" w:type="dxa"/>
            <w:tcBorders>
              <w:top w:val="single" w:sz="4" w:space="0" w:color="auto"/>
              <w:bottom w:val="single" w:sz="12" w:space="0" w:color="auto"/>
            </w:tcBorders>
            <w:vAlign w:val="bottom"/>
            <w:hideMark/>
          </w:tcPr>
          <w:p w14:paraId="0D382AA4" w14:textId="77777777" w:rsidR="00585C07" w:rsidRPr="000A1C4F" w:rsidRDefault="00585C07" w:rsidP="001C4046">
            <w:pPr>
              <w:pStyle w:val="Normal-pool-Table"/>
              <w:jc w:val="right"/>
              <w:rPr>
                <w:i/>
                <w:iCs/>
                <w:lang w:val="en-GB"/>
              </w:rPr>
            </w:pPr>
            <w:r w:rsidRPr="000A1C4F">
              <w:rPr>
                <w:i/>
                <w:iCs/>
                <w:lang w:val="en-GB"/>
              </w:rPr>
              <w:t>Number of applications</w:t>
            </w:r>
          </w:p>
        </w:tc>
        <w:tc>
          <w:tcPr>
            <w:tcW w:w="1520" w:type="dxa"/>
            <w:tcBorders>
              <w:top w:val="single" w:sz="4" w:space="0" w:color="auto"/>
              <w:bottom w:val="single" w:sz="12" w:space="0" w:color="auto"/>
            </w:tcBorders>
            <w:vAlign w:val="bottom"/>
            <w:hideMark/>
          </w:tcPr>
          <w:p w14:paraId="3EC89E2F" w14:textId="213E7B53" w:rsidR="00585C07" w:rsidRPr="000A1C4F" w:rsidRDefault="00585C07" w:rsidP="001C4046">
            <w:pPr>
              <w:pStyle w:val="Normal-pool-Table"/>
              <w:jc w:val="right"/>
              <w:rPr>
                <w:i/>
                <w:iCs/>
                <w:lang w:val="en-GB"/>
              </w:rPr>
            </w:pPr>
            <w:r w:rsidRPr="000A1C4F">
              <w:rPr>
                <w:i/>
                <w:iCs/>
                <w:lang w:val="en-GB"/>
              </w:rPr>
              <w:t>Count</w:t>
            </w:r>
          </w:p>
        </w:tc>
        <w:tc>
          <w:tcPr>
            <w:tcW w:w="860" w:type="dxa"/>
            <w:tcBorders>
              <w:top w:val="single" w:sz="4" w:space="0" w:color="auto"/>
              <w:bottom w:val="single" w:sz="12" w:space="0" w:color="auto"/>
            </w:tcBorders>
            <w:vAlign w:val="bottom"/>
            <w:hideMark/>
          </w:tcPr>
          <w:p w14:paraId="31694B4A" w14:textId="77777777" w:rsidR="00585C07" w:rsidRPr="000A1C4F" w:rsidRDefault="00585C07" w:rsidP="001C4046">
            <w:pPr>
              <w:pStyle w:val="Normal-pool-Table"/>
              <w:jc w:val="right"/>
              <w:rPr>
                <w:i/>
                <w:iCs/>
                <w:lang w:val="en-GB"/>
              </w:rPr>
            </w:pPr>
            <w:r w:rsidRPr="000A1C4F">
              <w:rPr>
                <w:i/>
                <w:iCs/>
                <w:lang w:val="en-GB"/>
              </w:rPr>
              <w:t>%</w:t>
            </w:r>
          </w:p>
        </w:tc>
      </w:tr>
      <w:tr w:rsidR="00585C07" w:rsidRPr="000A1C4F" w14:paraId="2DE8560B" w14:textId="77777777" w:rsidTr="001D1235">
        <w:trPr>
          <w:trHeight w:val="22"/>
        </w:trPr>
        <w:tc>
          <w:tcPr>
            <w:tcW w:w="1380" w:type="dxa"/>
            <w:tcBorders>
              <w:top w:val="single" w:sz="12" w:space="0" w:color="auto"/>
            </w:tcBorders>
            <w:hideMark/>
          </w:tcPr>
          <w:p w14:paraId="7BC5320D" w14:textId="77777777" w:rsidR="00585C07" w:rsidRPr="000A1C4F" w:rsidRDefault="00585C07" w:rsidP="001C4046">
            <w:pPr>
              <w:pStyle w:val="Normal-pool-Table"/>
              <w:spacing w:before="20" w:after="20"/>
              <w:jc w:val="right"/>
              <w:rPr>
                <w:lang w:val="en-GB"/>
              </w:rPr>
            </w:pPr>
            <w:r w:rsidRPr="000A1C4F">
              <w:rPr>
                <w:lang w:val="en-GB"/>
              </w:rPr>
              <w:t>1</w:t>
            </w:r>
          </w:p>
        </w:tc>
        <w:tc>
          <w:tcPr>
            <w:tcW w:w="1520" w:type="dxa"/>
            <w:tcBorders>
              <w:top w:val="single" w:sz="12" w:space="0" w:color="auto"/>
            </w:tcBorders>
            <w:hideMark/>
          </w:tcPr>
          <w:p w14:paraId="571E132F" w14:textId="77777777" w:rsidR="00585C07" w:rsidRPr="000A1C4F" w:rsidRDefault="00585C07" w:rsidP="001C4046">
            <w:pPr>
              <w:pStyle w:val="Normal-pool-Table"/>
              <w:spacing w:before="20" w:after="20"/>
              <w:jc w:val="right"/>
              <w:rPr>
                <w:lang w:val="en-GB"/>
              </w:rPr>
            </w:pPr>
            <w:r w:rsidRPr="000A1C4F">
              <w:rPr>
                <w:lang w:val="en-GB"/>
              </w:rPr>
              <w:t>3728</w:t>
            </w:r>
          </w:p>
        </w:tc>
        <w:tc>
          <w:tcPr>
            <w:tcW w:w="860" w:type="dxa"/>
            <w:tcBorders>
              <w:top w:val="single" w:sz="12" w:space="0" w:color="auto"/>
            </w:tcBorders>
            <w:hideMark/>
          </w:tcPr>
          <w:p w14:paraId="37D2D2A8" w14:textId="77777777" w:rsidR="00585C07" w:rsidRPr="000A1C4F" w:rsidRDefault="00585C07" w:rsidP="001C4046">
            <w:pPr>
              <w:pStyle w:val="Normal-pool-Table"/>
              <w:spacing w:before="20" w:after="20"/>
              <w:jc w:val="right"/>
              <w:rPr>
                <w:lang w:val="en-GB"/>
              </w:rPr>
            </w:pPr>
            <w:r w:rsidRPr="000A1C4F">
              <w:rPr>
                <w:lang w:val="en-GB"/>
              </w:rPr>
              <w:t>54%</w:t>
            </w:r>
          </w:p>
        </w:tc>
      </w:tr>
      <w:tr w:rsidR="00585C07" w:rsidRPr="000A1C4F" w14:paraId="50421A37" w14:textId="77777777" w:rsidTr="001D1235">
        <w:trPr>
          <w:trHeight w:val="22"/>
        </w:trPr>
        <w:tc>
          <w:tcPr>
            <w:tcW w:w="1380" w:type="dxa"/>
            <w:hideMark/>
          </w:tcPr>
          <w:p w14:paraId="4539A3C3" w14:textId="77777777" w:rsidR="00585C07" w:rsidRPr="000A1C4F" w:rsidRDefault="00585C07" w:rsidP="001C4046">
            <w:pPr>
              <w:pStyle w:val="Normal-pool-Table"/>
              <w:spacing w:before="20" w:after="20"/>
              <w:jc w:val="right"/>
              <w:rPr>
                <w:lang w:val="en-GB"/>
              </w:rPr>
            </w:pPr>
            <w:r w:rsidRPr="000A1C4F">
              <w:rPr>
                <w:lang w:val="en-GB"/>
              </w:rPr>
              <w:t>2</w:t>
            </w:r>
          </w:p>
        </w:tc>
        <w:tc>
          <w:tcPr>
            <w:tcW w:w="1520" w:type="dxa"/>
            <w:hideMark/>
          </w:tcPr>
          <w:p w14:paraId="4F4C396B" w14:textId="77777777" w:rsidR="00585C07" w:rsidRPr="000A1C4F" w:rsidRDefault="00585C07" w:rsidP="001C4046">
            <w:pPr>
              <w:pStyle w:val="Normal-pool-Table"/>
              <w:spacing w:before="20" w:after="20"/>
              <w:jc w:val="right"/>
              <w:rPr>
                <w:lang w:val="en-GB"/>
              </w:rPr>
            </w:pPr>
            <w:r w:rsidRPr="000A1C4F">
              <w:rPr>
                <w:lang w:val="en-GB"/>
              </w:rPr>
              <w:t>751</w:t>
            </w:r>
          </w:p>
        </w:tc>
        <w:tc>
          <w:tcPr>
            <w:tcW w:w="860" w:type="dxa"/>
            <w:hideMark/>
          </w:tcPr>
          <w:p w14:paraId="3A43A5F2" w14:textId="77777777" w:rsidR="00585C07" w:rsidRPr="000A1C4F" w:rsidRDefault="00585C07" w:rsidP="001C4046">
            <w:pPr>
              <w:pStyle w:val="Normal-pool-Table"/>
              <w:spacing w:before="20" w:after="20"/>
              <w:jc w:val="right"/>
              <w:rPr>
                <w:lang w:val="en-GB"/>
              </w:rPr>
            </w:pPr>
            <w:r w:rsidRPr="000A1C4F">
              <w:rPr>
                <w:lang w:val="en-GB"/>
              </w:rPr>
              <w:t>22%</w:t>
            </w:r>
          </w:p>
        </w:tc>
      </w:tr>
      <w:tr w:rsidR="00585C07" w:rsidRPr="000A1C4F" w14:paraId="00F2B8BA" w14:textId="77777777" w:rsidTr="001D1235">
        <w:trPr>
          <w:trHeight w:val="22"/>
        </w:trPr>
        <w:tc>
          <w:tcPr>
            <w:tcW w:w="1380" w:type="dxa"/>
            <w:hideMark/>
          </w:tcPr>
          <w:p w14:paraId="12F4A000" w14:textId="77777777" w:rsidR="00585C07" w:rsidRPr="000A1C4F" w:rsidRDefault="00585C07" w:rsidP="001C4046">
            <w:pPr>
              <w:pStyle w:val="Normal-pool-Table"/>
              <w:spacing w:before="20" w:after="20"/>
              <w:jc w:val="right"/>
              <w:rPr>
                <w:lang w:val="en-GB"/>
              </w:rPr>
            </w:pPr>
            <w:r w:rsidRPr="000A1C4F">
              <w:rPr>
                <w:lang w:val="en-GB"/>
              </w:rPr>
              <w:t>3</w:t>
            </w:r>
          </w:p>
        </w:tc>
        <w:tc>
          <w:tcPr>
            <w:tcW w:w="1520" w:type="dxa"/>
            <w:hideMark/>
          </w:tcPr>
          <w:p w14:paraId="4DAAE8AE" w14:textId="77777777" w:rsidR="00585C07" w:rsidRPr="000A1C4F" w:rsidRDefault="00585C07" w:rsidP="001C4046">
            <w:pPr>
              <w:pStyle w:val="Normal-pool-Table"/>
              <w:spacing w:before="20" w:after="20"/>
              <w:jc w:val="right"/>
              <w:rPr>
                <w:lang w:val="en-GB"/>
              </w:rPr>
            </w:pPr>
            <w:r w:rsidRPr="000A1C4F">
              <w:rPr>
                <w:lang w:val="en-GB"/>
              </w:rPr>
              <w:t>242</w:t>
            </w:r>
          </w:p>
        </w:tc>
        <w:tc>
          <w:tcPr>
            <w:tcW w:w="860" w:type="dxa"/>
            <w:hideMark/>
          </w:tcPr>
          <w:p w14:paraId="30AD3C65" w14:textId="77777777" w:rsidR="00585C07" w:rsidRPr="000A1C4F" w:rsidRDefault="00585C07" w:rsidP="001C4046">
            <w:pPr>
              <w:pStyle w:val="Normal-pool-Table"/>
              <w:spacing w:before="20" w:after="20"/>
              <w:jc w:val="right"/>
              <w:rPr>
                <w:lang w:val="en-GB"/>
              </w:rPr>
            </w:pPr>
            <w:r w:rsidRPr="000A1C4F">
              <w:rPr>
                <w:lang w:val="en-GB"/>
              </w:rPr>
              <w:t>11%</w:t>
            </w:r>
          </w:p>
        </w:tc>
      </w:tr>
      <w:tr w:rsidR="00585C07" w:rsidRPr="000A1C4F" w14:paraId="3561E6F5" w14:textId="77777777" w:rsidTr="001D1235">
        <w:trPr>
          <w:trHeight w:val="22"/>
        </w:trPr>
        <w:tc>
          <w:tcPr>
            <w:tcW w:w="1380" w:type="dxa"/>
            <w:hideMark/>
          </w:tcPr>
          <w:p w14:paraId="7AA5565D" w14:textId="77777777" w:rsidR="00585C07" w:rsidRPr="000A1C4F" w:rsidRDefault="00585C07" w:rsidP="001C4046">
            <w:pPr>
              <w:pStyle w:val="Normal-pool-Table"/>
              <w:spacing w:before="20" w:after="20"/>
              <w:jc w:val="right"/>
              <w:rPr>
                <w:lang w:val="en-GB"/>
              </w:rPr>
            </w:pPr>
            <w:r w:rsidRPr="000A1C4F">
              <w:rPr>
                <w:lang w:val="en-GB"/>
              </w:rPr>
              <w:t>4</w:t>
            </w:r>
          </w:p>
        </w:tc>
        <w:tc>
          <w:tcPr>
            <w:tcW w:w="1520" w:type="dxa"/>
            <w:hideMark/>
          </w:tcPr>
          <w:p w14:paraId="33EF20BA" w14:textId="77777777" w:rsidR="00585C07" w:rsidRPr="000A1C4F" w:rsidRDefault="00585C07" w:rsidP="001C4046">
            <w:pPr>
              <w:pStyle w:val="Normal-pool-Table"/>
              <w:spacing w:before="20" w:after="20"/>
              <w:jc w:val="right"/>
              <w:rPr>
                <w:lang w:val="en-GB"/>
              </w:rPr>
            </w:pPr>
            <w:r w:rsidRPr="000A1C4F">
              <w:rPr>
                <w:lang w:val="en-GB"/>
              </w:rPr>
              <w:t>91</w:t>
            </w:r>
          </w:p>
        </w:tc>
        <w:tc>
          <w:tcPr>
            <w:tcW w:w="860" w:type="dxa"/>
            <w:hideMark/>
          </w:tcPr>
          <w:p w14:paraId="77C75702" w14:textId="77777777" w:rsidR="00585C07" w:rsidRPr="000A1C4F" w:rsidRDefault="00585C07" w:rsidP="001C4046">
            <w:pPr>
              <w:pStyle w:val="Normal-pool-Table"/>
              <w:spacing w:before="20" w:after="20"/>
              <w:jc w:val="right"/>
              <w:rPr>
                <w:lang w:val="en-GB"/>
              </w:rPr>
            </w:pPr>
            <w:r w:rsidRPr="000A1C4F">
              <w:rPr>
                <w:lang w:val="en-GB"/>
              </w:rPr>
              <w:t>5%</w:t>
            </w:r>
          </w:p>
        </w:tc>
      </w:tr>
      <w:tr w:rsidR="00585C07" w:rsidRPr="000A1C4F" w14:paraId="0EC11A9D" w14:textId="77777777" w:rsidTr="001D1235">
        <w:trPr>
          <w:trHeight w:val="22"/>
        </w:trPr>
        <w:tc>
          <w:tcPr>
            <w:tcW w:w="1380" w:type="dxa"/>
            <w:hideMark/>
          </w:tcPr>
          <w:p w14:paraId="07E608F8" w14:textId="77777777" w:rsidR="00585C07" w:rsidRPr="000A1C4F" w:rsidRDefault="00585C07" w:rsidP="001C4046">
            <w:pPr>
              <w:pStyle w:val="Normal-pool-Table"/>
              <w:spacing w:before="20" w:after="20"/>
              <w:jc w:val="right"/>
              <w:rPr>
                <w:lang w:val="en-GB"/>
              </w:rPr>
            </w:pPr>
            <w:r w:rsidRPr="000A1C4F">
              <w:rPr>
                <w:lang w:val="en-GB"/>
              </w:rPr>
              <w:t>5</w:t>
            </w:r>
          </w:p>
        </w:tc>
        <w:tc>
          <w:tcPr>
            <w:tcW w:w="1520" w:type="dxa"/>
            <w:hideMark/>
          </w:tcPr>
          <w:p w14:paraId="1EF2BBE8" w14:textId="77777777" w:rsidR="00585C07" w:rsidRPr="000A1C4F" w:rsidRDefault="00585C07" w:rsidP="001C4046">
            <w:pPr>
              <w:pStyle w:val="Normal-pool-Table"/>
              <w:spacing w:before="20" w:after="20"/>
              <w:jc w:val="right"/>
              <w:rPr>
                <w:lang w:val="en-GB"/>
              </w:rPr>
            </w:pPr>
            <w:r w:rsidRPr="000A1C4F">
              <w:rPr>
                <w:lang w:val="en-GB"/>
              </w:rPr>
              <w:t>44</w:t>
            </w:r>
          </w:p>
        </w:tc>
        <w:tc>
          <w:tcPr>
            <w:tcW w:w="860" w:type="dxa"/>
            <w:hideMark/>
          </w:tcPr>
          <w:p w14:paraId="611F7464" w14:textId="77777777" w:rsidR="00585C07" w:rsidRPr="000A1C4F" w:rsidRDefault="00585C07" w:rsidP="001C4046">
            <w:pPr>
              <w:pStyle w:val="Normal-pool-Table"/>
              <w:spacing w:before="20" w:after="20"/>
              <w:jc w:val="right"/>
              <w:rPr>
                <w:lang w:val="en-GB"/>
              </w:rPr>
            </w:pPr>
            <w:r w:rsidRPr="000A1C4F">
              <w:rPr>
                <w:lang w:val="en-GB"/>
              </w:rPr>
              <w:t>3%</w:t>
            </w:r>
          </w:p>
        </w:tc>
      </w:tr>
      <w:tr w:rsidR="00585C07" w:rsidRPr="000A1C4F" w14:paraId="69741F94" w14:textId="77777777" w:rsidTr="001D1235">
        <w:trPr>
          <w:trHeight w:val="22"/>
        </w:trPr>
        <w:tc>
          <w:tcPr>
            <w:tcW w:w="1380" w:type="dxa"/>
            <w:hideMark/>
          </w:tcPr>
          <w:p w14:paraId="2126BD4C" w14:textId="77777777" w:rsidR="00585C07" w:rsidRPr="000A1C4F" w:rsidRDefault="00585C07" w:rsidP="001C4046">
            <w:pPr>
              <w:pStyle w:val="Normal-pool-Table"/>
              <w:spacing w:before="20" w:after="20"/>
              <w:jc w:val="right"/>
              <w:rPr>
                <w:lang w:val="en-GB"/>
              </w:rPr>
            </w:pPr>
            <w:r w:rsidRPr="000A1C4F">
              <w:rPr>
                <w:lang w:val="en-GB"/>
              </w:rPr>
              <w:t>6</w:t>
            </w:r>
          </w:p>
        </w:tc>
        <w:tc>
          <w:tcPr>
            <w:tcW w:w="1520" w:type="dxa"/>
            <w:hideMark/>
          </w:tcPr>
          <w:p w14:paraId="6638D24A" w14:textId="77777777" w:rsidR="00585C07" w:rsidRPr="000A1C4F" w:rsidRDefault="00585C07" w:rsidP="001C4046">
            <w:pPr>
              <w:pStyle w:val="Normal-pool-Table"/>
              <w:spacing w:before="20" w:after="20"/>
              <w:jc w:val="right"/>
              <w:rPr>
                <w:lang w:val="en-GB"/>
              </w:rPr>
            </w:pPr>
            <w:r w:rsidRPr="000A1C4F">
              <w:rPr>
                <w:lang w:val="en-GB"/>
              </w:rPr>
              <w:t>27</w:t>
            </w:r>
          </w:p>
        </w:tc>
        <w:tc>
          <w:tcPr>
            <w:tcW w:w="860" w:type="dxa"/>
            <w:hideMark/>
          </w:tcPr>
          <w:p w14:paraId="2CE85E3D" w14:textId="77777777" w:rsidR="00585C07" w:rsidRPr="000A1C4F" w:rsidRDefault="00585C07" w:rsidP="001C4046">
            <w:pPr>
              <w:pStyle w:val="Normal-pool-Table"/>
              <w:spacing w:before="20" w:after="20"/>
              <w:jc w:val="right"/>
              <w:rPr>
                <w:lang w:val="en-GB"/>
              </w:rPr>
            </w:pPr>
            <w:r w:rsidRPr="000A1C4F">
              <w:rPr>
                <w:lang w:val="en-GB"/>
              </w:rPr>
              <w:t>2%</w:t>
            </w:r>
          </w:p>
        </w:tc>
      </w:tr>
      <w:tr w:rsidR="00585C07" w:rsidRPr="000A1C4F" w14:paraId="6B900FED" w14:textId="77777777" w:rsidTr="001D1235">
        <w:trPr>
          <w:trHeight w:val="22"/>
        </w:trPr>
        <w:tc>
          <w:tcPr>
            <w:tcW w:w="1380" w:type="dxa"/>
            <w:hideMark/>
          </w:tcPr>
          <w:p w14:paraId="26EC4D4E" w14:textId="77777777" w:rsidR="00585C07" w:rsidRPr="000A1C4F" w:rsidRDefault="00585C07" w:rsidP="001C4046">
            <w:pPr>
              <w:pStyle w:val="Normal-pool-Table"/>
              <w:spacing w:before="20" w:after="20"/>
              <w:jc w:val="right"/>
              <w:rPr>
                <w:lang w:val="en-GB"/>
              </w:rPr>
            </w:pPr>
            <w:r w:rsidRPr="000A1C4F">
              <w:rPr>
                <w:lang w:val="en-GB"/>
              </w:rPr>
              <w:t>7</w:t>
            </w:r>
          </w:p>
        </w:tc>
        <w:tc>
          <w:tcPr>
            <w:tcW w:w="1520" w:type="dxa"/>
            <w:hideMark/>
          </w:tcPr>
          <w:p w14:paraId="525E6953" w14:textId="77777777" w:rsidR="00585C07" w:rsidRPr="000A1C4F" w:rsidRDefault="00585C07" w:rsidP="001C4046">
            <w:pPr>
              <w:pStyle w:val="Normal-pool-Table"/>
              <w:spacing w:before="20" w:after="20"/>
              <w:jc w:val="right"/>
              <w:rPr>
                <w:lang w:val="en-GB"/>
              </w:rPr>
            </w:pPr>
            <w:r w:rsidRPr="000A1C4F">
              <w:rPr>
                <w:lang w:val="en-GB"/>
              </w:rPr>
              <w:t>11</w:t>
            </w:r>
          </w:p>
        </w:tc>
        <w:tc>
          <w:tcPr>
            <w:tcW w:w="860" w:type="dxa"/>
            <w:hideMark/>
          </w:tcPr>
          <w:p w14:paraId="0AFB73A4" w14:textId="77777777" w:rsidR="00585C07" w:rsidRPr="000A1C4F" w:rsidRDefault="00585C07" w:rsidP="001C4046">
            <w:pPr>
              <w:pStyle w:val="Normal-pool-Table"/>
              <w:spacing w:before="20" w:after="20"/>
              <w:jc w:val="right"/>
              <w:rPr>
                <w:lang w:val="en-GB"/>
              </w:rPr>
            </w:pPr>
            <w:r w:rsidRPr="000A1C4F">
              <w:rPr>
                <w:lang w:val="en-GB"/>
              </w:rPr>
              <w:t>1%</w:t>
            </w:r>
          </w:p>
        </w:tc>
      </w:tr>
      <w:tr w:rsidR="00585C07" w:rsidRPr="000A1C4F" w14:paraId="1352DC3F" w14:textId="77777777" w:rsidTr="001D1235">
        <w:trPr>
          <w:trHeight w:val="22"/>
        </w:trPr>
        <w:tc>
          <w:tcPr>
            <w:tcW w:w="1380" w:type="dxa"/>
            <w:hideMark/>
          </w:tcPr>
          <w:p w14:paraId="10BFDD87" w14:textId="77777777" w:rsidR="00585C07" w:rsidRPr="000A1C4F" w:rsidRDefault="00585C07" w:rsidP="001C4046">
            <w:pPr>
              <w:pStyle w:val="Normal-pool-Table"/>
              <w:spacing w:before="20" w:after="20"/>
              <w:jc w:val="right"/>
              <w:rPr>
                <w:lang w:val="en-GB"/>
              </w:rPr>
            </w:pPr>
            <w:r w:rsidRPr="000A1C4F">
              <w:rPr>
                <w:lang w:val="en-GB"/>
              </w:rPr>
              <w:t>8</w:t>
            </w:r>
          </w:p>
        </w:tc>
        <w:tc>
          <w:tcPr>
            <w:tcW w:w="1520" w:type="dxa"/>
            <w:hideMark/>
          </w:tcPr>
          <w:p w14:paraId="2BA24336" w14:textId="77777777" w:rsidR="00585C07" w:rsidRPr="000A1C4F" w:rsidRDefault="00585C07" w:rsidP="001C4046">
            <w:pPr>
              <w:pStyle w:val="Normal-pool-Table"/>
              <w:spacing w:before="20" w:after="20"/>
              <w:jc w:val="right"/>
              <w:rPr>
                <w:lang w:val="en-GB"/>
              </w:rPr>
            </w:pPr>
            <w:r w:rsidRPr="000A1C4F">
              <w:rPr>
                <w:lang w:val="en-GB"/>
              </w:rPr>
              <w:t>8</w:t>
            </w:r>
          </w:p>
        </w:tc>
        <w:tc>
          <w:tcPr>
            <w:tcW w:w="860" w:type="dxa"/>
            <w:hideMark/>
          </w:tcPr>
          <w:p w14:paraId="0AF926D1" w14:textId="77777777" w:rsidR="00585C07" w:rsidRPr="000A1C4F" w:rsidRDefault="00585C07" w:rsidP="001C4046">
            <w:pPr>
              <w:pStyle w:val="Normal-pool-Table"/>
              <w:spacing w:before="20" w:after="20"/>
              <w:jc w:val="right"/>
              <w:rPr>
                <w:lang w:val="en-GB"/>
              </w:rPr>
            </w:pPr>
            <w:r w:rsidRPr="000A1C4F">
              <w:rPr>
                <w:lang w:val="en-GB"/>
              </w:rPr>
              <w:t>1%</w:t>
            </w:r>
          </w:p>
        </w:tc>
      </w:tr>
      <w:tr w:rsidR="00585C07" w:rsidRPr="000A1C4F" w14:paraId="10877C34" w14:textId="77777777" w:rsidTr="001D1235">
        <w:trPr>
          <w:trHeight w:val="22"/>
        </w:trPr>
        <w:tc>
          <w:tcPr>
            <w:tcW w:w="1380" w:type="dxa"/>
            <w:hideMark/>
          </w:tcPr>
          <w:p w14:paraId="6CD818D4" w14:textId="77777777" w:rsidR="00585C07" w:rsidRPr="000A1C4F" w:rsidRDefault="00585C07" w:rsidP="001C4046">
            <w:pPr>
              <w:pStyle w:val="Normal-pool-Table"/>
              <w:spacing w:before="20" w:after="20"/>
              <w:jc w:val="right"/>
              <w:rPr>
                <w:lang w:val="en-GB"/>
              </w:rPr>
            </w:pPr>
            <w:r w:rsidRPr="000A1C4F">
              <w:rPr>
                <w:lang w:val="en-GB"/>
              </w:rPr>
              <w:t>9</w:t>
            </w:r>
          </w:p>
        </w:tc>
        <w:tc>
          <w:tcPr>
            <w:tcW w:w="1520" w:type="dxa"/>
            <w:hideMark/>
          </w:tcPr>
          <w:p w14:paraId="393D62D8" w14:textId="77777777" w:rsidR="00585C07" w:rsidRPr="000A1C4F" w:rsidRDefault="00585C07" w:rsidP="001C4046">
            <w:pPr>
              <w:pStyle w:val="Normal-pool-Table"/>
              <w:spacing w:before="20" w:after="20"/>
              <w:jc w:val="right"/>
              <w:rPr>
                <w:lang w:val="en-GB"/>
              </w:rPr>
            </w:pPr>
            <w:r w:rsidRPr="000A1C4F">
              <w:rPr>
                <w:lang w:val="en-GB"/>
              </w:rPr>
              <w:t>2</w:t>
            </w:r>
          </w:p>
        </w:tc>
        <w:tc>
          <w:tcPr>
            <w:tcW w:w="860" w:type="dxa"/>
            <w:hideMark/>
          </w:tcPr>
          <w:p w14:paraId="0305CC9E" w14:textId="77777777" w:rsidR="00585C07" w:rsidRPr="000A1C4F" w:rsidRDefault="00585C07" w:rsidP="001C4046">
            <w:pPr>
              <w:pStyle w:val="Normal-pool-Table"/>
              <w:spacing w:before="20" w:after="20"/>
              <w:jc w:val="right"/>
              <w:rPr>
                <w:lang w:val="en-GB"/>
              </w:rPr>
            </w:pPr>
            <w:r w:rsidRPr="000A1C4F">
              <w:rPr>
                <w:lang w:val="en-GB"/>
              </w:rPr>
              <w:t>0%</w:t>
            </w:r>
          </w:p>
        </w:tc>
      </w:tr>
      <w:tr w:rsidR="00585C07" w:rsidRPr="000A1C4F" w14:paraId="30F8CBB0" w14:textId="77777777" w:rsidTr="001D1235">
        <w:trPr>
          <w:trHeight w:val="22"/>
        </w:trPr>
        <w:tc>
          <w:tcPr>
            <w:tcW w:w="1380" w:type="dxa"/>
            <w:hideMark/>
          </w:tcPr>
          <w:p w14:paraId="38B49037" w14:textId="77777777" w:rsidR="00585C07" w:rsidRPr="000A1C4F" w:rsidRDefault="00585C07" w:rsidP="001C4046">
            <w:pPr>
              <w:pStyle w:val="Normal-pool-Table"/>
              <w:spacing w:before="20" w:after="20"/>
              <w:jc w:val="right"/>
              <w:rPr>
                <w:lang w:val="en-GB"/>
              </w:rPr>
            </w:pPr>
            <w:r w:rsidRPr="000A1C4F">
              <w:rPr>
                <w:lang w:val="en-GB"/>
              </w:rPr>
              <w:t>10</w:t>
            </w:r>
          </w:p>
        </w:tc>
        <w:tc>
          <w:tcPr>
            <w:tcW w:w="1520" w:type="dxa"/>
            <w:hideMark/>
          </w:tcPr>
          <w:p w14:paraId="020D56BD" w14:textId="77777777" w:rsidR="00585C07" w:rsidRPr="000A1C4F" w:rsidRDefault="00585C07" w:rsidP="001C4046">
            <w:pPr>
              <w:pStyle w:val="Normal-pool-Table"/>
              <w:spacing w:before="20" w:after="20"/>
              <w:jc w:val="right"/>
              <w:rPr>
                <w:lang w:val="en-GB"/>
              </w:rPr>
            </w:pPr>
            <w:r w:rsidRPr="000A1C4F">
              <w:rPr>
                <w:lang w:val="en-GB"/>
              </w:rPr>
              <w:t>2</w:t>
            </w:r>
          </w:p>
        </w:tc>
        <w:tc>
          <w:tcPr>
            <w:tcW w:w="860" w:type="dxa"/>
            <w:hideMark/>
          </w:tcPr>
          <w:p w14:paraId="54C55272" w14:textId="77777777" w:rsidR="00585C07" w:rsidRPr="000A1C4F" w:rsidRDefault="00585C07" w:rsidP="001C4046">
            <w:pPr>
              <w:pStyle w:val="Normal-pool-Table"/>
              <w:spacing w:before="20" w:after="20"/>
              <w:jc w:val="right"/>
              <w:rPr>
                <w:lang w:val="en-GB"/>
              </w:rPr>
            </w:pPr>
            <w:r w:rsidRPr="000A1C4F">
              <w:rPr>
                <w:lang w:val="en-GB"/>
              </w:rPr>
              <w:t>0%</w:t>
            </w:r>
          </w:p>
        </w:tc>
      </w:tr>
      <w:tr w:rsidR="00585C07" w:rsidRPr="000A1C4F" w14:paraId="619FD6C9" w14:textId="77777777" w:rsidTr="001D1235">
        <w:trPr>
          <w:trHeight w:val="22"/>
        </w:trPr>
        <w:tc>
          <w:tcPr>
            <w:tcW w:w="1380" w:type="dxa"/>
            <w:tcBorders>
              <w:bottom w:val="single" w:sz="4" w:space="0" w:color="auto"/>
            </w:tcBorders>
            <w:hideMark/>
          </w:tcPr>
          <w:p w14:paraId="53AAFB79" w14:textId="77777777" w:rsidR="00585C07" w:rsidRPr="000A1C4F" w:rsidRDefault="00585C07" w:rsidP="001C4046">
            <w:pPr>
              <w:pStyle w:val="Normal-pool-Table"/>
              <w:spacing w:before="20" w:after="20"/>
              <w:jc w:val="right"/>
              <w:rPr>
                <w:lang w:val="en-GB"/>
              </w:rPr>
            </w:pPr>
            <w:r w:rsidRPr="000A1C4F">
              <w:rPr>
                <w:lang w:val="en-GB"/>
              </w:rPr>
              <w:t>12</w:t>
            </w:r>
          </w:p>
        </w:tc>
        <w:tc>
          <w:tcPr>
            <w:tcW w:w="1520" w:type="dxa"/>
            <w:tcBorders>
              <w:bottom w:val="single" w:sz="4" w:space="0" w:color="auto"/>
            </w:tcBorders>
            <w:hideMark/>
          </w:tcPr>
          <w:p w14:paraId="617E374F" w14:textId="77777777" w:rsidR="00585C07" w:rsidRPr="000A1C4F" w:rsidRDefault="00585C07" w:rsidP="001C4046">
            <w:pPr>
              <w:pStyle w:val="Normal-pool-Table"/>
              <w:spacing w:before="20" w:after="20"/>
              <w:jc w:val="right"/>
              <w:rPr>
                <w:lang w:val="en-GB"/>
              </w:rPr>
            </w:pPr>
            <w:r w:rsidRPr="000A1C4F">
              <w:rPr>
                <w:lang w:val="en-GB"/>
              </w:rPr>
              <w:t>1</w:t>
            </w:r>
          </w:p>
        </w:tc>
        <w:tc>
          <w:tcPr>
            <w:tcW w:w="860" w:type="dxa"/>
            <w:tcBorders>
              <w:bottom w:val="single" w:sz="4" w:space="0" w:color="auto"/>
            </w:tcBorders>
            <w:hideMark/>
          </w:tcPr>
          <w:p w14:paraId="421CB02F" w14:textId="77777777" w:rsidR="00585C07" w:rsidRPr="000A1C4F" w:rsidRDefault="00585C07" w:rsidP="001C4046">
            <w:pPr>
              <w:pStyle w:val="Normal-pool-Table"/>
              <w:spacing w:before="20" w:after="20"/>
              <w:jc w:val="right"/>
              <w:rPr>
                <w:lang w:val="en-GB"/>
              </w:rPr>
            </w:pPr>
            <w:r w:rsidRPr="000A1C4F">
              <w:rPr>
                <w:lang w:val="en-GB"/>
              </w:rPr>
              <w:t>0%</w:t>
            </w:r>
          </w:p>
        </w:tc>
      </w:tr>
      <w:tr w:rsidR="00585C07" w:rsidRPr="000A1C4F" w14:paraId="4A704FF6" w14:textId="77777777" w:rsidTr="001D1235">
        <w:trPr>
          <w:trHeight w:val="20"/>
        </w:trPr>
        <w:tc>
          <w:tcPr>
            <w:tcW w:w="1380" w:type="dxa"/>
            <w:tcBorders>
              <w:top w:val="single" w:sz="4" w:space="0" w:color="auto"/>
              <w:bottom w:val="single" w:sz="12" w:space="0" w:color="auto"/>
            </w:tcBorders>
            <w:hideMark/>
          </w:tcPr>
          <w:p w14:paraId="4BFFC372" w14:textId="77777777" w:rsidR="00585C07" w:rsidRPr="000A1C4F" w:rsidRDefault="00585C07" w:rsidP="001C4046">
            <w:pPr>
              <w:pStyle w:val="Normal-pool-Table"/>
              <w:spacing w:before="20" w:after="20"/>
              <w:jc w:val="right"/>
              <w:rPr>
                <w:lang w:val="en-GB"/>
              </w:rPr>
            </w:pPr>
            <w:r w:rsidRPr="000A1C4F">
              <w:rPr>
                <w:lang w:val="en-GB"/>
              </w:rPr>
              <w:t>Grand Total</w:t>
            </w:r>
          </w:p>
        </w:tc>
        <w:tc>
          <w:tcPr>
            <w:tcW w:w="1520" w:type="dxa"/>
            <w:tcBorders>
              <w:top w:val="single" w:sz="4" w:space="0" w:color="auto"/>
              <w:bottom w:val="single" w:sz="12" w:space="0" w:color="auto"/>
            </w:tcBorders>
            <w:hideMark/>
          </w:tcPr>
          <w:p w14:paraId="2DF9D1DE" w14:textId="77777777" w:rsidR="00585C07" w:rsidRPr="000A1C4F" w:rsidRDefault="00585C07" w:rsidP="001C4046">
            <w:pPr>
              <w:pStyle w:val="Normal-pool-Table"/>
              <w:spacing w:before="20" w:after="20"/>
              <w:jc w:val="right"/>
              <w:rPr>
                <w:lang w:val="en-GB"/>
              </w:rPr>
            </w:pPr>
            <w:r w:rsidRPr="000A1C4F">
              <w:rPr>
                <w:lang w:val="en-GB"/>
              </w:rPr>
              <w:t>4907</w:t>
            </w:r>
          </w:p>
        </w:tc>
        <w:tc>
          <w:tcPr>
            <w:tcW w:w="860" w:type="dxa"/>
            <w:tcBorders>
              <w:top w:val="single" w:sz="4" w:space="0" w:color="auto"/>
              <w:bottom w:val="single" w:sz="12" w:space="0" w:color="auto"/>
            </w:tcBorders>
            <w:hideMark/>
          </w:tcPr>
          <w:p w14:paraId="63F5093D" w14:textId="77777777" w:rsidR="00585C07" w:rsidRPr="000A1C4F" w:rsidRDefault="00585C07" w:rsidP="001C4046">
            <w:pPr>
              <w:pStyle w:val="Normal-pool-Table"/>
              <w:spacing w:before="20" w:after="20"/>
              <w:jc w:val="right"/>
              <w:rPr>
                <w:lang w:val="en-GB"/>
              </w:rPr>
            </w:pPr>
            <w:r w:rsidRPr="000A1C4F">
              <w:rPr>
                <w:lang w:val="en-GB"/>
              </w:rPr>
              <w:t>100%</w:t>
            </w:r>
          </w:p>
        </w:tc>
      </w:tr>
      <w:bookmarkEnd w:id="2"/>
    </w:tbl>
    <w:tbl>
      <w:tblPr>
        <w:tblStyle w:val="Tabledocright"/>
        <w:tblpPr w:leftFromText="180" w:rightFromText="180" w:vertAnchor="text" w:horzAnchor="margin" w:tblpY="79"/>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4D2EE8" w:rsidRPr="000A1C4F" w14:paraId="2D983914" w14:textId="77777777" w:rsidTr="004D2EE8">
        <w:trPr>
          <w:jc w:val="left"/>
        </w:trPr>
        <w:tc>
          <w:tcPr>
            <w:tcW w:w="1898" w:type="dxa"/>
          </w:tcPr>
          <w:p w14:paraId="7227A1EC" w14:textId="77777777" w:rsidR="004D2EE8" w:rsidRPr="000A1C4F" w:rsidRDefault="004D2EE8" w:rsidP="00FF240E">
            <w:pPr>
              <w:pStyle w:val="Normal-pool"/>
              <w:spacing w:before="240"/>
              <w:rPr>
                <w:sz w:val="10"/>
                <w:szCs w:val="10"/>
                <w:lang w:val="en-GB"/>
              </w:rPr>
            </w:pPr>
          </w:p>
        </w:tc>
        <w:tc>
          <w:tcPr>
            <w:tcW w:w="1899" w:type="dxa"/>
          </w:tcPr>
          <w:p w14:paraId="757BC3DB" w14:textId="77777777" w:rsidR="004D2EE8" w:rsidRPr="000A1C4F" w:rsidRDefault="004D2EE8" w:rsidP="00FF240E">
            <w:pPr>
              <w:pStyle w:val="Normal-pool"/>
              <w:spacing w:before="240"/>
              <w:rPr>
                <w:sz w:val="10"/>
                <w:szCs w:val="10"/>
                <w:lang w:val="en-GB"/>
              </w:rPr>
            </w:pPr>
          </w:p>
        </w:tc>
        <w:tc>
          <w:tcPr>
            <w:tcW w:w="1899" w:type="dxa"/>
            <w:tcBorders>
              <w:bottom w:val="single" w:sz="4" w:space="0" w:color="auto"/>
            </w:tcBorders>
          </w:tcPr>
          <w:p w14:paraId="2815A2C5" w14:textId="77777777" w:rsidR="004D2EE8" w:rsidRPr="000A1C4F" w:rsidRDefault="004D2EE8" w:rsidP="00FF240E">
            <w:pPr>
              <w:pStyle w:val="Normal-pool"/>
              <w:spacing w:before="240"/>
              <w:rPr>
                <w:sz w:val="10"/>
                <w:szCs w:val="10"/>
                <w:lang w:val="en-GB"/>
              </w:rPr>
            </w:pPr>
          </w:p>
        </w:tc>
        <w:tc>
          <w:tcPr>
            <w:tcW w:w="1900" w:type="dxa"/>
          </w:tcPr>
          <w:p w14:paraId="61121CEE" w14:textId="77777777" w:rsidR="004D2EE8" w:rsidRPr="000A1C4F" w:rsidRDefault="004D2EE8" w:rsidP="00FF240E">
            <w:pPr>
              <w:pStyle w:val="Normal-pool"/>
              <w:spacing w:before="240"/>
              <w:rPr>
                <w:sz w:val="10"/>
                <w:szCs w:val="10"/>
                <w:lang w:val="en-GB"/>
              </w:rPr>
            </w:pPr>
          </w:p>
        </w:tc>
        <w:tc>
          <w:tcPr>
            <w:tcW w:w="1900" w:type="dxa"/>
          </w:tcPr>
          <w:p w14:paraId="0EECCD9A" w14:textId="77777777" w:rsidR="004D2EE8" w:rsidRPr="000A1C4F" w:rsidRDefault="004D2EE8" w:rsidP="00FF240E">
            <w:pPr>
              <w:pStyle w:val="Normal-pool"/>
              <w:spacing w:before="240"/>
              <w:rPr>
                <w:sz w:val="10"/>
                <w:szCs w:val="10"/>
                <w:lang w:val="en-GB"/>
              </w:rPr>
            </w:pPr>
          </w:p>
        </w:tc>
      </w:tr>
    </w:tbl>
    <w:p w14:paraId="29601B9E" w14:textId="77777777" w:rsidR="004D2EE8" w:rsidRPr="000A1C4F" w:rsidRDefault="004D2EE8" w:rsidP="00190091">
      <w:pPr>
        <w:pStyle w:val="Normal-pool"/>
        <w:rPr>
          <w:sz w:val="2"/>
          <w:szCs w:val="2"/>
        </w:rPr>
      </w:pPr>
    </w:p>
    <w:sectPr w:rsidR="004D2EE8" w:rsidRPr="000A1C4F" w:rsidSect="00E16967">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3240" w14:textId="77777777" w:rsidR="00754C23" w:rsidRDefault="00754C23">
      <w:r>
        <w:separator/>
      </w:r>
    </w:p>
  </w:endnote>
  <w:endnote w:type="continuationSeparator" w:id="0">
    <w:p w14:paraId="6D678058" w14:textId="77777777" w:rsidR="00754C23" w:rsidRDefault="00754C23">
      <w:r>
        <w:continuationSeparator/>
      </w:r>
    </w:p>
  </w:endnote>
  <w:endnote w:type="continuationNotice" w:id="1">
    <w:p w14:paraId="26C7F651" w14:textId="77777777" w:rsidR="00754C23" w:rsidRDefault="00754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46967"/>
      <w:docPartObj>
        <w:docPartGallery w:val="Page Numbers (Bottom of Page)"/>
        <w:docPartUnique/>
      </w:docPartObj>
    </w:sdtPr>
    <w:sdtEndPr>
      <w:rPr>
        <w:b/>
        <w:bCs/>
        <w:noProof/>
      </w:rPr>
    </w:sdtEndPr>
    <w:sdtContent>
      <w:p w14:paraId="041A7415" w14:textId="474E967F" w:rsidR="00B95FB0" w:rsidRPr="00F860E2" w:rsidRDefault="00F860E2" w:rsidP="00F860E2">
        <w:pPr>
          <w:pStyle w:val="Footer"/>
          <w:rPr>
            <w:b/>
            <w:bCs/>
          </w:rPr>
        </w:pPr>
        <w:r w:rsidRPr="00F860E2">
          <w:rPr>
            <w:b/>
            <w:bCs/>
          </w:rPr>
          <w:fldChar w:fldCharType="begin"/>
        </w:r>
        <w:r w:rsidRPr="00F860E2">
          <w:rPr>
            <w:b/>
            <w:bCs/>
          </w:rPr>
          <w:instrText xml:space="preserve"> PAGE   \* MERGEFORMAT </w:instrText>
        </w:r>
        <w:r w:rsidRPr="00F860E2">
          <w:rPr>
            <w:b/>
            <w:bCs/>
          </w:rPr>
          <w:fldChar w:fldCharType="separate"/>
        </w:r>
        <w:r w:rsidRPr="00F860E2">
          <w:rPr>
            <w:b/>
            <w:bCs/>
            <w:noProof/>
          </w:rPr>
          <w:t>2</w:t>
        </w:r>
        <w:r w:rsidRPr="00F860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270670"/>
      <w:docPartObj>
        <w:docPartGallery w:val="Page Numbers (Bottom of Page)"/>
        <w:docPartUnique/>
      </w:docPartObj>
    </w:sdtPr>
    <w:sdtEndPr>
      <w:rPr>
        <w:b/>
        <w:bCs/>
        <w:noProof/>
      </w:rPr>
    </w:sdtEndPr>
    <w:sdtContent>
      <w:p w14:paraId="178899F0" w14:textId="01C17595" w:rsidR="00B95FB0" w:rsidRPr="00F860E2" w:rsidRDefault="00F860E2" w:rsidP="00F860E2">
        <w:pPr>
          <w:pStyle w:val="Footer"/>
          <w:jc w:val="right"/>
          <w:rPr>
            <w:b/>
            <w:bCs/>
          </w:rPr>
        </w:pPr>
        <w:r w:rsidRPr="00F860E2">
          <w:rPr>
            <w:b/>
            <w:bCs/>
          </w:rPr>
          <w:fldChar w:fldCharType="begin"/>
        </w:r>
        <w:r w:rsidRPr="00F860E2">
          <w:rPr>
            <w:b/>
            <w:bCs/>
          </w:rPr>
          <w:instrText xml:space="preserve"> PAGE   \* MERGEFORMAT </w:instrText>
        </w:r>
        <w:r w:rsidRPr="00F860E2">
          <w:rPr>
            <w:b/>
            <w:bCs/>
          </w:rPr>
          <w:fldChar w:fldCharType="separate"/>
        </w:r>
        <w:r w:rsidRPr="00F860E2">
          <w:rPr>
            <w:b/>
            <w:bCs/>
            <w:noProof/>
          </w:rPr>
          <w:t>2</w:t>
        </w:r>
        <w:r w:rsidRPr="00F860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6363FAC0" w:rsidR="00B95FB0" w:rsidRPr="00B70C1E" w:rsidRDefault="00B70C1E" w:rsidP="00F470DF">
    <w:pPr>
      <w:pStyle w:val="Normal-pool"/>
      <w:rPr>
        <w:b/>
      </w:rPr>
    </w:pPr>
    <w:r w:rsidRPr="00190091">
      <w:t>K</w:t>
    </w:r>
    <w:r w:rsidR="00190091" w:rsidRPr="00190091">
      <w:t>2202027</w:t>
    </w:r>
    <w:r w:rsidRPr="00190091">
      <w:tab/>
    </w:r>
    <w:r w:rsidR="00FF240E">
      <w:t>30</w:t>
    </w:r>
    <w:r w:rsidR="00190091" w:rsidRPr="00190091">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FD67" w14:textId="77777777" w:rsidR="00754C23" w:rsidRPr="008E340B" w:rsidRDefault="00754C23" w:rsidP="008E340B">
      <w:pPr>
        <w:pStyle w:val="Normal-pool"/>
        <w:spacing w:before="60"/>
        <w:ind w:left="624"/>
        <w:rPr>
          <w:sz w:val="18"/>
          <w:szCs w:val="18"/>
        </w:rPr>
      </w:pPr>
      <w:r w:rsidRPr="008E340B">
        <w:rPr>
          <w:sz w:val="18"/>
          <w:szCs w:val="18"/>
        </w:rPr>
        <w:separator/>
      </w:r>
    </w:p>
  </w:footnote>
  <w:footnote w:type="continuationSeparator" w:id="0">
    <w:p w14:paraId="205FB2FE" w14:textId="77777777" w:rsidR="00754C23" w:rsidRDefault="00754C23">
      <w:r>
        <w:continuationSeparator/>
      </w:r>
    </w:p>
  </w:footnote>
  <w:footnote w:type="continuationNotice" w:id="1">
    <w:p w14:paraId="68BF6664" w14:textId="77777777" w:rsidR="00754C23" w:rsidRDefault="00754C23"/>
  </w:footnote>
  <w:footnote w:id="2">
    <w:p w14:paraId="098C40D3" w14:textId="77777777" w:rsidR="00EC2E97" w:rsidRPr="008E340B" w:rsidRDefault="00EC2E97" w:rsidP="00EC2E97">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0A6053B0" w14:textId="77777777" w:rsidR="00A54005" w:rsidRPr="0078314E" w:rsidRDefault="00A54005" w:rsidP="00A54005">
      <w:pPr>
        <w:pStyle w:val="Normal-pool"/>
        <w:tabs>
          <w:tab w:val="left" w:pos="624"/>
        </w:tabs>
        <w:spacing w:before="40" w:after="40"/>
        <w:ind w:left="1247"/>
        <w:rPr>
          <w:sz w:val="18"/>
          <w:szCs w:val="18"/>
        </w:rPr>
      </w:pPr>
      <w:r w:rsidRPr="00A76336">
        <w:rPr>
          <w:rStyle w:val="FootnoteReference"/>
          <w:sz w:val="18"/>
          <w:vertAlign w:val="baseline"/>
        </w:rPr>
        <w:t>*</w:t>
      </w:r>
      <w:r w:rsidRPr="0078314E">
        <w:rPr>
          <w:sz w:val="18"/>
          <w:szCs w:val="18"/>
        </w:rPr>
        <w:t xml:space="preserve"> </w:t>
      </w:r>
      <w:r w:rsidRPr="00A76336">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3D1B9AF4" w:rsidR="00B95FB0" w:rsidRPr="008520C8" w:rsidRDefault="00B95FB0" w:rsidP="00B24A20">
    <w:pPr>
      <w:pStyle w:val="Header-pool"/>
    </w:pPr>
    <w:r>
      <w:t>IPBES/</w:t>
    </w:r>
    <w:r w:rsidR="00FA1F59">
      <w:t>9</w:t>
    </w:r>
    <w:r>
      <w:t>/</w:t>
    </w:r>
    <w:r w:rsidR="00FB75D9">
      <w:t>INF/</w:t>
    </w:r>
    <w:r w:rsidR="00121D02">
      <w:t>2</w:t>
    </w:r>
    <w:r w:rsidR="007A2DF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12F60ED1" w:rsidR="00B95FB0" w:rsidRPr="008520C8" w:rsidRDefault="00B95FB0" w:rsidP="00B24A20">
    <w:pPr>
      <w:pStyle w:val="Header-pool"/>
      <w:jc w:val="right"/>
    </w:pPr>
    <w:r w:rsidRPr="00B24A20">
      <w:t>IPBES</w:t>
    </w:r>
    <w:r>
      <w:t>/</w:t>
    </w:r>
    <w:r w:rsidR="00FA1F59">
      <w:t>9</w:t>
    </w:r>
    <w:r>
      <w:t>/</w:t>
    </w:r>
    <w:r w:rsidR="00FB75D9">
      <w:t>INF/</w:t>
    </w:r>
    <w:r w:rsidR="00121D02">
      <w:t>2</w:t>
    </w:r>
    <w:r w:rsidR="007A2DF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A5F4" w14:textId="77777777" w:rsidR="00190091" w:rsidRDefault="00190091" w:rsidP="0019009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58702784"/>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542C5BBF"/>
    <w:multiLevelType w:val="multilevel"/>
    <w:tmpl w:val="138C558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603D586D"/>
    <w:multiLevelType w:val="hybridMultilevel"/>
    <w:tmpl w:val="3012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3"/>
  </w:num>
  <w:num w:numId="3">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10C5"/>
    <w:rsid w:val="0001185C"/>
    <w:rsid w:val="00013001"/>
    <w:rsid w:val="00013746"/>
    <w:rsid w:val="00013D58"/>
    <w:rsid w:val="000149E6"/>
    <w:rsid w:val="0001559D"/>
    <w:rsid w:val="0001582F"/>
    <w:rsid w:val="0002315C"/>
    <w:rsid w:val="000247B0"/>
    <w:rsid w:val="00026997"/>
    <w:rsid w:val="000278C7"/>
    <w:rsid w:val="00030788"/>
    <w:rsid w:val="00031B99"/>
    <w:rsid w:val="00033CA9"/>
    <w:rsid w:val="00033E0B"/>
    <w:rsid w:val="00035E6B"/>
    <w:rsid w:val="00035EDE"/>
    <w:rsid w:val="0004530B"/>
    <w:rsid w:val="0004771A"/>
    <w:rsid w:val="00047B94"/>
    <w:rsid w:val="000509B4"/>
    <w:rsid w:val="00051364"/>
    <w:rsid w:val="00051A9C"/>
    <w:rsid w:val="00053992"/>
    <w:rsid w:val="00053E7A"/>
    <w:rsid w:val="0005530D"/>
    <w:rsid w:val="0006035B"/>
    <w:rsid w:val="00061689"/>
    <w:rsid w:val="00063815"/>
    <w:rsid w:val="0006422A"/>
    <w:rsid w:val="00065148"/>
    <w:rsid w:val="00067787"/>
    <w:rsid w:val="000710F0"/>
    <w:rsid w:val="0007118B"/>
    <w:rsid w:val="00071886"/>
    <w:rsid w:val="00073928"/>
    <w:rsid w:val="000742BC"/>
    <w:rsid w:val="00076EEB"/>
    <w:rsid w:val="00081FB3"/>
    <w:rsid w:val="00082A0C"/>
    <w:rsid w:val="00083504"/>
    <w:rsid w:val="00086A10"/>
    <w:rsid w:val="00087507"/>
    <w:rsid w:val="00091560"/>
    <w:rsid w:val="00092D09"/>
    <w:rsid w:val="00094243"/>
    <w:rsid w:val="000956A3"/>
    <w:rsid w:val="0009640C"/>
    <w:rsid w:val="00096628"/>
    <w:rsid w:val="000A146D"/>
    <w:rsid w:val="000A1A65"/>
    <w:rsid w:val="000A1C4F"/>
    <w:rsid w:val="000A4CFF"/>
    <w:rsid w:val="000A6ECA"/>
    <w:rsid w:val="000B0942"/>
    <w:rsid w:val="000B22A2"/>
    <w:rsid w:val="000B233F"/>
    <w:rsid w:val="000B332D"/>
    <w:rsid w:val="000B37FA"/>
    <w:rsid w:val="000B69DA"/>
    <w:rsid w:val="000B77D5"/>
    <w:rsid w:val="000B7C23"/>
    <w:rsid w:val="000C22B3"/>
    <w:rsid w:val="000C2636"/>
    <w:rsid w:val="000C2809"/>
    <w:rsid w:val="000C2A52"/>
    <w:rsid w:val="000C50DB"/>
    <w:rsid w:val="000C5426"/>
    <w:rsid w:val="000D1795"/>
    <w:rsid w:val="000D1904"/>
    <w:rsid w:val="000D1FFE"/>
    <w:rsid w:val="000D33C0"/>
    <w:rsid w:val="000D6941"/>
    <w:rsid w:val="000E0C08"/>
    <w:rsid w:val="000F314E"/>
    <w:rsid w:val="000F3AB7"/>
    <w:rsid w:val="000F45BD"/>
    <w:rsid w:val="000F484C"/>
    <w:rsid w:val="000F53CB"/>
    <w:rsid w:val="000F6E8E"/>
    <w:rsid w:val="00101D6B"/>
    <w:rsid w:val="00102902"/>
    <w:rsid w:val="001036A6"/>
    <w:rsid w:val="001037F5"/>
    <w:rsid w:val="0010457A"/>
    <w:rsid w:val="001046A0"/>
    <w:rsid w:val="00104FA9"/>
    <w:rsid w:val="00105686"/>
    <w:rsid w:val="0010728A"/>
    <w:rsid w:val="0010748A"/>
    <w:rsid w:val="001101A9"/>
    <w:rsid w:val="0011071F"/>
    <w:rsid w:val="001124F6"/>
    <w:rsid w:val="00115A54"/>
    <w:rsid w:val="0011664B"/>
    <w:rsid w:val="001202E3"/>
    <w:rsid w:val="001207A8"/>
    <w:rsid w:val="00120C90"/>
    <w:rsid w:val="00121C5E"/>
    <w:rsid w:val="00121D02"/>
    <w:rsid w:val="00122051"/>
    <w:rsid w:val="00122CE8"/>
    <w:rsid w:val="00123699"/>
    <w:rsid w:val="0012493A"/>
    <w:rsid w:val="00126FF9"/>
    <w:rsid w:val="0013059D"/>
    <w:rsid w:val="001313F6"/>
    <w:rsid w:val="001339D1"/>
    <w:rsid w:val="00137C36"/>
    <w:rsid w:val="00140369"/>
    <w:rsid w:val="00141910"/>
    <w:rsid w:val="00141A55"/>
    <w:rsid w:val="00142053"/>
    <w:rsid w:val="00144138"/>
    <w:rsid w:val="001446A3"/>
    <w:rsid w:val="00144A8F"/>
    <w:rsid w:val="00144E6E"/>
    <w:rsid w:val="00147CEC"/>
    <w:rsid w:val="00154CA8"/>
    <w:rsid w:val="00155395"/>
    <w:rsid w:val="00155A46"/>
    <w:rsid w:val="0015635E"/>
    <w:rsid w:val="00156A71"/>
    <w:rsid w:val="0015720A"/>
    <w:rsid w:val="00160D74"/>
    <w:rsid w:val="00160E3F"/>
    <w:rsid w:val="00162265"/>
    <w:rsid w:val="00165BA4"/>
    <w:rsid w:val="00167D02"/>
    <w:rsid w:val="00173536"/>
    <w:rsid w:val="00175229"/>
    <w:rsid w:val="00176752"/>
    <w:rsid w:val="00181EC8"/>
    <w:rsid w:val="00184349"/>
    <w:rsid w:val="00185197"/>
    <w:rsid w:val="00185EE9"/>
    <w:rsid w:val="00186746"/>
    <w:rsid w:val="00190091"/>
    <w:rsid w:val="00195F33"/>
    <w:rsid w:val="001A1536"/>
    <w:rsid w:val="001A1668"/>
    <w:rsid w:val="001A7E55"/>
    <w:rsid w:val="001B04C9"/>
    <w:rsid w:val="001B1617"/>
    <w:rsid w:val="001B2901"/>
    <w:rsid w:val="001B504B"/>
    <w:rsid w:val="001B5BA4"/>
    <w:rsid w:val="001B62D5"/>
    <w:rsid w:val="001B7586"/>
    <w:rsid w:val="001C04F9"/>
    <w:rsid w:val="001C0DFB"/>
    <w:rsid w:val="001C4046"/>
    <w:rsid w:val="001C41F6"/>
    <w:rsid w:val="001C462A"/>
    <w:rsid w:val="001C477B"/>
    <w:rsid w:val="001C6668"/>
    <w:rsid w:val="001C66ED"/>
    <w:rsid w:val="001D1235"/>
    <w:rsid w:val="001D1BB2"/>
    <w:rsid w:val="001D265E"/>
    <w:rsid w:val="001D3874"/>
    <w:rsid w:val="001D69A1"/>
    <w:rsid w:val="001D7E75"/>
    <w:rsid w:val="001E1F18"/>
    <w:rsid w:val="001E40DE"/>
    <w:rsid w:val="001E4CA0"/>
    <w:rsid w:val="001E56D2"/>
    <w:rsid w:val="001E7C76"/>
    <w:rsid w:val="001E7D56"/>
    <w:rsid w:val="001F098D"/>
    <w:rsid w:val="001F2F1B"/>
    <w:rsid w:val="001F53DB"/>
    <w:rsid w:val="001F5AE3"/>
    <w:rsid w:val="001F75DE"/>
    <w:rsid w:val="00200D58"/>
    <w:rsid w:val="002013BE"/>
    <w:rsid w:val="002030D2"/>
    <w:rsid w:val="00205B4A"/>
    <w:rsid w:val="002063A4"/>
    <w:rsid w:val="002069EA"/>
    <w:rsid w:val="0020751E"/>
    <w:rsid w:val="0021145B"/>
    <w:rsid w:val="0021458E"/>
    <w:rsid w:val="002146B9"/>
    <w:rsid w:val="00215FF8"/>
    <w:rsid w:val="00217178"/>
    <w:rsid w:val="00221B85"/>
    <w:rsid w:val="00223B80"/>
    <w:rsid w:val="00224C07"/>
    <w:rsid w:val="002255A8"/>
    <w:rsid w:val="00225A08"/>
    <w:rsid w:val="00227347"/>
    <w:rsid w:val="0022738B"/>
    <w:rsid w:val="00233E65"/>
    <w:rsid w:val="0023517A"/>
    <w:rsid w:val="00235312"/>
    <w:rsid w:val="00235BE4"/>
    <w:rsid w:val="002369A9"/>
    <w:rsid w:val="00237E55"/>
    <w:rsid w:val="002413D8"/>
    <w:rsid w:val="00243D36"/>
    <w:rsid w:val="00246854"/>
    <w:rsid w:val="00247707"/>
    <w:rsid w:val="00247AA6"/>
    <w:rsid w:val="00250606"/>
    <w:rsid w:val="00250FE8"/>
    <w:rsid w:val="00252288"/>
    <w:rsid w:val="002534F8"/>
    <w:rsid w:val="00254044"/>
    <w:rsid w:val="00255F1B"/>
    <w:rsid w:val="002577BB"/>
    <w:rsid w:val="0026018E"/>
    <w:rsid w:val="00262E3D"/>
    <w:rsid w:val="00264E7C"/>
    <w:rsid w:val="00265D2A"/>
    <w:rsid w:val="0026656F"/>
    <w:rsid w:val="002674E3"/>
    <w:rsid w:val="00275071"/>
    <w:rsid w:val="002761A9"/>
    <w:rsid w:val="00280581"/>
    <w:rsid w:val="0028148D"/>
    <w:rsid w:val="00282855"/>
    <w:rsid w:val="002828AD"/>
    <w:rsid w:val="002837D2"/>
    <w:rsid w:val="0028557B"/>
    <w:rsid w:val="00286740"/>
    <w:rsid w:val="002874CC"/>
    <w:rsid w:val="002910FA"/>
    <w:rsid w:val="002929D8"/>
    <w:rsid w:val="00293967"/>
    <w:rsid w:val="0029478F"/>
    <w:rsid w:val="00297EFA"/>
    <w:rsid w:val="002A0995"/>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D7F78"/>
    <w:rsid w:val="002E19D6"/>
    <w:rsid w:val="002E1A8D"/>
    <w:rsid w:val="002E2371"/>
    <w:rsid w:val="002E281D"/>
    <w:rsid w:val="002E32E9"/>
    <w:rsid w:val="002E364F"/>
    <w:rsid w:val="002E3B3B"/>
    <w:rsid w:val="002E4F3F"/>
    <w:rsid w:val="002E7DC6"/>
    <w:rsid w:val="002F0715"/>
    <w:rsid w:val="002F08F6"/>
    <w:rsid w:val="002F0DE2"/>
    <w:rsid w:val="002F1AE7"/>
    <w:rsid w:val="002F2006"/>
    <w:rsid w:val="002F2633"/>
    <w:rsid w:val="002F3AE1"/>
    <w:rsid w:val="002F4761"/>
    <w:rsid w:val="002F5C79"/>
    <w:rsid w:val="003019E2"/>
    <w:rsid w:val="00303337"/>
    <w:rsid w:val="00304948"/>
    <w:rsid w:val="003056F2"/>
    <w:rsid w:val="00306862"/>
    <w:rsid w:val="0031228B"/>
    <w:rsid w:val="00312DBF"/>
    <w:rsid w:val="0031413F"/>
    <w:rsid w:val="0031420D"/>
    <w:rsid w:val="00314727"/>
    <w:rsid w:val="003148BB"/>
    <w:rsid w:val="00314911"/>
    <w:rsid w:val="00317976"/>
    <w:rsid w:val="0032109C"/>
    <w:rsid w:val="0032445A"/>
    <w:rsid w:val="00333853"/>
    <w:rsid w:val="00334BAE"/>
    <w:rsid w:val="00335D88"/>
    <w:rsid w:val="0033702C"/>
    <w:rsid w:val="00340194"/>
    <w:rsid w:val="00340280"/>
    <w:rsid w:val="003404B2"/>
    <w:rsid w:val="0034080D"/>
    <w:rsid w:val="003409EF"/>
    <w:rsid w:val="00342444"/>
    <w:rsid w:val="00342482"/>
    <w:rsid w:val="003442DB"/>
    <w:rsid w:val="00345569"/>
    <w:rsid w:val="003540FC"/>
    <w:rsid w:val="003556AA"/>
    <w:rsid w:val="00355EA9"/>
    <w:rsid w:val="00356EC1"/>
    <w:rsid w:val="003578DE"/>
    <w:rsid w:val="00360464"/>
    <w:rsid w:val="003607D3"/>
    <w:rsid w:val="0036347A"/>
    <w:rsid w:val="00364D89"/>
    <w:rsid w:val="0036692B"/>
    <w:rsid w:val="00366EBE"/>
    <w:rsid w:val="00372621"/>
    <w:rsid w:val="003732D8"/>
    <w:rsid w:val="003734E0"/>
    <w:rsid w:val="0037782F"/>
    <w:rsid w:val="00380241"/>
    <w:rsid w:val="003805DB"/>
    <w:rsid w:val="00380F5E"/>
    <w:rsid w:val="003827C2"/>
    <w:rsid w:val="0038333E"/>
    <w:rsid w:val="003854ED"/>
    <w:rsid w:val="00385969"/>
    <w:rsid w:val="00386B6D"/>
    <w:rsid w:val="003872A4"/>
    <w:rsid w:val="0038742A"/>
    <w:rsid w:val="00391F70"/>
    <w:rsid w:val="003924A7"/>
    <w:rsid w:val="00394A52"/>
    <w:rsid w:val="00395DE3"/>
    <w:rsid w:val="00396257"/>
    <w:rsid w:val="00396929"/>
    <w:rsid w:val="00397A70"/>
    <w:rsid w:val="00397C95"/>
    <w:rsid w:val="00397EB8"/>
    <w:rsid w:val="003A0940"/>
    <w:rsid w:val="003A1CD0"/>
    <w:rsid w:val="003A32C8"/>
    <w:rsid w:val="003A4FD0"/>
    <w:rsid w:val="003A5245"/>
    <w:rsid w:val="003A66BF"/>
    <w:rsid w:val="003A69D1"/>
    <w:rsid w:val="003A7705"/>
    <w:rsid w:val="003A77F1"/>
    <w:rsid w:val="003B0051"/>
    <w:rsid w:val="003B018E"/>
    <w:rsid w:val="003B1545"/>
    <w:rsid w:val="003B58A8"/>
    <w:rsid w:val="003B6C3D"/>
    <w:rsid w:val="003C3476"/>
    <w:rsid w:val="003C409D"/>
    <w:rsid w:val="003C5A14"/>
    <w:rsid w:val="003C5BA6"/>
    <w:rsid w:val="003C65E1"/>
    <w:rsid w:val="003C6ABD"/>
    <w:rsid w:val="003C6F67"/>
    <w:rsid w:val="003D2432"/>
    <w:rsid w:val="003D3D59"/>
    <w:rsid w:val="003D3EC7"/>
    <w:rsid w:val="003D511E"/>
    <w:rsid w:val="003D6270"/>
    <w:rsid w:val="003E04E3"/>
    <w:rsid w:val="003E4EB5"/>
    <w:rsid w:val="003E51E1"/>
    <w:rsid w:val="003E53C3"/>
    <w:rsid w:val="003E57FD"/>
    <w:rsid w:val="003F0C27"/>
    <w:rsid w:val="003F0E85"/>
    <w:rsid w:val="003F561B"/>
    <w:rsid w:val="003F5B8A"/>
    <w:rsid w:val="003F6047"/>
    <w:rsid w:val="003F6B75"/>
    <w:rsid w:val="00400471"/>
    <w:rsid w:val="00405D77"/>
    <w:rsid w:val="00405FA0"/>
    <w:rsid w:val="0040625A"/>
    <w:rsid w:val="00406D3B"/>
    <w:rsid w:val="00407DBA"/>
    <w:rsid w:val="00410098"/>
    <w:rsid w:val="004100EA"/>
    <w:rsid w:val="00410C55"/>
    <w:rsid w:val="00413ADD"/>
    <w:rsid w:val="00415145"/>
    <w:rsid w:val="00416854"/>
    <w:rsid w:val="00416E62"/>
    <w:rsid w:val="00417725"/>
    <w:rsid w:val="004217FA"/>
    <w:rsid w:val="00424992"/>
    <w:rsid w:val="00424A9E"/>
    <w:rsid w:val="00431621"/>
    <w:rsid w:val="004335EC"/>
    <w:rsid w:val="00433BDB"/>
    <w:rsid w:val="00435662"/>
    <w:rsid w:val="00437B82"/>
    <w:rsid w:val="00437F26"/>
    <w:rsid w:val="00442B09"/>
    <w:rsid w:val="004432F8"/>
    <w:rsid w:val="00443C6E"/>
    <w:rsid w:val="00444097"/>
    <w:rsid w:val="00445487"/>
    <w:rsid w:val="00445AE6"/>
    <w:rsid w:val="00446553"/>
    <w:rsid w:val="004509A1"/>
    <w:rsid w:val="00454769"/>
    <w:rsid w:val="00461EBE"/>
    <w:rsid w:val="00465886"/>
    <w:rsid w:val="00465E60"/>
    <w:rsid w:val="00465FAA"/>
    <w:rsid w:val="00466991"/>
    <w:rsid w:val="0047064C"/>
    <w:rsid w:val="00471270"/>
    <w:rsid w:val="00473D2B"/>
    <w:rsid w:val="00473F1F"/>
    <w:rsid w:val="004774FF"/>
    <w:rsid w:val="00484ED4"/>
    <w:rsid w:val="004868B8"/>
    <w:rsid w:val="00491D1C"/>
    <w:rsid w:val="00496038"/>
    <w:rsid w:val="004A0FE9"/>
    <w:rsid w:val="004A1A72"/>
    <w:rsid w:val="004A276F"/>
    <w:rsid w:val="004A345B"/>
    <w:rsid w:val="004A42E1"/>
    <w:rsid w:val="004A56B8"/>
    <w:rsid w:val="004B162C"/>
    <w:rsid w:val="004B1B51"/>
    <w:rsid w:val="004B2401"/>
    <w:rsid w:val="004B505B"/>
    <w:rsid w:val="004B68FF"/>
    <w:rsid w:val="004C0870"/>
    <w:rsid w:val="004C10B0"/>
    <w:rsid w:val="004C20F1"/>
    <w:rsid w:val="004C2AED"/>
    <w:rsid w:val="004C2D9A"/>
    <w:rsid w:val="004C3DBE"/>
    <w:rsid w:val="004C44F2"/>
    <w:rsid w:val="004C5C96"/>
    <w:rsid w:val="004D06A4"/>
    <w:rsid w:val="004D2EE8"/>
    <w:rsid w:val="004E20E5"/>
    <w:rsid w:val="004E38F3"/>
    <w:rsid w:val="004E4FFB"/>
    <w:rsid w:val="004E6E7D"/>
    <w:rsid w:val="004F1A81"/>
    <w:rsid w:val="004F5670"/>
    <w:rsid w:val="004F5678"/>
    <w:rsid w:val="004F5D44"/>
    <w:rsid w:val="004F7BC1"/>
    <w:rsid w:val="00500143"/>
    <w:rsid w:val="005004E6"/>
    <w:rsid w:val="00500AAE"/>
    <w:rsid w:val="0050337B"/>
    <w:rsid w:val="005036CA"/>
    <w:rsid w:val="00503F35"/>
    <w:rsid w:val="0050550B"/>
    <w:rsid w:val="00507A77"/>
    <w:rsid w:val="005102AE"/>
    <w:rsid w:val="00511C02"/>
    <w:rsid w:val="0051220F"/>
    <w:rsid w:val="00512B6E"/>
    <w:rsid w:val="0051306C"/>
    <w:rsid w:val="005131A4"/>
    <w:rsid w:val="00513654"/>
    <w:rsid w:val="005140C4"/>
    <w:rsid w:val="00514C03"/>
    <w:rsid w:val="00515520"/>
    <w:rsid w:val="00517857"/>
    <w:rsid w:val="005218D9"/>
    <w:rsid w:val="00523761"/>
    <w:rsid w:val="005240EF"/>
    <w:rsid w:val="00525D7B"/>
    <w:rsid w:val="005272DF"/>
    <w:rsid w:val="00527B09"/>
    <w:rsid w:val="00527F80"/>
    <w:rsid w:val="00531443"/>
    <w:rsid w:val="00534BE0"/>
    <w:rsid w:val="00536186"/>
    <w:rsid w:val="00536901"/>
    <w:rsid w:val="0053794B"/>
    <w:rsid w:val="00541290"/>
    <w:rsid w:val="00541886"/>
    <w:rsid w:val="00541E45"/>
    <w:rsid w:val="005422EA"/>
    <w:rsid w:val="005428E1"/>
    <w:rsid w:val="005442B9"/>
    <w:rsid w:val="00544997"/>
    <w:rsid w:val="00544CBB"/>
    <w:rsid w:val="00545495"/>
    <w:rsid w:val="0054571A"/>
    <w:rsid w:val="00546C13"/>
    <w:rsid w:val="00547034"/>
    <w:rsid w:val="005518C8"/>
    <w:rsid w:val="005537BD"/>
    <w:rsid w:val="00554B10"/>
    <w:rsid w:val="005563B6"/>
    <w:rsid w:val="005563CC"/>
    <w:rsid w:val="005569BC"/>
    <w:rsid w:val="00556B0A"/>
    <w:rsid w:val="0056012A"/>
    <w:rsid w:val="0056312E"/>
    <w:rsid w:val="00566C86"/>
    <w:rsid w:val="00567A02"/>
    <w:rsid w:val="0057021E"/>
    <w:rsid w:val="00572FF5"/>
    <w:rsid w:val="0057315F"/>
    <w:rsid w:val="00576104"/>
    <w:rsid w:val="00576828"/>
    <w:rsid w:val="00577605"/>
    <w:rsid w:val="00580A34"/>
    <w:rsid w:val="00581457"/>
    <w:rsid w:val="0058489B"/>
    <w:rsid w:val="005856D2"/>
    <w:rsid w:val="00585C07"/>
    <w:rsid w:val="005871D4"/>
    <w:rsid w:val="005928D1"/>
    <w:rsid w:val="00592D62"/>
    <w:rsid w:val="00593001"/>
    <w:rsid w:val="00593784"/>
    <w:rsid w:val="00596522"/>
    <w:rsid w:val="005A0AD1"/>
    <w:rsid w:val="005A113B"/>
    <w:rsid w:val="005A1727"/>
    <w:rsid w:val="005A1B89"/>
    <w:rsid w:val="005B0DEE"/>
    <w:rsid w:val="005B253A"/>
    <w:rsid w:val="005B543A"/>
    <w:rsid w:val="005B5A0D"/>
    <w:rsid w:val="005C0AFC"/>
    <w:rsid w:val="005C57E1"/>
    <w:rsid w:val="005C67C8"/>
    <w:rsid w:val="005D0249"/>
    <w:rsid w:val="005D33AA"/>
    <w:rsid w:val="005D3F4C"/>
    <w:rsid w:val="005D6E8C"/>
    <w:rsid w:val="005E1FE2"/>
    <w:rsid w:val="005E20B2"/>
    <w:rsid w:val="005E2859"/>
    <w:rsid w:val="005E33E1"/>
    <w:rsid w:val="005E7331"/>
    <w:rsid w:val="005E775D"/>
    <w:rsid w:val="005F0030"/>
    <w:rsid w:val="005F04BD"/>
    <w:rsid w:val="005F066E"/>
    <w:rsid w:val="005F06C5"/>
    <w:rsid w:val="005F100C"/>
    <w:rsid w:val="005F50D0"/>
    <w:rsid w:val="005F68DA"/>
    <w:rsid w:val="00600686"/>
    <w:rsid w:val="0060281F"/>
    <w:rsid w:val="00602AD1"/>
    <w:rsid w:val="006039BC"/>
    <w:rsid w:val="0060773B"/>
    <w:rsid w:val="006103AC"/>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8A6"/>
    <w:rsid w:val="00634A53"/>
    <w:rsid w:val="00636AB9"/>
    <w:rsid w:val="00640454"/>
    <w:rsid w:val="00641703"/>
    <w:rsid w:val="006419C5"/>
    <w:rsid w:val="00642F8D"/>
    <w:rsid w:val="006431A6"/>
    <w:rsid w:val="00645097"/>
    <w:rsid w:val="006450D9"/>
    <w:rsid w:val="006451EE"/>
    <w:rsid w:val="006459F6"/>
    <w:rsid w:val="00646E10"/>
    <w:rsid w:val="006501AD"/>
    <w:rsid w:val="00650361"/>
    <w:rsid w:val="00651BFA"/>
    <w:rsid w:val="00651EF8"/>
    <w:rsid w:val="00654475"/>
    <w:rsid w:val="006552A2"/>
    <w:rsid w:val="0065570E"/>
    <w:rsid w:val="00656FE7"/>
    <w:rsid w:val="00657A61"/>
    <w:rsid w:val="0066093D"/>
    <w:rsid w:val="00661A50"/>
    <w:rsid w:val="006625CF"/>
    <w:rsid w:val="00663561"/>
    <w:rsid w:val="00665A4B"/>
    <w:rsid w:val="00665D0A"/>
    <w:rsid w:val="006672AD"/>
    <w:rsid w:val="00667F98"/>
    <w:rsid w:val="006744B2"/>
    <w:rsid w:val="00674D0B"/>
    <w:rsid w:val="00676210"/>
    <w:rsid w:val="006767D3"/>
    <w:rsid w:val="0068303F"/>
    <w:rsid w:val="00683CDA"/>
    <w:rsid w:val="00684BC4"/>
    <w:rsid w:val="00685097"/>
    <w:rsid w:val="00692E2A"/>
    <w:rsid w:val="006943A8"/>
    <w:rsid w:val="0069482B"/>
    <w:rsid w:val="006A3340"/>
    <w:rsid w:val="006A5370"/>
    <w:rsid w:val="006A5DEE"/>
    <w:rsid w:val="006A6349"/>
    <w:rsid w:val="006A66AB"/>
    <w:rsid w:val="006A76F2"/>
    <w:rsid w:val="006B01FC"/>
    <w:rsid w:val="006B164F"/>
    <w:rsid w:val="006C10B1"/>
    <w:rsid w:val="006C21EC"/>
    <w:rsid w:val="006C3EAE"/>
    <w:rsid w:val="006C441F"/>
    <w:rsid w:val="006C5665"/>
    <w:rsid w:val="006D0354"/>
    <w:rsid w:val="006D7EFB"/>
    <w:rsid w:val="006E2544"/>
    <w:rsid w:val="006E2B39"/>
    <w:rsid w:val="006E54C2"/>
    <w:rsid w:val="006E6672"/>
    <w:rsid w:val="006E6722"/>
    <w:rsid w:val="006F0854"/>
    <w:rsid w:val="006F188E"/>
    <w:rsid w:val="006F2773"/>
    <w:rsid w:val="006F537B"/>
    <w:rsid w:val="006F7CEF"/>
    <w:rsid w:val="00701DB8"/>
    <w:rsid w:val="007027B9"/>
    <w:rsid w:val="007114EE"/>
    <w:rsid w:val="00715E88"/>
    <w:rsid w:val="00721848"/>
    <w:rsid w:val="007230A0"/>
    <w:rsid w:val="0072413C"/>
    <w:rsid w:val="00726546"/>
    <w:rsid w:val="00727BC1"/>
    <w:rsid w:val="0073003A"/>
    <w:rsid w:val="007322BD"/>
    <w:rsid w:val="0073281A"/>
    <w:rsid w:val="00734CAA"/>
    <w:rsid w:val="007418EA"/>
    <w:rsid w:val="00742ADD"/>
    <w:rsid w:val="007454AF"/>
    <w:rsid w:val="00746C7E"/>
    <w:rsid w:val="00746D05"/>
    <w:rsid w:val="007476C3"/>
    <w:rsid w:val="0075205D"/>
    <w:rsid w:val="007538EE"/>
    <w:rsid w:val="00754C23"/>
    <w:rsid w:val="0075533C"/>
    <w:rsid w:val="007554EA"/>
    <w:rsid w:val="00756B25"/>
    <w:rsid w:val="00756B2D"/>
    <w:rsid w:val="00757581"/>
    <w:rsid w:val="007611A0"/>
    <w:rsid w:val="00761C3B"/>
    <w:rsid w:val="007637BF"/>
    <w:rsid w:val="00764A22"/>
    <w:rsid w:val="0076633D"/>
    <w:rsid w:val="00766FC6"/>
    <w:rsid w:val="00767808"/>
    <w:rsid w:val="00770037"/>
    <w:rsid w:val="00770FC5"/>
    <w:rsid w:val="0077167D"/>
    <w:rsid w:val="00771E3B"/>
    <w:rsid w:val="00774907"/>
    <w:rsid w:val="007756D9"/>
    <w:rsid w:val="00777061"/>
    <w:rsid w:val="00777864"/>
    <w:rsid w:val="007806CC"/>
    <w:rsid w:val="0078070A"/>
    <w:rsid w:val="007817A5"/>
    <w:rsid w:val="00784F0D"/>
    <w:rsid w:val="0079048A"/>
    <w:rsid w:val="00791D40"/>
    <w:rsid w:val="00793B47"/>
    <w:rsid w:val="0079434B"/>
    <w:rsid w:val="00794A5A"/>
    <w:rsid w:val="00796D3F"/>
    <w:rsid w:val="007970D6"/>
    <w:rsid w:val="00797456"/>
    <w:rsid w:val="007A1683"/>
    <w:rsid w:val="007A2DF0"/>
    <w:rsid w:val="007A4130"/>
    <w:rsid w:val="007A4A4E"/>
    <w:rsid w:val="007A5C12"/>
    <w:rsid w:val="007A5FCD"/>
    <w:rsid w:val="007A61BE"/>
    <w:rsid w:val="007A7A50"/>
    <w:rsid w:val="007A7CB0"/>
    <w:rsid w:val="007B04E1"/>
    <w:rsid w:val="007B0A24"/>
    <w:rsid w:val="007B3A07"/>
    <w:rsid w:val="007B48FD"/>
    <w:rsid w:val="007B68A3"/>
    <w:rsid w:val="007C055E"/>
    <w:rsid w:val="007C2241"/>
    <w:rsid w:val="007C2541"/>
    <w:rsid w:val="007C3955"/>
    <w:rsid w:val="007C5215"/>
    <w:rsid w:val="007C72B9"/>
    <w:rsid w:val="007C7D99"/>
    <w:rsid w:val="007D6383"/>
    <w:rsid w:val="007D66A8"/>
    <w:rsid w:val="007D7195"/>
    <w:rsid w:val="007E003F"/>
    <w:rsid w:val="007E0B2C"/>
    <w:rsid w:val="007E26D6"/>
    <w:rsid w:val="007E31B4"/>
    <w:rsid w:val="007E5957"/>
    <w:rsid w:val="007E5C26"/>
    <w:rsid w:val="007E718A"/>
    <w:rsid w:val="007F2AC9"/>
    <w:rsid w:val="007F4F77"/>
    <w:rsid w:val="0080032C"/>
    <w:rsid w:val="0080220F"/>
    <w:rsid w:val="00802756"/>
    <w:rsid w:val="00805C65"/>
    <w:rsid w:val="0080712E"/>
    <w:rsid w:val="0081058C"/>
    <w:rsid w:val="00811C68"/>
    <w:rsid w:val="00812F59"/>
    <w:rsid w:val="008164F2"/>
    <w:rsid w:val="008169E1"/>
    <w:rsid w:val="0082042C"/>
    <w:rsid w:val="00821395"/>
    <w:rsid w:val="0082211E"/>
    <w:rsid w:val="008230CB"/>
    <w:rsid w:val="00824D98"/>
    <w:rsid w:val="00826E52"/>
    <w:rsid w:val="00830E26"/>
    <w:rsid w:val="00832C60"/>
    <w:rsid w:val="00833730"/>
    <w:rsid w:val="00835162"/>
    <w:rsid w:val="00835E00"/>
    <w:rsid w:val="00843576"/>
    <w:rsid w:val="00843A18"/>
    <w:rsid w:val="00843B64"/>
    <w:rsid w:val="00843DD3"/>
    <w:rsid w:val="008445D8"/>
    <w:rsid w:val="00845065"/>
    <w:rsid w:val="008465E3"/>
    <w:rsid w:val="008478FC"/>
    <w:rsid w:val="0085171F"/>
    <w:rsid w:val="008520C8"/>
    <w:rsid w:val="00855D9C"/>
    <w:rsid w:val="00855F33"/>
    <w:rsid w:val="0085746B"/>
    <w:rsid w:val="00861047"/>
    <w:rsid w:val="00861A0D"/>
    <w:rsid w:val="00861F10"/>
    <w:rsid w:val="008621CE"/>
    <w:rsid w:val="00865A27"/>
    <w:rsid w:val="00867BFF"/>
    <w:rsid w:val="00871729"/>
    <w:rsid w:val="00872DE8"/>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418F"/>
    <w:rsid w:val="008A6DF2"/>
    <w:rsid w:val="008A7807"/>
    <w:rsid w:val="008B159C"/>
    <w:rsid w:val="008B199F"/>
    <w:rsid w:val="008B2F5A"/>
    <w:rsid w:val="008B37DC"/>
    <w:rsid w:val="008B4CC9"/>
    <w:rsid w:val="008C1D72"/>
    <w:rsid w:val="008C5393"/>
    <w:rsid w:val="008C6742"/>
    <w:rsid w:val="008C7AF6"/>
    <w:rsid w:val="008D0B06"/>
    <w:rsid w:val="008D3E99"/>
    <w:rsid w:val="008D5061"/>
    <w:rsid w:val="008D5BCC"/>
    <w:rsid w:val="008D7C99"/>
    <w:rsid w:val="008D7F72"/>
    <w:rsid w:val="008E00D9"/>
    <w:rsid w:val="008E046B"/>
    <w:rsid w:val="008E0FCB"/>
    <w:rsid w:val="008E17F4"/>
    <w:rsid w:val="008E25FB"/>
    <w:rsid w:val="008E2C3E"/>
    <w:rsid w:val="008E340B"/>
    <w:rsid w:val="008E3539"/>
    <w:rsid w:val="008F0079"/>
    <w:rsid w:val="008F1C4B"/>
    <w:rsid w:val="008F3C20"/>
    <w:rsid w:val="008F42BA"/>
    <w:rsid w:val="008F5905"/>
    <w:rsid w:val="008F68CE"/>
    <w:rsid w:val="009021BD"/>
    <w:rsid w:val="00903512"/>
    <w:rsid w:val="00904A57"/>
    <w:rsid w:val="00906607"/>
    <w:rsid w:val="009112A2"/>
    <w:rsid w:val="00913E22"/>
    <w:rsid w:val="0092178C"/>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0D90"/>
    <w:rsid w:val="0095167C"/>
    <w:rsid w:val="00951A7B"/>
    <w:rsid w:val="009564A6"/>
    <w:rsid w:val="009565F9"/>
    <w:rsid w:val="00961A5B"/>
    <w:rsid w:val="009642B5"/>
    <w:rsid w:val="00966FB9"/>
    <w:rsid w:val="00967621"/>
    <w:rsid w:val="00967E6A"/>
    <w:rsid w:val="00971A42"/>
    <w:rsid w:val="009726DA"/>
    <w:rsid w:val="00974391"/>
    <w:rsid w:val="009761A8"/>
    <w:rsid w:val="009821A7"/>
    <w:rsid w:val="00983D1E"/>
    <w:rsid w:val="00990E4C"/>
    <w:rsid w:val="00990F34"/>
    <w:rsid w:val="009930C2"/>
    <w:rsid w:val="00993832"/>
    <w:rsid w:val="009945CB"/>
    <w:rsid w:val="00994ADE"/>
    <w:rsid w:val="00995ED3"/>
    <w:rsid w:val="009A48FF"/>
    <w:rsid w:val="009B0B83"/>
    <w:rsid w:val="009B423E"/>
    <w:rsid w:val="009B4293"/>
    <w:rsid w:val="009B4A0F"/>
    <w:rsid w:val="009B5900"/>
    <w:rsid w:val="009C0596"/>
    <w:rsid w:val="009C11D2"/>
    <w:rsid w:val="009C1565"/>
    <w:rsid w:val="009C267A"/>
    <w:rsid w:val="009C3D85"/>
    <w:rsid w:val="009C6609"/>
    <w:rsid w:val="009C6C70"/>
    <w:rsid w:val="009C7AFF"/>
    <w:rsid w:val="009D0815"/>
    <w:rsid w:val="009D0B63"/>
    <w:rsid w:val="009D2ED3"/>
    <w:rsid w:val="009D4FDE"/>
    <w:rsid w:val="009D5461"/>
    <w:rsid w:val="009E08B9"/>
    <w:rsid w:val="009E307E"/>
    <w:rsid w:val="009E4D9A"/>
    <w:rsid w:val="009F188E"/>
    <w:rsid w:val="009F4C98"/>
    <w:rsid w:val="009F58E4"/>
    <w:rsid w:val="009F7011"/>
    <w:rsid w:val="009F7A02"/>
    <w:rsid w:val="009F7E87"/>
    <w:rsid w:val="00A003D4"/>
    <w:rsid w:val="00A00BD5"/>
    <w:rsid w:val="00A0212E"/>
    <w:rsid w:val="00A02CF6"/>
    <w:rsid w:val="00A02DE6"/>
    <w:rsid w:val="00A03486"/>
    <w:rsid w:val="00A03FEB"/>
    <w:rsid w:val="00A04238"/>
    <w:rsid w:val="00A04383"/>
    <w:rsid w:val="00A04ABF"/>
    <w:rsid w:val="00A05F84"/>
    <w:rsid w:val="00A074E9"/>
    <w:rsid w:val="00A07870"/>
    <w:rsid w:val="00A07E13"/>
    <w:rsid w:val="00A07F19"/>
    <w:rsid w:val="00A133F1"/>
    <w:rsid w:val="00A1348D"/>
    <w:rsid w:val="00A135C2"/>
    <w:rsid w:val="00A1448F"/>
    <w:rsid w:val="00A16A5D"/>
    <w:rsid w:val="00A16DD3"/>
    <w:rsid w:val="00A225A7"/>
    <w:rsid w:val="00A232EE"/>
    <w:rsid w:val="00A25266"/>
    <w:rsid w:val="00A31818"/>
    <w:rsid w:val="00A3181A"/>
    <w:rsid w:val="00A31B23"/>
    <w:rsid w:val="00A32884"/>
    <w:rsid w:val="00A34745"/>
    <w:rsid w:val="00A36574"/>
    <w:rsid w:val="00A40A4B"/>
    <w:rsid w:val="00A40FC9"/>
    <w:rsid w:val="00A4175F"/>
    <w:rsid w:val="00A44411"/>
    <w:rsid w:val="00A4527C"/>
    <w:rsid w:val="00A45E17"/>
    <w:rsid w:val="00A4687E"/>
    <w:rsid w:val="00A469FA"/>
    <w:rsid w:val="00A47813"/>
    <w:rsid w:val="00A51A0C"/>
    <w:rsid w:val="00A534FF"/>
    <w:rsid w:val="00A54005"/>
    <w:rsid w:val="00A54F27"/>
    <w:rsid w:val="00A55B01"/>
    <w:rsid w:val="00A56B5B"/>
    <w:rsid w:val="00A571F3"/>
    <w:rsid w:val="00A603FF"/>
    <w:rsid w:val="00A60BE0"/>
    <w:rsid w:val="00A60D1F"/>
    <w:rsid w:val="00A61EFC"/>
    <w:rsid w:val="00A64828"/>
    <w:rsid w:val="00A653CB"/>
    <w:rsid w:val="00A657DD"/>
    <w:rsid w:val="00A666A6"/>
    <w:rsid w:val="00A675FD"/>
    <w:rsid w:val="00A67A86"/>
    <w:rsid w:val="00A719FA"/>
    <w:rsid w:val="00A71BBD"/>
    <w:rsid w:val="00A71DA8"/>
    <w:rsid w:val="00A72437"/>
    <w:rsid w:val="00A732C9"/>
    <w:rsid w:val="00A73564"/>
    <w:rsid w:val="00A73C3E"/>
    <w:rsid w:val="00A7428A"/>
    <w:rsid w:val="00A742A5"/>
    <w:rsid w:val="00A80611"/>
    <w:rsid w:val="00A82514"/>
    <w:rsid w:val="00A843FD"/>
    <w:rsid w:val="00A84A24"/>
    <w:rsid w:val="00A86BE4"/>
    <w:rsid w:val="00A87EF4"/>
    <w:rsid w:val="00A92CD0"/>
    <w:rsid w:val="00A9647B"/>
    <w:rsid w:val="00A97E27"/>
    <w:rsid w:val="00AA0462"/>
    <w:rsid w:val="00AA06E3"/>
    <w:rsid w:val="00AA20D6"/>
    <w:rsid w:val="00AA45CB"/>
    <w:rsid w:val="00AA4688"/>
    <w:rsid w:val="00AA76AB"/>
    <w:rsid w:val="00AB3735"/>
    <w:rsid w:val="00AB401E"/>
    <w:rsid w:val="00AB5340"/>
    <w:rsid w:val="00AB7A08"/>
    <w:rsid w:val="00AB7EC7"/>
    <w:rsid w:val="00AC0A89"/>
    <w:rsid w:val="00AC1073"/>
    <w:rsid w:val="00AC128E"/>
    <w:rsid w:val="00AC29AD"/>
    <w:rsid w:val="00AC7C96"/>
    <w:rsid w:val="00AD04F9"/>
    <w:rsid w:val="00AD0D47"/>
    <w:rsid w:val="00AD28D1"/>
    <w:rsid w:val="00AD6E68"/>
    <w:rsid w:val="00AD7838"/>
    <w:rsid w:val="00AE237D"/>
    <w:rsid w:val="00AE2D60"/>
    <w:rsid w:val="00AE3288"/>
    <w:rsid w:val="00AE502A"/>
    <w:rsid w:val="00AE7AE1"/>
    <w:rsid w:val="00AF05CA"/>
    <w:rsid w:val="00AF127B"/>
    <w:rsid w:val="00AF1B79"/>
    <w:rsid w:val="00AF2335"/>
    <w:rsid w:val="00AF3FBC"/>
    <w:rsid w:val="00AF6281"/>
    <w:rsid w:val="00AF6C39"/>
    <w:rsid w:val="00AF7C07"/>
    <w:rsid w:val="00B007FD"/>
    <w:rsid w:val="00B05D7B"/>
    <w:rsid w:val="00B10467"/>
    <w:rsid w:val="00B10E49"/>
    <w:rsid w:val="00B11447"/>
    <w:rsid w:val="00B1147B"/>
    <w:rsid w:val="00B115BB"/>
    <w:rsid w:val="00B12098"/>
    <w:rsid w:val="00B120B5"/>
    <w:rsid w:val="00B123B9"/>
    <w:rsid w:val="00B133F1"/>
    <w:rsid w:val="00B20F08"/>
    <w:rsid w:val="00B2156E"/>
    <w:rsid w:val="00B224F9"/>
    <w:rsid w:val="00B22C93"/>
    <w:rsid w:val="00B23C52"/>
    <w:rsid w:val="00B23C7E"/>
    <w:rsid w:val="00B242C7"/>
    <w:rsid w:val="00B24A20"/>
    <w:rsid w:val="00B24D44"/>
    <w:rsid w:val="00B26538"/>
    <w:rsid w:val="00B27589"/>
    <w:rsid w:val="00B277B8"/>
    <w:rsid w:val="00B3195F"/>
    <w:rsid w:val="00B32EA8"/>
    <w:rsid w:val="00B35B44"/>
    <w:rsid w:val="00B40282"/>
    <w:rsid w:val="00B405B7"/>
    <w:rsid w:val="00B508C1"/>
    <w:rsid w:val="00B52222"/>
    <w:rsid w:val="00B54FE7"/>
    <w:rsid w:val="00B55A5E"/>
    <w:rsid w:val="00B56632"/>
    <w:rsid w:val="00B61D82"/>
    <w:rsid w:val="00B66901"/>
    <w:rsid w:val="00B67B52"/>
    <w:rsid w:val="00B704F7"/>
    <w:rsid w:val="00B70C1E"/>
    <w:rsid w:val="00B71952"/>
    <w:rsid w:val="00B71E6D"/>
    <w:rsid w:val="00B72070"/>
    <w:rsid w:val="00B737C6"/>
    <w:rsid w:val="00B779E1"/>
    <w:rsid w:val="00B820D7"/>
    <w:rsid w:val="00B82AFB"/>
    <w:rsid w:val="00B82C30"/>
    <w:rsid w:val="00B83543"/>
    <w:rsid w:val="00B83A74"/>
    <w:rsid w:val="00B90D35"/>
    <w:rsid w:val="00B91EE1"/>
    <w:rsid w:val="00B94BE0"/>
    <w:rsid w:val="00B953A0"/>
    <w:rsid w:val="00B95829"/>
    <w:rsid w:val="00B95FB0"/>
    <w:rsid w:val="00B9790F"/>
    <w:rsid w:val="00BA0090"/>
    <w:rsid w:val="00BA043B"/>
    <w:rsid w:val="00BA04E5"/>
    <w:rsid w:val="00BA0D6F"/>
    <w:rsid w:val="00BA1A67"/>
    <w:rsid w:val="00BA4C22"/>
    <w:rsid w:val="00BA5681"/>
    <w:rsid w:val="00BA69E8"/>
    <w:rsid w:val="00BB1002"/>
    <w:rsid w:val="00BB633E"/>
    <w:rsid w:val="00BB72D2"/>
    <w:rsid w:val="00BB7EA0"/>
    <w:rsid w:val="00BC05E6"/>
    <w:rsid w:val="00BC2E15"/>
    <w:rsid w:val="00BC3E64"/>
    <w:rsid w:val="00BC43AF"/>
    <w:rsid w:val="00BD0311"/>
    <w:rsid w:val="00BD4097"/>
    <w:rsid w:val="00BE0C02"/>
    <w:rsid w:val="00BE1EBD"/>
    <w:rsid w:val="00BE22C7"/>
    <w:rsid w:val="00BE530B"/>
    <w:rsid w:val="00BE5B5F"/>
    <w:rsid w:val="00BE6454"/>
    <w:rsid w:val="00BE6E6A"/>
    <w:rsid w:val="00BF064C"/>
    <w:rsid w:val="00BF0679"/>
    <w:rsid w:val="00BF152D"/>
    <w:rsid w:val="00BF1F2E"/>
    <w:rsid w:val="00BF40DF"/>
    <w:rsid w:val="00BF5322"/>
    <w:rsid w:val="00BF662C"/>
    <w:rsid w:val="00BF7389"/>
    <w:rsid w:val="00C00DE2"/>
    <w:rsid w:val="00C010AE"/>
    <w:rsid w:val="00C028C2"/>
    <w:rsid w:val="00C05DFE"/>
    <w:rsid w:val="00C10C4D"/>
    <w:rsid w:val="00C114CD"/>
    <w:rsid w:val="00C1159F"/>
    <w:rsid w:val="00C1404C"/>
    <w:rsid w:val="00C14FCD"/>
    <w:rsid w:val="00C2502D"/>
    <w:rsid w:val="00C26F55"/>
    <w:rsid w:val="00C30C63"/>
    <w:rsid w:val="00C3105C"/>
    <w:rsid w:val="00C31D4E"/>
    <w:rsid w:val="00C32EE1"/>
    <w:rsid w:val="00C33018"/>
    <w:rsid w:val="00C34B7D"/>
    <w:rsid w:val="00C34CAA"/>
    <w:rsid w:val="00C36B8B"/>
    <w:rsid w:val="00C41532"/>
    <w:rsid w:val="00C415C1"/>
    <w:rsid w:val="00C42D05"/>
    <w:rsid w:val="00C42E91"/>
    <w:rsid w:val="00C4343C"/>
    <w:rsid w:val="00C442D3"/>
    <w:rsid w:val="00C444A6"/>
    <w:rsid w:val="00C459DD"/>
    <w:rsid w:val="00C47DBF"/>
    <w:rsid w:val="00C50351"/>
    <w:rsid w:val="00C552FF"/>
    <w:rsid w:val="00C5575D"/>
    <w:rsid w:val="00C558DA"/>
    <w:rsid w:val="00C55AF3"/>
    <w:rsid w:val="00C61877"/>
    <w:rsid w:val="00C64FC5"/>
    <w:rsid w:val="00C66C0B"/>
    <w:rsid w:val="00C66C8D"/>
    <w:rsid w:val="00C66CDC"/>
    <w:rsid w:val="00C70785"/>
    <w:rsid w:val="00C7214C"/>
    <w:rsid w:val="00C72607"/>
    <w:rsid w:val="00C73A98"/>
    <w:rsid w:val="00C742BE"/>
    <w:rsid w:val="00C75069"/>
    <w:rsid w:val="00C76479"/>
    <w:rsid w:val="00C77CEF"/>
    <w:rsid w:val="00C81164"/>
    <w:rsid w:val="00C82F56"/>
    <w:rsid w:val="00C84080"/>
    <w:rsid w:val="00C84759"/>
    <w:rsid w:val="00C863E3"/>
    <w:rsid w:val="00C87456"/>
    <w:rsid w:val="00C90A38"/>
    <w:rsid w:val="00C90B6B"/>
    <w:rsid w:val="00C9427F"/>
    <w:rsid w:val="00C94967"/>
    <w:rsid w:val="00C9545E"/>
    <w:rsid w:val="00C95EBA"/>
    <w:rsid w:val="00C96821"/>
    <w:rsid w:val="00C978AF"/>
    <w:rsid w:val="00C979A3"/>
    <w:rsid w:val="00CA1CBD"/>
    <w:rsid w:val="00CA22CD"/>
    <w:rsid w:val="00CA3827"/>
    <w:rsid w:val="00CA621F"/>
    <w:rsid w:val="00CA6C7F"/>
    <w:rsid w:val="00CB0A97"/>
    <w:rsid w:val="00CB27E0"/>
    <w:rsid w:val="00CB30A6"/>
    <w:rsid w:val="00CB345B"/>
    <w:rsid w:val="00CB44C8"/>
    <w:rsid w:val="00CB7857"/>
    <w:rsid w:val="00CB7A9A"/>
    <w:rsid w:val="00CC10A6"/>
    <w:rsid w:val="00CC1142"/>
    <w:rsid w:val="00CC1797"/>
    <w:rsid w:val="00CC1CDA"/>
    <w:rsid w:val="00CC201A"/>
    <w:rsid w:val="00CD0195"/>
    <w:rsid w:val="00CD1D1C"/>
    <w:rsid w:val="00CD27E6"/>
    <w:rsid w:val="00CD5EB8"/>
    <w:rsid w:val="00CD6881"/>
    <w:rsid w:val="00CD7044"/>
    <w:rsid w:val="00CD7FCF"/>
    <w:rsid w:val="00CE05E2"/>
    <w:rsid w:val="00CE08B9"/>
    <w:rsid w:val="00CE3F08"/>
    <w:rsid w:val="00CE404F"/>
    <w:rsid w:val="00CE425E"/>
    <w:rsid w:val="00CE460C"/>
    <w:rsid w:val="00CE4F9F"/>
    <w:rsid w:val="00CE524C"/>
    <w:rsid w:val="00CE780F"/>
    <w:rsid w:val="00CF141F"/>
    <w:rsid w:val="00CF196E"/>
    <w:rsid w:val="00CF2DE5"/>
    <w:rsid w:val="00CF30B9"/>
    <w:rsid w:val="00CF42BB"/>
    <w:rsid w:val="00CF4777"/>
    <w:rsid w:val="00D01B7F"/>
    <w:rsid w:val="00D038BF"/>
    <w:rsid w:val="00D06077"/>
    <w:rsid w:val="00D067BB"/>
    <w:rsid w:val="00D1001F"/>
    <w:rsid w:val="00D10157"/>
    <w:rsid w:val="00D108D2"/>
    <w:rsid w:val="00D1352A"/>
    <w:rsid w:val="00D13D48"/>
    <w:rsid w:val="00D1436E"/>
    <w:rsid w:val="00D15021"/>
    <w:rsid w:val="00D16159"/>
    <w:rsid w:val="00D169AF"/>
    <w:rsid w:val="00D2125B"/>
    <w:rsid w:val="00D21E5D"/>
    <w:rsid w:val="00D2433F"/>
    <w:rsid w:val="00D24778"/>
    <w:rsid w:val="00D25249"/>
    <w:rsid w:val="00D25717"/>
    <w:rsid w:val="00D26E61"/>
    <w:rsid w:val="00D27340"/>
    <w:rsid w:val="00D27E9A"/>
    <w:rsid w:val="00D30049"/>
    <w:rsid w:val="00D31CC5"/>
    <w:rsid w:val="00D32B02"/>
    <w:rsid w:val="00D35B55"/>
    <w:rsid w:val="00D402A6"/>
    <w:rsid w:val="00D40CC2"/>
    <w:rsid w:val="00D41218"/>
    <w:rsid w:val="00D4196D"/>
    <w:rsid w:val="00D44172"/>
    <w:rsid w:val="00D50B60"/>
    <w:rsid w:val="00D537AB"/>
    <w:rsid w:val="00D53B36"/>
    <w:rsid w:val="00D54122"/>
    <w:rsid w:val="00D55D38"/>
    <w:rsid w:val="00D604A0"/>
    <w:rsid w:val="00D611D4"/>
    <w:rsid w:val="00D61672"/>
    <w:rsid w:val="00D63B8C"/>
    <w:rsid w:val="00D63C48"/>
    <w:rsid w:val="00D649DB"/>
    <w:rsid w:val="00D665E7"/>
    <w:rsid w:val="00D73487"/>
    <w:rsid w:val="00D739CC"/>
    <w:rsid w:val="00D75221"/>
    <w:rsid w:val="00D773EA"/>
    <w:rsid w:val="00D801AB"/>
    <w:rsid w:val="00D8093D"/>
    <w:rsid w:val="00D8108C"/>
    <w:rsid w:val="00D83B2C"/>
    <w:rsid w:val="00D842AE"/>
    <w:rsid w:val="00D86EFF"/>
    <w:rsid w:val="00D90563"/>
    <w:rsid w:val="00D9211C"/>
    <w:rsid w:val="00D922DE"/>
    <w:rsid w:val="00D92DE0"/>
    <w:rsid w:val="00D92FEF"/>
    <w:rsid w:val="00D93A0F"/>
    <w:rsid w:val="00D93BFF"/>
    <w:rsid w:val="00D94D33"/>
    <w:rsid w:val="00D9553B"/>
    <w:rsid w:val="00D9695E"/>
    <w:rsid w:val="00D97247"/>
    <w:rsid w:val="00DA045D"/>
    <w:rsid w:val="00DA0811"/>
    <w:rsid w:val="00DA1BCA"/>
    <w:rsid w:val="00DA3752"/>
    <w:rsid w:val="00DA3EA9"/>
    <w:rsid w:val="00DA60D8"/>
    <w:rsid w:val="00DB2C14"/>
    <w:rsid w:val="00DB3D5F"/>
    <w:rsid w:val="00DB4BD1"/>
    <w:rsid w:val="00DB58FE"/>
    <w:rsid w:val="00DB60E4"/>
    <w:rsid w:val="00DC1A1C"/>
    <w:rsid w:val="00DC1A57"/>
    <w:rsid w:val="00DC4533"/>
    <w:rsid w:val="00DC46FF"/>
    <w:rsid w:val="00DC5254"/>
    <w:rsid w:val="00DD0F1A"/>
    <w:rsid w:val="00DD1A4F"/>
    <w:rsid w:val="00DD3107"/>
    <w:rsid w:val="00DD33D0"/>
    <w:rsid w:val="00DD5318"/>
    <w:rsid w:val="00DD5345"/>
    <w:rsid w:val="00DD54C5"/>
    <w:rsid w:val="00DD706A"/>
    <w:rsid w:val="00DD7C2C"/>
    <w:rsid w:val="00DE2B12"/>
    <w:rsid w:val="00DE31A9"/>
    <w:rsid w:val="00DE4A80"/>
    <w:rsid w:val="00DE4E73"/>
    <w:rsid w:val="00DE5427"/>
    <w:rsid w:val="00DE6ACD"/>
    <w:rsid w:val="00DE7F32"/>
    <w:rsid w:val="00DF17EE"/>
    <w:rsid w:val="00DF1E4C"/>
    <w:rsid w:val="00DF2E76"/>
    <w:rsid w:val="00DF48D3"/>
    <w:rsid w:val="00DF4DE2"/>
    <w:rsid w:val="00DF5893"/>
    <w:rsid w:val="00E0199B"/>
    <w:rsid w:val="00E047DA"/>
    <w:rsid w:val="00E064AF"/>
    <w:rsid w:val="00E06797"/>
    <w:rsid w:val="00E07703"/>
    <w:rsid w:val="00E1265B"/>
    <w:rsid w:val="00E134F8"/>
    <w:rsid w:val="00E13B48"/>
    <w:rsid w:val="00E13FCD"/>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33BD"/>
    <w:rsid w:val="00E46578"/>
    <w:rsid w:val="00E46D9A"/>
    <w:rsid w:val="00E477FF"/>
    <w:rsid w:val="00E534DC"/>
    <w:rsid w:val="00E54C0B"/>
    <w:rsid w:val="00E551A1"/>
    <w:rsid w:val="00E5536E"/>
    <w:rsid w:val="00E553A2"/>
    <w:rsid w:val="00E553F7"/>
    <w:rsid w:val="00E55AA9"/>
    <w:rsid w:val="00E565FF"/>
    <w:rsid w:val="00E6090D"/>
    <w:rsid w:val="00E62F83"/>
    <w:rsid w:val="00E6359E"/>
    <w:rsid w:val="00E63EC6"/>
    <w:rsid w:val="00E65388"/>
    <w:rsid w:val="00E7169D"/>
    <w:rsid w:val="00E7205C"/>
    <w:rsid w:val="00E72DE1"/>
    <w:rsid w:val="00E74442"/>
    <w:rsid w:val="00E75472"/>
    <w:rsid w:val="00E75DC6"/>
    <w:rsid w:val="00E77342"/>
    <w:rsid w:val="00E776B8"/>
    <w:rsid w:val="00E77773"/>
    <w:rsid w:val="00E8325F"/>
    <w:rsid w:val="00E8396C"/>
    <w:rsid w:val="00E84E12"/>
    <w:rsid w:val="00E85B7D"/>
    <w:rsid w:val="00E9121B"/>
    <w:rsid w:val="00E92894"/>
    <w:rsid w:val="00E939A0"/>
    <w:rsid w:val="00E959DE"/>
    <w:rsid w:val="00E972FA"/>
    <w:rsid w:val="00E97881"/>
    <w:rsid w:val="00EA0406"/>
    <w:rsid w:val="00EA0AE2"/>
    <w:rsid w:val="00EA1C9D"/>
    <w:rsid w:val="00EA2ACC"/>
    <w:rsid w:val="00EA39E5"/>
    <w:rsid w:val="00EA4E60"/>
    <w:rsid w:val="00EA5E98"/>
    <w:rsid w:val="00EA675C"/>
    <w:rsid w:val="00EA685D"/>
    <w:rsid w:val="00EB02E2"/>
    <w:rsid w:val="00EB2848"/>
    <w:rsid w:val="00EB2BD3"/>
    <w:rsid w:val="00EB3900"/>
    <w:rsid w:val="00EB3E88"/>
    <w:rsid w:val="00EB5249"/>
    <w:rsid w:val="00EC1835"/>
    <w:rsid w:val="00EC1896"/>
    <w:rsid w:val="00EC2E97"/>
    <w:rsid w:val="00EC5A46"/>
    <w:rsid w:val="00EC63E2"/>
    <w:rsid w:val="00ED026F"/>
    <w:rsid w:val="00ED1AA6"/>
    <w:rsid w:val="00ED2769"/>
    <w:rsid w:val="00ED2A44"/>
    <w:rsid w:val="00ED38C0"/>
    <w:rsid w:val="00ED6482"/>
    <w:rsid w:val="00EE688F"/>
    <w:rsid w:val="00EE7456"/>
    <w:rsid w:val="00EE75D9"/>
    <w:rsid w:val="00EF22B3"/>
    <w:rsid w:val="00EF354F"/>
    <w:rsid w:val="00EF35A2"/>
    <w:rsid w:val="00EF69D2"/>
    <w:rsid w:val="00F003D9"/>
    <w:rsid w:val="00F0084E"/>
    <w:rsid w:val="00F03B69"/>
    <w:rsid w:val="00F04189"/>
    <w:rsid w:val="00F07A50"/>
    <w:rsid w:val="00F103B1"/>
    <w:rsid w:val="00F10F40"/>
    <w:rsid w:val="00F113DA"/>
    <w:rsid w:val="00F13C7D"/>
    <w:rsid w:val="00F16D94"/>
    <w:rsid w:val="00F175BD"/>
    <w:rsid w:val="00F21AFC"/>
    <w:rsid w:val="00F23065"/>
    <w:rsid w:val="00F24586"/>
    <w:rsid w:val="00F24C84"/>
    <w:rsid w:val="00F277EB"/>
    <w:rsid w:val="00F3485F"/>
    <w:rsid w:val="00F34BA2"/>
    <w:rsid w:val="00F368E0"/>
    <w:rsid w:val="00F3709A"/>
    <w:rsid w:val="00F373D4"/>
    <w:rsid w:val="00F37DC8"/>
    <w:rsid w:val="00F439B3"/>
    <w:rsid w:val="00F43AE6"/>
    <w:rsid w:val="00F45037"/>
    <w:rsid w:val="00F460BE"/>
    <w:rsid w:val="00F470DF"/>
    <w:rsid w:val="00F471F6"/>
    <w:rsid w:val="00F50DA2"/>
    <w:rsid w:val="00F51020"/>
    <w:rsid w:val="00F52737"/>
    <w:rsid w:val="00F53503"/>
    <w:rsid w:val="00F53E55"/>
    <w:rsid w:val="00F562BE"/>
    <w:rsid w:val="00F563BA"/>
    <w:rsid w:val="00F56735"/>
    <w:rsid w:val="00F56B98"/>
    <w:rsid w:val="00F5767D"/>
    <w:rsid w:val="00F61341"/>
    <w:rsid w:val="00F615F9"/>
    <w:rsid w:val="00F650C3"/>
    <w:rsid w:val="00F65D85"/>
    <w:rsid w:val="00F66C46"/>
    <w:rsid w:val="00F670AB"/>
    <w:rsid w:val="00F67D05"/>
    <w:rsid w:val="00F67D28"/>
    <w:rsid w:val="00F76728"/>
    <w:rsid w:val="00F776F2"/>
    <w:rsid w:val="00F8091E"/>
    <w:rsid w:val="00F81556"/>
    <w:rsid w:val="00F821AE"/>
    <w:rsid w:val="00F83388"/>
    <w:rsid w:val="00F83A87"/>
    <w:rsid w:val="00F84707"/>
    <w:rsid w:val="00F84BD7"/>
    <w:rsid w:val="00F860E2"/>
    <w:rsid w:val="00F8615C"/>
    <w:rsid w:val="00F862C4"/>
    <w:rsid w:val="00F874E0"/>
    <w:rsid w:val="00F87847"/>
    <w:rsid w:val="00F93BE5"/>
    <w:rsid w:val="00F94685"/>
    <w:rsid w:val="00F96404"/>
    <w:rsid w:val="00F969E5"/>
    <w:rsid w:val="00F97C58"/>
    <w:rsid w:val="00FA0688"/>
    <w:rsid w:val="00FA0C56"/>
    <w:rsid w:val="00FA1993"/>
    <w:rsid w:val="00FA1F59"/>
    <w:rsid w:val="00FA205D"/>
    <w:rsid w:val="00FA500A"/>
    <w:rsid w:val="00FA6BB0"/>
    <w:rsid w:val="00FB1585"/>
    <w:rsid w:val="00FB23D0"/>
    <w:rsid w:val="00FB42CD"/>
    <w:rsid w:val="00FB6D04"/>
    <w:rsid w:val="00FB75D9"/>
    <w:rsid w:val="00FB7826"/>
    <w:rsid w:val="00FB7982"/>
    <w:rsid w:val="00FC0D95"/>
    <w:rsid w:val="00FC1138"/>
    <w:rsid w:val="00FC1C3D"/>
    <w:rsid w:val="00FC29F3"/>
    <w:rsid w:val="00FC55FC"/>
    <w:rsid w:val="00FD0889"/>
    <w:rsid w:val="00FD456E"/>
    <w:rsid w:val="00FD5860"/>
    <w:rsid w:val="00FD6E8D"/>
    <w:rsid w:val="00FD7A9F"/>
    <w:rsid w:val="00FE0FF0"/>
    <w:rsid w:val="00FE186C"/>
    <w:rsid w:val="00FE352D"/>
    <w:rsid w:val="00FE40EB"/>
    <w:rsid w:val="00FE4D02"/>
    <w:rsid w:val="00FE64CF"/>
    <w:rsid w:val="00FE7D62"/>
    <w:rsid w:val="00FF0933"/>
    <w:rsid w:val="00FF0ACF"/>
    <w:rsid w:val="00FF1E39"/>
    <w:rsid w:val="00FF240E"/>
    <w:rsid w:val="00FF2D73"/>
    <w:rsid w:val="00FF3694"/>
    <w:rsid w:val="00FF3819"/>
    <w:rsid w:val="00FF584A"/>
    <w:rsid w:val="00FF5EE2"/>
    <w:rsid w:val="00FF7CF7"/>
    <w:rsid w:val="3E9398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rsid w:val="00A36574"/>
    <w:pPr>
      <w:numPr>
        <w:numId w:val="3"/>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uiPriority w:val="99"/>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unhideWhenUsed/>
    <w:qFormat/>
    <w:rsid w:val="007E5957"/>
    <w:pPr>
      <w:spacing w:after="240"/>
      <w:jc w:val="center"/>
    </w:pPr>
    <w:rPr>
      <w:i/>
      <w:iCs/>
      <w:lang w:val="en-US"/>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5404066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5686460">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unitednations.sharepoint.com/sites/MEA-IPBES-Secretariat/Shared%20Documents/Plenary/IPBES_9_Bonn_2022/Review/review_nominations_pivo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[review_nominations_pivot.xlsx]nominations!PivotTable2</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dLblPos val="inEnd"/>
          <c:showLegendKey val="0"/>
          <c:showVal val="0"/>
          <c:showCatName val="1"/>
          <c:showSerName val="0"/>
          <c:showPercent val="1"/>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5"/>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s>
    <c:plotArea>
      <c:layout/>
      <c:pieChart>
        <c:varyColors val="1"/>
        <c:ser>
          <c:idx val="0"/>
          <c:order val="0"/>
          <c:tx>
            <c:strRef>
              <c:f>nominations!$B$5</c:f>
              <c:strCache>
                <c:ptCount val="1"/>
                <c:pt idx="0">
                  <c:v>Count of ID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D0D-4150-88D8-EA820963EA0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D0D-4150-88D8-EA820963EA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nominations!$A$6:$A$8</c:f>
              <c:strCache>
                <c:ptCount val="2"/>
                <c:pt idx="0">
                  <c:v>nominated</c:v>
                </c:pt>
                <c:pt idx="1">
                  <c:v>nomination not confirmed</c:v>
                </c:pt>
              </c:strCache>
            </c:strRef>
          </c:cat>
          <c:val>
            <c:numRef>
              <c:f>nominations!$B$6:$B$8</c:f>
              <c:numCache>
                <c:formatCode>General</c:formatCode>
                <c:ptCount val="2"/>
                <c:pt idx="0">
                  <c:v>6070</c:v>
                </c:pt>
                <c:pt idx="1">
                  <c:v>1447</c:v>
                </c:pt>
              </c:numCache>
            </c:numRef>
          </c:val>
          <c:extLst>
            <c:ext xmlns:c16="http://schemas.microsoft.com/office/drawing/2014/chart" uri="{C3380CC4-5D6E-409C-BE32-E72D297353CC}">
              <c16:uniqueId val="{00000004-0D0D-4150-88D8-EA820963EA04}"/>
            </c:ext>
          </c:extLst>
        </c:ser>
        <c:ser>
          <c:idx val="1"/>
          <c:order val="1"/>
          <c:tx>
            <c:strRef>
              <c:f>nominations!$C$5</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6-0D0D-4150-88D8-EA820963EA0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8-0D0D-4150-88D8-EA820963EA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nominations!$A$6:$A$8</c:f>
              <c:strCache>
                <c:ptCount val="2"/>
                <c:pt idx="0">
                  <c:v>nominated</c:v>
                </c:pt>
                <c:pt idx="1">
                  <c:v>nomination not confirmed</c:v>
                </c:pt>
              </c:strCache>
            </c:strRef>
          </c:cat>
          <c:val>
            <c:numRef>
              <c:f>nominations!$C$6:$C$8</c:f>
              <c:numCache>
                <c:formatCode>0%</c:formatCode>
                <c:ptCount val="2"/>
                <c:pt idx="0">
                  <c:v>0.80750299321537844</c:v>
                </c:pt>
                <c:pt idx="1">
                  <c:v>0.19249700678462153</c:v>
                </c:pt>
              </c:numCache>
            </c:numRef>
          </c:val>
          <c:extLst>
            <c:ext xmlns:c16="http://schemas.microsoft.com/office/drawing/2014/chart" uri="{C3380CC4-5D6E-409C-BE32-E72D297353CC}">
              <c16:uniqueId val="{00000009-0D0D-4150-88D8-EA820963EA04}"/>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[review_nominations_pivot.xlsx]nominations_region_charr!PivotTable2</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dLblPos val="inEnd"/>
          <c:showLegendKey val="0"/>
          <c:showVal val="0"/>
          <c:showCatName val="1"/>
          <c:showSerName val="0"/>
          <c:showPercent val="1"/>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5"/>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2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3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3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4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4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4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4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5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5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5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5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5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5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5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5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5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5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6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6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6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6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dLblPos val="inEnd"/>
          <c:showLegendKey val="0"/>
          <c:showVal val="0"/>
          <c:showCatName val="1"/>
          <c:showSerName val="0"/>
          <c:showPercent val="0"/>
          <c:showBubbleSize val="0"/>
          <c:extLst>
            <c:ext xmlns:c15="http://schemas.microsoft.com/office/drawing/2012/chart" uri="{CE6537A1-D6FC-4f65-9D91-7224C49458BB}"/>
          </c:extLst>
        </c:dLbl>
      </c:pivotFmt>
      <c:pivotFmt>
        <c:idx val="6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6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6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6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6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nominations_region_charr!$B$5:$B$6</c:f>
              <c:strCache>
                <c:ptCount val="1"/>
                <c:pt idx="0">
                  <c:v>nominated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nominations_region_charr!$A$7:$A$13</c:f>
              <c:strCache>
                <c:ptCount val="6"/>
                <c:pt idx="0">
                  <c:v>AF</c:v>
                </c:pt>
                <c:pt idx="1">
                  <c:v>AP</c:v>
                </c:pt>
                <c:pt idx="2">
                  <c:v>EE</c:v>
                </c:pt>
                <c:pt idx="3">
                  <c:v>LAC</c:v>
                </c:pt>
                <c:pt idx="4">
                  <c:v>WEOG</c:v>
                </c:pt>
                <c:pt idx="5">
                  <c:v>(blank)</c:v>
                </c:pt>
              </c:strCache>
            </c:strRef>
          </c:cat>
          <c:val>
            <c:numRef>
              <c:f>nominations_region_charr!$B$7:$B$13</c:f>
              <c:numCache>
                <c:formatCode>General</c:formatCode>
                <c:ptCount val="6"/>
                <c:pt idx="0">
                  <c:v>1022</c:v>
                </c:pt>
                <c:pt idx="1">
                  <c:v>1243</c:v>
                </c:pt>
                <c:pt idx="2">
                  <c:v>405</c:v>
                </c:pt>
                <c:pt idx="3">
                  <c:v>1025</c:v>
                </c:pt>
                <c:pt idx="4">
                  <c:v>2370</c:v>
                </c:pt>
                <c:pt idx="5">
                  <c:v>5</c:v>
                </c:pt>
              </c:numCache>
            </c:numRef>
          </c:val>
          <c:extLst>
            <c:ext xmlns:c16="http://schemas.microsoft.com/office/drawing/2014/chart" uri="{C3380CC4-5D6E-409C-BE32-E72D297353CC}">
              <c16:uniqueId val="{00000000-26E4-44EA-B8D4-2DA68E31086C}"/>
            </c:ext>
          </c:extLst>
        </c:ser>
        <c:ser>
          <c:idx val="1"/>
          <c:order val="1"/>
          <c:tx>
            <c:strRef>
              <c:f>nominations_region_charr!$C$5:$C$6</c:f>
              <c:strCache>
                <c:ptCount val="1"/>
                <c:pt idx="0">
                  <c:v>nomination not confirmed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nominations_region_charr!$A$7:$A$13</c:f>
              <c:strCache>
                <c:ptCount val="6"/>
                <c:pt idx="0">
                  <c:v>AF</c:v>
                </c:pt>
                <c:pt idx="1">
                  <c:v>AP</c:v>
                </c:pt>
                <c:pt idx="2">
                  <c:v>EE</c:v>
                </c:pt>
                <c:pt idx="3">
                  <c:v>LAC</c:v>
                </c:pt>
                <c:pt idx="4">
                  <c:v>WEOG</c:v>
                </c:pt>
                <c:pt idx="5">
                  <c:v>(blank)</c:v>
                </c:pt>
              </c:strCache>
            </c:strRef>
          </c:cat>
          <c:val>
            <c:numRef>
              <c:f>nominations_region_charr!$C$7:$C$13</c:f>
              <c:numCache>
                <c:formatCode>General</c:formatCode>
                <c:ptCount val="6"/>
                <c:pt idx="0">
                  <c:v>333</c:v>
                </c:pt>
                <c:pt idx="1">
                  <c:v>377</c:v>
                </c:pt>
                <c:pt idx="2">
                  <c:v>94</c:v>
                </c:pt>
                <c:pt idx="3">
                  <c:v>319</c:v>
                </c:pt>
                <c:pt idx="4">
                  <c:v>323</c:v>
                </c:pt>
                <c:pt idx="5">
                  <c:v>1</c:v>
                </c:pt>
              </c:numCache>
            </c:numRef>
          </c:val>
          <c:extLst>
            <c:ext xmlns:c16="http://schemas.microsoft.com/office/drawing/2014/chart" uri="{C3380CC4-5D6E-409C-BE32-E72D297353CC}">
              <c16:uniqueId val="{00000001-26E4-44EA-B8D4-2DA68E31086C}"/>
            </c:ext>
          </c:extLst>
        </c:ser>
        <c:dLbls>
          <c:showLegendKey val="0"/>
          <c:showVal val="0"/>
          <c:showCatName val="0"/>
          <c:showSerName val="0"/>
          <c:showPercent val="0"/>
          <c:showBubbleSize val="0"/>
        </c:dLbls>
        <c:gapWidth val="150"/>
        <c:axId val="1503415776"/>
        <c:axId val="1503424512"/>
      </c:barChart>
      <c:catAx>
        <c:axId val="1503415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503424512"/>
        <c:crosses val="autoZero"/>
        <c:auto val="1"/>
        <c:lblAlgn val="ctr"/>
        <c:lblOffset val="100"/>
        <c:noMultiLvlLbl val="0"/>
      </c:catAx>
      <c:valAx>
        <c:axId val="150342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503415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[review_nominations_pivot.xlsx]nominations_ass_all!PivotTable1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nominations_ass_all!$B$6:$B$7</c:f>
              <c:strCache>
                <c:ptCount val="1"/>
                <c:pt idx="0">
                  <c:v>AF</c:v>
                </c:pt>
              </c:strCache>
            </c:strRef>
          </c:tx>
          <c:spPr>
            <a:solidFill>
              <a:schemeClr val="accent1"/>
            </a:solidFill>
            <a:ln>
              <a:noFill/>
            </a:ln>
            <a:effectLst/>
          </c:spPr>
          <c:invertIfNegative val="0"/>
          <c:cat>
            <c:strRef>
              <c:f>nominations_ass_all!$A$8:$A$26</c:f>
              <c:strCache>
                <c:ptCount val="18"/>
                <c:pt idx="0">
                  <c:v>Biodiversity and pandemics workshop</c:v>
                </c:pt>
                <c:pt idx="1">
                  <c:v>Business and biodiversity scoping</c:v>
                </c:pt>
                <c:pt idx="2">
                  <c:v>Global assessment (1st work programme)</c:v>
                </c:pt>
                <c:pt idx="3">
                  <c:v>Global assessment scoping (1st work programme)</c:v>
                </c:pt>
                <c:pt idx="4">
                  <c:v>Invasive alien species assessment</c:v>
                </c:pt>
                <c:pt idx="5">
                  <c:v>Land degradation and restoration assessment</c:v>
                </c:pt>
                <c:pt idx="6">
                  <c:v>Land degradation and restoration assessment scoping</c:v>
                </c:pt>
                <c:pt idx="7">
                  <c:v>Nexus assessment</c:v>
                </c:pt>
                <c:pt idx="8">
                  <c:v>Nexus assessment fellows</c:v>
                </c:pt>
                <c:pt idx="9">
                  <c:v>Nexus assessment scoping</c:v>
                </c:pt>
                <c:pt idx="10">
                  <c:v>Pollination assessment</c:v>
                </c:pt>
                <c:pt idx="11">
                  <c:v>Scenarios and models assessment</c:v>
                </c:pt>
                <c:pt idx="12">
                  <c:v>Sustainable use assessment</c:v>
                </c:pt>
                <c:pt idx="13">
                  <c:v>Sustainable use assessment scoping</c:v>
                </c:pt>
                <c:pt idx="14">
                  <c:v>Transformative change assessment</c:v>
                </c:pt>
                <c:pt idx="15">
                  <c:v>Transformative change assessment fellows</c:v>
                </c:pt>
                <c:pt idx="16">
                  <c:v>Transformative change assessment scoping</c:v>
                </c:pt>
                <c:pt idx="17">
                  <c:v>Values assessment</c:v>
                </c:pt>
              </c:strCache>
            </c:strRef>
          </c:cat>
          <c:val>
            <c:numRef>
              <c:f>nominations_ass_all!$B$8:$B$26</c:f>
              <c:numCache>
                <c:formatCode>General</c:formatCode>
                <c:ptCount val="18"/>
                <c:pt idx="0">
                  <c:v>10</c:v>
                </c:pt>
                <c:pt idx="1">
                  <c:v>23</c:v>
                </c:pt>
                <c:pt idx="2">
                  <c:v>80</c:v>
                </c:pt>
                <c:pt idx="3">
                  <c:v>10</c:v>
                </c:pt>
                <c:pt idx="4">
                  <c:v>34</c:v>
                </c:pt>
                <c:pt idx="5">
                  <c:v>81</c:v>
                </c:pt>
                <c:pt idx="6">
                  <c:v>34</c:v>
                </c:pt>
                <c:pt idx="7">
                  <c:v>45</c:v>
                </c:pt>
                <c:pt idx="8">
                  <c:v>4</c:v>
                </c:pt>
                <c:pt idx="9">
                  <c:v>28</c:v>
                </c:pt>
                <c:pt idx="10">
                  <c:v>16</c:v>
                </c:pt>
                <c:pt idx="11">
                  <c:v>21</c:v>
                </c:pt>
                <c:pt idx="12">
                  <c:v>43</c:v>
                </c:pt>
                <c:pt idx="13">
                  <c:v>48</c:v>
                </c:pt>
                <c:pt idx="14">
                  <c:v>23</c:v>
                </c:pt>
                <c:pt idx="15">
                  <c:v>2</c:v>
                </c:pt>
                <c:pt idx="16">
                  <c:v>25</c:v>
                </c:pt>
                <c:pt idx="17">
                  <c:v>22</c:v>
                </c:pt>
              </c:numCache>
            </c:numRef>
          </c:val>
          <c:extLst>
            <c:ext xmlns:c16="http://schemas.microsoft.com/office/drawing/2014/chart" uri="{C3380CC4-5D6E-409C-BE32-E72D297353CC}">
              <c16:uniqueId val="{00000000-606A-4F3F-8927-C9B03FC9FB0E}"/>
            </c:ext>
          </c:extLst>
        </c:ser>
        <c:ser>
          <c:idx val="1"/>
          <c:order val="1"/>
          <c:tx>
            <c:strRef>
              <c:f>nominations_ass_all!$C$6:$C$7</c:f>
              <c:strCache>
                <c:ptCount val="1"/>
                <c:pt idx="0">
                  <c:v>AP</c:v>
                </c:pt>
              </c:strCache>
            </c:strRef>
          </c:tx>
          <c:spPr>
            <a:solidFill>
              <a:schemeClr val="accent2"/>
            </a:solidFill>
            <a:ln>
              <a:noFill/>
            </a:ln>
            <a:effectLst/>
          </c:spPr>
          <c:invertIfNegative val="0"/>
          <c:cat>
            <c:strRef>
              <c:f>nominations_ass_all!$A$8:$A$26</c:f>
              <c:strCache>
                <c:ptCount val="18"/>
                <c:pt idx="0">
                  <c:v>Biodiversity and pandemics workshop</c:v>
                </c:pt>
                <c:pt idx="1">
                  <c:v>Business and biodiversity scoping</c:v>
                </c:pt>
                <c:pt idx="2">
                  <c:v>Global assessment (1st work programme)</c:v>
                </c:pt>
                <c:pt idx="3">
                  <c:v>Global assessment scoping (1st work programme)</c:v>
                </c:pt>
                <c:pt idx="4">
                  <c:v>Invasive alien species assessment</c:v>
                </c:pt>
                <c:pt idx="5">
                  <c:v>Land degradation and restoration assessment</c:v>
                </c:pt>
                <c:pt idx="6">
                  <c:v>Land degradation and restoration assessment scoping</c:v>
                </c:pt>
                <c:pt idx="7">
                  <c:v>Nexus assessment</c:v>
                </c:pt>
                <c:pt idx="8">
                  <c:v>Nexus assessment fellows</c:v>
                </c:pt>
                <c:pt idx="9">
                  <c:v>Nexus assessment scoping</c:v>
                </c:pt>
                <c:pt idx="10">
                  <c:v>Pollination assessment</c:v>
                </c:pt>
                <c:pt idx="11">
                  <c:v>Scenarios and models assessment</c:v>
                </c:pt>
                <c:pt idx="12">
                  <c:v>Sustainable use assessment</c:v>
                </c:pt>
                <c:pt idx="13">
                  <c:v>Sustainable use assessment scoping</c:v>
                </c:pt>
                <c:pt idx="14">
                  <c:v>Transformative change assessment</c:v>
                </c:pt>
                <c:pt idx="15">
                  <c:v>Transformative change assessment fellows</c:v>
                </c:pt>
                <c:pt idx="16">
                  <c:v>Transformative change assessment scoping</c:v>
                </c:pt>
                <c:pt idx="17">
                  <c:v>Values assessment</c:v>
                </c:pt>
              </c:strCache>
            </c:strRef>
          </c:cat>
          <c:val>
            <c:numRef>
              <c:f>nominations_ass_all!$C$8:$C$26</c:f>
              <c:numCache>
                <c:formatCode>General</c:formatCode>
                <c:ptCount val="18"/>
                <c:pt idx="0">
                  <c:v>14</c:v>
                </c:pt>
                <c:pt idx="1">
                  <c:v>32</c:v>
                </c:pt>
                <c:pt idx="2">
                  <c:v>86</c:v>
                </c:pt>
                <c:pt idx="3">
                  <c:v>25</c:v>
                </c:pt>
                <c:pt idx="4">
                  <c:v>53</c:v>
                </c:pt>
                <c:pt idx="5">
                  <c:v>70</c:v>
                </c:pt>
                <c:pt idx="6">
                  <c:v>41</c:v>
                </c:pt>
                <c:pt idx="7">
                  <c:v>75</c:v>
                </c:pt>
                <c:pt idx="8">
                  <c:v>4</c:v>
                </c:pt>
                <c:pt idx="9">
                  <c:v>33</c:v>
                </c:pt>
                <c:pt idx="10">
                  <c:v>19</c:v>
                </c:pt>
                <c:pt idx="11">
                  <c:v>27</c:v>
                </c:pt>
                <c:pt idx="12">
                  <c:v>29</c:v>
                </c:pt>
                <c:pt idx="13">
                  <c:v>45</c:v>
                </c:pt>
                <c:pt idx="14">
                  <c:v>40</c:v>
                </c:pt>
                <c:pt idx="15">
                  <c:v>1</c:v>
                </c:pt>
                <c:pt idx="16">
                  <c:v>31</c:v>
                </c:pt>
                <c:pt idx="17">
                  <c:v>41</c:v>
                </c:pt>
              </c:numCache>
            </c:numRef>
          </c:val>
          <c:extLst>
            <c:ext xmlns:c16="http://schemas.microsoft.com/office/drawing/2014/chart" uri="{C3380CC4-5D6E-409C-BE32-E72D297353CC}">
              <c16:uniqueId val="{00000001-606A-4F3F-8927-C9B03FC9FB0E}"/>
            </c:ext>
          </c:extLst>
        </c:ser>
        <c:ser>
          <c:idx val="2"/>
          <c:order val="2"/>
          <c:tx>
            <c:strRef>
              <c:f>nominations_ass_all!$D$6:$D$7</c:f>
              <c:strCache>
                <c:ptCount val="1"/>
                <c:pt idx="0">
                  <c:v>EE</c:v>
                </c:pt>
              </c:strCache>
            </c:strRef>
          </c:tx>
          <c:spPr>
            <a:solidFill>
              <a:schemeClr val="accent3"/>
            </a:solidFill>
            <a:ln>
              <a:noFill/>
            </a:ln>
            <a:effectLst/>
          </c:spPr>
          <c:invertIfNegative val="0"/>
          <c:cat>
            <c:strRef>
              <c:f>nominations_ass_all!$A$8:$A$26</c:f>
              <c:strCache>
                <c:ptCount val="18"/>
                <c:pt idx="0">
                  <c:v>Biodiversity and pandemics workshop</c:v>
                </c:pt>
                <c:pt idx="1">
                  <c:v>Business and biodiversity scoping</c:v>
                </c:pt>
                <c:pt idx="2">
                  <c:v>Global assessment (1st work programme)</c:v>
                </c:pt>
                <c:pt idx="3">
                  <c:v>Global assessment scoping (1st work programme)</c:v>
                </c:pt>
                <c:pt idx="4">
                  <c:v>Invasive alien species assessment</c:v>
                </c:pt>
                <c:pt idx="5">
                  <c:v>Land degradation and restoration assessment</c:v>
                </c:pt>
                <c:pt idx="6">
                  <c:v>Land degradation and restoration assessment scoping</c:v>
                </c:pt>
                <c:pt idx="7">
                  <c:v>Nexus assessment</c:v>
                </c:pt>
                <c:pt idx="8">
                  <c:v>Nexus assessment fellows</c:v>
                </c:pt>
                <c:pt idx="9">
                  <c:v>Nexus assessment scoping</c:v>
                </c:pt>
                <c:pt idx="10">
                  <c:v>Pollination assessment</c:v>
                </c:pt>
                <c:pt idx="11">
                  <c:v>Scenarios and models assessment</c:v>
                </c:pt>
                <c:pt idx="12">
                  <c:v>Sustainable use assessment</c:v>
                </c:pt>
                <c:pt idx="13">
                  <c:v>Sustainable use assessment scoping</c:v>
                </c:pt>
                <c:pt idx="14">
                  <c:v>Transformative change assessment</c:v>
                </c:pt>
                <c:pt idx="15">
                  <c:v>Transformative change assessment fellows</c:v>
                </c:pt>
                <c:pt idx="16">
                  <c:v>Transformative change assessment scoping</c:v>
                </c:pt>
                <c:pt idx="17">
                  <c:v>Values assessment</c:v>
                </c:pt>
              </c:strCache>
            </c:strRef>
          </c:cat>
          <c:val>
            <c:numRef>
              <c:f>nominations_ass_all!$D$8:$D$26</c:f>
              <c:numCache>
                <c:formatCode>General</c:formatCode>
                <c:ptCount val="18"/>
                <c:pt idx="0">
                  <c:v>5</c:v>
                </c:pt>
                <c:pt idx="1">
                  <c:v>4</c:v>
                </c:pt>
                <c:pt idx="2">
                  <c:v>25</c:v>
                </c:pt>
                <c:pt idx="3">
                  <c:v>9</c:v>
                </c:pt>
                <c:pt idx="4">
                  <c:v>19</c:v>
                </c:pt>
                <c:pt idx="5">
                  <c:v>25</c:v>
                </c:pt>
                <c:pt idx="6">
                  <c:v>12</c:v>
                </c:pt>
                <c:pt idx="7">
                  <c:v>20</c:v>
                </c:pt>
                <c:pt idx="9">
                  <c:v>6</c:v>
                </c:pt>
                <c:pt idx="10">
                  <c:v>4</c:v>
                </c:pt>
                <c:pt idx="11">
                  <c:v>12</c:v>
                </c:pt>
                <c:pt idx="12">
                  <c:v>6</c:v>
                </c:pt>
                <c:pt idx="13">
                  <c:v>7</c:v>
                </c:pt>
                <c:pt idx="14">
                  <c:v>16</c:v>
                </c:pt>
                <c:pt idx="16">
                  <c:v>5</c:v>
                </c:pt>
                <c:pt idx="17">
                  <c:v>13</c:v>
                </c:pt>
              </c:numCache>
            </c:numRef>
          </c:val>
          <c:extLst>
            <c:ext xmlns:c16="http://schemas.microsoft.com/office/drawing/2014/chart" uri="{C3380CC4-5D6E-409C-BE32-E72D297353CC}">
              <c16:uniqueId val="{00000002-606A-4F3F-8927-C9B03FC9FB0E}"/>
            </c:ext>
          </c:extLst>
        </c:ser>
        <c:ser>
          <c:idx val="3"/>
          <c:order val="3"/>
          <c:tx>
            <c:strRef>
              <c:f>nominations_ass_all!$E$6:$E$7</c:f>
              <c:strCache>
                <c:ptCount val="1"/>
                <c:pt idx="0">
                  <c:v>LAC</c:v>
                </c:pt>
              </c:strCache>
            </c:strRef>
          </c:tx>
          <c:spPr>
            <a:solidFill>
              <a:schemeClr val="accent4"/>
            </a:solidFill>
            <a:ln>
              <a:noFill/>
            </a:ln>
            <a:effectLst/>
          </c:spPr>
          <c:invertIfNegative val="0"/>
          <c:cat>
            <c:strRef>
              <c:f>nominations_ass_all!$A$8:$A$26</c:f>
              <c:strCache>
                <c:ptCount val="18"/>
                <c:pt idx="0">
                  <c:v>Biodiversity and pandemics workshop</c:v>
                </c:pt>
                <c:pt idx="1">
                  <c:v>Business and biodiversity scoping</c:v>
                </c:pt>
                <c:pt idx="2">
                  <c:v>Global assessment (1st work programme)</c:v>
                </c:pt>
                <c:pt idx="3">
                  <c:v>Global assessment scoping (1st work programme)</c:v>
                </c:pt>
                <c:pt idx="4">
                  <c:v>Invasive alien species assessment</c:v>
                </c:pt>
                <c:pt idx="5">
                  <c:v>Land degradation and restoration assessment</c:v>
                </c:pt>
                <c:pt idx="6">
                  <c:v>Land degradation and restoration assessment scoping</c:v>
                </c:pt>
                <c:pt idx="7">
                  <c:v>Nexus assessment</c:v>
                </c:pt>
                <c:pt idx="8">
                  <c:v>Nexus assessment fellows</c:v>
                </c:pt>
                <c:pt idx="9">
                  <c:v>Nexus assessment scoping</c:v>
                </c:pt>
                <c:pt idx="10">
                  <c:v>Pollination assessment</c:v>
                </c:pt>
                <c:pt idx="11">
                  <c:v>Scenarios and models assessment</c:v>
                </c:pt>
                <c:pt idx="12">
                  <c:v>Sustainable use assessment</c:v>
                </c:pt>
                <c:pt idx="13">
                  <c:v>Sustainable use assessment scoping</c:v>
                </c:pt>
                <c:pt idx="14">
                  <c:v>Transformative change assessment</c:v>
                </c:pt>
                <c:pt idx="15">
                  <c:v>Transformative change assessment fellows</c:v>
                </c:pt>
                <c:pt idx="16">
                  <c:v>Transformative change assessment scoping</c:v>
                </c:pt>
                <c:pt idx="17">
                  <c:v>Values assessment</c:v>
                </c:pt>
              </c:strCache>
            </c:strRef>
          </c:cat>
          <c:val>
            <c:numRef>
              <c:f>nominations_ass_all!$E$8:$E$26</c:f>
              <c:numCache>
                <c:formatCode>General</c:formatCode>
                <c:ptCount val="18"/>
                <c:pt idx="0">
                  <c:v>15</c:v>
                </c:pt>
                <c:pt idx="1">
                  <c:v>15</c:v>
                </c:pt>
                <c:pt idx="2">
                  <c:v>72</c:v>
                </c:pt>
                <c:pt idx="3">
                  <c:v>20</c:v>
                </c:pt>
                <c:pt idx="4">
                  <c:v>44</c:v>
                </c:pt>
                <c:pt idx="5">
                  <c:v>78</c:v>
                </c:pt>
                <c:pt idx="6">
                  <c:v>31</c:v>
                </c:pt>
                <c:pt idx="7">
                  <c:v>32</c:v>
                </c:pt>
                <c:pt idx="9">
                  <c:v>23</c:v>
                </c:pt>
                <c:pt idx="10">
                  <c:v>34</c:v>
                </c:pt>
                <c:pt idx="11">
                  <c:v>36</c:v>
                </c:pt>
                <c:pt idx="12">
                  <c:v>27</c:v>
                </c:pt>
                <c:pt idx="13">
                  <c:v>37</c:v>
                </c:pt>
                <c:pt idx="14">
                  <c:v>20</c:v>
                </c:pt>
                <c:pt idx="16">
                  <c:v>32</c:v>
                </c:pt>
                <c:pt idx="17">
                  <c:v>38</c:v>
                </c:pt>
              </c:numCache>
            </c:numRef>
          </c:val>
          <c:extLst>
            <c:ext xmlns:c16="http://schemas.microsoft.com/office/drawing/2014/chart" uri="{C3380CC4-5D6E-409C-BE32-E72D297353CC}">
              <c16:uniqueId val="{00000003-606A-4F3F-8927-C9B03FC9FB0E}"/>
            </c:ext>
          </c:extLst>
        </c:ser>
        <c:ser>
          <c:idx val="4"/>
          <c:order val="4"/>
          <c:tx>
            <c:strRef>
              <c:f>nominations_ass_all!$F$6:$F$7</c:f>
              <c:strCache>
                <c:ptCount val="1"/>
                <c:pt idx="0">
                  <c:v>WEOG</c:v>
                </c:pt>
              </c:strCache>
            </c:strRef>
          </c:tx>
          <c:spPr>
            <a:solidFill>
              <a:schemeClr val="accent5"/>
            </a:solidFill>
            <a:ln>
              <a:noFill/>
            </a:ln>
            <a:effectLst/>
          </c:spPr>
          <c:invertIfNegative val="0"/>
          <c:cat>
            <c:strRef>
              <c:f>nominations_ass_all!$A$8:$A$26</c:f>
              <c:strCache>
                <c:ptCount val="18"/>
                <c:pt idx="0">
                  <c:v>Biodiversity and pandemics workshop</c:v>
                </c:pt>
                <c:pt idx="1">
                  <c:v>Business and biodiversity scoping</c:v>
                </c:pt>
                <c:pt idx="2">
                  <c:v>Global assessment (1st work programme)</c:v>
                </c:pt>
                <c:pt idx="3">
                  <c:v>Global assessment scoping (1st work programme)</c:v>
                </c:pt>
                <c:pt idx="4">
                  <c:v>Invasive alien species assessment</c:v>
                </c:pt>
                <c:pt idx="5">
                  <c:v>Land degradation and restoration assessment</c:v>
                </c:pt>
                <c:pt idx="6">
                  <c:v>Land degradation and restoration assessment scoping</c:v>
                </c:pt>
                <c:pt idx="7">
                  <c:v>Nexus assessment</c:v>
                </c:pt>
                <c:pt idx="8">
                  <c:v>Nexus assessment fellows</c:v>
                </c:pt>
                <c:pt idx="9">
                  <c:v>Nexus assessment scoping</c:v>
                </c:pt>
                <c:pt idx="10">
                  <c:v>Pollination assessment</c:v>
                </c:pt>
                <c:pt idx="11">
                  <c:v>Scenarios and models assessment</c:v>
                </c:pt>
                <c:pt idx="12">
                  <c:v>Sustainable use assessment</c:v>
                </c:pt>
                <c:pt idx="13">
                  <c:v>Sustainable use assessment scoping</c:v>
                </c:pt>
                <c:pt idx="14">
                  <c:v>Transformative change assessment</c:v>
                </c:pt>
                <c:pt idx="15">
                  <c:v>Transformative change assessment fellows</c:v>
                </c:pt>
                <c:pt idx="16">
                  <c:v>Transformative change assessment scoping</c:v>
                </c:pt>
                <c:pt idx="17">
                  <c:v>Values assessment</c:v>
                </c:pt>
              </c:strCache>
            </c:strRef>
          </c:cat>
          <c:val>
            <c:numRef>
              <c:f>nominations_ass_all!$F$8:$F$26</c:f>
              <c:numCache>
                <c:formatCode>General</c:formatCode>
                <c:ptCount val="18"/>
                <c:pt idx="0">
                  <c:v>73</c:v>
                </c:pt>
                <c:pt idx="1">
                  <c:v>82</c:v>
                </c:pt>
                <c:pt idx="2">
                  <c:v>156</c:v>
                </c:pt>
                <c:pt idx="3">
                  <c:v>65</c:v>
                </c:pt>
                <c:pt idx="4">
                  <c:v>85</c:v>
                </c:pt>
                <c:pt idx="5">
                  <c:v>64</c:v>
                </c:pt>
                <c:pt idx="6">
                  <c:v>84</c:v>
                </c:pt>
                <c:pt idx="7">
                  <c:v>129</c:v>
                </c:pt>
                <c:pt idx="8">
                  <c:v>5</c:v>
                </c:pt>
                <c:pt idx="9">
                  <c:v>74</c:v>
                </c:pt>
                <c:pt idx="10">
                  <c:v>80</c:v>
                </c:pt>
                <c:pt idx="11">
                  <c:v>132</c:v>
                </c:pt>
                <c:pt idx="12">
                  <c:v>27</c:v>
                </c:pt>
                <c:pt idx="13">
                  <c:v>51</c:v>
                </c:pt>
                <c:pt idx="14">
                  <c:v>103</c:v>
                </c:pt>
                <c:pt idx="15">
                  <c:v>6</c:v>
                </c:pt>
                <c:pt idx="16">
                  <c:v>82</c:v>
                </c:pt>
                <c:pt idx="17">
                  <c:v>74</c:v>
                </c:pt>
              </c:numCache>
            </c:numRef>
          </c:val>
          <c:extLst>
            <c:ext xmlns:c16="http://schemas.microsoft.com/office/drawing/2014/chart" uri="{C3380CC4-5D6E-409C-BE32-E72D297353CC}">
              <c16:uniqueId val="{00000004-606A-4F3F-8927-C9B03FC9FB0E}"/>
            </c:ext>
          </c:extLst>
        </c:ser>
        <c:ser>
          <c:idx val="5"/>
          <c:order val="5"/>
          <c:tx>
            <c:strRef>
              <c:f>nominations_ass_all!$G$6:$G$7</c:f>
              <c:strCache>
                <c:ptCount val="1"/>
                <c:pt idx="0">
                  <c:v>(blank)</c:v>
                </c:pt>
              </c:strCache>
            </c:strRef>
          </c:tx>
          <c:spPr>
            <a:solidFill>
              <a:schemeClr val="accent6"/>
            </a:solidFill>
            <a:ln>
              <a:noFill/>
            </a:ln>
            <a:effectLst/>
          </c:spPr>
          <c:invertIfNegative val="0"/>
          <c:cat>
            <c:strRef>
              <c:f>nominations_ass_all!$A$8:$A$26</c:f>
              <c:strCache>
                <c:ptCount val="18"/>
                <c:pt idx="0">
                  <c:v>Biodiversity and pandemics workshop</c:v>
                </c:pt>
                <c:pt idx="1">
                  <c:v>Business and biodiversity scoping</c:v>
                </c:pt>
                <c:pt idx="2">
                  <c:v>Global assessment (1st work programme)</c:v>
                </c:pt>
                <c:pt idx="3">
                  <c:v>Global assessment scoping (1st work programme)</c:v>
                </c:pt>
                <c:pt idx="4">
                  <c:v>Invasive alien species assessment</c:v>
                </c:pt>
                <c:pt idx="5">
                  <c:v>Land degradation and restoration assessment</c:v>
                </c:pt>
                <c:pt idx="6">
                  <c:v>Land degradation and restoration assessment scoping</c:v>
                </c:pt>
                <c:pt idx="7">
                  <c:v>Nexus assessment</c:v>
                </c:pt>
                <c:pt idx="8">
                  <c:v>Nexus assessment fellows</c:v>
                </c:pt>
                <c:pt idx="9">
                  <c:v>Nexus assessment scoping</c:v>
                </c:pt>
                <c:pt idx="10">
                  <c:v>Pollination assessment</c:v>
                </c:pt>
                <c:pt idx="11">
                  <c:v>Scenarios and models assessment</c:v>
                </c:pt>
                <c:pt idx="12">
                  <c:v>Sustainable use assessment</c:v>
                </c:pt>
                <c:pt idx="13">
                  <c:v>Sustainable use assessment scoping</c:v>
                </c:pt>
                <c:pt idx="14">
                  <c:v>Transformative change assessment</c:v>
                </c:pt>
                <c:pt idx="15">
                  <c:v>Transformative change assessment fellows</c:v>
                </c:pt>
                <c:pt idx="16">
                  <c:v>Transformative change assessment scoping</c:v>
                </c:pt>
                <c:pt idx="17">
                  <c:v>Values assessment</c:v>
                </c:pt>
              </c:strCache>
            </c:strRef>
          </c:cat>
          <c:val>
            <c:numRef>
              <c:f>nominations_ass_all!$G$8:$G$26</c:f>
              <c:numCache>
                <c:formatCode>General</c:formatCode>
                <c:ptCount val="18"/>
                <c:pt idx="1">
                  <c:v>1</c:v>
                </c:pt>
                <c:pt idx="10">
                  <c:v>1</c:v>
                </c:pt>
                <c:pt idx="11">
                  <c:v>2</c:v>
                </c:pt>
              </c:numCache>
            </c:numRef>
          </c:val>
          <c:extLst>
            <c:ext xmlns:c16="http://schemas.microsoft.com/office/drawing/2014/chart" uri="{C3380CC4-5D6E-409C-BE32-E72D297353CC}">
              <c16:uniqueId val="{00000005-606A-4F3F-8927-C9B03FC9FB0E}"/>
            </c:ext>
          </c:extLst>
        </c:ser>
        <c:dLbls>
          <c:showLegendKey val="0"/>
          <c:showVal val="0"/>
          <c:showCatName val="0"/>
          <c:showSerName val="0"/>
          <c:showPercent val="0"/>
          <c:showBubbleSize val="0"/>
        </c:dLbls>
        <c:gapWidth val="182"/>
        <c:axId val="1701957360"/>
        <c:axId val="1701960688"/>
      </c:barChart>
      <c:catAx>
        <c:axId val="170195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701960688"/>
        <c:crosses val="autoZero"/>
        <c:auto val="1"/>
        <c:lblAlgn val="ctr"/>
        <c:lblOffset val="100"/>
        <c:noMultiLvlLbl val="0"/>
      </c:catAx>
      <c:valAx>
        <c:axId val="170196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701957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[review_nominations_pivot.xlsx]nominations_ass_regional!PivotTable1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nominations_ass_regional!$B$6:$B$7</c:f>
              <c:strCache>
                <c:ptCount val="1"/>
                <c:pt idx="0">
                  <c:v>AF</c:v>
                </c:pt>
              </c:strCache>
            </c:strRef>
          </c:tx>
          <c:spPr>
            <a:solidFill>
              <a:schemeClr val="accent1"/>
            </a:solidFill>
            <a:ln>
              <a:noFill/>
            </a:ln>
            <a:effectLst/>
          </c:spPr>
          <c:invertIfNegative val="0"/>
          <c:cat>
            <c:strRef>
              <c:f>nominations_ass_regional!$A$8:$A$10</c:f>
              <c:strCache>
                <c:ptCount val="2"/>
                <c:pt idx="0">
                  <c:v>Regional assessments</c:v>
                </c:pt>
                <c:pt idx="1">
                  <c:v>Regional assessments scoping</c:v>
                </c:pt>
              </c:strCache>
            </c:strRef>
          </c:cat>
          <c:val>
            <c:numRef>
              <c:f>nominations_ass_regional!$B$8:$B$10</c:f>
              <c:numCache>
                <c:formatCode>General</c:formatCode>
                <c:ptCount val="2"/>
                <c:pt idx="0">
                  <c:v>218</c:v>
                </c:pt>
                <c:pt idx="1">
                  <c:v>50</c:v>
                </c:pt>
              </c:numCache>
            </c:numRef>
          </c:val>
          <c:extLst>
            <c:ext xmlns:c16="http://schemas.microsoft.com/office/drawing/2014/chart" uri="{C3380CC4-5D6E-409C-BE32-E72D297353CC}">
              <c16:uniqueId val="{00000000-051D-416F-B683-87ADDD1DA1F4}"/>
            </c:ext>
          </c:extLst>
        </c:ser>
        <c:ser>
          <c:idx val="1"/>
          <c:order val="1"/>
          <c:tx>
            <c:strRef>
              <c:f>nominations_ass_regional!$C$6:$C$7</c:f>
              <c:strCache>
                <c:ptCount val="1"/>
                <c:pt idx="0">
                  <c:v>AP</c:v>
                </c:pt>
              </c:strCache>
            </c:strRef>
          </c:tx>
          <c:spPr>
            <a:solidFill>
              <a:schemeClr val="accent2"/>
            </a:solidFill>
            <a:ln>
              <a:noFill/>
            </a:ln>
            <a:effectLst/>
          </c:spPr>
          <c:invertIfNegative val="0"/>
          <c:cat>
            <c:strRef>
              <c:f>nominations_ass_regional!$A$8:$A$10</c:f>
              <c:strCache>
                <c:ptCount val="2"/>
                <c:pt idx="0">
                  <c:v>Regional assessments</c:v>
                </c:pt>
                <c:pt idx="1">
                  <c:v>Regional assessments scoping</c:v>
                </c:pt>
              </c:strCache>
            </c:strRef>
          </c:cat>
          <c:val>
            <c:numRef>
              <c:f>nominations_ass_regional!$C$8:$C$10</c:f>
              <c:numCache>
                <c:formatCode>General</c:formatCode>
                <c:ptCount val="2"/>
                <c:pt idx="0">
                  <c:v>283</c:v>
                </c:pt>
                <c:pt idx="1">
                  <c:v>56</c:v>
                </c:pt>
              </c:numCache>
            </c:numRef>
          </c:val>
          <c:extLst>
            <c:ext xmlns:c16="http://schemas.microsoft.com/office/drawing/2014/chart" uri="{C3380CC4-5D6E-409C-BE32-E72D297353CC}">
              <c16:uniqueId val="{00000001-051D-416F-B683-87ADDD1DA1F4}"/>
            </c:ext>
          </c:extLst>
        </c:ser>
        <c:ser>
          <c:idx val="2"/>
          <c:order val="2"/>
          <c:tx>
            <c:strRef>
              <c:f>nominations_ass_regional!$D$6:$D$7</c:f>
              <c:strCache>
                <c:ptCount val="1"/>
                <c:pt idx="0">
                  <c:v>EE</c:v>
                </c:pt>
              </c:strCache>
            </c:strRef>
          </c:tx>
          <c:spPr>
            <a:solidFill>
              <a:schemeClr val="accent3"/>
            </a:solidFill>
            <a:ln>
              <a:noFill/>
            </a:ln>
            <a:effectLst/>
          </c:spPr>
          <c:invertIfNegative val="0"/>
          <c:cat>
            <c:strRef>
              <c:f>nominations_ass_regional!$A$8:$A$10</c:f>
              <c:strCache>
                <c:ptCount val="2"/>
                <c:pt idx="0">
                  <c:v>Regional assessments</c:v>
                </c:pt>
                <c:pt idx="1">
                  <c:v>Regional assessments scoping</c:v>
                </c:pt>
              </c:strCache>
            </c:strRef>
          </c:cat>
          <c:val>
            <c:numRef>
              <c:f>nominations_ass_regional!$D$8:$D$10</c:f>
              <c:numCache>
                <c:formatCode>General</c:formatCode>
                <c:ptCount val="2"/>
                <c:pt idx="0">
                  <c:v>113</c:v>
                </c:pt>
                <c:pt idx="1">
                  <c:v>30</c:v>
                </c:pt>
              </c:numCache>
            </c:numRef>
          </c:val>
          <c:extLst>
            <c:ext xmlns:c16="http://schemas.microsoft.com/office/drawing/2014/chart" uri="{C3380CC4-5D6E-409C-BE32-E72D297353CC}">
              <c16:uniqueId val="{00000002-051D-416F-B683-87ADDD1DA1F4}"/>
            </c:ext>
          </c:extLst>
        </c:ser>
        <c:ser>
          <c:idx val="3"/>
          <c:order val="3"/>
          <c:tx>
            <c:strRef>
              <c:f>nominations_ass_regional!$E$6:$E$7</c:f>
              <c:strCache>
                <c:ptCount val="1"/>
                <c:pt idx="0">
                  <c:v>LAC</c:v>
                </c:pt>
              </c:strCache>
            </c:strRef>
          </c:tx>
          <c:spPr>
            <a:solidFill>
              <a:schemeClr val="accent4"/>
            </a:solidFill>
            <a:ln>
              <a:noFill/>
            </a:ln>
            <a:effectLst/>
          </c:spPr>
          <c:invertIfNegative val="0"/>
          <c:cat>
            <c:strRef>
              <c:f>nominations_ass_regional!$A$8:$A$10</c:f>
              <c:strCache>
                <c:ptCount val="2"/>
                <c:pt idx="0">
                  <c:v>Regional assessments</c:v>
                </c:pt>
                <c:pt idx="1">
                  <c:v>Regional assessments scoping</c:v>
                </c:pt>
              </c:strCache>
            </c:strRef>
          </c:cat>
          <c:val>
            <c:numRef>
              <c:f>nominations_ass_regional!$E$8:$E$10</c:f>
              <c:numCache>
                <c:formatCode>General</c:formatCode>
                <c:ptCount val="2"/>
                <c:pt idx="0">
                  <c:v>218</c:v>
                </c:pt>
                <c:pt idx="1">
                  <c:v>50</c:v>
                </c:pt>
              </c:numCache>
            </c:numRef>
          </c:val>
          <c:extLst>
            <c:ext xmlns:c16="http://schemas.microsoft.com/office/drawing/2014/chart" uri="{C3380CC4-5D6E-409C-BE32-E72D297353CC}">
              <c16:uniqueId val="{00000003-051D-416F-B683-87ADDD1DA1F4}"/>
            </c:ext>
          </c:extLst>
        </c:ser>
        <c:ser>
          <c:idx val="4"/>
          <c:order val="4"/>
          <c:tx>
            <c:strRef>
              <c:f>nominations_ass_regional!$F$6:$F$7</c:f>
              <c:strCache>
                <c:ptCount val="1"/>
                <c:pt idx="0">
                  <c:v>WEOG</c:v>
                </c:pt>
              </c:strCache>
            </c:strRef>
          </c:tx>
          <c:spPr>
            <a:solidFill>
              <a:schemeClr val="accent5"/>
            </a:solidFill>
            <a:ln>
              <a:noFill/>
            </a:ln>
            <a:effectLst/>
          </c:spPr>
          <c:invertIfNegative val="0"/>
          <c:cat>
            <c:strRef>
              <c:f>nominations_ass_regional!$A$8:$A$10</c:f>
              <c:strCache>
                <c:ptCount val="2"/>
                <c:pt idx="0">
                  <c:v>Regional assessments</c:v>
                </c:pt>
                <c:pt idx="1">
                  <c:v>Regional assessments scoping</c:v>
                </c:pt>
              </c:strCache>
            </c:strRef>
          </c:cat>
          <c:val>
            <c:numRef>
              <c:f>nominations_ass_regional!$F$8:$F$10</c:f>
              <c:numCache>
                <c:formatCode>General</c:formatCode>
                <c:ptCount val="2"/>
                <c:pt idx="0">
                  <c:v>295</c:v>
                </c:pt>
                <c:pt idx="1">
                  <c:v>139</c:v>
                </c:pt>
              </c:numCache>
            </c:numRef>
          </c:val>
          <c:extLst>
            <c:ext xmlns:c16="http://schemas.microsoft.com/office/drawing/2014/chart" uri="{C3380CC4-5D6E-409C-BE32-E72D297353CC}">
              <c16:uniqueId val="{00000004-051D-416F-B683-87ADDD1DA1F4}"/>
            </c:ext>
          </c:extLst>
        </c:ser>
        <c:dLbls>
          <c:showLegendKey val="0"/>
          <c:showVal val="0"/>
          <c:showCatName val="0"/>
          <c:showSerName val="0"/>
          <c:showPercent val="0"/>
          <c:showBubbleSize val="0"/>
        </c:dLbls>
        <c:gapWidth val="182"/>
        <c:axId val="1701957360"/>
        <c:axId val="1701960688"/>
      </c:barChart>
      <c:catAx>
        <c:axId val="170195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701960688"/>
        <c:crosses val="autoZero"/>
        <c:auto val="1"/>
        <c:lblAlgn val="ctr"/>
        <c:lblOffset val="100"/>
        <c:noMultiLvlLbl val="0"/>
      </c:catAx>
      <c:valAx>
        <c:axId val="170196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701957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[review_nominations_pivot.xlsx]nominations_region_tf!PivotTable1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nominations_region_tf!$B$5:$B$6</c:f>
              <c:strCache>
                <c:ptCount val="1"/>
                <c:pt idx="0">
                  <c:v>AF</c:v>
                </c:pt>
              </c:strCache>
            </c:strRef>
          </c:tx>
          <c:spPr>
            <a:solidFill>
              <a:schemeClr val="accent1"/>
            </a:solidFill>
            <a:ln>
              <a:noFill/>
            </a:ln>
            <a:effectLst/>
          </c:spPr>
          <c:invertIfNegative val="0"/>
          <c:cat>
            <c:strRef>
              <c:f>nominations_region_tf!$A$7:$A$19</c:f>
              <c:strCache>
                <c:ptCount val="12"/>
                <c:pt idx="0">
                  <c:v>Building capacity (1st work programme)</c:v>
                </c:pt>
                <c:pt idx="1">
                  <c:v>Building capacity (2nd work programme)</c:v>
                </c:pt>
                <c:pt idx="2">
                  <c:v>Further work on scenarios and models (2nd work programme)</c:v>
                </c:pt>
                <c:pt idx="3">
                  <c:v>Guide for assessments</c:v>
                </c:pt>
                <c:pt idx="4">
                  <c:v>Indigenous and local knowledge systems (1st work programme)</c:v>
                </c:pt>
                <c:pt idx="5">
                  <c:v>Indigenous and local knowledge systems (2nd work programme)</c:v>
                </c:pt>
                <c:pt idx="6">
                  <c:v>Knowledge and data (1st work programme)</c:v>
                </c:pt>
                <c:pt idx="7">
                  <c:v>Knowledge and data (2nd work programme)</c:v>
                </c:pt>
                <c:pt idx="8">
                  <c:v>Policy support tools and methodologies (1st work programme)</c:v>
                </c:pt>
                <c:pt idx="9">
                  <c:v>Policy support tools and methodologies (2nd work programme)</c:v>
                </c:pt>
                <c:pt idx="10">
                  <c:v>Values expert group (1st work programme)</c:v>
                </c:pt>
                <c:pt idx="11">
                  <c:v>Workshop on modelling nature future scenarios</c:v>
                </c:pt>
              </c:strCache>
            </c:strRef>
          </c:cat>
          <c:val>
            <c:numRef>
              <c:f>nominations_region_tf!$B$7:$B$19</c:f>
              <c:numCache>
                <c:formatCode>General</c:formatCode>
                <c:ptCount val="12"/>
                <c:pt idx="0">
                  <c:v>18</c:v>
                </c:pt>
                <c:pt idx="1">
                  <c:v>7</c:v>
                </c:pt>
                <c:pt idx="2">
                  <c:v>37</c:v>
                </c:pt>
                <c:pt idx="3">
                  <c:v>16</c:v>
                </c:pt>
                <c:pt idx="4">
                  <c:v>26</c:v>
                </c:pt>
                <c:pt idx="5">
                  <c:v>11</c:v>
                </c:pt>
                <c:pt idx="6">
                  <c:v>16</c:v>
                </c:pt>
                <c:pt idx="7">
                  <c:v>4</c:v>
                </c:pt>
                <c:pt idx="8">
                  <c:v>13</c:v>
                </c:pt>
                <c:pt idx="9">
                  <c:v>6</c:v>
                </c:pt>
                <c:pt idx="10">
                  <c:v>34</c:v>
                </c:pt>
                <c:pt idx="11">
                  <c:v>17</c:v>
                </c:pt>
              </c:numCache>
            </c:numRef>
          </c:val>
          <c:extLst>
            <c:ext xmlns:c16="http://schemas.microsoft.com/office/drawing/2014/chart" uri="{C3380CC4-5D6E-409C-BE32-E72D297353CC}">
              <c16:uniqueId val="{00000000-48A8-4EFA-81BB-36AA0F98AF76}"/>
            </c:ext>
          </c:extLst>
        </c:ser>
        <c:ser>
          <c:idx val="1"/>
          <c:order val="1"/>
          <c:tx>
            <c:strRef>
              <c:f>nominations_region_tf!$C$5:$C$6</c:f>
              <c:strCache>
                <c:ptCount val="1"/>
                <c:pt idx="0">
                  <c:v>AP</c:v>
                </c:pt>
              </c:strCache>
            </c:strRef>
          </c:tx>
          <c:spPr>
            <a:solidFill>
              <a:schemeClr val="accent2"/>
            </a:solidFill>
            <a:ln>
              <a:noFill/>
            </a:ln>
            <a:effectLst/>
          </c:spPr>
          <c:invertIfNegative val="0"/>
          <c:cat>
            <c:strRef>
              <c:f>nominations_region_tf!$A$7:$A$19</c:f>
              <c:strCache>
                <c:ptCount val="12"/>
                <c:pt idx="0">
                  <c:v>Building capacity (1st work programme)</c:v>
                </c:pt>
                <c:pt idx="1">
                  <c:v>Building capacity (2nd work programme)</c:v>
                </c:pt>
                <c:pt idx="2">
                  <c:v>Further work on scenarios and models (2nd work programme)</c:v>
                </c:pt>
                <c:pt idx="3">
                  <c:v>Guide for assessments</c:v>
                </c:pt>
                <c:pt idx="4">
                  <c:v>Indigenous and local knowledge systems (1st work programme)</c:v>
                </c:pt>
                <c:pt idx="5">
                  <c:v>Indigenous and local knowledge systems (2nd work programme)</c:v>
                </c:pt>
                <c:pt idx="6">
                  <c:v>Knowledge and data (1st work programme)</c:v>
                </c:pt>
                <c:pt idx="7">
                  <c:v>Knowledge and data (2nd work programme)</c:v>
                </c:pt>
                <c:pt idx="8">
                  <c:v>Policy support tools and methodologies (1st work programme)</c:v>
                </c:pt>
                <c:pt idx="9">
                  <c:v>Policy support tools and methodologies (2nd work programme)</c:v>
                </c:pt>
                <c:pt idx="10">
                  <c:v>Values expert group (1st work programme)</c:v>
                </c:pt>
                <c:pt idx="11">
                  <c:v>Workshop on modelling nature future scenarios</c:v>
                </c:pt>
              </c:strCache>
            </c:strRef>
          </c:cat>
          <c:val>
            <c:numRef>
              <c:f>nominations_region_tf!$C$7:$C$19</c:f>
              <c:numCache>
                <c:formatCode>General</c:formatCode>
                <c:ptCount val="12"/>
                <c:pt idx="0">
                  <c:v>24</c:v>
                </c:pt>
                <c:pt idx="1">
                  <c:v>14</c:v>
                </c:pt>
                <c:pt idx="2">
                  <c:v>21</c:v>
                </c:pt>
                <c:pt idx="3">
                  <c:v>12</c:v>
                </c:pt>
                <c:pt idx="4">
                  <c:v>24</c:v>
                </c:pt>
                <c:pt idx="5">
                  <c:v>11</c:v>
                </c:pt>
                <c:pt idx="6">
                  <c:v>16</c:v>
                </c:pt>
                <c:pt idx="7">
                  <c:v>5</c:v>
                </c:pt>
                <c:pt idx="8">
                  <c:v>24</c:v>
                </c:pt>
                <c:pt idx="9">
                  <c:v>17</c:v>
                </c:pt>
                <c:pt idx="10">
                  <c:v>35</c:v>
                </c:pt>
                <c:pt idx="11">
                  <c:v>35</c:v>
                </c:pt>
              </c:numCache>
            </c:numRef>
          </c:val>
          <c:extLst>
            <c:ext xmlns:c16="http://schemas.microsoft.com/office/drawing/2014/chart" uri="{C3380CC4-5D6E-409C-BE32-E72D297353CC}">
              <c16:uniqueId val="{00000001-48A8-4EFA-81BB-36AA0F98AF76}"/>
            </c:ext>
          </c:extLst>
        </c:ser>
        <c:ser>
          <c:idx val="2"/>
          <c:order val="2"/>
          <c:tx>
            <c:strRef>
              <c:f>nominations_region_tf!$D$5:$D$6</c:f>
              <c:strCache>
                <c:ptCount val="1"/>
                <c:pt idx="0">
                  <c:v>EE</c:v>
                </c:pt>
              </c:strCache>
            </c:strRef>
          </c:tx>
          <c:spPr>
            <a:solidFill>
              <a:schemeClr val="accent3"/>
            </a:solidFill>
            <a:ln>
              <a:noFill/>
            </a:ln>
            <a:effectLst/>
          </c:spPr>
          <c:invertIfNegative val="0"/>
          <c:cat>
            <c:strRef>
              <c:f>nominations_region_tf!$A$7:$A$19</c:f>
              <c:strCache>
                <c:ptCount val="12"/>
                <c:pt idx="0">
                  <c:v>Building capacity (1st work programme)</c:v>
                </c:pt>
                <c:pt idx="1">
                  <c:v>Building capacity (2nd work programme)</c:v>
                </c:pt>
                <c:pt idx="2">
                  <c:v>Further work on scenarios and models (2nd work programme)</c:v>
                </c:pt>
                <c:pt idx="3">
                  <c:v>Guide for assessments</c:v>
                </c:pt>
                <c:pt idx="4">
                  <c:v>Indigenous and local knowledge systems (1st work programme)</c:v>
                </c:pt>
                <c:pt idx="5">
                  <c:v>Indigenous and local knowledge systems (2nd work programme)</c:v>
                </c:pt>
                <c:pt idx="6">
                  <c:v>Knowledge and data (1st work programme)</c:v>
                </c:pt>
                <c:pt idx="7">
                  <c:v>Knowledge and data (2nd work programme)</c:v>
                </c:pt>
                <c:pt idx="8">
                  <c:v>Policy support tools and methodologies (1st work programme)</c:v>
                </c:pt>
                <c:pt idx="9">
                  <c:v>Policy support tools and methodologies (2nd work programme)</c:v>
                </c:pt>
                <c:pt idx="10">
                  <c:v>Values expert group (1st work programme)</c:v>
                </c:pt>
                <c:pt idx="11">
                  <c:v>Workshop on modelling nature future scenarios</c:v>
                </c:pt>
              </c:strCache>
            </c:strRef>
          </c:cat>
          <c:val>
            <c:numRef>
              <c:f>nominations_region_tf!$D$7:$D$19</c:f>
              <c:numCache>
                <c:formatCode>General</c:formatCode>
                <c:ptCount val="12"/>
                <c:pt idx="0">
                  <c:v>4</c:v>
                </c:pt>
                <c:pt idx="1">
                  <c:v>4</c:v>
                </c:pt>
                <c:pt idx="2">
                  <c:v>15</c:v>
                </c:pt>
                <c:pt idx="3">
                  <c:v>1</c:v>
                </c:pt>
                <c:pt idx="4">
                  <c:v>5</c:v>
                </c:pt>
                <c:pt idx="5">
                  <c:v>5</c:v>
                </c:pt>
                <c:pt idx="6">
                  <c:v>2</c:v>
                </c:pt>
                <c:pt idx="7">
                  <c:v>3</c:v>
                </c:pt>
                <c:pt idx="8">
                  <c:v>4</c:v>
                </c:pt>
                <c:pt idx="9">
                  <c:v>3</c:v>
                </c:pt>
                <c:pt idx="10">
                  <c:v>15</c:v>
                </c:pt>
                <c:pt idx="11">
                  <c:v>13</c:v>
                </c:pt>
              </c:numCache>
            </c:numRef>
          </c:val>
          <c:extLst>
            <c:ext xmlns:c16="http://schemas.microsoft.com/office/drawing/2014/chart" uri="{C3380CC4-5D6E-409C-BE32-E72D297353CC}">
              <c16:uniqueId val="{00000002-48A8-4EFA-81BB-36AA0F98AF76}"/>
            </c:ext>
          </c:extLst>
        </c:ser>
        <c:ser>
          <c:idx val="3"/>
          <c:order val="3"/>
          <c:tx>
            <c:strRef>
              <c:f>nominations_region_tf!$E$5:$E$6</c:f>
              <c:strCache>
                <c:ptCount val="1"/>
                <c:pt idx="0">
                  <c:v>LAC</c:v>
                </c:pt>
              </c:strCache>
            </c:strRef>
          </c:tx>
          <c:spPr>
            <a:solidFill>
              <a:schemeClr val="accent4"/>
            </a:solidFill>
            <a:ln>
              <a:noFill/>
            </a:ln>
            <a:effectLst/>
          </c:spPr>
          <c:invertIfNegative val="0"/>
          <c:cat>
            <c:strRef>
              <c:f>nominations_region_tf!$A$7:$A$19</c:f>
              <c:strCache>
                <c:ptCount val="12"/>
                <c:pt idx="0">
                  <c:v>Building capacity (1st work programme)</c:v>
                </c:pt>
                <c:pt idx="1">
                  <c:v>Building capacity (2nd work programme)</c:v>
                </c:pt>
                <c:pt idx="2">
                  <c:v>Further work on scenarios and models (2nd work programme)</c:v>
                </c:pt>
                <c:pt idx="3">
                  <c:v>Guide for assessments</c:v>
                </c:pt>
                <c:pt idx="4">
                  <c:v>Indigenous and local knowledge systems (1st work programme)</c:v>
                </c:pt>
                <c:pt idx="5">
                  <c:v>Indigenous and local knowledge systems (2nd work programme)</c:v>
                </c:pt>
                <c:pt idx="6">
                  <c:v>Knowledge and data (1st work programme)</c:v>
                </c:pt>
                <c:pt idx="7">
                  <c:v>Knowledge and data (2nd work programme)</c:v>
                </c:pt>
                <c:pt idx="8">
                  <c:v>Policy support tools and methodologies (1st work programme)</c:v>
                </c:pt>
                <c:pt idx="9">
                  <c:v>Policy support tools and methodologies (2nd work programme)</c:v>
                </c:pt>
                <c:pt idx="10">
                  <c:v>Values expert group (1st work programme)</c:v>
                </c:pt>
                <c:pt idx="11">
                  <c:v>Workshop on modelling nature future scenarios</c:v>
                </c:pt>
              </c:strCache>
            </c:strRef>
          </c:cat>
          <c:val>
            <c:numRef>
              <c:f>nominations_region_tf!$E$7:$E$19</c:f>
              <c:numCache>
                <c:formatCode>General</c:formatCode>
                <c:ptCount val="12"/>
                <c:pt idx="0">
                  <c:v>19</c:v>
                </c:pt>
                <c:pt idx="1">
                  <c:v>6</c:v>
                </c:pt>
                <c:pt idx="2">
                  <c:v>23</c:v>
                </c:pt>
                <c:pt idx="3">
                  <c:v>19</c:v>
                </c:pt>
                <c:pt idx="4">
                  <c:v>19</c:v>
                </c:pt>
                <c:pt idx="5">
                  <c:v>9</c:v>
                </c:pt>
                <c:pt idx="6">
                  <c:v>15</c:v>
                </c:pt>
                <c:pt idx="7">
                  <c:v>7</c:v>
                </c:pt>
                <c:pt idx="8">
                  <c:v>19</c:v>
                </c:pt>
                <c:pt idx="9">
                  <c:v>11</c:v>
                </c:pt>
                <c:pt idx="10">
                  <c:v>29</c:v>
                </c:pt>
                <c:pt idx="11">
                  <c:v>27</c:v>
                </c:pt>
              </c:numCache>
            </c:numRef>
          </c:val>
          <c:extLst>
            <c:ext xmlns:c16="http://schemas.microsoft.com/office/drawing/2014/chart" uri="{C3380CC4-5D6E-409C-BE32-E72D297353CC}">
              <c16:uniqueId val="{00000003-48A8-4EFA-81BB-36AA0F98AF76}"/>
            </c:ext>
          </c:extLst>
        </c:ser>
        <c:ser>
          <c:idx val="4"/>
          <c:order val="4"/>
          <c:tx>
            <c:strRef>
              <c:f>nominations_region_tf!$F$5:$F$6</c:f>
              <c:strCache>
                <c:ptCount val="1"/>
                <c:pt idx="0">
                  <c:v>WEOG</c:v>
                </c:pt>
              </c:strCache>
            </c:strRef>
          </c:tx>
          <c:spPr>
            <a:solidFill>
              <a:schemeClr val="accent5"/>
            </a:solidFill>
            <a:ln>
              <a:noFill/>
            </a:ln>
            <a:effectLst/>
          </c:spPr>
          <c:invertIfNegative val="0"/>
          <c:cat>
            <c:strRef>
              <c:f>nominations_region_tf!$A$7:$A$19</c:f>
              <c:strCache>
                <c:ptCount val="12"/>
                <c:pt idx="0">
                  <c:v>Building capacity (1st work programme)</c:v>
                </c:pt>
                <c:pt idx="1">
                  <c:v>Building capacity (2nd work programme)</c:v>
                </c:pt>
                <c:pt idx="2">
                  <c:v>Further work on scenarios and models (2nd work programme)</c:v>
                </c:pt>
                <c:pt idx="3">
                  <c:v>Guide for assessments</c:v>
                </c:pt>
                <c:pt idx="4">
                  <c:v>Indigenous and local knowledge systems (1st work programme)</c:v>
                </c:pt>
                <c:pt idx="5">
                  <c:v>Indigenous and local knowledge systems (2nd work programme)</c:v>
                </c:pt>
                <c:pt idx="6">
                  <c:v>Knowledge and data (1st work programme)</c:v>
                </c:pt>
                <c:pt idx="7">
                  <c:v>Knowledge and data (2nd work programme)</c:v>
                </c:pt>
                <c:pt idx="8">
                  <c:v>Policy support tools and methodologies (1st work programme)</c:v>
                </c:pt>
                <c:pt idx="9">
                  <c:v>Policy support tools and methodologies (2nd work programme)</c:v>
                </c:pt>
                <c:pt idx="10">
                  <c:v>Values expert group (1st work programme)</c:v>
                </c:pt>
                <c:pt idx="11">
                  <c:v>Workshop on modelling nature future scenarios</c:v>
                </c:pt>
              </c:strCache>
            </c:strRef>
          </c:cat>
          <c:val>
            <c:numRef>
              <c:f>nominations_region_tf!$F$7:$F$19</c:f>
              <c:numCache>
                <c:formatCode>General</c:formatCode>
                <c:ptCount val="12"/>
                <c:pt idx="0">
                  <c:v>29</c:v>
                </c:pt>
                <c:pt idx="1">
                  <c:v>18</c:v>
                </c:pt>
                <c:pt idx="2">
                  <c:v>58</c:v>
                </c:pt>
                <c:pt idx="3">
                  <c:v>43</c:v>
                </c:pt>
                <c:pt idx="4">
                  <c:v>45</c:v>
                </c:pt>
                <c:pt idx="5">
                  <c:v>13</c:v>
                </c:pt>
                <c:pt idx="6">
                  <c:v>56</c:v>
                </c:pt>
                <c:pt idx="7">
                  <c:v>21</c:v>
                </c:pt>
                <c:pt idx="8">
                  <c:v>46</c:v>
                </c:pt>
                <c:pt idx="9">
                  <c:v>21</c:v>
                </c:pt>
                <c:pt idx="10">
                  <c:v>114</c:v>
                </c:pt>
                <c:pt idx="11">
                  <c:v>100</c:v>
                </c:pt>
              </c:numCache>
            </c:numRef>
          </c:val>
          <c:extLst>
            <c:ext xmlns:c16="http://schemas.microsoft.com/office/drawing/2014/chart" uri="{C3380CC4-5D6E-409C-BE32-E72D297353CC}">
              <c16:uniqueId val="{00000004-48A8-4EFA-81BB-36AA0F98AF76}"/>
            </c:ext>
          </c:extLst>
        </c:ser>
        <c:ser>
          <c:idx val="5"/>
          <c:order val="5"/>
          <c:tx>
            <c:strRef>
              <c:f>nominations_region_tf!$G$5:$G$6</c:f>
              <c:strCache>
                <c:ptCount val="1"/>
                <c:pt idx="0">
                  <c:v>(blank)</c:v>
                </c:pt>
              </c:strCache>
            </c:strRef>
          </c:tx>
          <c:spPr>
            <a:solidFill>
              <a:schemeClr val="accent6"/>
            </a:solidFill>
            <a:ln>
              <a:noFill/>
            </a:ln>
            <a:effectLst/>
          </c:spPr>
          <c:invertIfNegative val="0"/>
          <c:cat>
            <c:strRef>
              <c:f>nominations_region_tf!$A$7:$A$19</c:f>
              <c:strCache>
                <c:ptCount val="12"/>
                <c:pt idx="0">
                  <c:v>Building capacity (1st work programme)</c:v>
                </c:pt>
                <c:pt idx="1">
                  <c:v>Building capacity (2nd work programme)</c:v>
                </c:pt>
                <c:pt idx="2">
                  <c:v>Further work on scenarios and models (2nd work programme)</c:v>
                </c:pt>
                <c:pt idx="3">
                  <c:v>Guide for assessments</c:v>
                </c:pt>
                <c:pt idx="4">
                  <c:v>Indigenous and local knowledge systems (1st work programme)</c:v>
                </c:pt>
                <c:pt idx="5">
                  <c:v>Indigenous and local knowledge systems (2nd work programme)</c:v>
                </c:pt>
                <c:pt idx="6">
                  <c:v>Knowledge and data (1st work programme)</c:v>
                </c:pt>
                <c:pt idx="7">
                  <c:v>Knowledge and data (2nd work programme)</c:v>
                </c:pt>
                <c:pt idx="8">
                  <c:v>Policy support tools and methodologies (1st work programme)</c:v>
                </c:pt>
                <c:pt idx="9">
                  <c:v>Policy support tools and methodologies (2nd work programme)</c:v>
                </c:pt>
                <c:pt idx="10">
                  <c:v>Values expert group (1st work programme)</c:v>
                </c:pt>
                <c:pt idx="11">
                  <c:v>Workshop on modelling nature future scenarios</c:v>
                </c:pt>
              </c:strCache>
            </c:strRef>
          </c:cat>
          <c:val>
            <c:numRef>
              <c:f>nominations_region_tf!$G$7:$G$19</c:f>
              <c:numCache>
                <c:formatCode>General</c:formatCode>
                <c:ptCount val="12"/>
                <c:pt idx="10">
                  <c:v>1</c:v>
                </c:pt>
              </c:numCache>
            </c:numRef>
          </c:val>
          <c:extLst>
            <c:ext xmlns:c16="http://schemas.microsoft.com/office/drawing/2014/chart" uri="{C3380CC4-5D6E-409C-BE32-E72D297353CC}">
              <c16:uniqueId val="{00000005-48A8-4EFA-81BB-36AA0F98AF76}"/>
            </c:ext>
          </c:extLst>
        </c:ser>
        <c:dLbls>
          <c:showLegendKey val="0"/>
          <c:showVal val="0"/>
          <c:showCatName val="0"/>
          <c:showSerName val="0"/>
          <c:showPercent val="0"/>
          <c:showBubbleSize val="0"/>
        </c:dLbls>
        <c:gapWidth val="182"/>
        <c:axId val="1559480143"/>
        <c:axId val="1559474319"/>
      </c:barChart>
      <c:catAx>
        <c:axId val="1559480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559474319"/>
        <c:crosses val="autoZero"/>
        <c:auto val="1"/>
        <c:lblAlgn val="ctr"/>
        <c:lblOffset val="100"/>
        <c:noMultiLvlLbl val="0"/>
      </c:catAx>
      <c:valAx>
        <c:axId val="1559474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15594801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[review_nominations_pivot.xlsx]nominations_region_selected!PivotTable2</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dLblPos val="inEnd"/>
          <c:showLegendKey val="0"/>
          <c:showVal val="0"/>
          <c:showCatName val="1"/>
          <c:showSerName val="0"/>
          <c:showPercent val="1"/>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5"/>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outEnd"/>
          <c:showLegendKey val="0"/>
          <c:showVal val="0"/>
          <c:showCatName val="1"/>
          <c:showSerName val="0"/>
          <c:showPercent val="0"/>
          <c:showBubbleSize val="0"/>
          <c:extLst>
            <c:ext xmlns:c15="http://schemas.microsoft.com/office/drawing/2012/chart" uri="{CE6537A1-D6FC-4f65-9D91-7224C49458BB}">
              <c15:xForSave val="1"/>
            </c:ext>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2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3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extLst>
            <c:ext xmlns:c15="http://schemas.microsoft.com/office/drawing/2012/chart" uri="{CE6537A1-D6FC-4f65-9D91-7224C49458BB}"/>
          </c:extLst>
        </c:dLbl>
      </c:pivotFmt>
      <c:pivotFmt>
        <c:idx val="3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s>
    <c:plotArea>
      <c:layout/>
      <c:pieChart>
        <c:varyColors val="1"/>
        <c:ser>
          <c:idx val="0"/>
          <c:order val="0"/>
          <c:tx>
            <c:strRef>
              <c:f>nominations_region_selected!$B$5</c:f>
              <c:strCache>
                <c:ptCount val="1"/>
                <c:pt idx="0">
                  <c:v>Count of ID</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E2B-4BD7-A493-6A290F5493F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E2B-4BD7-A493-6A290F5493F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E2B-4BD7-A493-6A290F5493F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E2B-4BD7-A493-6A290F5493F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E2B-4BD7-A493-6A290F5493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nominations_region_selected!$A$6:$A$11</c:f>
              <c:strCache>
                <c:ptCount val="5"/>
                <c:pt idx="0">
                  <c:v>AF</c:v>
                </c:pt>
                <c:pt idx="1">
                  <c:v>AP</c:v>
                </c:pt>
                <c:pt idx="2">
                  <c:v>EE</c:v>
                </c:pt>
                <c:pt idx="3">
                  <c:v>LAC</c:v>
                </c:pt>
                <c:pt idx="4">
                  <c:v>WEOG</c:v>
                </c:pt>
              </c:strCache>
            </c:strRef>
          </c:cat>
          <c:val>
            <c:numRef>
              <c:f>nominations_region_selected!$B$6:$B$11</c:f>
              <c:numCache>
                <c:formatCode>General</c:formatCode>
                <c:ptCount val="5"/>
                <c:pt idx="0">
                  <c:v>223</c:v>
                </c:pt>
                <c:pt idx="1">
                  <c:v>298</c:v>
                </c:pt>
                <c:pt idx="2">
                  <c:v>130</c:v>
                </c:pt>
                <c:pt idx="3">
                  <c:v>270</c:v>
                </c:pt>
                <c:pt idx="4">
                  <c:v>559</c:v>
                </c:pt>
              </c:numCache>
            </c:numRef>
          </c:val>
          <c:extLst>
            <c:ext xmlns:c16="http://schemas.microsoft.com/office/drawing/2014/chart" uri="{C3380CC4-5D6E-409C-BE32-E72D297353CC}">
              <c16:uniqueId val="{0000000A-2E2B-4BD7-A493-6A290F5493FF}"/>
            </c:ext>
          </c:extLst>
        </c:ser>
        <c:ser>
          <c:idx val="1"/>
          <c:order val="1"/>
          <c:tx>
            <c:strRef>
              <c:f>nominations_region_selected!$C$5</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2E2B-4BD7-A493-6A290F5493F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E-2E2B-4BD7-A493-6A290F5493F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0-2E2B-4BD7-A493-6A290F5493F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2-2E2B-4BD7-A493-6A290F5493F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4-2E2B-4BD7-A493-6A290F5493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nominations_region_selected!$A$6:$A$11</c:f>
              <c:strCache>
                <c:ptCount val="5"/>
                <c:pt idx="0">
                  <c:v>AF</c:v>
                </c:pt>
                <c:pt idx="1">
                  <c:v>AP</c:v>
                </c:pt>
                <c:pt idx="2">
                  <c:v>EE</c:v>
                </c:pt>
                <c:pt idx="3">
                  <c:v>LAC</c:v>
                </c:pt>
                <c:pt idx="4">
                  <c:v>WEOG</c:v>
                </c:pt>
              </c:strCache>
            </c:strRef>
          </c:cat>
          <c:val>
            <c:numRef>
              <c:f>nominations_region_selected!$C$6:$C$11</c:f>
              <c:numCache>
                <c:formatCode>0%</c:formatCode>
                <c:ptCount val="5"/>
                <c:pt idx="0">
                  <c:v>0.15067567567567566</c:v>
                </c:pt>
                <c:pt idx="1">
                  <c:v>0.20135135135135135</c:v>
                </c:pt>
                <c:pt idx="2">
                  <c:v>8.7837837837837843E-2</c:v>
                </c:pt>
                <c:pt idx="3">
                  <c:v>0.18243243243243243</c:v>
                </c:pt>
                <c:pt idx="4">
                  <c:v>0.37770270270270268</c:v>
                </c:pt>
              </c:numCache>
            </c:numRef>
          </c:val>
          <c:extLst>
            <c:ext xmlns:c16="http://schemas.microsoft.com/office/drawing/2014/chart" uri="{C3380CC4-5D6E-409C-BE32-E72D297353CC}">
              <c16:uniqueId val="{00000015-2E2B-4BD7-A493-6A290F5493FF}"/>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nominations_region_initial!$B$27</c:f>
              <c:strCache>
                <c:ptCount val="1"/>
                <c:pt idx="0">
                  <c:v>selected</c:v>
                </c:pt>
              </c:strCache>
            </c:strRef>
          </c:tx>
          <c:spPr>
            <a:solidFill>
              <a:schemeClr val="accent1"/>
            </a:solidFill>
            <a:ln>
              <a:noFill/>
            </a:ln>
            <a:effectLst/>
          </c:spPr>
          <c:invertIfNegative val="0"/>
          <c:cat>
            <c:strRef>
              <c:f>nominations_region_initial!$A$28:$A$33</c:f>
              <c:strCache>
                <c:ptCount val="6"/>
                <c:pt idx="0">
                  <c:v>AF</c:v>
                </c:pt>
                <c:pt idx="1">
                  <c:v>AP</c:v>
                </c:pt>
                <c:pt idx="2">
                  <c:v>EE</c:v>
                </c:pt>
                <c:pt idx="3">
                  <c:v>LAC</c:v>
                </c:pt>
                <c:pt idx="4">
                  <c:v>WEOG</c:v>
                </c:pt>
                <c:pt idx="5">
                  <c:v>(blank)</c:v>
                </c:pt>
              </c:strCache>
            </c:strRef>
          </c:cat>
          <c:val>
            <c:numRef>
              <c:f>nominations_region_initial!$B$28:$B$33</c:f>
              <c:numCache>
                <c:formatCode>General</c:formatCode>
                <c:ptCount val="6"/>
                <c:pt idx="0">
                  <c:v>223</c:v>
                </c:pt>
                <c:pt idx="1">
                  <c:v>298</c:v>
                </c:pt>
                <c:pt idx="2">
                  <c:v>129</c:v>
                </c:pt>
                <c:pt idx="3">
                  <c:v>268</c:v>
                </c:pt>
                <c:pt idx="4">
                  <c:v>559</c:v>
                </c:pt>
              </c:numCache>
            </c:numRef>
          </c:val>
          <c:extLst>
            <c:ext xmlns:c16="http://schemas.microsoft.com/office/drawing/2014/chart" uri="{C3380CC4-5D6E-409C-BE32-E72D297353CC}">
              <c16:uniqueId val="{00000000-AB1F-426F-86FE-82E4A76CD932}"/>
            </c:ext>
          </c:extLst>
        </c:ser>
        <c:ser>
          <c:idx val="1"/>
          <c:order val="1"/>
          <c:tx>
            <c:strRef>
              <c:f>nominations_region_initial!$C$27</c:f>
              <c:strCache>
                <c:ptCount val="1"/>
                <c:pt idx="0">
                  <c:v>nominated</c:v>
                </c:pt>
              </c:strCache>
            </c:strRef>
          </c:tx>
          <c:spPr>
            <a:solidFill>
              <a:schemeClr val="accent2"/>
            </a:solidFill>
            <a:ln>
              <a:noFill/>
            </a:ln>
            <a:effectLst/>
          </c:spPr>
          <c:invertIfNegative val="0"/>
          <c:cat>
            <c:strRef>
              <c:f>nominations_region_initial!$A$28:$A$33</c:f>
              <c:strCache>
                <c:ptCount val="6"/>
                <c:pt idx="0">
                  <c:v>AF</c:v>
                </c:pt>
                <c:pt idx="1">
                  <c:v>AP</c:v>
                </c:pt>
                <c:pt idx="2">
                  <c:v>EE</c:v>
                </c:pt>
                <c:pt idx="3">
                  <c:v>LAC</c:v>
                </c:pt>
                <c:pt idx="4">
                  <c:v>WEOG</c:v>
                </c:pt>
                <c:pt idx="5">
                  <c:v>(blank)</c:v>
                </c:pt>
              </c:strCache>
            </c:strRef>
          </c:cat>
          <c:val>
            <c:numRef>
              <c:f>nominations_region_initial!$C$28:$C$33</c:f>
              <c:numCache>
                <c:formatCode>General</c:formatCode>
                <c:ptCount val="6"/>
                <c:pt idx="0">
                  <c:v>1022</c:v>
                </c:pt>
                <c:pt idx="1">
                  <c:v>1243</c:v>
                </c:pt>
                <c:pt idx="2">
                  <c:v>405</c:v>
                </c:pt>
                <c:pt idx="3">
                  <c:v>1025</c:v>
                </c:pt>
                <c:pt idx="4">
                  <c:v>2370</c:v>
                </c:pt>
                <c:pt idx="5">
                  <c:v>5</c:v>
                </c:pt>
              </c:numCache>
            </c:numRef>
          </c:val>
          <c:extLst>
            <c:ext xmlns:c16="http://schemas.microsoft.com/office/drawing/2014/chart" uri="{C3380CC4-5D6E-409C-BE32-E72D297353CC}">
              <c16:uniqueId val="{00000001-AB1F-426F-86FE-82E4A76CD932}"/>
            </c:ext>
          </c:extLst>
        </c:ser>
        <c:dLbls>
          <c:showLegendKey val="0"/>
          <c:showVal val="0"/>
          <c:showCatName val="0"/>
          <c:showSerName val="0"/>
          <c:showPercent val="0"/>
          <c:showBubbleSize val="0"/>
        </c:dLbls>
        <c:gapWidth val="219"/>
        <c:overlap val="-27"/>
        <c:axId val="593249504"/>
        <c:axId val="593246592"/>
      </c:barChart>
      <c:catAx>
        <c:axId val="59324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3246592"/>
        <c:crosses val="autoZero"/>
        <c:auto val="1"/>
        <c:lblAlgn val="ctr"/>
        <c:lblOffset val="100"/>
        <c:noMultiLvlLbl val="0"/>
      </c:catAx>
      <c:valAx>
        <c:axId val="59324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324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[review_nominations_pivot.xlsx]nominations_region (2)!PivotTable1</c:name>
    <c:fmtId val="-1"/>
  </c:pivotSource>
  <c:chart>
    <c:autoTitleDeleted val="1"/>
    <c:pivotFmts>
      <c:pivotFmt>
        <c:idx val="0"/>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'nominations_region (2)'!$B$4</c:f>
              <c:strCache>
                <c:ptCount val="1"/>
                <c:pt idx="0">
                  <c:v>Total</c:v>
                </c:pt>
              </c:strCache>
            </c:strRef>
          </c:tx>
          <c:spPr>
            <a:solidFill>
              <a:schemeClr val="accent1"/>
            </a:solidFill>
            <a:ln>
              <a:noFill/>
            </a:ln>
            <a:effectLst/>
          </c:spPr>
          <c:invertIfNegative val="0"/>
          <c:cat>
            <c:strRef>
              <c:f>'nominations_region (2)'!$A$5:$A$11</c:f>
              <c:strCache>
                <c:ptCount val="6"/>
                <c:pt idx="0">
                  <c:v>AF</c:v>
                </c:pt>
                <c:pt idx="1">
                  <c:v>AP</c:v>
                </c:pt>
                <c:pt idx="2">
                  <c:v>EE</c:v>
                </c:pt>
                <c:pt idx="3">
                  <c:v>LAC</c:v>
                </c:pt>
                <c:pt idx="4">
                  <c:v>WEOG</c:v>
                </c:pt>
                <c:pt idx="5">
                  <c:v>(blank)</c:v>
                </c:pt>
              </c:strCache>
            </c:strRef>
          </c:cat>
          <c:val>
            <c:numRef>
              <c:f>'nominations_region (2)'!$B$5:$B$11</c:f>
              <c:numCache>
                <c:formatCode>General</c:formatCode>
                <c:ptCount val="6"/>
                <c:pt idx="0">
                  <c:v>54</c:v>
                </c:pt>
                <c:pt idx="1">
                  <c:v>47</c:v>
                </c:pt>
                <c:pt idx="2">
                  <c:v>36</c:v>
                </c:pt>
                <c:pt idx="3">
                  <c:v>58</c:v>
                </c:pt>
                <c:pt idx="4">
                  <c:v>128</c:v>
                </c:pt>
                <c:pt idx="5">
                  <c:v>11</c:v>
                </c:pt>
              </c:numCache>
            </c:numRef>
          </c:val>
          <c:extLst>
            <c:ext xmlns:c16="http://schemas.microsoft.com/office/drawing/2014/chart" uri="{C3380CC4-5D6E-409C-BE32-E72D297353CC}">
              <c16:uniqueId val="{00000000-074A-42AD-A38C-C8E03A7A1EF7}"/>
            </c:ext>
          </c:extLst>
        </c:ser>
        <c:dLbls>
          <c:showLegendKey val="0"/>
          <c:showVal val="0"/>
          <c:showCatName val="0"/>
          <c:showSerName val="0"/>
          <c:showPercent val="0"/>
          <c:showBubbleSize val="0"/>
        </c:dLbls>
        <c:gapWidth val="150"/>
        <c:axId val="599588015"/>
        <c:axId val="599579695"/>
      </c:barChart>
      <c:catAx>
        <c:axId val="5995880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9579695"/>
        <c:crosses val="autoZero"/>
        <c:auto val="1"/>
        <c:lblAlgn val="ctr"/>
        <c:lblOffset val="100"/>
        <c:noMultiLvlLbl val="0"/>
      </c:catAx>
      <c:valAx>
        <c:axId val="599579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958801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4F67B7A9-6DCB-4383-B3C3-5FFE78255221}">
    <t:Anchor>
      <t:Comment id="152184015"/>
    </t:Anchor>
    <t:History>
      <t:Event id="{D195ACB1-8C5D-4CB8-8E03-7315DFBD8CD1}" time="2022-05-08T08:07:36Z">
        <t:Attribution userId="S::simone.schiele@un.org::20ec64da-7ade-4c63-beb3-7e6dec1c1d91" userProvider="AD" userName="Simone Schiele"/>
        <t:Anchor>
          <t:Comment id="152184015"/>
        </t:Anchor>
        <t:Create/>
      </t:Event>
      <t:Event id="{F27070B3-65D7-4CA4-A2F7-19F714E79D3A}" time="2022-05-08T08:07:36Z">
        <t:Attribution userId="S::simone.schiele@un.org::20ec64da-7ade-4c63-beb3-7e6dec1c1d91" userProvider="AD" userName="Simone Schiele"/>
        <t:Anchor>
          <t:Comment id="152184015"/>
        </t:Anchor>
        <t:Assign userId="S::benedict.omare@un.org::2df6e400-f9f8-4b57-a1d4-9be22fad8495" userProvider="AD" userName="Benedict Aboki Omare"/>
      </t:Event>
      <t:Event id="{5A60BD1A-66F6-4E4B-99AE-28CA1C7E78DC}" time="2022-05-08T08:07:36Z">
        <t:Attribution userId="S::simone.schiele@un.org::20ec64da-7ade-4c63-beb3-7e6dec1c1d91" userProvider="AD" userName="Simone Schiele"/>
        <t:Anchor>
          <t:Comment id="152184015"/>
        </t:Anchor>
        <t:SetTitle title="@Benedict Aboki Omare Please update all numbers with the latest, including the nexus and tfc experts.  Please also include the additional analyses requested by Shizuka and Marie.  Could you double-check your notes to make sure there were no othe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591afa8-fd54-42f1-9ea9-749d51e1c00b">
      <UserInfo>
        <DisplayName>Simone Schiele</DisplayName>
        <AccountId>30</AccountId>
        <AccountType/>
      </UserInfo>
    </SharedWithUsers>
  </documentManagement>
</p:properties>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1A5F4616-80AD-42D6-9BC0-163C314D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AC2D6-5778-45DC-93BE-28E633C38B1A}">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 ds:uri="a591afa8-fd54-42f1-9ea9-749d51e1c00b"/>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2022-07-01T13:44:00Z</dcterms:created>
  <dcterms:modified xsi:type="dcterms:W3CDTF">2022-07-01T13:44:00Z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y fmtid="{D5CDD505-2E9C-101B-9397-08002B2CF9AE}" pid="3" name="MediaServiceImageTags">
    <vt:lpwstr/>
  </property>
</Properties>
</file>