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852"/>
        <w:bidiVisual/>
        <w:tblW w:w="5000" w:type="pct"/>
        <w:tblLayout w:type="fixed"/>
        <w:tblLook w:val="0000" w:firstRow="0" w:lastRow="0" w:firstColumn="0" w:lastColumn="0" w:noHBand="0" w:noVBand="0"/>
      </w:tblPr>
      <w:tblGrid>
        <w:gridCol w:w="1503"/>
        <w:gridCol w:w="817"/>
        <w:gridCol w:w="4714"/>
        <w:gridCol w:w="703"/>
        <w:gridCol w:w="1760"/>
      </w:tblGrid>
      <w:tr w:rsidR="00606AC6" w:rsidRPr="009A55B3" w14:paraId="5A5B2AC7" w14:textId="77777777" w:rsidTr="009C7AC4">
        <w:trPr>
          <w:cantSplit/>
          <w:trHeight w:val="1079"/>
        </w:trPr>
        <w:tc>
          <w:tcPr>
            <w:tcW w:w="1515" w:type="dxa"/>
          </w:tcPr>
          <w:p w14:paraId="51432495" w14:textId="77777777" w:rsidR="00606AC6" w:rsidRPr="00F83111" w:rsidRDefault="00606AC6" w:rsidP="009C7AC4">
            <w:pPr>
              <w:spacing w:before="40" w:line="480" w:lineRule="exact"/>
              <w:jc w:val="both"/>
              <w:rPr>
                <w:rFonts w:ascii="Simplified Arabic" w:hAnsi="Simplified Arabic"/>
                <w:b/>
                <w:bCs/>
                <w:sz w:val="44"/>
                <w:szCs w:val="44"/>
              </w:rPr>
            </w:pPr>
            <w:r w:rsidRPr="00F83111">
              <w:rPr>
                <w:rFonts w:ascii="Simplified Arabic" w:hAnsi="Simplified Arabic"/>
                <w:b/>
                <w:bCs/>
                <w:sz w:val="44"/>
                <w:szCs w:val="44"/>
                <w:rtl/>
              </w:rPr>
              <w:t>الأمم المتحدة</w:t>
            </w:r>
          </w:p>
        </w:tc>
        <w:tc>
          <w:tcPr>
            <w:tcW w:w="6292" w:type="dxa"/>
            <w:gridSpan w:val="3"/>
            <w:tcBorders>
              <w:left w:val="nil"/>
            </w:tcBorders>
          </w:tcPr>
          <w:p w14:paraId="17DF4079" w14:textId="77777777" w:rsidR="00606AC6" w:rsidRPr="009A55B3" w:rsidRDefault="00606AC6" w:rsidP="009C7AC4">
            <w:pPr>
              <w:rPr>
                <w:sz w:val="6"/>
                <w:szCs w:val="6"/>
              </w:rPr>
            </w:pPr>
            <w:r>
              <w:rPr>
                <w:noProof/>
              </w:rPr>
              <w:drawing>
                <wp:anchor distT="0" distB="0" distL="114300" distR="114300" simplePos="0" relativeHeight="251661312" behindDoc="1" locked="0" layoutInCell="1" allowOverlap="1" wp14:anchorId="76850163" wp14:editId="339CD276">
                  <wp:simplePos x="0" y="0"/>
                  <wp:positionH relativeFrom="column">
                    <wp:posOffset>-52692</wp:posOffset>
                  </wp:positionH>
                  <wp:positionV relativeFrom="paragraph">
                    <wp:posOffset>53340</wp:posOffset>
                  </wp:positionV>
                  <wp:extent cx="3815277" cy="5504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75" w:type="dxa"/>
          </w:tcPr>
          <w:p w14:paraId="6AB91B5A" w14:textId="77777777" w:rsidR="00606AC6" w:rsidRPr="00606AC6" w:rsidRDefault="00606AC6" w:rsidP="009C7AC4">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9C7AC4">
        <w:trPr>
          <w:cantSplit/>
          <w:trHeight w:val="282"/>
        </w:trPr>
        <w:tc>
          <w:tcPr>
            <w:tcW w:w="1515" w:type="dxa"/>
            <w:tcBorders>
              <w:bottom w:val="single" w:sz="2" w:space="0" w:color="auto"/>
            </w:tcBorders>
          </w:tcPr>
          <w:p w14:paraId="62EDE349" w14:textId="77777777" w:rsidR="00FE4A4D" w:rsidRPr="009A55B3" w:rsidRDefault="00FE4A4D" w:rsidP="009C7AC4">
            <w:pPr>
              <w:jc w:val="both"/>
              <w:rPr>
                <w:sz w:val="6"/>
                <w:szCs w:val="6"/>
              </w:rPr>
            </w:pPr>
          </w:p>
        </w:tc>
        <w:tc>
          <w:tcPr>
            <w:tcW w:w="5582" w:type="dxa"/>
            <w:gridSpan w:val="2"/>
            <w:tcBorders>
              <w:bottom w:val="single" w:sz="2" w:space="0" w:color="auto"/>
            </w:tcBorders>
          </w:tcPr>
          <w:p w14:paraId="5B354029" w14:textId="77777777" w:rsidR="00FE4A4D" w:rsidRPr="009A55B3" w:rsidRDefault="00FE4A4D" w:rsidP="009C7AC4">
            <w:pPr>
              <w:rPr>
                <w:rFonts w:ascii="Univers" w:hAnsi="Univers"/>
                <w:b/>
                <w:sz w:val="6"/>
                <w:szCs w:val="6"/>
              </w:rPr>
            </w:pPr>
          </w:p>
        </w:tc>
        <w:tc>
          <w:tcPr>
            <w:tcW w:w="2485" w:type="dxa"/>
            <w:gridSpan w:val="2"/>
            <w:tcBorders>
              <w:bottom w:val="single" w:sz="2" w:space="0" w:color="auto"/>
            </w:tcBorders>
          </w:tcPr>
          <w:p w14:paraId="24EB3A2A" w14:textId="3AA58BDA" w:rsidR="00FE4A4D" w:rsidRPr="00952665" w:rsidRDefault="00FE4A4D" w:rsidP="009C7AC4">
            <w:pPr>
              <w:bidi w:val="0"/>
              <w:jc w:val="both"/>
              <w:rPr>
                <w:b/>
                <w:sz w:val="24"/>
                <w:szCs w:val="24"/>
              </w:rPr>
            </w:pPr>
            <w:r w:rsidRPr="00F83111">
              <w:rPr>
                <w:b/>
                <w:sz w:val="28"/>
              </w:rPr>
              <w:t>IPBES</w:t>
            </w:r>
            <w:r w:rsidRPr="007226C6">
              <w:rPr>
                <w:sz w:val="20"/>
                <w:szCs w:val="20"/>
              </w:rPr>
              <w:t>/</w:t>
            </w:r>
            <w:r w:rsidR="00A620F5">
              <w:rPr>
                <w:sz w:val="20"/>
                <w:szCs w:val="20"/>
              </w:rPr>
              <w:t>9</w:t>
            </w:r>
            <w:r w:rsidRPr="008B1BBE">
              <w:rPr>
                <w:rFonts w:cs="Times New Roman"/>
                <w:sz w:val="20"/>
                <w:szCs w:val="20"/>
              </w:rPr>
              <w:t>/</w:t>
            </w:r>
            <w:r w:rsidR="00A620F5">
              <w:rPr>
                <w:rFonts w:cs="Times New Roman"/>
                <w:sz w:val="20"/>
                <w:szCs w:val="20"/>
              </w:rPr>
              <w:t>3</w:t>
            </w:r>
          </w:p>
        </w:tc>
      </w:tr>
      <w:tr w:rsidR="00FE4A4D" w:rsidRPr="009A55B3" w14:paraId="68251710" w14:textId="77777777" w:rsidTr="009C7AC4">
        <w:trPr>
          <w:cantSplit/>
          <w:trHeight w:val="2277"/>
        </w:trPr>
        <w:tc>
          <w:tcPr>
            <w:tcW w:w="2340" w:type="dxa"/>
            <w:gridSpan w:val="2"/>
            <w:tcBorders>
              <w:top w:val="single" w:sz="2" w:space="0" w:color="auto"/>
              <w:bottom w:val="single" w:sz="24" w:space="0" w:color="auto"/>
            </w:tcBorders>
            <w:vAlign w:val="center"/>
          </w:tcPr>
          <w:p w14:paraId="33565F27" w14:textId="77777777" w:rsidR="00FE4A4D" w:rsidRPr="009A55B3" w:rsidRDefault="00FE4A4D" w:rsidP="009C7AC4">
            <w:pPr>
              <w:bidi w:val="0"/>
              <w:spacing w:before="240" w:after="240"/>
              <w:jc w:val="right"/>
              <w:rPr>
                <w:rFonts w:ascii="Arial" w:hAnsi="Arial" w:cs="Arial"/>
                <w:b/>
                <w:sz w:val="10"/>
                <w:szCs w:val="10"/>
              </w:rPr>
            </w:pPr>
            <w:r>
              <w:rPr>
                <w:rFonts w:ascii="Arial" w:hAnsi="Arial" w:cs="Arial"/>
                <w:b/>
                <w:noProof/>
                <w:sz w:val="28"/>
              </w:rPr>
              <w:drawing>
                <wp:anchor distT="0" distB="0" distL="114300" distR="114300" simplePos="0" relativeHeight="251662336" behindDoc="1" locked="0" layoutInCell="1" allowOverlap="1" wp14:anchorId="478A1080" wp14:editId="7FD889DB">
                  <wp:simplePos x="0" y="0"/>
                  <wp:positionH relativeFrom="column">
                    <wp:posOffset>334010</wp:posOffset>
                  </wp:positionH>
                  <wp:positionV relativeFrom="paragraph">
                    <wp:posOffset>-440690</wp:posOffset>
                  </wp:positionV>
                  <wp:extent cx="1083945" cy="50800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7" w:type="dxa"/>
            <w:tcBorders>
              <w:top w:val="single" w:sz="2" w:space="0" w:color="auto"/>
              <w:bottom w:val="single" w:sz="24" w:space="0" w:color="auto"/>
            </w:tcBorders>
          </w:tcPr>
          <w:p w14:paraId="138D38E8" w14:textId="77777777" w:rsidR="00FE4A4D" w:rsidRPr="008565DE" w:rsidRDefault="00FE4A4D" w:rsidP="009C7AC4">
            <w:pPr>
              <w:spacing w:after="120" w:line="580" w:lineRule="exact"/>
              <w:ind w:right="125"/>
              <w:jc w:val="both"/>
              <w:rPr>
                <w:rFonts w:ascii="Simplified Arabic" w:hAnsi="Simplified Arabic"/>
                <w:b/>
                <w:bCs/>
                <w:sz w:val="34"/>
                <w:szCs w:val="34"/>
                <w:rtl/>
              </w:rPr>
            </w:pPr>
            <w:r w:rsidRPr="008565DE">
              <w:rPr>
                <w:rFonts w:ascii="Simplified Arabic" w:hAnsi="Simplified Arabic"/>
                <w:b/>
                <w:bCs/>
                <w:sz w:val="34"/>
                <w:szCs w:val="34"/>
                <w:rtl/>
              </w:rPr>
              <w:t>المنبر الحكومي الدولي للعلوم والسياسات في مجال التنوع البيولوجي وخدمات النظم الإيكولوجية</w:t>
            </w:r>
          </w:p>
        </w:tc>
        <w:tc>
          <w:tcPr>
            <w:tcW w:w="2485" w:type="dxa"/>
            <w:gridSpan w:val="2"/>
            <w:tcBorders>
              <w:top w:val="single" w:sz="2" w:space="0" w:color="auto"/>
              <w:bottom w:val="single" w:sz="24" w:space="0" w:color="auto"/>
            </w:tcBorders>
          </w:tcPr>
          <w:p w14:paraId="2BCCD8AD" w14:textId="5D5FA0BF" w:rsidR="00FE4A4D" w:rsidRPr="007226C6" w:rsidRDefault="00FE4A4D" w:rsidP="009C7AC4">
            <w:pPr>
              <w:bidi w:val="0"/>
              <w:spacing w:before="200"/>
              <w:rPr>
                <w:sz w:val="20"/>
                <w:szCs w:val="20"/>
              </w:rPr>
            </w:pPr>
            <w:r w:rsidRPr="007226C6">
              <w:rPr>
                <w:sz w:val="20"/>
                <w:szCs w:val="20"/>
              </w:rPr>
              <w:t xml:space="preserve">Distr.: </w:t>
            </w:r>
            <w:r w:rsidR="00A620F5">
              <w:rPr>
                <w:sz w:val="20"/>
                <w:szCs w:val="20"/>
              </w:rPr>
              <w:t>General</w:t>
            </w:r>
          </w:p>
          <w:p w14:paraId="6CA127C2" w14:textId="1B69D1DF" w:rsidR="00FE4A4D" w:rsidRPr="00952665" w:rsidRDefault="00A620F5" w:rsidP="009C7AC4">
            <w:pPr>
              <w:bidi w:val="0"/>
              <w:spacing w:after="120"/>
              <w:rPr>
                <w:sz w:val="20"/>
                <w:szCs w:val="20"/>
                <w:lang w:val="en-GB"/>
              </w:rPr>
            </w:pPr>
            <w:r>
              <w:rPr>
                <w:sz w:val="20"/>
                <w:szCs w:val="20"/>
              </w:rPr>
              <w:t>29</w:t>
            </w:r>
            <w:r w:rsidR="00952665">
              <w:rPr>
                <w:sz w:val="20"/>
                <w:szCs w:val="20"/>
              </w:rPr>
              <w:t xml:space="preserve"> </w:t>
            </w:r>
            <w:r>
              <w:rPr>
                <w:sz w:val="20"/>
                <w:szCs w:val="20"/>
              </w:rPr>
              <w:t>March</w:t>
            </w:r>
            <w:r w:rsidR="00952665">
              <w:rPr>
                <w:sz w:val="20"/>
                <w:szCs w:val="20"/>
              </w:rPr>
              <w:t xml:space="preserve"> </w:t>
            </w:r>
            <w:r w:rsidR="00952665" w:rsidRPr="007226C6">
              <w:rPr>
                <w:sz w:val="20"/>
                <w:szCs w:val="20"/>
              </w:rPr>
              <w:t>20</w:t>
            </w:r>
            <w:r w:rsidR="00D36352">
              <w:rPr>
                <w:sz w:val="20"/>
                <w:szCs w:val="20"/>
              </w:rPr>
              <w:t>2</w:t>
            </w:r>
            <w:r>
              <w:rPr>
                <w:sz w:val="20"/>
                <w:szCs w:val="20"/>
              </w:rPr>
              <w:t>2</w:t>
            </w:r>
          </w:p>
          <w:p w14:paraId="7D7F1F2E" w14:textId="77777777" w:rsidR="00FE4A4D" w:rsidRPr="00CD1B5D" w:rsidRDefault="00FE4A4D" w:rsidP="009C7AC4">
            <w:pPr>
              <w:bidi w:val="0"/>
              <w:spacing w:before="120"/>
              <w:rPr>
                <w:sz w:val="20"/>
                <w:szCs w:val="20"/>
              </w:rPr>
            </w:pPr>
            <w:r w:rsidRPr="00CD1B5D">
              <w:rPr>
                <w:sz w:val="20"/>
                <w:szCs w:val="20"/>
              </w:rPr>
              <w:t>Arabic</w:t>
            </w:r>
          </w:p>
          <w:p w14:paraId="10DC2286" w14:textId="77777777" w:rsidR="00FE4A4D" w:rsidRPr="00A13843" w:rsidRDefault="00FE4A4D" w:rsidP="009C7AC4">
            <w:pPr>
              <w:bidi w:val="0"/>
              <w:spacing w:after="120"/>
            </w:pPr>
            <w:r w:rsidRPr="00CD1B5D">
              <w:rPr>
                <w:sz w:val="20"/>
                <w:szCs w:val="20"/>
              </w:rPr>
              <w:t>Original: English</w:t>
            </w:r>
          </w:p>
        </w:tc>
      </w:tr>
    </w:tbl>
    <w:p w14:paraId="0AF44C63" w14:textId="67E50308" w:rsidR="005E5BC8" w:rsidRPr="008565DE" w:rsidRDefault="005E5BC8" w:rsidP="00894659">
      <w:pPr>
        <w:spacing w:before="20" w:line="340" w:lineRule="exact"/>
        <w:ind w:right="5954"/>
        <w:jc w:val="both"/>
        <w:rPr>
          <w:rFonts w:ascii="Simplified Arabic" w:hAnsi="Simplified Arabic"/>
          <w:b/>
          <w:bCs/>
          <w:sz w:val="24"/>
          <w:szCs w:val="24"/>
          <w:rtl/>
        </w:rPr>
      </w:pPr>
      <w:r w:rsidRPr="008565DE">
        <w:rPr>
          <w:rFonts w:ascii="Simplified Arabic" w:hAnsi="Simplified Arabic" w:hint="cs"/>
          <w:b/>
          <w:bCs/>
          <w:sz w:val="24"/>
          <w:szCs w:val="24"/>
          <w:rtl/>
        </w:rPr>
        <w:t>الاج</w:t>
      </w:r>
      <w:r w:rsidR="00F97A79">
        <w:rPr>
          <w:rFonts w:ascii="Simplified Arabic" w:hAnsi="Simplified Arabic" w:hint="cs"/>
          <w:b/>
          <w:bCs/>
          <w:sz w:val="24"/>
          <w:szCs w:val="24"/>
          <w:rtl/>
        </w:rPr>
        <w:t>ــ</w:t>
      </w:r>
      <w:r w:rsidRPr="008565DE">
        <w:rPr>
          <w:rFonts w:ascii="Simplified Arabic" w:hAnsi="Simplified Arabic" w:hint="cs"/>
          <w:b/>
          <w:bCs/>
          <w:sz w:val="24"/>
          <w:szCs w:val="24"/>
          <w:rtl/>
        </w:rPr>
        <w:t>ت</w:t>
      </w:r>
      <w:r w:rsidR="00174564">
        <w:rPr>
          <w:rFonts w:ascii="Simplified Arabic" w:hAnsi="Simplified Arabic" w:hint="cs"/>
          <w:b/>
          <w:bCs/>
          <w:sz w:val="24"/>
          <w:szCs w:val="24"/>
          <w:rtl/>
        </w:rPr>
        <w:t>ـ</w:t>
      </w:r>
      <w:r w:rsidRPr="008565DE">
        <w:rPr>
          <w:rFonts w:ascii="Simplified Arabic" w:hAnsi="Simplified Arabic" w:hint="cs"/>
          <w:b/>
          <w:bCs/>
          <w:sz w:val="24"/>
          <w:szCs w:val="24"/>
          <w:rtl/>
        </w:rPr>
        <w:t>ماع العام للم</w:t>
      </w:r>
      <w:r w:rsidR="00174564">
        <w:rPr>
          <w:rFonts w:ascii="Simplified Arabic" w:hAnsi="Simplified Arabic" w:hint="cs"/>
          <w:b/>
          <w:bCs/>
          <w:sz w:val="24"/>
          <w:szCs w:val="24"/>
          <w:rtl/>
        </w:rPr>
        <w:t>ـ</w:t>
      </w:r>
      <w:r w:rsidRPr="008565DE">
        <w:rPr>
          <w:rFonts w:ascii="Simplified Arabic" w:hAnsi="Simplified Arabic" w:hint="cs"/>
          <w:b/>
          <w:bCs/>
          <w:sz w:val="24"/>
          <w:szCs w:val="24"/>
          <w:rtl/>
        </w:rPr>
        <w:t>ن</w:t>
      </w:r>
      <w:r w:rsidR="00174564">
        <w:rPr>
          <w:rFonts w:ascii="Simplified Arabic" w:hAnsi="Simplified Arabic" w:hint="cs"/>
          <w:b/>
          <w:bCs/>
          <w:sz w:val="24"/>
          <w:szCs w:val="24"/>
          <w:rtl/>
        </w:rPr>
        <w:t>ـ</w:t>
      </w:r>
      <w:r w:rsidRPr="008565DE">
        <w:rPr>
          <w:rFonts w:ascii="Simplified Arabic" w:hAnsi="Simplified Arabic" w:hint="cs"/>
          <w:b/>
          <w:bCs/>
          <w:sz w:val="24"/>
          <w:szCs w:val="24"/>
          <w:rtl/>
        </w:rPr>
        <w:t>ب</w:t>
      </w:r>
      <w:r w:rsidR="00F97A79">
        <w:rPr>
          <w:rFonts w:ascii="Simplified Arabic" w:hAnsi="Simplified Arabic" w:hint="cs"/>
          <w:b/>
          <w:bCs/>
          <w:sz w:val="24"/>
          <w:szCs w:val="24"/>
          <w:rtl/>
        </w:rPr>
        <w:t>ـ</w:t>
      </w:r>
      <w:r w:rsidRPr="008565DE">
        <w:rPr>
          <w:rFonts w:ascii="Simplified Arabic" w:hAnsi="Simplified Arabic" w:hint="cs"/>
          <w:b/>
          <w:bCs/>
          <w:sz w:val="24"/>
          <w:szCs w:val="24"/>
          <w:rtl/>
        </w:rPr>
        <w:t>ر الحك</w:t>
      </w:r>
      <w:r w:rsidR="00174564">
        <w:rPr>
          <w:rFonts w:ascii="Simplified Arabic" w:hAnsi="Simplified Arabic" w:hint="cs"/>
          <w:b/>
          <w:bCs/>
          <w:sz w:val="24"/>
          <w:szCs w:val="24"/>
          <w:rtl/>
        </w:rPr>
        <w:t>ـ</w:t>
      </w:r>
      <w:r w:rsidRPr="008565DE">
        <w:rPr>
          <w:rFonts w:ascii="Simplified Arabic" w:hAnsi="Simplified Arabic" w:hint="cs"/>
          <w:b/>
          <w:bCs/>
          <w:sz w:val="24"/>
          <w:szCs w:val="24"/>
          <w:rtl/>
        </w:rPr>
        <w:t>ومي الدولي للع</w:t>
      </w:r>
      <w:r w:rsidR="00174564">
        <w:rPr>
          <w:rFonts w:ascii="Simplified Arabic" w:hAnsi="Simplified Arabic" w:hint="cs"/>
          <w:b/>
          <w:bCs/>
          <w:sz w:val="24"/>
          <w:szCs w:val="24"/>
          <w:rtl/>
        </w:rPr>
        <w:t>ــ</w:t>
      </w:r>
      <w:r w:rsidRPr="008565DE">
        <w:rPr>
          <w:rFonts w:ascii="Simplified Arabic" w:hAnsi="Simplified Arabic" w:hint="cs"/>
          <w:b/>
          <w:bCs/>
          <w:sz w:val="24"/>
          <w:szCs w:val="24"/>
          <w:rtl/>
        </w:rPr>
        <w:t>لوم والسياسات في مجال التنوع البيولوجي وخدمات النظم الإيكولوجي</w:t>
      </w:r>
      <w:r w:rsidR="00A40A42">
        <w:rPr>
          <w:rFonts w:ascii="Simplified Arabic" w:hAnsi="Simplified Arabic" w:hint="cs"/>
          <w:b/>
          <w:bCs/>
          <w:sz w:val="24"/>
          <w:szCs w:val="24"/>
          <w:rtl/>
        </w:rPr>
        <w:t>ة</w:t>
      </w:r>
    </w:p>
    <w:p w14:paraId="71F2BD57" w14:textId="24BABD0D" w:rsidR="008A6A43" w:rsidRPr="008565DE" w:rsidRDefault="005E5BC8" w:rsidP="00894659">
      <w:pPr>
        <w:spacing w:line="340" w:lineRule="exact"/>
        <w:ind w:right="5954"/>
        <w:jc w:val="both"/>
        <w:rPr>
          <w:rFonts w:ascii="Simplified Arabic" w:hAnsi="Simplified Arabic"/>
          <w:b/>
          <w:bCs/>
          <w:sz w:val="24"/>
          <w:szCs w:val="24"/>
          <w:rtl/>
        </w:rPr>
      </w:pPr>
      <w:r w:rsidRPr="008565DE">
        <w:rPr>
          <w:rFonts w:ascii="Simplified Arabic" w:hAnsi="Simplified Arabic" w:hint="cs"/>
          <w:b/>
          <w:bCs/>
          <w:sz w:val="24"/>
          <w:szCs w:val="24"/>
          <w:rtl/>
        </w:rPr>
        <w:t>الدورة ال</w:t>
      </w:r>
      <w:r w:rsidR="008522E8">
        <w:rPr>
          <w:rFonts w:ascii="Simplified Arabic" w:hAnsi="Simplified Arabic" w:hint="cs"/>
          <w:b/>
          <w:bCs/>
          <w:sz w:val="24"/>
          <w:szCs w:val="24"/>
          <w:rtl/>
        </w:rPr>
        <w:t>تا</w:t>
      </w:r>
      <w:r w:rsidR="000B3617">
        <w:rPr>
          <w:rFonts w:ascii="Simplified Arabic" w:hAnsi="Simplified Arabic" w:hint="cs"/>
          <w:b/>
          <w:bCs/>
          <w:sz w:val="24"/>
          <w:szCs w:val="24"/>
          <w:rtl/>
        </w:rPr>
        <w:t>سعة</w:t>
      </w:r>
    </w:p>
    <w:p w14:paraId="5E08A0ED" w14:textId="4FF91AD4" w:rsidR="00195098" w:rsidRPr="008565DE" w:rsidRDefault="000B3617" w:rsidP="00663810">
      <w:pPr>
        <w:spacing w:line="320" w:lineRule="exact"/>
        <w:jc w:val="both"/>
        <w:rPr>
          <w:rFonts w:ascii="Simplified Arabic" w:hAnsi="Simplified Arabic"/>
          <w:sz w:val="24"/>
          <w:szCs w:val="24"/>
          <w:rtl/>
        </w:rPr>
      </w:pPr>
      <w:r>
        <w:rPr>
          <w:rFonts w:ascii="Simplified Arabic" w:hAnsi="Simplified Arabic" w:hint="cs"/>
          <w:sz w:val="24"/>
          <w:szCs w:val="24"/>
          <w:rtl/>
        </w:rPr>
        <w:t>بون، ألمانيا، 3-9 تموز/يوليه 2022</w:t>
      </w:r>
    </w:p>
    <w:p w14:paraId="0C1282BC" w14:textId="6855F7F6" w:rsidR="00195098" w:rsidRPr="008565DE" w:rsidRDefault="00195098" w:rsidP="00663810">
      <w:pPr>
        <w:spacing w:line="320" w:lineRule="exact"/>
        <w:jc w:val="both"/>
        <w:rPr>
          <w:rFonts w:ascii="Simplified Arabic" w:hAnsi="Simplified Arabic"/>
          <w:sz w:val="24"/>
          <w:szCs w:val="24"/>
          <w:rtl/>
        </w:rPr>
      </w:pPr>
      <w:r w:rsidRPr="008565DE">
        <w:rPr>
          <w:rFonts w:ascii="Simplified Arabic" w:hAnsi="Simplified Arabic" w:hint="cs"/>
          <w:sz w:val="24"/>
          <w:szCs w:val="24"/>
          <w:rtl/>
        </w:rPr>
        <w:t xml:space="preserve">البند </w:t>
      </w:r>
      <w:r w:rsidR="000B3617">
        <w:rPr>
          <w:rFonts w:ascii="Simplified Arabic" w:hAnsi="Simplified Arabic" w:hint="cs"/>
          <w:sz w:val="24"/>
          <w:szCs w:val="24"/>
          <w:rtl/>
        </w:rPr>
        <w:t>3</w:t>
      </w:r>
      <w:r w:rsidRPr="008565DE">
        <w:rPr>
          <w:rFonts w:ascii="Simplified Arabic" w:hAnsi="Simplified Arabic" w:hint="cs"/>
          <w:sz w:val="24"/>
          <w:szCs w:val="24"/>
          <w:rtl/>
        </w:rPr>
        <w:t xml:space="preserve"> من جدول الأعمال</w:t>
      </w:r>
      <w:r w:rsidR="000B3617">
        <w:rPr>
          <w:rFonts w:ascii="Simplified Arabic" w:hAnsi="Simplified Arabic" w:hint="cs"/>
          <w:sz w:val="24"/>
          <w:szCs w:val="24"/>
          <w:rtl/>
        </w:rPr>
        <w:t xml:space="preserve"> المؤقت</w:t>
      </w:r>
      <w:r w:rsidR="000B3617" w:rsidRPr="00D44136">
        <w:rPr>
          <w:rStyle w:val="FootnoteReference"/>
          <w:rFonts w:asciiTheme="majorBidi" w:hAnsiTheme="majorBidi" w:cstheme="majorBidi"/>
          <w:sz w:val="28"/>
          <w:rtl/>
        </w:rPr>
        <w:footnoteReference w:customMarkFollows="1" w:id="1"/>
        <w:t>*</w:t>
      </w:r>
    </w:p>
    <w:p w14:paraId="39A281B9" w14:textId="7EFDC99D" w:rsidR="008A6A43" w:rsidRDefault="00C7091A" w:rsidP="00663810">
      <w:pPr>
        <w:spacing w:after="360" w:line="320" w:lineRule="exact"/>
        <w:ind w:right="6663"/>
        <w:jc w:val="both"/>
        <w:rPr>
          <w:rFonts w:ascii="Simplified Arabic" w:hAnsi="Simplified Arabic"/>
          <w:b/>
          <w:bCs/>
          <w:szCs w:val="22"/>
          <w:rtl/>
        </w:rPr>
      </w:pPr>
      <w:r>
        <w:rPr>
          <w:rFonts w:ascii="Simplified Arabic" w:hAnsi="Simplified Arabic" w:hint="cs"/>
          <w:b/>
          <w:bCs/>
          <w:szCs w:val="22"/>
          <w:rtl/>
        </w:rPr>
        <w:t>قبول المراقبين</w:t>
      </w:r>
    </w:p>
    <w:p w14:paraId="2A8DD5AD" w14:textId="77777777" w:rsidR="009C7AC4" w:rsidRPr="009C7AC4" w:rsidRDefault="009C7AC4" w:rsidP="009C7AC4">
      <w:pPr>
        <w:pStyle w:val="SingleTxt"/>
        <w:tabs>
          <w:tab w:val="clear" w:pos="1267"/>
          <w:tab w:val="clear" w:pos="1930"/>
          <w:tab w:val="clear" w:pos="2592"/>
          <w:tab w:val="clear" w:pos="3254"/>
          <w:tab w:val="clear" w:pos="3917"/>
          <w:tab w:val="clear" w:pos="4579"/>
          <w:tab w:val="clear" w:pos="5242"/>
          <w:tab w:val="clear" w:pos="5904"/>
          <w:tab w:val="clear" w:pos="6566"/>
        </w:tabs>
        <w:spacing w:after="240"/>
        <w:ind w:left="1134" w:right="0"/>
        <w:jc w:val="both"/>
        <w:rPr>
          <w:rFonts w:ascii="Simplified Arabic" w:hAnsi="Simplified Arabic" w:cs="Simplified Arabic"/>
          <w:b/>
          <w:bCs/>
          <w:w w:val="100"/>
          <w:sz w:val="30"/>
          <w:rtl/>
        </w:rPr>
      </w:pPr>
      <w:r w:rsidRPr="009C7AC4">
        <w:rPr>
          <w:rFonts w:ascii="Simplified Arabic" w:hAnsi="Simplified Arabic" w:cs="Simplified Arabic"/>
          <w:b/>
          <w:bCs/>
          <w:w w:val="100"/>
          <w:sz w:val="30"/>
          <w:rtl/>
        </w:rPr>
        <w:t xml:space="preserve">مشروع السياسة </w:t>
      </w:r>
      <w:r w:rsidRPr="009C7AC4">
        <w:rPr>
          <w:rFonts w:ascii="Simplified Arabic" w:hAnsi="Simplified Arabic" w:cs="Simplified Arabic"/>
          <w:b/>
          <w:bCs/>
          <w:w w:val="100"/>
          <w:sz w:val="30"/>
          <w:rtl/>
          <w:lang w:val="en-GB"/>
        </w:rPr>
        <w:t xml:space="preserve">العامة </w:t>
      </w:r>
      <w:r w:rsidRPr="009C7AC4">
        <w:rPr>
          <w:rFonts w:ascii="Simplified Arabic" w:hAnsi="Simplified Arabic" w:cs="Simplified Arabic"/>
          <w:b/>
          <w:bCs/>
          <w:w w:val="100"/>
          <w:sz w:val="30"/>
          <w:rtl/>
        </w:rPr>
        <w:t>والإجراءات المتبعة لقبول المراقبين</w:t>
      </w:r>
    </w:p>
    <w:p w14:paraId="1E4B10E9" w14:textId="77777777" w:rsidR="009C7AC4" w:rsidRPr="009C7AC4" w:rsidRDefault="009C7AC4" w:rsidP="009C7AC4">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jc w:val="both"/>
        <w:rPr>
          <w:rFonts w:ascii="Simplified Arabic" w:hAnsi="Simplified Arabic" w:cs="Simplified Arabic"/>
          <w:b/>
          <w:bCs/>
          <w:w w:val="100"/>
          <w:sz w:val="28"/>
          <w:szCs w:val="28"/>
          <w:rtl/>
        </w:rPr>
      </w:pPr>
      <w:r w:rsidRPr="009C7AC4">
        <w:rPr>
          <w:rFonts w:ascii="Simplified Arabic" w:hAnsi="Simplified Arabic" w:cs="Simplified Arabic"/>
          <w:b/>
          <w:bCs/>
          <w:w w:val="100"/>
          <w:sz w:val="28"/>
          <w:szCs w:val="28"/>
          <w:rtl/>
        </w:rPr>
        <w:t>مذكرة من الأمانة</w:t>
      </w:r>
    </w:p>
    <w:p w14:paraId="33D5E74D" w14:textId="2E4015B4" w:rsidR="009C7AC4" w:rsidRPr="009C7AC4" w:rsidRDefault="009C7AC4" w:rsidP="009C7AC4">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spacing w:line="360" w:lineRule="exact"/>
        <w:ind w:left="1134" w:right="0"/>
        <w:jc w:val="both"/>
        <w:rPr>
          <w:rFonts w:ascii="Simplified Arabic" w:hAnsi="Simplified Arabic" w:cs="Simplified Arabic"/>
          <w:w w:val="100"/>
          <w:sz w:val="24"/>
          <w:szCs w:val="24"/>
          <w:rtl/>
        </w:rPr>
      </w:pPr>
      <w:r w:rsidRPr="009C7AC4">
        <w:rPr>
          <w:rFonts w:ascii="Simplified Arabic" w:hAnsi="Simplified Arabic" w:cs="Simplified Arabic" w:hint="cs"/>
          <w:w w:val="100"/>
          <w:sz w:val="24"/>
          <w:szCs w:val="24"/>
          <w:rtl/>
        </w:rPr>
        <w:t xml:space="preserve">يتضمن مرفق هذه المذكرة مشروع السياسة العامة والإجراءات المتبعة لقبول المراقبين بالصيغة التي نظر فيها الاجتماع العام للمنبر الحكومي الدولي للعلوم والسياسات في مجال التنوع البيولوجي وخدمات النظم الإيكولوجية في دوراته من الأولى إلى الثامنة. ولما لم يتم التوصل إلى توافق في الآراء بهذا الصدد خلال الدورة الثامنة، قرر الاجتماع العام أن الإجراء المؤقت المتبع لقبول المراقبين في دورات الاجتماع العام، على النحو الوارد في </w:t>
      </w:r>
      <w:r w:rsidR="00894659" w:rsidRPr="009C7AC4">
        <w:rPr>
          <w:rFonts w:ascii="Simplified Arabic" w:hAnsi="Simplified Arabic" w:cs="Simplified Arabic" w:hint="cs"/>
          <w:w w:val="100"/>
          <w:sz w:val="24"/>
          <w:szCs w:val="24"/>
          <w:rtl/>
        </w:rPr>
        <w:t>الفقرة</w:t>
      </w:r>
      <w:r w:rsidR="00894659">
        <w:rPr>
          <w:rFonts w:ascii="Simplified Arabic" w:hAnsi="Simplified Arabic" w:cs="Simplified Arabic" w:hint="eastAsia"/>
          <w:w w:val="100"/>
          <w:sz w:val="24"/>
          <w:szCs w:val="24"/>
          <w:rtl/>
        </w:rPr>
        <w:t> </w:t>
      </w:r>
      <w:r w:rsidRPr="009C7AC4">
        <w:rPr>
          <w:rFonts w:ascii="Simplified Arabic" w:hAnsi="Simplified Arabic" w:cs="Simplified Arabic" w:hint="cs"/>
          <w:w w:val="100"/>
          <w:sz w:val="24"/>
          <w:szCs w:val="24"/>
          <w:rtl/>
        </w:rPr>
        <w:t xml:space="preserve">22 من تقرير الدورة الأولى للاجتماع العام </w:t>
      </w:r>
      <w:r w:rsidRPr="009C7AC4">
        <w:rPr>
          <w:rFonts w:asciiTheme="majorBidi" w:hAnsiTheme="majorBidi" w:cstheme="majorBidi"/>
          <w:w w:val="100"/>
          <w:sz w:val="22"/>
          <w:szCs w:val="22"/>
          <w:rtl/>
        </w:rPr>
        <w:t>(</w:t>
      </w:r>
      <w:r w:rsidRPr="009C7AC4">
        <w:rPr>
          <w:rFonts w:asciiTheme="majorBidi" w:hAnsiTheme="majorBidi" w:cstheme="majorBidi"/>
          <w:w w:val="100"/>
          <w:sz w:val="22"/>
          <w:szCs w:val="22"/>
        </w:rPr>
        <w:t>IPBES/1/12</w:t>
      </w:r>
      <w:r w:rsidRPr="009C7AC4">
        <w:rPr>
          <w:rFonts w:asciiTheme="majorBidi" w:hAnsiTheme="majorBidi" w:cstheme="majorBidi"/>
          <w:w w:val="100"/>
          <w:sz w:val="22"/>
          <w:szCs w:val="22"/>
          <w:rtl/>
        </w:rPr>
        <w:t>)</w:t>
      </w:r>
      <w:r w:rsidRPr="009C7AC4">
        <w:rPr>
          <w:rFonts w:ascii="Simplified Arabic" w:hAnsi="Simplified Arabic" w:cs="Simplified Arabic" w:hint="cs"/>
          <w:w w:val="100"/>
          <w:sz w:val="24"/>
          <w:szCs w:val="24"/>
          <w:rtl/>
        </w:rPr>
        <w:t xml:space="preserve"> والمطبق في الدورات من الثانية إلى الثامنة، سيُطبق أيضا</w:t>
      </w:r>
      <w:r w:rsidRPr="009C7AC4">
        <w:rPr>
          <w:rFonts w:ascii="Simplified Arabic" w:hAnsi="Simplified Arabic" w:cs="Simplified Arabic" w:hint="cs"/>
          <w:w w:val="100"/>
          <w:sz w:val="24"/>
          <w:szCs w:val="24"/>
          <w:rtl/>
          <w:lang w:val="en-GB"/>
        </w:rPr>
        <w:t>ً</w:t>
      </w:r>
      <w:r w:rsidRPr="009C7AC4">
        <w:rPr>
          <w:rFonts w:ascii="Simplified Arabic" w:hAnsi="Simplified Arabic" w:cs="Simplified Arabic" w:hint="cs"/>
          <w:w w:val="100"/>
          <w:sz w:val="24"/>
          <w:szCs w:val="24"/>
          <w:rtl/>
        </w:rPr>
        <w:t xml:space="preserve"> على الدورة التاسعة. وقرر الاجتماع العام أيضاً أن ينظر مرة أخرى في دورته التاسعة في مشروع السياسة العامة والإجراءات لقبول المراقبين. ولذا يُعر</w:t>
      </w:r>
      <w:r w:rsidR="00894659">
        <w:rPr>
          <w:rFonts w:ascii="Simplified Arabic" w:hAnsi="Simplified Arabic" w:cs="Simplified Arabic" w:hint="cs"/>
          <w:w w:val="100"/>
          <w:sz w:val="24"/>
          <w:szCs w:val="24"/>
          <w:rtl/>
        </w:rPr>
        <w:t>َ</w:t>
      </w:r>
      <w:r w:rsidRPr="009C7AC4">
        <w:rPr>
          <w:rFonts w:ascii="Simplified Arabic" w:hAnsi="Simplified Arabic" w:cs="Simplified Arabic" w:hint="cs"/>
          <w:w w:val="100"/>
          <w:sz w:val="24"/>
          <w:szCs w:val="24"/>
          <w:rtl/>
        </w:rPr>
        <w:t xml:space="preserve">ض على الاجتماع العام في مرفق هذه المذكرة مشروع ذلك النص للنظر فيه في دورته التاسعة. وبالإضافة إلى ذلك ستتاح في الوثيقة </w:t>
      </w:r>
      <w:r w:rsidRPr="009C7AC4">
        <w:rPr>
          <w:rFonts w:asciiTheme="majorBidi" w:hAnsiTheme="majorBidi" w:cstheme="majorBidi"/>
          <w:sz w:val="22"/>
          <w:szCs w:val="22"/>
        </w:rPr>
        <w:t>IPBES/9/INF/5</w:t>
      </w:r>
      <w:r w:rsidRPr="009C7AC4">
        <w:rPr>
          <w:rStyle w:val="DeltaViewInsertion"/>
          <w:rFonts w:ascii="Simplified Arabic" w:hAnsi="Simplified Arabic" w:cs="Simplified Arabic" w:hint="cs"/>
          <w:color w:val="auto"/>
          <w:w w:val="100"/>
          <w:sz w:val="24"/>
          <w:szCs w:val="24"/>
          <w:u w:val="none"/>
          <w:rtl/>
        </w:rPr>
        <w:t xml:space="preserve"> </w:t>
      </w:r>
      <w:r w:rsidRPr="009C7AC4">
        <w:rPr>
          <w:rFonts w:ascii="Simplified Arabic" w:hAnsi="Simplified Arabic" w:cs="Simplified Arabic" w:hint="cs"/>
          <w:w w:val="100"/>
          <w:sz w:val="24"/>
          <w:szCs w:val="24"/>
          <w:rtl/>
        </w:rPr>
        <w:t>قائمة المراقبين الذين اقترح المكتب قبولهم في الدورة التاسعة للاجتماع العام.</w:t>
      </w:r>
    </w:p>
    <w:p w14:paraId="30174466" w14:textId="77777777" w:rsidR="009C7AC4" w:rsidRDefault="009C7AC4" w:rsidP="009C7AC4">
      <w:pPr>
        <w:rPr>
          <w:rFonts w:cs="Traditional Arabic"/>
          <w:b/>
          <w:bCs/>
          <w:kern w:val="14"/>
          <w:sz w:val="34"/>
          <w:szCs w:val="34"/>
          <w:rtl/>
        </w:rPr>
      </w:pPr>
      <w:r>
        <w:rPr>
          <w:b/>
          <w:bCs/>
          <w:sz w:val="34"/>
          <w:szCs w:val="34"/>
          <w:rtl/>
        </w:rPr>
        <w:br w:type="page"/>
      </w:r>
    </w:p>
    <w:p w14:paraId="07A7C537" w14:textId="77777777" w:rsidR="009C7AC4" w:rsidRPr="009C7AC4" w:rsidRDefault="009C7AC4" w:rsidP="009C7AC4">
      <w:pPr>
        <w:pStyle w:val="SingleTxt"/>
        <w:tabs>
          <w:tab w:val="clear" w:pos="1267"/>
          <w:tab w:val="clear" w:pos="1930"/>
          <w:tab w:val="clear" w:pos="2592"/>
          <w:tab w:val="clear" w:pos="3254"/>
          <w:tab w:val="clear" w:pos="3917"/>
          <w:tab w:val="clear" w:pos="4579"/>
          <w:tab w:val="clear" w:pos="5242"/>
          <w:tab w:val="clear" w:pos="5904"/>
          <w:tab w:val="clear" w:pos="6566"/>
        </w:tabs>
        <w:spacing w:after="360" w:line="360" w:lineRule="exact"/>
        <w:ind w:left="0" w:right="0"/>
        <w:jc w:val="both"/>
        <w:rPr>
          <w:rFonts w:ascii="Simplified Arabic" w:hAnsi="Simplified Arabic" w:cs="Simplified Arabic"/>
          <w:b/>
          <w:bCs/>
          <w:w w:val="100"/>
          <w:sz w:val="30"/>
          <w:rtl/>
        </w:rPr>
      </w:pPr>
      <w:r w:rsidRPr="009C7AC4">
        <w:rPr>
          <w:rFonts w:ascii="Simplified Arabic" w:hAnsi="Simplified Arabic" w:cs="Simplified Arabic"/>
          <w:b/>
          <w:bCs/>
          <w:w w:val="100"/>
          <w:sz w:val="30"/>
          <w:rtl/>
        </w:rPr>
        <w:lastRenderedPageBreak/>
        <w:t>المرفق</w:t>
      </w:r>
    </w:p>
    <w:p w14:paraId="4A457F62" w14:textId="77777777" w:rsidR="009C7AC4" w:rsidRPr="009C7AC4" w:rsidRDefault="009C7AC4" w:rsidP="009C7AC4">
      <w:pPr>
        <w:pStyle w:val="SingleTxt"/>
        <w:tabs>
          <w:tab w:val="clear" w:pos="1267"/>
          <w:tab w:val="clear" w:pos="1930"/>
          <w:tab w:val="clear" w:pos="2592"/>
          <w:tab w:val="clear" w:pos="3254"/>
          <w:tab w:val="clear" w:pos="3917"/>
          <w:tab w:val="clear" w:pos="4579"/>
          <w:tab w:val="clear" w:pos="5242"/>
          <w:tab w:val="clear" w:pos="5904"/>
          <w:tab w:val="clear" w:pos="6566"/>
        </w:tabs>
        <w:spacing w:after="240" w:line="360" w:lineRule="exact"/>
        <w:ind w:left="1134" w:right="0"/>
        <w:jc w:val="both"/>
        <w:rPr>
          <w:rFonts w:ascii="Simplified Arabic" w:hAnsi="Simplified Arabic" w:cs="Simplified Arabic"/>
          <w:b/>
          <w:bCs/>
          <w:w w:val="100"/>
          <w:sz w:val="28"/>
          <w:szCs w:val="28"/>
          <w:rtl/>
        </w:rPr>
      </w:pPr>
      <w:r w:rsidRPr="009C7AC4">
        <w:rPr>
          <w:rFonts w:ascii="Simplified Arabic" w:hAnsi="Simplified Arabic" w:cs="Simplified Arabic"/>
          <w:b/>
          <w:bCs/>
          <w:w w:val="100"/>
          <w:sz w:val="28"/>
          <w:szCs w:val="28"/>
          <w:rtl/>
        </w:rPr>
        <w:t>[مشروع السياسة العامة والإجراءات المتبعة لقبول المراقبين</w:t>
      </w:r>
    </w:p>
    <w:p w14:paraId="6734B97A" w14:textId="0CBC1AD3" w:rsidR="009C7AC4" w:rsidRPr="009C7AC4" w:rsidRDefault="009C7AC4" w:rsidP="00954E94">
      <w:pPr>
        <w:pStyle w:val="HCh"/>
        <w:spacing w:after="120" w:line="360" w:lineRule="exact"/>
        <w:ind w:left="1135" w:hanging="851"/>
        <w:jc w:val="both"/>
        <w:outlineLvl w:val="9"/>
        <w:rPr>
          <w:rFonts w:ascii="Simplified Arabic" w:hAnsi="Simplified Arabic" w:cs="Simplified Arabic"/>
          <w:w w:val="100"/>
          <w:sz w:val="26"/>
          <w:szCs w:val="26"/>
          <w:rtl/>
        </w:rPr>
      </w:pPr>
      <w:r w:rsidRPr="009C7AC4">
        <w:rPr>
          <w:rFonts w:ascii="Simplified Arabic" w:hAnsi="Simplified Arabic" w:cs="Simplified Arabic"/>
          <w:w w:val="100"/>
          <w:sz w:val="26"/>
          <w:szCs w:val="26"/>
          <w:rtl/>
        </w:rPr>
        <w:t>أولاً-</w:t>
      </w:r>
      <w:r w:rsidRPr="009C7AC4">
        <w:rPr>
          <w:rFonts w:ascii="Simplified Arabic" w:hAnsi="Simplified Arabic" w:cs="Simplified Arabic"/>
          <w:w w:val="100"/>
          <w:sz w:val="26"/>
          <w:szCs w:val="26"/>
          <w:rtl/>
        </w:rPr>
        <w:tab/>
        <w:t>السياسة العامة المتبعة لقبول المراقبين في الاجتماع العام للمنبر الحكومي الدولي للعلوم والسياسات في مجال التنوع البيولوجي وخدمات النظم الإيكولوجية</w:t>
      </w:r>
    </w:p>
    <w:p w14:paraId="6CBC6638" w14:textId="0191F1E3" w:rsidR="009C7AC4" w:rsidRPr="00A70CAC" w:rsidRDefault="009C7AC4" w:rsidP="0033719B">
      <w:pPr>
        <w:pStyle w:val="SingleTxt"/>
        <w:tabs>
          <w:tab w:val="clear" w:pos="1267"/>
          <w:tab w:val="clear" w:pos="1930"/>
          <w:tab w:val="clear" w:pos="2592"/>
          <w:tab w:val="clear" w:pos="3254"/>
          <w:tab w:val="clear" w:pos="3917"/>
          <w:tab w:val="clear" w:pos="4579"/>
          <w:tab w:val="clear" w:pos="5242"/>
          <w:tab w:val="clear" w:pos="5904"/>
          <w:tab w:val="clear" w:pos="6566"/>
        </w:tabs>
        <w:spacing w:after="140" w:line="38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تُطبق السياسة العامة التالية لقبول المراقبين في دورات الاجتماع العام للمنبر الحكومي الدولي للعلوم والسياسات في مجال التنوع البيولوجي وخدمات النظم الإيكولوجية (المنبر):</w:t>
      </w:r>
    </w:p>
    <w:p w14:paraId="12AA5793" w14:textId="725363A4" w:rsidR="009C7AC4" w:rsidRPr="00A70CAC" w:rsidRDefault="009C7AC4" w:rsidP="0033719B">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8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”المراقب“ يعني أي دولة غير عضو في المنبر وكذلك أي هيئة أو منظمة أو وكالة، سواء كانت وطنية أو دولية، حكومية أو غير حكومية، بما في ذلك منظمات وممثلو الشعوب الأصلية والمجتمعات المحلية، تكون مؤهلة في المسائل التي يتناولها المنبر، وتكون قد أبلغت أمانة المنبر برغبتها في أن تُمثل في دورات الاجتماع العام، رهناً بالأحكام المنصوص عليها في النظام الداخلي</w:t>
      </w:r>
      <w:r w:rsidRPr="00A70CAC">
        <w:rPr>
          <w:rFonts w:ascii="Simplified Arabic" w:hAnsi="Simplified Arabic" w:cs="Simplified Arabic"/>
          <w:w w:val="100"/>
          <w:sz w:val="24"/>
          <w:szCs w:val="24"/>
          <w:vertAlign w:val="superscript"/>
          <w:rtl/>
        </w:rPr>
        <w:t>(</w:t>
      </w:r>
      <w:r w:rsidRPr="00A70CAC">
        <w:rPr>
          <w:rStyle w:val="FootnoteReference"/>
          <w:rFonts w:ascii="Simplified Arabic" w:hAnsi="Simplified Arabic" w:cs="Simplified Arabic"/>
          <w:w w:val="100"/>
          <w:sz w:val="24"/>
          <w:szCs w:val="24"/>
          <w:rtl/>
        </w:rPr>
        <w:footnoteReference w:id="2"/>
      </w:r>
      <w:r w:rsidRPr="00A70CAC">
        <w:rPr>
          <w:rFonts w:ascii="Simplified Arabic" w:hAnsi="Simplified Arabic" w:cs="Simplified Arabic"/>
          <w:w w:val="100"/>
          <w:sz w:val="24"/>
          <w:szCs w:val="24"/>
          <w:vertAlign w:val="superscript"/>
          <w:rtl/>
        </w:rPr>
        <w:t>)</w:t>
      </w:r>
      <w:r w:rsidRPr="00A70CAC">
        <w:rPr>
          <w:rFonts w:ascii="Simplified Arabic" w:hAnsi="Simplified Arabic" w:cs="Simplified Arabic"/>
          <w:w w:val="100"/>
          <w:sz w:val="24"/>
          <w:szCs w:val="24"/>
          <w:rtl/>
        </w:rPr>
        <w:t>.</w:t>
      </w:r>
    </w:p>
    <w:p w14:paraId="2BEE652A" w14:textId="3521A4C4" w:rsidR="009C7AC4" w:rsidRPr="00A70CAC" w:rsidRDefault="009C7AC4" w:rsidP="0033719B">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8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يعتبر الاجتماع العام بمثابة المراقب المقبول أي دولة ليست عضواً في المنبر ولكنها دولة عضو بالأمم المتحدة أو دولة مراقبة لدى الأمم المتحدة، وهي لا تحتاج إلى تقديم طلب أو وثائق أخرى.</w:t>
      </w:r>
    </w:p>
    <w:p w14:paraId="73ABD006" w14:textId="11B8BEFC" w:rsidR="009C7AC4" w:rsidRPr="00A70CAC" w:rsidRDefault="009C7AC4" w:rsidP="0033719B">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8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تعتبر هيئات الأمم المتحدة وأمانات الاتفاقات البيئية المتعددة الأطراف جهات مراقبة لدى المنبر ولا تحتاج إلى تقديم طلب أو وثائق أخرى.</w:t>
      </w:r>
    </w:p>
    <w:p w14:paraId="2158793B" w14:textId="29660793" w:rsidR="009C7AC4" w:rsidRPr="00A70CAC" w:rsidRDefault="009C7AC4" w:rsidP="0033719B">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8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للبت فيما إذا كانت الجهةُ المتقدمة بطلب الحصول على مركز المراقب جهةً مؤهلة في المسائل التي يتناولها المنبر، يُسترشد بالوثائق المقدمة من المنظمة المعنية، على النحو الوارد في الفقرة 10 من هذه الوثيقة، وكذلك بمهام المنبر ومبادئه التشغيلية.</w:t>
      </w:r>
    </w:p>
    <w:p w14:paraId="5A2F9A6F" w14:textId="113D995F" w:rsidR="009C7AC4" w:rsidRPr="00A70CAC" w:rsidRDefault="009C7AC4" w:rsidP="0033719B">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80" w:lineRule="exact"/>
        <w:ind w:left="1134" w:right="0" w:firstLine="709"/>
        <w:jc w:val="both"/>
        <w:rPr>
          <w:rFonts w:ascii="Simplified Arabic" w:hAnsi="Simplified Arabic" w:cs="Simplified Arabic"/>
          <w:w w:val="100"/>
          <w:sz w:val="24"/>
          <w:szCs w:val="24"/>
          <w:rtl/>
        </w:rPr>
      </w:pPr>
      <w:r w:rsidRPr="00954E94">
        <w:rPr>
          <w:rFonts w:ascii="Simplified Arabic" w:hAnsi="Simplified Arabic" w:cs="Simplified Arabic"/>
          <w:w w:val="100"/>
          <w:sz w:val="24"/>
          <w:szCs w:val="24"/>
          <w:rtl/>
        </w:rPr>
        <w:t>تأخذ</w:t>
      </w:r>
      <w:r w:rsidRPr="00A70CAC">
        <w:rPr>
          <w:rFonts w:ascii="Simplified Arabic" w:hAnsi="Simplified Arabic" w:cs="Simplified Arabic"/>
          <w:w w:val="100"/>
          <w:sz w:val="24"/>
          <w:szCs w:val="24"/>
          <w:rtl/>
        </w:rPr>
        <w:t xml:space="preserve"> صفة المراقب لدى المنبر الهيئات والمنظمات والوكالات التي لها بالفعل مركز المراقب أو هي مُعتمدة لدى برنامج الأمم المتحدة للبيئة ومنظمة الأمم المتحدة للتربية والعلم والثقافة</w:t>
      </w:r>
      <w:r w:rsidR="00A71AD0">
        <w:rPr>
          <w:rFonts w:ascii="Simplified Arabic" w:hAnsi="Simplified Arabic" w:cs="Simplified Arabic" w:hint="cs"/>
          <w:w w:val="100"/>
          <w:sz w:val="24"/>
          <w:szCs w:val="24"/>
          <w:rtl/>
          <w:lang w:bidi="ar-EG"/>
        </w:rPr>
        <w:t xml:space="preserve"> ومنظمة الأغذية والزراعة للأمم المتحدة</w:t>
      </w:r>
      <w:r w:rsidRPr="00A70CAC">
        <w:rPr>
          <w:rFonts w:ascii="Simplified Arabic" w:hAnsi="Simplified Arabic" w:cs="Simplified Arabic"/>
          <w:w w:val="100"/>
          <w:sz w:val="24"/>
          <w:szCs w:val="24"/>
          <w:rtl/>
        </w:rPr>
        <w:t xml:space="preserve"> وبرنامج الأمم المتحدة الإنمائي إذا طلبت ذلك، إلا إذا قرر الاجتماع العام خلاف ذلك.</w:t>
      </w:r>
    </w:p>
    <w:p w14:paraId="6F447188" w14:textId="6387221E" w:rsidR="009C7AC4" w:rsidRPr="00A70CAC" w:rsidRDefault="009C7AC4" w:rsidP="0033719B">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8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يُعتبر مراقبو الدورة الأولى للمنبر مراقبين مقبولين من الاجتماع العام في دوراته اللاحقة، وهم لا يحتاجون إلى تقديم طلب آخر أو وثائق أخرى إلا إذا قرر الاجتماع العام خلاف ذلك.</w:t>
      </w:r>
    </w:p>
    <w:p w14:paraId="2FC46D1C" w14:textId="35425F6A" w:rsidR="009C7AC4" w:rsidRPr="00A70CAC" w:rsidRDefault="009C7AC4" w:rsidP="0033719B">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8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لا يجوز تعيين ممثلين لحضور دورات الاجتماع العام سوى للمراقبين المقبولين من الاجتماع العام والمسجلين لدورات معينة. ويجب على المراقبين تسجيل ممثليهم قبل بداية كل دورة.</w:t>
      </w:r>
    </w:p>
    <w:p w14:paraId="1D9AAB02" w14:textId="6783B078" w:rsidR="009C7AC4" w:rsidRPr="00A70CAC" w:rsidRDefault="009C7AC4" w:rsidP="0033719B">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8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تخطر الأمانةُ المراقبين بانعقاد دورات الاجتماع العام.</w:t>
      </w:r>
    </w:p>
    <w:p w14:paraId="519F2B6A" w14:textId="3428CC30" w:rsidR="009C7AC4" w:rsidRPr="00A70CAC" w:rsidRDefault="009C7AC4" w:rsidP="0033719B">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8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تو</w:t>
      </w:r>
      <w:r w:rsidR="007313CD">
        <w:rPr>
          <w:rFonts w:ascii="Simplified Arabic" w:hAnsi="Simplified Arabic" w:cs="Simplified Arabic" w:hint="cs"/>
          <w:w w:val="100"/>
          <w:sz w:val="24"/>
          <w:szCs w:val="24"/>
          <w:rtl/>
        </w:rPr>
        <w:t>َ</w:t>
      </w:r>
      <w:r w:rsidRPr="00A70CAC">
        <w:rPr>
          <w:rFonts w:ascii="Simplified Arabic" w:hAnsi="Simplified Arabic" w:cs="Simplified Arabic"/>
          <w:w w:val="100"/>
          <w:sz w:val="24"/>
          <w:szCs w:val="24"/>
          <w:rtl/>
        </w:rPr>
        <w:t>ف</w:t>
      </w:r>
      <w:r w:rsidR="007313CD">
        <w:rPr>
          <w:rFonts w:ascii="Simplified Arabic" w:hAnsi="Simplified Arabic" w:cs="Simplified Arabic" w:hint="cs"/>
          <w:w w:val="100"/>
          <w:sz w:val="24"/>
          <w:szCs w:val="24"/>
          <w:rtl/>
        </w:rPr>
        <w:t>َّ</w:t>
      </w:r>
      <w:r w:rsidRPr="00A70CAC">
        <w:rPr>
          <w:rFonts w:ascii="Simplified Arabic" w:hAnsi="Simplified Arabic" w:cs="Simplified Arabic"/>
          <w:w w:val="100"/>
          <w:sz w:val="24"/>
          <w:szCs w:val="24"/>
          <w:rtl/>
        </w:rPr>
        <w:t>ر لمؤسسات الأمم المتحدة وغيرها من المنظمات الدولية والمنظمات الحكومية الدولية، وكذلك للمراقبين الآخرين، لوحات تحمل أسماءها، إذا توافرت هذه التسهيلات في مكان انعقاد الاجتماع.</w:t>
      </w:r>
    </w:p>
    <w:p w14:paraId="56C12B07" w14:textId="77777777" w:rsidR="007313CD" w:rsidRDefault="007313CD">
      <w:pPr>
        <w:bidi w:val="0"/>
        <w:rPr>
          <w:rFonts w:ascii="Simplified Arabic" w:hAnsi="Simplified Arabic"/>
          <w:b/>
          <w:bCs/>
          <w:spacing w:val="-2"/>
          <w:kern w:val="14"/>
          <w:sz w:val="26"/>
          <w:szCs w:val="26"/>
          <w:rtl/>
        </w:rPr>
      </w:pPr>
      <w:r>
        <w:rPr>
          <w:rFonts w:ascii="Simplified Arabic" w:hAnsi="Simplified Arabic"/>
          <w:sz w:val="26"/>
          <w:szCs w:val="26"/>
          <w:rtl/>
        </w:rPr>
        <w:br w:type="page"/>
      </w:r>
    </w:p>
    <w:p w14:paraId="62516A7B" w14:textId="302A02FB" w:rsidR="009C7AC4" w:rsidRPr="00954E94" w:rsidRDefault="009C7AC4" w:rsidP="00954E94">
      <w:pPr>
        <w:pStyle w:val="HCh"/>
        <w:spacing w:after="120" w:line="360" w:lineRule="exact"/>
        <w:ind w:left="1135" w:hanging="851"/>
        <w:jc w:val="both"/>
        <w:outlineLvl w:val="9"/>
        <w:rPr>
          <w:rFonts w:ascii="Simplified Arabic" w:hAnsi="Simplified Arabic" w:cs="Simplified Arabic"/>
          <w:w w:val="100"/>
          <w:sz w:val="26"/>
          <w:szCs w:val="26"/>
          <w:rtl/>
        </w:rPr>
      </w:pPr>
      <w:r w:rsidRPr="00954E94">
        <w:rPr>
          <w:rFonts w:ascii="Simplified Arabic" w:hAnsi="Simplified Arabic" w:cs="Simplified Arabic"/>
          <w:w w:val="100"/>
          <w:sz w:val="26"/>
          <w:szCs w:val="26"/>
          <w:rtl/>
        </w:rPr>
        <w:lastRenderedPageBreak/>
        <w:t>ثانياً-</w:t>
      </w:r>
      <w:r w:rsidRPr="00954E94">
        <w:rPr>
          <w:rFonts w:ascii="Simplified Arabic" w:hAnsi="Simplified Arabic" w:cs="Simplified Arabic"/>
          <w:w w:val="100"/>
          <w:sz w:val="26"/>
          <w:szCs w:val="26"/>
          <w:rtl/>
        </w:rPr>
        <w:tab/>
        <w:t>إجراءات قبول المراقبين</w:t>
      </w:r>
    </w:p>
    <w:p w14:paraId="686EDCE1" w14:textId="738E652E" w:rsidR="009C7AC4" w:rsidRPr="00A70CAC" w:rsidRDefault="009C7AC4" w:rsidP="00954E94">
      <w:pPr>
        <w:pStyle w:val="SingleTxt"/>
        <w:tabs>
          <w:tab w:val="clear" w:pos="1267"/>
          <w:tab w:val="clear" w:pos="1930"/>
          <w:tab w:val="clear" w:pos="2592"/>
          <w:tab w:val="clear" w:pos="3254"/>
          <w:tab w:val="clear" w:pos="3917"/>
          <w:tab w:val="clear" w:pos="4579"/>
          <w:tab w:val="clear" w:pos="5242"/>
          <w:tab w:val="clear" w:pos="5904"/>
          <w:tab w:val="clear" w:pos="6566"/>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تُطبق عملية القبول التالية:</w:t>
      </w:r>
    </w:p>
    <w:p w14:paraId="001C88AC" w14:textId="4F14B921" w:rsidR="009C7AC4" w:rsidRPr="00A70CAC" w:rsidRDefault="009C7AC4" w:rsidP="006D7CB5">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يُطلب حسب اللزوم إلى المتقدمين بطلب للحصول على مركز مراقب في دورات الاجتماع العام أن</w:t>
      </w:r>
      <w:r w:rsidRPr="00A70CAC">
        <w:rPr>
          <w:rFonts w:ascii="Simplified Arabic" w:hAnsi="Simplified Arabic" w:cs="Simplified Arabic"/>
          <w:w w:val="100"/>
          <w:sz w:val="24"/>
          <w:szCs w:val="24"/>
        </w:rPr>
        <w:t xml:space="preserve"> </w:t>
      </w:r>
      <w:r w:rsidRPr="00A70CAC">
        <w:rPr>
          <w:rFonts w:ascii="Simplified Arabic" w:hAnsi="Simplified Arabic" w:cs="Simplified Arabic"/>
          <w:w w:val="100"/>
          <w:sz w:val="24"/>
          <w:szCs w:val="24"/>
          <w:rtl/>
        </w:rPr>
        <w:t>يوافوا الأمانة بنسخ من وثائق منها ما يلي:</w:t>
      </w:r>
    </w:p>
    <w:p w14:paraId="65782894" w14:textId="4DB9A15D" w:rsidR="00954E94" w:rsidRDefault="009C7AC4" w:rsidP="006D7CB5">
      <w:pPr>
        <w:pStyle w:val="SingleTxt"/>
        <w:numPr>
          <w:ilvl w:val="0"/>
          <w:numId w:val="8"/>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وثائق تبين ولاية المنظمة ونطاقها وهيكلها الإداري، مثل الميثاق أو النظام الأساسي أو الدستور أو اللوائح أو بروتوكول التأسيس؛</w:t>
      </w:r>
    </w:p>
    <w:p w14:paraId="75ADFCBF" w14:textId="77777777" w:rsidR="00954E94" w:rsidRDefault="009C7AC4" w:rsidP="006D7CB5">
      <w:pPr>
        <w:pStyle w:val="SingleTxt"/>
        <w:numPr>
          <w:ilvl w:val="0"/>
          <w:numId w:val="8"/>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4" w:right="0" w:firstLine="709"/>
        <w:jc w:val="both"/>
        <w:rPr>
          <w:rFonts w:ascii="Simplified Arabic" w:hAnsi="Simplified Arabic" w:cs="Simplified Arabic"/>
          <w:w w:val="100"/>
          <w:sz w:val="24"/>
          <w:szCs w:val="24"/>
        </w:rPr>
      </w:pPr>
      <w:r w:rsidRPr="00A70CAC">
        <w:rPr>
          <w:rFonts w:ascii="Simplified Arabic" w:hAnsi="Simplified Arabic" w:cs="Simplified Arabic"/>
          <w:w w:val="100"/>
          <w:sz w:val="24"/>
          <w:szCs w:val="24"/>
          <w:rtl/>
        </w:rPr>
        <w:t>أي معلومات أخرى تبين كفاءة المنظمة أو مصلحتها في المسائل المتصلة بالمنبر؛</w:t>
      </w:r>
    </w:p>
    <w:p w14:paraId="71F1BBE2" w14:textId="0D28EA37" w:rsidR="009C7AC4" w:rsidRPr="00954E94" w:rsidRDefault="009C7AC4" w:rsidP="006D7CB5">
      <w:pPr>
        <w:pStyle w:val="SingleTxt"/>
        <w:numPr>
          <w:ilvl w:val="0"/>
          <w:numId w:val="9"/>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4" w:right="0" w:firstLine="709"/>
        <w:jc w:val="both"/>
        <w:rPr>
          <w:rFonts w:ascii="Simplified Arabic" w:hAnsi="Simplified Arabic" w:cs="Simplified Arabic"/>
          <w:w w:val="100"/>
          <w:sz w:val="24"/>
          <w:szCs w:val="24"/>
          <w:rtl/>
        </w:rPr>
      </w:pPr>
      <w:r w:rsidRPr="00954E94">
        <w:rPr>
          <w:rFonts w:ascii="Simplified Arabic" w:hAnsi="Simplified Arabic" w:cs="Simplified Arabic"/>
          <w:w w:val="100"/>
          <w:sz w:val="24"/>
          <w:szCs w:val="24"/>
          <w:rtl/>
        </w:rPr>
        <w:t>استمارة مستكملة تضم معلومات عن سبل الاتصال بالمنظمة وموقعها على شبكة الإنترنت (إن وجد) وبمنسِّق محدد (يجري تحديثها حسب الاقتضاء).</w:t>
      </w:r>
    </w:p>
    <w:p w14:paraId="61C1CA4E" w14:textId="423EB2C9" w:rsidR="009C7AC4" w:rsidRPr="00A70CAC" w:rsidRDefault="009C7AC4" w:rsidP="006D7CB5">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تقدم الطلبات الجديدة للحصول على صفة المراقب في دورات الاجتماع العام إلى الأمانة في موعد لا يقل عن ثلاثة أشهر قبل بداية دورة من دورات الاجتماع العام. وتحتفظ أمانة المنبر بالمعلومات المقدمة.</w:t>
      </w:r>
    </w:p>
    <w:p w14:paraId="627B0041" w14:textId="75B70184" w:rsidR="009C7AC4" w:rsidRPr="00A70CAC" w:rsidRDefault="009C7AC4" w:rsidP="006D7CB5">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تقوم الأمانة ب</w:t>
      </w:r>
      <w:bookmarkStart w:id="1" w:name="_Hlk101293288"/>
      <w:r w:rsidR="007313CD">
        <w:rPr>
          <w:rFonts w:ascii="Simplified Arabic" w:hAnsi="Simplified Arabic" w:cs="Simplified Arabic" w:hint="cs"/>
          <w:w w:val="100"/>
          <w:sz w:val="24"/>
          <w:szCs w:val="24"/>
          <w:rtl/>
        </w:rPr>
        <w:t>ــ</w:t>
      </w:r>
      <w:bookmarkEnd w:id="1"/>
      <w:r w:rsidRPr="00A70CAC">
        <w:rPr>
          <w:rFonts w:ascii="Simplified Arabic" w:hAnsi="Simplified Arabic" w:cs="Simplified Arabic"/>
          <w:w w:val="100"/>
          <w:sz w:val="24"/>
          <w:szCs w:val="24"/>
          <w:rtl/>
        </w:rPr>
        <w:t>ت</w:t>
      </w:r>
      <w:r w:rsidR="007313CD">
        <w:rPr>
          <w:rFonts w:ascii="Simplified Arabic" w:hAnsi="Simplified Arabic" w:cs="Simplified Arabic" w:hint="cs"/>
          <w:w w:val="100"/>
          <w:sz w:val="24"/>
          <w:szCs w:val="24"/>
          <w:rtl/>
        </w:rPr>
        <w:t>ــ</w:t>
      </w:r>
      <w:r w:rsidRPr="00A70CAC">
        <w:rPr>
          <w:rFonts w:ascii="Simplified Arabic" w:hAnsi="Simplified Arabic" w:cs="Simplified Arabic"/>
          <w:w w:val="100"/>
          <w:sz w:val="24"/>
          <w:szCs w:val="24"/>
          <w:rtl/>
        </w:rPr>
        <w:t>ح</w:t>
      </w:r>
      <w:r w:rsidR="007313CD">
        <w:rPr>
          <w:rFonts w:ascii="Simplified Arabic" w:hAnsi="Simplified Arabic" w:cs="Simplified Arabic" w:hint="cs"/>
          <w:w w:val="100"/>
          <w:sz w:val="24"/>
          <w:szCs w:val="24"/>
          <w:rtl/>
        </w:rPr>
        <w:t>ــ</w:t>
      </w:r>
      <w:r w:rsidRPr="00A70CAC">
        <w:rPr>
          <w:rFonts w:ascii="Simplified Arabic" w:hAnsi="Simplified Arabic" w:cs="Simplified Arabic"/>
          <w:w w:val="100"/>
          <w:sz w:val="24"/>
          <w:szCs w:val="24"/>
          <w:rtl/>
        </w:rPr>
        <w:t>ل</w:t>
      </w:r>
      <w:r w:rsidR="007313CD">
        <w:rPr>
          <w:rFonts w:ascii="Simplified Arabic" w:hAnsi="Simplified Arabic" w:cs="Simplified Arabic" w:hint="cs"/>
          <w:w w:val="100"/>
          <w:sz w:val="24"/>
          <w:szCs w:val="24"/>
          <w:rtl/>
        </w:rPr>
        <w:t>ــ</w:t>
      </w:r>
      <w:r w:rsidRPr="00A70CAC">
        <w:rPr>
          <w:rFonts w:ascii="Simplified Arabic" w:hAnsi="Simplified Arabic" w:cs="Simplified Arabic"/>
          <w:w w:val="100"/>
          <w:sz w:val="24"/>
          <w:szCs w:val="24"/>
          <w:rtl/>
        </w:rPr>
        <w:t>ي</w:t>
      </w:r>
      <w:r w:rsidR="007313CD">
        <w:rPr>
          <w:rFonts w:ascii="Simplified Arabic" w:hAnsi="Simplified Arabic" w:cs="Simplified Arabic" w:hint="cs"/>
          <w:w w:val="100"/>
          <w:sz w:val="24"/>
          <w:szCs w:val="24"/>
          <w:rtl/>
        </w:rPr>
        <w:t>ــ</w:t>
      </w:r>
      <w:r w:rsidRPr="00A70CAC">
        <w:rPr>
          <w:rFonts w:ascii="Simplified Arabic" w:hAnsi="Simplified Arabic" w:cs="Simplified Arabic"/>
          <w:w w:val="100"/>
          <w:sz w:val="24"/>
          <w:szCs w:val="24"/>
          <w:rtl/>
        </w:rPr>
        <w:t>ل الطلبات على أساس الوثائق المقدمة، على النحو المبين ب</w:t>
      </w:r>
      <w:r w:rsidR="007313CD">
        <w:rPr>
          <w:rFonts w:ascii="Simplified Arabic" w:hAnsi="Simplified Arabic" w:cs="Simplified Arabic" w:hint="cs"/>
          <w:w w:val="100"/>
          <w:sz w:val="24"/>
          <w:szCs w:val="24"/>
          <w:rtl/>
        </w:rPr>
        <w:t>ــ</w:t>
      </w:r>
      <w:r w:rsidRPr="00A70CAC">
        <w:rPr>
          <w:rFonts w:ascii="Simplified Arabic" w:hAnsi="Simplified Arabic" w:cs="Simplified Arabic"/>
          <w:w w:val="100"/>
          <w:sz w:val="24"/>
          <w:szCs w:val="24"/>
          <w:rtl/>
        </w:rPr>
        <w:t>ال</w:t>
      </w:r>
      <w:r w:rsidR="007313CD">
        <w:rPr>
          <w:rFonts w:ascii="Simplified Arabic" w:hAnsi="Simplified Arabic" w:cs="Simplified Arabic" w:hint="cs"/>
          <w:w w:val="100"/>
          <w:sz w:val="24"/>
          <w:szCs w:val="24"/>
          <w:rtl/>
        </w:rPr>
        <w:t>ــ</w:t>
      </w:r>
      <w:r w:rsidRPr="00A70CAC">
        <w:rPr>
          <w:rFonts w:ascii="Simplified Arabic" w:hAnsi="Simplified Arabic" w:cs="Simplified Arabic"/>
          <w:w w:val="100"/>
          <w:sz w:val="24"/>
          <w:szCs w:val="24"/>
          <w:rtl/>
        </w:rPr>
        <w:t>ت</w:t>
      </w:r>
      <w:r w:rsidR="007313CD">
        <w:rPr>
          <w:rFonts w:ascii="Simplified Arabic" w:hAnsi="Simplified Arabic" w:cs="Simplified Arabic" w:hint="cs"/>
          <w:w w:val="100"/>
          <w:sz w:val="24"/>
          <w:szCs w:val="24"/>
          <w:rtl/>
        </w:rPr>
        <w:t>ــ</w:t>
      </w:r>
      <w:r w:rsidRPr="00A70CAC">
        <w:rPr>
          <w:rFonts w:ascii="Simplified Arabic" w:hAnsi="Simplified Arabic" w:cs="Simplified Arabic"/>
          <w:w w:val="100"/>
          <w:sz w:val="24"/>
          <w:szCs w:val="24"/>
          <w:rtl/>
        </w:rPr>
        <w:t>ف</w:t>
      </w:r>
      <w:r w:rsidR="007313CD">
        <w:rPr>
          <w:rFonts w:ascii="Simplified Arabic" w:hAnsi="Simplified Arabic" w:cs="Simplified Arabic" w:hint="cs"/>
          <w:w w:val="100"/>
          <w:sz w:val="24"/>
          <w:szCs w:val="24"/>
          <w:rtl/>
        </w:rPr>
        <w:t>ــ</w:t>
      </w:r>
      <w:r w:rsidRPr="00A70CAC">
        <w:rPr>
          <w:rFonts w:ascii="Simplified Arabic" w:hAnsi="Simplified Arabic" w:cs="Simplified Arabic"/>
          <w:w w:val="100"/>
          <w:sz w:val="24"/>
          <w:szCs w:val="24"/>
          <w:rtl/>
        </w:rPr>
        <w:t>ص</w:t>
      </w:r>
      <w:r w:rsidR="007313CD">
        <w:rPr>
          <w:rFonts w:ascii="Simplified Arabic" w:hAnsi="Simplified Arabic" w:cs="Simplified Arabic" w:hint="cs"/>
          <w:w w:val="100"/>
          <w:sz w:val="24"/>
          <w:szCs w:val="24"/>
          <w:rtl/>
        </w:rPr>
        <w:t>ــ</w:t>
      </w:r>
      <w:r w:rsidRPr="00A70CAC">
        <w:rPr>
          <w:rFonts w:ascii="Simplified Arabic" w:hAnsi="Simplified Arabic" w:cs="Simplified Arabic"/>
          <w:w w:val="100"/>
          <w:sz w:val="24"/>
          <w:szCs w:val="24"/>
          <w:rtl/>
        </w:rPr>
        <w:t>ي</w:t>
      </w:r>
      <w:r w:rsidR="007313CD">
        <w:rPr>
          <w:rFonts w:ascii="Simplified Arabic" w:hAnsi="Simplified Arabic" w:cs="Simplified Arabic" w:hint="cs"/>
          <w:w w:val="100"/>
          <w:sz w:val="24"/>
          <w:szCs w:val="24"/>
          <w:rtl/>
        </w:rPr>
        <w:t>ــ</w:t>
      </w:r>
      <w:r w:rsidRPr="00A70CAC">
        <w:rPr>
          <w:rFonts w:ascii="Simplified Arabic" w:hAnsi="Simplified Arabic" w:cs="Simplified Arabic"/>
          <w:w w:val="100"/>
          <w:sz w:val="24"/>
          <w:szCs w:val="24"/>
          <w:rtl/>
        </w:rPr>
        <w:t xml:space="preserve">ل في </w:t>
      </w:r>
      <w:r w:rsidR="007313CD" w:rsidRPr="00A70CAC">
        <w:rPr>
          <w:rFonts w:ascii="Simplified Arabic" w:hAnsi="Simplified Arabic" w:cs="Simplified Arabic"/>
          <w:w w:val="100"/>
          <w:sz w:val="24"/>
          <w:szCs w:val="24"/>
          <w:rtl/>
        </w:rPr>
        <w:t>الفقرة</w:t>
      </w:r>
      <w:r w:rsidR="007313CD">
        <w:rPr>
          <w:rFonts w:ascii="Simplified Arabic" w:hAnsi="Simplified Arabic" w:cs="Simplified Arabic" w:hint="cs"/>
          <w:w w:val="100"/>
          <w:sz w:val="24"/>
          <w:szCs w:val="24"/>
          <w:rtl/>
        </w:rPr>
        <w:t> </w:t>
      </w:r>
      <w:r w:rsidRPr="00A70CAC">
        <w:rPr>
          <w:rFonts w:ascii="Simplified Arabic" w:hAnsi="Simplified Arabic" w:cs="Simplified Arabic"/>
          <w:w w:val="100"/>
          <w:sz w:val="24"/>
          <w:szCs w:val="24"/>
          <w:rtl/>
        </w:rPr>
        <w:t xml:space="preserve">10 أعلاه، </w:t>
      </w:r>
      <w:r w:rsidR="00C37EE7">
        <w:rPr>
          <w:rFonts w:ascii="Simplified Arabic" w:hAnsi="Simplified Arabic" w:cs="Simplified Arabic" w:hint="cs"/>
          <w:w w:val="100"/>
          <w:sz w:val="24"/>
          <w:szCs w:val="24"/>
          <w:rtl/>
        </w:rPr>
        <w:t xml:space="preserve">وعلى أساس مهام </w:t>
      </w:r>
      <w:r w:rsidRPr="00A70CAC">
        <w:rPr>
          <w:rFonts w:ascii="Simplified Arabic" w:hAnsi="Simplified Arabic" w:cs="Simplified Arabic"/>
          <w:w w:val="100"/>
          <w:sz w:val="24"/>
          <w:szCs w:val="24"/>
          <w:rtl/>
        </w:rPr>
        <w:t>المنبر ومبادئه التشغيلية، وستتيح هذه التحليلات لكي ينظر المكتب فيها.</w:t>
      </w:r>
    </w:p>
    <w:p w14:paraId="23C5A95D" w14:textId="18F25DE8" w:rsidR="009C7AC4" w:rsidRPr="00A70CAC" w:rsidRDefault="009C7AC4" w:rsidP="006D7CB5">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وتعرض في الدورة التالية للاجتماع العام قائمةُ المتقدمين بطلب الحصول على مركز المراقب</w:t>
      </w:r>
      <w:r w:rsidRPr="00A70CAC">
        <w:rPr>
          <w:rFonts w:ascii="Simplified Arabic" w:hAnsi="Simplified Arabic" w:cs="Simplified Arabic"/>
          <w:w w:val="100"/>
          <w:sz w:val="24"/>
          <w:szCs w:val="24"/>
        </w:rPr>
        <w:t xml:space="preserve"> </w:t>
      </w:r>
      <w:r w:rsidRPr="00A70CAC">
        <w:rPr>
          <w:rFonts w:ascii="Simplified Arabic" w:hAnsi="Simplified Arabic" w:cs="Simplified Arabic"/>
          <w:w w:val="100"/>
          <w:sz w:val="24"/>
          <w:szCs w:val="24"/>
          <w:rtl/>
        </w:rPr>
        <w:t>بالصيغةِ التي استعرضها المكتب، بما فيها أي طلبات غير مقبولة،</w:t>
      </w:r>
      <w:r w:rsidRPr="00A70CAC">
        <w:rPr>
          <w:rFonts w:ascii="Simplified Arabic" w:hAnsi="Simplified Arabic" w:cs="Simplified Arabic"/>
          <w:w w:val="100"/>
          <w:sz w:val="24"/>
          <w:szCs w:val="24"/>
        </w:rPr>
        <w:t xml:space="preserve"> </w:t>
      </w:r>
      <w:r w:rsidRPr="00A70CAC">
        <w:rPr>
          <w:rFonts w:ascii="Simplified Arabic" w:hAnsi="Simplified Arabic" w:cs="Simplified Arabic"/>
          <w:w w:val="100"/>
          <w:sz w:val="24"/>
          <w:szCs w:val="24"/>
          <w:rtl/>
        </w:rPr>
        <w:t>وذلك لكي ينظر فيها الاجتماع العام في دورته التالية وفقاً للنظام الداخلي.</w:t>
      </w:r>
    </w:p>
    <w:p w14:paraId="70FF0FE7" w14:textId="362F3645" w:rsidR="009C7AC4" w:rsidRPr="00A70CAC" w:rsidRDefault="009C7AC4" w:rsidP="00EA38C7">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spacing w:line="360" w:lineRule="exact"/>
        <w:ind w:left="1133"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[14-</w:t>
      </w:r>
      <w:r w:rsidRPr="00A70CAC">
        <w:rPr>
          <w:rFonts w:ascii="Simplified Arabic" w:hAnsi="Simplified Arabic" w:cs="Simplified Arabic"/>
          <w:w w:val="100"/>
          <w:sz w:val="24"/>
          <w:szCs w:val="24"/>
          <w:rtl/>
        </w:rPr>
        <w:tab/>
        <w:t>يبت الاجتماع العام للمنبر [في قبول المراقبين المـُوصى بهم في القائمة] في قبول جميع المراقبين ومشاركتهم وفقاً لنظامه الداخلي، ويجوز للمراقبين المقبولين من المكتب بناء</w:t>
      </w:r>
      <w:r w:rsidR="00CA7154">
        <w:rPr>
          <w:rFonts w:ascii="Simplified Arabic" w:hAnsi="Simplified Arabic" w:cs="Simplified Arabic" w:hint="cs"/>
          <w:w w:val="100"/>
          <w:sz w:val="24"/>
          <w:szCs w:val="24"/>
          <w:rtl/>
        </w:rPr>
        <w:t>ً</w:t>
      </w:r>
      <w:r w:rsidRPr="00A70CAC">
        <w:rPr>
          <w:rFonts w:ascii="Simplified Arabic" w:hAnsi="Simplified Arabic" w:cs="Simplified Arabic"/>
          <w:w w:val="100"/>
          <w:sz w:val="24"/>
          <w:szCs w:val="24"/>
          <w:rtl/>
        </w:rPr>
        <w:t xml:space="preserve"> على التحليل المشار إليه في </w:t>
      </w:r>
      <w:r w:rsidR="00CA7154" w:rsidRPr="00A70CAC">
        <w:rPr>
          <w:rFonts w:ascii="Simplified Arabic" w:hAnsi="Simplified Arabic" w:cs="Simplified Arabic"/>
          <w:w w:val="100"/>
          <w:sz w:val="24"/>
          <w:szCs w:val="24"/>
          <w:rtl/>
        </w:rPr>
        <w:t>الفقرة</w:t>
      </w:r>
      <w:r w:rsidR="00CA7154">
        <w:rPr>
          <w:rFonts w:ascii="Simplified Arabic" w:hAnsi="Simplified Arabic" w:cs="Simplified Arabic" w:hint="cs"/>
          <w:w w:val="100"/>
          <w:sz w:val="24"/>
          <w:szCs w:val="24"/>
          <w:rtl/>
        </w:rPr>
        <w:t> </w:t>
      </w:r>
      <w:r w:rsidRPr="00A70CAC">
        <w:rPr>
          <w:rFonts w:ascii="Simplified Arabic" w:hAnsi="Simplified Arabic" w:cs="Simplified Arabic"/>
          <w:w w:val="100"/>
          <w:sz w:val="24"/>
          <w:szCs w:val="24"/>
          <w:rtl/>
        </w:rPr>
        <w:t>13 حضور جلسة للاجتماع العام والمشاركة فيها [طالما لم يعترض أي من أعضاء المنبر على ذلك] [إلا إذا اعترض على ذلك ثلث الأعضاء الحاضرين في الجلسة على الأقل].]</w:t>
      </w:r>
    </w:p>
    <w:p w14:paraId="0411F6D3" w14:textId="2EF1A0D4" w:rsidR="009C7AC4" w:rsidRPr="00A70CAC" w:rsidRDefault="009C7AC4" w:rsidP="006D7CB5">
      <w:pPr>
        <w:pStyle w:val="SingleTxt"/>
        <w:numPr>
          <w:ilvl w:val="0"/>
          <w:numId w:val="10"/>
        </w:numPr>
        <w:tabs>
          <w:tab w:val="clear" w:pos="1267"/>
          <w:tab w:val="clear" w:pos="1930"/>
          <w:tab w:val="clear" w:pos="2592"/>
          <w:tab w:val="clear" w:pos="3254"/>
          <w:tab w:val="clear" w:pos="3917"/>
          <w:tab w:val="clear" w:pos="4579"/>
          <w:tab w:val="clear" w:pos="5242"/>
          <w:tab w:val="clear" w:pos="5904"/>
          <w:tab w:val="clear" w:pos="6566"/>
          <w:tab w:val="left" w:pos="2408"/>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يدرج قبول المراقبين الجدد كبند عادي من بنود جدول أعمال اجتماعات المكتب ودورات الاجتماع العام، بما يتسق وأي نظام داخلي معمول به.</w:t>
      </w:r>
    </w:p>
    <w:p w14:paraId="4036B154" w14:textId="668F8582" w:rsidR="009C7AC4" w:rsidRPr="00A70CAC" w:rsidRDefault="009C7AC4" w:rsidP="00C7383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[16-</w:t>
      </w:r>
      <w:r w:rsidRPr="00A70CAC">
        <w:rPr>
          <w:rFonts w:ascii="Simplified Arabic" w:hAnsi="Simplified Arabic" w:cs="Simplified Arabic"/>
          <w:w w:val="100"/>
          <w:sz w:val="24"/>
          <w:szCs w:val="24"/>
          <w:rtl/>
        </w:rPr>
        <w:tab/>
        <w:t>في حالة سحب مركز المراقب لأي سبب من الأسباب، يجوز للرئيس أن يعلق مركز المراقب الممنوح للمراقب المعني بالأمر رهناً بموافقة [المكتب] [الاجتماع العام] على ذلك.]</w:t>
      </w:r>
    </w:p>
    <w:p w14:paraId="0D3DB198" w14:textId="725AE2B9" w:rsidR="009C7AC4" w:rsidRPr="00A70CAC" w:rsidRDefault="009C7AC4" w:rsidP="006D7CB5">
      <w:pPr>
        <w:pStyle w:val="SingleTxt"/>
        <w:numPr>
          <w:ilvl w:val="0"/>
          <w:numId w:val="11"/>
        </w:numPr>
        <w:tabs>
          <w:tab w:val="clear" w:pos="1267"/>
          <w:tab w:val="clear" w:pos="1930"/>
          <w:tab w:val="clear" w:pos="2592"/>
          <w:tab w:val="clear" w:pos="3254"/>
          <w:tab w:val="clear" w:pos="3917"/>
          <w:tab w:val="clear" w:pos="4579"/>
          <w:tab w:val="clear" w:pos="5242"/>
          <w:tab w:val="clear" w:pos="5904"/>
          <w:tab w:val="clear" w:pos="6566"/>
          <w:tab w:val="left" w:pos="2408"/>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لا يجوز لأي</w:t>
      </w:r>
      <w:r w:rsidRPr="00A70CAC">
        <w:rPr>
          <w:rFonts w:ascii="Simplified Arabic" w:hAnsi="Simplified Arabic" w:cs="Simplified Arabic"/>
          <w:w w:val="100"/>
          <w:sz w:val="24"/>
          <w:szCs w:val="24"/>
        </w:rPr>
        <w:t xml:space="preserve"> </w:t>
      </w:r>
      <w:r w:rsidRPr="00A70CAC">
        <w:rPr>
          <w:rFonts w:ascii="Simplified Arabic" w:hAnsi="Simplified Arabic" w:cs="Simplified Arabic"/>
          <w:w w:val="100"/>
          <w:sz w:val="24"/>
          <w:szCs w:val="24"/>
          <w:rtl/>
        </w:rPr>
        <w:t>جهة مراقبة أن تحتفظ بمركزها هذا إلا بشرط استيفاء الشروط المحددة لمركز المراقب في هذه الوثيقة وأي أحكام أخرى ذات صلة من النظام الداخلي للمنبر.]</w:t>
      </w:r>
    </w:p>
    <w:p w14:paraId="12D2D20A" w14:textId="4E986CBA" w:rsidR="009C7AC4" w:rsidRPr="00A70CAC" w:rsidRDefault="00C73835" w:rsidP="00C73835">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60" w:lineRule="exact"/>
        <w:ind w:left="1134" w:right="0"/>
        <w:jc w:val="center"/>
        <w:rPr>
          <w:rFonts w:ascii="Simplified Arabic" w:hAnsi="Simplified Arabic" w:cs="Simplified Arabic"/>
          <w:w w:val="100"/>
          <w:sz w:val="24"/>
          <w:szCs w:val="24"/>
          <w:rtl/>
          <w:lang w:bidi="ar-EG"/>
        </w:rPr>
      </w:pPr>
      <w:r>
        <w:rPr>
          <w:rFonts w:ascii="Simplified Arabic" w:hAnsi="Simplified Arabic" w:cs="Simplified Arabic" w:hint="cs"/>
          <w:w w:val="100"/>
          <w:sz w:val="24"/>
          <w:szCs w:val="24"/>
          <w:rtl/>
        </w:rPr>
        <w:t>_____________</w:t>
      </w:r>
    </w:p>
    <w:sectPr w:rsidR="009C7AC4" w:rsidRPr="00A70CAC" w:rsidSect="00174564">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D8A2" w14:textId="77777777" w:rsidR="00B13463" w:rsidRDefault="00B13463">
      <w:r>
        <w:separator/>
      </w:r>
    </w:p>
  </w:endnote>
  <w:endnote w:type="continuationSeparator" w:id="0">
    <w:p w14:paraId="5FC48DD8" w14:textId="77777777" w:rsidR="00B13463" w:rsidRDefault="00B1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Simplified Arabic">
    <w:altName w:val="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5147451B" w:rsidR="005B145C" w:rsidRPr="00CB261B" w:rsidRDefault="005B145C"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A71AD0">
      <w:rPr>
        <w:rStyle w:val="PageNumber"/>
        <w:rFonts w:ascii="Times New Roman" w:hAnsi="Times New Roman" w:cs="Times New Roman"/>
        <w:szCs w:val="20"/>
      </w:rPr>
      <w:t>2</w:t>
    </w:r>
    <w:r w:rsidRPr="00CB261B">
      <w:rPr>
        <w:rStyle w:val="PageNumber"/>
        <w:rFonts w:ascii="Times New Roman" w:hAnsi="Times New Roman" w:cs="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5B145C" w:rsidRPr="00CB261B" w:rsidRDefault="005B145C"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C37EE7">
      <w:rPr>
        <w:rStyle w:val="PageNumber"/>
        <w:rFonts w:ascii="Times New Roman" w:hAnsi="Times New Roman" w:cs="Times New Roman"/>
        <w:szCs w:val="20"/>
      </w:rPr>
      <w:t>3</w:t>
    </w:r>
    <w:r w:rsidRPr="00CB261B">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noProof w:val="0"/>
        <w:rtl/>
      </w:rPr>
      <w:id w:val="-733771270"/>
      <w:docPartObj>
        <w:docPartGallery w:val="Page Numbers (Bottom of Page)"/>
        <w:docPartUnique/>
      </w:docPartObj>
    </w:sdtPr>
    <w:sdtEndPr>
      <w:rPr>
        <w:noProof/>
      </w:rPr>
    </w:sdtEndPr>
    <w:sdtContent>
      <w:p w14:paraId="673B38E2" w14:textId="03577ED2" w:rsidR="005B145C" w:rsidRPr="009C6AA0" w:rsidRDefault="009C6AA0" w:rsidP="009C6AA0">
        <w:pPr>
          <w:pStyle w:val="Footer"/>
          <w:tabs>
            <w:tab w:val="clear" w:pos="4153"/>
            <w:tab w:val="clear" w:pos="8306"/>
            <w:tab w:val="left" w:pos="1133"/>
          </w:tabs>
          <w:jc w:val="left"/>
          <w:rPr>
            <w:rFonts w:asciiTheme="majorBidi" w:hAnsiTheme="majorBidi" w:cstheme="majorBidi"/>
          </w:rPr>
        </w:pPr>
        <w:r w:rsidRPr="009C6AA0">
          <w:rPr>
            <w:rFonts w:asciiTheme="majorBidi" w:hAnsiTheme="majorBidi" w:cstheme="majorBidi"/>
            <w:noProof w:val="0"/>
          </w:rPr>
          <w:t>K2</w:t>
        </w:r>
        <w:r w:rsidR="00F36A83">
          <w:rPr>
            <w:rFonts w:asciiTheme="majorBidi" w:hAnsiTheme="majorBidi" w:cstheme="majorBidi"/>
            <w:noProof w:val="0"/>
          </w:rPr>
          <w:t>200986</w:t>
        </w:r>
        <w:r w:rsidRPr="009C6AA0">
          <w:rPr>
            <w:rFonts w:asciiTheme="majorBidi" w:hAnsiTheme="majorBidi" w:cstheme="majorBidi"/>
            <w:noProof w:val="0"/>
          </w:rPr>
          <w:tab/>
        </w:r>
        <w:r w:rsidR="00FB60B6">
          <w:rPr>
            <w:rFonts w:asciiTheme="majorBidi" w:hAnsiTheme="majorBidi" w:cstheme="majorBidi"/>
            <w:noProof w:val="0"/>
          </w:rPr>
          <w:t>090522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C883" w14:textId="77777777" w:rsidR="00B13463" w:rsidRDefault="00B13463" w:rsidP="00684243">
      <w:pPr>
        <w:ind w:left="720"/>
      </w:pPr>
      <w:r>
        <w:separator/>
      </w:r>
    </w:p>
  </w:footnote>
  <w:footnote w:type="continuationSeparator" w:id="0">
    <w:p w14:paraId="2613A798" w14:textId="77777777" w:rsidR="00B13463" w:rsidRDefault="00B13463">
      <w:r>
        <w:continuationSeparator/>
      </w:r>
    </w:p>
  </w:footnote>
  <w:footnote w:id="1">
    <w:p w14:paraId="45167F52" w14:textId="3725CA17" w:rsidR="000B3617" w:rsidRPr="000B3617" w:rsidRDefault="000B3617" w:rsidP="000B3617">
      <w:pPr>
        <w:pStyle w:val="FootnoteText"/>
        <w:spacing w:after="40" w:line="280" w:lineRule="exact"/>
        <w:ind w:left="1134"/>
        <w:jc w:val="both"/>
        <w:rPr>
          <w:rFonts w:ascii="Simplified Arabic" w:hAnsi="Simplified Arabic"/>
          <w:lang w:bidi="ar-EG"/>
        </w:rPr>
      </w:pPr>
      <w:r w:rsidRPr="000B3617">
        <w:rPr>
          <w:rStyle w:val="FootnoteReference"/>
          <w:rFonts w:ascii="Simplified Arabic" w:hAnsi="Simplified Arabic" w:hint="cs"/>
          <w:vertAlign w:val="baseline"/>
          <w:rtl/>
        </w:rPr>
        <w:t>*</w:t>
      </w:r>
      <w:r w:rsidRPr="000B3617">
        <w:rPr>
          <w:rFonts w:ascii="Simplified Arabic" w:hAnsi="Simplified Arabic" w:hint="cs"/>
          <w:rtl/>
          <w:lang w:bidi="ar-EG"/>
        </w:rPr>
        <w:t xml:space="preserve">  </w:t>
      </w:r>
      <w:r w:rsidRPr="000B3617">
        <w:rPr>
          <w:rFonts w:asciiTheme="majorBidi" w:hAnsiTheme="majorBidi" w:cstheme="majorBidi"/>
          <w:sz w:val="18"/>
          <w:szCs w:val="18"/>
        </w:rPr>
        <w:t>IPBES/9/1</w:t>
      </w:r>
      <w:r w:rsidRPr="000B3617">
        <w:rPr>
          <w:rFonts w:ascii="Simplified Arabic" w:hAnsi="Simplified Arabic" w:hint="cs"/>
          <w:rtl/>
        </w:rPr>
        <w:t>.</w:t>
      </w:r>
    </w:p>
  </w:footnote>
  <w:footnote w:id="2">
    <w:p w14:paraId="2484D68C" w14:textId="787E68B9" w:rsidR="009C7AC4" w:rsidRPr="00DE0796" w:rsidRDefault="009C7AC4" w:rsidP="00CF1502">
      <w:pPr>
        <w:pStyle w:val="FootnoteText"/>
        <w:spacing w:after="40" w:line="280" w:lineRule="exact"/>
        <w:ind w:left="1134"/>
        <w:jc w:val="both"/>
        <w:rPr>
          <w:rFonts w:ascii="Simplified Arabic" w:hAnsi="Simplified Arabic"/>
          <w:lang w:val="en-GB"/>
        </w:rPr>
      </w:pPr>
      <w:r w:rsidRPr="00DE0796">
        <w:rPr>
          <w:rFonts w:ascii="Simplified Arabic" w:hAnsi="Simplified Arabic"/>
          <w:noProof w:val="0"/>
          <w:w w:val="103"/>
          <w:rtl/>
        </w:rPr>
        <w:t>(</w:t>
      </w:r>
      <w:r w:rsidRPr="00DE0796">
        <w:rPr>
          <w:rStyle w:val="FootnoteReference"/>
          <w:rFonts w:ascii="Simplified Arabic" w:hAnsi="Simplified Arabic"/>
          <w:vertAlign w:val="baseline"/>
          <w:rtl/>
        </w:rPr>
        <w:footnoteRef/>
      </w:r>
      <w:r w:rsidRPr="00DE0796">
        <w:rPr>
          <w:rFonts w:ascii="Simplified Arabic" w:hAnsi="Simplified Arabic"/>
          <w:noProof w:val="0"/>
          <w:w w:val="103"/>
          <w:rtl/>
        </w:rPr>
        <w:t xml:space="preserve">)  في المادة 5 من النظام الداخلي للاجتماع العام للمنبر (الذي اعتُمد في المقرر </w:t>
      </w:r>
      <w:bookmarkStart w:id="0" w:name="_Hlk101378713"/>
      <w:r w:rsidR="00F31535" w:rsidRPr="00DE0796">
        <w:rPr>
          <w:rFonts w:ascii="Simplified Arabic" w:hAnsi="Simplified Arabic"/>
          <w:noProof w:val="0"/>
          <w:w w:val="103"/>
          <w:rtl/>
        </w:rPr>
        <w:t>م</w:t>
      </w:r>
      <w:r w:rsidR="00F31535">
        <w:rPr>
          <w:rFonts w:ascii="Simplified Arabic" w:hAnsi="Simplified Arabic" w:hint="cs"/>
          <w:noProof w:val="0"/>
          <w:w w:val="103"/>
          <w:rtl/>
        </w:rPr>
        <w:t>.</w:t>
      </w:r>
      <w:r w:rsidR="00F31535" w:rsidRPr="00DE0796">
        <w:rPr>
          <w:rFonts w:ascii="Simplified Arabic" w:hAnsi="Simplified Arabic"/>
          <w:noProof w:val="0"/>
          <w:w w:val="103"/>
          <w:rtl/>
        </w:rPr>
        <w:t>ح</w:t>
      </w:r>
      <w:r w:rsidR="00F31535">
        <w:rPr>
          <w:rFonts w:ascii="Simplified Arabic" w:hAnsi="Simplified Arabic" w:hint="cs"/>
          <w:noProof w:val="0"/>
          <w:w w:val="103"/>
          <w:rtl/>
        </w:rPr>
        <w:t>.</w:t>
      </w:r>
      <w:bookmarkEnd w:id="0"/>
      <w:r w:rsidRPr="00DE0796">
        <w:rPr>
          <w:rFonts w:ascii="Simplified Arabic" w:hAnsi="Simplified Arabic"/>
          <w:noProof w:val="0"/>
          <w:w w:val="103"/>
          <w:rtl/>
        </w:rPr>
        <w:t xml:space="preserve">د-1/1 وعُدِّل في المقرر </w:t>
      </w:r>
      <w:r w:rsidR="00F31535" w:rsidRPr="00DE0796">
        <w:rPr>
          <w:rFonts w:ascii="Simplified Arabic" w:hAnsi="Simplified Arabic"/>
          <w:noProof w:val="0"/>
          <w:w w:val="103"/>
          <w:rtl/>
        </w:rPr>
        <w:t>م</w:t>
      </w:r>
      <w:r w:rsidR="00F31535">
        <w:rPr>
          <w:rFonts w:ascii="Simplified Arabic" w:hAnsi="Simplified Arabic" w:hint="cs"/>
          <w:noProof w:val="0"/>
          <w:w w:val="103"/>
          <w:rtl/>
        </w:rPr>
        <w:t>.</w:t>
      </w:r>
      <w:r w:rsidR="00F31535" w:rsidRPr="00DE0796">
        <w:rPr>
          <w:rFonts w:ascii="Simplified Arabic" w:hAnsi="Simplified Arabic"/>
          <w:noProof w:val="0"/>
          <w:w w:val="103"/>
          <w:rtl/>
        </w:rPr>
        <w:t>ح</w:t>
      </w:r>
      <w:r w:rsidR="00F31535">
        <w:rPr>
          <w:rFonts w:ascii="Simplified Arabic" w:hAnsi="Simplified Arabic" w:hint="cs"/>
          <w:noProof w:val="0"/>
          <w:w w:val="103"/>
          <w:rtl/>
        </w:rPr>
        <w:t>.</w:t>
      </w:r>
      <w:r w:rsidR="00F31535" w:rsidRPr="00DE0796">
        <w:rPr>
          <w:rFonts w:ascii="Simplified Arabic" w:hAnsi="Simplified Arabic"/>
          <w:noProof w:val="0"/>
          <w:w w:val="103"/>
          <w:rtl/>
        </w:rPr>
        <w:t>د</w:t>
      </w:r>
      <w:r w:rsidRPr="00DE0796">
        <w:rPr>
          <w:rFonts w:ascii="Simplified Arabic" w:hAnsi="Simplified Arabic"/>
          <w:noProof w:val="0"/>
          <w:w w:val="103"/>
          <w:rtl/>
        </w:rPr>
        <w:t>-2/1)، يشار إلى أن المسائل المتعلقة بعضوية و</w:t>
      </w:r>
      <w:r w:rsidRPr="00DE0796">
        <w:rPr>
          <w:rFonts w:ascii="Simplified Arabic" w:hAnsi="Simplified Arabic"/>
          <w:noProof w:val="0"/>
          <w:w w:val="103"/>
        </w:rPr>
        <w:t>/</w:t>
      </w:r>
      <w:r w:rsidRPr="00DE0796">
        <w:rPr>
          <w:rFonts w:ascii="Simplified Arabic" w:hAnsi="Simplified Arabic"/>
          <w:noProof w:val="0"/>
          <w:w w:val="103"/>
          <w:rtl/>
        </w:rPr>
        <w:t xml:space="preserve">أو مشاركة المنظمات الإقليمية للتكامل الاقتصادي </w:t>
      </w:r>
      <w:r w:rsidRPr="00DE0796">
        <w:rPr>
          <w:rFonts w:ascii="Simplified Arabic" w:hAnsi="Simplified Arabic"/>
          <w:noProof w:val="0"/>
          <w:w w:val="103"/>
          <w:rtl/>
          <w:lang w:val="en-GB"/>
        </w:rPr>
        <w:t>ما زالت</w:t>
      </w:r>
      <w:r w:rsidRPr="00DE0796">
        <w:rPr>
          <w:rFonts w:ascii="Simplified Arabic" w:hAnsi="Simplified Arabic"/>
          <w:noProof w:val="0"/>
          <w:w w:val="103"/>
          <w:rtl/>
        </w:rPr>
        <w:t xml:space="preserve"> قيد النقاش بهدف التوصل إلى حل بشأنها في أقرب وقت ممكن. ويشار أيضاً إلى أن باب المشاركة مفتوح للمنظمات الإقليمية للتكامل الاقتصادي وذلك كجهات مراقبة بصورة مؤقتة</w:t>
      </w:r>
      <w:r w:rsidRPr="00DE0796">
        <w:rPr>
          <w:rFonts w:ascii="Simplified Arabic" w:hAnsi="Simplified Arabic"/>
          <w:noProof w:val="0"/>
          <w:w w:val="10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75B55679" w:rsidR="005B145C" w:rsidRPr="0073400D" w:rsidRDefault="00C7091A" w:rsidP="00A266C6">
    <w:pPr>
      <w:pBdr>
        <w:bottom w:val="single" w:sz="4" w:space="0" w:color="auto"/>
      </w:pBdr>
      <w:spacing w:before="20" w:after="40"/>
      <w:rPr>
        <w:b/>
        <w:bCs/>
        <w:sz w:val="17"/>
        <w:szCs w:val="17"/>
        <w:rtl/>
        <w:lang w:val="fr-FR"/>
      </w:rPr>
    </w:pPr>
    <w:r w:rsidRPr="00C7091A">
      <w:rPr>
        <w:rStyle w:val="PageNumber"/>
        <w:rFonts w:cs="Times New Roman"/>
        <w:b/>
        <w:bCs/>
        <w:sz w:val="17"/>
        <w:szCs w:val="17"/>
        <w:lang w:val="fr-FR"/>
      </w:rPr>
      <w:t>IPBES/9/3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5F2" w14:textId="7569F5F5" w:rsidR="005B145C" w:rsidRPr="004429C9" w:rsidRDefault="00C7091A" w:rsidP="004429C9">
    <w:pPr>
      <w:pBdr>
        <w:bottom w:val="single" w:sz="4" w:space="0" w:color="auto"/>
      </w:pBdr>
      <w:bidi w:val="0"/>
      <w:spacing w:before="20" w:after="40"/>
      <w:rPr>
        <w:sz w:val="16"/>
        <w:szCs w:val="16"/>
      </w:rPr>
    </w:pPr>
    <w:r w:rsidRPr="00C7091A">
      <w:rPr>
        <w:rStyle w:val="PageNumber"/>
        <w:rFonts w:cs="Times New Roman"/>
        <w:b/>
        <w:bCs/>
        <w:sz w:val="17"/>
        <w:szCs w:val="17"/>
        <w:lang w:val="fr-FR"/>
      </w:rPr>
      <w:t>IPBES/9/3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F1B" w14:textId="2DCC028C" w:rsidR="00F83E7D" w:rsidRPr="003D6FDE" w:rsidRDefault="00F83E7D" w:rsidP="003D6FDE">
    <w:pPr>
      <w:bidi w:val="0"/>
      <w:spacing w:before="20" w:after="4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D04"/>
    <w:multiLevelType w:val="hybridMultilevel"/>
    <w:tmpl w:val="4A1C60BA"/>
    <w:lvl w:ilvl="0" w:tplc="8E74A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0B42"/>
    <w:multiLevelType w:val="hybridMultilevel"/>
    <w:tmpl w:val="135AABD4"/>
    <w:lvl w:ilvl="0" w:tplc="B4BAE47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5" w15:restartNumberingAfterBreak="0">
    <w:nsid w:val="2C7A0B64"/>
    <w:multiLevelType w:val="multilevel"/>
    <w:tmpl w:val="5B66F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C967A20"/>
    <w:multiLevelType w:val="hybridMultilevel"/>
    <w:tmpl w:val="D9041EB6"/>
    <w:lvl w:ilvl="0" w:tplc="4E42C3F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70638"/>
    <w:multiLevelType w:val="hybridMultilevel"/>
    <w:tmpl w:val="944252E2"/>
    <w:lvl w:ilvl="0" w:tplc="F14ED6E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656F1E60"/>
    <w:multiLevelType w:val="hybridMultilevel"/>
    <w:tmpl w:val="3A6A8008"/>
    <w:lvl w:ilvl="0" w:tplc="294232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1"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4">
    <w:abstractNumId w:val="4"/>
  </w:num>
  <w:num w:numId="5">
    <w:abstractNumId w:val="11"/>
  </w:num>
  <w:num w:numId="6">
    <w:abstractNumId w:val="3"/>
  </w:num>
  <w:num w:numId="7">
    <w:abstractNumId w:val="0"/>
  </w:num>
  <w:num w:numId="8">
    <w:abstractNumId w:val="9"/>
  </w:num>
  <w:num w:numId="9">
    <w:abstractNumId w:val="6"/>
  </w:num>
  <w:num w:numId="10">
    <w:abstractNumId w:val="7"/>
  </w:num>
  <w:num w:numId="11">
    <w:abstractNumId w:val="1"/>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71"/>
  <w:drawingGridVerticalSpacing w:val="233"/>
  <w:displayHorizontalDrawingGridEvery w:val="0"/>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326C"/>
    <w:rsid w:val="00006216"/>
    <w:rsid w:val="0000791E"/>
    <w:rsid w:val="00010AEC"/>
    <w:rsid w:val="00016B71"/>
    <w:rsid w:val="00016F9B"/>
    <w:rsid w:val="000242CB"/>
    <w:rsid w:val="00026AB9"/>
    <w:rsid w:val="0003075A"/>
    <w:rsid w:val="0003131F"/>
    <w:rsid w:val="00031BC1"/>
    <w:rsid w:val="00033595"/>
    <w:rsid w:val="000339B8"/>
    <w:rsid w:val="00033A5C"/>
    <w:rsid w:val="000346C2"/>
    <w:rsid w:val="000359C0"/>
    <w:rsid w:val="00035D0F"/>
    <w:rsid w:val="00035DFB"/>
    <w:rsid w:val="000403C9"/>
    <w:rsid w:val="00056A99"/>
    <w:rsid w:val="0006021A"/>
    <w:rsid w:val="00067F7C"/>
    <w:rsid w:val="0008088A"/>
    <w:rsid w:val="00082B96"/>
    <w:rsid w:val="0008343B"/>
    <w:rsid w:val="000844F9"/>
    <w:rsid w:val="00092517"/>
    <w:rsid w:val="00095712"/>
    <w:rsid w:val="000A27EE"/>
    <w:rsid w:val="000A2893"/>
    <w:rsid w:val="000A6E39"/>
    <w:rsid w:val="000B2598"/>
    <w:rsid w:val="000B3617"/>
    <w:rsid w:val="000B3CA0"/>
    <w:rsid w:val="000B502D"/>
    <w:rsid w:val="000B6B96"/>
    <w:rsid w:val="000C1415"/>
    <w:rsid w:val="000C2ECA"/>
    <w:rsid w:val="000C473C"/>
    <w:rsid w:val="000C60CD"/>
    <w:rsid w:val="000C64CB"/>
    <w:rsid w:val="000C6AF1"/>
    <w:rsid w:val="000C70BB"/>
    <w:rsid w:val="000C72D5"/>
    <w:rsid w:val="000D3BD5"/>
    <w:rsid w:val="000D5CA1"/>
    <w:rsid w:val="000D716E"/>
    <w:rsid w:val="000E6626"/>
    <w:rsid w:val="000E685E"/>
    <w:rsid w:val="000E72D6"/>
    <w:rsid w:val="000F083C"/>
    <w:rsid w:val="000F39C0"/>
    <w:rsid w:val="000F463A"/>
    <w:rsid w:val="000F712A"/>
    <w:rsid w:val="001017F6"/>
    <w:rsid w:val="00102A11"/>
    <w:rsid w:val="001056BF"/>
    <w:rsid w:val="00105907"/>
    <w:rsid w:val="00107C41"/>
    <w:rsid w:val="00111A3E"/>
    <w:rsid w:val="00111DDA"/>
    <w:rsid w:val="00115C7F"/>
    <w:rsid w:val="0012040B"/>
    <w:rsid w:val="001223A2"/>
    <w:rsid w:val="00123D61"/>
    <w:rsid w:val="00124CC4"/>
    <w:rsid w:val="00126193"/>
    <w:rsid w:val="001278E9"/>
    <w:rsid w:val="00130365"/>
    <w:rsid w:val="00131CE1"/>
    <w:rsid w:val="001367EA"/>
    <w:rsid w:val="001368B8"/>
    <w:rsid w:val="001369C6"/>
    <w:rsid w:val="00137782"/>
    <w:rsid w:val="0014131C"/>
    <w:rsid w:val="0014278C"/>
    <w:rsid w:val="00142AE3"/>
    <w:rsid w:val="00144172"/>
    <w:rsid w:val="001466D9"/>
    <w:rsid w:val="00147C03"/>
    <w:rsid w:val="00147D7B"/>
    <w:rsid w:val="00153644"/>
    <w:rsid w:val="00154CC2"/>
    <w:rsid w:val="00155F84"/>
    <w:rsid w:val="001578B2"/>
    <w:rsid w:val="0016168E"/>
    <w:rsid w:val="0016255E"/>
    <w:rsid w:val="00165669"/>
    <w:rsid w:val="00165BE3"/>
    <w:rsid w:val="00167110"/>
    <w:rsid w:val="0017427B"/>
    <w:rsid w:val="00174564"/>
    <w:rsid w:val="00174F93"/>
    <w:rsid w:val="00177C0C"/>
    <w:rsid w:val="001841AD"/>
    <w:rsid w:val="001844E3"/>
    <w:rsid w:val="00186DE2"/>
    <w:rsid w:val="00186FE8"/>
    <w:rsid w:val="00192535"/>
    <w:rsid w:val="001935E9"/>
    <w:rsid w:val="00193A98"/>
    <w:rsid w:val="00195098"/>
    <w:rsid w:val="001A0F83"/>
    <w:rsid w:val="001A2594"/>
    <w:rsid w:val="001A60C6"/>
    <w:rsid w:val="001B03D9"/>
    <w:rsid w:val="001B3A70"/>
    <w:rsid w:val="001B4F78"/>
    <w:rsid w:val="001C1035"/>
    <w:rsid w:val="001C1F65"/>
    <w:rsid w:val="001C51CC"/>
    <w:rsid w:val="001C6873"/>
    <w:rsid w:val="001D0669"/>
    <w:rsid w:val="001D2143"/>
    <w:rsid w:val="001D3A25"/>
    <w:rsid w:val="001D6F72"/>
    <w:rsid w:val="001D7638"/>
    <w:rsid w:val="001E0F09"/>
    <w:rsid w:val="001E4795"/>
    <w:rsid w:val="001E6E8E"/>
    <w:rsid w:val="001F0C9C"/>
    <w:rsid w:val="001F0E7F"/>
    <w:rsid w:val="001F171C"/>
    <w:rsid w:val="001F390D"/>
    <w:rsid w:val="00200D1B"/>
    <w:rsid w:val="0020178E"/>
    <w:rsid w:val="00205A66"/>
    <w:rsid w:val="00206F57"/>
    <w:rsid w:val="002079F8"/>
    <w:rsid w:val="0021634D"/>
    <w:rsid w:val="00224248"/>
    <w:rsid w:val="0022427E"/>
    <w:rsid w:val="0023160B"/>
    <w:rsid w:val="002323CD"/>
    <w:rsid w:val="002355D3"/>
    <w:rsid w:val="00236E53"/>
    <w:rsid w:val="002450E7"/>
    <w:rsid w:val="00247C7F"/>
    <w:rsid w:val="00251749"/>
    <w:rsid w:val="00252430"/>
    <w:rsid w:val="00253BCB"/>
    <w:rsid w:val="00256DEC"/>
    <w:rsid w:val="00260C3B"/>
    <w:rsid w:val="00261451"/>
    <w:rsid w:val="002615F7"/>
    <w:rsid w:val="0026399C"/>
    <w:rsid w:val="002653F1"/>
    <w:rsid w:val="00267DA8"/>
    <w:rsid w:val="00272AB2"/>
    <w:rsid w:val="00273F23"/>
    <w:rsid w:val="0027421F"/>
    <w:rsid w:val="00276E48"/>
    <w:rsid w:val="00280BE3"/>
    <w:rsid w:val="0028306F"/>
    <w:rsid w:val="002A003B"/>
    <w:rsid w:val="002A188D"/>
    <w:rsid w:val="002A3D7D"/>
    <w:rsid w:val="002A7552"/>
    <w:rsid w:val="002B14DB"/>
    <w:rsid w:val="002B2CC9"/>
    <w:rsid w:val="002B42EE"/>
    <w:rsid w:val="002B5AB9"/>
    <w:rsid w:val="002C1F45"/>
    <w:rsid w:val="002C60AD"/>
    <w:rsid w:val="002C66EC"/>
    <w:rsid w:val="002D0FCA"/>
    <w:rsid w:val="002D12BC"/>
    <w:rsid w:val="002D2E8C"/>
    <w:rsid w:val="002D5C13"/>
    <w:rsid w:val="002D7BBF"/>
    <w:rsid w:val="002E5262"/>
    <w:rsid w:val="002E6D42"/>
    <w:rsid w:val="002E7390"/>
    <w:rsid w:val="002F04D5"/>
    <w:rsid w:val="002F11C2"/>
    <w:rsid w:val="002F5582"/>
    <w:rsid w:val="002F5CF3"/>
    <w:rsid w:val="002F623B"/>
    <w:rsid w:val="002F6CDA"/>
    <w:rsid w:val="002F74A0"/>
    <w:rsid w:val="002F7E3C"/>
    <w:rsid w:val="00302E29"/>
    <w:rsid w:val="00302EAD"/>
    <w:rsid w:val="00303816"/>
    <w:rsid w:val="00311B7C"/>
    <w:rsid w:val="00313B61"/>
    <w:rsid w:val="00316A0D"/>
    <w:rsid w:val="003178AB"/>
    <w:rsid w:val="00317B52"/>
    <w:rsid w:val="00317E61"/>
    <w:rsid w:val="00317FD9"/>
    <w:rsid w:val="00325BBC"/>
    <w:rsid w:val="0033719B"/>
    <w:rsid w:val="00344240"/>
    <w:rsid w:val="003501E1"/>
    <w:rsid w:val="003553DB"/>
    <w:rsid w:val="00355949"/>
    <w:rsid w:val="00361B58"/>
    <w:rsid w:val="00371CB9"/>
    <w:rsid w:val="00372CE2"/>
    <w:rsid w:val="003818CC"/>
    <w:rsid w:val="0038322E"/>
    <w:rsid w:val="00386BD3"/>
    <w:rsid w:val="00386CAA"/>
    <w:rsid w:val="003901C3"/>
    <w:rsid w:val="00390CD8"/>
    <w:rsid w:val="003923ED"/>
    <w:rsid w:val="00392BF1"/>
    <w:rsid w:val="00393747"/>
    <w:rsid w:val="003948F9"/>
    <w:rsid w:val="00397363"/>
    <w:rsid w:val="003A1ECB"/>
    <w:rsid w:val="003A33E1"/>
    <w:rsid w:val="003A40E2"/>
    <w:rsid w:val="003A45FC"/>
    <w:rsid w:val="003B1924"/>
    <w:rsid w:val="003B1A9E"/>
    <w:rsid w:val="003B507C"/>
    <w:rsid w:val="003B68FE"/>
    <w:rsid w:val="003B7A76"/>
    <w:rsid w:val="003C0ED0"/>
    <w:rsid w:val="003C79FC"/>
    <w:rsid w:val="003D3448"/>
    <w:rsid w:val="003D355A"/>
    <w:rsid w:val="003D482F"/>
    <w:rsid w:val="003D6FDE"/>
    <w:rsid w:val="003E22A7"/>
    <w:rsid w:val="003E4E41"/>
    <w:rsid w:val="003E6341"/>
    <w:rsid w:val="003E67EA"/>
    <w:rsid w:val="003E7DBD"/>
    <w:rsid w:val="003F003D"/>
    <w:rsid w:val="003F77FF"/>
    <w:rsid w:val="0040218B"/>
    <w:rsid w:val="00405211"/>
    <w:rsid w:val="00406B08"/>
    <w:rsid w:val="00411FDD"/>
    <w:rsid w:val="004128F1"/>
    <w:rsid w:val="00412A8E"/>
    <w:rsid w:val="0041646F"/>
    <w:rsid w:val="004177DF"/>
    <w:rsid w:val="00425186"/>
    <w:rsid w:val="00436DB5"/>
    <w:rsid w:val="004429C9"/>
    <w:rsid w:val="00447F0E"/>
    <w:rsid w:val="00451081"/>
    <w:rsid w:val="00451ABD"/>
    <w:rsid w:val="004606CA"/>
    <w:rsid w:val="0046491D"/>
    <w:rsid w:val="00471E03"/>
    <w:rsid w:val="00472C66"/>
    <w:rsid w:val="00474286"/>
    <w:rsid w:val="00477260"/>
    <w:rsid w:val="00477BB6"/>
    <w:rsid w:val="004806A7"/>
    <w:rsid w:val="0048104F"/>
    <w:rsid w:val="00481287"/>
    <w:rsid w:val="00483C08"/>
    <w:rsid w:val="00483FE5"/>
    <w:rsid w:val="004845CD"/>
    <w:rsid w:val="00485260"/>
    <w:rsid w:val="00485C5C"/>
    <w:rsid w:val="004868EF"/>
    <w:rsid w:val="00486DFC"/>
    <w:rsid w:val="00486EF1"/>
    <w:rsid w:val="004916B5"/>
    <w:rsid w:val="0049182D"/>
    <w:rsid w:val="00495361"/>
    <w:rsid w:val="004966B3"/>
    <w:rsid w:val="004A0852"/>
    <w:rsid w:val="004A28BC"/>
    <w:rsid w:val="004A5398"/>
    <w:rsid w:val="004A5C01"/>
    <w:rsid w:val="004A7B5C"/>
    <w:rsid w:val="004B0A17"/>
    <w:rsid w:val="004B71FF"/>
    <w:rsid w:val="004C3598"/>
    <w:rsid w:val="004C5EDF"/>
    <w:rsid w:val="004C6EE0"/>
    <w:rsid w:val="004C764A"/>
    <w:rsid w:val="004D255B"/>
    <w:rsid w:val="004D2B12"/>
    <w:rsid w:val="004D745B"/>
    <w:rsid w:val="004E001B"/>
    <w:rsid w:val="004E0AB1"/>
    <w:rsid w:val="004E1EDE"/>
    <w:rsid w:val="004E2A68"/>
    <w:rsid w:val="004E3260"/>
    <w:rsid w:val="004E46E6"/>
    <w:rsid w:val="004E5370"/>
    <w:rsid w:val="004E561D"/>
    <w:rsid w:val="004E63A5"/>
    <w:rsid w:val="004E7B30"/>
    <w:rsid w:val="004F084F"/>
    <w:rsid w:val="004F540F"/>
    <w:rsid w:val="0050398A"/>
    <w:rsid w:val="00505537"/>
    <w:rsid w:val="005140C5"/>
    <w:rsid w:val="00514233"/>
    <w:rsid w:val="00516351"/>
    <w:rsid w:val="00516B35"/>
    <w:rsid w:val="00520AE7"/>
    <w:rsid w:val="00522897"/>
    <w:rsid w:val="00522932"/>
    <w:rsid w:val="005234DB"/>
    <w:rsid w:val="00524407"/>
    <w:rsid w:val="00530F46"/>
    <w:rsid w:val="005313BE"/>
    <w:rsid w:val="00531939"/>
    <w:rsid w:val="005325D6"/>
    <w:rsid w:val="00533974"/>
    <w:rsid w:val="005372D0"/>
    <w:rsid w:val="00537D64"/>
    <w:rsid w:val="00540949"/>
    <w:rsid w:val="00541206"/>
    <w:rsid w:val="00545C31"/>
    <w:rsid w:val="005472ED"/>
    <w:rsid w:val="00547A83"/>
    <w:rsid w:val="00560A29"/>
    <w:rsid w:val="005622D2"/>
    <w:rsid w:val="0056457C"/>
    <w:rsid w:val="00564A9C"/>
    <w:rsid w:val="005668AB"/>
    <w:rsid w:val="00566C4A"/>
    <w:rsid w:val="00566DD6"/>
    <w:rsid w:val="00570277"/>
    <w:rsid w:val="005722E3"/>
    <w:rsid w:val="0057275A"/>
    <w:rsid w:val="0057682A"/>
    <w:rsid w:val="005771F9"/>
    <w:rsid w:val="00591519"/>
    <w:rsid w:val="00591B8E"/>
    <w:rsid w:val="00592766"/>
    <w:rsid w:val="00592AF6"/>
    <w:rsid w:val="00592DAE"/>
    <w:rsid w:val="005945AA"/>
    <w:rsid w:val="00597F50"/>
    <w:rsid w:val="005A0DCF"/>
    <w:rsid w:val="005A2781"/>
    <w:rsid w:val="005A6A53"/>
    <w:rsid w:val="005B1165"/>
    <w:rsid w:val="005B145C"/>
    <w:rsid w:val="005B198D"/>
    <w:rsid w:val="005B25B0"/>
    <w:rsid w:val="005B4C4C"/>
    <w:rsid w:val="005C0D73"/>
    <w:rsid w:val="005C2054"/>
    <w:rsid w:val="005C55FF"/>
    <w:rsid w:val="005D1176"/>
    <w:rsid w:val="005D16C8"/>
    <w:rsid w:val="005D717A"/>
    <w:rsid w:val="005D7F2B"/>
    <w:rsid w:val="005E06C5"/>
    <w:rsid w:val="005E2737"/>
    <w:rsid w:val="005E5BC8"/>
    <w:rsid w:val="005E66C7"/>
    <w:rsid w:val="005E6F32"/>
    <w:rsid w:val="005F023C"/>
    <w:rsid w:val="005F3809"/>
    <w:rsid w:val="005F3BCA"/>
    <w:rsid w:val="005F4603"/>
    <w:rsid w:val="005F5925"/>
    <w:rsid w:val="005F69A4"/>
    <w:rsid w:val="005F7A99"/>
    <w:rsid w:val="00604B89"/>
    <w:rsid w:val="00606AC6"/>
    <w:rsid w:val="0060772E"/>
    <w:rsid w:val="00610F8D"/>
    <w:rsid w:val="00614496"/>
    <w:rsid w:val="00615461"/>
    <w:rsid w:val="006160A4"/>
    <w:rsid w:val="00617DE3"/>
    <w:rsid w:val="00620B95"/>
    <w:rsid w:val="006227F4"/>
    <w:rsid w:val="0062350F"/>
    <w:rsid w:val="006237A0"/>
    <w:rsid w:val="0062594E"/>
    <w:rsid w:val="00627628"/>
    <w:rsid w:val="006303B0"/>
    <w:rsid w:val="00633E8B"/>
    <w:rsid w:val="0063685D"/>
    <w:rsid w:val="006377FE"/>
    <w:rsid w:val="00645512"/>
    <w:rsid w:val="00646558"/>
    <w:rsid w:val="00647320"/>
    <w:rsid w:val="006559BA"/>
    <w:rsid w:val="00656984"/>
    <w:rsid w:val="00663810"/>
    <w:rsid w:val="00664517"/>
    <w:rsid w:val="00665C2A"/>
    <w:rsid w:val="00671875"/>
    <w:rsid w:val="00676469"/>
    <w:rsid w:val="00677642"/>
    <w:rsid w:val="006813C8"/>
    <w:rsid w:val="006833D1"/>
    <w:rsid w:val="00684243"/>
    <w:rsid w:val="00686768"/>
    <w:rsid w:val="0069086F"/>
    <w:rsid w:val="00696059"/>
    <w:rsid w:val="00697559"/>
    <w:rsid w:val="006A5C3F"/>
    <w:rsid w:val="006A7464"/>
    <w:rsid w:val="006A7E4F"/>
    <w:rsid w:val="006B1533"/>
    <w:rsid w:val="006B1E76"/>
    <w:rsid w:val="006B4D3C"/>
    <w:rsid w:val="006B54B1"/>
    <w:rsid w:val="006B5F4F"/>
    <w:rsid w:val="006B7D02"/>
    <w:rsid w:val="006C258F"/>
    <w:rsid w:val="006C560D"/>
    <w:rsid w:val="006C68E8"/>
    <w:rsid w:val="006C700F"/>
    <w:rsid w:val="006D02E1"/>
    <w:rsid w:val="006D0BA0"/>
    <w:rsid w:val="006D3972"/>
    <w:rsid w:val="006D51C5"/>
    <w:rsid w:val="006D5AD6"/>
    <w:rsid w:val="006D7CB5"/>
    <w:rsid w:val="006E25EB"/>
    <w:rsid w:val="006E2E04"/>
    <w:rsid w:val="006E4065"/>
    <w:rsid w:val="006E4BE0"/>
    <w:rsid w:val="006E6F60"/>
    <w:rsid w:val="006E792E"/>
    <w:rsid w:val="006F036C"/>
    <w:rsid w:val="006F403C"/>
    <w:rsid w:val="006F44D4"/>
    <w:rsid w:val="006F62B3"/>
    <w:rsid w:val="00704821"/>
    <w:rsid w:val="007048C9"/>
    <w:rsid w:val="00706852"/>
    <w:rsid w:val="00712158"/>
    <w:rsid w:val="0071484E"/>
    <w:rsid w:val="00714D1A"/>
    <w:rsid w:val="007162F3"/>
    <w:rsid w:val="0071767D"/>
    <w:rsid w:val="00720932"/>
    <w:rsid w:val="007226C6"/>
    <w:rsid w:val="00724CB2"/>
    <w:rsid w:val="00724DB1"/>
    <w:rsid w:val="00726C91"/>
    <w:rsid w:val="00726D81"/>
    <w:rsid w:val="007301C8"/>
    <w:rsid w:val="00730A80"/>
    <w:rsid w:val="00731390"/>
    <w:rsid w:val="007313C7"/>
    <w:rsid w:val="007313CD"/>
    <w:rsid w:val="0073191C"/>
    <w:rsid w:val="0073400D"/>
    <w:rsid w:val="00734465"/>
    <w:rsid w:val="00735FAD"/>
    <w:rsid w:val="00744709"/>
    <w:rsid w:val="007453FE"/>
    <w:rsid w:val="00745C28"/>
    <w:rsid w:val="00751833"/>
    <w:rsid w:val="00752879"/>
    <w:rsid w:val="0075378C"/>
    <w:rsid w:val="00760DC8"/>
    <w:rsid w:val="007656A7"/>
    <w:rsid w:val="00766AE9"/>
    <w:rsid w:val="00767A09"/>
    <w:rsid w:val="00774C9B"/>
    <w:rsid w:val="00775957"/>
    <w:rsid w:val="00777222"/>
    <w:rsid w:val="00783165"/>
    <w:rsid w:val="00783D31"/>
    <w:rsid w:val="00796F2E"/>
    <w:rsid w:val="007A0D4D"/>
    <w:rsid w:val="007A1738"/>
    <w:rsid w:val="007A25E0"/>
    <w:rsid w:val="007A671B"/>
    <w:rsid w:val="007A6D2A"/>
    <w:rsid w:val="007A7A0C"/>
    <w:rsid w:val="007B173A"/>
    <w:rsid w:val="007B2C49"/>
    <w:rsid w:val="007B4358"/>
    <w:rsid w:val="007B5F59"/>
    <w:rsid w:val="007B6D76"/>
    <w:rsid w:val="007B7061"/>
    <w:rsid w:val="007C23ED"/>
    <w:rsid w:val="007C6296"/>
    <w:rsid w:val="007C62EE"/>
    <w:rsid w:val="007D2BDA"/>
    <w:rsid w:val="007D3089"/>
    <w:rsid w:val="007D3468"/>
    <w:rsid w:val="007D5B23"/>
    <w:rsid w:val="007D5FD6"/>
    <w:rsid w:val="007D7398"/>
    <w:rsid w:val="007D7596"/>
    <w:rsid w:val="007E0C9A"/>
    <w:rsid w:val="007E3856"/>
    <w:rsid w:val="007E538E"/>
    <w:rsid w:val="007E7818"/>
    <w:rsid w:val="007F304D"/>
    <w:rsid w:val="007F3175"/>
    <w:rsid w:val="007F384F"/>
    <w:rsid w:val="007F3AD0"/>
    <w:rsid w:val="007F54AA"/>
    <w:rsid w:val="00802B63"/>
    <w:rsid w:val="008036CE"/>
    <w:rsid w:val="00803A21"/>
    <w:rsid w:val="00805014"/>
    <w:rsid w:val="008148D5"/>
    <w:rsid w:val="00817765"/>
    <w:rsid w:val="00821BB3"/>
    <w:rsid w:val="00822614"/>
    <w:rsid w:val="008247FB"/>
    <w:rsid w:val="008259F6"/>
    <w:rsid w:val="00827A97"/>
    <w:rsid w:val="00827B79"/>
    <w:rsid w:val="0083089E"/>
    <w:rsid w:val="008371D4"/>
    <w:rsid w:val="008413D1"/>
    <w:rsid w:val="00841F08"/>
    <w:rsid w:val="008500FB"/>
    <w:rsid w:val="008522E8"/>
    <w:rsid w:val="00852F12"/>
    <w:rsid w:val="008547D9"/>
    <w:rsid w:val="00855DAB"/>
    <w:rsid w:val="008565DE"/>
    <w:rsid w:val="008571CA"/>
    <w:rsid w:val="00857B7B"/>
    <w:rsid w:val="00860E5A"/>
    <w:rsid w:val="0086197B"/>
    <w:rsid w:val="00863521"/>
    <w:rsid w:val="00864FA4"/>
    <w:rsid w:val="00873A40"/>
    <w:rsid w:val="008801C0"/>
    <w:rsid w:val="008814AB"/>
    <w:rsid w:val="008844D8"/>
    <w:rsid w:val="00884803"/>
    <w:rsid w:val="00887CE8"/>
    <w:rsid w:val="00887FD6"/>
    <w:rsid w:val="0089216B"/>
    <w:rsid w:val="00892A8F"/>
    <w:rsid w:val="00894659"/>
    <w:rsid w:val="0089620E"/>
    <w:rsid w:val="008962B4"/>
    <w:rsid w:val="008A1C95"/>
    <w:rsid w:val="008A5D86"/>
    <w:rsid w:val="008A5EBB"/>
    <w:rsid w:val="008A6A43"/>
    <w:rsid w:val="008B1BBE"/>
    <w:rsid w:val="008B22CE"/>
    <w:rsid w:val="008D3DF4"/>
    <w:rsid w:val="008E0EC1"/>
    <w:rsid w:val="008E227C"/>
    <w:rsid w:val="008E3A61"/>
    <w:rsid w:val="008E71C7"/>
    <w:rsid w:val="008F07B5"/>
    <w:rsid w:val="008F48E3"/>
    <w:rsid w:val="008F5D76"/>
    <w:rsid w:val="008F75B7"/>
    <w:rsid w:val="0090002B"/>
    <w:rsid w:val="009014BF"/>
    <w:rsid w:val="00905C64"/>
    <w:rsid w:val="00912B61"/>
    <w:rsid w:val="0092217B"/>
    <w:rsid w:val="0092522D"/>
    <w:rsid w:val="009252B3"/>
    <w:rsid w:val="00926C1F"/>
    <w:rsid w:val="00931CC7"/>
    <w:rsid w:val="00932FA5"/>
    <w:rsid w:val="00934EBC"/>
    <w:rsid w:val="009357EF"/>
    <w:rsid w:val="00937E85"/>
    <w:rsid w:val="009413F4"/>
    <w:rsid w:val="00947393"/>
    <w:rsid w:val="00952665"/>
    <w:rsid w:val="00954E94"/>
    <w:rsid w:val="00955980"/>
    <w:rsid w:val="00960EBC"/>
    <w:rsid w:val="00966A19"/>
    <w:rsid w:val="00973875"/>
    <w:rsid w:val="00973D23"/>
    <w:rsid w:val="0097400D"/>
    <w:rsid w:val="0097592A"/>
    <w:rsid w:val="00980B82"/>
    <w:rsid w:val="009819E2"/>
    <w:rsid w:val="009825B1"/>
    <w:rsid w:val="0098293D"/>
    <w:rsid w:val="00982E96"/>
    <w:rsid w:val="00982F86"/>
    <w:rsid w:val="009838F3"/>
    <w:rsid w:val="00995078"/>
    <w:rsid w:val="00995A73"/>
    <w:rsid w:val="009974EC"/>
    <w:rsid w:val="009A052E"/>
    <w:rsid w:val="009A0997"/>
    <w:rsid w:val="009A1FDF"/>
    <w:rsid w:val="009A55B3"/>
    <w:rsid w:val="009B2A75"/>
    <w:rsid w:val="009B6CEF"/>
    <w:rsid w:val="009B6F53"/>
    <w:rsid w:val="009B74E7"/>
    <w:rsid w:val="009C5B87"/>
    <w:rsid w:val="009C6AA0"/>
    <w:rsid w:val="009C7AC4"/>
    <w:rsid w:val="009D0699"/>
    <w:rsid w:val="009D0736"/>
    <w:rsid w:val="009D2569"/>
    <w:rsid w:val="009D58E8"/>
    <w:rsid w:val="009E0DC7"/>
    <w:rsid w:val="009E263E"/>
    <w:rsid w:val="009E2CE5"/>
    <w:rsid w:val="009E46DF"/>
    <w:rsid w:val="009E6EAB"/>
    <w:rsid w:val="009F1164"/>
    <w:rsid w:val="009F4096"/>
    <w:rsid w:val="009F528D"/>
    <w:rsid w:val="009F7EE8"/>
    <w:rsid w:val="00A0029B"/>
    <w:rsid w:val="00A03464"/>
    <w:rsid w:val="00A1006B"/>
    <w:rsid w:val="00A108BD"/>
    <w:rsid w:val="00A16767"/>
    <w:rsid w:val="00A20BA1"/>
    <w:rsid w:val="00A22465"/>
    <w:rsid w:val="00A246D3"/>
    <w:rsid w:val="00A26089"/>
    <w:rsid w:val="00A266C6"/>
    <w:rsid w:val="00A26CCD"/>
    <w:rsid w:val="00A26E11"/>
    <w:rsid w:val="00A32738"/>
    <w:rsid w:val="00A32BB8"/>
    <w:rsid w:val="00A33522"/>
    <w:rsid w:val="00A34C1A"/>
    <w:rsid w:val="00A3521B"/>
    <w:rsid w:val="00A40A42"/>
    <w:rsid w:val="00A40AEC"/>
    <w:rsid w:val="00A41B82"/>
    <w:rsid w:val="00A50563"/>
    <w:rsid w:val="00A50ECE"/>
    <w:rsid w:val="00A515BE"/>
    <w:rsid w:val="00A5344D"/>
    <w:rsid w:val="00A53E97"/>
    <w:rsid w:val="00A54B49"/>
    <w:rsid w:val="00A551A8"/>
    <w:rsid w:val="00A55531"/>
    <w:rsid w:val="00A56221"/>
    <w:rsid w:val="00A579D1"/>
    <w:rsid w:val="00A620F5"/>
    <w:rsid w:val="00A62403"/>
    <w:rsid w:val="00A64D0C"/>
    <w:rsid w:val="00A65D94"/>
    <w:rsid w:val="00A70DB7"/>
    <w:rsid w:val="00A71AD0"/>
    <w:rsid w:val="00A71BC1"/>
    <w:rsid w:val="00A72550"/>
    <w:rsid w:val="00A7387C"/>
    <w:rsid w:val="00A769B7"/>
    <w:rsid w:val="00A76B59"/>
    <w:rsid w:val="00A80B37"/>
    <w:rsid w:val="00A85E58"/>
    <w:rsid w:val="00A87A85"/>
    <w:rsid w:val="00A9139B"/>
    <w:rsid w:val="00A92B2F"/>
    <w:rsid w:val="00A969A0"/>
    <w:rsid w:val="00AA4B56"/>
    <w:rsid w:val="00AA683A"/>
    <w:rsid w:val="00AA73B3"/>
    <w:rsid w:val="00AB1396"/>
    <w:rsid w:val="00AB1740"/>
    <w:rsid w:val="00AB1DC0"/>
    <w:rsid w:val="00AB1E5D"/>
    <w:rsid w:val="00AB4091"/>
    <w:rsid w:val="00AB4A4E"/>
    <w:rsid w:val="00AB5355"/>
    <w:rsid w:val="00AB7674"/>
    <w:rsid w:val="00AC0CBA"/>
    <w:rsid w:val="00AC669A"/>
    <w:rsid w:val="00AC6862"/>
    <w:rsid w:val="00AC6CE6"/>
    <w:rsid w:val="00AD034A"/>
    <w:rsid w:val="00AD0A43"/>
    <w:rsid w:val="00AD3A39"/>
    <w:rsid w:val="00AD3C8A"/>
    <w:rsid w:val="00AD6BA5"/>
    <w:rsid w:val="00AE0FB8"/>
    <w:rsid w:val="00AE468A"/>
    <w:rsid w:val="00AE4729"/>
    <w:rsid w:val="00AE4B50"/>
    <w:rsid w:val="00AE5EC4"/>
    <w:rsid w:val="00AF0DF6"/>
    <w:rsid w:val="00AF27E2"/>
    <w:rsid w:val="00AF55BE"/>
    <w:rsid w:val="00AF71FC"/>
    <w:rsid w:val="00B00290"/>
    <w:rsid w:val="00B00CA0"/>
    <w:rsid w:val="00B0158F"/>
    <w:rsid w:val="00B07A1F"/>
    <w:rsid w:val="00B13463"/>
    <w:rsid w:val="00B16121"/>
    <w:rsid w:val="00B161CD"/>
    <w:rsid w:val="00B179A4"/>
    <w:rsid w:val="00B22022"/>
    <w:rsid w:val="00B22C6D"/>
    <w:rsid w:val="00B316C1"/>
    <w:rsid w:val="00B33ACC"/>
    <w:rsid w:val="00B342F8"/>
    <w:rsid w:val="00B35BD2"/>
    <w:rsid w:val="00B451B4"/>
    <w:rsid w:val="00B479C9"/>
    <w:rsid w:val="00B47E58"/>
    <w:rsid w:val="00B50DC3"/>
    <w:rsid w:val="00B51713"/>
    <w:rsid w:val="00B527BD"/>
    <w:rsid w:val="00B534A4"/>
    <w:rsid w:val="00B5446C"/>
    <w:rsid w:val="00B602AD"/>
    <w:rsid w:val="00B647B1"/>
    <w:rsid w:val="00B7154A"/>
    <w:rsid w:val="00B73E45"/>
    <w:rsid w:val="00B77EDA"/>
    <w:rsid w:val="00B824D8"/>
    <w:rsid w:val="00B8350F"/>
    <w:rsid w:val="00B83776"/>
    <w:rsid w:val="00B85578"/>
    <w:rsid w:val="00B855AE"/>
    <w:rsid w:val="00B86C1A"/>
    <w:rsid w:val="00B87B65"/>
    <w:rsid w:val="00B90B62"/>
    <w:rsid w:val="00B9103C"/>
    <w:rsid w:val="00B946C5"/>
    <w:rsid w:val="00B96FFB"/>
    <w:rsid w:val="00B97A52"/>
    <w:rsid w:val="00BA001E"/>
    <w:rsid w:val="00BA2590"/>
    <w:rsid w:val="00BA25D1"/>
    <w:rsid w:val="00BA25F3"/>
    <w:rsid w:val="00BA66F1"/>
    <w:rsid w:val="00BA6B5D"/>
    <w:rsid w:val="00BA6ED1"/>
    <w:rsid w:val="00BB0629"/>
    <w:rsid w:val="00BC0846"/>
    <w:rsid w:val="00BC149F"/>
    <w:rsid w:val="00BC3872"/>
    <w:rsid w:val="00BC3EE3"/>
    <w:rsid w:val="00BC5AF4"/>
    <w:rsid w:val="00BC7CB1"/>
    <w:rsid w:val="00BD0685"/>
    <w:rsid w:val="00BD0B63"/>
    <w:rsid w:val="00BD1906"/>
    <w:rsid w:val="00BD4A65"/>
    <w:rsid w:val="00BE0955"/>
    <w:rsid w:val="00BE5478"/>
    <w:rsid w:val="00BE69D7"/>
    <w:rsid w:val="00BE6FFF"/>
    <w:rsid w:val="00BF0BD6"/>
    <w:rsid w:val="00BF1CBF"/>
    <w:rsid w:val="00BF3C10"/>
    <w:rsid w:val="00BF3F84"/>
    <w:rsid w:val="00BF64C6"/>
    <w:rsid w:val="00BF7E90"/>
    <w:rsid w:val="00BF7F42"/>
    <w:rsid w:val="00C00421"/>
    <w:rsid w:val="00C02267"/>
    <w:rsid w:val="00C0594F"/>
    <w:rsid w:val="00C10C18"/>
    <w:rsid w:val="00C1200F"/>
    <w:rsid w:val="00C166BB"/>
    <w:rsid w:val="00C16885"/>
    <w:rsid w:val="00C222DC"/>
    <w:rsid w:val="00C227E2"/>
    <w:rsid w:val="00C24462"/>
    <w:rsid w:val="00C265FC"/>
    <w:rsid w:val="00C3352A"/>
    <w:rsid w:val="00C34FDE"/>
    <w:rsid w:val="00C361D1"/>
    <w:rsid w:val="00C363F1"/>
    <w:rsid w:val="00C37EE7"/>
    <w:rsid w:val="00C41430"/>
    <w:rsid w:val="00C462C2"/>
    <w:rsid w:val="00C47D5D"/>
    <w:rsid w:val="00C54268"/>
    <w:rsid w:val="00C56205"/>
    <w:rsid w:val="00C56B9B"/>
    <w:rsid w:val="00C61D7C"/>
    <w:rsid w:val="00C633EB"/>
    <w:rsid w:val="00C671E6"/>
    <w:rsid w:val="00C7091A"/>
    <w:rsid w:val="00C712BF"/>
    <w:rsid w:val="00C73835"/>
    <w:rsid w:val="00C820E0"/>
    <w:rsid w:val="00C84DB9"/>
    <w:rsid w:val="00C85728"/>
    <w:rsid w:val="00C86BDC"/>
    <w:rsid w:val="00C90FC8"/>
    <w:rsid w:val="00C92A59"/>
    <w:rsid w:val="00C92D99"/>
    <w:rsid w:val="00CA15F5"/>
    <w:rsid w:val="00CA22FE"/>
    <w:rsid w:val="00CA4C29"/>
    <w:rsid w:val="00CA4F8C"/>
    <w:rsid w:val="00CA5362"/>
    <w:rsid w:val="00CA7154"/>
    <w:rsid w:val="00CB261B"/>
    <w:rsid w:val="00CB65AA"/>
    <w:rsid w:val="00CB79F1"/>
    <w:rsid w:val="00CB7CE9"/>
    <w:rsid w:val="00CC2016"/>
    <w:rsid w:val="00CC35EA"/>
    <w:rsid w:val="00CC50A7"/>
    <w:rsid w:val="00CC55AD"/>
    <w:rsid w:val="00CD16B3"/>
    <w:rsid w:val="00CD1B5D"/>
    <w:rsid w:val="00CD248F"/>
    <w:rsid w:val="00CD25C4"/>
    <w:rsid w:val="00CD399B"/>
    <w:rsid w:val="00CE1915"/>
    <w:rsid w:val="00CE19BD"/>
    <w:rsid w:val="00CE446D"/>
    <w:rsid w:val="00CE62DA"/>
    <w:rsid w:val="00CF0C7E"/>
    <w:rsid w:val="00CF141F"/>
    <w:rsid w:val="00CF1502"/>
    <w:rsid w:val="00CF35FC"/>
    <w:rsid w:val="00CF5671"/>
    <w:rsid w:val="00CF57B4"/>
    <w:rsid w:val="00CF77D5"/>
    <w:rsid w:val="00D10CD4"/>
    <w:rsid w:val="00D1102F"/>
    <w:rsid w:val="00D12FDA"/>
    <w:rsid w:val="00D16D6E"/>
    <w:rsid w:val="00D17B39"/>
    <w:rsid w:val="00D24737"/>
    <w:rsid w:val="00D27925"/>
    <w:rsid w:val="00D30A9A"/>
    <w:rsid w:val="00D317DA"/>
    <w:rsid w:val="00D319C5"/>
    <w:rsid w:val="00D36352"/>
    <w:rsid w:val="00D44136"/>
    <w:rsid w:val="00D444E7"/>
    <w:rsid w:val="00D44CE3"/>
    <w:rsid w:val="00D54AB1"/>
    <w:rsid w:val="00D56D43"/>
    <w:rsid w:val="00D578BF"/>
    <w:rsid w:val="00D611B6"/>
    <w:rsid w:val="00D61608"/>
    <w:rsid w:val="00D63263"/>
    <w:rsid w:val="00D6394F"/>
    <w:rsid w:val="00D63E19"/>
    <w:rsid w:val="00D66C66"/>
    <w:rsid w:val="00D70490"/>
    <w:rsid w:val="00D71822"/>
    <w:rsid w:val="00D77FD2"/>
    <w:rsid w:val="00D83781"/>
    <w:rsid w:val="00D83FA9"/>
    <w:rsid w:val="00D84B6D"/>
    <w:rsid w:val="00D85F28"/>
    <w:rsid w:val="00D9173E"/>
    <w:rsid w:val="00D91942"/>
    <w:rsid w:val="00D958DE"/>
    <w:rsid w:val="00DA1588"/>
    <w:rsid w:val="00DA494E"/>
    <w:rsid w:val="00DA4EDF"/>
    <w:rsid w:val="00DA5000"/>
    <w:rsid w:val="00DA7E8A"/>
    <w:rsid w:val="00DB2BEA"/>
    <w:rsid w:val="00DB2C3B"/>
    <w:rsid w:val="00DB6958"/>
    <w:rsid w:val="00DB7118"/>
    <w:rsid w:val="00DC24A5"/>
    <w:rsid w:val="00DC590D"/>
    <w:rsid w:val="00DC6A39"/>
    <w:rsid w:val="00DD295E"/>
    <w:rsid w:val="00DD440F"/>
    <w:rsid w:val="00DD5F92"/>
    <w:rsid w:val="00DE4F98"/>
    <w:rsid w:val="00DE5798"/>
    <w:rsid w:val="00DE796A"/>
    <w:rsid w:val="00DF05BB"/>
    <w:rsid w:val="00DF7063"/>
    <w:rsid w:val="00E015AC"/>
    <w:rsid w:val="00E059D3"/>
    <w:rsid w:val="00E14F28"/>
    <w:rsid w:val="00E158D5"/>
    <w:rsid w:val="00E166B1"/>
    <w:rsid w:val="00E201C8"/>
    <w:rsid w:val="00E2234C"/>
    <w:rsid w:val="00E22E05"/>
    <w:rsid w:val="00E247C2"/>
    <w:rsid w:val="00E24E25"/>
    <w:rsid w:val="00E25221"/>
    <w:rsid w:val="00E30552"/>
    <w:rsid w:val="00E31210"/>
    <w:rsid w:val="00E3344F"/>
    <w:rsid w:val="00E369DB"/>
    <w:rsid w:val="00E36EB2"/>
    <w:rsid w:val="00E43707"/>
    <w:rsid w:val="00E51EC3"/>
    <w:rsid w:val="00E63CFD"/>
    <w:rsid w:val="00E63D25"/>
    <w:rsid w:val="00E67568"/>
    <w:rsid w:val="00E724A0"/>
    <w:rsid w:val="00E7433F"/>
    <w:rsid w:val="00E760C7"/>
    <w:rsid w:val="00E828C7"/>
    <w:rsid w:val="00E8445C"/>
    <w:rsid w:val="00E84A4F"/>
    <w:rsid w:val="00E90558"/>
    <w:rsid w:val="00E9077F"/>
    <w:rsid w:val="00E91640"/>
    <w:rsid w:val="00E921B9"/>
    <w:rsid w:val="00E95BA4"/>
    <w:rsid w:val="00E96DEF"/>
    <w:rsid w:val="00EA0788"/>
    <w:rsid w:val="00EA0FD4"/>
    <w:rsid w:val="00EA1054"/>
    <w:rsid w:val="00EA37A1"/>
    <w:rsid w:val="00EA38C7"/>
    <w:rsid w:val="00EA4780"/>
    <w:rsid w:val="00EB0EB2"/>
    <w:rsid w:val="00EB32FE"/>
    <w:rsid w:val="00EB753E"/>
    <w:rsid w:val="00EC2CB1"/>
    <w:rsid w:val="00EC3A5F"/>
    <w:rsid w:val="00ED2918"/>
    <w:rsid w:val="00ED4ECA"/>
    <w:rsid w:val="00ED6BB3"/>
    <w:rsid w:val="00ED77A3"/>
    <w:rsid w:val="00EE026C"/>
    <w:rsid w:val="00EE3DF6"/>
    <w:rsid w:val="00EE5837"/>
    <w:rsid w:val="00EE5C27"/>
    <w:rsid w:val="00EF110A"/>
    <w:rsid w:val="00EF135A"/>
    <w:rsid w:val="00EF19EC"/>
    <w:rsid w:val="00EF6CDD"/>
    <w:rsid w:val="00EF711C"/>
    <w:rsid w:val="00EF7575"/>
    <w:rsid w:val="00F00CCF"/>
    <w:rsid w:val="00F01B22"/>
    <w:rsid w:val="00F03C00"/>
    <w:rsid w:val="00F12DD6"/>
    <w:rsid w:val="00F21754"/>
    <w:rsid w:val="00F240DC"/>
    <w:rsid w:val="00F24F24"/>
    <w:rsid w:val="00F253D4"/>
    <w:rsid w:val="00F27FC6"/>
    <w:rsid w:val="00F31535"/>
    <w:rsid w:val="00F322C7"/>
    <w:rsid w:val="00F3310C"/>
    <w:rsid w:val="00F35ED9"/>
    <w:rsid w:val="00F36A83"/>
    <w:rsid w:val="00F40D7F"/>
    <w:rsid w:val="00F43F00"/>
    <w:rsid w:val="00F45D78"/>
    <w:rsid w:val="00F47390"/>
    <w:rsid w:val="00F50135"/>
    <w:rsid w:val="00F61AB5"/>
    <w:rsid w:val="00F622EA"/>
    <w:rsid w:val="00F64BB3"/>
    <w:rsid w:val="00F66AB2"/>
    <w:rsid w:val="00F67C3E"/>
    <w:rsid w:val="00F70E8A"/>
    <w:rsid w:val="00F7444A"/>
    <w:rsid w:val="00F762BC"/>
    <w:rsid w:val="00F7639B"/>
    <w:rsid w:val="00F822AB"/>
    <w:rsid w:val="00F83111"/>
    <w:rsid w:val="00F83AB9"/>
    <w:rsid w:val="00F83E7D"/>
    <w:rsid w:val="00F84049"/>
    <w:rsid w:val="00F87E04"/>
    <w:rsid w:val="00F932A0"/>
    <w:rsid w:val="00F93650"/>
    <w:rsid w:val="00F97A79"/>
    <w:rsid w:val="00FA18B9"/>
    <w:rsid w:val="00FA2101"/>
    <w:rsid w:val="00FA5E8E"/>
    <w:rsid w:val="00FB0332"/>
    <w:rsid w:val="00FB1424"/>
    <w:rsid w:val="00FB1EDD"/>
    <w:rsid w:val="00FB4A3F"/>
    <w:rsid w:val="00FB4F87"/>
    <w:rsid w:val="00FB60B6"/>
    <w:rsid w:val="00FB61BA"/>
    <w:rsid w:val="00FC1EB0"/>
    <w:rsid w:val="00FC44A4"/>
    <w:rsid w:val="00FD1841"/>
    <w:rsid w:val="00FD2F48"/>
    <w:rsid w:val="00FD3405"/>
    <w:rsid w:val="00FE21C0"/>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CB3CD"/>
  <w15:docId w15:val="{DDFECAD8-EF56-417C-8715-A6695C43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uiPriority w:val="99"/>
    <w:rsid w:val="008A6A43"/>
    <w:pPr>
      <w:spacing w:before="120" w:after="120"/>
      <w:ind w:right="1701"/>
    </w:pPr>
  </w:style>
  <w:style w:type="paragraph" w:customStyle="1" w:styleId="BBTitle">
    <w:name w:val="BB_Title"/>
    <w:basedOn w:val="Normal-pool"/>
    <w:uiPriority w:val="99"/>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rsid w:val="008A6A43"/>
    <w:pPr>
      <w:spacing w:after="120"/>
      <w:ind w:left="1247"/>
    </w:pPr>
  </w:style>
  <w:style w:type="paragraph" w:customStyle="1" w:styleId="Normalnumber">
    <w:name w:val="Normal_number"/>
    <w:basedOn w:val="Normal-pool"/>
    <w:link w:val="NormalnumberChar"/>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uiPriority w:val="99"/>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9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 w:type="numbering" w:customStyle="1" w:styleId="Normallist6">
    <w:name w:val="Normal_list6"/>
    <w:basedOn w:val="NoList"/>
    <w:rsid w:val="00D3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2022-05-19T08:23:40+00:00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3.xml><?xml version="1.0" encoding="utf-8"?>
<ds:datastoreItem xmlns:ds="http://schemas.openxmlformats.org/officeDocument/2006/customXml" ds:itemID="{35B8D7C4-7632-4FBE-A536-E5E3D012017B}">
  <ds:schemaRefs>
    <ds:schemaRef ds:uri="http://schemas.openxmlformats.org/officeDocument/2006/bibliography"/>
  </ds:schemaRefs>
</ds:datastoreItem>
</file>

<file path=customXml/itemProps4.xml><?xml version="1.0" encoding="utf-8"?>
<ds:datastoreItem xmlns:ds="http://schemas.openxmlformats.org/officeDocument/2006/customXml" ds:itemID="{87E2DF3F-5C59-41B0-97DD-AFFCD1FE8B24}"/>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Olga Rasmus</cp:lastModifiedBy>
  <cp:revision>2</cp:revision>
  <cp:lastPrinted>2021-05-11T08:29:00Z</cp:lastPrinted>
  <dcterms:created xsi:type="dcterms:W3CDTF">2022-05-19T08:23:00Z</dcterms:created>
  <dcterms:modified xsi:type="dcterms:W3CDTF">2022-05-19T08:23:00Z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