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560"/>
        <w:gridCol w:w="425"/>
        <w:gridCol w:w="4819"/>
        <w:gridCol w:w="709"/>
        <w:gridCol w:w="1983"/>
      </w:tblGrid>
      <w:tr w:rsidR="008B2947" w:rsidRPr="00C5575D" w14:paraId="3B71EA77" w14:textId="77777777" w:rsidTr="001B24BE">
        <w:trPr>
          <w:cantSplit/>
          <w:trHeight w:val="57"/>
          <w:jc w:val="right"/>
        </w:trPr>
        <w:tc>
          <w:tcPr>
            <w:tcW w:w="1560" w:type="dxa"/>
          </w:tcPr>
          <w:p w14:paraId="7BAB325C" w14:textId="77777777" w:rsidR="008B2947" w:rsidRPr="00D4106F" w:rsidRDefault="008B2947" w:rsidP="001B24BE">
            <w:pPr>
              <w:pStyle w:val="AUnitedNations"/>
            </w:pPr>
            <w:r w:rsidRPr="00C5575D">
              <w:t xml:space="preserve">UNITED </w:t>
            </w:r>
            <w:r w:rsidRPr="00C5575D">
              <w:br/>
              <w:t>NATIONS</w:t>
            </w:r>
          </w:p>
        </w:tc>
        <w:tc>
          <w:tcPr>
            <w:tcW w:w="5953" w:type="dxa"/>
            <w:gridSpan w:val="3"/>
          </w:tcPr>
          <w:p w14:paraId="71B7DCFE" w14:textId="77777777" w:rsidR="008B2947" w:rsidRPr="00D4106F" w:rsidRDefault="008B2947" w:rsidP="001B24BE">
            <w:pPr>
              <w:pStyle w:val="AText"/>
              <w:spacing w:before="20"/>
              <w:ind w:left="-113"/>
            </w:pPr>
            <w:r w:rsidRPr="003854ED">
              <w:rPr>
                <w:noProof/>
              </w:rPr>
              <w:drawing>
                <wp:inline distT="0" distB="0" distL="0" distR="0" wp14:anchorId="585DA9D8" wp14:editId="1C49B49D">
                  <wp:extent cx="3559810" cy="442595"/>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9810" cy="442595"/>
                          </a:xfrm>
                          <a:prstGeom prst="rect">
                            <a:avLst/>
                          </a:prstGeom>
                        </pic:spPr>
                      </pic:pic>
                    </a:graphicData>
                  </a:graphic>
                </wp:inline>
              </w:drawing>
            </w:r>
          </w:p>
        </w:tc>
        <w:tc>
          <w:tcPr>
            <w:tcW w:w="1983" w:type="dxa"/>
          </w:tcPr>
          <w:p w14:paraId="35A5F9EE" w14:textId="77777777" w:rsidR="008B2947" w:rsidRPr="00C5575D" w:rsidRDefault="008B2947" w:rsidP="001B24BE">
            <w:pPr>
              <w:pStyle w:val="ATwoLetters"/>
              <w:rPr>
                <w:sz w:val="24"/>
                <w:szCs w:val="24"/>
              </w:rPr>
            </w:pPr>
            <w:r w:rsidRPr="00C5575D">
              <w:t>BES</w:t>
            </w:r>
          </w:p>
        </w:tc>
      </w:tr>
      <w:tr w:rsidR="008B2947" w:rsidRPr="00D4106F" w14:paraId="6B683E7F" w14:textId="77777777" w:rsidTr="001B24BE">
        <w:trPr>
          <w:cantSplit/>
          <w:trHeight w:val="57"/>
          <w:jc w:val="right"/>
        </w:trPr>
        <w:tc>
          <w:tcPr>
            <w:tcW w:w="1985" w:type="dxa"/>
            <w:gridSpan w:val="2"/>
            <w:tcBorders>
              <w:bottom w:val="single" w:sz="4" w:space="0" w:color="auto"/>
            </w:tcBorders>
          </w:tcPr>
          <w:p w14:paraId="1C3CAA41" w14:textId="77777777" w:rsidR="008B2947" w:rsidRPr="00D4106F" w:rsidRDefault="008B2947" w:rsidP="001B24BE">
            <w:pPr>
              <w:pStyle w:val="Normal-pool"/>
            </w:pPr>
          </w:p>
        </w:tc>
        <w:tc>
          <w:tcPr>
            <w:tcW w:w="4819" w:type="dxa"/>
            <w:tcBorders>
              <w:bottom w:val="single" w:sz="4" w:space="0" w:color="auto"/>
            </w:tcBorders>
          </w:tcPr>
          <w:p w14:paraId="5E5C3CFA" w14:textId="77777777" w:rsidR="008B2947" w:rsidRPr="00D4106F" w:rsidRDefault="008B2947" w:rsidP="001B24BE">
            <w:pPr>
              <w:pStyle w:val="Normal-pool"/>
            </w:pPr>
          </w:p>
        </w:tc>
        <w:tc>
          <w:tcPr>
            <w:tcW w:w="2692" w:type="dxa"/>
            <w:gridSpan w:val="2"/>
            <w:tcBorders>
              <w:bottom w:val="single" w:sz="4" w:space="0" w:color="auto"/>
            </w:tcBorders>
          </w:tcPr>
          <w:p w14:paraId="139C39F6" w14:textId="2275FA92" w:rsidR="008B2947" w:rsidRPr="00D4106F" w:rsidRDefault="008B2947" w:rsidP="001B24BE">
            <w:pPr>
              <w:pStyle w:val="ASymbol"/>
            </w:pPr>
            <w:r w:rsidRPr="00D27340">
              <w:rPr>
                <w:b/>
                <w:sz w:val="28"/>
                <w:szCs w:val="28"/>
              </w:rPr>
              <w:t>IPBES</w:t>
            </w:r>
            <w:r w:rsidRPr="00C5575D">
              <w:t>/</w:t>
            </w:r>
            <w:r>
              <w:t>9</w:t>
            </w:r>
            <w:r w:rsidRPr="00C5575D">
              <w:t>/</w:t>
            </w:r>
            <w:r>
              <w:t>INF/6</w:t>
            </w:r>
          </w:p>
        </w:tc>
      </w:tr>
      <w:tr w:rsidR="008B2947" w:rsidRPr="00C60946" w14:paraId="79D9A124" w14:textId="77777777" w:rsidTr="001B24BE">
        <w:trPr>
          <w:cantSplit/>
          <w:trHeight w:val="2098"/>
          <w:jc w:val="right"/>
        </w:trPr>
        <w:tc>
          <w:tcPr>
            <w:tcW w:w="1985" w:type="dxa"/>
            <w:gridSpan w:val="2"/>
            <w:tcBorders>
              <w:top w:val="single" w:sz="4" w:space="0" w:color="auto"/>
              <w:bottom w:val="single" w:sz="24" w:space="0" w:color="auto"/>
            </w:tcBorders>
          </w:tcPr>
          <w:p w14:paraId="19328DD1" w14:textId="77777777" w:rsidR="008B2947" w:rsidRPr="00C5575D" w:rsidRDefault="008B2947" w:rsidP="001B24BE">
            <w:pPr>
              <w:pStyle w:val="AText"/>
              <w:spacing w:before="160"/>
            </w:pPr>
            <w:r w:rsidRPr="00C5575D">
              <w:rPr>
                <w:noProof/>
              </w:rPr>
              <w:drawing>
                <wp:inline distT="0" distB="0" distL="0" distR="0" wp14:anchorId="52A2A926" wp14:editId="454006E6">
                  <wp:extent cx="1112520" cy="518795"/>
                  <wp:effectExtent l="0" t="0" r="0" b="0"/>
                  <wp:docPr id="2"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A picture containing text, clip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19" w:type="dxa"/>
            <w:tcBorders>
              <w:top w:val="single" w:sz="4" w:space="0" w:color="auto"/>
              <w:bottom w:val="single" w:sz="24" w:space="0" w:color="auto"/>
            </w:tcBorders>
          </w:tcPr>
          <w:p w14:paraId="4377522F" w14:textId="77777777" w:rsidR="008B2947" w:rsidRPr="00C5575D" w:rsidRDefault="008B2947" w:rsidP="001B24BE">
            <w:pPr>
              <w:pStyle w:val="AConvName"/>
              <w:spacing w:before="120"/>
            </w:pPr>
            <w:r w:rsidRPr="00C5575D">
              <w:t xml:space="preserve">Intergovernmental </w:t>
            </w:r>
            <w:r w:rsidRPr="00D11D35">
              <w:t>Science-Policy</w:t>
            </w:r>
            <w:r w:rsidRPr="00C5575D">
              <w:t xml:space="preserve"> </w:t>
            </w:r>
            <w:r>
              <w:br/>
            </w:r>
            <w:r w:rsidRPr="00C5575D">
              <w:t xml:space="preserve">Platform on Biodiversity and </w:t>
            </w:r>
            <w:r>
              <w:br/>
            </w:r>
            <w:r w:rsidRPr="00C5575D">
              <w:t>Ecosystem Services</w:t>
            </w:r>
          </w:p>
        </w:tc>
        <w:tc>
          <w:tcPr>
            <w:tcW w:w="2692" w:type="dxa"/>
            <w:gridSpan w:val="2"/>
            <w:tcBorders>
              <w:top w:val="single" w:sz="4" w:space="0" w:color="auto"/>
              <w:bottom w:val="single" w:sz="24" w:space="0" w:color="auto"/>
            </w:tcBorders>
          </w:tcPr>
          <w:p w14:paraId="5398A4F2" w14:textId="0CCD8BE7" w:rsidR="008B2947" w:rsidRPr="00CD2428" w:rsidRDefault="008B2947" w:rsidP="001B24BE">
            <w:pPr>
              <w:pStyle w:val="AText"/>
            </w:pPr>
            <w:r w:rsidRPr="00CD2428">
              <w:t xml:space="preserve">Distr.: General </w:t>
            </w:r>
            <w:r w:rsidRPr="00CD2428">
              <w:br/>
              <w:t>9 May 2022</w:t>
            </w:r>
          </w:p>
          <w:p w14:paraId="21FCC9E2" w14:textId="65C8FC36" w:rsidR="008B2947" w:rsidRPr="00A61EFC" w:rsidRDefault="008B2947" w:rsidP="001B24BE">
            <w:pPr>
              <w:pStyle w:val="AText"/>
            </w:pPr>
            <w:r w:rsidRPr="00CD2428">
              <w:t>English only</w:t>
            </w:r>
          </w:p>
        </w:tc>
      </w:tr>
    </w:tbl>
    <w:p w14:paraId="2D07CB34" w14:textId="77777777" w:rsidR="008B2947" w:rsidRPr="00C5575D" w:rsidRDefault="008B2947" w:rsidP="008B2947">
      <w:pPr>
        <w:pStyle w:val="AATitle"/>
      </w:pPr>
      <w:r w:rsidRPr="00C5575D">
        <w:t xml:space="preserve">Plenary of the Intergovernmental Science-Policy </w:t>
      </w:r>
      <w:r w:rsidRPr="00C5575D">
        <w:br/>
        <w:t>Platform on Biodiversity and Ecosystem Services</w:t>
      </w:r>
    </w:p>
    <w:p w14:paraId="1F0B5DBD" w14:textId="77777777" w:rsidR="008B2947" w:rsidRPr="00C5575D" w:rsidRDefault="008B2947" w:rsidP="008B2947">
      <w:pPr>
        <w:pStyle w:val="AATitle"/>
      </w:pPr>
      <w:r>
        <w:t>Nint</w:t>
      </w:r>
      <w:r w:rsidRPr="00C5575D">
        <w:t>h session</w:t>
      </w:r>
    </w:p>
    <w:p w14:paraId="1217D8F4" w14:textId="77777777" w:rsidR="008B2947" w:rsidRPr="00C5575D" w:rsidRDefault="008B2947" w:rsidP="008B2947">
      <w:pPr>
        <w:pStyle w:val="AATitle"/>
        <w:rPr>
          <w:b w:val="0"/>
        </w:rPr>
      </w:pPr>
      <w:r>
        <w:rPr>
          <w:b w:val="0"/>
          <w:lang w:eastAsia="ja-JP"/>
        </w:rPr>
        <w:t>Bonn, Germany, 3</w:t>
      </w:r>
      <w:r w:rsidRPr="00C5575D">
        <w:rPr>
          <w:b w:val="0"/>
          <w:lang w:eastAsia="ja-JP"/>
        </w:rPr>
        <w:t>–</w:t>
      </w:r>
      <w:r>
        <w:rPr>
          <w:b w:val="0"/>
          <w:lang w:eastAsia="ja-JP"/>
        </w:rPr>
        <w:t>9</w:t>
      </w:r>
      <w:r w:rsidRPr="00C5575D">
        <w:rPr>
          <w:b w:val="0"/>
          <w:lang w:eastAsia="ja-JP"/>
        </w:rPr>
        <w:t xml:space="preserve"> Ju</w:t>
      </w:r>
      <w:r>
        <w:rPr>
          <w:b w:val="0"/>
          <w:lang w:eastAsia="ja-JP"/>
        </w:rPr>
        <w:t>ly</w:t>
      </w:r>
      <w:r w:rsidRPr="00C5575D">
        <w:rPr>
          <w:b w:val="0"/>
          <w:lang w:eastAsia="ja-JP"/>
        </w:rPr>
        <w:t xml:space="preserve"> 202</w:t>
      </w:r>
      <w:r>
        <w:rPr>
          <w:b w:val="0"/>
          <w:lang w:eastAsia="ja-JP"/>
        </w:rPr>
        <w:t>2</w:t>
      </w:r>
    </w:p>
    <w:p w14:paraId="6DC52E2E" w14:textId="27B475A5" w:rsidR="00B2156E" w:rsidRPr="001F474D" w:rsidRDefault="004A0FE9" w:rsidP="003805DB">
      <w:pPr>
        <w:pStyle w:val="AATitle"/>
        <w:rPr>
          <w:b w:val="0"/>
          <w:szCs w:val="18"/>
        </w:rPr>
      </w:pPr>
      <w:r w:rsidRPr="004B0987">
        <w:rPr>
          <w:b w:val="0"/>
        </w:rPr>
        <w:t xml:space="preserve">Item </w:t>
      </w:r>
      <w:r w:rsidR="005272DF" w:rsidRPr="004B0987">
        <w:rPr>
          <w:b w:val="0"/>
        </w:rPr>
        <w:t>5</w:t>
      </w:r>
      <w:r w:rsidR="00A73564" w:rsidRPr="004B0987">
        <w:rPr>
          <w:b w:val="0"/>
        </w:rPr>
        <w:t xml:space="preserve"> </w:t>
      </w:r>
      <w:r w:rsidR="00B2156E" w:rsidRPr="004B0987">
        <w:rPr>
          <w:b w:val="0"/>
        </w:rPr>
        <w:t>of the provisional agenda</w:t>
      </w:r>
      <w:r w:rsidR="00B2156E" w:rsidRPr="004B0987">
        <w:rPr>
          <w:b w:val="0"/>
          <w:szCs w:val="18"/>
        </w:rPr>
        <w:footnoteReference w:customMarkFollows="1" w:id="2"/>
        <w:t>*</w:t>
      </w:r>
    </w:p>
    <w:p w14:paraId="40898BDA" w14:textId="39EEE704" w:rsidR="003442DB" w:rsidRPr="001F474D" w:rsidRDefault="00221B85" w:rsidP="008E340B">
      <w:pPr>
        <w:pStyle w:val="AATitle2"/>
      </w:pPr>
      <w:r w:rsidRPr="001F474D">
        <w:t xml:space="preserve">Report of the Executive Secretary </w:t>
      </w:r>
      <w:r w:rsidR="003F5B8A" w:rsidRPr="001F474D">
        <w:t xml:space="preserve">on progress in the implementation </w:t>
      </w:r>
      <w:r w:rsidR="003E4EB5" w:rsidRPr="001F474D">
        <w:t xml:space="preserve">of the rolling </w:t>
      </w:r>
      <w:r w:rsidR="00974391" w:rsidRPr="001F474D">
        <w:t xml:space="preserve">work programme </w:t>
      </w:r>
      <w:r w:rsidR="00B83350">
        <w:br/>
      </w:r>
      <w:r w:rsidR="008E046B" w:rsidRPr="001F474D">
        <w:t>up to 2030</w:t>
      </w:r>
    </w:p>
    <w:p w14:paraId="710D6E60" w14:textId="77777777" w:rsidR="004250CF" w:rsidRDefault="004250CF" w:rsidP="004250CF">
      <w:pPr>
        <w:pStyle w:val="BBTitle"/>
        <w:rPr>
          <w:rFonts w:eastAsia="DengXian"/>
        </w:rPr>
      </w:pPr>
      <w:r w:rsidRPr="00A54604">
        <w:rPr>
          <w:rFonts w:eastAsia="DengXian"/>
        </w:rPr>
        <w:t>Information on the institutional arrangements established for the provision of technical support for the implementation of the work programme</w:t>
      </w:r>
    </w:p>
    <w:p w14:paraId="2B504680" w14:textId="77777777" w:rsidR="004250CF" w:rsidRPr="004153E8" w:rsidRDefault="004250CF" w:rsidP="004250CF">
      <w:pPr>
        <w:pStyle w:val="CH2"/>
      </w:pPr>
      <w:r>
        <w:tab/>
      </w:r>
      <w:r>
        <w:tab/>
        <w:t>Note by the secretariat</w:t>
      </w:r>
    </w:p>
    <w:p w14:paraId="41AD5D03" w14:textId="46F61C42" w:rsidR="004250CF" w:rsidRPr="00A54604" w:rsidRDefault="004250CF" w:rsidP="008B2CD6">
      <w:pPr>
        <w:pStyle w:val="Normalnumber"/>
        <w:numPr>
          <w:ilvl w:val="0"/>
          <w:numId w:val="1"/>
        </w:numPr>
        <w:tabs>
          <w:tab w:val="clear" w:pos="567"/>
        </w:tabs>
        <w:rPr>
          <w:rFonts w:eastAsia="DengXian"/>
        </w:rPr>
      </w:pPr>
      <w:r w:rsidRPr="002B6F7E">
        <w:t>The Plenary of the Intergovernmental Science-Policy Platform on Biodiversity and Ecosystem Services (IPBES),</w:t>
      </w:r>
      <w:r>
        <w:t xml:space="preserve"> </w:t>
      </w:r>
      <w:r>
        <w:rPr>
          <w:rFonts w:eastAsia="DengXian"/>
        </w:rPr>
        <w:t>i</w:t>
      </w:r>
      <w:r w:rsidRPr="00A54604">
        <w:rPr>
          <w:rFonts w:eastAsia="DengXian"/>
        </w:rPr>
        <w:t>n section I</w:t>
      </w:r>
      <w:r>
        <w:rPr>
          <w:rFonts w:eastAsia="DengXian"/>
        </w:rPr>
        <w:t xml:space="preserve"> of </w:t>
      </w:r>
      <w:r w:rsidRPr="00A54604">
        <w:rPr>
          <w:rFonts w:eastAsia="DengXian"/>
        </w:rPr>
        <w:t xml:space="preserve">decision IPBES-7/1 on </w:t>
      </w:r>
      <w:r>
        <w:rPr>
          <w:rFonts w:eastAsia="DengXian"/>
        </w:rPr>
        <w:t>the</w:t>
      </w:r>
      <w:r w:rsidRPr="00A54604">
        <w:rPr>
          <w:rFonts w:eastAsia="DengXian"/>
        </w:rPr>
        <w:t xml:space="preserve"> rolling work programme</w:t>
      </w:r>
      <w:r>
        <w:rPr>
          <w:rFonts w:eastAsia="DengXian"/>
        </w:rPr>
        <w:t xml:space="preserve"> of the Platform for the period</w:t>
      </w:r>
      <w:r w:rsidRPr="00A54604">
        <w:rPr>
          <w:rFonts w:eastAsia="DengXian"/>
        </w:rPr>
        <w:t xml:space="preserve"> up to 2030, decided to proceed with the implementation of the rolling work programme up to 2030 in accordance with the approved budget set out in decision IPBES-7/4</w:t>
      </w:r>
      <w:r>
        <w:rPr>
          <w:rFonts w:eastAsia="DengXian"/>
        </w:rPr>
        <w:t>,</w:t>
      </w:r>
      <w:r w:rsidRPr="006C6A60">
        <w:rPr>
          <w:rFonts w:eastAsia="DengXian"/>
        </w:rPr>
        <w:t xml:space="preserve"> </w:t>
      </w:r>
      <w:r w:rsidRPr="00A54604">
        <w:rPr>
          <w:rFonts w:eastAsia="DengXian"/>
        </w:rPr>
        <w:t>on financial and budgetary arrangements</w:t>
      </w:r>
      <w:r>
        <w:rPr>
          <w:rFonts w:eastAsia="DengXian"/>
        </w:rPr>
        <w:t>,</w:t>
      </w:r>
      <w:r w:rsidRPr="00A54604">
        <w:rPr>
          <w:rFonts w:eastAsia="DengXian"/>
        </w:rPr>
        <w:t xml:space="preserve"> and within </w:t>
      </w:r>
      <w:r>
        <w:rPr>
          <w:rFonts w:eastAsia="DengXian"/>
        </w:rPr>
        <w:t xml:space="preserve">the scope of </w:t>
      </w:r>
      <w:r w:rsidRPr="00A54604">
        <w:rPr>
          <w:rFonts w:eastAsia="DengXian"/>
        </w:rPr>
        <w:t>available resources. In</w:t>
      </w:r>
      <w:r>
        <w:rPr>
          <w:rFonts w:eastAsia="DengXian"/>
        </w:rPr>
        <w:t xml:space="preserve"> </w:t>
      </w:r>
      <w:r w:rsidRPr="00A54604">
        <w:rPr>
          <w:rFonts w:eastAsia="DengXian"/>
        </w:rPr>
        <w:t xml:space="preserve">section VII </w:t>
      </w:r>
      <w:r>
        <w:rPr>
          <w:rFonts w:eastAsia="DengXian"/>
        </w:rPr>
        <w:t xml:space="preserve">of </w:t>
      </w:r>
      <w:r w:rsidRPr="00A54604">
        <w:rPr>
          <w:rFonts w:eastAsia="DengXian"/>
        </w:rPr>
        <w:t>decision IPBES-7/1</w:t>
      </w:r>
      <w:r>
        <w:rPr>
          <w:rFonts w:eastAsia="DengXian"/>
        </w:rPr>
        <w:t>,</w:t>
      </w:r>
      <w:r w:rsidRPr="00A54604">
        <w:rPr>
          <w:rFonts w:eastAsia="DengXian"/>
        </w:rPr>
        <w:t xml:space="preserve"> on technical support for the rolling work programme up to 2030, the Plenary requested the secretariat, in consultation with the Bureau and in accordance with the approved budget set out in the annex to decision IPBES-7/4, to establish the institutional arrangements necessary to operationalize the technical support required for the rolling work programme up to 2030</w:t>
      </w:r>
      <w:r>
        <w:rPr>
          <w:rFonts w:eastAsia="DengXian"/>
        </w:rPr>
        <w:t>.</w:t>
      </w:r>
      <w:r w:rsidRPr="00A54604">
        <w:rPr>
          <w:rFonts w:eastAsia="DengXian"/>
        </w:rPr>
        <w:t xml:space="preserve"> Further decisions were taken on the extension and establishment of task forces</w:t>
      </w:r>
      <w:r>
        <w:rPr>
          <w:rFonts w:eastAsia="DengXian"/>
        </w:rPr>
        <w:t>, as follows</w:t>
      </w:r>
      <w:r w:rsidRPr="00A54604">
        <w:rPr>
          <w:rFonts w:eastAsia="DengXian"/>
        </w:rPr>
        <w:t>:</w:t>
      </w:r>
    </w:p>
    <w:p w14:paraId="32D624FE" w14:textId="1DDE05B3" w:rsidR="004250CF" w:rsidRPr="00A54604" w:rsidRDefault="004250CF" w:rsidP="00FB0BA5">
      <w:pPr>
        <w:pStyle w:val="Normalnumber"/>
        <w:numPr>
          <w:ilvl w:val="1"/>
          <w:numId w:val="1"/>
        </w:numPr>
        <w:tabs>
          <w:tab w:val="clear" w:pos="567"/>
        </w:tabs>
        <w:ind w:firstLine="624"/>
        <w:rPr>
          <w:rFonts w:eastAsia="DengXian"/>
        </w:rPr>
      </w:pPr>
      <w:bookmarkStart w:id="0" w:name="_Hlk66781773"/>
      <w:r w:rsidRPr="00A54604">
        <w:rPr>
          <w:rFonts w:eastAsia="DengXian"/>
        </w:rPr>
        <w:t>In section III, on building capacity,</w:t>
      </w:r>
      <w:r>
        <w:rPr>
          <w:rFonts w:eastAsia="DengXian"/>
        </w:rPr>
        <w:t xml:space="preserve"> of </w:t>
      </w:r>
      <w:r w:rsidRPr="00A54604">
        <w:rPr>
          <w:rFonts w:eastAsia="DengXian"/>
        </w:rPr>
        <w:t>decision IPBES-7/1</w:t>
      </w:r>
      <w:r>
        <w:rPr>
          <w:rFonts w:eastAsia="DengXian"/>
        </w:rPr>
        <w:t>,</w:t>
      </w:r>
      <w:bookmarkEnd w:id="0"/>
      <w:r w:rsidRPr="00A54604">
        <w:rPr>
          <w:rFonts w:eastAsia="DengXian"/>
        </w:rPr>
        <w:t xml:space="preserve"> the Plenary extended the mandate of the task force on capacity-building established in decision IPBES-2/5, for the implementation of </w:t>
      </w:r>
      <w:bookmarkStart w:id="1" w:name="_Hlk66786769"/>
      <w:r w:rsidRPr="00A54604">
        <w:rPr>
          <w:rFonts w:eastAsia="DengXian"/>
        </w:rPr>
        <w:t xml:space="preserve">objectives 2 (a), 2 (b) and 2 (c) </w:t>
      </w:r>
      <w:bookmarkEnd w:id="1"/>
      <w:r w:rsidRPr="00A54604">
        <w:rPr>
          <w:rFonts w:eastAsia="DengXian"/>
        </w:rPr>
        <w:t>of the rolling work programme of the Platform</w:t>
      </w:r>
      <w:r>
        <w:rPr>
          <w:rFonts w:eastAsia="DengXian"/>
        </w:rPr>
        <w:t xml:space="preserve"> for the period</w:t>
      </w:r>
      <w:r w:rsidRPr="00A54604">
        <w:rPr>
          <w:rFonts w:eastAsia="DengXian"/>
        </w:rPr>
        <w:t xml:space="preserve"> up to 2030</w:t>
      </w:r>
      <w:r>
        <w:rPr>
          <w:rFonts w:eastAsia="DengXian"/>
        </w:rPr>
        <w:t>,</w:t>
      </w:r>
      <w:r w:rsidRPr="00A54604">
        <w:rPr>
          <w:rFonts w:eastAsia="DengXian"/>
        </w:rPr>
        <w:t xml:space="preserve"> </w:t>
      </w:r>
      <w:r w:rsidRPr="008B2947">
        <w:t>in</w:t>
      </w:r>
      <w:r w:rsidRPr="00A54604">
        <w:rPr>
          <w:rFonts w:eastAsia="DengXian"/>
        </w:rPr>
        <w:t xml:space="preserve"> accordance with the revised terms of reference</w:t>
      </w:r>
      <w:r>
        <w:rPr>
          <w:rFonts w:eastAsia="DengXian"/>
        </w:rPr>
        <w:t xml:space="preserve"> for task forces for the rolling work programme up to 2030</w:t>
      </w:r>
      <w:r w:rsidRPr="00A54604">
        <w:rPr>
          <w:rFonts w:eastAsia="DengXian"/>
        </w:rPr>
        <w:t xml:space="preserve"> set out in sections I and II of annex II to decision</w:t>
      </w:r>
      <w:r>
        <w:rPr>
          <w:rFonts w:eastAsia="DengXian"/>
        </w:rPr>
        <w:t xml:space="preserve"> </w:t>
      </w:r>
      <w:r w:rsidRPr="00A54604">
        <w:rPr>
          <w:rFonts w:eastAsia="DengXian"/>
        </w:rPr>
        <w:t>IPBES-7/1, and requested the Bureau and the Multidisciplinary Expert Panel, through the secretariat of IPBES, to constitute the task force in accordance with th</w:t>
      </w:r>
      <w:r>
        <w:rPr>
          <w:rFonts w:eastAsia="DengXian"/>
        </w:rPr>
        <w:t>os</w:t>
      </w:r>
      <w:r w:rsidRPr="00A54604">
        <w:rPr>
          <w:rFonts w:eastAsia="DengXian"/>
        </w:rPr>
        <w:t>e terms of reference;</w:t>
      </w:r>
    </w:p>
    <w:p w14:paraId="5C55E323" w14:textId="0C778AA6" w:rsidR="004250CF" w:rsidRPr="00A54604" w:rsidRDefault="004250CF" w:rsidP="00FB0BA5">
      <w:pPr>
        <w:pStyle w:val="Normalnumber"/>
        <w:numPr>
          <w:ilvl w:val="1"/>
          <w:numId w:val="1"/>
        </w:numPr>
        <w:tabs>
          <w:tab w:val="clear" w:pos="567"/>
        </w:tabs>
        <w:ind w:firstLine="624"/>
        <w:rPr>
          <w:rFonts w:eastAsia="DengXian"/>
        </w:rPr>
      </w:pPr>
      <w:r>
        <w:rPr>
          <w:rFonts w:eastAsia="DengXian"/>
        </w:rPr>
        <w:t>T</w:t>
      </w:r>
      <w:r w:rsidRPr="00A54604">
        <w:rPr>
          <w:rFonts w:eastAsia="DengXian"/>
        </w:rPr>
        <w:t>he Plenary</w:t>
      </w:r>
      <w:r>
        <w:rPr>
          <w:rFonts w:eastAsia="DengXian"/>
        </w:rPr>
        <w:t>, i</w:t>
      </w:r>
      <w:r w:rsidRPr="00A54604">
        <w:rPr>
          <w:rFonts w:eastAsia="DengXian"/>
        </w:rPr>
        <w:t>n section IV</w:t>
      </w:r>
      <w:r>
        <w:rPr>
          <w:rFonts w:eastAsia="DengXian"/>
        </w:rPr>
        <w:t>,</w:t>
      </w:r>
      <w:r w:rsidRPr="00A54604">
        <w:rPr>
          <w:rFonts w:eastAsia="DengXian"/>
        </w:rPr>
        <w:t xml:space="preserve"> on strengthening the knowledge foundations</w:t>
      </w:r>
      <w:r>
        <w:rPr>
          <w:rFonts w:eastAsia="DengXian"/>
        </w:rPr>
        <w:t>,</w:t>
      </w:r>
      <w:r w:rsidRPr="00070FD2">
        <w:rPr>
          <w:rFonts w:eastAsia="DengXian"/>
        </w:rPr>
        <w:t xml:space="preserve"> </w:t>
      </w:r>
      <w:r>
        <w:rPr>
          <w:rFonts w:eastAsia="DengXian"/>
        </w:rPr>
        <w:t xml:space="preserve">of </w:t>
      </w:r>
      <w:r w:rsidRPr="00A54604">
        <w:rPr>
          <w:rFonts w:eastAsia="DengXian"/>
        </w:rPr>
        <w:t>decision IPBES-7/1:</w:t>
      </w:r>
    </w:p>
    <w:p w14:paraId="65F79EC3" w14:textId="77777777" w:rsidR="004250CF" w:rsidRPr="00A54604" w:rsidRDefault="004250CF" w:rsidP="004F4CF0">
      <w:pPr>
        <w:pStyle w:val="Normalnumber"/>
        <w:numPr>
          <w:ilvl w:val="2"/>
          <w:numId w:val="1"/>
        </w:numPr>
        <w:tabs>
          <w:tab w:val="clear" w:pos="567"/>
        </w:tabs>
        <w:ind w:left="3119" w:hanging="624"/>
        <w:rPr>
          <w:rFonts w:eastAsia="DengXian"/>
        </w:rPr>
      </w:pPr>
      <w:r w:rsidRPr="00A54604">
        <w:t xml:space="preserve">In </w:t>
      </w:r>
      <w:r w:rsidRPr="00A54604">
        <w:rPr>
          <w:rFonts w:eastAsia="DengXian"/>
        </w:rPr>
        <w:t>paragraph 1, extended the mandate of the task force on knowledge and data established in decision IPBES-2/5, for the implementation of objective 3 (a) of the rolling work programme of the Platform up to 2030 in accordance with the revised terms of reference set out in sections I and III of annex II to decision</w:t>
      </w:r>
      <w:r>
        <w:rPr>
          <w:rFonts w:eastAsia="DengXian"/>
        </w:rPr>
        <w:t xml:space="preserve"> </w:t>
      </w:r>
      <w:r w:rsidRPr="00A54604">
        <w:rPr>
          <w:rFonts w:eastAsia="DengXian"/>
        </w:rPr>
        <w:t>IPBES-7/1, and requested the Bureau and the Multidisciplinary Expert Panel, through the Platform’s secretariat, to constitute the task force in accordance with the terms of reference;</w:t>
      </w:r>
    </w:p>
    <w:p w14:paraId="67929201" w14:textId="77777777" w:rsidR="004250CF" w:rsidRPr="00A54604" w:rsidRDefault="004250CF" w:rsidP="004F4CF0">
      <w:pPr>
        <w:pStyle w:val="Normalnumber"/>
        <w:numPr>
          <w:ilvl w:val="2"/>
          <w:numId w:val="1"/>
        </w:numPr>
        <w:tabs>
          <w:tab w:val="clear" w:pos="567"/>
        </w:tabs>
        <w:ind w:left="3119" w:hanging="624"/>
      </w:pPr>
      <w:r w:rsidRPr="00A54604">
        <w:rPr>
          <w:rFonts w:eastAsia="DengXian"/>
        </w:rPr>
        <w:lastRenderedPageBreak/>
        <w:t xml:space="preserve">In paragraph 2, extended the mandate of the task force on indigenous and local knowledge </w:t>
      </w:r>
      <w:r w:rsidRPr="00A54604">
        <w:t>systems</w:t>
      </w:r>
      <w:r w:rsidRPr="00A54604">
        <w:rPr>
          <w:rFonts w:eastAsia="DengXian"/>
        </w:rPr>
        <w:t xml:space="preserve"> established in decision IPBES-2/5, for the implementation of objective 3 (b)</w:t>
      </w:r>
      <w:r w:rsidRPr="00A54604">
        <w:t xml:space="preserve"> of the rolling work programme of the Platform up to 2030 in accordance with the revised terms of reference set out in sections I and IV of annex II to decision</w:t>
      </w:r>
      <w:r>
        <w:t xml:space="preserve"> </w:t>
      </w:r>
      <w:r w:rsidRPr="00A54604">
        <w:rPr>
          <w:rFonts w:eastAsia="DengXian"/>
        </w:rPr>
        <w:t>IPBES-7/1</w:t>
      </w:r>
      <w:r w:rsidRPr="00A54604">
        <w:t>, and requested the Bureau and the Multidisciplinary Expert Panel, through the Platform’s secretariat, to constitute the task force in accordance with the terms of reference.</w:t>
      </w:r>
    </w:p>
    <w:p w14:paraId="7CF8112B" w14:textId="610EB2A2" w:rsidR="004250CF" w:rsidRPr="00A54604" w:rsidRDefault="004250CF" w:rsidP="004F4CF0">
      <w:pPr>
        <w:pStyle w:val="Normalnumber"/>
        <w:numPr>
          <w:ilvl w:val="1"/>
          <w:numId w:val="1"/>
        </w:numPr>
        <w:tabs>
          <w:tab w:val="clear" w:pos="567"/>
        </w:tabs>
        <w:ind w:firstLine="624"/>
        <w:rPr>
          <w:rFonts w:eastAsia="MS Mincho"/>
          <w:lang w:val="en-US"/>
        </w:rPr>
      </w:pPr>
      <w:r>
        <w:rPr>
          <w:rFonts w:eastAsia="MS Mincho"/>
          <w:lang w:val="en-US"/>
        </w:rPr>
        <w:t>T</w:t>
      </w:r>
      <w:r w:rsidRPr="00A54604">
        <w:rPr>
          <w:rFonts w:eastAsia="MS Mincho"/>
          <w:lang w:val="en-US"/>
        </w:rPr>
        <w:t>he Plenary</w:t>
      </w:r>
      <w:r>
        <w:rPr>
          <w:rFonts w:eastAsia="MS Mincho"/>
          <w:lang w:val="en-US"/>
        </w:rPr>
        <w:t>,</w:t>
      </w:r>
      <w:r w:rsidRPr="00A54604">
        <w:rPr>
          <w:rFonts w:eastAsia="MS Mincho"/>
          <w:lang w:val="en-US"/>
        </w:rPr>
        <w:t xml:space="preserve"> </w:t>
      </w:r>
      <w:r>
        <w:rPr>
          <w:rFonts w:eastAsia="MS Mincho"/>
          <w:lang w:val="en-US"/>
        </w:rPr>
        <w:t>i</w:t>
      </w:r>
      <w:r w:rsidRPr="00A54604">
        <w:rPr>
          <w:rFonts w:eastAsia="MS Mincho"/>
          <w:lang w:val="en-US"/>
        </w:rPr>
        <w:t>n section V</w:t>
      </w:r>
      <w:r>
        <w:rPr>
          <w:rFonts w:eastAsia="MS Mincho"/>
          <w:lang w:val="en-US"/>
        </w:rPr>
        <w:t>,</w:t>
      </w:r>
      <w:r w:rsidRPr="00A54604">
        <w:rPr>
          <w:rFonts w:eastAsia="MS Mincho"/>
          <w:lang w:val="en-US"/>
        </w:rPr>
        <w:t xml:space="preserve"> </w:t>
      </w:r>
      <w:r w:rsidRPr="00700AD7">
        <w:rPr>
          <w:rFonts w:eastAsia="DengXian"/>
        </w:rPr>
        <w:t>on</w:t>
      </w:r>
      <w:r w:rsidRPr="00A54604">
        <w:rPr>
          <w:rFonts w:eastAsia="MS Mincho"/>
          <w:lang w:val="en-US"/>
        </w:rPr>
        <w:t xml:space="preserve"> supporting policy</w:t>
      </w:r>
      <w:r>
        <w:rPr>
          <w:rFonts w:eastAsia="MS Mincho"/>
          <w:lang w:val="en-US"/>
        </w:rPr>
        <w:t>,</w:t>
      </w:r>
      <w:r w:rsidRPr="00070FD2">
        <w:rPr>
          <w:rFonts w:eastAsia="MS Mincho"/>
          <w:lang w:val="en-US"/>
        </w:rPr>
        <w:t xml:space="preserve"> </w:t>
      </w:r>
      <w:r>
        <w:rPr>
          <w:rFonts w:eastAsia="MS Mincho"/>
          <w:lang w:val="en-US"/>
        </w:rPr>
        <w:t xml:space="preserve">of </w:t>
      </w:r>
      <w:r w:rsidRPr="00A54604">
        <w:rPr>
          <w:rFonts w:eastAsia="MS Mincho"/>
          <w:lang w:val="en-US"/>
        </w:rPr>
        <w:t xml:space="preserve">decision </w:t>
      </w:r>
      <w:r w:rsidRPr="00700AD7">
        <w:rPr>
          <w:rFonts w:eastAsia="DengXian"/>
        </w:rPr>
        <w:t>IPBES</w:t>
      </w:r>
      <w:r w:rsidRPr="00A54604">
        <w:rPr>
          <w:rFonts w:eastAsia="MS Mincho"/>
          <w:lang w:val="en-US"/>
        </w:rPr>
        <w:t xml:space="preserve">-7/1: </w:t>
      </w:r>
    </w:p>
    <w:p w14:paraId="53B79289" w14:textId="0BE7D0C3" w:rsidR="004250CF" w:rsidRPr="00700AD7" w:rsidRDefault="004250CF" w:rsidP="00FB0BA5">
      <w:pPr>
        <w:pStyle w:val="Normalnumber"/>
        <w:numPr>
          <w:ilvl w:val="2"/>
          <w:numId w:val="1"/>
        </w:numPr>
        <w:tabs>
          <w:tab w:val="clear" w:pos="567"/>
        </w:tabs>
        <w:ind w:left="3119" w:hanging="624"/>
        <w:rPr>
          <w:rFonts w:eastAsia="DengXian"/>
        </w:rPr>
      </w:pPr>
      <w:r w:rsidRPr="008B2947">
        <w:rPr>
          <w:rFonts w:eastAsia="DengXian"/>
        </w:rPr>
        <w:t xml:space="preserve">In paragraph 1, established a task force on policy tools and methodologies for the </w:t>
      </w:r>
      <w:r w:rsidRPr="00700AD7">
        <w:rPr>
          <w:rFonts w:eastAsia="DengXian"/>
        </w:rPr>
        <w:t xml:space="preserve">implementation of objective 4 (a) of the rolling work programme of the Platform up to 2030 in </w:t>
      </w:r>
      <w:r w:rsidRPr="008B2947">
        <w:rPr>
          <w:rFonts w:eastAsia="DengXian"/>
        </w:rPr>
        <w:t>accordance</w:t>
      </w:r>
      <w:r w:rsidRPr="00700AD7">
        <w:rPr>
          <w:rFonts w:eastAsia="DengXian"/>
        </w:rPr>
        <w:t xml:space="preserve"> with the terms of reference set out in sections I and VI of annex II to th</w:t>
      </w:r>
      <w:r>
        <w:rPr>
          <w:rFonts w:eastAsia="DengXian"/>
        </w:rPr>
        <w:t>at</w:t>
      </w:r>
      <w:r w:rsidRPr="00700AD7">
        <w:rPr>
          <w:rFonts w:eastAsia="DengXian"/>
        </w:rPr>
        <w:t xml:space="preserve"> decision, and requested the Bureau and the Multidisciplinary Expert Panel, through the Platform’s secretariat, to constitute the task force in accordance with the terms of reference;</w:t>
      </w:r>
    </w:p>
    <w:p w14:paraId="447D6B9C" w14:textId="77777777" w:rsidR="004250CF" w:rsidRPr="008B2947" w:rsidRDefault="004250CF" w:rsidP="00FB0BA5">
      <w:pPr>
        <w:pStyle w:val="Normalnumber"/>
        <w:numPr>
          <w:ilvl w:val="2"/>
          <w:numId w:val="1"/>
        </w:numPr>
        <w:tabs>
          <w:tab w:val="clear" w:pos="567"/>
        </w:tabs>
        <w:ind w:left="3119" w:hanging="624"/>
        <w:rPr>
          <w:rFonts w:eastAsia="DengXian"/>
        </w:rPr>
      </w:pPr>
      <w:r w:rsidRPr="00700AD7">
        <w:rPr>
          <w:rFonts w:eastAsia="DengXian"/>
        </w:rPr>
        <w:t>In paragraph</w:t>
      </w:r>
      <w:r w:rsidRPr="008B2947">
        <w:rPr>
          <w:rFonts w:eastAsia="DengXian"/>
        </w:rPr>
        <w:t xml:space="preserve"> 2, established a task force on scenarios and models for the implementation of objective 4 (b) of the rolling work programme of the Platform up to 2030 in accordance with the terms of reference set out in sections I </w:t>
      </w:r>
      <w:r w:rsidRPr="00700AD7">
        <w:rPr>
          <w:rFonts w:eastAsia="DengXian"/>
        </w:rPr>
        <w:t>and</w:t>
      </w:r>
      <w:r w:rsidRPr="008B2947">
        <w:rPr>
          <w:rFonts w:eastAsia="DengXian"/>
        </w:rPr>
        <w:t xml:space="preserve"> V of annex II to that decision, and requested the Bureau and the Multidisciplinary Expert Panel, through the Platform’s secretariat, to constitute the task force in accordance with the terms of reference.</w:t>
      </w:r>
    </w:p>
    <w:p w14:paraId="0A4C8D4A" w14:textId="3975C24A" w:rsidR="00D0010E" w:rsidRDefault="00D0010E" w:rsidP="004F4CF0">
      <w:pPr>
        <w:pStyle w:val="Normalnumber"/>
        <w:numPr>
          <w:ilvl w:val="0"/>
          <w:numId w:val="1"/>
        </w:numPr>
        <w:tabs>
          <w:tab w:val="clear" w:pos="567"/>
        </w:tabs>
      </w:pPr>
      <w:r w:rsidRPr="00713731">
        <w:rPr>
          <w:rFonts w:eastAsia="DengXian"/>
        </w:rPr>
        <w:t xml:space="preserve">The Plenary, </w:t>
      </w:r>
      <w:r w:rsidR="00713731" w:rsidRPr="00713731">
        <w:rPr>
          <w:rFonts w:eastAsia="DengXian"/>
        </w:rPr>
        <w:t>in section II</w:t>
      </w:r>
      <w:r w:rsidR="005D1175">
        <w:rPr>
          <w:rFonts w:eastAsia="DengXian"/>
        </w:rPr>
        <w:t>,</w:t>
      </w:r>
      <w:r w:rsidR="00713731" w:rsidRPr="00713731">
        <w:rPr>
          <w:rFonts w:eastAsia="DengXian"/>
        </w:rPr>
        <w:t xml:space="preserve"> </w:t>
      </w:r>
      <w:r w:rsidR="005D1175">
        <w:rPr>
          <w:rFonts w:eastAsia="DengXian"/>
        </w:rPr>
        <w:t>on assessing knowledge,</w:t>
      </w:r>
      <w:r w:rsidR="005D1175" w:rsidRPr="00713731">
        <w:rPr>
          <w:rFonts w:eastAsia="DengXian"/>
        </w:rPr>
        <w:t xml:space="preserve"> </w:t>
      </w:r>
      <w:r w:rsidR="00713731" w:rsidRPr="00713731">
        <w:rPr>
          <w:rFonts w:eastAsia="DengXian"/>
        </w:rPr>
        <w:t xml:space="preserve">of </w:t>
      </w:r>
      <w:r w:rsidRPr="00713731">
        <w:rPr>
          <w:rFonts w:eastAsia="DengXian"/>
        </w:rPr>
        <w:t xml:space="preserve">decision IPBES-8/1, </w:t>
      </w:r>
      <w:r w:rsidR="005D1175">
        <w:rPr>
          <w:rFonts w:eastAsia="DengXian"/>
        </w:rPr>
        <w:t xml:space="preserve">on </w:t>
      </w:r>
      <w:r w:rsidR="000D7E8D">
        <w:rPr>
          <w:rFonts w:eastAsia="DengXian"/>
        </w:rPr>
        <w:t>implementation of the rolling work programme of IPBES up to 2030</w:t>
      </w:r>
      <w:r w:rsidR="00064A85">
        <w:rPr>
          <w:rFonts w:eastAsia="DengXian"/>
        </w:rPr>
        <w:t xml:space="preserve">, </w:t>
      </w:r>
      <w:r w:rsidRPr="00713731">
        <w:rPr>
          <w:rFonts w:eastAsia="DengXian"/>
        </w:rPr>
        <w:t xml:space="preserve">approved the undertaking of a thematic assessment of the interlinkages among biodiversity, water, food and health, as well as the undertaking of a </w:t>
      </w:r>
      <w:bookmarkStart w:id="2" w:name="_Hlk102143034"/>
      <w:r w:rsidRPr="00713731">
        <w:rPr>
          <w:rFonts w:eastAsia="DengXian"/>
        </w:rPr>
        <w:t xml:space="preserve">thematic </w:t>
      </w:r>
      <w:r w:rsidRPr="00AE6320">
        <w:t>assessment</w:t>
      </w:r>
      <w:r w:rsidRPr="00713731">
        <w:rPr>
          <w:rFonts w:eastAsia="DengXian"/>
        </w:rPr>
        <w:t xml:space="preserve"> of the underlying causes of biodiversity loss and the determinants of transformative change and options for achieving the 2050 Vision for Biodiversity</w:t>
      </w:r>
      <w:bookmarkEnd w:id="2"/>
      <w:r w:rsidRPr="00713731">
        <w:rPr>
          <w:rFonts w:eastAsia="DengXian"/>
        </w:rPr>
        <w:t>, in accordance with the procedures for the preparation of Platform deliverables and as outlined in the respective scoping report</w:t>
      </w:r>
      <w:r w:rsidR="00507483">
        <w:rPr>
          <w:rFonts w:eastAsia="DengXian"/>
        </w:rPr>
        <w:t>s</w:t>
      </w:r>
      <w:r w:rsidRPr="00713731">
        <w:rPr>
          <w:rFonts w:eastAsia="DengXian"/>
        </w:rPr>
        <w:t xml:space="preserve"> for each of the assessments. </w:t>
      </w:r>
      <w:r w:rsidR="00FC1B1C">
        <w:rPr>
          <w:rFonts w:eastAsia="DengXian"/>
        </w:rPr>
        <w:t xml:space="preserve">In </w:t>
      </w:r>
      <w:r w:rsidR="001F35E1">
        <w:rPr>
          <w:rFonts w:eastAsia="DengXian"/>
        </w:rPr>
        <w:t xml:space="preserve">section VII, </w:t>
      </w:r>
      <w:r w:rsidR="007B4BB2">
        <w:rPr>
          <w:rFonts w:eastAsia="DengXian"/>
        </w:rPr>
        <w:t xml:space="preserve">on technical support for the work programme, </w:t>
      </w:r>
      <w:r w:rsidR="00B43E1E">
        <w:rPr>
          <w:rFonts w:eastAsia="DengXian"/>
        </w:rPr>
        <w:t>of th</w:t>
      </w:r>
      <w:r w:rsidR="00393B34">
        <w:rPr>
          <w:rFonts w:eastAsia="DengXian"/>
        </w:rPr>
        <w:t>e</w:t>
      </w:r>
      <w:r w:rsidR="00B43E1E">
        <w:rPr>
          <w:rFonts w:eastAsia="DengXian"/>
        </w:rPr>
        <w:t xml:space="preserve"> decision, </w:t>
      </w:r>
      <w:r w:rsidR="001F35E1">
        <w:rPr>
          <w:rFonts w:eastAsia="DengXian"/>
        </w:rPr>
        <w:t>t</w:t>
      </w:r>
      <w:r w:rsidRPr="00713731">
        <w:rPr>
          <w:rFonts w:eastAsia="DengXian"/>
        </w:rPr>
        <w:t>he Plenary also requested the secretariat, in consultation with the Bureau and in accordance with the approved budget set out in the annex to decision IPBES-8/4, to establish the institutional arrangements necessary to implement the technical support required for the work programme.</w:t>
      </w:r>
    </w:p>
    <w:p w14:paraId="1A961159" w14:textId="4D49263B" w:rsidR="004250CF" w:rsidRPr="00A54604" w:rsidRDefault="004250CF" w:rsidP="004F4CF0">
      <w:pPr>
        <w:pStyle w:val="Normalnumber"/>
        <w:numPr>
          <w:ilvl w:val="0"/>
          <w:numId w:val="1"/>
        </w:numPr>
        <w:tabs>
          <w:tab w:val="clear" w:pos="567"/>
        </w:tabs>
      </w:pPr>
      <w:r w:rsidRPr="00A54604">
        <w:t xml:space="preserve">The annex to the present note, which is presented without formal editing, sets out information on the </w:t>
      </w:r>
      <w:r w:rsidRPr="00700AD7">
        <w:rPr>
          <w:rFonts w:eastAsia="DengXian"/>
        </w:rPr>
        <w:t>various</w:t>
      </w:r>
      <w:r w:rsidRPr="00A54604">
        <w:t xml:space="preserve"> institutional arrangements in place</w:t>
      </w:r>
      <w:r>
        <w:t xml:space="preserve"> to provide technical support for the implementation of the </w:t>
      </w:r>
      <w:r w:rsidRPr="00A54604">
        <w:rPr>
          <w:rFonts w:eastAsia="DengXian"/>
        </w:rPr>
        <w:t>rolling work programme</w:t>
      </w:r>
      <w:r>
        <w:rPr>
          <w:rFonts w:eastAsia="DengXian"/>
        </w:rPr>
        <w:t xml:space="preserve"> of the Platform for the period</w:t>
      </w:r>
      <w:r w:rsidRPr="00A54604">
        <w:rPr>
          <w:rFonts w:eastAsia="DengXian"/>
        </w:rPr>
        <w:t xml:space="preserve"> up to 2030</w:t>
      </w:r>
      <w:r w:rsidRPr="00A54604">
        <w:t xml:space="preserve">. </w:t>
      </w:r>
    </w:p>
    <w:p w14:paraId="0A24365D" w14:textId="77777777" w:rsidR="004250CF" w:rsidRDefault="004250CF" w:rsidP="004250CF">
      <w:pPr>
        <w:pStyle w:val="Normal-pool"/>
        <w:sectPr w:rsidR="004250CF" w:rsidSect="004250CF">
          <w:headerReference w:type="even" r:id="rId13"/>
          <w:headerReference w:type="default" r:id="rId14"/>
          <w:footerReference w:type="even" r:id="rId15"/>
          <w:footerReference w:type="default" r:id="rId16"/>
          <w:headerReference w:type="first" r:id="rId17"/>
          <w:footerReference w:type="first" r:id="rId18"/>
          <w:pgSz w:w="11906" w:h="16838" w:code="9"/>
          <w:pgMar w:top="907" w:right="992" w:bottom="1418" w:left="1418" w:header="539" w:footer="975" w:gutter="0"/>
          <w:cols w:space="539"/>
          <w:titlePg/>
          <w:docGrid w:linePitch="360"/>
        </w:sectPr>
      </w:pPr>
    </w:p>
    <w:p w14:paraId="2A4635A6" w14:textId="585BFE62" w:rsidR="004250CF" w:rsidRPr="00A54604" w:rsidRDefault="004250CF" w:rsidP="004250CF">
      <w:pPr>
        <w:pStyle w:val="ZZAnxheader"/>
        <w:rPr>
          <w:rFonts w:eastAsia="DengXian"/>
        </w:rPr>
      </w:pPr>
      <w:r w:rsidRPr="00A54604">
        <w:rPr>
          <w:rFonts w:eastAsia="DengXian"/>
        </w:rPr>
        <w:lastRenderedPageBreak/>
        <w:t>Annex</w:t>
      </w:r>
      <w:bookmarkStart w:id="3" w:name="_Hlk76459712"/>
      <w:bookmarkStart w:id="4" w:name="_Hlk69114350"/>
      <w:r w:rsidR="001E681F" w:rsidRPr="00D73B86">
        <w:rPr>
          <w:b w:val="0"/>
          <w:bCs w:val="0"/>
        </w:rPr>
        <w:footnoteReference w:customMarkFollows="1" w:id="3"/>
        <w:t>*</w:t>
      </w:r>
      <w:bookmarkEnd w:id="3"/>
      <w:bookmarkEnd w:id="4"/>
    </w:p>
    <w:p w14:paraId="6284ED0E" w14:textId="77777777" w:rsidR="004250CF" w:rsidRPr="00A54604" w:rsidRDefault="004250CF" w:rsidP="004250CF">
      <w:pPr>
        <w:pStyle w:val="ZZAnxtitle"/>
        <w:rPr>
          <w:rFonts w:eastAsia="DengXian"/>
        </w:rPr>
      </w:pPr>
      <w:r w:rsidRPr="00A54604">
        <w:rPr>
          <w:rFonts w:eastAsia="DengXian"/>
        </w:rPr>
        <w:t>Institutional arrangements currently in place to provide technical support for the implementation of the 2030 rolling work programme</w:t>
      </w:r>
    </w:p>
    <w:p w14:paraId="2087246E" w14:textId="77777777" w:rsidR="004250CF" w:rsidRPr="00700AD7" w:rsidRDefault="004250CF" w:rsidP="00CD2428">
      <w:pPr>
        <w:pStyle w:val="Normalnumber"/>
        <w:numPr>
          <w:ilvl w:val="0"/>
          <w:numId w:val="2"/>
        </w:numPr>
        <w:rPr>
          <w:rFonts w:eastAsia="DengXian"/>
        </w:rPr>
      </w:pPr>
      <w:r w:rsidRPr="00700AD7">
        <w:rPr>
          <w:rFonts w:eastAsia="DengXian"/>
        </w:rPr>
        <w:t>The IPBES 2030 work programme, set out in annex I to decision IPBES-7/1, states in paragraph 25 that technical support for the implementation of the work programme will be provided by the secretariat, which for some of the objectives will be complemented by a technical support unit, as appropriate. The secretariat will issue open calls for expressions of interest in providing technical support, including in-kind support from Governments and other stakeholders, for the establishment of these units. The most suitable institutions will be selected by the Bureau and will work under the authority of the Executive Secretary.</w:t>
      </w:r>
    </w:p>
    <w:p w14:paraId="7B8D4A7A" w14:textId="77777777" w:rsidR="004250CF" w:rsidRPr="00700AD7" w:rsidRDefault="004250CF" w:rsidP="00CD2428">
      <w:pPr>
        <w:pStyle w:val="Normalnumber"/>
        <w:numPr>
          <w:ilvl w:val="0"/>
          <w:numId w:val="2"/>
        </w:numPr>
        <w:rPr>
          <w:rFonts w:eastAsia="DengXian"/>
        </w:rPr>
      </w:pPr>
      <w:r w:rsidRPr="00A54604">
        <w:t xml:space="preserve">A technical support unit is a dedicated team, or dedicated individual, providing support to expert groups, or task forces to implement the IPBES work programme. “Dedicated” implies clearly defined roles, responsibilities and full commitment to supporting the IPBES work programme deliverables. Technical support units provide scientific, </w:t>
      </w:r>
      <w:r w:rsidRPr="00700AD7">
        <w:rPr>
          <w:rFonts w:eastAsia="DengXian"/>
        </w:rPr>
        <w:t xml:space="preserve">technical and organizational support, for the delivery of one or more of the agreed deliverables. They work under time-bound and task-specific partnership agreements approved by the Bureau. All technical support units form part of the secretariat and are under the authority of the Executive Secretary. All technical support units have only been established for the duration of their deliverables. </w:t>
      </w:r>
    </w:p>
    <w:p w14:paraId="17A61FF6" w14:textId="65DEF77D" w:rsidR="00013EA5" w:rsidRDefault="004250CF" w:rsidP="00CD2428">
      <w:pPr>
        <w:pStyle w:val="Normalnumber"/>
        <w:numPr>
          <w:ilvl w:val="0"/>
          <w:numId w:val="2"/>
        </w:numPr>
        <w:rPr>
          <w:rFonts w:eastAsia="DengXian"/>
        </w:rPr>
      </w:pPr>
      <w:r w:rsidRPr="00013EA5">
        <w:rPr>
          <w:rFonts w:eastAsia="DengXian"/>
        </w:rPr>
        <w:t>A call for technical support units to support the implementation of the rolling work programme up to 2030 was launched following the seventh session of the Plenary. The Bureau, at its 13th meeting in July 2019, considered the offers received for technical support to the five IPBES task forces under the 2030 rolling work programme</w:t>
      </w:r>
      <w:r w:rsidR="008B0138">
        <w:rPr>
          <w:rFonts w:eastAsia="DengXian"/>
        </w:rPr>
        <w:t xml:space="preserve">. </w:t>
      </w:r>
      <w:r w:rsidR="008B0138" w:rsidRPr="008B0138">
        <w:rPr>
          <w:rFonts w:eastAsia="DengXian"/>
        </w:rPr>
        <w:t xml:space="preserve">The Bureau </w:t>
      </w:r>
      <w:r w:rsidR="00657DD1">
        <w:rPr>
          <w:rFonts w:eastAsia="DengXian"/>
        </w:rPr>
        <w:t xml:space="preserve">also </w:t>
      </w:r>
      <w:r w:rsidR="008B0138" w:rsidRPr="00013EA5">
        <w:rPr>
          <w:rFonts w:eastAsia="DengXian"/>
        </w:rPr>
        <w:t>decided that the provision of technical support would extend until the tenth session of the IPBES Plenary, at which session the Plenary is scheduled to review the mandates of the task forces.</w:t>
      </w:r>
      <w:r w:rsidRPr="00013EA5">
        <w:rPr>
          <w:rFonts w:eastAsia="DengXian"/>
        </w:rPr>
        <w:t xml:space="preserve"> </w:t>
      </w:r>
    </w:p>
    <w:p w14:paraId="766F2533" w14:textId="62AF793D" w:rsidR="004250CF" w:rsidRDefault="00D0010E" w:rsidP="00CD2428">
      <w:pPr>
        <w:pStyle w:val="Normalnumber"/>
        <w:numPr>
          <w:ilvl w:val="0"/>
          <w:numId w:val="2"/>
        </w:numPr>
        <w:rPr>
          <w:rFonts w:eastAsia="DengXian"/>
        </w:rPr>
      </w:pPr>
      <w:r w:rsidRPr="00D0010E">
        <w:rPr>
          <w:rFonts w:eastAsia="DengXian"/>
        </w:rPr>
        <w:t xml:space="preserve">A call for </w:t>
      </w:r>
      <w:r>
        <w:rPr>
          <w:rFonts w:eastAsia="DengXian"/>
        </w:rPr>
        <w:t xml:space="preserve">a </w:t>
      </w:r>
      <w:r w:rsidRPr="00D0010E">
        <w:rPr>
          <w:rFonts w:eastAsia="DengXian"/>
        </w:rPr>
        <w:t>technical support unit to support the implementation of the</w:t>
      </w:r>
      <w:r w:rsidR="004250CF" w:rsidRPr="00013EA5">
        <w:rPr>
          <w:rFonts w:eastAsia="DengXian"/>
        </w:rPr>
        <w:t xml:space="preserve"> </w:t>
      </w:r>
      <w:r w:rsidRPr="00D0010E">
        <w:rPr>
          <w:rFonts w:eastAsia="DengXian"/>
        </w:rPr>
        <w:t>thematic assessment of the underlying causes of biodiversity loss and the determinants of transformative change and options for achieving the 2050 Vision for Biodiversity</w:t>
      </w:r>
      <w:r w:rsidR="00713731">
        <w:rPr>
          <w:rFonts w:eastAsia="DengXian"/>
        </w:rPr>
        <w:t xml:space="preserve"> (transformative change assessment) was </w:t>
      </w:r>
      <w:r w:rsidR="00713731" w:rsidRPr="00713731">
        <w:rPr>
          <w:rFonts w:eastAsia="DengXian"/>
        </w:rPr>
        <w:t xml:space="preserve">launched following the </w:t>
      </w:r>
      <w:r w:rsidR="00713731">
        <w:rPr>
          <w:rFonts w:eastAsia="DengXian"/>
        </w:rPr>
        <w:t>eigh</w:t>
      </w:r>
      <w:r w:rsidR="00713731" w:rsidRPr="00713731">
        <w:rPr>
          <w:rFonts w:eastAsia="DengXian"/>
        </w:rPr>
        <w:t>th session of the Plenary. The Bureau</w:t>
      </w:r>
      <w:r w:rsidR="00713731">
        <w:rPr>
          <w:rFonts w:eastAsia="DengXian"/>
        </w:rPr>
        <w:t xml:space="preserve">, at an </w:t>
      </w:r>
      <w:r w:rsidR="00713731" w:rsidRPr="00713731">
        <w:rPr>
          <w:rFonts w:eastAsia="DengXian"/>
        </w:rPr>
        <w:t xml:space="preserve">online meeting </w:t>
      </w:r>
      <w:r w:rsidR="00713731">
        <w:rPr>
          <w:rFonts w:eastAsia="DengXian"/>
        </w:rPr>
        <w:t>i</w:t>
      </w:r>
      <w:r w:rsidR="00713731" w:rsidRPr="00713731">
        <w:rPr>
          <w:rFonts w:eastAsia="DengXian"/>
        </w:rPr>
        <w:t>n September 2021</w:t>
      </w:r>
      <w:r w:rsidR="00713731">
        <w:rPr>
          <w:rFonts w:eastAsia="DengXian"/>
        </w:rPr>
        <w:t xml:space="preserve">, </w:t>
      </w:r>
      <w:r w:rsidR="00713731" w:rsidRPr="00013EA5">
        <w:rPr>
          <w:rFonts w:eastAsia="DengXian"/>
        </w:rPr>
        <w:t>considered the offers received</w:t>
      </w:r>
      <w:r w:rsidR="00713731">
        <w:rPr>
          <w:rFonts w:eastAsia="DengXian"/>
        </w:rPr>
        <w:t xml:space="preserve"> and </w:t>
      </w:r>
      <w:r w:rsidR="00984946">
        <w:rPr>
          <w:rFonts w:eastAsia="DengXian"/>
        </w:rPr>
        <w:t xml:space="preserve">accepted </w:t>
      </w:r>
      <w:r w:rsidR="00984946" w:rsidRPr="00984946">
        <w:rPr>
          <w:rFonts w:eastAsia="DengXian"/>
        </w:rPr>
        <w:t>the offer from the University of Montpellier</w:t>
      </w:r>
      <w:r w:rsidR="00657DD1" w:rsidRPr="00657DD1">
        <w:rPr>
          <w:rFonts w:eastAsia="DengXian"/>
        </w:rPr>
        <w:t>, subject to the successful conclusion of contractual arrangements in accordance with the decisions by the IPBES Plenary and the applicable rules and procedures of the United Nations Environment Programme</w:t>
      </w:r>
      <w:r w:rsidR="00984946" w:rsidRPr="00984946">
        <w:rPr>
          <w:rFonts w:eastAsia="DengXian"/>
        </w:rPr>
        <w:t>.</w:t>
      </w:r>
    </w:p>
    <w:p w14:paraId="20F31189" w14:textId="77777777" w:rsidR="004250CF" w:rsidRPr="00A54604" w:rsidRDefault="004250CF" w:rsidP="00CD2428">
      <w:pPr>
        <w:pStyle w:val="Normalnumber"/>
        <w:numPr>
          <w:ilvl w:val="0"/>
          <w:numId w:val="2"/>
        </w:numPr>
      </w:pPr>
      <w:r w:rsidRPr="00700AD7">
        <w:rPr>
          <w:rFonts w:eastAsia="DengXian"/>
        </w:rPr>
        <w:t xml:space="preserve">Technical support units have been established outside of the secretariat at the institutions listed below, thanks to their support. Financed ordinarily by a combination of IPBES funds and in-kind support from the </w:t>
      </w:r>
      <w:r w:rsidRPr="00A54604">
        <w:rPr>
          <w:rFonts w:eastAsia="DengXian"/>
        </w:rPr>
        <w:t>hosting</w:t>
      </w:r>
      <w:r w:rsidRPr="00700AD7">
        <w:rPr>
          <w:rFonts w:eastAsia="DengXian"/>
        </w:rPr>
        <w:t xml:space="preserve"> institution, all technical support arrangements provide for several full time and part time professional and administrative positions, as well as office</w:t>
      </w:r>
      <w:r w:rsidRPr="00A54604">
        <w:t xml:space="preserve"> space and infrastructure:</w:t>
      </w:r>
    </w:p>
    <w:p w14:paraId="27F47FED" w14:textId="77777777" w:rsidR="004250CF" w:rsidRPr="00A54604" w:rsidRDefault="004250CF" w:rsidP="00CD2428">
      <w:pPr>
        <w:pStyle w:val="Normalnumber"/>
        <w:numPr>
          <w:ilvl w:val="1"/>
          <w:numId w:val="2"/>
        </w:numPr>
        <w:rPr>
          <w:rFonts w:eastAsia="MS Mincho"/>
          <w:lang w:val="fr-CA"/>
        </w:rPr>
      </w:pPr>
      <w:bookmarkStart w:id="5" w:name="_Hlk66785080"/>
      <w:r w:rsidRPr="00A54604">
        <w:rPr>
          <w:rFonts w:eastAsia="MS Mincho"/>
          <w:lang w:val="en-US"/>
        </w:rPr>
        <w:t>In place since 2018:</w:t>
      </w:r>
    </w:p>
    <w:bookmarkEnd w:id="5"/>
    <w:p w14:paraId="69DC61B0" w14:textId="642EF315" w:rsidR="004250CF" w:rsidRPr="00A54604" w:rsidRDefault="004250CF" w:rsidP="00CD2428">
      <w:pPr>
        <w:pStyle w:val="Normalnumber"/>
        <w:numPr>
          <w:ilvl w:val="2"/>
          <w:numId w:val="2"/>
        </w:numPr>
        <w:ind w:left="3119" w:hanging="624"/>
        <w:rPr>
          <w:rFonts w:eastAsia="MS Mincho"/>
          <w:lang w:val="en-US"/>
        </w:rPr>
      </w:pPr>
      <w:r w:rsidRPr="00A54604">
        <w:rPr>
          <w:rFonts w:eastAsia="MS Mincho"/>
          <w:lang w:val="en-US"/>
        </w:rPr>
        <w:t xml:space="preserve">Institute for Ecosystems Research and Sustainability, National Autonomous University of Mexico (IIES-UNAM), </w:t>
      </w:r>
      <w:r w:rsidR="0087068B">
        <w:rPr>
          <w:rFonts w:eastAsia="MS Mincho"/>
          <w:lang w:val="en-US"/>
        </w:rPr>
        <w:t xml:space="preserve">in </w:t>
      </w:r>
      <w:r w:rsidRPr="00A54604">
        <w:rPr>
          <w:rFonts w:eastAsia="MS Mincho"/>
          <w:lang w:val="en-US"/>
        </w:rPr>
        <w:t>Morelia, Mexico, to support the assessment on values (deliverable 3 (d));</w:t>
      </w:r>
    </w:p>
    <w:p w14:paraId="469C9ECA" w14:textId="77777777" w:rsidR="004250CF" w:rsidRPr="00A54604" w:rsidRDefault="004250CF" w:rsidP="00CD2428">
      <w:pPr>
        <w:pStyle w:val="Normalnumber"/>
        <w:numPr>
          <w:ilvl w:val="2"/>
          <w:numId w:val="2"/>
        </w:numPr>
        <w:ind w:left="3119" w:hanging="624"/>
      </w:pPr>
      <w:r w:rsidRPr="00A54604">
        <w:rPr>
          <w:rFonts w:eastAsia="MS Mincho"/>
          <w:lang w:val="en-US"/>
        </w:rPr>
        <w:t>French Foundation for Research on Biodiversity (FRB) and French Agency for Biodiversity (AFB), in Paris, France, to support the assessment of the sustainable use of wild species</w:t>
      </w:r>
      <w:r w:rsidRPr="00A54604">
        <w:t xml:space="preserve"> (deliverable 3 (b) (iii));</w:t>
      </w:r>
    </w:p>
    <w:p w14:paraId="01847CE9" w14:textId="77777777" w:rsidR="004250CF" w:rsidRPr="00EC6F41" w:rsidRDefault="004250CF" w:rsidP="00CD2428">
      <w:pPr>
        <w:pStyle w:val="Normalnumber"/>
        <w:numPr>
          <w:ilvl w:val="1"/>
          <w:numId w:val="2"/>
        </w:numPr>
        <w:rPr>
          <w:rFonts w:eastAsia="MS Mincho"/>
          <w:lang w:val="en-US"/>
        </w:rPr>
      </w:pPr>
      <w:r w:rsidRPr="00A54604">
        <w:rPr>
          <w:rFonts w:eastAsia="MS Mincho"/>
          <w:lang w:val="en-US"/>
        </w:rPr>
        <w:t>In place since 2019:</w:t>
      </w:r>
    </w:p>
    <w:p w14:paraId="52B89BBC" w14:textId="420CC607" w:rsidR="004250CF" w:rsidRPr="00A54604" w:rsidRDefault="004250CF" w:rsidP="00CD2428">
      <w:pPr>
        <w:pStyle w:val="Normalnumber"/>
        <w:numPr>
          <w:ilvl w:val="2"/>
          <w:numId w:val="2"/>
        </w:numPr>
        <w:ind w:left="3119" w:hanging="624"/>
        <w:rPr>
          <w:rFonts w:eastAsia="MS Mincho"/>
          <w:lang w:val="en-US"/>
        </w:rPr>
      </w:pPr>
      <w:r w:rsidRPr="00A54604">
        <w:rPr>
          <w:rFonts w:eastAsia="MS Mincho"/>
          <w:lang w:val="en-US"/>
        </w:rPr>
        <w:t xml:space="preserve">Institute for Global Environmental Strategies (IGES), in Kanagawa, Japan, to support the assessment </w:t>
      </w:r>
      <w:r w:rsidR="00064A85" w:rsidRPr="00A54604">
        <w:rPr>
          <w:rFonts w:eastAsia="MS Mincho"/>
          <w:lang w:val="en-US"/>
        </w:rPr>
        <w:t>o</w:t>
      </w:r>
      <w:r w:rsidR="00064A85">
        <w:rPr>
          <w:rFonts w:eastAsia="MS Mincho"/>
          <w:lang w:val="en-US"/>
        </w:rPr>
        <w:t>f</w:t>
      </w:r>
      <w:r w:rsidR="00064A85" w:rsidRPr="00A54604">
        <w:rPr>
          <w:rFonts w:eastAsia="MS Mincho"/>
          <w:lang w:val="en-US"/>
        </w:rPr>
        <w:t xml:space="preserve"> </w:t>
      </w:r>
      <w:r w:rsidRPr="00A54604">
        <w:rPr>
          <w:rFonts w:eastAsia="MS Mincho"/>
          <w:lang w:val="en-US"/>
        </w:rPr>
        <w:t>invasive alien species (deliverable 3 (b)</w:t>
      </w:r>
      <w:r w:rsidR="00CD2428">
        <w:rPr>
          <w:rFonts w:eastAsia="MS Mincho"/>
          <w:lang w:val="en-US"/>
        </w:rPr>
        <w:t xml:space="preserve"> </w:t>
      </w:r>
      <w:r w:rsidRPr="00A54604">
        <w:rPr>
          <w:rFonts w:eastAsia="MS Mincho"/>
          <w:lang w:val="en-US"/>
        </w:rPr>
        <w:t>(ii));</w:t>
      </w:r>
    </w:p>
    <w:p w14:paraId="0F3B51C5" w14:textId="111C3656" w:rsidR="004250CF" w:rsidRPr="00A54604" w:rsidRDefault="004250CF" w:rsidP="00CD2428">
      <w:pPr>
        <w:pStyle w:val="Normalnumber"/>
        <w:numPr>
          <w:ilvl w:val="2"/>
          <w:numId w:val="2"/>
        </w:numPr>
        <w:ind w:left="3119" w:hanging="624"/>
        <w:rPr>
          <w:rFonts w:eastAsia="MS Mincho"/>
          <w:lang w:val="en-US"/>
        </w:rPr>
      </w:pPr>
      <w:r w:rsidRPr="00A54604">
        <w:rPr>
          <w:rFonts w:eastAsia="MS Mincho"/>
          <w:lang w:val="en-US"/>
        </w:rPr>
        <w:t xml:space="preserve">Norwegian Environment Agency in Trondheim, Norway, </w:t>
      </w:r>
      <w:r w:rsidR="00D97BB1" w:rsidRPr="00A54604">
        <w:rPr>
          <w:rFonts w:eastAsia="MS Mincho"/>
          <w:lang w:val="en-US"/>
        </w:rPr>
        <w:t xml:space="preserve">to support </w:t>
      </w:r>
      <w:r w:rsidR="00D97BB1">
        <w:rPr>
          <w:rFonts w:eastAsia="MS Mincho"/>
          <w:lang w:val="en-US"/>
        </w:rPr>
        <w:t xml:space="preserve">the </w:t>
      </w:r>
      <w:r w:rsidR="00D97BB1" w:rsidRPr="00A54604">
        <w:rPr>
          <w:rFonts w:eastAsia="MS Mincho"/>
          <w:lang w:val="en-US"/>
        </w:rPr>
        <w:t xml:space="preserve">work of the task force on </w:t>
      </w:r>
      <w:r w:rsidRPr="00A54604">
        <w:rPr>
          <w:rFonts w:eastAsia="MS Mincho"/>
          <w:lang w:val="en-US"/>
        </w:rPr>
        <w:t>capacity-building, (objectives 2 (a), 2 (b) and 2 (c))</w:t>
      </w:r>
      <w:r w:rsidR="00D97BB1">
        <w:rPr>
          <w:rFonts w:eastAsia="MS Mincho"/>
          <w:lang w:val="en-US"/>
        </w:rPr>
        <w:t>;</w:t>
      </w:r>
    </w:p>
    <w:p w14:paraId="71BCA2AB" w14:textId="508EE254" w:rsidR="004250CF" w:rsidRPr="00A54604" w:rsidRDefault="00460446" w:rsidP="00CD2428">
      <w:pPr>
        <w:pStyle w:val="Normalnumber"/>
        <w:numPr>
          <w:ilvl w:val="2"/>
          <w:numId w:val="2"/>
        </w:numPr>
        <w:ind w:left="3119" w:hanging="624"/>
        <w:rPr>
          <w:rFonts w:eastAsia="MS Mincho"/>
          <w:lang w:val="en-US"/>
        </w:rPr>
      </w:pPr>
      <w:r w:rsidRPr="00460446">
        <w:rPr>
          <w:rFonts w:eastAsia="MS Mincho"/>
          <w:lang w:val="en-US"/>
        </w:rPr>
        <w:t xml:space="preserve">Biodiversa+ </w:t>
      </w:r>
      <w:r w:rsidR="004250CF" w:rsidRPr="00A54604">
        <w:rPr>
          <w:rFonts w:eastAsia="MS Mincho"/>
          <w:lang w:val="en-US"/>
        </w:rPr>
        <w:t xml:space="preserve">secretariat, hosted by </w:t>
      </w:r>
      <w:r w:rsidR="00064A85">
        <w:rPr>
          <w:rFonts w:eastAsia="MS Mincho"/>
          <w:lang w:val="en-US"/>
        </w:rPr>
        <w:t>t</w:t>
      </w:r>
      <w:r w:rsidR="004250CF" w:rsidRPr="00A54604">
        <w:rPr>
          <w:rFonts w:eastAsia="MS Mincho"/>
          <w:lang w:val="en-US"/>
        </w:rPr>
        <w:t xml:space="preserve">he French Foundation for Research and Biodiversity (FRB), in Paris, France, </w:t>
      </w:r>
      <w:r w:rsidR="00D97BB1" w:rsidRPr="00D97BB1">
        <w:rPr>
          <w:rFonts w:eastAsia="MS Mincho"/>
          <w:lang w:val="en-US"/>
        </w:rPr>
        <w:t xml:space="preserve">to support the work </w:t>
      </w:r>
      <w:r w:rsidR="00064A85" w:rsidRPr="00D97BB1">
        <w:rPr>
          <w:rFonts w:eastAsia="MS Mincho"/>
          <w:lang w:val="en-US"/>
        </w:rPr>
        <w:t>o</w:t>
      </w:r>
      <w:r w:rsidR="00064A85">
        <w:rPr>
          <w:rFonts w:eastAsia="MS Mincho"/>
          <w:lang w:val="en-US"/>
        </w:rPr>
        <w:t>n</w:t>
      </w:r>
      <w:r w:rsidR="00064A85" w:rsidRPr="00D97BB1">
        <w:rPr>
          <w:rFonts w:eastAsia="MS Mincho"/>
          <w:lang w:val="en-US"/>
        </w:rPr>
        <w:t xml:space="preserve"> </w:t>
      </w:r>
      <w:r w:rsidR="00D97BB1" w:rsidRPr="00A54604">
        <w:rPr>
          <w:rFonts w:eastAsia="MS Mincho"/>
          <w:lang w:val="en-US"/>
        </w:rPr>
        <w:t>knowledge generation catalysis</w:t>
      </w:r>
      <w:r w:rsidR="00D97BB1">
        <w:rPr>
          <w:rFonts w:eastAsia="MS Mincho"/>
          <w:lang w:val="en-US"/>
        </w:rPr>
        <w:t xml:space="preserve"> of</w:t>
      </w:r>
      <w:r w:rsidR="00D97BB1" w:rsidRPr="00D97BB1">
        <w:rPr>
          <w:rFonts w:eastAsia="MS Mincho"/>
          <w:lang w:val="en-US"/>
        </w:rPr>
        <w:t xml:space="preserve"> the task force on </w:t>
      </w:r>
      <w:r w:rsidR="00D97BB1">
        <w:rPr>
          <w:rFonts w:eastAsia="MS Mincho"/>
          <w:lang w:val="en-US"/>
        </w:rPr>
        <w:t>knowledge and data</w:t>
      </w:r>
      <w:r w:rsidR="004250CF" w:rsidRPr="00A54604">
        <w:rPr>
          <w:rFonts w:eastAsia="MS Mincho"/>
          <w:lang w:val="en-US"/>
        </w:rPr>
        <w:t xml:space="preserve"> (objective 3(a));</w:t>
      </w:r>
    </w:p>
    <w:p w14:paraId="6CB96B7C" w14:textId="18DCCC57" w:rsidR="004250CF" w:rsidRPr="00A54604" w:rsidRDefault="004250CF" w:rsidP="00CD2428">
      <w:pPr>
        <w:pStyle w:val="Normalnumber"/>
        <w:numPr>
          <w:ilvl w:val="2"/>
          <w:numId w:val="2"/>
        </w:numPr>
        <w:ind w:left="3119" w:hanging="624"/>
        <w:rPr>
          <w:rFonts w:eastAsia="MS Mincho"/>
          <w:lang w:val="en-US"/>
        </w:rPr>
      </w:pPr>
      <w:r w:rsidRPr="00A54604">
        <w:rPr>
          <w:rFonts w:eastAsia="MS Mincho"/>
          <w:lang w:val="en-US"/>
        </w:rPr>
        <w:lastRenderedPageBreak/>
        <w:t xml:space="preserve">Senckenberg, (Biodiversity and Climate Research Institute; and Data and Modelling Centre), in Frankfurt, Germany, </w:t>
      </w:r>
      <w:r w:rsidR="007E52BB" w:rsidRPr="00D97BB1">
        <w:rPr>
          <w:rFonts w:eastAsia="MS Mincho"/>
          <w:lang w:val="en-US"/>
        </w:rPr>
        <w:t xml:space="preserve">to support the work </w:t>
      </w:r>
      <w:r w:rsidR="00064A85" w:rsidRPr="00D97BB1">
        <w:rPr>
          <w:rFonts w:eastAsia="MS Mincho"/>
          <w:lang w:val="en-US"/>
        </w:rPr>
        <w:t>o</w:t>
      </w:r>
      <w:r w:rsidR="00064A85">
        <w:rPr>
          <w:rFonts w:eastAsia="MS Mincho"/>
          <w:lang w:val="en-US"/>
        </w:rPr>
        <w:t>n</w:t>
      </w:r>
      <w:r w:rsidR="00064A85" w:rsidRPr="00D97BB1">
        <w:rPr>
          <w:rFonts w:eastAsia="MS Mincho"/>
          <w:lang w:val="en-US"/>
        </w:rPr>
        <w:t xml:space="preserve"> </w:t>
      </w:r>
      <w:r w:rsidR="007E52BB" w:rsidRPr="007E52BB">
        <w:rPr>
          <w:rFonts w:eastAsia="MS Mincho"/>
          <w:lang w:val="en-US"/>
        </w:rPr>
        <w:t xml:space="preserve">indicators and data </w:t>
      </w:r>
      <w:r w:rsidR="007E52BB">
        <w:rPr>
          <w:rFonts w:eastAsia="MS Mincho"/>
          <w:lang w:val="en-US"/>
        </w:rPr>
        <w:t>of</w:t>
      </w:r>
      <w:r w:rsidR="007E52BB" w:rsidRPr="00D97BB1">
        <w:rPr>
          <w:rFonts w:eastAsia="MS Mincho"/>
          <w:lang w:val="en-US"/>
        </w:rPr>
        <w:t xml:space="preserve"> the task force on </w:t>
      </w:r>
      <w:r w:rsidR="007E52BB">
        <w:rPr>
          <w:rFonts w:eastAsia="MS Mincho"/>
          <w:lang w:val="en-US"/>
        </w:rPr>
        <w:t>knowledge and data</w:t>
      </w:r>
      <w:r w:rsidR="007E52BB" w:rsidRPr="00A54604">
        <w:rPr>
          <w:rFonts w:eastAsia="MS Mincho"/>
          <w:lang w:val="en-US"/>
        </w:rPr>
        <w:t xml:space="preserve"> (objective 3(a));</w:t>
      </w:r>
    </w:p>
    <w:p w14:paraId="205D6D82" w14:textId="052FE11C" w:rsidR="004250CF" w:rsidRPr="00A54604" w:rsidRDefault="002E2D9D" w:rsidP="00CD2428">
      <w:pPr>
        <w:pStyle w:val="Normalnumber"/>
        <w:numPr>
          <w:ilvl w:val="2"/>
          <w:numId w:val="2"/>
        </w:numPr>
        <w:ind w:left="3119" w:hanging="624"/>
        <w:rPr>
          <w:rFonts w:eastAsia="MS Mincho"/>
          <w:lang w:val="en-US"/>
        </w:rPr>
      </w:pPr>
      <w:r>
        <w:rPr>
          <w:rFonts w:eastAsia="MS Mincho"/>
          <w:lang w:val="en-US"/>
        </w:rPr>
        <w:t>U</w:t>
      </w:r>
      <w:r w:rsidRPr="002E2D9D">
        <w:rPr>
          <w:rFonts w:eastAsia="MS Mincho"/>
          <w:lang w:val="en-US"/>
        </w:rPr>
        <w:t xml:space="preserve">nited </w:t>
      </w:r>
      <w:r>
        <w:rPr>
          <w:rFonts w:eastAsia="MS Mincho"/>
          <w:lang w:val="en-US"/>
        </w:rPr>
        <w:t>N</w:t>
      </w:r>
      <w:r w:rsidRPr="002E2D9D">
        <w:rPr>
          <w:rFonts w:eastAsia="MS Mincho"/>
          <w:lang w:val="en-US"/>
        </w:rPr>
        <w:t xml:space="preserve">ations </w:t>
      </w:r>
      <w:r>
        <w:rPr>
          <w:rFonts w:eastAsia="MS Mincho"/>
          <w:lang w:val="en-US"/>
        </w:rPr>
        <w:t>E</w:t>
      </w:r>
      <w:r w:rsidRPr="002E2D9D">
        <w:rPr>
          <w:rFonts w:eastAsia="MS Mincho"/>
          <w:lang w:val="en-US"/>
        </w:rPr>
        <w:t xml:space="preserve">ducational, </w:t>
      </w:r>
      <w:r>
        <w:rPr>
          <w:rFonts w:eastAsia="MS Mincho"/>
          <w:lang w:val="en-US"/>
        </w:rPr>
        <w:t>S</w:t>
      </w:r>
      <w:r w:rsidRPr="002E2D9D">
        <w:rPr>
          <w:rFonts w:eastAsia="MS Mincho"/>
          <w:lang w:val="en-US"/>
        </w:rPr>
        <w:t xml:space="preserve">cientific and </w:t>
      </w:r>
      <w:r>
        <w:rPr>
          <w:rFonts w:eastAsia="MS Mincho"/>
          <w:lang w:val="en-US"/>
        </w:rPr>
        <w:t>C</w:t>
      </w:r>
      <w:r w:rsidRPr="002E2D9D">
        <w:rPr>
          <w:rFonts w:eastAsia="MS Mincho"/>
          <w:lang w:val="en-US"/>
        </w:rPr>
        <w:t xml:space="preserve">ultural </w:t>
      </w:r>
      <w:r>
        <w:rPr>
          <w:rFonts w:eastAsia="MS Mincho"/>
          <w:lang w:val="en-US"/>
        </w:rPr>
        <w:t>O</w:t>
      </w:r>
      <w:r w:rsidRPr="002E2D9D">
        <w:rPr>
          <w:rFonts w:eastAsia="MS Mincho"/>
          <w:lang w:val="en-US"/>
        </w:rPr>
        <w:t xml:space="preserve">rganization </w:t>
      </w:r>
      <w:r>
        <w:rPr>
          <w:rFonts w:eastAsia="MS Mincho"/>
          <w:lang w:val="en-US"/>
        </w:rPr>
        <w:t>(</w:t>
      </w:r>
      <w:r w:rsidR="004250CF" w:rsidRPr="00A54604">
        <w:rPr>
          <w:rFonts w:eastAsia="MS Mincho"/>
          <w:lang w:val="en-US"/>
        </w:rPr>
        <w:t>UNESCO</w:t>
      </w:r>
      <w:r>
        <w:rPr>
          <w:rFonts w:eastAsia="MS Mincho"/>
          <w:lang w:val="en-US"/>
        </w:rPr>
        <w:t>)</w:t>
      </w:r>
      <w:r w:rsidR="0087068B">
        <w:rPr>
          <w:rFonts w:eastAsia="MS Mincho"/>
          <w:lang w:val="en-US"/>
        </w:rPr>
        <w:t>,</w:t>
      </w:r>
      <w:r w:rsidR="004250CF" w:rsidRPr="00A54604">
        <w:rPr>
          <w:rFonts w:eastAsia="MS Mincho"/>
          <w:lang w:val="en-US"/>
        </w:rPr>
        <w:t xml:space="preserve"> in Paris, France, to support the work of the task force on indigenous and local knowledge (objective 3 (b));</w:t>
      </w:r>
    </w:p>
    <w:p w14:paraId="3B3ED8A3" w14:textId="389CF916" w:rsidR="004250CF" w:rsidRPr="00A54604" w:rsidRDefault="002E2D9D" w:rsidP="00CD2428">
      <w:pPr>
        <w:pStyle w:val="Normalnumber"/>
        <w:numPr>
          <w:ilvl w:val="2"/>
          <w:numId w:val="2"/>
        </w:numPr>
        <w:ind w:left="3119" w:hanging="624"/>
        <w:rPr>
          <w:rFonts w:eastAsia="MS Mincho"/>
          <w:lang w:val="en-US"/>
        </w:rPr>
      </w:pPr>
      <w:r>
        <w:rPr>
          <w:rFonts w:eastAsia="MS Mincho"/>
          <w:lang w:val="en-US"/>
        </w:rPr>
        <w:t xml:space="preserve">United Nations Environment Programme </w:t>
      </w:r>
      <w:r w:rsidR="004250CF" w:rsidRPr="00A54604">
        <w:rPr>
          <w:rFonts w:eastAsia="MS Mincho"/>
          <w:lang w:val="en-US"/>
        </w:rPr>
        <w:t>W</w:t>
      </w:r>
      <w:r w:rsidR="00064A85">
        <w:rPr>
          <w:rFonts w:eastAsia="MS Mincho"/>
          <w:lang w:val="en-US"/>
        </w:rPr>
        <w:t xml:space="preserve">orld </w:t>
      </w:r>
      <w:r w:rsidR="004250CF" w:rsidRPr="00A54604">
        <w:rPr>
          <w:rFonts w:eastAsia="MS Mincho"/>
          <w:lang w:val="en-US"/>
        </w:rPr>
        <w:t>C</w:t>
      </w:r>
      <w:r w:rsidR="00064A85">
        <w:rPr>
          <w:rFonts w:eastAsia="MS Mincho"/>
          <w:lang w:val="en-US"/>
        </w:rPr>
        <w:t xml:space="preserve">onservation </w:t>
      </w:r>
      <w:r w:rsidR="004250CF" w:rsidRPr="00A54604">
        <w:rPr>
          <w:rFonts w:eastAsia="MS Mincho"/>
          <w:lang w:val="en-US"/>
        </w:rPr>
        <w:t>M</w:t>
      </w:r>
      <w:r w:rsidR="00064A85">
        <w:rPr>
          <w:rFonts w:eastAsia="MS Mincho"/>
          <w:lang w:val="en-US"/>
        </w:rPr>
        <w:t>onitoring Center (</w:t>
      </w:r>
      <w:r w:rsidR="007201ED">
        <w:rPr>
          <w:rFonts w:eastAsia="MS Mincho"/>
          <w:lang w:val="en-US"/>
        </w:rPr>
        <w:t>UNEP-</w:t>
      </w:r>
      <w:r w:rsidR="00064A85">
        <w:rPr>
          <w:rFonts w:eastAsia="MS Mincho"/>
          <w:lang w:val="en-US"/>
        </w:rPr>
        <w:t>WCMC)</w:t>
      </w:r>
      <w:r w:rsidR="004250CF" w:rsidRPr="00A54604">
        <w:rPr>
          <w:rFonts w:eastAsia="MS Mincho"/>
          <w:lang w:val="en-US"/>
        </w:rPr>
        <w:t xml:space="preserve">, </w:t>
      </w:r>
      <w:r w:rsidR="0087068B">
        <w:rPr>
          <w:rFonts w:eastAsia="MS Mincho"/>
          <w:lang w:val="en-US"/>
        </w:rPr>
        <w:t xml:space="preserve">in </w:t>
      </w:r>
      <w:r w:rsidR="004250CF" w:rsidRPr="00A54604">
        <w:rPr>
          <w:rFonts w:eastAsia="MS Mincho"/>
          <w:lang w:val="en-US"/>
        </w:rPr>
        <w:t xml:space="preserve">Cambridge, United Kingdom, to support </w:t>
      </w:r>
      <w:r w:rsidR="00D97BB1">
        <w:rPr>
          <w:rFonts w:eastAsia="MS Mincho"/>
          <w:lang w:val="en-US"/>
        </w:rPr>
        <w:t xml:space="preserve">the </w:t>
      </w:r>
      <w:r w:rsidR="004250CF" w:rsidRPr="00A54604">
        <w:rPr>
          <w:rFonts w:eastAsia="MS Mincho"/>
          <w:lang w:val="en-US"/>
        </w:rPr>
        <w:t xml:space="preserve">work </w:t>
      </w:r>
      <w:r w:rsidR="00D97BB1" w:rsidRPr="00A54604">
        <w:rPr>
          <w:rFonts w:eastAsia="MS Mincho"/>
          <w:lang w:val="en-US"/>
        </w:rPr>
        <w:t xml:space="preserve">of the task force </w:t>
      </w:r>
      <w:r w:rsidR="004250CF" w:rsidRPr="00A54604">
        <w:rPr>
          <w:rFonts w:eastAsia="MS Mincho"/>
          <w:lang w:val="en-US"/>
        </w:rPr>
        <w:t>on policy support tools and methodologies (objective 4 (a));</w:t>
      </w:r>
    </w:p>
    <w:p w14:paraId="7509B8D5" w14:textId="00AD25DE" w:rsidR="004250CF" w:rsidRDefault="004250CF" w:rsidP="00CD2428">
      <w:pPr>
        <w:pStyle w:val="Normalnumber"/>
        <w:numPr>
          <w:ilvl w:val="2"/>
          <w:numId w:val="2"/>
        </w:numPr>
        <w:ind w:left="3119" w:hanging="624"/>
      </w:pPr>
      <w:r w:rsidRPr="00A54604">
        <w:rPr>
          <w:rFonts w:eastAsia="MS Mincho"/>
          <w:lang w:val="en-US"/>
        </w:rPr>
        <w:t>Netherlands Environmental Assessment Agency (PBL), in The Hague, The Netherlands</w:t>
      </w:r>
      <w:r w:rsidRPr="00700AD7">
        <w:rPr>
          <w:rFonts w:eastAsia="MS Mincho"/>
          <w:lang w:val="en-US"/>
        </w:rPr>
        <w:t xml:space="preserve">, </w:t>
      </w:r>
      <w:r w:rsidR="00D97BB1" w:rsidRPr="00A54604">
        <w:rPr>
          <w:rFonts w:eastAsia="MS Mincho"/>
          <w:lang w:val="en-US"/>
        </w:rPr>
        <w:t xml:space="preserve">to support </w:t>
      </w:r>
      <w:r w:rsidR="00D97BB1">
        <w:rPr>
          <w:rFonts w:eastAsia="MS Mincho"/>
          <w:lang w:val="en-US"/>
        </w:rPr>
        <w:t xml:space="preserve">the </w:t>
      </w:r>
      <w:r w:rsidR="00D97BB1" w:rsidRPr="00A54604">
        <w:rPr>
          <w:rFonts w:eastAsia="MS Mincho"/>
          <w:lang w:val="en-US"/>
        </w:rPr>
        <w:t>work of the task force on</w:t>
      </w:r>
      <w:r w:rsidR="00D97BB1" w:rsidRPr="00700AD7">
        <w:rPr>
          <w:rFonts w:eastAsia="MS Mincho"/>
          <w:lang w:val="en-US"/>
        </w:rPr>
        <w:t xml:space="preserve"> </w:t>
      </w:r>
      <w:r w:rsidRPr="00700AD7">
        <w:rPr>
          <w:rFonts w:eastAsia="MS Mincho"/>
          <w:lang w:val="en-US"/>
        </w:rPr>
        <w:t>scenarios and models (objective</w:t>
      </w:r>
      <w:r w:rsidR="00CD2428">
        <w:t xml:space="preserve"> </w:t>
      </w:r>
      <w:r w:rsidRPr="00A54604">
        <w:t>4(b)).</w:t>
      </w:r>
    </w:p>
    <w:p w14:paraId="28D2E244" w14:textId="3C48A4E1" w:rsidR="00C00E89" w:rsidRDefault="00C00E89" w:rsidP="00CD2428">
      <w:pPr>
        <w:pStyle w:val="Normalnumber"/>
        <w:numPr>
          <w:ilvl w:val="1"/>
          <w:numId w:val="2"/>
        </w:numPr>
        <w:rPr>
          <w:rFonts w:eastAsia="MS Mincho"/>
          <w:lang w:val="en-US"/>
        </w:rPr>
      </w:pPr>
      <w:r w:rsidRPr="00A54604">
        <w:rPr>
          <w:rFonts w:eastAsia="MS Mincho"/>
          <w:lang w:val="en-US"/>
        </w:rPr>
        <w:t>In plac</w:t>
      </w:r>
      <w:r w:rsidRPr="007E52BB">
        <w:rPr>
          <w:rFonts w:eastAsia="MS Mincho"/>
          <w:lang w:val="en-US"/>
        </w:rPr>
        <w:t>e since 2022:</w:t>
      </w:r>
    </w:p>
    <w:p w14:paraId="5C6B3CE5" w14:textId="790CA432" w:rsidR="00C00E89" w:rsidRPr="00A54604" w:rsidRDefault="0087068B" w:rsidP="00CD2428">
      <w:pPr>
        <w:pStyle w:val="Normalnumber"/>
        <w:numPr>
          <w:ilvl w:val="2"/>
          <w:numId w:val="2"/>
        </w:numPr>
        <w:ind w:left="3119" w:hanging="624"/>
        <w:rPr>
          <w:rFonts w:eastAsia="MS Mincho"/>
          <w:lang w:val="en-US"/>
        </w:rPr>
      </w:pPr>
      <w:r>
        <w:rPr>
          <w:rFonts w:eastAsia="MS Mincho"/>
          <w:lang w:val="en-US"/>
        </w:rPr>
        <w:t>T</w:t>
      </w:r>
      <w:r w:rsidRPr="0087068B">
        <w:rPr>
          <w:rFonts w:eastAsia="MS Mincho"/>
          <w:lang w:val="en-US"/>
        </w:rPr>
        <w:t xml:space="preserve">he University of </w:t>
      </w:r>
      <w:bookmarkStart w:id="6" w:name="_Hlk102150788"/>
      <w:r w:rsidRPr="0087068B">
        <w:rPr>
          <w:rFonts w:eastAsia="MS Mincho"/>
          <w:lang w:val="en-US"/>
        </w:rPr>
        <w:t>Montpellier</w:t>
      </w:r>
      <w:bookmarkEnd w:id="6"/>
      <w:r w:rsidR="00C00E89" w:rsidRPr="00A54604">
        <w:rPr>
          <w:rFonts w:eastAsia="MS Mincho"/>
          <w:lang w:val="en-US"/>
        </w:rPr>
        <w:t xml:space="preserve">, </w:t>
      </w:r>
      <w:r>
        <w:rPr>
          <w:rFonts w:eastAsia="MS Mincho"/>
          <w:lang w:val="en-US"/>
        </w:rPr>
        <w:t xml:space="preserve">in </w:t>
      </w:r>
      <w:r w:rsidRPr="0087068B">
        <w:rPr>
          <w:rFonts w:eastAsia="MS Mincho"/>
          <w:lang w:val="en-US"/>
        </w:rPr>
        <w:t>Montpellier</w:t>
      </w:r>
      <w:r w:rsidR="00C00E89" w:rsidRPr="00A54604">
        <w:rPr>
          <w:rFonts w:eastAsia="MS Mincho"/>
          <w:lang w:val="en-US"/>
        </w:rPr>
        <w:t xml:space="preserve">, </w:t>
      </w:r>
      <w:r>
        <w:rPr>
          <w:rFonts w:eastAsia="MS Mincho"/>
          <w:lang w:val="en-US"/>
        </w:rPr>
        <w:t>France</w:t>
      </w:r>
      <w:r w:rsidR="00C00E89" w:rsidRPr="00A54604">
        <w:rPr>
          <w:rFonts w:eastAsia="MS Mincho"/>
          <w:lang w:val="en-US"/>
        </w:rPr>
        <w:t xml:space="preserve">, to support the assessment </w:t>
      </w:r>
      <w:r w:rsidR="00064A85" w:rsidRPr="00A54604">
        <w:rPr>
          <w:rFonts w:eastAsia="MS Mincho"/>
          <w:lang w:val="en-US"/>
        </w:rPr>
        <w:t>o</w:t>
      </w:r>
      <w:r w:rsidR="00064A85">
        <w:rPr>
          <w:rFonts w:eastAsia="MS Mincho"/>
          <w:lang w:val="en-US"/>
        </w:rPr>
        <w:t>f</w:t>
      </w:r>
      <w:r w:rsidR="00064A85" w:rsidRPr="00A54604">
        <w:rPr>
          <w:rFonts w:eastAsia="MS Mincho"/>
          <w:lang w:val="en-US"/>
        </w:rPr>
        <w:t xml:space="preserve"> </w:t>
      </w:r>
      <w:r>
        <w:rPr>
          <w:rFonts w:eastAsia="MS Mincho"/>
          <w:lang w:val="en-US"/>
        </w:rPr>
        <w:t xml:space="preserve">transformative change </w:t>
      </w:r>
      <w:r w:rsidR="00C00E89" w:rsidRPr="00A54604">
        <w:rPr>
          <w:rFonts w:eastAsia="MS Mincho"/>
          <w:lang w:val="en-US"/>
        </w:rPr>
        <w:t>(</w:t>
      </w:r>
      <w:r>
        <w:rPr>
          <w:rFonts w:eastAsia="MS Mincho"/>
          <w:lang w:val="en-US"/>
        </w:rPr>
        <w:t>d</w:t>
      </w:r>
      <w:r w:rsidRPr="0087068B">
        <w:rPr>
          <w:rFonts w:eastAsia="MS Mincho"/>
          <w:lang w:val="en-US"/>
        </w:rPr>
        <w:t>eliverable 1 (c)</w:t>
      </w:r>
      <w:r w:rsidR="00C00E89" w:rsidRPr="00A54604">
        <w:rPr>
          <w:rFonts w:eastAsia="MS Mincho"/>
          <w:lang w:val="en-US"/>
        </w:rPr>
        <w:t>)</w:t>
      </w:r>
      <w:r>
        <w:rPr>
          <w:rFonts w:eastAsia="MS Mincho"/>
          <w:lang w:val="en-US"/>
        </w:rPr>
        <w:t>.</w:t>
      </w:r>
    </w:p>
    <w:p w14:paraId="1104B87F" w14:textId="77777777" w:rsidR="004250CF" w:rsidRPr="00EC6F41" w:rsidRDefault="004250CF" w:rsidP="00CD2428">
      <w:pPr>
        <w:pStyle w:val="Normalnumber"/>
        <w:numPr>
          <w:ilvl w:val="0"/>
          <w:numId w:val="2"/>
        </w:numPr>
        <w:rPr>
          <w:rFonts w:eastAsia="DengXian"/>
        </w:rPr>
      </w:pPr>
      <w:r w:rsidRPr="00EC6F41">
        <w:rPr>
          <w:rFonts w:eastAsia="DengXian"/>
        </w:rPr>
        <w:t xml:space="preserve">The appropriate legal instruments have been put in place to transfer funds from the IPBES trust fund to the external </w:t>
      </w:r>
      <w:r w:rsidRPr="00A54604">
        <w:rPr>
          <w:rFonts w:eastAsia="DengXian"/>
        </w:rPr>
        <w:t>technical</w:t>
      </w:r>
      <w:r w:rsidRPr="00EC6F41">
        <w:rPr>
          <w:rFonts w:eastAsia="DengXian"/>
        </w:rPr>
        <w:t xml:space="preserve"> support units mentioned above.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4250CF" w:rsidRPr="00EC6F41" w14:paraId="339BFE40" w14:textId="77777777" w:rsidTr="00181D26">
        <w:tc>
          <w:tcPr>
            <w:tcW w:w="1897" w:type="dxa"/>
          </w:tcPr>
          <w:p w14:paraId="7D269003" w14:textId="77777777" w:rsidR="004250CF" w:rsidRPr="00064A85" w:rsidRDefault="004250CF" w:rsidP="00181D26">
            <w:pPr>
              <w:pStyle w:val="Normal-pool"/>
              <w:spacing w:before="520"/>
              <w:rPr>
                <w:lang w:val="en-US"/>
              </w:rPr>
            </w:pPr>
          </w:p>
        </w:tc>
        <w:tc>
          <w:tcPr>
            <w:tcW w:w="1897" w:type="dxa"/>
          </w:tcPr>
          <w:p w14:paraId="4B6FC5EA" w14:textId="77777777" w:rsidR="004250CF" w:rsidRPr="00064A85" w:rsidRDefault="004250CF" w:rsidP="00181D26">
            <w:pPr>
              <w:pStyle w:val="Normal-pool"/>
              <w:spacing w:before="520"/>
              <w:rPr>
                <w:lang w:val="en-US"/>
              </w:rPr>
            </w:pPr>
          </w:p>
        </w:tc>
        <w:tc>
          <w:tcPr>
            <w:tcW w:w="1897" w:type="dxa"/>
            <w:tcBorders>
              <w:bottom w:val="single" w:sz="4" w:space="0" w:color="auto"/>
            </w:tcBorders>
          </w:tcPr>
          <w:p w14:paraId="1A08818B" w14:textId="77777777" w:rsidR="004250CF" w:rsidRPr="00064A85" w:rsidRDefault="004250CF" w:rsidP="00181D26">
            <w:pPr>
              <w:pStyle w:val="Normal-pool"/>
              <w:spacing w:before="520"/>
              <w:rPr>
                <w:lang w:val="en-US"/>
              </w:rPr>
            </w:pPr>
          </w:p>
        </w:tc>
        <w:tc>
          <w:tcPr>
            <w:tcW w:w="1897" w:type="dxa"/>
          </w:tcPr>
          <w:p w14:paraId="535E7BAD" w14:textId="77777777" w:rsidR="004250CF" w:rsidRPr="00064A85" w:rsidRDefault="004250CF" w:rsidP="00181D26">
            <w:pPr>
              <w:pStyle w:val="Normal-pool"/>
              <w:spacing w:before="520"/>
              <w:rPr>
                <w:lang w:val="en-US"/>
              </w:rPr>
            </w:pPr>
          </w:p>
        </w:tc>
        <w:tc>
          <w:tcPr>
            <w:tcW w:w="1898" w:type="dxa"/>
          </w:tcPr>
          <w:p w14:paraId="6ABB6EF1" w14:textId="77777777" w:rsidR="004250CF" w:rsidRPr="00064A85" w:rsidRDefault="004250CF" w:rsidP="00181D26">
            <w:pPr>
              <w:pStyle w:val="Normal-pool"/>
              <w:spacing w:before="520"/>
              <w:rPr>
                <w:lang w:val="en-US"/>
              </w:rPr>
            </w:pPr>
          </w:p>
        </w:tc>
      </w:tr>
    </w:tbl>
    <w:p w14:paraId="0275A9E8" w14:textId="77777777" w:rsidR="004250CF" w:rsidRPr="00EC6F41" w:rsidRDefault="004250CF" w:rsidP="004250CF">
      <w:pPr>
        <w:pStyle w:val="Normal-pool"/>
      </w:pPr>
    </w:p>
    <w:sectPr w:rsidR="004250CF" w:rsidRPr="00EC6F41" w:rsidSect="00E16967">
      <w:headerReference w:type="even" r:id="rId19"/>
      <w:headerReference w:type="default" r:id="rId20"/>
      <w:footerReference w:type="even" r:id="rId21"/>
      <w:footerReference w:type="default" r:id="rId22"/>
      <w:headerReference w:type="first" r:id="rId23"/>
      <w:footerReference w:type="first" r:id="rId24"/>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AD60E" w14:textId="77777777" w:rsidR="00EE09E4" w:rsidRDefault="00EE09E4">
      <w:r>
        <w:separator/>
      </w:r>
    </w:p>
  </w:endnote>
  <w:endnote w:type="continuationSeparator" w:id="0">
    <w:p w14:paraId="3CD98D54" w14:textId="77777777" w:rsidR="00EE09E4" w:rsidRDefault="00EE09E4">
      <w:r>
        <w:continuationSeparator/>
      </w:r>
    </w:p>
  </w:endnote>
  <w:endnote w:type="continuationNotice" w:id="1">
    <w:p w14:paraId="4F120E8D" w14:textId="77777777" w:rsidR="00EE09E4" w:rsidRDefault="00EE09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5632" w14:textId="77777777" w:rsidR="004250CF" w:rsidRDefault="004250C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AF1B" w14:textId="77777777" w:rsidR="004250CF" w:rsidRDefault="004250CF"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3ECE" w14:textId="2215EBA9" w:rsidR="004250CF" w:rsidRPr="00D17B13" w:rsidRDefault="00D17B13" w:rsidP="00D17B13">
    <w:pPr>
      <w:pStyle w:val="Normal-pool"/>
      <w:rPr>
        <w:b/>
      </w:rPr>
    </w:pPr>
    <w:r w:rsidRPr="00CD2428">
      <w:t>K</w:t>
    </w:r>
    <w:r w:rsidR="00CD2428" w:rsidRPr="00CD2428">
      <w:t>2201428</w:t>
    </w:r>
    <w:r w:rsidRPr="00CD2428">
      <w:tab/>
    </w:r>
    <w:r w:rsidR="00FB0BA5">
      <w:t>17</w:t>
    </w:r>
    <w:r w:rsidR="00CD2428" w:rsidRPr="00CD2428">
      <w:t>0522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705192"/>
      <w:docPartObj>
        <w:docPartGallery w:val="Page Numbers (Bottom of Page)"/>
        <w:docPartUnique/>
      </w:docPartObj>
    </w:sdtPr>
    <w:sdtEndPr>
      <w:rPr>
        <w:noProof/>
      </w:rPr>
    </w:sdtEndPr>
    <w:sdtContent>
      <w:p w14:paraId="041A7415" w14:textId="77777777" w:rsidR="00B95FB0" w:rsidRPr="00407DBA" w:rsidRDefault="00407DBA" w:rsidP="00B24A20">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noProof/>
      </w:rPr>
    </w:sdtEndPr>
    <w:sdtContent>
      <w:p w14:paraId="178899F0" w14:textId="77777777" w:rsidR="00B95FB0" w:rsidRPr="00407DBA" w:rsidRDefault="00407DBA" w:rsidP="00B24A20">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340072"/>
      <w:docPartObj>
        <w:docPartGallery w:val="Page Numbers (Bottom of Page)"/>
        <w:docPartUnique/>
      </w:docPartObj>
    </w:sdtPr>
    <w:sdtEndPr>
      <w:rPr>
        <w:b/>
        <w:bCs/>
        <w:noProof/>
      </w:rPr>
    </w:sdtEndPr>
    <w:sdtContent>
      <w:p w14:paraId="3289A8CC" w14:textId="1A479909" w:rsidR="00B95FB0" w:rsidRPr="00387D8C" w:rsidRDefault="00387D8C" w:rsidP="00387D8C">
        <w:pPr>
          <w:pStyle w:val="Footer"/>
          <w:jc w:val="right"/>
          <w:rPr>
            <w:b/>
            <w:bCs/>
          </w:rPr>
        </w:pPr>
        <w:r w:rsidRPr="00387D8C">
          <w:rPr>
            <w:b/>
            <w:bCs/>
          </w:rPr>
          <w:fldChar w:fldCharType="begin"/>
        </w:r>
        <w:r w:rsidRPr="00387D8C">
          <w:rPr>
            <w:b/>
            <w:bCs/>
          </w:rPr>
          <w:instrText xml:space="preserve"> PAGE   \* MERGEFORMAT </w:instrText>
        </w:r>
        <w:r w:rsidRPr="00387D8C">
          <w:rPr>
            <w:b/>
            <w:bCs/>
          </w:rPr>
          <w:fldChar w:fldCharType="separate"/>
        </w:r>
        <w:r w:rsidRPr="00387D8C">
          <w:rPr>
            <w:b/>
            <w:bCs/>
            <w:noProof/>
          </w:rPr>
          <w:t>2</w:t>
        </w:r>
        <w:r w:rsidRPr="00387D8C">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DF78F" w14:textId="77777777" w:rsidR="00EE09E4" w:rsidRPr="008E340B" w:rsidRDefault="00EE09E4" w:rsidP="00913E74">
      <w:pPr>
        <w:pStyle w:val="Normal-pool"/>
        <w:tabs>
          <w:tab w:val="clear" w:pos="1247"/>
          <w:tab w:val="clear" w:pos="1814"/>
          <w:tab w:val="clear" w:pos="2381"/>
          <w:tab w:val="clear" w:pos="2948"/>
          <w:tab w:val="clear" w:pos="3515"/>
          <w:tab w:val="clear" w:pos="4082"/>
          <w:tab w:val="left" w:pos="624"/>
        </w:tabs>
        <w:spacing w:before="60"/>
        <w:ind w:left="624"/>
        <w:rPr>
          <w:sz w:val="18"/>
          <w:szCs w:val="18"/>
        </w:rPr>
      </w:pPr>
      <w:r w:rsidRPr="008E340B">
        <w:rPr>
          <w:sz w:val="18"/>
          <w:szCs w:val="18"/>
        </w:rPr>
        <w:separator/>
      </w:r>
    </w:p>
  </w:footnote>
  <w:footnote w:type="continuationSeparator" w:id="0">
    <w:p w14:paraId="7D6E3DDB" w14:textId="77777777" w:rsidR="00EE09E4" w:rsidRDefault="00EE09E4">
      <w:r>
        <w:continuationSeparator/>
      </w:r>
    </w:p>
  </w:footnote>
  <w:footnote w:type="continuationNotice" w:id="1">
    <w:p w14:paraId="274115A0" w14:textId="77777777" w:rsidR="00EE09E4" w:rsidRDefault="00EE09E4"/>
  </w:footnote>
  <w:footnote w:id="2">
    <w:p w14:paraId="10E6E8C2" w14:textId="77777777" w:rsidR="00B95FB0" w:rsidRPr="008E340B" w:rsidRDefault="00B95FB0" w:rsidP="00913E74">
      <w:pPr>
        <w:pStyle w:val="Normal-pool"/>
        <w:tabs>
          <w:tab w:val="left" w:pos="624"/>
        </w:tabs>
        <w:spacing w:before="20" w:after="40"/>
        <w:ind w:left="1247"/>
        <w:rPr>
          <w:sz w:val="18"/>
          <w:szCs w:val="18"/>
        </w:rPr>
      </w:pPr>
      <w:r w:rsidRPr="008E340B">
        <w:rPr>
          <w:rStyle w:val="FootnoteReference"/>
          <w:sz w:val="18"/>
          <w:vertAlign w:val="baseline"/>
        </w:rPr>
        <w:t>*</w:t>
      </w:r>
      <w:r w:rsidRPr="008E340B">
        <w:rPr>
          <w:sz w:val="18"/>
          <w:szCs w:val="18"/>
        </w:rPr>
        <w:t xml:space="preserve"> IPBES/</w:t>
      </w:r>
      <w:r w:rsidR="00FA1F59">
        <w:rPr>
          <w:sz w:val="18"/>
          <w:szCs w:val="18"/>
        </w:rPr>
        <w:t>9</w:t>
      </w:r>
      <w:r w:rsidRPr="008E340B">
        <w:rPr>
          <w:sz w:val="18"/>
          <w:szCs w:val="18"/>
        </w:rPr>
        <w:t>/1.</w:t>
      </w:r>
    </w:p>
  </w:footnote>
  <w:footnote w:id="3">
    <w:p w14:paraId="5C3AEA0A" w14:textId="77777777" w:rsidR="001E681F" w:rsidRPr="004D2C81" w:rsidRDefault="001E681F" w:rsidP="00913E74">
      <w:pPr>
        <w:pStyle w:val="Normal-pool"/>
        <w:tabs>
          <w:tab w:val="left" w:pos="624"/>
        </w:tabs>
        <w:spacing w:before="20" w:after="40"/>
        <w:ind w:left="1247"/>
        <w:rPr>
          <w:szCs w:val="18"/>
        </w:rPr>
      </w:pPr>
      <w:r w:rsidRPr="00687B30">
        <w:rPr>
          <w:rStyle w:val="FootnoteReference"/>
          <w:sz w:val="18"/>
          <w:vertAlign w:val="baseline"/>
        </w:rPr>
        <w:t>*</w:t>
      </w:r>
      <w:r w:rsidRPr="00687B30">
        <w:t xml:space="preserve"> </w:t>
      </w:r>
      <w:r w:rsidRPr="00252CA2">
        <w:rPr>
          <w:sz w:val="18"/>
          <w:szCs w:val="18"/>
        </w:rPr>
        <w:t>The annex has not been formally edited.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D5C9" w14:textId="792CDCEC" w:rsidR="004250CF" w:rsidRPr="00700AD7" w:rsidRDefault="004250CF" w:rsidP="00700AD7">
    <w:pPr>
      <w:pStyle w:val="Header-pool"/>
      <w:rPr>
        <w:szCs w:val="18"/>
      </w:rPr>
    </w:pPr>
    <w:r w:rsidRPr="00700AD7">
      <w:rPr>
        <w:rFonts w:eastAsia="DengXian"/>
        <w:szCs w:val="18"/>
      </w:rPr>
      <w:t>IPBES/</w:t>
    </w:r>
    <w:r w:rsidR="00E7450A">
      <w:rPr>
        <w:rFonts w:eastAsia="DengXian"/>
        <w:szCs w:val="18"/>
      </w:rPr>
      <w:t>9</w:t>
    </w:r>
    <w:r w:rsidRPr="00700AD7">
      <w:rPr>
        <w:rFonts w:eastAsia="DengXian"/>
        <w:szCs w:val="18"/>
      </w:rPr>
      <w:t>/INF/</w:t>
    </w:r>
    <w:r w:rsidR="00E7450A">
      <w:rPr>
        <w:rFonts w:eastAsia="DengXian"/>
        <w:szCs w:val="18"/>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BA5E" w14:textId="77777777" w:rsidR="004250CF" w:rsidRDefault="004250CF" w:rsidP="00035EDE">
    <w:pPr>
      <w:pStyle w:val="Header"/>
      <w:jc w:val="right"/>
    </w:pPr>
    <w:r>
      <w:t>UNON/DCS/ELU/TEMPLATE.1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0DFD" w14:textId="3430A998" w:rsidR="004250CF" w:rsidRPr="004250CF" w:rsidRDefault="004250CF" w:rsidP="00FB78CA">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AC49" w14:textId="7D9CF948" w:rsidR="00B95FB0" w:rsidRPr="008520C8" w:rsidRDefault="00B95FB0" w:rsidP="00B24A20">
    <w:pPr>
      <w:pStyle w:val="Header-pool"/>
    </w:pPr>
    <w:r>
      <w:t>IPBES/</w:t>
    </w:r>
    <w:r w:rsidR="00FA1F59">
      <w:t>9</w:t>
    </w:r>
    <w:r>
      <w:t>/</w:t>
    </w:r>
    <w:r w:rsidR="00FB75D9">
      <w:t>INF/</w:t>
    </w:r>
    <w:r w:rsidR="00496038">
      <w:t>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77F8" w14:textId="4739ADE0" w:rsidR="00B95FB0" w:rsidRPr="008520C8" w:rsidRDefault="00B95FB0" w:rsidP="00B24A20">
    <w:pPr>
      <w:pStyle w:val="Header-pool"/>
      <w:jc w:val="right"/>
    </w:pPr>
    <w:r w:rsidRPr="00B24A20">
      <w:t>IPBES</w:t>
    </w:r>
    <w:r>
      <w:t>/</w:t>
    </w:r>
    <w:r w:rsidR="00FA1F59">
      <w:t>9</w:t>
    </w:r>
    <w:r>
      <w:t>/</w:t>
    </w:r>
    <w:r w:rsidR="00FB75D9">
      <w:t>INF/</w:t>
    </w:r>
    <w:r w:rsidR="00496038">
      <w:t>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4577" w14:textId="77777777" w:rsidR="00FB78CA" w:rsidRPr="004250CF" w:rsidRDefault="00FB78CA" w:rsidP="00E7450A">
    <w:pPr>
      <w:pStyle w:val="Header"/>
      <w:jc w:val="right"/>
    </w:pPr>
    <w:r w:rsidRPr="00700AD7">
      <w:rPr>
        <w:rFonts w:eastAsia="DengXian"/>
        <w:szCs w:val="18"/>
      </w:rPr>
      <w:t>IPBES/</w:t>
    </w:r>
    <w:r>
      <w:rPr>
        <w:rFonts w:eastAsia="DengXian"/>
        <w:szCs w:val="18"/>
      </w:rPr>
      <w:t>9</w:t>
    </w:r>
    <w:r w:rsidRPr="00700AD7">
      <w:rPr>
        <w:rFonts w:eastAsia="DengXian"/>
        <w:szCs w:val="18"/>
      </w:rPr>
      <w:t>/INF/</w:t>
    </w:r>
    <w:r>
      <w:rPr>
        <w:rFonts w:eastAsia="DengXian"/>
        <w:szCs w:val="18"/>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66A9D"/>
    <w:multiLevelType w:val="multilevel"/>
    <w:tmpl w:val="1F46421A"/>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EBE"/>
    <w:rsid w:val="00003A00"/>
    <w:rsid w:val="00004D04"/>
    <w:rsid w:val="000067CD"/>
    <w:rsid w:val="00006907"/>
    <w:rsid w:val="00006F96"/>
    <w:rsid w:val="00013001"/>
    <w:rsid w:val="00013746"/>
    <w:rsid w:val="00013EA5"/>
    <w:rsid w:val="000149E6"/>
    <w:rsid w:val="0001582F"/>
    <w:rsid w:val="00020CC7"/>
    <w:rsid w:val="000247B0"/>
    <w:rsid w:val="00026997"/>
    <w:rsid w:val="000278C7"/>
    <w:rsid w:val="00031B99"/>
    <w:rsid w:val="00033CA9"/>
    <w:rsid w:val="00033E0B"/>
    <w:rsid w:val="00035E6B"/>
    <w:rsid w:val="00035EDE"/>
    <w:rsid w:val="0004530B"/>
    <w:rsid w:val="0004771A"/>
    <w:rsid w:val="00047B94"/>
    <w:rsid w:val="000509B4"/>
    <w:rsid w:val="00051364"/>
    <w:rsid w:val="00051A9C"/>
    <w:rsid w:val="00053992"/>
    <w:rsid w:val="0005530D"/>
    <w:rsid w:val="0006035B"/>
    <w:rsid w:val="00061689"/>
    <w:rsid w:val="00064A85"/>
    <w:rsid w:val="00065148"/>
    <w:rsid w:val="000710F0"/>
    <w:rsid w:val="0007118B"/>
    <w:rsid w:val="00071886"/>
    <w:rsid w:val="00073928"/>
    <w:rsid w:val="000742BC"/>
    <w:rsid w:val="00076EEB"/>
    <w:rsid w:val="00081FB3"/>
    <w:rsid w:val="00082A0C"/>
    <w:rsid w:val="00083504"/>
    <w:rsid w:val="00086A10"/>
    <w:rsid w:val="00091A51"/>
    <w:rsid w:val="00094243"/>
    <w:rsid w:val="000956A3"/>
    <w:rsid w:val="0009640C"/>
    <w:rsid w:val="00096628"/>
    <w:rsid w:val="000A146D"/>
    <w:rsid w:val="000A1A65"/>
    <w:rsid w:val="000A4CFF"/>
    <w:rsid w:val="000B0942"/>
    <w:rsid w:val="000B22A2"/>
    <w:rsid w:val="000B233F"/>
    <w:rsid w:val="000B77D5"/>
    <w:rsid w:val="000B7C23"/>
    <w:rsid w:val="000C22B3"/>
    <w:rsid w:val="000C2809"/>
    <w:rsid w:val="000C2A52"/>
    <w:rsid w:val="000D1FFE"/>
    <w:rsid w:val="000D33C0"/>
    <w:rsid w:val="000D6941"/>
    <w:rsid w:val="000D7E8D"/>
    <w:rsid w:val="000F3AB7"/>
    <w:rsid w:val="000F45BD"/>
    <w:rsid w:val="000F484C"/>
    <w:rsid w:val="000F53CB"/>
    <w:rsid w:val="000F6E8E"/>
    <w:rsid w:val="00101D6B"/>
    <w:rsid w:val="001036A6"/>
    <w:rsid w:val="00105686"/>
    <w:rsid w:val="0010728A"/>
    <w:rsid w:val="0010748A"/>
    <w:rsid w:val="0011071F"/>
    <w:rsid w:val="001124F6"/>
    <w:rsid w:val="00115A54"/>
    <w:rsid w:val="0011664B"/>
    <w:rsid w:val="001202E3"/>
    <w:rsid w:val="001207A8"/>
    <w:rsid w:val="00120C90"/>
    <w:rsid w:val="00121C5E"/>
    <w:rsid w:val="00122051"/>
    <w:rsid w:val="00122CE8"/>
    <w:rsid w:val="00123699"/>
    <w:rsid w:val="00126FF9"/>
    <w:rsid w:val="0013059D"/>
    <w:rsid w:val="001339D1"/>
    <w:rsid w:val="00137C36"/>
    <w:rsid w:val="00140369"/>
    <w:rsid w:val="00141910"/>
    <w:rsid w:val="00141A55"/>
    <w:rsid w:val="00144138"/>
    <w:rsid w:val="001446A3"/>
    <w:rsid w:val="00144A8F"/>
    <w:rsid w:val="00144E6E"/>
    <w:rsid w:val="001546A5"/>
    <w:rsid w:val="00154CA8"/>
    <w:rsid w:val="00155395"/>
    <w:rsid w:val="00155A46"/>
    <w:rsid w:val="0015635E"/>
    <w:rsid w:val="00156785"/>
    <w:rsid w:val="0015720A"/>
    <w:rsid w:val="00160D74"/>
    <w:rsid w:val="00162265"/>
    <w:rsid w:val="00165BA4"/>
    <w:rsid w:val="00167D02"/>
    <w:rsid w:val="00176752"/>
    <w:rsid w:val="00181EC8"/>
    <w:rsid w:val="00184349"/>
    <w:rsid w:val="00186746"/>
    <w:rsid w:val="00195F33"/>
    <w:rsid w:val="001A1536"/>
    <w:rsid w:val="001A1668"/>
    <w:rsid w:val="001A544E"/>
    <w:rsid w:val="001B1617"/>
    <w:rsid w:val="001B504B"/>
    <w:rsid w:val="001B62D5"/>
    <w:rsid w:val="001B7586"/>
    <w:rsid w:val="001C0DFB"/>
    <w:rsid w:val="001C41F6"/>
    <w:rsid w:val="001C462A"/>
    <w:rsid w:val="001C477B"/>
    <w:rsid w:val="001D1BB2"/>
    <w:rsid w:val="001D265E"/>
    <w:rsid w:val="001D3874"/>
    <w:rsid w:val="001D7E75"/>
    <w:rsid w:val="001E1F18"/>
    <w:rsid w:val="001E40DE"/>
    <w:rsid w:val="001E4CA0"/>
    <w:rsid w:val="001E56D2"/>
    <w:rsid w:val="001E681F"/>
    <w:rsid w:val="001E7C76"/>
    <w:rsid w:val="001E7D56"/>
    <w:rsid w:val="001F35E1"/>
    <w:rsid w:val="001F474D"/>
    <w:rsid w:val="001F53DB"/>
    <w:rsid w:val="001F5AE3"/>
    <w:rsid w:val="001F75DE"/>
    <w:rsid w:val="00200D58"/>
    <w:rsid w:val="002013BE"/>
    <w:rsid w:val="002030D2"/>
    <w:rsid w:val="00205B4A"/>
    <w:rsid w:val="002063A4"/>
    <w:rsid w:val="002069EA"/>
    <w:rsid w:val="0021145B"/>
    <w:rsid w:val="0021458E"/>
    <w:rsid w:val="002146B9"/>
    <w:rsid w:val="00217178"/>
    <w:rsid w:val="002206A2"/>
    <w:rsid w:val="00221B85"/>
    <w:rsid w:val="002255A8"/>
    <w:rsid w:val="00227347"/>
    <w:rsid w:val="00233E65"/>
    <w:rsid w:val="0023517A"/>
    <w:rsid w:val="002369A9"/>
    <w:rsid w:val="00237E55"/>
    <w:rsid w:val="00243D36"/>
    <w:rsid w:val="00246854"/>
    <w:rsid w:val="00247707"/>
    <w:rsid w:val="00247AA6"/>
    <w:rsid w:val="00250606"/>
    <w:rsid w:val="002534F8"/>
    <w:rsid w:val="00254044"/>
    <w:rsid w:val="00255F1B"/>
    <w:rsid w:val="0026018E"/>
    <w:rsid w:val="00262E3D"/>
    <w:rsid w:val="00264E7C"/>
    <w:rsid w:val="00265D2A"/>
    <w:rsid w:val="0026656F"/>
    <w:rsid w:val="002761A9"/>
    <w:rsid w:val="00280581"/>
    <w:rsid w:val="002837D2"/>
    <w:rsid w:val="0028557B"/>
    <w:rsid w:val="00286740"/>
    <w:rsid w:val="002874CC"/>
    <w:rsid w:val="002910FA"/>
    <w:rsid w:val="002929D8"/>
    <w:rsid w:val="00293967"/>
    <w:rsid w:val="0029478F"/>
    <w:rsid w:val="002A237D"/>
    <w:rsid w:val="002A4C53"/>
    <w:rsid w:val="002A650A"/>
    <w:rsid w:val="002A693B"/>
    <w:rsid w:val="002A718E"/>
    <w:rsid w:val="002A7945"/>
    <w:rsid w:val="002B0672"/>
    <w:rsid w:val="002B0FF1"/>
    <w:rsid w:val="002B247F"/>
    <w:rsid w:val="002B2737"/>
    <w:rsid w:val="002B27F6"/>
    <w:rsid w:val="002B61F6"/>
    <w:rsid w:val="002C1316"/>
    <w:rsid w:val="002C145D"/>
    <w:rsid w:val="002C2C3E"/>
    <w:rsid w:val="002C533E"/>
    <w:rsid w:val="002C7D1D"/>
    <w:rsid w:val="002D027F"/>
    <w:rsid w:val="002D0937"/>
    <w:rsid w:val="002D3F03"/>
    <w:rsid w:val="002D7A85"/>
    <w:rsid w:val="002D7B60"/>
    <w:rsid w:val="002E19D6"/>
    <w:rsid w:val="002E1A8D"/>
    <w:rsid w:val="002E2371"/>
    <w:rsid w:val="002E281D"/>
    <w:rsid w:val="002E2D9D"/>
    <w:rsid w:val="002E32E9"/>
    <w:rsid w:val="002E364F"/>
    <w:rsid w:val="002E3B3B"/>
    <w:rsid w:val="002E4F3F"/>
    <w:rsid w:val="002E7DC6"/>
    <w:rsid w:val="002F1AE7"/>
    <w:rsid w:val="002F2006"/>
    <w:rsid w:val="002F2633"/>
    <w:rsid w:val="002F3AE1"/>
    <w:rsid w:val="002F4761"/>
    <w:rsid w:val="002F5C79"/>
    <w:rsid w:val="003019E2"/>
    <w:rsid w:val="00303337"/>
    <w:rsid w:val="00304948"/>
    <w:rsid w:val="00306862"/>
    <w:rsid w:val="0031228B"/>
    <w:rsid w:val="0031413F"/>
    <w:rsid w:val="00314727"/>
    <w:rsid w:val="003148BB"/>
    <w:rsid w:val="00314911"/>
    <w:rsid w:val="00317976"/>
    <w:rsid w:val="0032445A"/>
    <w:rsid w:val="00333853"/>
    <w:rsid w:val="00334BAE"/>
    <w:rsid w:val="00335D88"/>
    <w:rsid w:val="00340194"/>
    <w:rsid w:val="00340280"/>
    <w:rsid w:val="003404B2"/>
    <w:rsid w:val="0034080D"/>
    <w:rsid w:val="003409EF"/>
    <w:rsid w:val="00342444"/>
    <w:rsid w:val="003442DB"/>
    <w:rsid w:val="003453FF"/>
    <w:rsid w:val="00345569"/>
    <w:rsid w:val="003540FC"/>
    <w:rsid w:val="003556AA"/>
    <w:rsid w:val="00355EA9"/>
    <w:rsid w:val="003578DE"/>
    <w:rsid w:val="00360464"/>
    <w:rsid w:val="003607D3"/>
    <w:rsid w:val="00366EBE"/>
    <w:rsid w:val="003732D8"/>
    <w:rsid w:val="003734E0"/>
    <w:rsid w:val="0037782F"/>
    <w:rsid w:val="00380241"/>
    <w:rsid w:val="003805DB"/>
    <w:rsid w:val="00380F5E"/>
    <w:rsid w:val="003827C2"/>
    <w:rsid w:val="0038333E"/>
    <w:rsid w:val="003854ED"/>
    <w:rsid w:val="00385969"/>
    <w:rsid w:val="003872A4"/>
    <w:rsid w:val="0038742A"/>
    <w:rsid w:val="00387D8C"/>
    <w:rsid w:val="00391F70"/>
    <w:rsid w:val="003924A7"/>
    <w:rsid w:val="00393B34"/>
    <w:rsid w:val="00394A52"/>
    <w:rsid w:val="00395DE3"/>
    <w:rsid w:val="00396257"/>
    <w:rsid w:val="00396929"/>
    <w:rsid w:val="00397EB8"/>
    <w:rsid w:val="003A0940"/>
    <w:rsid w:val="003A32C8"/>
    <w:rsid w:val="003A4FD0"/>
    <w:rsid w:val="003A5245"/>
    <w:rsid w:val="003A66BF"/>
    <w:rsid w:val="003A69D1"/>
    <w:rsid w:val="003A7705"/>
    <w:rsid w:val="003A77F1"/>
    <w:rsid w:val="003B0051"/>
    <w:rsid w:val="003B1545"/>
    <w:rsid w:val="003B6C3D"/>
    <w:rsid w:val="003C3476"/>
    <w:rsid w:val="003C409D"/>
    <w:rsid w:val="003C5A14"/>
    <w:rsid w:val="003C5BA6"/>
    <w:rsid w:val="003C65E1"/>
    <w:rsid w:val="003C6ABD"/>
    <w:rsid w:val="003C6F67"/>
    <w:rsid w:val="003D2432"/>
    <w:rsid w:val="003E04E3"/>
    <w:rsid w:val="003E4EB5"/>
    <w:rsid w:val="003E51E1"/>
    <w:rsid w:val="003E53C3"/>
    <w:rsid w:val="003E57FD"/>
    <w:rsid w:val="003F0C27"/>
    <w:rsid w:val="003F0E85"/>
    <w:rsid w:val="003F561B"/>
    <w:rsid w:val="003F5B8A"/>
    <w:rsid w:val="003F6047"/>
    <w:rsid w:val="00400471"/>
    <w:rsid w:val="00405D77"/>
    <w:rsid w:val="0040625A"/>
    <w:rsid w:val="00407DBA"/>
    <w:rsid w:val="00410098"/>
    <w:rsid w:val="004100EA"/>
    <w:rsid w:val="00410C55"/>
    <w:rsid w:val="00413ADD"/>
    <w:rsid w:val="00415145"/>
    <w:rsid w:val="00416854"/>
    <w:rsid w:val="00417725"/>
    <w:rsid w:val="00424992"/>
    <w:rsid w:val="00424A9E"/>
    <w:rsid w:val="004250CF"/>
    <w:rsid w:val="00431621"/>
    <w:rsid w:val="004335EC"/>
    <w:rsid w:val="00433BDB"/>
    <w:rsid w:val="00435662"/>
    <w:rsid w:val="00437B82"/>
    <w:rsid w:val="00437F26"/>
    <w:rsid w:val="00442B09"/>
    <w:rsid w:val="004432F8"/>
    <w:rsid w:val="00444097"/>
    <w:rsid w:val="00445487"/>
    <w:rsid w:val="00446553"/>
    <w:rsid w:val="004509A1"/>
    <w:rsid w:val="00454769"/>
    <w:rsid w:val="00460446"/>
    <w:rsid w:val="00461EBE"/>
    <w:rsid w:val="00465FAA"/>
    <w:rsid w:val="00466991"/>
    <w:rsid w:val="0047064C"/>
    <w:rsid w:val="00471270"/>
    <w:rsid w:val="00473F1F"/>
    <w:rsid w:val="004774FF"/>
    <w:rsid w:val="00484ED4"/>
    <w:rsid w:val="00485CDC"/>
    <w:rsid w:val="004868B8"/>
    <w:rsid w:val="00491D1C"/>
    <w:rsid w:val="00496038"/>
    <w:rsid w:val="004A0FE9"/>
    <w:rsid w:val="004A1A72"/>
    <w:rsid w:val="004A276F"/>
    <w:rsid w:val="004A345B"/>
    <w:rsid w:val="004A42E1"/>
    <w:rsid w:val="004A56B8"/>
    <w:rsid w:val="004B0987"/>
    <w:rsid w:val="004B162C"/>
    <w:rsid w:val="004B2401"/>
    <w:rsid w:val="004B505B"/>
    <w:rsid w:val="004B68FF"/>
    <w:rsid w:val="004C0870"/>
    <w:rsid w:val="004C0F1A"/>
    <w:rsid w:val="004C10B0"/>
    <w:rsid w:val="004C2AED"/>
    <w:rsid w:val="004C2D9A"/>
    <w:rsid w:val="004C3DBE"/>
    <w:rsid w:val="004C44F2"/>
    <w:rsid w:val="004C5C96"/>
    <w:rsid w:val="004D06A4"/>
    <w:rsid w:val="004E20E5"/>
    <w:rsid w:val="004F1A81"/>
    <w:rsid w:val="004F4CF0"/>
    <w:rsid w:val="004F5670"/>
    <w:rsid w:val="004F5678"/>
    <w:rsid w:val="004F5D44"/>
    <w:rsid w:val="00500143"/>
    <w:rsid w:val="00500AAE"/>
    <w:rsid w:val="0050337B"/>
    <w:rsid w:val="00503F35"/>
    <w:rsid w:val="0050550B"/>
    <w:rsid w:val="00507483"/>
    <w:rsid w:val="005102AE"/>
    <w:rsid w:val="0051220F"/>
    <w:rsid w:val="00512B6E"/>
    <w:rsid w:val="0051306C"/>
    <w:rsid w:val="005131A4"/>
    <w:rsid w:val="00513654"/>
    <w:rsid w:val="005140C4"/>
    <w:rsid w:val="00515520"/>
    <w:rsid w:val="00517857"/>
    <w:rsid w:val="005218D9"/>
    <w:rsid w:val="005240EF"/>
    <w:rsid w:val="005272DF"/>
    <w:rsid w:val="00527B09"/>
    <w:rsid w:val="00527F80"/>
    <w:rsid w:val="00531443"/>
    <w:rsid w:val="00534BE0"/>
    <w:rsid w:val="00536186"/>
    <w:rsid w:val="00536901"/>
    <w:rsid w:val="0053794B"/>
    <w:rsid w:val="00541290"/>
    <w:rsid w:val="00541886"/>
    <w:rsid w:val="005422EA"/>
    <w:rsid w:val="005428E1"/>
    <w:rsid w:val="005442B9"/>
    <w:rsid w:val="00544997"/>
    <w:rsid w:val="00544CBB"/>
    <w:rsid w:val="00545495"/>
    <w:rsid w:val="0054571A"/>
    <w:rsid w:val="005518C8"/>
    <w:rsid w:val="005537BD"/>
    <w:rsid w:val="005563CC"/>
    <w:rsid w:val="005569BC"/>
    <w:rsid w:val="0056012A"/>
    <w:rsid w:val="0056312E"/>
    <w:rsid w:val="00566C86"/>
    <w:rsid w:val="00567A02"/>
    <w:rsid w:val="0057021E"/>
    <w:rsid w:val="00572FF5"/>
    <w:rsid w:val="0057315F"/>
    <w:rsid w:val="00576104"/>
    <w:rsid w:val="00577605"/>
    <w:rsid w:val="00580A34"/>
    <w:rsid w:val="00581457"/>
    <w:rsid w:val="00582142"/>
    <w:rsid w:val="0058489B"/>
    <w:rsid w:val="005856D2"/>
    <w:rsid w:val="005871D4"/>
    <w:rsid w:val="005928D1"/>
    <w:rsid w:val="00592D62"/>
    <w:rsid w:val="00596522"/>
    <w:rsid w:val="005A0AD1"/>
    <w:rsid w:val="005A1727"/>
    <w:rsid w:val="005A1B89"/>
    <w:rsid w:val="005B0DEE"/>
    <w:rsid w:val="005B253A"/>
    <w:rsid w:val="005B5A0D"/>
    <w:rsid w:val="005C0AFC"/>
    <w:rsid w:val="005C67C8"/>
    <w:rsid w:val="005D0249"/>
    <w:rsid w:val="005D1175"/>
    <w:rsid w:val="005D6E8C"/>
    <w:rsid w:val="005E1FE2"/>
    <w:rsid w:val="005E20B2"/>
    <w:rsid w:val="005E33E1"/>
    <w:rsid w:val="005E775D"/>
    <w:rsid w:val="005F04BD"/>
    <w:rsid w:val="005F066E"/>
    <w:rsid w:val="005F06C5"/>
    <w:rsid w:val="005F100C"/>
    <w:rsid w:val="005F68DA"/>
    <w:rsid w:val="00600686"/>
    <w:rsid w:val="0060281F"/>
    <w:rsid w:val="00603066"/>
    <w:rsid w:val="006039BC"/>
    <w:rsid w:val="00607735"/>
    <w:rsid w:val="0060773B"/>
    <w:rsid w:val="006103AC"/>
    <w:rsid w:val="00614465"/>
    <w:rsid w:val="006157B5"/>
    <w:rsid w:val="0061664A"/>
    <w:rsid w:val="006169C8"/>
    <w:rsid w:val="00616EBB"/>
    <w:rsid w:val="00620592"/>
    <w:rsid w:val="0062182E"/>
    <w:rsid w:val="00623423"/>
    <w:rsid w:val="0062430E"/>
    <w:rsid w:val="00626024"/>
    <w:rsid w:val="006263AE"/>
    <w:rsid w:val="00626FC6"/>
    <w:rsid w:val="00627A39"/>
    <w:rsid w:val="006303B4"/>
    <w:rsid w:val="0063309C"/>
    <w:rsid w:val="00633CF7"/>
    <w:rsid w:val="00633D3D"/>
    <w:rsid w:val="006348A6"/>
    <w:rsid w:val="00634A53"/>
    <w:rsid w:val="00636AB9"/>
    <w:rsid w:val="00641703"/>
    <w:rsid w:val="00642F8D"/>
    <w:rsid w:val="006431A6"/>
    <w:rsid w:val="006450D9"/>
    <w:rsid w:val="006451EE"/>
    <w:rsid w:val="006459F6"/>
    <w:rsid w:val="006501AD"/>
    <w:rsid w:val="00650361"/>
    <w:rsid w:val="00651BFA"/>
    <w:rsid w:val="00651EF8"/>
    <w:rsid w:val="00654475"/>
    <w:rsid w:val="006552A2"/>
    <w:rsid w:val="0065570E"/>
    <w:rsid w:val="00657A61"/>
    <w:rsid w:val="00657DD1"/>
    <w:rsid w:val="0066093D"/>
    <w:rsid w:val="00661A50"/>
    <w:rsid w:val="006625CF"/>
    <w:rsid w:val="00663561"/>
    <w:rsid w:val="00665A4B"/>
    <w:rsid w:val="00665D0A"/>
    <w:rsid w:val="006744B2"/>
    <w:rsid w:val="00674D0B"/>
    <w:rsid w:val="00675FCD"/>
    <w:rsid w:val="00676210"/>
    <w:rsid w:val="006767D3"/>
    <w:rsid w:val="0068303F"/>
    <w:rsid w:val="00684BC4"/>
    <w:rsid w:val="00685A40"/>
    <w:rsid w:val="00692E2A"/>
    <w:rsid w:val="006943A8"/>
    <w:rsid w:val="0069482B"/>
    <w:rsid w:val="006A3340"/>
    <w:rsid w:val="006A5370"/>
    <w:rsid w:val="006A5DEE"/>
    <w:rsid w:val="006A76F2"/>
    <w:rsid w:val="006B164F"/>
    <w:rsid w:val="006C10B1"/>
    <w:rsid w:val="006C21EC"/>
    <w:rsid w:val="006C3EAE"/>
    <w:rsid w:val="006C441F"/>
    <w:rsid w:val="006C5665"/>
    <w:rsid w:val="006D7EFB"/>
    <w:rsid w:val="006E2544"/>
    <w:rsid w:val="006E54C2"/>
    <w:rsid w:val="006E6672"/>
    <w:rsid w:val="006E6722"/>
    <w:rsid w:val="006F0854"/>
    <w:rsid w:val="006F188E"/>
    <w:rsid w:val="006F2773"/>
    <w:rsid w:val="006F7CEF"/>
    <w:rsid w:val="00701DB8"/>
    <w:rsid w:val="007027B9"/>
    <w:rsid w:val="007114EE"/>
    <w:rsid w:val="00713731"/>
    <w:rsid w:val="00715E88"/>
    <w:rsid w:val="007201ED"/>
    <w:rsid w:val="00721848"/>
    <w:rsid w:val="0072413C"/>
    <w:rsid w:val="00726546"/>
    <w:rsid w:val="00727BC1"/>
    <w:rsid w:val="0073003A"/>
    <w:rsid w:val="007322BD"/>
    <w:rsid w:val="00734CAA"/>
    <w:rsid w:val="007418EA"/>
    <w:rsid w:val="00742ADD"/>
    <w:rsid w:val="007454AF"/>
    <w:rsid w:val="00746D05"/>
    <w:rsid w:val="007476C3"/>
    <w:rsid w:val="007538EE"/>
    <w:rsid w:val="0075533C"/>
    <w:rsid w:val="007554EA"/>
    <w:rsid w:val="00756B25"/>
    <w:rsid w:val="00756B2D"/>
    <w:rsid w:val="00757581"/>
    <w:rsid w:val="007611A0"/>
    <w:rsid w:val="00761C3B"/>
    <w:rsid w:val="007637BF"/>
    <w:rsid w:val="00764A22"/>
    <w:rsid w:val="00766FC6"/>
    <w:rsid w:val="00774907"/>
    <w:rsid w:val="007756D9"/>
    <w:rsid w:val="00777061"/>
    <w:rsid w:val="007806CC"/>
    <w:rsid w:val="0078070A"/>
    <w:rsid w:val="007817A5"/>
    <w:rsid w:val="00782036"/>
    <w:rsid w:val="00784F0D"/>
    <w:rsid w:val="0079048A"/>
    <w:rsid w:val="00791D40"/>
    <w:rsid w:val="00793B47"/>
    <w:rsid w:val="0079434B"/>
    <w:rsid w:val="00794A5A"/>
    <w:rsid w:val="00796D3F"/>
    <w:rsid w:val="007970D6"/>
    <w:rsid w:val="00797456"/>
    <w:rsid w:val="007A1683"/>
    <w:rsid w:val="007A4130"/>
    <w:rsid w:val="007A4A4E"/>
    <w:rsid w:val="007A5C12"/>
    <w:rsid w:val="007A5FCD"/>
    <w:rsid w:val="007A61BE"/>
    <w:rsid w:val="007A7A50"/>
    <w:rsid w:val="007A7CB0"/>
    <w:rsid w:val="007B0A24"/>
    <w:rsid w:val="007B3A07"/>
    <w:rsid w:val="007B48FD"/>
    <w:rsid w:val="007B4BB2"/>
    <w:rsid w:val="007B68A3"/>
    <w:rsid w:val="007C055E"/>
    <w:rsid w:val="007C2541"/>
    <w:rsid w:val="007C5215"/>
    <w:rsid w:val="007C7D99"/>
    <w:rsid w:val="007D6383"/>
    <w:rsid w:val="007D66A8"/>
    <w:rsid w:val="007E003F"/>
    <w:rsid w:val="007E0B2C"/>
    <w:rsid w:val="007E26D6"/>
    <w:rsid w:val="007E31B4"/>
    <w:rsid w:val="007E52BB"/>
    <w:rsid w:val="007E5C26"/>
    <w:rsid w:val="007E718A"/>
    <w:rsid w:val="007F2AC9"/>
    <w:rsid w:val="007F4F77"/>
    <w:rsid w:val="0080032C"/>
    <w:rsid w:val="00802756"/>
    <w:rsid w:val="0080712E"/>
    <w:rsid w:val="0081058C"/>
    <w:rsid w:val="00811C68"/>
    <w:rsid w:val="00812F59"/>
    <w:rsid w:val="008164F2"/>
    <w:rsid w:val="00821395"/>
    <w:rsid w:val="008230CB"/>
    <w:rsid w:val="00824D98"/>
    <w:rsid w:val="00830E26"/>
    <w:rsid w:val="00833730"/>
    <w:rsid w:val="00835E00"/>
    <w:rsid w:val="00843576"/>
    <w:rsid w:val="00843B64"/>
    <w:rsid w:val="008445D8"/>
    <w:rsid w:val="00845065"/>
    <w:rsid w:val="008465E3"/>
    <w:rsid w:val="008478FC"/>
    <w:rsid w:val="0085171F"/>
    <w:rsid w:val="008520C8"/>
    <w:rsid w:val="00855D9C"/>
    <w:rsid w:val="00855F33"/>
    <w:rsid w:val="0085746B"/>
    <w:rsid w:val="00861A0D"/>
    <w:rsid w:val="00865A27"/>
    <w:rsid w:val="00867BFF"/>
    <w:rsid w:val="0087068B"/>
    <w:rsid w:val="00871729"/>
    <w:rsid w:val="008717C1"/>
    <w:rsid w:val="00873CBF"/>
    <w:rsid w:val="00873D90"/>
    <w:rsid w:val="00875CDC"/>
    <w:rsid w:val="00882A2C"/>
    <w:rsid w:val="0088480A"/>
    <w:rsid w:val="00886752"/>
    <w:rsid w:val="0088757A"/>
    <w:rsid w:val="00890C57"/>
    <w:rsid w:val="008918FF"/>
    <w:rsid w:val="008925F2"/>
    <w:rsid w:val="00893CF2"/>
    <w:rsid w:val="008957DD"/>
    <w:rsid w:val="00895C25"/>
    <w:rsid w:val="00897D98"/>
    <w:rsid w:val="008A6DF2"/>
    <w:rsid w:val="008A7807"/>
    <w:rsid w:val="008B0138"/>
    <w:rsid w:val="008B159C"/>
    <w:rsid w:val="008B199F"/>
    <w:rsid w:val="008B2320"/>
    <w:rsid w:val="008B2947"/>
    <w:rsid w:val="008B2CD6"/>
    <w:rsid w:val="008B2F5A"/>
    <w:rsid w:val="008B37DC"/>
    <w:rsid w:val="008B4CC9"/>
    <w:rsid w:val="008C5393"/>
    <w:rsid w:val="008C6742"/>
    <w:rsid w:val="008D0B06"/>
    <w:rsid w:val="008D39D2"/>
    <w:rsid w:val="008D5061"/>
    <w:rsid w:val="008D5BCC"/>
    <w:rsid w:val="008D7C99"/>
    <w:rsid w:val="008D7F72"/>
    <w:rsid w:val="008E00D9"/>
    <w:rsid w:val="008E046B"/>
    <w:rsid w:val="008E0FCB"/>
    <w:rsid w:val="008E340B"/>
    <w:rsid w:val="008F0079"/>
    <w:rsid w:val="008F42BA"/>
    <w:rsid w:val="008F5905"/>
    <w:rsid w:val="008F68CE"/>
    <w:rsid w:val="009021BD"/>
    <w:rsid w:val="00903512"/>
    <w:rsid w:val="0090577B"/>
    <w:rsid w:val="00906607"/>
    <w:rsid w:val="00913E74"/>
    <w:rsid w:val="0092178C"/>
    <w:rsid w:val="0092574B"/>
    <w:rsid w:val="00925D83"/>
    <w:rsid w:val="0092629C"/>
    <w:rsid w:val="00930B88"/>
    <w:rsid w:val="00933AC1"/>
    <w:rsid w:val="009346FD"/>
    <w:rsid w:val="00934F7F"/>
    <w:rsid w:val="00936099"/>
    <w:rsid w:val="009369C6"/>
    <w:rsid w:val="00937054"/>
    <w:rsid w:val="00940DCC"/>
    <w:rsid w:val="0094179A"/>
    <w:rsid w:val="009434DF"/>
    <w:rsid w:val="0094459E"/>
    <w:rsid w:val="00944DBC"/>
    <w:rsid w:val="0094649C"/>
    <w:rsid w:val="00947E03"/>
    <w:rsid w:val="00950908"/>
    <w:rsid w:val="00950977"/>
    <w:rsid w:val="00951A7B"/>
    <w:rsid w:val="009564A6"/>
    <w:rsid w:val="00961A5B"/>
    <w:rsid w:val="009642B5"/>
    <w:rsid w:val="00967621"/>
    <w:rsid w:val="00967E6A"/>
    <w:rsid w:val="00971A42"/>
    <w:rsid w:val="00974391"/>
    <w:rsid w:val="009761A8"/>
    <w:rsid w:val="009821A7"/>
    <w:rsid w:val="00983D1E"/>
    <w:rsid w:val="00984946"/>
    <w:rsid w:val="00990E4C"/>
    <w:rsid w:val="00990F34"/>
    <w:rsid w:val="009930C2"/>
    <w:rsid w:val="00993832"/>
    <w:rsid w:val="00994ADE"/>
    <w:rsid w:val="009A48FF"/>
    <w:rsid w:val="009B0B83"/>
    <w:rsid w:val="009B423E"/>
    <w:rsid w:val="009B4293"/>
    <w:rsid w:val="009B4A0F"/>
    <w:rsid w:val="009B5900"/>
    <w:rsid w:val="009C0596"/>
    <w:rsid w:val="009C11D2"/>
    <w:rsid w:val="009C1565"/>
    <w:rsid w:val="009C267A"/>
    <w:rsid w:val="009C3D85"/>
    <w:rsid w:val="009C6C70"/>
    <w:rsid w:val="009C7AFF"/>
    <w:rsid w:val="009D0815"/>
    <w:rsid w:val="009D0B63"/>
    <w:rsid w:val="009D2ED3"/>
    <w:rsid w:val="009D4FDE"/>
    <w:rsid w:val="009E08B9"/>
    <w:rsid w:val="009E307E"/>
    <w:rsid w:val="009F188E"/>
    <w:rsid w:val="009F4C98"/>
    <w:rsid w:val="009F58E4"/>
    <w:rsid w:val="009F7011"/>
    <w:rsid w:val="009F7E87"/>
    <w:rsid w:val="00A003D4"/>
    <w:rsid w:val="00A00BD5"/>
    <w:rsid w:val="00A0212E"/>
    <w:rsid w:val="00A02CF6"/>
    <w:rsid w:val="00A02DE6"/>
    <w:rsid w:val="00A03486"/>
    <w:rsid w:val="00A03FEB"/>
    <w:rsid w:val="00A04ABF"/>
    <w:rsid w:val="00A05F84"/>
    <w:rsid w:val="00A07870"/>
    <w:rsid w:val="00A07E13"/>
    <w:rsid w:val="00A07F19"/>
    <w:rsid w:val="00A133F1"/>
    <w:rsid w:val="00A1348D"/>
    <w:rsid w:val="00A135C2"/>
    <w:rsid w:val="00A1448F"/>
    <w:rsid w:val="00A16A5D"/>
    <w:rsid w:val="00A16DD3"/>
    <w:rsid w:val="00A225A7"/>
    <w:rsid w:val="00A232EE"/>
    <w:rsid w:val="00A31818"/>
    <w:rsid w:val="00A3181A"/>
    <w:rsid w:val="00A32884"/>
    <w:rsid w:val="00A34745"/>
    <w:rsid w:val="00A36574"/>
    <w:rsid w:val="00A40FC9"/>
    <w:rsid w:val="00A4175F"/>
    <w:rsid w:val="00A44411"/>
    <w:rsid w:val="00A4527C"/>
    <w:rsid w:val="00A45E17"/>
    <w:rsid w:val="00A469FA"/>
    <w:rsid w:val="00A47813"/>
    <w:rsid w:val="00A51A0C"/>
    <w:rsid w:val="00A534FF"/>
    <w:rsid w:val="00A54F27"/>
    <w:rsid w:val="00A55B01"/>
    <w:rsid w:val="00A56B5B"/>
    <w:rsid w:val="00A571F3"/>
    <w:rsid w:val="00A603FF"/>
    <w:rsid w:val="00A60D1F"/>
    <w:rsid w:val="00A61EFC"/>
    <w:rsid w:val="00A653CB"/>
    <w:rsid w:val="00A657DD"/>
    <w:rsid w:val="00A666A6"/>
    <w:rsid w:val="00A675FD"/>
    <w:rsid w:val="00A719FA"/>
    <w:rsid w:val="00A71BBD"/>
    <w:rsid w:val="00A71DA8"/>
    <w:rsid w:val="00A72437"/>
    <w:rsid w:val="00A73564"/>
    <w:rsid w:val="00A73C3E"/>
    <w:rsid w:val="00A7428A"/>
    <w:rsid w:val="00A742A5"/>
    <w:rsid w:val="00A80611"/>
    <w:rsid w:val="00A82514"/>
    <w:rsid w:val="00A843FD"/>
    <w:rsid w:val="00A84A24"/>
    <w:rsid w:val="00A86BE4"/>
    <w:rsid w:val="00A92CD0"/>
    <w:rsid w:val="00A97E27"/>
    <w:rsid w:val="00AA06E3"/>
    <w:rsid w:val="00AA20D6"/>
    <w:rsid w:val="00AA4688"/>
    <w:rsid w:val="00AA76AB"/>
    <w:rsid w:val="00AB3735"/>
    <w:rsid w:val="00AB5340"/>
    <w:rsid w:val="00AB7EC7"/>
    <w:rsid w:val="00AC0A89"/>
    <w:rsid w:val="00AC1073"/>
    <w:rsid w:val="00AC29AD"/>
    <w:rsid w:val="00AC7C96"/>
    <w:rsid w:val="00AD04F9"/>
    <w:rsid w:val="00AD0D47"/>
    <w:rsid w:val="00AD28D1"/>
    <w:rsid w:val="00AE0490"/>
    <w:rsid w:val="00AE237D"/>
    <w:rsid w:val="00AE3288"/>
    <w:rsid w:val="00AE502A"/>
    <w:rsid w:val="00AE6320"/>
    <w:rsid w:val="00AE7AE1"/>
    <w:rsid w:val="00AF127B"/>
    <w:rsid w:val="00AF1B79"/>
    <w:rsid w:val="00AF2335"/>
    <w:rsid w:val="00AF3FBC"/>
    <w:rsid w:val="00AF6281"/>
    <w:rsid w:val="00AF7C07"/>
    <w:rsid w:val="00B05D7B"/>
    <w:rsid w:val="00B10467"/>
    <w:rsid w:val="00B10E49"/>
    <w:rsid w:val="00B11447"/>
    <w:rsid w:val="00B1147B"/>
    <w:rsid w:val="00B115BB"/>
    <w:rsid w:val="00B12098"/>
    <w:rsid w:val="00B120B5"/>
    <w:rsid w:val="00B123B9"/>
    <w:rsid w:val="00B133F1"/>
    <w:rsid w:val="00B20F08"/>
    <w:rsid w:val="00B2156E"/>
    <w:rsid w:val="00B224F9"/>
    <w:rsid w:val="00B22C93"/>
    <w:rsid w:val="00B23C52"/>
    <w:rsid w:val="00B23C7E"/>
    <w:rsid w:val="00B242C7"/>
    <w:rsid w:val="00B24A20"/>
    <w:rsid w:val="00B26538"/>
    <w:rsid w:val="00B27589"/>
    <w:rsid w:val="00B277B8"/>
    <w:rsid w:val="00B3195F"/>
    <w:rsid w:val="00B35B44"/>
    <w:rsid w:val="00B40282"/>
    <w:rsid w:val="00B405B7"/>
    <w:rsid w:val="00B43E1E"/>
    <w:rsid w:val="00B52222"/>
    <w:rsid w:val="00B54FE7"/>
    <w:rsid w:val="00B55A5E"/>
    <w:rsid w:val="00B56632"/>
    <w:rsid w:val="00B61D82"/>
    <w:rsid w:val="00B66901"/>
    <w:rsid w:val="00B67B52"/>
    <w:rsid w:val="00B704F7"/>
    <w:rsid w:val="00B70C1E"/>
    <w:rsid w:val="00B71952"/>
    <w:rsid w:val="00B71E6D"/>
    <w:rsid w:val="00B72070"/>
    <w:rsid w:val="00B779E1"/>
    <w:rsid w:val="00B820D7"/>
    <w:rsid w:val="00B82AFB"/>
    <w:rsid w:val="00B82C30"/>
    <w:rsid w:val="00B83350"/>
    <w:rsid w:val="00B83543"/>
    <w:rsid w:val="00B83A74"/>
    <w:rsid w:val="00B91EE1"/>
    <w:rsid w:val="00B94BE0"/>
    <w:rsid w:val="00B953A0"/>
    <w:rsid w:val="00B95829"/>
    <w:rsid w:val="00B95FB0"/>
    <w:rsid w:val="00BA0090"/>
    <w:rsid w:val="00BA043B"/>
    <w:rsid w:val="00BA04E5"/>
    <w:rsid w:val="00BA1A67"/>
    <w:rsid w:val="00BA69E8"/>
    <w:rsid w:val="00BB72D2"/>
    <w:rsid w:val="00BB7EA0"/>
    <w:rsid w:val="00BC2E15"/>
    <w:rsid w:val="00BE0C02"/>
    <w:rsid w:val="00BE1EBD"/>
    <w:rsid w:val="00BE22C7"/>
    <w:rsid w:val="00BE530B"/>
    <w:rsid w:val="00BE5B5F"/>
    <w:rsid w:val="00BE6E6A"/>
    <w:rsid w:val="00BF064C"/>
    <w:rsid w:val="00BF0679"/>
    <w:rsid w:val="00BF152D"/>
    <w:rsid w:val="00BF1F2E"/>
    <w:rsid w:val="00BF40DF"/>
    <w:rsid w:val="00BF5322"/>
    <w:rsid w:val="00BF662C"/>
    <w:rsid w:val="00C00DE2"/>
    <w:rsid w:val="00C00E89"/>
    <w:rsid w:val="00C10C4D"/>
    <w:rsid w:val="00C114CD"/>
    <w:rsid w:val="00C1159F"/>
    <w:rsid w:val="00C1404C"/>
    <w:rsid w:val="00C2477B"/>
    <w:rsid w:val="00C2502D"/>
    <w:rsid w:val="00C26F55"/>
    <w:rsid w:val="00C30C63"/>
    <w:rsid w:val="00C3105C"/>
    <w:rsid w:val="00C32EE1"/>
    <w:rsid w:val="00C33018"/>
    <w:rsid w:val="00C34B7D"/>
    <w:rsid w:val="00C34CAA"/>
    <w:rsid w:val="00C36B8B"/>
    <w:rsid w:val="00C41532"/>
    <w:rsid w:val="00C415C1"/>
    <w:rsid w:val="00C42D05"/>
    <w:rsid w:val="00C42E91"/>
    <w:rsid w:val="00C4343C"/>
    <w:rsid w:val="00C444A6"/>
    <w:rsid w:val="00C459DD"/>
    <w:rsid w:val="00C47ABC"/>
    <w:rsid w:val="00C47DBF"/>
    <w:rsid w:val="00C552FF"/>
    <w:rsid w:val="00C5575D"/>
    <w:rsid w:val="00C558DA"/>
    <w:rsid w:val="00C55AF3"/>
    <w:rsid w:val="00C61877"/>
    <w:rsid w:val="00C64FC5"/>
    <w:rsid w:val="00C66C0B"/>
    <w:rsid w:val="00C66C8D"/>
    <w:rsid w:val="00C66CDC"/>
    <w:rsid w:val="00C7214C"/>
    <w:rsid w:val="00C72607"/>
    <w:rsid w:val="00C73A98"/>
    <w:rsid w:val="00C742BE"/>
    <w:rsid w:val="00C75069"/>
    <w:rsid w:val="00C76479"/>
    <w:rsid w:val="00C77CEF"/>
    <w:rsid w:val="00C81164"/>
    <w:rsid w:val="00C84080"/>
    <w:rsid w:val="00C84759"/>
    <w:rsid w:val="00C863E3"/>
    <w:rsid w:val="00C87456"/>
    <w:rsid w:val="00C90A38"/>
    <w:rsid w:val="00C90B6B"/>
    <w:rsid w:val="00C9427F"/>
    <w:rsid w:val="00C9545E"/>
    <w:rsid w:val="00C95EBA"/>
    <w:rsid w:val="00C96821"/>
    <w:rsid w:val="00C978AF"/>
    <w:rsid w:val="00C979A3"/>
    <w:rsid w:val="00CA1CBD"/>
    <w:rsid w:val="00CA22CD"/>
    <w:rsid w:val="00CA6C7F"/>
    <w:rsid w:val="00CB0A97"/>
    <w:rsid w:val="00CB27E0"/>
    <w:rsid w:val="00CB30A6"/>
    <w:rsid w:val="00CB345B"/>
    <w:rsid w:val="00CB7857"/>
    <w:rsid w:val="00CC10A6"/>
    <w:rsid w:val="00CC1142"/>
    <w:rsid w:val="00CC1797"/>
    <w:rsid w:val="00CC1CDA"/>
    <w:rsid w:val="00CC201A"/>
    <w:rsid w:val="00CD1D1C"/>
    <w:rsid w:val="00CD2428"/>
    <w:rsid w:val="00CD27E6"/>
    <w:rsid w:val="00CD5EB8"/>
    <w:rsid w:val="00CD6881"/>
    <w:rsid w:val="00CD7044"/>
    <w:rsid w:val="00CD7FCF"/>
    <w:rsid w:val="00CE08B9"/>
    <w:rsid w:val="00CE404F"/>
    <w:rsid w:val="00CE425E"/>
    <w:rsid w:val="00CE460C"/>
    <w:rsid w:val="00CE4F9F"/>
    <w:rsid w:val="00CE524C"/>
    <w:rsid w:val="00CE780F"/>
    <w:rsid w:val="00CF141F"/>
    <w:rsid w:val="00CF196E"/>
    <w:rsid w:val="00CF2DE5"/>
    <w:rsid w:val="00CF30B9"/>
    <w:rsid w:val="00CF42BB"/>
    <w:rsid w:val="00CF4777"/>
    <w:rsid w:val="00D0010E"/>
    <w:rsid w:val="00D038BF"/>
    <w:rsid w:val="00D05110"/>
    <w:rsid w:val="00D067BB"/>
    <w:rsid w:val="00D10157"/>
    <w:rsid w:val="00D108D2"/>
    <w:rsid w:val="00D1352A"/>
    <w:rsid w:val="00D13D48"/>
    <w:rsid w:val="00D1436E"/>
    <w:rsid w:val="00D15021"/>
    <w:rsid w:val="00D16159"/>
    <w:rsid w:val="00D169AF"/>
    <w:rsid w:val="00D17B13"/>
    <w:rsid w:val="00D2125B"/>
    <w:rsid w:val="00D21E5D"/>
    <w:rsid w:val="00D2433F"/>
    <w:rsid w:val="00D25249"/>
    <w:rsid w:val="00D26E61"/>
    <w:rsid w:val="00D27340"/>
    <w:rsid w:val="00D27E9A"/>
    <w:rsid w:val="00D30049"/>
    <w:rsid w:val="00D316A9"/>
    <w:rsid w:val="00D31CC5"/>
    <w:rsid w:val="00D35B55"/>
    <w:rsid w:val="00D402A6"/>
    <w:rsid w:val="00D40CC2"/>
    <w:rsid w:val="00D41218"/>
    <w:rsid w:val="00D4196D"/>
    <w:rsid w:val="00D44172"/>
    <w:rsid w:val="00D50B60"/>
    <w:rsid w:val="00D537AB"/>
    <w:rsid w:val="00D55D38"/>
    <w:rsid w:val="00D604A0"/>
    <w:rsid w:val="00D61672"/>
    <w:rsid w:val="00D63B8C"/>
    <w:rsid w:val="00D63C48"/>
    <w:rsid w:val="00D665E7"/>
    <w:rsid w:val="00D739CC"/>
    <w:rsid w:val="00D75221"/>
    <w:rsid w:val="00D773EA"/>
    <w:rsid w:val="00D8093D"/>
    <w:rsid w:val="00D8108C"/>
    <w:rsid w:val="00D83B2C"/>
    <w:rsid w:val="00D842AE"/>
    <w:rsid w:val="00D86EFF"/>
    <w:rsid w:val="00D90563"/>
    <w:rsid w:val="00D9211C"/>
    <w:rsid w:val="00D92DE0"/>
    <w:rsid w:val="00D92FEF"/>
    <w:rsid w:val="00D93A0F"/>
    <w:rsid w:val="00D93BFF"/>
    <w:rsid w:val="00D94D33"/>
    <w:rsid w:val="00D94E53"/>
    <w:rsid w:val="00D9695E"/>
    <w:rsid w:val="00D97247"/>
    <w:rsid w:val="00D97BB1"/>
    <w:rsid w:val="00DA045D"/>
    <w:rsid w:val="00DA0811"/>
    <w:rsid w:val="00DA1BCA"/>
    <w:rsid w:val="00DA3752"/>
    <w:rsid w:val="00DA3EA9"/>
    <w:rsid w:val="00DA60D8"/>
    <w:rsid w:val="00DA6C35"/>
    <w:rsid w:val="00DB2C14"/>
    <w:rsid w:val="00DB3D5F"/>
    <w:rsid w:val="00DB58FE"/>
    <w:rsid w:val="00DC1A1C"/>
    <w:rsid w:val="00DC1A57"/>
    <w:rsid w:val="00DC4533"/>
    <w:rsid w:val="00DC46FF"/>
    <w:rsid w:val="00DC5254"/>
    <w:rsid w:val="00DD0F1A"/>
    <w:rsid w:val="00DD1A4F"/>
    <w:rsid w:val="00DD3107"/>
    <w:rsid w:val="00DD33D0"/>
    <w:rsid w:val="00DD706A"/>
    <w:rsid w:val="00DD7C2C"/>
    <w:rsid w:val="00DE31A9"/>
    <w:rsid w:val="00DE4A80"/>
    <w:rsid w:val="00DE6ACD"/>
    <w:rsid w:val="00DE7F32"/>
    <w:rsid w:val="00DF0EA8"/>
    <w:rsid w:val="00DF17EE"/>
    <w:rsid w:val="00DF1E4C"/>
    <w:rsid w:val="00DF48D3"/>
    <w:rsid w:val="00DF4DE2"/>
    <w:rsid w:val="00DF5893"/>
    <w:rsid w:val="00E0199B"/>
    <w:rsid w:val="00E047DA"/>
    <w:rsid w:val="00E064AF"/>
    <w:rsid w:val="00E06797"/>
    <w:rsid w:val="00E07703"/>
    <w:rsid w:val="00E1265B"/>
    <w:rsid w:val="00E134F8"/>
    <w:rsid w:val="00E13B48"/>
    <w:rsid w:val="00E1404F"/>
    <w:rsid w:val="00E14463"/>
    <w:rsid w:val="00E14717"/>
    <w:rsid w:val="00E153D2"/>
    <w:rsid w:val="00E157CD"/>
    <w:rsid w:val="00E16967"/>
    <w:rsid w:val="00E21C83"/>
    <w:rsid w:val="00E24ADA"/>
    <w:rsid w:val="00E269A8"/>
    <w:rsid w:val="00E2781F"/>
    <w:rsid w:val="00E27E39"/>
    <w:rsid w:val="00E30BCD"/>
    <w:rsid w:val="00E31270"/>
    <w:rsid w:val="00E327D4"/>
    <w:rsid w:val="00E32F59"/>
    <w:rsid w:val="00E34622"/>
    <w:rsid w:val="00E40926"/>
    <w:rsid w:val="00E46D9A"/>
    <w:rsid w:val="00E477FF"/>
    <w:rsid w:val="00E54C0B"/>
    <w:rsid w:val="00E55AA9"/>
    <w:rsid w:val="00E565FF"/>
    <w:rsid w:val="00E6053C"/>
    <w:rsid w:val="00E6090D"/>
    <w:rsid w:val="00E62F83"/>
    <w:rsid w:val="00E6359E"/>
    <w:rsid w:val="00E63EC6"/>
    <w:rsid w:val="00E65388"/>
    <w:rsid w:val="00E7169D"/>
    <w:rsid w:val="00E7205C"/>
    <w:rsid w:val="00E72DE1"/>
    <w:rsid w:val="00E7450A"/>
    <w:rsid w:val="00E75472"/>
    <w:rsid w:val="00E77342"/>
    <w:rsid w:val="00E77773"/>
    <w:rsid w:val="00E8325F"/>
    <w:rsid w:val="00E8396C"/>
    <w:rsid w:val="00E85B7D"/>
    <w:rsid w:val="00E9121B"/>
    <w:rsid w:val="00E92894"/>
    <w:rsid w:val="00E959DE"/>
    <w:rsid w:val="00E972FA"/>
    <w:rsid w:val="00E97881"/>
    <w:rsid w:val="00EA0406"/>
    <w:rsid w:val="00EA0AE2"/>
    <w:rsid w:val="00EA1C9D"/>
    <w:rsid w:val="00EA2ACC"/>
    <w:rsid w:val="00EA39E5"/>
    <w:rsid w:val="00EA4E60"/>
    <w:rsid w:val="00EA5E98"/>
    <w:rsid w:val="00EA675C"/>
    <w:rsid w:val="00EA685D"/>
    <w:rsid w:val="00EB2848"/>
    <w:rsid w:val="00EB2BD3"/>
    <w:rsid w:val="00EB3900"/>
    <w:rsid w:val="00EB3E88"/>
    <w:rsid w:val="00EC1835"/>
    <w:rsid w:val="00EC1896"/>
    <w:rsid w:val="00EC3059"/>
    <w:rsid w:val="00EC5A46"/>
    <w:rsid w:val="00EC63E2"/>
    <w:rsid w:val="00ED026F"/>
    <w:rsid w:val="00ED1AA6"/>
    <w:rsid w:val="00ED2769"/>
    <w:rsid w:val="00ED38C0"/>
    <w:rsid w:val="00ED6482"/>
    <w:rsid w:val="00EE09E4"/>
    <w:rsid w:val="00EE688F"/>
    <w:rsid w:val="00EE7456"/>
    <w:rsid w:val="00EE75D9"/>
    <w:rsid w:val="00EF22B3"/>
    <w:rsid w:val="00EF354F"/>
    <w:rsid w:val="00EF35A2"/>
    <w:rsid w:val="00F003D9"/>
    <w:rsid w:val="00F0084E"/>
    <w:rsid w:val="00F03B69"/>
    <w:rsid w:val="00F07A50"/>
    <w:rsid w:val="00F113DA"/>
    <w:rsid w:val="00F13C7D"/>
    <w:rsid w:val="00F163F7"/>
    <w:rsid w:val="00F175BD"/>
    <w:rsid w:val="00F21AFC"/>
    <w:rsid w:val="00F23065"/>
    <w:rsid w:val="00F24586"/>
    <w:rsid w:val="00F24C84"/>
    <w:rsid w:val="00F277EB"/>
    <w:rsid w:val="00F3485F"/>
    <w:rsid w:val="00F34BA2"/>
    <w:rsid w:val="00F368E0"/>
    <w:rsid w:val="00F3709A"/>
    <w:rsid w:val="00F373D4"/>
    <w:rsid w:val="00F37DC8"/>
    <w:rsid w:val="00F439B3"/>
    <w:rsid w:val="00F43AE6"/>
    <w:rsid w:val="00F45037"/>
    <w:rsid w:val="00F460BE"/>
    <w:rsid w:val="00F470DF"/>
    <w:rsid w:val="00F471F6"/>
    <w:rsid w:val="00F51020"/>
    <w:rsid w:val="00F51B3B"/>
    <w:rsid w:val="00F52737"/>
    <w:rsid w:val="00F53503"/>
    <w:rsid w:val="00F56735"/>
    <w:rsid w:val="00F56B98"/>
    <w:rsid w:val="00F5767D"/>
    <w:rsid w:val="00F61341"/>
    <w:rsid w:val="00F615F9"/>
    <w:rsid w:val="00F650C3"/>
    <w:rsid w:val="00F650D1"/>
    <w:rsid w:val="00F65D85"/>
    <w:rsid w:val="00F66C46"/>
    <w:rsid w:val="00F67D05"/>
    <w:rsid w:val="00F67D28"/>
    <w:rsid w:val="00F70594"/>
    <w:rsid w:val="00F76728"/>
    <w:rsid w:val="00F8091E"/>
    <w:rsid w:val="00F821AE"/>
    <w:rsid w:val="00F82BED"/>
    <w:rsid w:val="00F83388"/>
    <w:rsid w:val="00F84BD7"/>
    <w:rsid w:val="00F8615C"/>
    <w:rsid w:val="00F874E0"/>
    <w:rsid w:val="00F87847"/>
    <w:rsid w:val="00F93BE5"/>
    <w:rsid w:val="00F969E5"/>
    <w:rsid w:val="00FA0688"/>
    <w:rsid w:val="00FA0C56"/>
    <w:rsid w:val="00FA1993"/>
    <w:rsid w:val="00FA1F59"/>
    <w:rsid w:val="00FA205D"/>
    <w:rsid w:val="00FA500A"/>
    <w:rsid w:val="00FA6BB0"/>
    <w:rsid w:val="00FB0BA5"/>
    <w:rsid w:val="00FB1585"/>
    <w:rsid w:val="00FB23D0"/>
    <w:rsid w:val="00FB6D04"/>
    <w:rsid w:val="00FB75D9"/>
    <w:rsid w:val="00FB7826"/>
    <w:rsid w:val="00FB78CA"/>
    <w:rsid w:val="00FB7982"/>
    <w:rsid w:val="00FC0D95"/>
    <w:rsid w:val="00FC1138"/>
    <w:rsid w:val="00FC1B1C"/>
    <w:rsid w:val="00FC1C3D"/>
    <w:rsid w:val="00FC29F3"/>
    <w:rsid w:val="00FC55FC"/>
    <w:rsid w:val="00FD0889"/>
    <w:rsid w:val="00FD456E"/>
    <w:rsid w:val="00FD5860"/>
    <w:rsid w:val="00FD6E8D"/>
    <w:rsid w:val="00FD7A9F"/>
    <w:rsid w:val="00FE186C"/>
    <w:rsid w:val="00FE352D"/>
    <w:rsid w:val="00FE40EB"/>
    <w:rsid w:val="00FE4D02"/>
    <w:rsid w:val="00FE64CF"/>
    <w:rsid w:val="00FE7D62"/>
    <w:rsid w:val="00FF0933"/>
    <w:rsid w:val="00FF0ACF"/>
    <w:rsid w:val="00FF1E39"/>
    <w:rsid w:val="00FF2D73"/>
    <w:rsid w:val="00FF3694"/>
    <w:rsid w:val="00FF3819"/>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D0AFE2"/>
  <w15:chartTrackingRefBased/>
  <w15:docId w15:val="{A7526F33-46A0-4264-89D3-A74CBD83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iPriority="35" w:unhideWhenUsed="1" w:qFormat="1"/>
    <w:lsdException w:name="footnote reference" w:qFormat="1"/>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36574"/>
    <w:pPr>
      <w:spacing w:after="0" w:line="240" w:lineRule="auto"/>
    </w:pPr>
    <w:rPr>
      <w:rFonts w:ascii="Times New Roman" w:eastAsia="SimSun" w:hAnsi="Times New Roman" w:cs="Times New Roman"/>
      <w:lang w:eastAsia="zh-CN"/>
    </w:rPr>
  </w:style>
  <w:style w:type="paragraph" w:styleId="Heading1">
    <w:name w:val="heading 1"/>
    <w:basedOn w:val="Normal"/>
    <w:next w:val="Normalnumber"/>
    <w:link w:val="Heading1Char"/>
    <w:rsid w:val="00A36574"/>
    <w:pPr>
      <w:keepNext/>
      <w:numPr>
        <w:numId w:val="3"/>
      </w:numPr>
      <w:spacing w:before="240" w:after="120"/>
      <w:outlineLvl w:val="0"/>
    </w:pPr>
    <w:rPr>
      <w:b/>
      <w:sz w:val="28"/>
    </w:rPr>
  </w:style>
  <w:style w:type="paragraph" w:styleId="Heading2">
    <w:name w:val="heading 2"/>
    <w:basedOn w:val="Normal"/>
    <w:next w:val="Normalnumber"/>
    <w:link w:val="Heading2Char"/>
    <w:rsid w:val="00A36574"/>
    <w:pPr>
      <w:keepNext/>
      <w:numPr>
        <w:ilvl w:val="1"/>
        <w:numId w:val="3"/>
      </w:numPr>
      <w:spacing w:before="240" w:after="120"/>
      <w:outlineLvl w:val="1"/>
    </w:pPr>
    <w:rPr>
      <w:b/>
      <w:sz w:val="24"/>
      <w:szCs w:val="24"/>
    </w:rPr>
  </w:style>
  <w:style w:type="paragraph" w:styleId="Heading3">
    <w:name w:val="heading 3"/>
    <w:basedOn w:val="Normal"/>
    <w:next w:val="Normalnumber"/>
    <w:link w:val="Heading3Char"/>
    <w:rsid w:val="00A36574"/>
    <w:pPr>
      <w:numPr>
        <w:ilvl w:val="2"/>
        <w:numId w:val="3"/>
      </w:numPr>
      <w:spacing w:after="120"/>
      <w:outlineLvl w:val="2"/>
    </w:pPr>
    <w:rPr>
      <w:b/>
    </w:rPr>
  </w:style>
  <w:style w:type="paragraph" w:styleId="Heading4">
    <w:name w:val="heading 4"/>
    <w:basedOn w:val="Heading3"/>
    <w:next w:val="Normalnumber"/>
    <w:link w:val="Heading4Char"/>
    <w:rsid w:val="00A36574"/>
    <w:pPr>
      <w:keepNext/>
      <w:numPr>
        <w:ilvl w:val="3"/>
      </w:numPr>
      <w:outlineLvl w:val="3"/>
    </w:pPr>
  </w:style>
  <w:style w:type="paragraph" w:styleId="Heading5">
    <w:name w:val="heading 5"/>
    <w:basedOn w:val="Normal"/>
    <w:next w:val="Normal"/>
    <w:link w:val="Heading5Char"/>
    <w:rsid w:val="00A36574"/>
    <w:pPr>
      <w:keepNext/>
      <w:numPr>
        <w:ilvl w:val="4"/>
        <w:numId w:val="3"/>
      </w:numPr>
      <w:outlineLvl w:val="4"/>
    </w:pPr>
    <w:rPr>
      <w:rFonts w:ascii="Univers" w:hAnsi="Univers"/>
      <w:b/>
      <w:sz w:val="24"/>
    </w:rPr>
  </w:style>
  <w:style w:type="paragraph" w:styleId="Heading6">
    <w:name w:val="heading 6"/>
    <w:basedOn w:val="Normal"/>
    <w:next w:val="Normal"/>
    <w:link w:val="Heading6Char"/>
    <w:rsid w:val="00A36574"/>
    <w:pPr>
      <w:keepNext/>
      <w:numPr>
        <w:ilvl w:val="5"/>
        <w:numId w:val="3"/>
      </w:numPr>
      <w:outlineLvl w:val="5"/>
    </w:pPr>
    <w:rPr>
      <w:b/>
      <w:bCs/>
      <w:sz w:val="24"/>
    </w:rPr>
  </w:style>
  <w:style w:type="paragraph" w:styleId="Heading7">
    <w:name w:val="heading 7"/>
    <w:basedOn w:val="Normal"/>
    <w:next w:val="Normal"/>
    <w:link w:val="Heading7Char"/>
    <w:rsid w:val="00A36574"/>
    <w:pPr>
      <w:keepNext/>
      <w:widowControl w:val="0"/>
      <w:numPr>
        <w:ilvl w:val="6"/>
        <w:numId w:val="3"/>
      </w:numPr>
      <w:jc w:val="center"/>
      <w:outlineLvl w:val="6"/>
    </w:pPr>
    <w:rPr>
      <w:snapToGrid w:val="0"/>
      <w:u w:val="single"/>
    </w:rPr>
  </w:style>
  <w:style w:type="paragraph" w:styleId="Heading8">
    <w:name w:val="heading 8"/>
    <w:basedOn w:val="Normal"/>
    <w:next w:val="Normal"/>
    <w:link w:val="Heading8Char"/>
    <w:rsid w:val="00A36574"/>
    <w:pPr>
      <w:keepNext/>
      <w:widowControl w:val="0"/>
      <w:numPr>
        <w:ilvl w:val="7"/>
        <w:numId w:val="3"/>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A36574"/>
    <w:pPr>
      <w:keepNext/>
      <w:widowControl w:val="0"/>
      <w:numPr>
        <w:ilvl w:val="8"/>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A36574"/>
    <w:rPr>
      <w:rFonts w:ascii="Times New Roman" w:hAnsi="Times New Roman"/>
      <w:b/>
      <w:sz w:val="18"/>
    </w:rPr>
  </w:style>
  <w:style w:type="table" w:customStyle="1" w:styleId="Tabledocright">
    <w:name w:val="Table_doc_right"/>
    <w:basedOn w:val="TableNormal"/>
    <w:rsid w:val="00A36574"/>
    <w:pPr>
      <w:spacing w:before="40" w:after="40" w:line="240" w:lineRule="auto"/>
    </w:pPr>
    <w:rPr>
      <w:rFonts w:ascii="Times New Roman" w:eastAsia="SimSun" w:hAnsi="Times New Roma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A36574"/>
    <w:pPr>
      <w:ind w:left="1000"/>
    </w:pPr>
    <w:rPr>
      <w:sz w:val="18"/>
      <w:szCs w:val="18"/>
    </w:rPr>
  </w:style>
  <w:style w:type="paragraph" w:styleId="TOC7">
    <w:name w:val="toc 7"/>
    <w:basedOn w:val="Normal"/>
    <w:next w:val="Normal"/>
    <w:autoRedefine/>
    <w:semiHidden/>
    <w:rsid w:val="00A36574"/>
    <w:pPr>
      <w:ind w:left="1200"/>
    </w:pPr>
    <w:rPr>
      <w:sz w:val="18"/>
      <w:szCs w:val="18"/>
    </w:rPr>
  </w:style>
  <w:style w:type="paragraph" w:styleId="TOC8">
    <w:name w:val="toc 8"/>
    <w:basedOn w:val="Normal"/>
    <w:next w:val="Normal"/>
    <w:autoRedefine/>
    <w:semiHidden/>
    <w:rsid w:val="00A36574"/>
    <w:pPr>
      <w:ind w:left="1400"/>
    </w:pPr>
    <w:rPr>
      <w:sz w:val="18"/>
      <w:szCs w:val="18"/>
    </w:rPr>
  </w:style>
  <w:style w:type="paragraph" w:styleId="TOC9">
    <w:name w:val="toc 9"/>
    <w:basedOn w:val="Normal"/>
    <w:next w:val="Normal"/>
    <w:autoRedefine/>
    <w:semiHidden/>
    <w:rsid w:val="00A36574"/>
    <w:pPr>
      <w:ind w:left="1600"/>
    </w:pPr>
    <w:rPr>
      <w:sz w:val="18"/>
      <w:szCs w:val="18"/>
    </w:rPr>
  </w:style>
  <w:style w:type="paragraph" w:customStyle="1" w:styleId="Titlefigure">
    <w:name w:val="Title_figure"/>
    <w:basedOn w:val="Titletable"/>
    <w:next w:val="NormalNonumber"/>
    <w:rsid w:val="00A36574"/>
    <w:rPr>
      <w:bCs w:val="0"/>
    </w:rPr>
  </w:style>
  <w:style w:type="paragraph" w:styleId="TableofFigures">
    <w:name w:val="table of figures"/>
    <w:basedOn w:val="Normal"/>
    <w:next w:val="Normal"/>
    <w:autoRedefine/>
    <w:semiHidden/>
    <w:rsid w:val="00A36574"/>
    <w:pPr>
      <w:ind w:left="1814" w:hanging="567"/>
    </w:pPr>
  </w:style>
  <w:style w:type="paragraph" w:customStyle="1" w:styleId="CH1">
    <w:name w:val="CH1"/>
    <w:basedOn w:val="Normal-pool"/>
    <w:next w:val="CH2"/>
    <w:qFormat/>
    <w:rsid w:val="00A365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A36574"/>
    <w:pPr>
      <w:keepNext/>
      <w:keepLines/>
      <w:tabs>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A36574"/>
    <w:pPr>
      <w:keepNext/>
      <w:keepLines/>
      <w:tabs>
        <w:tab w:val="right" w:pos="851"/>
      </w:tabs>
      <w:suppressAutoHyphens/>
      <w:spacing w:before="240" w:after="120"/>
      <w:ind w:left="1247" w:right="284" w:hanging="1247"/>
    </w:pPr>
    <w:rPr>
      <w:b/>
    </w:rPr>
  </w:style>
  <w:style w:type="paragraph" w:customStyle="1" w:styleId="CH4">
    <w:name w:val="CH4"/>
    <w:basedOn w:val="Normal-pool"/>
    <w:next w:val="Normalnumber"/>
    <w:rsid w:val="00A36574"/>
    <w:pPr>
      <w:keepNext/>
      <w:keepLines/>
      <w:tabs>
        <w:tab w:val="right" w:pos="851"/>
      </w:tabs>
      <w:suppressAutoHyphens/>
      <w:spacing w:before="120" w:after="120"/>
      <w:ind w:left="1247" w:right="284" w:hanging="1247"/>
    </w:pPr>
    <w:rPr>
      <w:b/>
    </w:rPr>
  </w:style>
  <w:style w:type="table" w:customStyle="1" w:styleId="Footertable">
    <w:name w:val="Footer_table"/>
    <w:basedOn w:val="TableNormal"/>
    <w:semiHidden/>
    <w:rsid w:val="00A36574"/>
    <w:pPr>
      <w:spacing w:after="0" w:line="240" w:lineRule="auto"/>
    </w:pPr>
    <w:rPr>
      <w:rFonts w:ascii="Arial" w:eastAsia="SimSun"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A36574"/>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b/>
      <w:lang w:eastAsia="en-US"/>
    </w:rPr>
  </w:style>
  <w:style w:type="paragraph" w:customStyle="1" w:styleId="Footerpool">
    <w:name w:val="Footer_pool"/>
    <w:basedOn w:val="Normal"/>
    <w:next w:val="Normal"/>
    <w:semiHidden/>
    <w:rsid w:val="00A36574"/>
    <w:pPr>
      <w:tabs>
        <w:tab w:val="left" w:pos="4321"/>
        <w:tab w:val="right" w:pos="8641"/>
      </w:tabs>
      <w:spacing w:before="60" w:after="12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CA" w:eastAsia="en-US"/>
    </w:rPr>
  </w:style>
  <w:style w:type="paragraph" w:customStyle="1" w:styleId="Footer-pool">
    <w:name w:val="Footer-pool"/>
    <w:basedOn w:val="Normal-pool"/>
    <w:next w:val="Normal-pool"/>
    <w:rsid w:val="00A36574"/>
    <w:pPr>
      <w:tabs>
        <w:tab w:val="left" w:pos="4321"/>
        <w:tab w:val="right" w:pos="8641"/>
      </w:tabs>
      <w:spacing w:before="60" w:after="120"/>
    </w:pPr>
    <w:rPr>
      <w:b/>
      <w:sz w:val="18"/>
    </w:rPr>
  </w:style>
  <w:style w:type="paragraph" w:customStyle="1" w:styleId="Header-pool">
    <w:name w:val="Header-pool"/>
    <w:basedOn w:val="Normal-pool"/>
    <w:next w:val="Normal-pool"/>
    <w:rsid w:val="00A36574"/>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eastAsia="en-US"/>
    </w:rPr>
  </w:style>
  <w:style w:type="character" w:styleId="FootnoteReference">
    <w:name w:val="footnote reference"/>
    <w:aliases w:val="16 Point,Superscript 6 Point,number,SUPERS,Footnote Reference Superscript,ftref,(Ref. de nota al pie),fr,Ref,de nota al pie,註腳內容,de nota al pie + (Asian) MS Mincho,Footnote Reference1,11 pt,Ref. de nota de rodapé1,stylish"/>
    <w:qFormat/>
    <w:rsid w:val="00A36574"/>
    <w:rPr>
      <w:rFonts w:ascii="Times New Roman" w:hAnsi="Times New Roman"/>
      <w:color w:val="auto"/>
      <w:sz w:val="20"/>
      <w:szCs w:val="18"/>
      <w:vertAlign w:val="superscript"/>
    </w:rPr>
  </w:style>
  <w:style w:type="paragraph" w:styleId="FootnoteText">
    <w:name w:val="footnote text"/>
    <w:basedOn w:val="Normal"/>
    <w:link w:val="FootnoteTextChar"/>
    <w:rsid w:val="00A36574"/>
    <w:pPr>
      <w:tabs>
        <w:tab w:val="left" w:pos="1247"/>
        <w:tab w:val="left" w:pos="1814"/>
        <w:tab w:val="left" w:pos="2381"/>
        <w:tab w:val="left" w:pos="2948"/>
        <w:tab w:val="left" w:pos="3515"/>
        <w:tab w:val="left" w:pos="4082"/>
      </w:tabs>
      <w:spacing w:before="20" w:after="40"/>
      <w:ind w:left="1247"/>
    </w:pPr>
    <w:rPr>
      <w:sz w:val="18"/>
      <w:lang w:val="fr-CA" w:eastAsia="en-US"/>
    </w:rPr>
  </w:style>
  <w:style w:type="character" w:customStyle="1" w:styleId="Normal-poolChar">
    <w:name w:val="Normal-pool Char"/>
    <w:link w:val="Normal-pool"/>
    <w:rsid w:val="00A36574"/>
    <w:rPr>
      <w:rFonts w:ascii="Times New Roman" w:eastAsia="SimSun" w:hAnsi="Times New Roman" w:cs="Times New Roman"/>
      <w:lang w:eastAsia="en-US"/>
    </w:rPr>
  </w:style>
  <w:style w:type="table" w:customStyle="1" w:styleId="AATable">
    <w:name w:val="AA_Table"/>
    <w:basedOn w:val="TableNormal"/>
    <w:semiHidden/>
    <w:rsid w:val="00A36574"/>
    <w:pPr>
      <w:spacing w:after="0" w:line="240" w:lineRule="auto"/>
    </w:pPr>
    <w:rPr>
      <w:rFonts w:ascii="Times New Roman" w:eastAsia="SimSun" w:hAnsi="Times New Roma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A36574"/>
    <w:pPr>
      <w:keepNext/>
      <w:keepLines/>
      <w:suppressAutoHyphens/>
      <w:ind w:right="5103"/>
    </w:pPr>
    <w:rPr>
      <w:b/>
    </w:rPr>
  </w:style>
  <w:style w:type="paragraph" w:customStyle="1" w:styleId="AATitle2">
    <w:name w:val="AA_Title2"/>
    <w:basedOn w:val="AATitle"/>
    <w:qFormat/>
    <w:rsid w:val="001A544E"/>
    <w:pPr>
      <w:tabs>
        <w:tab w:val="clear" w:pos="4082"/>
      </w:tabs>
      <w:spacing w:before="120" w:after="120"/>
      <w:ind w:right="4536"/>
    </w:pPr>
  </w:style>
  <w:style w:type="paragraph" w:customStyle="1" w:styleId="BBTitle">
    <w:name w:val="BB_Title"/>
    <w:basedOn w:val="Normal-pool"/>
    <w:qFormat/>
    <w:rsid w:val="00A36574"/>
    <w:pPr>
      <w:keepNext/>
      <w:keepLines/>
      <w:suppressAutoHyphens/>
      <w:spacing w:before="320" w:after="240"/>
      <w:ind w:left="1247" w:right="567"/>
    </w:pPr>
    <w:rPr>
      <w:b/>
      <w:sz w:val="28"/>
      <w:szCs w:val="28"/>
    </w:rPr>
  </w:style>
  <w:style w:type="paragraph" w:styleId="Footer">
    <w:name w:val="footer"/>
    <w:basedOn w:val="Normal"/>
    <w:link w:val="FooterChar"/>
    <w:uiPriority w:val="99"/>
    <w:rsid w:val="00A36574"/>
    <w:pPr>
      <w:tabs>
        <w:tab w:val="center" w:pos="4320"/>
        <w:tab w:val="right" w:pos="8640"/>
      </w:tabs>
      <w:spacing w:before="60" w:after="120"/>
    </w:pPr>
    <w:rPr>
      <w:sz w:val="18"/>
    </w:rPr>
  </w:style>
  <w:style w:type="paragraph" w:styleId="Header">
    <w:name w:val="header"/>
    <w:basedOn w:val="Normal"/>
    <w:link w:val="HeaderChar"/>
    <w:semiHidden/>
    <w:rsid w:val="00A36574"/>
    <w:pPr>
      <w:pBdr>
        <w:bottom w:val="single" w:sz="4" w:space="1" w:color="auto"/>
      </w:pBdr>
      <w:tabs>
        <w:tab w:val="center" w:pos="4536"/>
        <w:tab w:val="right" w:pos="9072"/>
      </w:tabs>
      <w:spacing w:after="120"/>
    </w:pPr>
    <w:rPr>
      <w:b/>
      <w:sz w:val="18"/>
    </w:rPr>
  </w:style>
  <w:style w:type="character" w:styleId="Hyperlink">
    <w:name w:val="Hyperlink"/>
    <w:unhideWhenUsed/>
    <w:rsid w:val="00A36574"/>
    <w:rPr>
      <w:rFonts w:ascii="Times New Roman" w:hAnsi="Times New Roman"/>
      <w:color w:val="0000FF"/>
      <w:sz w:val="20"/>
      <w:szCs w:val="20"/>
      <w:u w:val="single"/>
      <w:lang w:val="en-US"/>
    </w:rPr>
  </w:style>
  <w:style w:type="numbering" w:customStyle="1" w:styleId="Normallist">
    <w:name w:val="Normal_list"/>
    <w:basedOn w:val="NoList"/>
    <w:rsid w:val="00A36574"/>
    <w:pPr>
      <w:numPr>
        <w:numId w:val="1"/>
      </w:numPr>
    </w:pPr>
  </w:style>
  <w:style w:type="paragraph" w:customStyle="1" w:styleId="NormalNonumber">
    <w:name w:val="Normal_No_number"/>
    <w:basedOn w:val="Normal-pool"/>
    <w:qFormat/>
    <w:rsid w:val="00A36574"/>
    <w:pPr>
      <w:spacing w:after="120"/>
      <w:ind w:left="1247"/>
    </w:pPr>
  </w:style>
  <w:style w:type="paragraph" w:customStyle="1" w:styleId="Normalnumber">
    <w:name w:val="Normal_number"/>
    <w:link w:val="NormalnumberChar"/>
    <w:qFormat/>
    <w:rsid w:val="00AE6320"/>
    <w:pPr>
      <w:numPr>
        <w:numId w:val="4"/>
      </w:numPr>
      <w:tabs>
        <w:tab w:val="clear" w:pos="567"/>
        <w:tab w:val="left" w:pos="624"/>
      </w:tabs>
      <w:spacing w:line="240" w:lineRule="auto"/>
    </w:pPr>
    <w:rPr>
      <w:rFonts w:ascii="Times New Roman" w:eastAsia="Times New Roman" w:hAnsi="Times New Roman" w:cs="Times New Roman"/>
      <w:lang w:eastAsia="en-US"/>
    </w:rPr>
  </w:style>
  <w:style w:type="paragraph" w:customStyle="1" w:styleId="Titletable">
    <w:name w:val="Title_table"/>
    <w:basedOn w:val="Normal-pool"/>
    <w:next w:val="NormalNonumber"/>
    <w:rsid w:val="00A36574"/>
    <w:pPr>
      <w:keepNext/>
      <w:keepLines/>
      <w:suppressAutoHyphens/>
      <w:spacing w:after="60"/>
      <w:ind w:left="1247"/>
    </w:pPr>
    <w:rPr>
      <w:b/>
      <w:bCs/>
    </w:rPr>
  </w:style>
  <w:style w:type="paragraph" w:styleId="TOC1">
    <w:name w:val="toc 1"/>
    <w:basedOn w:val="Normal-pool"/>
    <w:next w:val="Normal-pool"/>
    <w:unhideWhenUsed/>
    <w:rsid w:val="00A36574"/>
    <w:pPr>
      <w:tabs>
        <w:tab w:val="right" w:leader="dot" w:pos="9486"/>
      </w:tabs>
      <w:spacing w:before="240"/>
      <w:ind w:left="1814" w:hanging="567"/>
    </w:pPr>
    <w:rPr>
      <w:bCs/>
    </w:rPr>
  </w:style>
  <w:style w:type="paragraph" w:styleId="TOC2">
    <w:name w:val="toc 2"/>
    <w:basedOn w:val="Normal-pool"/>
    <w:next w:val="Normal-pool"/>
    <w:unhideWhenUsed/>
    <w:rsid w:val="00A36574"/>
    <w:pPr>
      <w:tabs>
        <w:tab w:val="right" w:leader="dot" w:pos="9486"/>
      </w:tabs>
      <w:ind w:left="2381" w:hanging="567"/>
    </w:pPr>
  </w:style>
  <w:style w:type="paragraph" w:styleId="TOC3">
    <w:name w:val="toc 3"/>
    <w:basedOn w:val="Normal-pool"/>
    <w:next w:val="Normal-pool"/>
    <w:unhideWhenUsed/>
    <w:rsid w:val="00A36574"/>
    <w:pPr>
      <w:tabs>
        <w:tab w:val="right" w:leader="dot" w:pos="9486"/>
      </w:tabs>
      <w:ind w:left="2948" w:hanging="567"/>
    </w:pPr>
    <w:rPr>
      <w:iCs/>
    </w:rPr>
  </w:style>
  <w:style w:type="paragraph" w:styleId="TOC4">
    <w:name w:val="toc 4"/>
    <w:basedOn w:val="Normal-pool"/>
    <w:next w:val="Normal-pool"/>
    <w:unhideWhenUsed/>
    <w:rsid w:val="00A36574"/>
    <w:pPr>
      <w:tabs>
        <w:tab w:val="left" w:pos="1000"/>
        <w:tab w:val="right" w:leader="dot" w:pos="9486"/>
      </w:tabs>
      <w:ind w:left="3515" w:hanging="567"/>
    </w:pPr>
    <w:rPr>
      <w:szCs w:val="18"/>
    </w:rPr>
  </w:style>
  <w:style w:type="paragraph" w:styleId="TOC5">
    <w:name w:val="toc 5"/>
    <w:basedOn w:val="Normal-pool"/>
    <w:next w:val="Normal-pool"/>
    <w:rsid w:val="00A36574"/>
    <w:pPr>
      <w:ind w:left="800"/>
    </w:pPr>
    <w:rPr>
      <w:sz w:val="18"/>
      <w:szCs w:val="18"/>
    </w:rPr>
  </w:style>
  <w:style w:type="paragraph" w:customStyle="1" w:styleId="ZZAnxheader">
    <w:name w:val="ZZ_Anx_header"/>
    <w:basedOn w:val="Normal-pool"/>
    <w:rsid w:val="00A36574"/>
    <w:rPr>
      <w:b/>
      <w:bCs/>
      <w:sz w:val="28"/>
      <w:szCs w:val="22"/>
    </w:rPr>
  </w:style>
  <w:style w:type="paragraph" w:customStyle="1" w:styleId="ZZAnxtitle">
    <w:name w:val="ZZ_Anx_title"/>
    <w:basedOn w:val="Normal-pool"/>
    <w:rsid w:val="00A36574"/>
    <w:pPr>
      <w:spacing w:before="360" w:after="120"/>
      <w:ind w:left="1247"/>
    </w:pPr>
    <w:rPr>
      <w:b/>
      <w:bCs/>
      <w:sz w:val="28"/>
      <w:szCs w:val="26"/>
    </w:rPr>
  </w:style>
  <w:style w:type="paragraph" w:styleId="BalloonText">
    <w:name w:val="Balloon Text"/>
    <w:basedOn w:val="Normal"/>
    <w:link w:val="BalloonTextChar"/>
    <w:unhideWhenUsed/>
    <w:rsid w:val="00A36574"/>
    <w:rPr>
      <w:rFonts w:ascii="Tahoma" w:hAnsi="Tahoma" w:cs="Tahoma"/>
      <w:sz w:val="16"/>
      <w:szCs w:val="16"/>
    </w:rPr>
  </w:style>
  <w:style w:type="character" w:customStyle="1" w:styleId="BalloonTextChar">
    <w:name w:val="Balloon Text Char"/>
    <w:basedOn w:val="DefaultParagraphFont"/>
    <w:link w:val="BalloonText"/>
    <w:rsid w:val="00A36574"/>
    <w:rPr>
      <w:rFonts w:ascii="Tahoma" w:eastAsia="SimSun" w:hAnsi="Tahoma" w:cs="Tahoma"/>
      <w:sz w:val="16"/>
      <w:szCs w:val="16"/>
      <w:lang w:eastAsia="zh-CN"/>
    </w:rPr>
  </w:style>
  <w:style w:type="character" w:styleId="CommentReference">
    <w:name w:val="annotation reference"/>
    <w:basedOn w:val="DefaultParagraphFont"/>
    <w:unhideWhenUsed/>
    <w:rsid w:val="00A36574"/>
    <w:rPr>
      <w:sz w:val="16"/>
      <w:szCs w:val="16"/>
    </w:rPr>
  </w:style>
  <w:style w:type="paragraph" w:styleId="CommentText">
    <w:name w:val="annotation text"/>
    <w:basedOn w:val="Normal"/>
    <w:link w:val="CommentTextChar"/>
    <w:unhideWhenUsed/>
    <w:rsid w:val="00A36574"/>
  </w:style>
  <w:style w:type="character" w:customStyle="1" w:styleId="CommentTextChar">
    <w:name w:val="Comment Text Char"/>
    <w:basedOn w:val="DefaultParagraphFont"/>
    <w:link w:val="CommentText"/>
    <w:rsid w:val="00A36574"/>
    <w:rPr>
      <w:rFonts w:ascii="Times New Roman" w:eastAsia="SimSun" w:hAnsi="Times New Roman" w:cs="Times New Roman"/>
      <w:lang w:eastAsia="zh-CN"/>
    </w:rPr>
  </w:style>
  <w:style w:type="paragraph" w:styleId="CommentSubject">
    <w:name w:val="annotation subject"/>
    <w:basedOn w:val="CommentText"/>
    <w:next w:val="CommentText"/>
    <w:link w:val="CommentSubjectChar"/>
    <w:unhideWhenUsed/>
    <w:rsid w:val="00A36574"/>
    <w:rPr>
      <w:b/>
      <w:bCs/>
    </w:rPr>
  </w:style>
  <w:style w:type="character" w:customStyle="1" w:styleId="CommentSubjectChar">
    <w:name w:val="Comment Subject Char"/>
    <w:basedOn w:val="CommentTextChar"/>
    <w:link w:val="CommentSubject"/>
    <w:rsid w:val="00A36574"/>
    <w:rPr>
      <w:rFonts w:ascii="Times New Roman" w:eastAsia="SimSun" w:hAnsi="Times New Roman" w:cs="Times New Roman"/>
      <w:b/>
      <w:bCs/>
      <w:lang w:eastAsia="zh-CN"/>
    </w:rPr>
  </w:style>
  <w:style w:type="character" w:customStyle="1" w:styleId="NormalnumberChar">
    <w:name w:val="Normal_number Char"/>
    <w:link w:val="Normalnumber"/>
    <w:locked/>
    <w:rsid w:val="00AE6320"/>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rsid w:val="00A36574"/>
    <w:rPr>
      <w:rFonts w:ascii="Times New Roman" w:eastAsia="SimSun" w:hAnsi="Times New Roman" w:cs="Times New Roman"/>
      <w:sz w:val="18"/>
      <w:lang w:val="fr-CA" w:eastAsia="en-US"/>
    </w:rPr>
  </w:style>
  <w:style w:type="character" w:customStyle="1" w:styleId="CH2Char">
    <w:name w:val="CH2 Char"/>
    <w:link w:val="CH2"/>
    <w:locked/>
    <w:rsid w:val="001B7586"/>
    <w:rPr>
      <w:rFonts w:ascii="Times New Roman" w:eastAsia="SimSun" w:hAnsi="Times New Roman" w:cs="Times New Roman"/>
      <w:b/>
      <w:sz w:val="24"/>
      <w:szCs w:val="24"/>
      <w:lang w:eastAsia="en-US"/>
    </w:rPr>
  </w:style>
  <w:style w:type="table" w:styleId="TableGrid">
    <w:name w:val="Table Grid"/>
    <w:basedOn w:val="TableNormal"/>
    <w:uiPriority w:val="59"/>
    <w:rsid w:val="00A36574"/>
    <w:pPr>
      <w:spacing w:after="0" w:line="240" w:lineRule="auto"/>
    </w:pPr>
    <w:rPr>
      <w:rFonts w:ascii="Times New Roman" w:eastAsia="SimSun" w:hAnsi="Times New Roma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A36574"/>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A36574"/>
    <w:pPr>
      <w:spacing w:before="100" w:beforeAutospacing="1" w:after="100" w:afterAutospacing="1"/>
    </w:pPr>
    <w:rPr>
      <w:rFonts w:eastAsiaTheme="minorEastAsia"/>
      <w:sz w:val="24"/>
      <w:szCs w:val="24"/>
      <w:lang w:eastAsia="en-US"/>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uiPriority w:val="99"/>
    <w:rsid w:val="00A36574"/>
    <w:rPr>
      <w:rFonts w:ascii="Times New Roman" w:eastAsia="SimSun" w:hAnsi="Times New Roman" w:cs="Times New Roman"/>
      <w:sz w:val="18"/>
      <w:lang w:eastAsia="zh-CN"/>
    </w:rPr>
  </w:style>
  <w:style w:type="character" w:customStyle="1" w:styleId="Heading1Char">
    <w:name w:val="Heading 1 Char"/>
    <w:basedOn w:val="DefaultParagraphFont"/>
    <w:link w:val="Heading1"/>
    <w:rsid w:val="00A36574"/>
    <w:rPr>
      <w:rFonts w:ascii="Times New Roman" w:eastAsia="SimSun" w:hAnsi="Times New Roman" w:cs="Times New Roman"/>
      <w:b/>
      <w:sz w:val="28"/>
      <w:lang w:eastAsia="zh-CN"/>
    </w:rPr>
  </w:style>
  <w:style w:type="character" w:customStyle="1" w:styleId="Heading2Char">
    <w:name w:val="Heading 2 Char"/>
    <w:basedOn w:val="DefaultParagraphFont"/>
    <w:link w:val="Heading2"/>
    <w:rsid w:val="00A36574"/>
    <w:rPr>
      <w:rFonts w:ascii="Times New Roman" w:eastAsia="SimSun" w:hAnsi="Times New Roman" w:cs="Times New Roman"/>
      <w:b/>
      <w:sz w:val="24"/>
      <w:szCs w:val="24"/>
      <w:lang w:eastAsia="zh-CN"/>
    </w:rPr>
  </w:style>
  <w:style w:type="character" w:customStyle="1" w:styleId="Heading3Char">
    <w:name w:val="Heading 3 Char"/>
    <w:basedOn w:val="DefaultParagraphFont"/>
    <w:link w:val="Heading3"/>
    <w:rsid w:val="00A36574"/>
    <w:rPr>
      <w:rFonts w:ascii="Times New Roman" w:eastAsia="SimSun" w:hAnsi="Times New Roman" w:cs="Times New Roman"/>
      <w:b/>
      <w:lang w:eastAsia="zh-CN"/>
    </w:rPr>
  </w:style>
  <w:style w:type="character" w:customStyle="1" w:styleId="Heading4Char">
    <w:name w:val="Heading 4 Char"/>
    <w:basedOn w:val="DefaultParagraphFont"/>
    <w:link w:val="Heading4"/>
    <w:rsid w:val="00A36574"/>
    <w:rPr>
      <w:rFonts w:ascii="Times New Roman" w:eastAsia="SimSun" w:hAnsi="Times New Roman" w:cs="Times New Roman"/>
      <w:b/>
      <w:lang w:eastAsia="zh-CN"/>
    </w:rPr>
  </w:style>
  <w:style w:type="character" w:customStyle="1" w:styleId="Heading5Char">
    <w:name w:val="Heading 5 Char"/>
    <w:basedOn w:val="DefaultParagraphFont"/>
    <w:link w:val="Heading5"/>
    <w:rsid w:val="00A36574"/>
    <w:rPr>
      <w:rFonts w:ascii="Univers" w:eastAsia="SimSun" w:hAnsi="Univers" w:cs="Times New Roman"/>
      <w:b/>
      <w:sz w:val="24"/>
      <w:lang w:eastAsia="zh-CN"/>
    </w:rPr>
  </w:style>
  <w:style w:type="character" w:customStyle="1" w:styleId="Heading6Char">
    <w:name w:val="Heading 6 Char"/>
    <w:basedOn w:val="DefaultParagraphFont"/>
    <w:link w:val="Heading6"/>
    <w:rsid w:val="00A36574"/>
    <w:rPr>
      <w:rFonts w:ascii="Times New Roman" w:eastAsia="SimSun" w:hAnsi="Times New Roman" w:cs="Times New Roman"/>
      <w:b/>
      <w:bCs/>
      <w:sz w:val="24"/>
      <w:lang w:eastAsia="zh-CN"/>
    </w:rPr>
  </w:style>
  <w:style w:type="character" w:customStyle="1" w:styleId="Heading7Char">
    <w:name w:val="Heading 7 Char"/>
    <w:basedOn w:val="DefaultParagraphFont"/>
    <w:link w:val="Heading7"/>
    <w:rsid w:val="00A36574"/>
    <w:rPr>
      <w:rFonts w:ascii="Times New Roman" w:eastAsia="SimSun" w:hAnsi="Times New Roman" w:cs="Times New Roman"/>
      <w:snapToGrid w:val="0"/>
      <w:u w:val="single"/>
      <w:lang w:eastAsia="zh-CN"/>
    </w:rPr>
  </w:style>
  <w:style w:type="character" w:customStyle="1" w:styleId="Heading8Char">
    <w:name w:val="Heading 8 Char"/>
    <w:basedOn w:val="DefaultParagraphFont"/>
    <w:link w:val="Heading8"/>
    <w:rsid w:val="00A36574"/>
    <w:rPr>
      <w:rFonts w:ascii="Times New Roman" w:eastAsia="SimSun" w:hAnsi="Times New Roman" w:cs="Times New Roman"/>
      <w:snapToGrid w:val="0"/>
      <w:u w:val="single"/>
      <w:lang w:eastAsia="zh-CN"/>
    </w:rPr>
  </w:style>
  <w:style w:type="character" w:customStyle="1" w:styleId="Heading9Char">
    <w:name w:val="Heading 9 Char"/>
    <w:basedOn w:val="DefaultParagraphFont"/>
    <w:link w:val="Heading9"/>
    <w:rsid w:val="00A36574"/>
    <w:rPr>
      <w:rFonts w:ascii="Times New Roman" w:eastAsia="SimSun" w:hAnsi="Times New Roman" w:cs="Times New Roman"/>
      <w:snapToGrid w:val="0"/>
      <w:u w:val="single"/>
      <w:lang w:eastAsia="zh-CN"/>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A36574"/>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A36574"/>
    <w:rPr>
      <w:rFonts w:ascii="Times New Roman" w:eastAsia="SimSun" w:hAnsi="Times New Roman" w:cs="Times New Roman"/>
      <w:b/>
      <w:sz w:val="18"/>
      <w:lang w:eastAsia="zh-CN"/>
    </w:rPr>
  </w:style>
  <w:style w:type="paragraph" w:customStyle="1" w:styleId="Footnote-pool">
    <w:name w:val="Footnote-pool"/>
    <w:basedOn w:val="Normal-pool"/>
    <w:rsid w:val="00F470DF"/>
    <w:pPr>
      <w:spacing w:before="20" w:after="40"/>
      <w:ind w:left="1247"/>
    </w:pPr>
    <w:rPr>
      <w:rFonts w:eastAsia="Times New Roman"/>
      <w:sz w:val="18"/>
    </w:rPr>
  </w:style>
  <w:style w:type="paragraph" w:customStyle="1" w:styleId="Titletfsubpar">
    <w:name w:val="Title_tf_subpar"/>
    <w:basedOn w:val="Normal-pool"/>
    <w:rsid w:val="00F470DF"/>
    <w:pPr>
      <w:spacing w:before="40" w:after="240"/>
    </w:pPr>
    <w:rPr>
      <w:rFonts w:eastAsia="Times New Roman"/>
      <w:sz w:val="17"/>
    </w:rPr>
  </w:style>
  <w:style w:type="paragraph" w:customStyle="1" w:styleId="AConvName">
    <w:name w:val="A_ConvName"/>
    <w:basedOn w:val="Normal-pool"/>
    <w:next w:val="Normal-pool"/>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Symbol">
    <w:name w:val="A_Symbol"/>
    <w:basedOn w:val="Normal-pool"/>
    <w:rsid w:val="00A36574"/>
  </w:style>
  <w:style w:type="paragraph" w:customStyle="1" w:styleId="AText">
    <w:name w:val="A_Text"/>
    <w:basedOn w:val="Normal-pool"/>
    <w:rsid w:val="00A36574"/>
    <w:pPr>
      <w:spacing w:before="120" w:after="120"/>
    </w:pPr>
  </w:style>
  <w:style w:type="paragraph" w:customStyle="1" w:styleId="ATwoLetters">
    <w:name w:val="A_TwoLetters"/>
    <w:basedOn w:val="Normal-pool"/>
    <w:next w:val="Normal-pool"/>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rsid w:val="00380241"/>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paragraph" w:customStyle="1" w:styleId="AAAConvName">
    <w:name w:val="AA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semiHidden/>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uiPriority w:val="99"/>
    <w:rsid w:val="00A36574"/>
    <w:rPr>
      <w:color w:val="800080"/>
      <w:u w:val="single"/>
    </w:rPr>
  </w:style>
  <w:style w:type="paragraph" w:customStyle="1" w:styleId="Footnote-Text">
    <w:name w:val="Footnote-Text"/>
    <w:basedOn w:val="Normal-pool"/>
    <w:rsid w:val="00A36574"/>
    <w:pPr>
      <w:spacing w:before="20" w:after="40"/>
      <w:ind w:left="1247"/>
    </w:pPr>
    <w:rPr>
      <w:sz w:val="18"/>
    </w:rPr>
  </w:style>
  <w:style w:type="paragraph" w:customStyle="1" w:styleId="Normal-pool-Table">
    <w:name w:val="Normal-pool-Table"/>
    <w:basedOn w:val="Normal-pool"/>
    <w:rsid w:val="00A36574"/>
    <w:pPr>
      <w:spacing w:before="40" w:after="40"/>
    </w:pPr>
    <w:rPr>
      <w:sz w:val="18"/>
    </w:rPr>
  </w:style>
  <w:style w:type="character" w:styleId="PlaceholderText">
    <w:name w:val="Placeholder Text"/>
    <w:basedOn w:val="DefaultParagraphFont"/>
    <w:uiPriority w:val="99"/>
    <w:semiHidden/>
    <w:rsid w:val="00A365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ga.rasmus\United%20Nations\MEA-IPBES-Secretariat%20-%20IPBES_9_Bonn_2022\Documents\Submitted%20for%20editing%20and%20translation_insession%20documents\IPBES_9_2\ipbes_9_2_election_of_officer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2022-05-18T14:23:49+00:00</Uploade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3.xml><?xml version="1.0" encoding="utf-8"?>
<ds:datastoreItem xmlns:ds="http://schemas.openxmlformats.org/officeDocument/2006/customXml" ds:itemID="{D4CC8374-8D5A-4528-AF7B-F8269771789B}">
  <ds:schemaRefs>
    <ds:schemaRef ds:uri="http://schemas.openxmlformats.org/officeDocument/2006/bibliography"/>
  </ds:schemaRefs>
</ds:datastoreItem>
</file>

<file path=customXml/itemProps4.xml><?xml version="1.0" encoding="utf-8"?>
<ds:datastoreItem xmlns:ds="http://schemas.openxmlformats.org/officeDocument/2006/customXml" ds:itemID="{47D7A254-A097-4841-BAB0-3D112D18BC08}"/>
</file>

<file path=docProps/app.xml><?xml version="1.0" encoding="utf-8"?>
<Properties xmlns="http://schemas.openxmlformats.org/officeDocument/2006/extended-properties" xmlns:vt="http://schemas.openxmlformats.org/officeDocument/2006/docPropsVTypes">
  <Template>ipbes_9_2_election_of_officers</Template>
  <TotalTime>1</TotalTime>
  <Pages>4</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Olga Rasmus</dc:creator>
  <cp:keywords/>
  <dc:description/>
  <cp:lastModifiedBy>Olga Rasmus</cp:lastModifiedBy>
  <cp:revision>2</cp:revision>
  <cp:lastPrinted>2019-03-14T20:01:00Z</cp:lastPrinted>
  <dcterms:created xsi:type="dcterms:W3CDTF">2022-05-18T14:23:00Z</dcterms:created>
  <dcterms:modified xsi:type="dcterms:W3CDTF">2022-05-18T14:23:00Z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