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right"/>
        <w:tblLayout w:type="fixed"/>
        <w:tblLook w:val="0000" w:firstRow="0" w:lastRow="0" w:firstColumn="0" w:lastColumn="0" w:noHBand="0" w:noVBand="0"/>
      </w:tblPr>
      <w:tblGrid>
        <w:gridCol w:w="1493"/>
        <w:gridCol w:w="473"/>
        <w:gridCol w:w="5343"/>
        <w:gridCol w:w="626"/>
        <w:gridCol w:w="1561"/>
      </w:tblGrid>
      <w:tr w:rsidR="00A54604" w:rsidRPr="00A54604" w14:paraId="32C1CAAD" w14:textId="77777777" w:rsidTr="00A54604">
        <w:trPr>
          <w:cantSplit/>
          <w:trHeight w:val="57"/>
          <w:jc w:val="right"/>
        </w:trPr>
        <w:tc>
          <w:tcPr>
            <w:tcW w:w="1524" w:type="dxa"/>
          </w:tcPr>
          <w:p w14:paraId="2EFF9B13" w14:textId="77777777" w:rsidR="00A54604" w:rsidRPr="00A54604" w:rsidRDefault="00A54604" w:rsidP="00A54604">
            <w:pPr>
              <w:tabs>
                <w:tab w:val="left" w:pos="4082"/>
              </w:tabs>
              <w:rPr>
                <w:rFonts w:eastAsia="DengXian"/>
                <w:lang w:val="en-US"/>
              </w:rPr>
            </w:pPr>
            <w:r w:rsidRPr="00A54604">
              <w:rPr>
                <w:rFonts w:ascii="Arial" w:eastAsia="DengXian" w:hAnsi="Arial" w:cs="Arial"/>
                <w:b/>
                <w:sz w:val="27"/>
                <w:szCs w:val="27"/>
                <w:lang w:val="en-US"/>
              </w:rPr>
              <w:t xml:space="preserve">UNITED </w:t>
            </w:r>
            <w:r w:rsidRPr="00A54604">
              <w:rPr>
                <w:rFonts w:ascii="Arial" w:eastAsia="DengXian" w:hAnsi="Arial" w:cs="Arial"/>
                <w:b/>
                <w:sz w:val="27"/>
                <w:szCs w:val="27"/>
                <w:lang w:val="en-US"/>
              </w:rPr>
              <w:br/>
              <w:t>NATIONS</w:t>
            </w:r>
          </w:p>
        </w:tc>
        <w:tc>
          <w:tcPr>
            <w:tcW w:w="6599" w:type="dxa"/>
            <w:gridSpan w:val="3"/>
          </w:tcPr>
          <w:p w14:paraId="1EECFB26" w14:textId="4FB46875" w:rsidR="00A54604" w:rsidRPr="00A54604" w:rsidRDefault="00A54604" w:rsidP="00A54604">
            <w:pPr>
              <w:tabs>
                <w:tab w:val="left" w:pos="4082"/>
              </w:tabs>
              <w:spacing w:before="20"/>
              <w:ind w:left="-113"/>
              <w:rPr>
                <w:rFonts w:eastAsia="DengXian"/>
                <w:lang w:val="en-US"/>
              </w:rPr>
            </w:pPr>
            <w:r w:rsidRPr="00A54604">
              <w:rPr>
                <w:rFonts w:eastAsia="DengXian"/>
                <w:noProof/>
                <w:lang w:val="en-GB" w:eastAsia="en-GB"/>
              </w:rPr>
              <w:drawing>
                <wp:inline distT="0" distB="0" distL="0" distR="0" wp14:anchorId="40173251" wp14:editId="75A82C32">
                  <wp:extent cx="3560445" cy="44323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60445" cy="443230"/>
                          </a:xfrm>
                          <a:prstGeom prst="rect">
                            <a:avLst/>
                          </a:prstGeom>
                          <a:noFill/>
                          <a:ln>
                            <a:noFill/>
                          </a:ln>
                        </pic:spPr>
                      </pic:pic>
                    </a:graphicData>
                  </a:graphic>
                </wp:inline>
              </w:drawing>
            </w:r>
          </w:p>
        </w:tc>
        <w:tc>
          <w:tcPr>
            <w:tcW w:w="1594" w:type="dxa"/>
          </w:tcPr>
          <w:p w14:paraId="046BB314" w14:textId="77777777" w:rsidR="00A54604" w:rsidRPr="00A54604" w:rsidRDefault="00A54604" w:rsidP="00A54604">
            <w:pPr>
              <w:tabs>
                <w:tab w:val="left" w:pos="4082"/>
              </w:tabs>
              <w:spacing w:after="120"/>
              <w:jc w:val="right"/>
              <w:rPr>
                <w:rFonts w:eastAsia="DengXian"/>
                <w:lang w:val="en-US"/>
              </w:rPr>
            </w:pPr>
            <w:r w:rsidRPr="00A54604">
              <w:rPr>
                <w:rFonts w:ascii="Arial" w:eastAsia="DengXian" w:hAnsi="Arial" w:cs="Arial"/>
                <w:b/>
                <w:sz w:val="64"/>
                <w:szCs w:val="64"/>
                <w:lang w:val="en-US"/>
              </w:rPr>
              <w:t>BES</w:t>
            </w:r>
          </w:p>
        </w:tc>
      </w:tr>
      <w:tr w:rsidR="00A54604" w:rsidRPr="00A54604" w14:paraId="42F68635" w14:textId="77777777" w:rsidTr="00A54604">
        <w:trPr>
          <w:cantSplit/>
          <w:trHeight w:val="57"/>
          <w:jc w:val="right"/>
        </w:trPr>
        <w:tc>
          <w:tcPr>
            <w:tcW w:w="1524" w:type="dxa"/>
            <w:tcBorders>
              <w:bottom w:val="single" w:sz="2" w:space="0" w:color="auto"/>
            </w:tcBorders>
          </w:tcPr>
          <w:p w14:paraId="4F892278" w14:textId="77777777" w:rsidR="00A54604" w:rsidRPr="00A54604" w:rsidRDefault="00A54604" w:rsidP="00A54604">
            <w:pPr>
              <w:tabs>
                <w:tab w:val="left" w:pos="4082"/>
              </w:tabs>
              <w:rPr>
                <w:rFonts w:eastAsia="DengXian"/>
                <w:lang w:val="en-US"/>
              </w:rPr>
            </w:pPr>
          </w:p>
        </w:tc>
        <w:tc>
          <w:tcPr>
            <w:tcW w:w="5957" w:type="dxa"/>
            <w:gridSpan w:val="2"/>
            <w:tcBorders>
              <w:bottom w:val="single" w:sz="2" w:space="0" w:color="auto"/>
            </w:tcBorders>
          </w:tcPr>
          <w:p w14:paraId="5AFC2458" w14:textId="77777777" w:rsidR="00A54604" w:rsidRPr="00A54604" w:rsidRDefault="00A54604" w:rsidP="00A54604">
            <w:pPr>
              <w:tabs>
                <w:tab w:val="left" w:pos="4082"/>
              </w:tabs>
              <w:rPr>
                <w:rFonts w:eastAsia="DengXian"/>
                <w:lang w:val="en-US"/>
              </w:rPr>
            </w:pPr>
          </w:p>
        </w:tc>
        <w:tc>
          <w:tcPr>
            <w:tcW w:w="2236" w:type="dxa"/>
            <w:gridSpan w:val="2"/>
            <w:tcBorders>
              <w:bottom w:val="single" w:sz="2" w:space="0" w:color="auto"/>
            </w:tcBorders>
          </w:tcPr>
          <w:p w14:paraId="160B1A24" w14:textId="656685F1" w:rsidR="00A54604" w:rsidRPr="00937238" w:rsidRDefault="00A54604" w:rsidP="00A54604">
            <w:pPr>
              <w:tabs>
                <w:tab w:val="left" w:pos="4082"/>
              </w:tabs>
              <w:rPr>
                <w:rFonts w:eastAsia="DengXian"/>
                <w:sz w:val="24"/>
                <w:szCs w:val="24"/>
                <w:lang w:val="en-US"/>
              </w:rPr>
            </w:pPr>
            <w:r w:rsidRPr="00937238">
              <w:rPr>
                <w:rFonts w:eastAsia="DengXian"/>
                <w:b/>
                <w:sz w:val="24"/>
                <w:szCs w:val="24"/>
                <w:lang w:val="en-US"/>
              </w:rPr>
              <w:t>IPBES</w:t>
            </w:r>
            <w:r w:rsidRPr="00937238">
              <w:rPr>
                <w:rFonts w:eastAsia="DengXian"/>
                <w:lang w:val="en-US"/>
              </w:rPr>
              <w:t>/8/</w:t>
            </w:r>
            <w:r w:rsidR="00937238">
              <w:rPr>
                <w:rFonts w:eastAsia="DengXian"/>
                <w:lang w:val="en-US"/>
              </w:rPr>
              <w:t>INF/4</w:t>
            </w:r>
          </w:p>
        </w:tc>
      </w:tr>
      <w:tr w:rsidR="00A54604" w:rsidRPr="000D058E" w14:paraId="3CB359E4" w14:textId="77777777" w:rsidTr="00A54604">
        <w:trPr>
          <w:cantSplit/>
          <w:trHeight w:val="57"/>
          <w:jc w:val="right"/>
        </w:trPr>
        <w:tc>
          <w:tcPr>
            <w:tcW w:w="2009" w:type="dxa"/>
            <w:gridSpan w:val="2"/>
            <w:tcBorders>
              <w:top w:val="single" w:sz="2" w:space="0" w:color="auto"/>
              <w:bottom w:val="single" w:sz="24" w:space="0" w:color="auto"/>
            </w:tcBorders>
          </w:tcPr>
          <w:p w14:paraId="068782C3" w14:textId="13878BF0" w:rsidR="00A54604" w:rsidRPr="00A54604" w:rsidRDefault="00A54604" w:rsidP="00A54604">
            <w:pPr>
              <w:tabs>
                <w:tab w:val="left" w:pos="4082"/>
              </w:tabs>
              <w:spacing w:before="160" w:after="240"/>
              <w:rPr>
                <w:rFonts w:eastAsia="DengXian"/>
                <w:sz w:val="28"/>
                <w:szCs w:val="28"/>
                <w:lang w:val="en-US"/>
              </w:rPr>
            </w:pPr>
            <w:r w:rsidRPr="00A54604">
              <w:rPr>
                <w:rFonts w:eastAsia="DengXian"/>
                <w:noProof/>
                <w:sz w:val="28"/>
                <w:szCs w:val="28"/>
                <w:lang w:val="en-GB" w:eastAsia="en-GB"/>
              </w:rPr>
              <w:drawing>
                <wp:inline distT="0" distB="0" distL="0" distR="0" wp14:anchorId="54F218BA" wp14:editId="0C0E16A6">
                  <wp:extent cx="1115060" cy="51943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5060" cy="519430"/>
                          </a:xfrm>
                          <a:prstGeom prst="rect">
                            <a:avLst/>
                          </a:prstGeom>
                          <a:noFill/>
                          <a:ln>
                            <a:noFill/>
                          </a:ln>
                        </pic:spPr>
                      </pic:pic>
                    </a:graphicData>
                  </a:graphic>
                </wp:inline>
              </w:drawing>
            </w:r>
          </w:p>
        </w:tc>
        <w:tc>
          <w:tcPr>
            <w:tcW w:w="5472" w:type="dxa"/>
            <w:tcBorders>
              <w:top w:val="single" w:sz="2" w:space="0" w:color="auto"/>
              <w:bottom w:val="single" w:sz="24" w:space="0" w:color="auto"/>
            </w:tcBorders>
          </w:tcPr>
          <w:p w14:paraId="17B02EB6" w14:textId="77777777" w:rsidR="00A54604" w:rsidRPr="00A54604" w:rsidRDefault="00A54604" w:rsidP="00A54604">
            <w:pPr>
              <w:tabs>
                <w:tab w:val="left" w:pos="4082"/>
              </w:tabs>
              <w:spacing w:before="120" w:after="360"/>
              <w:rPr>
                <w:rFonts w:ascii="Arial" w:eastAsia="DengXian" w:hAnsi="Arial" w:cs="Arial"/>
                <w:b/>
                <w:lang w:val="en-US"/>
              </w:rPr>
            </w:pPr>
            <w:r w:rsidRPr="00A54604">
              <w:rPr>
                <w:rFonts w:ascii="Arial" w:eastAsia="DengXian" w:hAnsi="Arial" w:cs="Arial"/>
                <w:b/>
                <w:sz w:val="28"/>
                <w:szCs w:val="28"/>
                <w:lang w:val="en-US"/>
              </w:rPr>
              <w:t>Intergovernmental Science-Policy Platform on Biodiversity and Ecosystem Services</w:t>
            </w:r>
          </w:p>
        </w:tc>
        <w:tc>
          <w:tcPr>
            <w:tcW w:w="2236" w:type="dxa"/>
            <w:gridSpan w:val="2"/>
            <w:tcBorders>
              <w:top w:val="single" w:sz="2" w:space="0" w:color="auto"/>
              <w:bottom w:val="single" w:sz="24" w:space="0" w:color="auto"/>
            </w:tcBorders>
          </w:tcPr>
          <w:p w14:paraId="5CFCB49D" w14:textId="48008E60" w:rsidR="00A54604" w:rsidRPr="00937238" w:rsidRDefault="00A54604" w:rsidP="00A54604">
            <w:pPr>
              <w:pStyle w:val="Normal-pool"/>
              <w:spacing w:before="120"/>
              <w:rPr>
                <w:rFonts w:eastAsia="DengXian"/>
              </w:rPr>
            </w:pPr>
            <w:r w:rsidRPr="00937238">
              <w:rPr>
                <w:rFonts w:eastAsia="DengXian"/>
              </w:rPr>
              <w:t xml:space="preserve">Distr.: General </w:t>
            </w:r>
            <w:r w:rsidRPr="00937238">
              <w:rPr>
                <w:rFonts w:eastAsia="DengXian"/>
              </w:rPr>
              <w:br/>
            </w:r>
            <w:r w:rsidR="00937238">
              <w:rPr>
                <w:rFonts w:eastAsia="DengXian"/>
              </w:rPr>
              <w:t>6 May</w:t>
            </w:r>
            <w:r w:rsidRPr="00937238">
              <w:rPr>
                <w:rFonts w:eastAsia="DengXian"/>
              </w:rPr>
              <w:t xml:space="preserve"> 2021</w:t>
            </w:r>
          </w:p>
          <w:p w14:paraId="65A9C339" w14:textId="7378E6BB" w:rsidR="00A54604" w:rsidRPr="00937238" w:rsidRDefault="00A54604" w:rsidP="00A54604">
            <w:pPr>
              <w:pStyle w:val="Normal-pool"/>
              <w:spacing w:before="120"/>
              <w:rPr>
                <w:rFonts w:eastAsia="DengXian"/>
              </w:rPr>
            </w:pPr>
            <w:r w:rsidRPr="00937238">
              <w:rPr>
                <w:rFonts w:eastAsia="DengXian"/>
              </w:rPr>
              <w:t>English</w:t>
            </w:r>
            <w:r w:rsidR="00674A81">
              <w:rPr>
                <w:rFonts w:eastAsia="DengXian"/>
              </w:rPr>
              <w:t xml:space="preserve"> only</w:t>
            </w:r>
          </w:p>
        </w:tc>
      </w:tr>
    </w:tbl>
    <w:p w14:paraId="478C6727" w14:textId="77777777" w:rsidR="00A54604" w:rsidRPr="00A54604" w:rsidRDefault="00A54604" w:rsidP="00D2371C">
      <w:pPr>
        <w:pStyle w:val="AATitle"/>
        <w:rPr>
          <w:rFonts w:eastAsia="DengXian"/>
        </w:rPr>
      </w:pPr>
      <w:r w:rsidRPr="00A54604">
        <w:rPr>
          <w:rFonts w:eastAsia="DengXian"/>
        </w:rPr>
        <w:t xml:space="preserve">Plenary of the Intergovernmental Science-Policy </w:t>
      </w:r>
      <w:r w:rsidRPr="00A54604">
        <w:rPr>
          <w:rFonts w:eastAsia="DengXian"/>
        </w:rPr>
        <w:br/>
        <w:t>Platform on Biodiversity and Ecosystem Services</w:t>
      </w:r>
    </w:p>
    <w:p w14:paraId="705E2F83" w14:textId="77777777" w:rsidR="00A54604" w:rsidRPr="00A54604" w:rsidRDefault="00A54604" w:rsidP="00D2371C">
      <w:pPr>
        <w:pStyle w:val="AATitle"/>
        <w:rPr>
          <w:rFonts w:eastAsia="DengXian"/>
        </w:rPr>
      </w:pPr>
      <w:r w:rsidRPr="00A54604">
        <w:rPr>
          <w:rFonts w:eastAsia="DengXian"/>
        </w:rPr>
        <w:t>Eighth session</w:t>
      </w:r>
    </w:p>
    <w:p w14:paraId="6851A774" w14:textId="77777777" w:rsidR="00A54604" w:rsidRPr="00D2371C" w:rsidRDefault="00A54604" w:rsidP="00D2371C">
      <w:pPr>
        <w:pStyle w:val="AATitle"/>
        <w:rPr>
          <w:rFonts w:eastAsia="DengXian"/>
          <w:b w:val="0"/>
          <w:bCs/>
        </w:rPr>
      </w:pPr>
      <w:r w:rsidRPr="00D2371C">
        <w:rPr>
          <w:rFonts w:eastAsia="DengXian"/>
          <w:b w:val="0"/>
          <w:bCs/>
          <w:lang w:eastAsia="ja-JP"/>
        </w:rPr>
        <w:t>Online, 14–24 June 2021</w:t>
      </w:r>
    </w:p>
    <w:p w14:paraId="5B2E0EE3" w14:textId="77777777" w:rsidR="00765216" w:rsidRPr="00D2371C" w:rsidRDefault="00765216" w:rsidP="00D2371C">
      <w:pPr>
        <w:pStyle w:val="AATitle"/>
        <w:rPr>
          <w:b w:val="0"/>
          <w:bCs/>
        </w:rPr>
      </w:pPr>
      <w:r w:rsidRPr="00D2371C">
        <w:rPr>
          <w:b w:val="0"/>
          <w:bCs/>
        </w:rPr>
        <w:t>Item 7 (a) of the provisional agenda</w:t>
      </w:r>
      <w:r w:rsidRPr="00D2371C">
        <w:rPr>
          <w:b w:val="0"/>
          <w:bCs/>
          <w:szCs w:val="18"/>
        </w:rPr>
        <w:footnoteReference w:customMarkFollows="1" w:id="1"/>
        <w:t>*</w:t>
      </w:r>
    </w:p>
    <w:p w14:paraId="10FDFE7F" w14:textId="1AA19057" w:rsidR="00765216" w:rsidRPr="00B86535" w:rsidRDefault="00765216" w:rsidP="00765216">
      <w:pPr>
        <w:pStyle w:val="AATitle2"/>
        <w:ind w:right="3827"/>
      </w:pPr>
      <w:r>
        <w:t xml:space="preserve">Scoping report for a thematic assessment of the </w:t>
      </w:r>
      <w:r>
        <w:br/>
        <w:t>interlinkages among biodiversity, water, food and health</w:t>
      </w:r>
    </w:p>
    <w:p w14:paraId="7B19146B" w14:textId="68846F10" w:rsidR="00765216" w:rsidRPr="00CC3885" w:rsidRDefault="00765216" w:rsidP="00765216">
      <w:pPr>
        <w:pStyle w:val="BBTitle"/>
      </w:pPr>
      <w:r>
        <w:t>Overview of the process followed for the preparation of the scoping report on assessing the interlinkages among biodiversity, climate, water, food, energy and health (nexus</w:t>
      </w:r>
      <w:r w:rsidR="00937238">
        <w:t> </w:t>
      </w:r>
      <w:r>
        <w:t>assessment)</w:t>
      </w:r>
    </w:p>
    <w:p w14:paraId="0C313540" w14:textId="67BBE21A" w:rsidR="00765216" w:rsidRPr="00087A00" w:rsidRDefault="00765216" w:rsidP="00D2371C">
      <w:pPr>
        <w:pStyle w:val="CH2"/>
      </w:pPr>
      <w:r w:rsidRPr="0031174C">
        <w:tab/>
      </w:r>
      <w:r w:rsidRPr="0031174C">
        <w:tab/>
      </w:r>
      <w:r w:rsidR="00512C6E" w:rsidRPr="00D2371C">
        <w:t>Note by the secretariat</w:t>
      </w:r>
    </w:p>
    <w:p w14:paraId="56D48CC6" w14:textId="620E8843" w:rsidR="00765216" w:rsidRPr="00937238" w:rsidRDefault="00765216" w:rsidP="00D2371C">
      <w:pPr>
        <w:pStyle w:val="Normalnumber"/>
        <w:tabs>
          <w:tab w:val="clear" w:pos="1134"/>
        </w:tabs>
      </w:pPr>
      <w:r w:rsidRPr="007E5C67">
        <w:t xml:space="preserve">In paragraph 2 (a) of section II of decision IPBES-7/1, the Plenary approved the scoping process for a thematic assessment of the interlinkages among biodiversity, water, food and health (nexus </w:t>
      </w:r>
      <w:r w:rsidRPr="00937238">
        <w:t xml:space="preserve">assessment), in accordance with the procedures for the preparation of Platform deliverables set out in annex I to decision IPBES-3/3 and based on the initial scoping report for the assessment, set out in section I of appendix II to document IPBES/7/6. </w:t>
      </w:r>
    </w:p>
    <w:p w14:paraId="33296E6F" w14:textId="2DDDFDDA" w:rsidR="00765216" w:rsidRPr="00937238" w:rsidRDefault="00765216" w:rsidP="00D2371C">
      <w:pPr>
        <w:pStyle w:val="Normalnumber"/>
        <w:tabs>
          <w:tab w:val="clear" w:pos="1134"/>
        </w:tabs>
      </w:pPr>
      <w:r w:rsidRPr="00937238">
        <w:t>In paragraph 3 of section II of decision</w:t>
      </w:r>
      <w:r w:rsidR="001E1464">
        <w:t xml:space="preserve"> IPBES-7/1</w:t>
      </w:r>
      <w:r w:rsidRPr="00937238">
        <w:t>, the Plenary requested the Multidisciplinary Expert Panel, the Bureau and the Executive Secretary to facilitate discussions between the scoping processes for the nexus assessment and the transformative change assessment with a view to maximizing the synergies between the assessments and avoiding duplication of scope. In paragraph 5 of section II, the Plenary decided, as part of the scoping processes for the assessments, to consider how the Platform’s functions of capacity</w:t>
      </w:r>
      <w:r w:rsidRPr="00937238">
        <w:noBreakHyphen/>
        <w:t>building, strengthening knowledge foundations and supporting policy, and the respective task forces, could be used to support the preparation, delivery and policy uptake of the assessments in an integrated manner.</w:t>
      </w:r>
    </w:p>
    <w:p w14:paraId="577E5E62" w14:textId="1D199E5E" w:rsidR="00765216" w:rsidRPr="00937238" w:rsidRDefault="00765216" w:rsidP="00D2371C">
      <w:pPr>
        <w:pStyle w:val="Normalnumber"/>
        <w:tabs>
          <w:tab w:val="clear" w:pos="1134"/>
        </w:tabs>
      </w:pPr>
      <w:r w:rsidRPr="00937238">
        <w:t xml:space="preserve">In the light of the extraordinary situation caused by the </w:t>
      </w:r>
      <w:r w:rsidR="00CA7341">
        <w:t>coronavirus disease (</w:t>
      </w:r>
      <w:r w:rsidRPr="00937238">
        <w:t>COVID-19</w:t>
      </w:r>
      <w:r w:rsidR="00CA7341">
        <w:t>)</w:t>
      </w:r>
      <w:r w:rsidRPr="00937238">
        <w:t xml:space="preserve"> pandemic, the Bureau and Multidisciplinary Expert Panel approved a</w:t>
      </w:r>
      <w:r w:rsidR="00D605CB">
        <w:t>n online</w:t>
      </w:r>
      <w:r w:rsidRPr="00937238">
        <w:t xml:space="preserve"> Platform workshop on the link between</w:t>
      </w:r>
      <w:r w:rsidR="00D605CB">
        <w:t xml:space="preserve"> biodiversity and</w:t>
      </w:r>
      <w:r w:rsidRPr="00937238">
        <w:t xml:space="preserve"> pandemics, intended mainly</w:t>
      </w:r>
      <w:r w:rsidR="00021FE1">
        <w:t xml:space="preserve"> to</w:t>
      </w:r>
      <w:r w:rsidRPr="00937238">
        <w:t xml:space="preserve"> support the scoping of the nexus assessment on that topic. </w:t>
      </w:r>
    </w:p>
    <w:p w14:paraId="25F7A913" w14:textId="7ADD43ED" w:rsidR="00765216" w:rsidRPr="00937238" w:rsidRDefault="00765216" w:rsidP="00D2371C">
      <w:pPr>
        <w:pStyle w:val="Normalnumber"/>
        <w:tabs>
          <w:tab w:val="clear" w:pos="1134"/>
        </w:tabs>
      </w:pPr>
      <w:r w:rsidRPr="00937238">
        <w:t xml:space="preserve">The workshop on biodiversity and climate change, co-sponsored by </w:t>
      </w:r>
      <w:r w:rsidR="004976DF">
        <w:t xml:space="preserve">the </w:t>
      </w:r>
      <w:r w:rsidRPr="00937238">
        <w:t>I</w:t>
      </w:r>
      <w:r w:rsidR="004976DF">
        <w:t xml:space="preserve">ntergovernmental </w:t>
      </w:r>
      <w:r w:rsidRPr="00937238">
        <w:t>P</w:t>
      </w:r>
      <w:r w:rsidR="004976DF">
        <w:t xml:space="preserve">anel on </w:t>
      </w:r>
      <w:r w:rsidRPr="00937238">
        <w:t>C</w:t>
      </w:r>
      <w:r w:rsidR="004976DF">
        <w:t xml:space="preserve">limate </w:t>
      </w:r>
      <w:r w:rsidRPr="00937238">
        <w:t>C</w:t>
      </w:r>
      <w:r w:rsidR="004976DF">
        <w:t>hange</w:t>
      </w:r>
      <w:r w:rsidRPr="00937238">
        <w:t xml:space="preserve"> and IPBES</w:t>
      </w:r>
      <w:r w:rsidR="00E2541E">
        <w:t>,</w:t>
      </w:r>
      <w:r w:rsidRPr="00937238">
        <w:t xml:space="preserve"> was also </w:t>
      </w:r>
      <w:r w:rsidR="00E2541E">
        <w:t>intended</w:t>
      </w:r>
      <w:r w:rsidR="00E2541E" w:rsidRPr="00937238">
        <w:t xml:space="preserve"> </w:t>
      </w:r>
      <w:r w:rsidRPr="00937238">
        <w:t xml:space="preserve">to support the scoping of the nexus assessment on that topic. </w:t>
      </w:r>
    </w:p>
    <w:p w14:paraId="291DFEB8" w14:textId="3167AFFB" w:rsidR="00765216" w:rsidRPr="00883A09" w:rsidRDefault="00765216" w:rsidP="00D2371C">
      <w:pPr>
        <w:pStyle w:val="Normalnumber"/>
        <w:tabs>
          <w:tab w:val="clear" w:pos="1134"/>
        </w:tabs>
      </w:pPr>
      <w:bookmarkStart w:id="0" w:name="_Hlk70878102"/>
      <w:r w:rsidRPr="00937238">
        <w:t>The scoping report</w:t>
      </w:r>
      <w:r w:rsidR="00E05463">
        <w:t>, as</w:t>
      </w:r>
      <w:r w:rsidR="00E05463" w:rsidRPr="00937238">
        <w:t xml:space="preserve"> set out in document IPBES/8/3</w:t>
      </w:r>
      <w:r w:rsidR="00E05463">
        <w:t>, is</w:t>
      </w:r>
      <w:r w:rsidRPr="00937238">
        <w:t xml:space="preserve"> presented to the Plenary for </w:t>
      </w:r>
      <w:r w:rsidR="00021FE1">
        <w:t xml:space="preserve">its consideration and </w:t>
      </w:r>
      <w:r w:rsidRPr="00937238">
        <w:t>approval. The annex to the present</w:t>
      </w:r>
      <w:r w:rsidRPr="00883A09">
        <w:t xml:space="preserve"> note, which is presented without formal editing, sets out an overview of the process followed for the scoping of the nexus assessment.</w:t>
      </w:r>
    </w:p>
    <w:bookmarkEnd w:id="0"/>
    <w:p w14:paraId="5A3C54AF" w14:textId="77777777" w:rsidR="00937238" w:rsidRDefault="00937238" w:rsidP="00937238">
      <w:pPr>
        <w:pStyle w:val="Normal-pool"/>
        <w:sectPr w:rsidR="00937238" w:rsidSect="00F46532">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pPr>
    </w:p>
    <w:p w14:paraId="7EC190E3" w14:textId="67BE545D" w:rsidR="00765216" w:rsidRDefault="00765216" w:rsidP="00765216">
      <w:pPr>
        <w:pStyle w:val="ZZAnxheader"/>
      </w:pPr>
      <w:r>
        <w:lastRenderedPageBreak/>
        <w:t>Annex</w:t>
      </w:r>
    </w:p>
    <w:p w14:paraId="62E04F92" w14:textId="2CBC0308" w:rsidR="00765216" w:rsidRPr="00CC3885" w:rsidRDefault="00765216" w:rsidP="00765216">
      <w:pPr>
        <w:pStyle w:val="BBTitle"/>
      </w:pPr>
      <w:bookmarkStart w:id="1" w:name="_Hlk70878160"/>
      <w:r>
        <w:t>Overview of the process followed for the preparation of the scoping report on assessing the interlinkages among biodiversity, climate, water, food, energy and health (nexus</w:t>
      </w:r>
      <w:r w:rsidR="00422AD8">
        <w:t> </w:t>
      </w:r>
      <w:r>
        <w:t>assessment)</w:t>
      </w:r>
    </w:p>
    <w:p w14:paraId="52597EA9" w14:textId="4C82C6A6" w:rsidR="00765216" w:rsidRDefault="00937238" w:rsidP="00937238">
      <w:pPr>
        <w:pStyle w:val="CH1"/>
      </w:pPr>
      <w:r>
        <w:tab/>
        <w:t>I.</w:t>
      </w:r>
      <w:r>
        <w:tab/>
      </w:r>
      <w:r w:rsidR="00765216">
        <w:t>Context</w:t>
      </w:r>
    </w:p>
    <w:p w14:paraId="4E5D0571" w14:textId="069F7C27" w:rsidR="00765216" w:rsidRPr="00703726" w:rsidRDefault="00765216" w:rsidP="004A1246">
      <w:pPr>
        <w:pStyle w:val="Normalnumber"/>
        <w:numPr>
          <w:ilvl w:val="0"/>
          <w:numId w:val="7"/>
        </w:numPr>
        <w:tabs>
          <w:tab w:val="clear" w:pos="1134"/>
        </w:tabs>
      </w:pPr>
      <w:r w:rsidRPr="00703726">
        <w:t>In its decision IPBES-7/1, the Plenary adopted the rolling work programme of IPBES up to 2030. The work programme includes three initial priority topics, including</w:t>
      </w:r>
      <w:r>
        <w:t xml:space="preserve"> topic 1,</w:t>
      </w:r>
      <w:r w:rsidRPr="00703726">
        <w:t xml:space="preserve"> </w:t>
      </w:r>
      <w:r>
        <w:rPr>
          <w:i/>
          <w:iCs/>
        </w:rPr>
        <w:t>U</w:t>
      </w:r>
      <w:r w:rsidRPr="00703726">
        <w:rPr>
          <w:i/>
          <w:iCs/>
        </w:rPr>
        <w:t>nderstanding the importance of biodiversity in achieving the 2030 Agenda for Sustainable Development</w:t>
      </w:r>
      <w:r w:rsidRPr="00703726">
        <w:t xml:space="preserve">: </w:t>
      </w:r>
      <w:r w:rsidRPr="00703726">
        <w:rPr>
          <w:i/>
          <w:iCs/>
        </w:rPr>
        <w:t xml:space="preserve">Addressing the nature of the interlinkages between biodiversity and other relevant issues reflected in the 2030 Agenda may advance the understanding of biodiversity-related impacts, dependencies, synergies and </w:t>
      </w:r>
      <w:r w:rsidR="00D2371C">
        <w:rPr>
          <w:i/>
          <w:iCs/>
        </w:rPr>
        <w:br/>
      </w:r>
      <w:r w:rsidRPr="00703726">
        <w:rPr>
          <w:i/>
          <w:iCs/>
        </w:rPr>
        <w:t>trade-offs across the Sustainable Development Goals and of options for integrated and cross-sectoral approaches to achieving the 2030 Agenda. To address this challenge, the deliverables under this topic will look, in particular, at the interlinkages among biodiversity, water, food and health and between biodiversity and climate change, with a view to informing the development of policies and actions. Other aspects may include the role of connectivity in ensuring integrity and resilience in socioecological systems.</w:t>
      </w:r>
      <w:r w:rsidRPr="00703726">
        <w:t xml:space="preserve"> </w:t>
      </w:r>
    </w:p>
    <w:p w14:paraId="61A6970A" w14:textId="77777777" w:rsidR="00765216" w:rsidRPr="00703726" w:rsidRDefault="00765216" w:rsidP="004A1246">
      <w:pPr>
        <w:pStyle w:val="Normalnumber"/>
        <w:numPr>
          <w:ilvl w:val="0"/>
          <w:numId w:val="7"/>
        </w:numPr>
        <w:tabs>
          <w:tab w:val="clear" w:pos="1134"/>
        </w:tabs>
      </w:pPr>
      <w:r w:rsidRPr="00703726">
        <w:t xml:space="preserve">Objective 1 of the rolling work programme, assessing knowledge, aims to assess the state of knowledge on biodiversity and nature’s contributions to people in support of sustainable development. Deliverable 1 (a) under this objective, corresponding to the first priority topic set out in the previous paragraph, is </w:t>
      </w:r>
      <w:r w:rsidRPr="00703726">
        <w:rPr>
          <w:i/>
          <w:iCs/>
        </w:rPr>
        <w:t>a thematic assessment of the interlinkages among biodiversity, water, food and health</w:t>
      </w:r>
      <w:r w:rsidRPr="00703726">
        <w:t>, which is described as follows: In support of topic 1, understanding the importance of biodiversity in achieving the 2030 Agenda for Sustainable Development, this assessment will use a nexus approach to examine interlinkages between biodiversity and the above-mentioned issues, such as agricultural productivity, nutrition, pest control, water quality, infectious diseases, mental and physical health and climate mitigation and adaptation, with a view to providing policy-relevant and useful information to users and managers regarding the development of policies and actions in relevant sectors.</w:t>
      </w:r>
    </w:p>
    <w:p w14:paraId="4EFD566A" w14:textId="77777777" w:rsidR="00765216" w:rsidRPr="00703726" w:rsidRDefault="00765216" w:rsidP="00765216">
      <w:pPr>
        <w:pStyle w:val="CH1"/>
      </w:pPr>
      <w:r w:rsidRPr="00703726">
        <w:tab/>
        <w:t>II.</w:t>
      </w:r>
      <w:r w:rsidRPr="00703726">
        <w:tab/>
        <w:t>Online conference to seek early input into the scoping process</w:t>
      </w:r>
    </w:p>
    <w:p w14:paraId="67E8FD0B" w14:textId="77777777" w:rsidR="00765216" w:rsidRDefault="00765216" w:rsidP="004A1246">
      <w:pPr>
        <w:pStyle w:val="Normalnumber"/>
        <w:numPr>
          <w:ilvl w:val="0"/>
          <w:numId w:val="7"/>
        </w:numPr>
        <w:tabs>
          <w:tab w:val="clear" w:pos="1134"/>
        </w:tabs>
      </w:pPr>
      <w:r>
        <w:t>In order to provide Governments and other stakeholders with an opportunity to provide early input to the scoping process to increase the policy-relevance of the assessment, a</w:t>
      </w:r>
      <w:r w:rsidRPr="001E5360">
        <w:t xml:space="preserve">n online conference </w:t>
      </w:r>
      <w:r>
        <w:t xml:space="preserve">was held </w:t>
      </w:r>
      <w:r w:rsidRPr="001E5360">
        <w:t xml:space="preserve">from 30 September to 2 October 2019 (see notification </w:t>
      </w:r>
      <w:hyperlink r:id="rId18" w:history="1">
        <w:r w:rsidRPr="007F638D">
          <w:rPr>
            <w:rStyle w:val="Hyperlink"/>
            <w:u w:val="single"/>
            <w:lang w:val="en-US"/>
          </w:rPr>
          <w:t>EM/2019/17</w:t>
        </w:r>
      </w:hyperlink>
      <w:r w:rsidRPr="001E5360">
        <w:t>)</w:t>
      </w:r>
      <w:r>
        <w:t xml:space="preserve">. The online conference was open to all interested stakeholders. </w:t>
      </w:r>
    </w:p>
    <w:p w14:paraId="70407558" w14:textId="77777777" w:rsidR="00765216" w:rsidRDefault="00765216" w:rsidP="004A1246">
      <w:pPr>
        <w:pStyle w:val="Normalnumber"/>
        <w:numPr>
          <w:ilvl w:val="0"/>
          <w:numId w:val="7"/>
        </w:numPr>
        <w:tabs>
          <w:tab w:val="clear" w:pos="1134"/>
        </w:tabs>
      </w:pPr>
      <w:r>
        <w:t xml:space="preserve">The online conference was held over three days. Each day started with a presentation by an expert on a sub-theme relevant to the assessment, followed by a live session where participants were able to ask questions and present elements which they considered relevant to the assessment. Following each live session, participants had the opportunity to provide further written inputs through an online forum. </w:t>
      </w:r>
    </w:p>
    <w:p w14:paraId="73E2B5D0" w14:textId="77777777" w:rsidR="00765216" w:rsidRDefault="00765216" w:rsidP="004A1246">
      <w:pPr>
        <w:pStyle w:val="Normalnumber"/>
        <w:numPr>
          <w:ilvl w:val="0"/>
          <w:numId w:val="7"/>
        </w:numPr>
        <w:tabs>
          <w:tab w:val="clear" w:pos="1134"/>
        </w:tabs>
      </w:pPr>
      <w:r w:rsidRPr="00AB44CF">
        <w:t xml:space="preserve">A total of 125 individuals attended the </w:t>
      </w:r>
      <w:r>
        <w:t xml:space="preserve">online </w:t>
      </w:r>
      <w:r w:rsidRPr="00AB44CF">
        <w:t>conference.</w:t>
      </w:r>
      <w:r>
        <w:t xml:space="preserve"> </w:t>
      </w:r>
      <w:r w:rsidRPr="00AB44CF">
        <w:t>Among the individuals, 12% were from Africa, 11% were from Asia-Pacific, 6% were from Eastern Europe, 12% were from Latin America and the Caribbean and 60% were from Western Europe and Other Groups region.</w:t>
      </w:r>
      <w:r w:rsidRPr="00796F4B">
        <w:t xml:space="preserve"> </w:t>
      </w:r>
      <w:r>
        <w:t>The input collected through the online conference was summarized in brief reports that were made available to the experts assisting with the scoping during the online scoping meeting.</w:t>
      </w:r>
    </w:p>
    <w:p w14:paraId="5B65EEB6" w14:textId="4E764B93" w:rsidR="00765216" w:rsidRPr="00796F4B" w:rsidRDefault="00765216" w:rsidP="00765216">
      <w:pPr>
        <w:keepNext/>
        <w:tabs>
          <w:tab w:val="right" w:pos="851"/>
        </w:tabs>
        <w:spacing w:before="120" w:after="120"/>
        <w:ind w:left="1253" w:right="284" w:hanging="1247"/>
        <w:rPr>
          <w:b/>
          <w:sz w:val="28"/>
          <w:szCs w:val="28"/>
          <w:lang w:val="en-GB"/>
        </w:rPr>
      </w:pPr>
      <w:r>
        <w:rPr>
          <w:b/>
          <w:sz w:val="28"/>
          <w:szCs w:val="28"/>
          <w:lang w:val="en-GB"/>
        </w:rPr>
        <w:tab/>
      </w:r>
      <w:r w:rsidRPr="00796F4B">
        <w:rPr>
          <w:b/>
          <w:sz w:val="28"/>
          <w:szCs w:val="28"/>
          <w:lang w:val="en-GB"/>
        </w:rPr>
        <w:t>I</w:t>
      </w:r>
      <w:r w:rsidR="00422AD8">
        <w:rPr>
          <w:b/>
          <w:sz w:val="28"/>
          <w:szCs w:val="28"/>
          <w:lang w:val="en-GB"/>
        </w:rPr>
        <w:t>I</w:t>
      </w:r>
      <w:r w:rsidRPr="00796F4B">
        <w:rPr>
          <w:b/>
          <w:sz w:val="28"/>
          <w:szCs w:val="28"/>
          <w:lang w:val="en-GB"/>
        </w:rPr>
        <w:t>I.</w:t>
      </w:r>
      <w:r w:rsidRPr="00796F4B">
        <w:rPr>
          <w:b/>
          <w:sz w:val="28"/>
          <w:szCs w:val="28"/>
          <w:lang w:val="en-GB"/>
        </w:rPr>
        <w:tab/>
        <w:t>The scoping team</w:t>
      </w:r>
    </w:p>
    <w:p w14:paraId="7083A996" w14:textId="600DAFA2" w:rsidR="00765216" w:rsidRPr="00796F4B" w:rsidRDefault="00765216" w:rsidP="001807E4">
      <w:pPr>
        <w:pStyle w:val="CH2"/>
      </w:pPr>
      <w:r w:rsidRPr="00796F4B">
        <w:tab/>
        <w:t>A.</w:t>
      </w:r>
      <w:r w:rsidR="001807E4">
        <w:tab/>
      </w:r>
      <w:r w:rsidR="001807E4" w:rsidRPr="001807E4">
        <w:t>D</w:t>
      </w:r>
      <w:r w:rsidRPr="001807E4">
        <w:t>edicated</w:t>
      </w:r>
      <w:r w:rsidRPr="00796F4B">
        <w:t xml:space="preserve"> Multidisciplinary Expert Panel and Bureau members</w:t>
      </w:r>
    </w:p>
    <w:p w14:paraId="060DC7CC" w14:textId="77777777" w:rsidR="00765216" w:rsidRPr="00BC6795" w:rsidRDefault="00765216" w:rsidP="004A1246">
      <w:pPr>
        <w:pStyle w:val="Normalnumber"/>
        <w:numPr>
          <w:ilvl w:val="0"/>
          <w:numId w:val="7"/>
        </w:numPr>
        <w:tabs>
          <w:tab w:val="clear" w:pos="1134"/>
        </w:tabs>
        <w:rPr>
          <w:b/>
          <w:lang w:val="en-US"/>
        </w:rPr>
      </w:pPr>
      <w:r w:rsidRPr="00796F4B">
        <w:t>In line with the procedures for the preparation of IPBES deliverables (decision IPBES-3/3, annex I</w:t>
      </w:r>
      <w:r>
        <w:t>, section 3.4</w:t>
      </w:r>
      <w:r w:rsidRPr="00796F4B">
        <w:t>), the</w:t>
      </w:r>
      <w:r>
        <w:t xml:space="preserve"> Multidisciplinary Expert Panel oversaw the scoping process, with the Bureau responsible for the procedural and administrative elements of the scoping process. The following </w:t>
      </w:r>
      <w:r w:rsidRPr="00796F4B">
        <w:t xml:space="preserve">members of the Multidisciplinary Expert Panel and Bureau </w:t>
      </w:r>
      <w:r>
        <w:t xml:space="preserve">constituted the management committee for the scoping process and </w:t>
      </w:r>
      <w:r w:rsidRPr="00796F4B">
        <w:t xml:space="preserve">oversaw the </w:t>
      </w:r>
      <w:r>
        <w:t xml:space="preserve">preparation of the scoping report </w:t>
      </w:r>
      <w:r w:rsidRPr="00796F4B">
        <w:t xml:space="preserve">on behalf of the Panel and the Bureau: </w:t>
      </w:r>
    </w:p>
    <w:p w14:paraId="59B68A97" w14:textId="77777777" w:rsidR="00765216" w:rsidRPr="00BC6795" w:rsidRDefault="00765216" w:rsidP="00300402">
      <w:pPr>
        <w:pStyle w:val="Normalnumber"/>
        <w:numPr>
          <w:ilvl w:val="1"/>
          <w:numId w:val="5"/>
        </w:numPr>
        <w:tabs>
          <w:tab w:val="clear" w:pos="567"/>
        </w:tabs>
        <w:ind w:firstLine="624"/>
        <w:rPr>
          <w:lang w:val="en-US"/>
        </w:rPr>
      </w:pPr>
      <w:r w:rsidRPr="00BC6795">
        <w:rPr>
          <w:b/>
          <w:lang w:val="en-US"/>
        </w:rPr>
        <w:lastRenderedPageBreak/>
        <w:t>Multidisciplinary Expert Panel:</w:t>
      </w:r>
      <w:r>
        <w:rPr>
          <w:b/>
          <w:lang w:val="en-US"/>
        </w:rPr>
        <w:t xml:space="preserve"> </w:t>
      </w:r>
      <w:r>
        <w:t xml:space="preserve">Isabel Sousa Pinto, Judith Fisher, </w:t>
      </w:r>
      <w:r w:rsidRPr="00BC6795">
        <w:rPr>
          <w:lang w:val="en-US"/>
        </w:rPr>
        <w:t xml:space="preserve">Katalin </w:t>
      </w:r>
      <w:proofErr w:type="spellStart"/>
      <w:r w:rsidRPr="00BC6795">
        <w:rPr>
          <w:lang w:val="en-US"/>
        </w:rPr>
        <w:t>Török</w:t>
      </w:r>
      <w:proofErr w:type="spellEnd"/>
      <w:r w:rsidRPr="00BC6795">
        <w:rPr>
          <w:lang w:val="en-US"/>
        </w:rPr>
        <w:t xml:space="preserve">, Dorothy </w:t>
      </w:r>
      <w:proofErr w:type="spellStart"/>
      <w:r w:rsidRPr="00BC6795">
        <w:rPr>
          <w:lang w:val="en-US"/>
        </w:rPr>
        <w:t>Nyingi</w:t>
      </w:r>
      <w:proofErr w:type="spellEnd"/>
      <w:r w:rsidRPr="00BC6795">
        <w:rPr>
          <w:lang w:val="en-US"/>
        </w:rPr>
        <w:t xml:space="preserve"> (alternate)</w:t>
      </w:r>
      <w:r>
        <w:rPr>
          <w:lang w:val="en-US"/>
        </w:rPr>
        <w:t>;</w:t>
      </w:r>
    </w:p>
    <w:p w14:paraId="4AEFA682" w14:textId="77777777" w:rsidR="00765216" w:rsidRDefault="00765216" w:rsidP="00300402">
      <w:pPr>
        <w:pStyle w:val="Normalnumber"/>
        <w:numPr>
          <w:ilvl w:val="1"/>
          <w:numId w:val="5"/>
        </w:numPr>
        <w:tabs>
          <w:tab w:val="clear" w:pos="567"/>
        </w:tabs>
        <w:ind w:firstLine="624"/>
      </w:pPr>
      <w:r w:rsidRPr="00BC6795">
        <w:rPr>
          <w:b/>
          <w:lang w:val="en-US"/>
        </w:rPr>
        <w:t>Bureau</w:t>
      </w:r>
      <w:r w:rsidRPr="00BC6795">
        <w:rPr>
          <w:lang w:val="en-US"/>
        </w:rPr>
        <w:t xml:space="preserve">: </w:t>
      </w:r>
      <w:r>
        <w:t xml:space="preserve">Douglas Beard, Hamid </w:t>
      </w:r>
      <w:proofErr w:type="spellStart"/>
      <w:r>
        <w:t>Custovic</w:t>
      </w:r>
      <w:proofErr w:type="spellEnd"/>
      <w:r>
        <w:t>.</w:t>
      </w:r>
    </w:p>
    <w:p w14:paraId="66D3B964" w14:textId="77777777" w:rsidR="00765216" w:rsidRPr="00796F4B" w:rsidRDefault="00765216" w:rsidP="004A1246">
      <w:pPr>
        <w:pStyle w:val="Normalnumber"/>
        <w:numPr>
          <w:ilvl w:val="0"/>
          <w:numId w:val="7"/>
        </w:numPr>
        <w:tabs>
          <w:tab w:val="clear" w:pos="1134"/>
        </w:tabs>
      </w:pPr>
      <w:r w:rsidRPr="00796F4B">
        <w:t xml:space="preserve">Management committee meetings were held remotely at regular intervals. </w:t>
      </w:r>
    </w:p>
    <w:p w14:paraId="637C2E4F" w14:textId="1DC88817" w:rsidR="00765216" w:rsidRPr="003E7E58" w:rsidRDefault="00765216" w:rsidP="00765216">
      <w:pPr>
        <w:pStyle w:val="CH2"/>
        <w:rPr>
          <w:highlight w:val="yellow"/>
        </w:rPr>
      </w:pPr>
      <w:r>
        <w:tab/>
      </w:r>
      <w:r w:rsidRPr="007A5732">
        <w:t>B.</w:t>
      </w:r>
      <w:r w:rsidRPr="007A5732">
        <w:tab/>
      </w:r>
      <w:r w:rsidR="00937238">
        <w:tab/>
      </w:r>
      <w:r w:rsidRPr="007A5732">
        <w:t>Experts assisting the Multidisciplinary Expert Panel with the scoping</w:t>
      </w:r>
    </w:p>
    <w:p w14:paraId="2E0965A4" w14:textId="77777777" w:rsidR="00765216" w:rsidRPr="00085713" w:rsidRDefault="00765216" w:rsidP="004A1246">
      <w:pPr>
        <w:pStyle w:val="Normalnumber"/>
        <w:numPr>
          <w:ilvl w:val="0"/>
          <w:numId w:val="7"/>
        </w:numPr>
        <w:tabs>
          <w:tab w:val="clear" w:pos="1134"/>
        </w:tabs>
        <w:rPr>
          <w:rFonts w:eastAsia="MS Mincho"/>
        </w:rPr>
      </w:pPr>
      <w:r w:rsidRPr="007A5732">
        <w:rPr>
          <w:rFonts w:eastAsia="MS Mincho"/>
        </w:rPr>
        <w:t>Based on the criteria outlined in the call for the nomination of experts (</w:t>
      </w:r>
      <w:hyperlink r:id="rId19" w:history="1">
        <w:r w:rsidRPr="00085713">
          <w:t>EM/2019/14</w:t>
        </w:r>
      </w:hyperlink>
      <w:r w:rsidRPr="00085713">
        <w:t>)</w:t>
      </w:r>
      <w:r w:rsidRPr="007A5732">
        <w:rPr>
          <w:rFonts w:eastAsia="MS Mincho"/>
        </w:rPr>
        <w:t>, the Multidisciplinary Expert Panel, in consultation with the Bureau, selected, at its 14</w:t>
      </w:r>
      <w:r w:rsidRPr="0047357E">
        <w:rPr>
          <w:rFonts w:eastAsia="MS Mincho"/>
          <w:vertAlign w:val="superscript"/>
        </w:rPr>
        <w:t>th</w:t>
      </w:r>
      <w:r>
        <w:rPr>
          <w:rFonts w:eastAsia="MS Mincho"/>
        </w:rPr>
        <w:t xml:space="preserve"> </w:t>
      </w:r>
      <w:r w:rsidRPr="007A5732">
        <w:rPr>
          <w:rFonts w:eastAsia="MS Mincho"/>
        </w:rPr>
        <w:t xml:space="preserve">meeting, a </w:t>
      </w:r>
      <w:r w:rsidRPr="00085713">
        <w:rPr>
          <w:rFonts w:eastAsia="MS Mincho"/>
        </w:rPr>
        <w:t xml:space="preserve">group of experts responsible for assisting with the scoping of the nexus assessment. The Multidisciplinary Expert Panel also mandated the management committee of the scoping process to select, for endorsement by the full Multidisciplinary Expert Panel, experts to fill gaps in expertise </w:t>
      </w:r>
      <w:r>
        <w:rPr>
          <w:rFonts w:eastAsia="MS Mincho"/>
        </w:rPr>
        <w:t>i</w:t>
      </w:r>
      <w:r w:rsidRPr="00085713">
        <w:rPr>
          <w:rFonts w:eastAsia="MS Mincho"/>
        </w:rPr>
        <w:t xml:space="preserve">n marine fisheries, freshwater fisheries, aquaculture, emerging agricultural practices and traditional medicines. The final list of 47 selected experts is set out in the appendix. </w:t>
      </w:r>
    </w:p>
    <w:p w14:paraId="398D0F5B" w14:textId="77777777" w:rsidR="00765216" w:rsidRPr="00942139" w:rsidRDefault="00765216" w:rsidP="004A1246">
      <w:pPr>
        <w:pStyle w:val="Normalnumber"/>
        <w:numPr>
          <w:ilvl w:val="0"/>
          <w:numId w:val="7"/>
        </w:numPr>
        <w:tabs>
          <w:tab w:val="clear" w:pos="1134"/>
        </w:tabs>
        <w:rPr>
          <w:rFonts w:eastAsia="MS Mincho"/>
        </w:rPr>
      </w:pPr>
      <w:r w:rsidRPr="00937238">
        <w:t>Of</w:t>
      </w:r>
      <w:r w:rsidRPr="00942139">
        <w:rPr>
          <w:rFonts w:eastAsia="MS Mincho"/>
        </w:rPr>
        <w:t xml:space="preserve"> the selected experts, 19% came from African States, 17% from Asia-Pacific States, 8% from Eastern European States, 11% from Latin American and Caribbean States and 45% from Western European and other States. 45% of the experts were female; 55% male. 8</w:t>
      </w:r>
      <w:r>
        <w:rPr>
          <w:rFonts w:eastAsia="MS Mincho"/>
        </w:rPr>
        <w:t>3</w:t>
      </w:r>
      <w:r w:rsidRPr="00942139">
        <w:rPr>
          <w:rFonts w:eastAsia="MS Mincho"/>
        </w:rPr>
        <w:t>% of the selected experts were nominated by governments; 1</w:t>
      </w:r>
      <w:r>
        <w:rPr>
          <w:rFonts w:eastAsia="MS Mincho"/>
        </w:rPr>
        <w:t>7</w:t>
      </w:r>
      <w:r w:rsidRPr="00942139">
        <w:rPr>
          <w:rFonts w:eastAsia="MS Mincho"/>
        </w:rPr>
        <w:t xml:space="preserve">% by organizations. </w:t>
      </w:r>
    </w:p>
    <w:p w14:paraId="7392FA89" w14:textId="24C54B1E" w:rsidR="00765216" w:rsidRPr="00250843" w:rsidRDefault="00765216" w:rsidP="00765216">
      <w:pPr>
        <w:pStyle w:val="CH1"/>
      </w:pPr>
      <w:r w:rsidRPr="00250843">
        <w:tab/>
        <w:t>I</w:t>
      </w:r>
      <w:r w:rsidR="00422AD8">
        <w:t>V</w:t>
      </w:r>
      <w:r w:rsidRPr="00250843">
        <w:t>.</w:t>
      </w:r>
      <w:r w:rsidRPr="00250843">
        <w:tab/>
        <w:t>Scoping process</w:t>
      </w:r>
    </w:p>
    <w:p w14:paraId="68A249DC" w14:textId="1B8D7B86" w:rsidR="00765216" w:rsidRPr="00250843" w:rsidRDefault="00765216" w:rsidP="00765216">
      <w:pPr>
        <w:pStyle w:val="CH2"/>
      </w:pPr>
      <w:r w:rsidRPr="00250843">
        <w:tab/>
        <w:t>A.</w:t>
      </w:r>
      <w:r w:rsidRPr="00250843">
        <w:tab/>
      </w:r>
      <w:r w:rsidR="00937238">
        <w:tab/>
      </w:r>
      <w:r w:rsidRPr="00250843">
        <w:t>Online scoping meeting</w:t>
      </w:r>
    </w:p>
    <w:p w14:paraId="34F872EF" w14:textId="77777777" w:rsidR="00765216" w:rsidRDefault="00765216" w:rsidP="004A1246">
      <w:pPr>
        <w:pStyle w:val="Normalnumber"/>
        <w:numPr>
          <w:ilvl w:val="0"/>
          <w:numId w:val="7"/>
        </w:numPr>
        <w:tabs>
          <w:tab w:val="clear" w:pos="1134"/>
        </w:tabs>
      </w:pPr>
      <w:r>
        <w:t xml:space="preserve">In light of the COVID-19 pandemic, it was decided to hold the </w:t>
      </w:r>
      <w:r w:rsidRPr="008968C0">
        <w:t>scoping meeting</w:t>
      </w:r>
      <w:r>
        <w:t xml:space="preserve"> online from 23 March to 3 April 2020. </w:t>
      </w:r>
    </w:p>
    <w:p w14:paraId="3A5E17E3" w14:textId="77777777" w:rsidR="00765216" w:rsidRDefault="00765216" w:rsidP="004A1246">
      <w:pPr>
        <w:pStyle w:val="Normalnumber"/>
        <w:numPr>
          <w:ilvl w:val="0"/>
          <w:numId w:val="7"/>
        </w:numPr>
        <w:tabs>
          <w:tab w:val="clear" w:pos="1134"/>
        </w:tabs>
      </w:pPr>
      <w:r>
        <w:t>Following the selection of experts, a series of three teleconferences were convened on 5 and 20 February and 18 March 2020, involving a subset of authors and the management committee members to prepare for the online scoping meeting and to develop a draft chapter outline as a basis for discussion during that meeting.</w:t>
      </w:r>
    </w:p>
    <w:p w14:paraId="46C729DE" w14:textId="77777777" w:rsidR="00765216" w:rsidRPr="004C1605" w:rsidRDefault="00765216" w:rsidP="004A1246">
      <w:pPr>
        <w:pStyle w:val="Normalnumber"/>
        <w:numPr>
          <w:ilvl w:val="0"/>
          <w:numId w:val="7"/>
        </w:numPr>
        <w:tabs>
          <w:tab w:val="clear" w:pos="1134"/>
        </w:tabs>
      </w:pPr>
      <w:r>
        <w:t xml:space="preserve">The main objectives of the scoping meeting were to introduce scoping experts to IPBES and each other, to develop, in dedicated breakout sessions, the chapter outline, to develop chapter descriptions and to develop the policy-relevant questions to be included in the final scoping document. </w:t>
      </w:r>
    </w:p>
    <w:p w14:paraId="619E11A6" w14:textId="77777777" w:rsidR="00765216" w:rsidRDefault="00765216" w:rsidP="004A1246">
      <w:pPr>
        <w:pStyle w:val="Normalnumber"/>
        <w:numPr>
          <w:ilvl w:val="0"/>
          <w:numId w:val="7"/>
        </w:numPr>
        <w:tabs>
          <w:tab w:val="clear" w:pos="1134"/>
        </w:tabs>
      </w:pPr>
      <w:r>
        <w:t>Following</w:t>
      </w:r>
      <w:r w:rsidRPr="00CA74B3">
        <w:t xml:space="preserve"> the </w:t>
      </w:r>
      <w:r>
        <w:t xml:space="preserve">online </w:t>
      </w:r>
      <w:r w:rsidRPr="00CA74B3">
        <w:t xml:space="preserve">scoping meeting, </w:t>
      </w:r>
      <w:r>
        <w:t xml:space="preserve">a draft of the scoping report was prepared and reviewed by all experts during </w:t>
      </w:r>
      <w:r w:rsidRPr="00CA74B3">
        <w:t xml:space="preserve">two rounds of internal review </w:t>
      </w:r>
      <w:r>
        <w:t>(</w:t>
      </w:r>
      <w:r w:rsidRPr="00CA74B3">
        <w:t>3 to 10</w:t>
      </w:r>
      <w:r>
        <w:t> </w:t>
      </w:r>
      <w:r w:rsidRPr="00CA74B3">
        <w:t>April and 26 April to 3 May</w:t>
      </w:r>
      <w:r>
        <w:t xml:space="preserve"> 2020</w:t>
      </w:r>
      <w:r w:rsidRPr="00CA74B3">
        <w:t xml:space="preserve">). </w:t>
      </w:r>
      <w:r>
        <w:t xml:space="preserve">The Multidisciplinary Expert Panel, within their respective mandates, reviewed the draft scoping report between 27 May and 2 June 2020. </w:t>
      </w:r>
      <w:r w:rsidRPr="00CA74B3">
        <w:t xml:space="preserve">The management committee </w:t>
      </w:r>
      <w:r>
        <w:t>oversaw</w:t>
      </w:r>
      <w:r w:rsidRPr="00CA74B3">
        <w:t xml:space="preserve"> the preparation of the final draft scoping report</w:t>
      </w:r>
      <w:r>
        <w:t xml:space="preserve"> for external review. </w:t>
      </w:r>
    </w:p>
    <w:p w14:paraId="0817EBA5" w14:textId="77777777" w:rsidR="00765216" w:rsidRPr="005D59AF" w:rsidRDefault="00765216" w:rsidP="00765216">
      <w:pPr>
        <w:keepNext/>
        <w:keepLines/>
        <w:tabs>
          <w:tab w:val="right" w:pos="851"/>
        </w:tabs>
        <w:suppressAutoHyphens/>
        <w:spacing w:before="120" w:after="120"/>
        <w:ind w:left="1247" w:right="284" w:hanging="1247"/>
        <w:rPr>
          <w:b/>
          <w:sz w:val="24"/>
          <w:szCs w:val="24"/>
          <w:lang w:val="en-GB"/>
        </w:rPr>
      </w:pPr>
      <w:r w:rsidRPr="005D59AF">
        <w:rPr>
          <w:b/>
          <w:sz w:val="24"/>
          <w:szCs w:val="24"/>
          <w:lang w:val="en-GB"/>
        </w:rPr>
        <w:tab/>
        <w:t>B.</w:t>
      </w:r>
      <w:r w:rsidRPr="005D59AF">
        <w:rPr>
          <w:b/>
          <w:sz w:val="24"/>
          <w:szCs w:val="24"/>
          <w:lang w:val="en-GB"/>
        </w:rPr>
        <w:tab/>
        <w:t>External review</w:t>
      </w:r>
    </w:p>
    <w:p w14:paraId="18B7C05B" w14:textId="77777777" w:rsidR="00765216" w:rsidRDefault="00765216" w:rsidP="004A1246">
      <w:pPr>
        <w:pStyle w:val="Normalnumber"/>
        <w:numPr>
          <w:ilvl w:val="0"/>
          <w:numId w:val="7"/>
        </w:numPr>
        <w:tabs>
          <w:tab w:val="clear" w:pos="1134"/>
        </w:tabs>
      </w:pPr>
      <w:r>
        <w:t>The</w:t>
      </w:r>
      <w:r w:rsidRPr="00F8370E">
        <w:t xml:space="preserve"> draft</w:t>
      </w:r>
      <w:r>
        <w:t xml:space="preserve"> </w:t>
      </w:r>
      <w:r w:rsidRPr="00F8370E">
        <w:t xml:space="preserve">scoping report </w:t>
      </w:r>
      <w:r>
        <w:t xml:space="preserve">was </w:t>
      </w:r>
      <w:r w:rsidRPr="00F8370E">
        <w:t xml:space="preserve">made available for external review for a period of </w:t>
      </w:r>
      <w:r>
        <w:t>eight</w:t>
      </w:r>
      <w:r w:rsidRPr="00F8370E">
        <w:t xml:space="preserve"> weeks, from </w:t>
      </w:r>
      <w:r>
        <w:t>5</w:t>
      </w:r>
      <w:r w:rsidRPr="00F8370E">
        <w:t xml:space="preserve"> June </w:t>
      </w:r>
      <w:r>
        <w:t>to</w:t>
      </w:r>
      <w:r w:rsidRPr="00F8370E">
        <w:t xml:space="preserve"> </w:t>
      </w:r>
      <w:r>
        <w:t>31</w:t>
      </w:r>
      <w:r w:rsidRPr="00F8370E">
        <w:t xml:space="preserve"> July 2020. </w:t>
      </w:r>
    </w:p>
    <w:p w14:paraId="5C5B2B5D" w14:textId="77777777" w:rsidR="00765216" w:rsidRDefault="00765216" w:rsidP="004A1246">
      <w:pPr>
        <w:pStyle w:val="Normalnumber"/>
        <w:numPr>
          <w:ilvl w:val="0"/>
          <w:numId w:val="7"/>
        </w:numPr>
        <w:tabs>
          <w:tab w:val="clear" w:pos="1134"/>
        </w:tabs>
      </w:pPr>
      <w:r>
        <w:t xml:space="preserve">In order to support national focal points in their review of the draft scoping reports, an online dialogue meeting was held from 6 to 10 July 2020. During the meeting, scoping experts presented the scoping report and answered questions of clarification. </w:t>
      </w:r>
    </w:p>
    <w:p w14:paraId="309B737D" w14:textId="77777777" w:rsidR="00765216" w:rsidRDefault="00765216" w:rsidP="004A1246">
      <w:pPr>
        <w:pStyle w:val="Normalnumber"/>
        <w:numPr>
          <w:ilvl w:val="0"/>
          <w:numId w:val="7"/>
        </w:numPr>
        <w:tabs>
          <w:tab w:val="clear" w:pos="1134"/>
        </w:tabs>
      </w:pPr>
      <w:r>
        <w:t xml:space="preserve">To allow reviewers to address matters of complementarity and overlap of the nexus and transformative change scoping reports, the external review period for the two reports was organized to overlap and the online dialogue meeting addressed both scoping reports. Scoping experts addressed related questions during the dialogue meeting. </w:t>
      </w:r>
    </w:p>
    <w:p w14:paraId="56AA610B" w14:textId="77777777" w:rsidR="00765216" w:rsidRDefault="00765216" w:rsidP="004A1246">
      <w:pPr>
        <w:pStyle w:val="Normalnumber"/>
        <w:numPr>
          <w:ilvl w:val="0"/>
          <w:numId w:val="7"/>
        </w:numPr>
        <w:tabs>
          <w:tab w:val="clear" w:pos="1134"/>
        </w:tabs>
      </w:pPr>
      <w:r>
        <w:t xml:space="preserve">To further strengthen the participation of stakeholders in the review of the two scoping reports, a webinar for stakeholders was held on 14 July 2020. As part of the implementation of the IPBES approach to recognizing and working with indigenous and local knowledge in IPBES for the two scoping processes, an </w:t>
      </w:r>
      <w:r w:rsidRPr="00C81B58">
        <w:t>online indigenous and local knowledge dialogue</w:t>
      </w:r>
      <w:r>
        <w:t xml:space="preserve"> was held</w:t>
      </w:r>
      <w:r w:rsidRPr="00C81B58">
        <w:t xml:space="preserve"> on 16 July</w:t>
      </w:r>
      <w:r>
        <w:t xml:space="preserve"> 2020 in which experts on indigenous and local knowledge and representatives of indigenous peoples and local communities participated. </w:t>
      </w:r>
    </w:p>
    <w:p w14:paraId="6159CCA5" w14:textId="77777777" w:rsidR="00765216" w:rsidRPr="00632701" w:rsidRDefault="00765216" w:rsidP="004A1246">
      <w:pPr>
        <w:pStyle w:val="Normalnumber"/>
        <w:numPr>
          <w:ilvl w:val="0"/>
          <w:numId w:val="7"/>
        </w:numPr>
        <w:tabs>
          <w:tab w:val="clear" w:pos="1134"/>
        </w:tabs>
      </w:pPr>
      <w:r w:rsidRPr="00632701">
        <w:t xml:space="preserve">Submissions were received from 272 expert reviewers (including Governments) totalling approximately 2900 comments. The following 34 Governments participated in the external review: Antigua and Barbuda, Argentina, Armenia, Belgium, Brazil, Bulgaria, Canada, Chile, Colombia, </w:t>
      </w:r>
      <w:r w:rsidRPr="00632701">
        <w:lastRenderedPageBreak/>
        <w:t>Cote</w:t>
      </w:r>
      <w:r>
        <w:t> </w:t>
      </w:r>
      <w:r w:rsidRPr="00632701">
        <w:t>d’Ivoire, Ecuador, Estonia, France, Germany, Ghana, Guinea, Guinea-Bissau, Iran, Israel, Japan, Mexico, Nepal, New Zealand, Peru, Portugal, Senegal, South Africa, the Slovak Republic and Switzerland.</w:t>
      </w:r>
    </w:p>
    <w:p w14:paraId="4D0CB420" w14:textId="0E7E3A41" w:rsidR="00765216" w:rsidRPr="003E7E58" w:rsidRDefault="00765216" w:rsidP="00937238">
      <w:pPr>
        <w:pStyle w:val="CH2"/>
        <w:rPr>
          <w:highlight w:val="yellow"/>
        </w:rPr>
      </w:pPr>
      <w:r>
        <w:tab/>
      </w:r>
      <w:r w:rsidRPr="00E73813">
        <w:t>C.</w:t>
      </w:r>
      <w:r w:rsidRPr="00E73813">
        <w:tab/>
      </w:r>
      <w:r w:rsidR="00937238">
        <w:tab/>
      </w:r>
      <w:r>
        <w:t>Workshops</w:t>
      </w:r>
    </w:p>
    <w:p w14:paraId="7B6715D3" w14:textId="0B5CC905" w:rsidR="00765216" w:rsidRDefault="00765216" w:rsidP="004A1246">
      <w:pPr>
        <w:pStyle w:val="Normalnumber"/>
        <w:numPr>
          <w:ilvl w:val="0"/>
          <w:numId w:val="7"/>
        </w:numPr>
        <w:tabs>
          <w:tab w:val="clear" w:pos="1134"/>
        </w:tabs>
      </w:pPr>
      <w:r w:rsidRPr="007E5C67">
        <w:t xml:space="preserve">In the light of the extraordinary situation caused by the COVID-19 pandemic, the Bureau and Multidisciplinary Expert Panel approved a virtual Platform workshop on the link between biodiversity and pandemics, intended to mainly support the scoping of the nexus assessment on that topic. Participants in the workshop reviewed evidence regarding the origin of infectious diseases transmitted from wild animals, the relationship between pandemics and biodiversity, in particular the drivers of pandemics and options for action related to biodiversity and ecosystem services in the context of the current crisis and the prevention of future outbreaks. </w:t>
      </w:r>
      <w:r w:rsidRPr="007A7150">
        <w:t>The workshop was held online from 27 to 31 July 2020, as a “Platform Workshop” in accordance with IPBES procedures.</w:t>
      </w:r>
      <w:r w:rsidRPr="007A7150">
        <w:rPr>
          <w:vertAlign w:val="superscript"/>
        </w:rPr>
        <w:footnoteReference w:id="2"/>
      </w:r>
      <w:r w:rsidRPr="007A7150">
        <w:rPr>
          <w:vertAlign w:val="superscript"/>
        </w:rPr>
        <w:t xml:space="preserve"> </w:t>
      </w:r>
      <w:r w:rsidRPr="007A7150">
        <w:t>Further information on the workshop and its report is set out in document IPBES/8/INF/5.</w:t>
      </w:r>
    </w:p>
    <w:p w14:paraId="3CBD3690" w14:textId="77777777" w:rsidR="00765216" w:rsidRPr="00397BC4" w:rsidRDefault="00765216" w:rsidP="004A1246">
      <w:pPr>
        <w:pStyle w:val="Normalnumber"/>
        <w:numPr>
          <w:ilvl w:val="0"/>
          <w:numId w:val="7"/>
        </w:numPr>
        <w:tabs>
          <w:tab w:val="clear" w:pos="1134"/>
        </w:tabs>
      </w:pPr>
      <w:r>
        <w:t>Following consultations in response to paragraphs 6 and 7 of section II of decision IPBES-7/1, on a potential joint technical paper between IPBES and the Intergovernmental Panel on Climate Change, t</w:t>
      </w:r>
      <w:r w:rsidRPr="00397BC4">
        <w:t xml:space="preserve">he IPBES </w:t>
      </w:r>
      <w:r>
        <w:t xml:space="preserve">Multidisciplinary Expert Panel and </w:t>
      </w:r>
      <w:r w:rsidRPr="00397BC4">
        <w:t xml:space="preserve">Bureau </w:t>
      </w:r>
      <w:r>
        <w:t>and IPCC</w:t>
      </w:r>
      <w:r w:rsidRPr="00397BC4">
        <w:t xml:space="preserve"> agreed to </w:t>
      </w:r>
      <w:r>
        <w:t>co-sponsor a</w:t>
      </w:r>
      <w:r w:rsidRPr="00397BC4">
        <w:t xml:space="preserve"> workshop</w:t>
      </w:r>
      <w:r>
        <w:t xml:space="preserve"> on biodiversity and climate change</w:t>
      </w:r>
      <w:r w:rsidRPr="00397BC4">
        <w:t>, in line with section 6.2 of the procedures for the preparation of Platform deliverables</w:t>
      </w:r>
      <w:r>
        <w:t>, on co-sponsored workshops</w:t>
      </w:r>
      <w:r w:rsidRPr="00397BC4">
        <w:t xml:space="preserve">. </w:t>
      </w:r>
      <w:r>
        <w:t xml:space="preserve">The </w:t>
      </w:r>
      <w:r w:rsidRPr="00397BC4">
        <w:t>workshop</w:t>
      </w:r>
      <w:r>
        <w:t xml:space="preserve"> report was intended to</w:t>
      </w:r>
      <w:r w:rsidRPr="00397BC4">
        <w:t xml:space="preserve"> contribute to the scoping </w:t>
      </w:r>
      <w:r>
        <w:t>process for</w:t>
      </w:r>
      <w:r w:rsidRPr="00397BC4">
        <w:t xml:space="preserve"> </w:t>
      </w:r>
      <w:r>
        <w:t xml:space="preserve">and feed into </w:t>
      </w:r>
      <w:r w:rsidRPr="00397BC4">
        <w:t xml:space="preserve">the </w:t>
      </w:r>
      <w:r>
        <w:t>nexus assessment</w:t>
      </w:r>
      <w:r w:rsidRPr="00397BC4">
        <w:t>.</w:t>
      </w:r>
      <w:r>
        <w:t xml:space="preserve"> </w:t>
      </w:r>
      <w:r w:rsidRPr="007A7150">
        <w:t>Further information on the workshop and its report is set out in document IPBES/8/INF/</w:t>
      </w:r>
      <w:r>
        <w:t>20</w:t>
      </w:r>
      <w:r w:rsidRPr="007A7150">
        <w:t>.</w:t>
      </w:r>
    </w:p>
    <w:p w14:paraId="41E31658" w14:textId="3C5470F5" w:rsidR="00765216" w:rsidRPr="003E7E58" w:rsidRDefault="00765216" w:rsidP="00937238">
      <w:pPr>
        <w:pStyle w:val="CH2"/>
        <w:rPr>
          <w:highlight w:val="yellow"/>
        </w:rPr>
      </w:pPr>
      <w:r w:rsidRPr="00E73813">
        <w:tab/>
      </w:r>
      <w:r>
        <w:t>D</w:t>
      </w:r>
      <w:r w:rsidRPr="00E73813">
        <w:t>.</w:t>
      </w:r>
      <w:r w:rsidRPr="00E73813">
        <w:tab/>
      </w:r>
      <w:r w:rsidR="00937238">
        <w:tab/>
      </w:r>
      <w:r>
        <w:t xml:space="preserve">Role of </w:t>
      </w:r>
      <w:r w:rsidRPr="007E5C67">
        <w:t>capacity</w:t>
      </w:r>
      <w:r w:rsidRPr="007E5C67">
        <w:noBreakHyphen/>
        <w:t>building, strengthening knowledge foundations and supporting policy</w:t>
      </w:r>
    </w:p>
    <w:p w14:paraId="3FDCF440" w14:textId="77777777" w:rsidR="00765216" w:rsidRDefault="00765216" w:rsidP="004A1246">
      <w:pPr>
        <w:pStyle w:val="Normalnumber"/>
        <w:numPr>
          <w:ilvl w:val="0"/>
          <w:numId w:val="7"/>
        </w:numPr>
        <w:tabs>
          <w:tab w:val="clear" w:pos="1134"/>
        </w:tabs>
      </w:pPr>
      <w:r>
        <w:t xml:space="preserve">The roles of the work programme objectives on </w:t>
      </w:r>
      <w:r w:rsidRPr="007E5C67">
        <w:t>capacity</w:t>
      </w:r>
      <w:r w:rsidRPr="007E5C67">
        <w:noBreakHyphen/>
        <w:t>building, strengthening knowledge foundations and supporting policy</w:t>
      </w:r>
      <w:r>
        <w:t xml:space="preserve"> in the assessment are set out explicitly in the scoping report. Paragraph 23 and section IV refer to the work of the task force on capacity-building, section III to the work of the task force on knowledge and data, paragraph 49 to the work of the task force on indigenous and local knowledge systems, paragraph 23 to the work of the task force on policy support and methodologies and paragraphs 21 and 23 to the work of the task force on scenarios and models. Schematic illustrations of the interaction of each task forces with the assessment are presented in documents IPBES/8/INF/9, IPBES/8/INF/10, IPBES/8/INF/11, IPBES/8/INF/13 and IPBES/8/INF14, respectively. </w:t>
      </w:r>
    </w:p>
    <w:p w14:paraId="1A9323A1" w14:textId="719D5861" w:rsidR="00765216" w:rsidRPr="004E3F9B" w:rsidRDefault="00765216" w:rsidP="00937238">
      <w:pPr>
        <w:pStyle w:val="CH2"/>
      </w:pPr>
      <w:r>
        <w:tab/>
        <w:t>E</w:t>
      </w:r>
      <w:r w:rsidRPr="00E73813">
        <w:t>.</w:t>
      </w:r>
      <w:r w:rsidR="00937238">
        <w:tab/>
      </w:r>
      <w:r w:rsidRPr="00E73813">
        <w:tab/>
        <w:t>Preparatory process for IPBES 8</w:t>
      </w:r>
    </w:p>
    <w:p w14:paraId="19CA8BF1" w14:textId="77777777" w:rsidR="00765216" w:rsidRDefault="00765216" w:rsidP="004A1246">
      <w:pPr>
        <w:pStyle w:val="Normalnumber"/>
        <w:numPr>
          <w:ilvl w:val="0"/>
          <w:numId w:val="7"/>
        </w:numPr>
        <w:tabs>
          <w:tab w:val="clear" w:pos="1134"/>
        </w:tabs>
      </w:pPr>
      <w:r>
        <w:t>Due to the COVID-19 pandemic, it was decided that the eighth session of the IPBES Plenary would be held online from 14 to 24 June 2021. Due to the online nature of the session, a preparatory process was conducted, which included:</w:t>
      </w:r>
    </w:p>
    <w:p w14:paraId="0A6755BA" w14:textId="77777777" w:rsidR="00765216" w:rsidRDefault="00765216" w:rsidP="001807E4">
      <w:pPr>
        <w:pStyle w:val="Normalnumber"/>
        <w:numPr>
          <w:ilvl w:val="1"/>
          <w:numId w:val="6"/>
        </w:numPr>
        <w:tabs>
          <w:tab w:val="clear" w:pos="567"/>
          <w:tab w:val="num" w:pos="624"/>
        </w:tabs>
        <w:ind w:firstLine="624"/>
      </w:pPr>
      <w:r>
        <w:t xml:space="preserve">An additional round of external review of the scoping report from 17 December 2020 to 5 February 2021. </w:t>
      </w:r>
      <w:r w:rsidRPr="009638A8">
        <w:t xml:space="preserve">Submissions were received from 46 expert reviewers (including Governments) totalling approximately </w:t>
      </w:r>
      <w:r>
        <w:t>600</w:t>
      </w:r>
      <w:r w:rsidRPr="009638A8">
        <w:t xml:space="preserve"> comments. The following 23 Governments participated in the external review: Argentina, Armenia, Australia, Belgium, Brazil, Bulgaria, Canada, China, Czechia, European Union, France, Germany, Italy, Japan, Morocco, Myanmar, Norway, South Africa, Sudan, Sweden, Turkey, United Kingdom of Great Britain and Northern Ireland and United States of America</w:t>
      </w:r>
      <w:r>
        <w:t xml:space="preserve">; </w:t>
      </w:r>
    </w:p>
    <w:p w14:paraId="39506463" w14:textId="77777777" w:rsidR="00765216" w:rsidRDefault="00765216" w:rsidP="001807E4">
      <w:pPr>
        <w:pStyle w:val="Normalnumber"/>
        <w:numPr>
          <w:ilvl w:val="1"/>
          <w:numId w:val="6"/>
        </w:numPr>
        <w:tabs>
          <w:tab w:val="clear" w:pos="567"/>
          <w:tab w:val="num" w:pos="624"/>
        </w:tabs>
        <w:ind w:firstLine="624"/>
      </w:pPr>
      <w:r>
        <w:t xml:space="preserve">Informal regional meetings to support Governments in in the additional review of the scoping report, on 18 January 2021 for the African Group, on 19 January 2021 for the Eastern European Group, on 20 January 2021 for the Western Europe and Others Group, on 21 January 2021 for the Asia-Pacific Group and on 22 January 2021 for the Latin America and the Caribbean Group; </w:t>
      </w:r>
    </w:p>
    <w:p w14:paraId="5C27FD0F" w14:textId="77777777" w:rsidR="00765216" w:rsidRDefault="00765216" w:rsidP="001807E4">
      <w:pPr>
        <w:pStyle w:val="Normalnumber"/>
        <w:numPr>
          <w:ilvl w:val="1"/>
          <w:numId w:val="6"/>
        </w:numPr>
        <w:tabs>
          <w:tab w:val="clear" w:pos="567"/>
          <w:tab w:val="num" w:pos="624"/>
        </w:tabs>
        <w:ind w:firstLine="624"/>
      </w:pPr>
      <w:r>
        <w:t>Availability of the final scoping report (document IPBES/8/3) in English in the end of March 2021 and in all six official United Nations languages in the beginning of April 2021;</w:t>
      </w:r>
    </w:p>
    <w:p w14:paraId="05241327" w14:textId="77777777" w:rsidR="00765216" w:rsidRDefault="00765216" w:rsidP="001807E4">
      <w:pPr>
        <w:pStyle w:val="Normalnumber"/>
        <w:numPr>
          <w:ilvl w:val="1"/>
          <w:numId w:val="6"/>
        </w:numPr>
        <w:tabs>
          <w:tab w:val="clear" w:pos="567"/>
          <w:tab w:val="num" w:pos="624"/>
        </w:tabs>
        <w:ind w:firstLine="624"/>
      </w:pPr>
      <w:r>
        <w:t>I</w:t>
      </w:r>
      <w:r w:rsidRPr="00840E9C">
        <w:t>nformal preparatory meeting</w:t>
      </w:r>
      <w:r>
        <w:t xml:space="preserve"> for Governments from</w:t>
      </w:r>
      <w:r w:rsidRPr="00840E9C">
        <w:t xml:space="preserve"> 19</w:t>
      </w:r>
      <w:r>
        <w:t xml:space="preserve"> to </w:t>
      </w:r>
      <w:r w:rsidRPr="00840E9C">
        <w:t>21 April 2021, to allow members and observer states to exchange views and informally consider the scoping report</w:t>
      </w:r>
      <w:r>
        <w:t>;</w:t>
      </w:r>
    </w:p>
    <w:p w14:paraId="53FF6575" w14:textId="77777777" w:rsidR="00765216" w:rsidRDefault="00765216" w:rsidP="001807E4">
      <w:pPr>
        <w:pStyle w:val="Normalnumber"/>
        <w:numPr>
          <w:ilvl w:val="1"/>
          <w:numId w:val="6"/>
        </w:numPr>
        <w:tabs>
          <w:tab w:val="clear" w:pos="567"/>
          <w:tab w:val="num" w:pos="624"/>
        </w:tabs>
        <w:ind w:firstLine="624"/>
      </w:pPr>
      <w:r>
        <w:lastRenderedPageBreak/>
        <w:t xml:space="preserve">Informal group of “friends of the chair” on outstanding matters related to the nexus assessment on 10 May 2021 to explore, in particular, ways to address climate change and energy in the assessment, as well as the temporal scope of the assessment; </w:t>
      </w:r>
    </w:p>
    <w:p w14:paraId="07E40C61" w14:textId="77777777" w:rsidR="00765216" w:rsidRDefault="00765216" w:rsidP="001807E4">
      <w:pPr>
        <w:pStyle w:val="Normalnumber"/>
        <w:numPr>
          <w:ilvl w:val="1"/>
          <w:numId w:val="6"/>
        </w:numPr>
        <w:tabs>
          <w:tab w:val="clear" w:pos="567"/>
          <w:tab w:val="num" w:pos="624"/>
        </w:tabs>
        <w:ind w:firstLine="624"/>
      </w:pPr>
      <w:r>
        <w:t xml:space="preserve">Opportunity for </w:t>
      </w:r>
      <w:r w:rsidRPr="00E73813">
        <w:t xml:space="preserve">Governments to submit final comments on the </w:t>
      </w:r>
      <w:r>
        <w:t xml:space="preserve">scoping report </w:t>
      </w:r>
      <w:r w:rsidRPr="00E73813">
        <w:t>by 24</w:t>
      </w:r>
      <w:r>
        <w:t> </w:t>
      </w:r>
      <w:r w:rsidRPr="00E73813">
        <w:t>May 2021</w:t>
      </w:r>
      <w:r>
        <w:t xml:space="preserve"> i</w:t>
      </w:r>
      <w:r w:rsidRPr="00E73813">
        <w:t>n order to support the Multidisciplinary Expert Panel and Bureau in preparing for IPBES 8</w:t>
      </w:r>
      <w:r>
        <w:t>;</w:t>
      </w:r>
    </w:p>
    <w:p w14:paraId="52BB94AB" w14:textId="77777777" w:rsidR="00765216" w:rsidRDefault="00765216" w:rsidP="001807E4">
      <w:pPr>
        <w:pStyle w:val="Normalnumber"/>
        <w:numPr>
          <w:ilvl w:val="1"/>
          <w:numId w:val="6"/>
        </w:numPr>
        <w:tabs>
          <w:tab w:val="clear" w:pos="567"/>
          <w:tab w:val="num" w:pos="624"/>
        </w:tabs>
        <w:ind w:firstLine="624"/>
      </w:pPr>
      <w:r>
        <w:t xml:space="preserve">Preparation of a </w:t>
      </w:r>
      <w:r w:rsidRPr="00E73813">
        <w:t>revised version of the</w:t>
      </w:r>
      <w:r>
        <w:t xml:space="preserve"> scoping report </w:t>
      </w:r>
      <w:r w:rsidRPr="00E73813">
        <w:t>as Chair’s notes shortly before IPBES 8.</w:t>
      </w:r>
    </w:p>
    <w:bookmarkEnd w:id="1"/>
    <w:p w14:paraId="01433D24" w14:textId="77777777" w:rsidR="00765216" w:rsidRDefault="00765216" w:rsidP="00937238">
      <w:pPr>
        <w:pStyle w:val="Normal-pool"/>
        <w:rPr>
          <w:highlight w:val="yellow"/>
        </w:rPr>
      </w:pPr>
      <w:r>
        <w:rPr>
          <w:highlight w:val="yellow"/>
        </w:rPr>
        <w:br w:type="page"/>
      </w:r>
    </w:p>
    <w:p w14:paraId="0B8D3977" w14:textId="77777777" w:rsidR="00765216" w:rsidRPr="004943F6" w:rsidRDefault="00765216" w:rsidP="00422AD8">
      <w:pPr>
        <w:pStyle w:val="CH1"/>
        <w:rPr>
          <w:lang w:eastAsia="en-GB"/>
        </w:rPr>
      </w:pPr>
      <w:r w:rsidRPr="00F23560">
        <w:rPr>
          <w:lang w:eastAsia="en-GB"/>
        </w:rPr>
        <w:lastRenderedPageBreak/>
        <w:t>A</w:t>
      </w:r>
      <w:r>
        <w:rPr>
          <w:lang w:eastAsia="en-GB"/>
        </w:rPr>
        <w:t xml:space="preserve">ppendix: </w:t>
      </w:r>
      <w:r w:rsidRPr="004943F6">
        <w:rPr>
          <w:lang w:eastAsia="en-GB"/>
        </w:rPr>
        <w:t xml:space="preserve">List of participants </w:t>
      </w:r>
      <w:r>
        <w:rPr>
          <w:lang w:eastAsia="en-GB"/>
        </w:rPr>
        <w:t>in the scoping meeting</w:t>
      </w:r>
    </w:p>
    <w:tbl>
      <w:tblPr>
        <w:tblW w:w="8307" w:type="dxa"/>
        <w:jc w:val="right"/>
        <w:tblLook w:val="04A0" w:firstRow="1" w:lastRow="0" w:firstColumn="1" w:lastColumn="0" w:noHBand="0" w:noVBand="1"/>
      </w:tblPr>
      <w:tblGrid>
        <w:gridCol w:w="2951"/>
        <w:gridCol w:w="5356"/>
      </w:tblGrid>
      <w:tr w:rsidR="00765216" w:rsidRPr="004943F6" w14:paraId="5A603AAD" w14:textId="77777777" w:rsidTr="00422AD8">
        <w:trPr>
          <w:tblHeader/>
          <w:jc w:val="right"/>
        </w:trPr>
        <w:tc>
          <w:tcPr>
            <w:tcW w:w="8370" w:type="dxa"/>
            <w:gridSpan w:val="2"/>
            <w:tcBorders>
              <w:top w:val="single" w:sz="4" w:space="0" w:color="auto"/>
              <w:bottom w:val="single" w:sz="12" w:space="0" w:color="auto"/>
            </w:tcBorders>
          </w:tcPr>
          <w:p w14:paraId="43E2443A" w14:textId="77777777" w:rsidR="00765216" w:rsidRPr="004943F6" w:rsidRDefault="00765216" w:rsidP="007D760B">
            <w:pPr>
              <w:spacing w:before="40" w:after="40"/>
              <w:rPr>
                <w:b/>
                <w:lang w:val="en-GB" w:eastAsia="en-CA" w:bidi="en-US"/>
              </w:rPr>
            </w:pPr>
            <w:r w:rsidRPr="004943F6">
              <w:rPr>
                <w:b/>
                <w:lang w:val="en-GB" w:eastAsia="en-CA" w:bidi="en-US"/>
              </w:rPr>
              <w:t>MULTIDISCIPLINARY EXPERT PANEL</w:t>
            </w:r>
          </w:p>
        </w:tc>
      </w:tr>
      <w:tr w:rsidR="00765216" w:rsidRPr="00512C6E" w14:paraId="4E0AFFA4" w14:textId="77777777" w:rsidTr="00422AD8">
        <w:trPr>
          <w:jc w:val="right"/>
        </w:trPr>
        <w:tc>
          <w:tcPr>
            <w:tcW w:w="2970" w:type="dxa"/>
          </w:tcPr>
          <w:p w14:paraId="38B7D9A9" w14:textId="77777777" w:rsidR="00765216" w:rsidRPr="004943F6" w:rsidRDefault="00765216" w:rsidP="007D760B">
            <w:pPr>
              <w:spacing w:before="40" w:after="80"/>
              <w:rPr>
                <w:b/>
                <w:color w:val="000000"/>
              </w:rPr>
            </w:pPr>
            <w:proofErr w:type="spellStart"/>
            <w:r w:rsidRPr="004943F6">
              <w:rPr>
                <w:b/>
                <w:color w:val="000000"/>
              </w:rPr>
              <w:t>Luthando</w:t>
            </w:r>
            <w:proofErr w:type="spellEnd"/>
            <w:r w:rsidRPr="004943F6">
              <w:rPr>
                <w:b/>
                <w:color w:val="000000"/>
              </w:rPr>
              <w:t xml:space="preserve"> Edward </w:t>
            </w:r>
            <w:proofErr w:type="spellStart"/>
            <w:r w:rsidRPr="004943F6">
              <w:rPr>
                <w:b/>
                <w:color w:val="000000"/>
              </w:rPr>
              <w:t>Dziba</w:t>
            </w:r>
            <w:proofErr w:type="spellEnd"/>
          </w:p>
        </w:tc>
        <w:tc>
          <w:tcPr>
            <w:tcW w:w="5400" w:type="dxa"/>
          </w:tcPr>
          <w:p w14:paraId="002607EF" w14:textId="77777777" w:rsidR="00765216" w:rsidRPr="00765216" w:rsidRDefault="00765216" w:rsidP="007D760B">
            <w:pPr>
              <w:spacing w:before="40" w:after="80"/>
              <w:rPr>
                <w:color w:val="000000"/>
                <w:lang w:val="en-GB"/>
              </w:rPr>
            </w:pPr>
            <w:r w:rsidRPr="00765216">
              <w:rPr>
                <w:color w:val="000000"/>
                <w:lang w:val="en-GB"/>
              </w:rPr>
              <w:t>South African National Parks, South Africa</w:t>
            </w:r>
          </w:p>
        </w:tc>
      </w:tr>
      <w:tr w:rsidR="00765216" w:rsidRPr="00512C6E" w14:paraId="09AA1CE6" w14:textId="77777777" w:rsidTr="00422AD8">
        <w:trPr>
          <w:jc w:val="right"/>
        </w:trPr>
        <w:tc>
          <w:tcPr>
            <w:tcW w:w="2970" w:type="dxa"/>
          </w:tcPr>
          <w:p w14:paraId="16FE09AE" w14:textId="77777777" w:rsidR="00765216" w:rsidRPr="004943F6" w:rsidRDefault="00765216" w:rsidP="007D760B">
            <w:pPr>
              <w:spacing w:before="40" w:after="80"/>
              <w:rPr>
                <w:b/>
                <w:color w:val="000000"/>
                <w:lang w:val="en-GB"/>
              </w:rPr>
            </w:pPr>
            <w:r w:rsidRPr="004943F6">
              <w:rPr>
                <w:b/>
                <w:color w:val="000000"/>
                <w:lang w:val="en-GB"/>
              </w:rPr>
              <w:t xml:space="preserve">Judith Fisher </w:t>
            </w:r>
          </w:p>
        </w:tc>
        <w:tc>
          <w:tcPr>
            <w:tcW w:w="5400" w:type="dxa"/>
          </w:tcPr>
          <w:p w14:paraId="2AC60492" w14:textId="77777777" w:rsidR="00765216" w:rsidRPr="004943F6" w:rsidRDefault="00765216" w:rsidP="007D760B">
            <w:pPr>
              <w:spacing w:after="80"/>
              <w:rPr>
                <w:rFonts w:cs="Calibri"/>
                <w:color w:val="000000"/>
                <w:lang w:val="en-GB"/>
              </w:rPr>
            </w:pPr>
            <w:r w:rsidRPr="004943F6">
              <w:rPr>
                <w:color w:val="000000"/>
                <w:lang w:val="en-GB"/>
              </w:rPr>
              <w:t>Fisher Research Pty Ltd, Australia</w:t>
            </w:r>
          </w:p>
        </w:tc>
      </w:tr>
      <w:tr w:rsidR="00765216" w:rsidRPr="004943F6" w14:paraId="1307BD55" w14:textId="77777777" w:rsidTr="00422AD8">
        <w:trPr>
          <w:jc w:val="right"/>
        </w:trPr>
        <w:tc>
          <w:tcPr>
            <w:tcW w:w="2970" w:type="dxa"/>
          </w:tcPr>
          <w:p w14:paraId="5E235E72" w14:textId="77777777" w:rsidR="00765216" w:rsidRPr="004943F6" w:rsidRDefault="00765216" w:rsidP="007D760B">
            <w:pPr>
              <w:spacing w:before="40" w:after="80"/>
              <w:rPr>
                <w:b/>
                <w:color w:val="000000"/>
                <w:lang w:val="en-GB"/>
              </w:rPr>
            </w:pPr>
            <w:r w:rsidRPr="004943F6">
              <w:rPr>
                <w:b/>
                <w:color w:val="000000"/>
                <w:lang w:val="en-GB"/>
              </w:rPr>
              <w:t>Isabel Sousa Pinto</w:t>
            </w:r>
          </w:p>
        </w:tc>
        <w:tc>
          <w:tcPr>
            <w:tcW w:w="5400" w:type="dxa"/>
          </w:tcPr>
          <w:p w14:paraId="0DEB32C7" w14:textId="77777777" w:rsidR="00765216" w:rsidRPr="004943F6" w:rsidRDefault="00765216" w:rsidP="007D760B">
            <w:pPr>
              <w:spacing w:after="80"/>
              <w:rPr>
                <w:rFonts w:cs="Calibri"/>
                <w:color w:val="000000"/>
                <w:lang w:val="en-GB"/>
              </w:rPr>
            </w:pPr>
            <w:r w:rsidRPr="004943F6">
              <w:rPr>
                <w:color w:val="000000"/>
                <w:lang w:val="en-GB"/>
              </w:rPr>
              <w:t>University of Porto, Portugal</w:t>
            </w:r>
          </w:p>
        </w:tc>
      </w:tr>
      <w:tr w:rsidR="00765216" w:rsidRPr="00512C6E" w14:paraId="26F94726" w14:textId="77777777" w:rsidTr="00422AD8">
        <w:trPr>
          <w:jc w:val="right"/>
        </w:trPr>
        <w:tc>
          <w:tcPr>
            <w:tcW w:w="2970" w:type="dxa"/>
          </w:tcPr>
          <w:p w14:paraId="2AF732D5" w14:textId="77777777" w:rsidR="00765216" w:rsidRPr="004943F6" w:rsidRDefault="00765216" w:rsidP="007D760B">
            <w:pPr>
              <w:spacing w:before="40" w:after="80"/>
              <w:rPr>
                <w:b/>
                <w:color w:val="000000"/>
                <w:lang w:val="en-GB"/>
              </w:rPr>
            </w:pPr>
            <w:r w:rsidRPr="004943F6">
              <w:rPr>
                <w:b/>
                <w:color w:val="000000"/>
                <w:lang w:val="en-GB"/>
              </w:rPr>
              <w:t xml:space="preserve">Katalin </w:t>
            </w:r>
            <w:proofErr w:type="spellStart"/>
            <w:r w:rsidRPr="004943F6">
              <w:rPr>
                <w:b/>
                <w:color w:val="000000"/>
                <w:lang w:val="en-GB"/>
              </w:rPr>
              <w:t>Török</w:t>
            </w:r>
            <w:proofErr w:type="spellEnd"/>
          </w:p>
        </w:tc>
        <w:tc>
          <w:tcPr>
            <w:tcW w:w="5400" w:type="dxa"/>
          </w:tcPr>
          <w:p w14:paraId="6865DDC2" w14:textId="77777777" w:rsidR="00765216" w:rsidRPr="004943F6" w:rsidRDefault="00765216" w:rsidP="007D760B">
            <w:pPr>
              <w:spacing w:before="40" w:after="80"/>
              <w:rPr>
                <w:color w:val="000000"/>
                <w:lang w:val="en-GB"/>
              </w:rPr>
            </w:pPr>
            <w:r w:rsidRPr="004943F6">
              <w:rPr>
                <w:color w:val="000000"/>
                <w:lang w:val="en-GB"/>
              </w:rPr>
              <w:t>Centre for Ecological Research, Hungary</w:t>
            </w:r>
          </w:p>
        </w:tc>
      </w:tr>
      <w:tr w:rsidR="00765216" w:rsidRPr="00512C6E" w14:paraId="19681E71" w14:textId="77777777" w:rsidTr="00422AD8">
        <w:trPr>
          <w:jc w:val="right"/>
        </w:trPr>
        <w:tc>
          <w:tcPr>
            <w:tcW w:w="2970" w:type="dxa"/>
          </w:tcPr>
          <w:p w14:paraId="442B5751" w14:textId="77777777" w:rsidR="00765216" w:rsidRPr="004943F6" w:rsidRDefault="00765216" w:rsidP="007D760B">
            <w:pPr>
              <w:spacing w:before="40" w:after="80"/>
              <w:rPr>
                <w:b/>
                <w:color w:val="000000"/>
                <w:lang w:val="en-GB"/>
              </w:rPr>
            </w:pPr>
            <w:r w:rsidRPr="004943F6">
              <w:rPr>
                <w:b/>
                <w:color w:val="000000"/>
                <w:lang w:val="en-GB"/>
              </w:rPr>
              <w:t xml:space="preserve">Dorothy </w:t>
            </w:r>
            <w:proofErr w:type="spellStart"/>
            <w:r w:rsidRPr="004943F6">
              <w:rPr>
                <w:b/>
                <w:color w:val="000000"/>
                <w:lang w:val="en-GB"/>
              </w:rPr>
              <w:t>Nyingi</w:t>
            </w:r>
            <w:proofErr w:type="spellEnd"/>
          </w:p>
        </w:tc>
        <w:tc>
          <w:tcPr>
            <w:tcW w:w="5400" w:type="dxa"/>
          </w:tcPr>
          <w:p w14:paraId="4DC1A873" w14:textId="77777777" w:rsidR="00765216" w:rsidRPr="004943F6" w:rsidRDefault="00765216" w:rsidP="007D760B">
            <w:pPr>
              <w:spacing w:before="40" w:after="80"/>
              <w:rPr>
                <w:color w:val="000000"/>
                <w:lang w:val="en-GB"/>
              </w:rPr>
            </w:pPr>
            <w:r w:rsidRPr="004943F6">
              <w:rPr>
                <w:color w:val="000000"/>
                <w:lang w:val="en-GB"/>
              </w:rPr>
              <w:t>National Museums of Kenya, Kenya</w:t>
            </w:r>
          </w:p>
        </w:tc>
      </w:tr>
    </w:tbl>
    <w:p w14:paraId="4A64A6A6" w14:textId="77777777" w:rsidR="00765216" w:rsidRPr="004943F6" w:rsidRDefault="00765216" w:rsidP="00765216">
      <w:pPr>
        <w:keepNext/>
        <w:keepLines/>
        <w:tabs>
          <w:tab w:val="right" w:pos="624"/>
          <w:tab w:val="right" w:pos="851"/>
        </w:tabs>
        <w:suppressAutoHyphens/>
        <w:ind w:left="1872" w:right="288" w:hanging="605"/>
        <w:rPr>
          <w:rFonts w:eastAsia="Gulim"/>
          <w:b/>
          <w:sz w:val="10"/>
          <w:szCs w:val="10"/>
          <w:lang w:val="en-GB"/>
        </w:rPr>
      </w:pPr>
    </w:p>
    <w:tbl>
      <w:tblPr>
        <w:tblW w:w="8307" w:type="dxa"/>
        <w:jc w:val="right"/>
        <w:tblLook w:val="04A0" w:firstRow="1" w:lastRow="0" w:firstColumn="1" w:lastColumn="0" w:noHBand="0" w:noVBand="1"/>
      </w:tblPr>
      <w:tblGrid>
        <w:gridCol w:w="2949"/>
        <w:gridCol w:w="5358"/>
      </w:tblGrid>
      <w:tr w:rsidR="00765216" w:rsidRPr="004943F6" w14:paraId="21DAB1EB" w14:textId="77777777" w:rsidTr="00422AD8">
        <w:trPr>
          <w:tblHeader/>
          <w:jc w:val="right"/>
        </w:trPr>
        <w:tc>
          <w:tcPr>
            <w:tcW w:w="8370" w:type="dxa"/>
            <w:gridSpan w:val="2"/>
            <w:tcBorders>
              <w:top w:val="single" w:sz="4" w:space="0" w:color="auto"/>
              <w:bottom w:val="single" w:sz="12" w:space="0" w:color="auto"/>
            </w:tcBorders>
          </w:tcPr>
          <w:p w14:paraId="125A00BB" w14:textId="77777777" w:rsidR="00765216" w:rsidRPr="004943F6" w:rsidRDefault="00765216" w:rsidP="007D760B">
            <w:pPr>
              <w:spacing w:before="40" w:after="40"/>
              <w:rPr>
                <w:b/>
                <w:lang w:val="en-GB" w:eastAsia="en-CA" w:bidi="en-US"/>
              </w:rPr>
            </w:pPr>
            <w:bookmarkStart w:id="2" w:name="_Hlk22727281"/>
            <w:bookmarkStart w:id="3" w:name="_Hlk70873848"/>
            <w:r w:rsidRPr="004943F6">
              <w:rPr>
                <w:b/>
                <w:lang w:val="en-GB" w:eastAsia="en-CA" w:bidi="en-US"/>
              </w:rPr>
              <w:t>BUREAU</w:t>
            </w:r>
          </w:p>
        </w:tc>
      </w:tr>
      <w:bookmarkEnd w:id="2"/>
      <w:tr w:rsidR="00765216" w:rsidRPr="00512C6E" w14:paraId="54088E60" w14:textId="77777777" w:rsidTr="00422AD8">
        <w:trPr>
          <w:jc w:val="right"/>
        </w:trPr>
        <w:tc>
          <w:tcPr>
            <w:tcW w:w="2970" w:type="dxa"/>
          </w:tcPr>
          <w:p w14:paraId="5DE84FBF" w14:textId="77777777" w:rsidR="00765216" w:rsidRPr="004943F6" w:rsidRDefault="00765216" w:rsidP="007D760B">
            <w:pPr>
              <w:spacing w:before="40" w:after="80"/>
              <w:rPr>
                <w:b/>
                <w:lang w:val="en-GB" w:eastAsia="en-CA" w:bidi="en-US"/>
              </w:rPr>
            </w:pPr>
            <w:r w:rsidRPr="004943F6">
              <w:rPr>
                <w:b/>
                <w:color w:val="000000"/>
                <w:lang w:val="en-GB"/>
              </w:rPr>
              <w:t>Douglas Beard</w:t>
            </w:r>
          </w:p>
        </w:tc>
        <w:tc>
          <w:tcPr>
            <w:tcW w:w="5400" w:type="dxa"/>
          </w:tcPr>
          <w:p w14:paraId="34484840" w14:textId="77777777" w:rsidR="00765216" w:rsidRPr="004943F6" w:rsidRDefault="00765216" w:rsidP="007D760B">
            <w:pPr>
              <w:spacing w:after="80"/>
              <w:rPr>
                <w:lang w:val="en-GB" w:eastAsia="en-CA" w:bidi="en-US"/>
              </w:rPr>
            </w:pPr>
            <w:r w:rsidRPr="004943F6">
              <w:rPr>
                <w:rFonts w:cs="Calibri"/>
                <w:color w:val="000000"/>
                <w:lang w:val="en-GB"/>
              </w:rPr>
              <w:t xml:space="preserve">Geological Survey, </w:t>
            </w:r>
            <w:r w:rsidRPr="004943F6">
              <w:rPr>
                <w:color w:val="000000"/>
                <w:lang w:val="en-GB"/>
              </w:rPr>
              <w:t>United States of America</w:t>
            </w:r>
          </w:p>
        </w:tc>
      </w:tr>
      <w:tr w:rsidR="00765216" w:rsidRPr="00512C6E" w14:paraId="1C46640E" w14:textId="77777777" w:rsidTr="00422AD8">
        <w:trPr>
          <w:jc w:val="right"/>
        </w:trPr>
        <w:tc>
          <w:tcPr>
            <w:tcW w:w="2970" w:type="dxa"/>
          </w:tcPr>
          <w:p w14:paraId="674ACB85" w14:textId="77777777" w:rsidR="00765216" w:rsidRPr="004943F6" w:rsidRDefault="00765216" w:rsidP="007D760B">
            <w:pPr>
              <w:spacing w:before="40" w:after="80"/>
              <w:rPr>
                <w:b/>
                <w:color w:val="000000"/>
                <w:lang w:val="en-GB"/>
              </w:rPr>
            </w:pPr>
            <w:r w:rsidRPr="004943F6">
              <w:rPr>
                <w:b/>
                <w:color w:val="000000"/>
                <w:lang w:val="en-GB"/>
              </w:rPr>
              <w:t xml:space="preserve">Hamid </w:t>
            </w:r>
            <w:proofErr w:type="spellStart"/>
            <w:r w:rsidRPr="004943F6">
              <w:rPr>
                <w:b/>
                <w:color w:val="000000"/>
                <w:lang w:val="en-GB"/>
              </w:rPr>
              <w:t>Custovic</w:t>
            </w:r>
            <w:proofErr w:type="spellEnd"/>
          </w:p>
        </w:tc>
        <w:tc>
          <w:tcPr>
            <w:tcW w:w="5400" w:type="dxa"/>
          </w:tcPr>
          <w:p w14:paraId="3B6E9491" w14:textId="77777777" w:rsidR="00765216" w:rsidRPr="004943F6" w:rsidRDefault="00765216" w:rsidP="007D760B">
            <w:pPr>
              <w:spacing w:after="80"/>
              <w:rPr>
                <w:rFonts w:cs="Calibri"/>
                <w:color w:val="000000"/>
                <w:lang w:val="en-GB"/>
              </w:rPr>
            </w:pPr>
            <w:r w:rsidRPr="004943F6">
              <w:rPr>
                <w:rFonts w:cs="Calibri"/>
                <w:color w:val="000000"/>
                <w:lang w:val="en-GB"/>
              </w:rPr>
              <w:t xml:space="preserve">University of Sarajevo, </w:t>
            </w:r>
            <w:r w:rsidRPr="004943F6">
              <w:rPr>
                <w:color w:val="000000"/>
                <w:lang w:val="en-GB"/>
              </w:rPr>
              <w:t>Bosnia and Herzegovina</w:t>
            </w:r>
          </w:p>
        </w:tc>
      </w:tr>
      <w:bookmarkEnd w:id="3"/>
    </w:tbl>
    <w:p w14:paraId="53793DB5" w14:textId="77777777" w:rsidR="00765216" w:rsidRPr="004943F6" w:rsidRDefault="00765216" w:rsidP="00765216">
      <w:pPr>
        <w:rPr>
          <w:sz w:val="10"/>
          <w:szCs w:val="10"/>
          <w:lang w:val="en-GB"/>
        </w:rPr>
      </w:pPr>
    </w:p>
    <w:tbl>
      <w:tblPr>
        <w:tblW w:w="8307" w:type="dxa"/>
        <w:jc w:val="right"/>
        <w:tblLook w:val="04A0" w:firstRow="1" w:lastRow="0" w:firstColumn="1" w:lastColumn="0" w:noHBand="0" w:noVBand="1"/>
      </w:tblPr>
      <w:tblGrid>
        <w:gridCol w:w="2955"/>
        <w:gridCol w:w="5352"/>
      </w:tblGrid>
      <w:tr w:rsidR="00765216" w:rsidRPr="004943F6" w14:paraId="79685567" w14:textId="77777777" w:rsidTr="00422AD8">
        <w:trPr>
          <w:tblHeader/>
          <w:jc w:val="right"/>
        </w:trPr>
        <w:tc>
          <w:tcPr>
            <w:tcW w:w="8370" w:type="dxa"/>
            <w:gridSpan w:val="2"/>
            <w:tcBorders>
              <w:top w:val="single" w:sz="4" w:space="0" w:color="auto"/>
              <w:bottom w:val="single" w:sz="12" w:space="0" w:color="auto"/>
            </w:tcBorders>
          </w:tcPr>
          <w:p w14:paraId="6D4133AD" w14:textId="77777777" w:rsidR="00765216" w:rsidRPr="004943F6" w:rsidRDefault="00765216" w:rsidP="007D760B">
            <w:pPr>
              <w:spacing w:before="40" w:after="40"/>
              <w:rPr>
                <w:b/>
                <w:lang w:val="en-GB" w:eastAsia="en-CA" w:bidi="en-US"/>
              </w:rPr>
            </w:pPr>
            <w:r w:rsidRPr="004943F6">
              <w:rPr>
                <w:b/>
                <w:lang w:val="en-GB" w:eastAsia="en-CA" w:bidi="en-US"/>
              </w:rPr>
              <w:t>EXPERTS</w:t>
            </w:r>
          </w:p>
        </w:tc>
      </w:tr>
      <w:tr w:rsidR="00765216" w:rsidRPr="004943F6" w14:paraId="2A3C3894" w14:textId="77777777" w:rsidTr="00422AD8">
        <w:trPr>
          <w:jc w:val="right"/>
        </w:trPr>
        <w:tc>
          <w:tcPr>
            <w:tcW w:w="2970" w:type="dxa"/>
          </w:tcPr>
          <w:p w14:paraId="32A13D71" w14:textId="77777777" w:rsidR="00765216" w:rsidRPr="004943F6" w:rsidRDefault="00765216" w:rsidP="007D760B">
            <w:pPr>
              <w:spacing w:before="40" w:after="80"/>
              <w:rPr>
                <w:b/>
                <w:color w:val="000000"/>
                <w:lang w:val="en-GB"/>
              </w:rPr>
            </w:pPr>
            <w:proofErr w:type="spellStart"/>
            <w:r w:rsidRPr="004943F6">
              <w:rPr>
                <w:b/>
                <w:color w:val="000000"/>
                <w:lang w:val="en-GB"/>
              </w:rPr>
              <w:t>Sevil</w:t>
            </w:r>
            <w:proofErr w:type="spellEnd"/>
            <w:r w:rsidRPr="004943F6">
              <w:rPr>
                <w:b/>
                <w:color w:val="000000"/>
                <w:lang w:val="en-GB"/>
              </w:rPr>
              <w:t xml:space="preserve"> </w:t>
            </w:r>
            <w:proofErr w:type="spellStart"/>
            <w:r w:rsidRPr="004943F6">
              <w:rPr>
                <w:b/>
                <w:color w:val="000000"/>
                <w:lang w:val="en-GB"/>
              </w:rPr>
              <w:t>Acar</w:t>
            </w:r>
            <w:proofErr w:type="spellEnd"/>
          </w:p>
        </w:tc>
        <w:tc>
          <w:tcPr>
            <w:tcW w:w="5400" w:type="dxa"/>
          </w:tcPr>
          <w:p w14:paraId="6EBED69D" w14:textId="77777777" w:rsidR="00765216" w:rsidRPr="004943F6" w:rsidRDefault="00765216" w:rsidP="007D760B">
            <w:pPr>
              <w:spacing w:before="40" w:after="80"/>
              <w:rPr>
                <w:lang w:val="en-GB" w:eastAsia="en-CA" w:bidi="en-US"/>
              </w:rPr>
            </w:pPr>
            <w:proofErr w:type="spellStart"/>
            <w:r w:rsidRPr="004943F6">
              <w:rPr>
                <w:color w:val="000000"/>
                <w:lang w:val="en-GB"/>
              </w:rPr>
              <w:t>Bogazici</w:t>
            </w:r>
            <w:proofErr w:type="spellEnd"/>
            <w:r w:rsidRPr="004943F6">
              <w:rPr>
                <w:color w:val="000000"/>
                <w:lang w:val="en-GB"/>
              </w:rPr>
              <w:t xml:space="preserve"> University</w:t>
            </w:r>
            <w:r>
              <w:rPr>
                <w:color w:val="000000"/>
                <w:lang w:val="en-GB"/>
              </w:rPr>
              <w:t>, Turkey</w:t>
            </w:r>
          </w:p>
        </w:tc>
      </w:tr>
      <w:tr w:rsidR="00765216" w:rsidRPr="004943F6" w14:paraId="5BE51F4E" w14:textId="77777777" w:rsidTr="00422AD8">
        <w:trPr>
          <w:jc w:val="right"/>
        </w:trPr>
        <w:tc>
          <w:tcPr>
            <w:tcW w:w="2970" w:type="dxa"/>
          </w:tcPr>
          <w:p w14:paraId="63533CD6" w14:textId="77777777" w:rsidR="00765216" w:rsidRPr="004943F6" w:rsidRDefault="00765216" w:rsidP="007D760B">
            <w:pPr>
              <w:spacing w:before="40" w:after="80"/>
              <w:rPr>
                <w:b/>
                <w:color w:val="000000"/>
                <w:lang w:val="en-GB"/>
              </w:rPr>
            </w:pPr>
            <w:r w:rsidRPr="004943F6">
              <w:rPr>
                <w:b/>
                <w:color w:val="000000"/>
                <w:lang w:val="en-GB"/>
              </w:rPr>
              <w:t xml:space="preserve">Virginia Alonso </w:t>
            </w:r>
            <w:proofErr w:type="spellStart"/>
            <w:r w:rsidRPr="004943F6">
              <w:rPr>
                <w:b/>
                <w:color w:val="000000"/>
                <w:lang w:val="en-GB"/>
              </w:rPr>
              <w:t>Roldán</w:t>
            </w:r>
            <w:proofErr w:type="spellEnd"/>
          </w:p>
        </w:tc>
        <w:tc>
          <w:tcPr>
            <w:tcW w:w="5400" w:type="dxa"/>
          </w:tcPr>
          <w:p w14:paraId="0B51CAFE" w14:textId="77777777" w:rsidR="00765216" w:rsidRPr="004943F6" w:rsidRDefault="00765216" w:rsidP="007D760B">
            <w:pPr>
              <w:spacing w:before="40" w:after="80"/>
              <w:rPr>
                <w:i/>
                <w:lang w:val="en-GB" w:eastAsia="en-CA" w:bidi="en-US"/>
              </w:rPr>
            </w:pPr>
            <w:r w:rsidRPr="004943F6">
              <w:rPr>
                <w:color w:val="000000"/>
                <w:lang w:val="en-GB"/>
              </w:rPr>
              <w:t>National Technological University, Argentina</w:t>
            </w:r>
          </w:p>
        </w:tc>
      </w:tr>
      <w:tr w:rsidR="00765216" w:rsidRPr="004943F6" w14:paraId="28C206FD" w14:textId="77777777" w:rsidTr="00422AD8">
        <w:trPr>
          <w:jc w:val="right"/>
        </w:trPr>
        <w:tc>
          <w:tcPr>
            <w:tcW w:w="2970" w:type="dxa"/>
          </w:tcPr>
          <w:p w14:paraId="7FEED38A" w14:textId="77777777" w:rsidR="00765216" w:rsidRPr="004943F6" w:rsidRDefault="00765216" w:rsidP="007D760B">
            <w:pPr>
              <w:spacing w:before="40" w:after="80"/>
              <w:rPr>
                <w:b/>
                <w:color w:val="000000"/>
                <w:lang w:val="en-GB"/>
              </w:rPr>
            </w:pPr>
            <w:r w:rsidRPr="004943F6">
              <w:rPr>
                <w:b/>
                <w:color w:val="000000"/>
                <w:lang w:val="en-GB"/>
              </w:rPr>
              <w:t xml:space="preserve">Luciano </w:t>
            </w:r>
            <w:proofErr w:type="spellStart"/>
            <w:r w:rsidRPr="004943F6">
              <w:rPr>
                <w:b/>
                <w:color w:val="000000"/>
                <w:lang w:val="en-GB"/>
              </w:rPr>
              <w:t>Andriamaro</w:t>
            </w:r>
            <w:proofErr w:type="spellEnd"/>
          </w:p>
        </w:tc>
        <w:tc>
          <w:tcPr>
            <w:tcW w:w="5400" w:type="dxa"/>
          </w:tcPr>
          <w:p w14:paraId="08365E08" w14:textId="77777777" w:rsidR="00765216" w:rsidRPr="004943F6" w:rsidRDefault="00765216" w:rsidP="007D760B">
            <w:pPr>
              <w:spacing w:before="40" w:after="80"/>
              <w:rPr>
                <w:i/>
                <w:lang w:val="en-GB" w:eastAsia="en-CA" w:bidi="en-US"/>
              </w:rPr>
            </w:pPr>
            <w:r w:rsidRPr="004943F6">
              <w:rPr>
                <w:color w:val="000000"/>
                <w:lang w:val="en-GB"/>
              </w:rPr>
              <w:t>Conservation International</w:t>
            </w:r>
          </w:p>
        </w:tc>
      </w:tr>
      <w:tr w:rsidR="00765216" w:rsidRPr="00512C6E" w14:paraId="1AF37AEB" w14:textId="77777777" w:rsidTr="00422AD8">
        <w:trPr>
          <w:jc w:val="right"/>
        </w:trPr>
        <w:tc>
          <w:tcPr>
            <w:tcW w:w="2970" w:type="dxa"/>
          </w:tcPr>
          <w:p w14:paraId="3692E696" w14:textId="77777777" w:rsidR="00765216" w:rsidRPr="004943F6" w:rsidRDefault="00765216" w:rsidP="007D760B">
            <w:pPr>
              <w:spacing w:before="40" w:after="80"/>
              <w:rPr>
                <w:b/>
                <w:color w:val="000000"/>
                <w:lang w:val="en-GB"/>
              </w:rPr>
            </w:pPr>
            <w:r w:rsidRPr="004943F6">
              <w:rPr>
                <w:b/>
                <w:color w:val="000000"/>
                <w:lang w:val="en-GB"/>
              </w:rPr>
              <w:t>Frederick Armah</w:t>
            </w:r>
          </w:p>
        </w:tc>
        <w:tc>
          <w:tcPr>
            <w:tcW w:w="5400" w:type="dxa"/>
          </w:tcPr>
          <w:p w14:paraId="3CA4D7B1" w14:textId="77777777" w:rsidR="00765216" w:rsidRPr="004943F6" w:rsidRDefault="00765216" w:rsidP="007D760B">
            <w:pPr>
              <w:spacing w:before="40" w:after="80"/>
              <w:rPr>
                <w:i/>
                <w:lang w:val="en-GB" w:eastAsia="en-CA" w:bidi="en-US"/>
              </w:rPr>
            </w:pPr>
            <w:r w:rsidRPr="004943F6">
              <w:rPr>
                <w:color w:val="000000"/>
                <w:lang w:val="en-GB"/>
              </w:rPr>
              <w:t>University of Cape Coast, Ghana</w:t>
            </w:r>
          </w:p>
        </w:tc>
      </w:tr>
      <w:tr w:rsidR="00765216" w:rsidRPr="00512C6E" w14:paraId="39E9D2B2" w14:textId="77777777" w:rsidTr="00422AD8">
        <w:trPr>
          <w:jc w:val="right"/>
        </w:trPr>
        <w:tc>
          <w:tcPr>
            <w:tcW w:w="2970" w:type="dxa"/>
          </w:tcPr>
          <w:p w14:paraId="09BF4624" w14:textId="77777777" w:rsidR="00765216" w:rsidRPr="004943F6" w:rsidRDefault="00765216" w:rsidP="007D760B">
            <w:pPr>
              <w:spacing w:before="40" w:after="80"/>
              <w:rPr>
                <w:b/>
                <w:color w:val="000000"/>
                <w:lang w:val="en-GB"/>
              </w:rPr>
            </w:pPr>
            <w:r w:rsidRPr="004943F6">
              <w:rPr>
                <w:b/>
                <w:color w:val="000000"/>
                <w:lang w:val="en-GB"/>
              </w:rPr>
              <w:t xml:space="preserve">Anne </w:t>
            </w:r>
            <w:proofErr w:type="spellStart"/>
            <w:r w:rsidRPr="004943F6">
              <w:rPr>
                <w:b/>
                <w:color w:val="000000"/>
                <w:lang w:val="en-GB"/>
              </w:rPr>
              <w:t>Gaelle</w:t>
            </w:r>
            <w:proofErr w:type="spellEnd"/>
            <w:r w:rsidRPr="004943F6">
              <w:rPr>
                <w:b/>
                <w:color w:val="000000"/>
                <w:lang w:val="en-GB"/>
              </w:rPr>
              <w:t xml:space="preserve"> </w:t>
            </w:r>
            <w:proofErr w:type="spellStart"/>
            <w:r w:rsidRPr="004943F6">
              <w:rPr>
                <w:b/>
                <w:color w:val="000000"/>
                <w:lang w:val="en-GB"/>
              </w:rPr>
              <w:t>Ausseil</w:t>
            </w:r>
            <w:proofErr w:type="spellEnd"/>
          </w:p>
        </w:tc>
        <w:tc>
          <w:tcPr>
            <w:tcW w:w="5400" w:type="dxa"/>
          </w:tcPr>
          <w:p w14:paraId="09F29279" w14:textId="77777777" w:rsidR="00765216" w:rsidRPr="004943F6" w:rsidRDefault="00765216" w:rsidP="007D760B">
            <w:pPr>
              <w:spacing w:before="40" w:after="80"/>
              <w:rPr>
                <w:i/>
                <w:lang w:val="en-GB" w:eastAsia="en-CA" w:bidi="en-US"/>
              </w:rPr>
            </w:pPr>
            <w:r w:rsidRPr="004943F6">
              <w:rPr>
                <w:color w:val="000000"/>
                <w:lang w:val="en-GB"/>
              </w:rPr>
              <w:t>Manaaki Whenua Landcare Research</w:t>
            </w:r>
            <w:r>
              <w:rPr>
                <w:color w:val="000000"/>
                <w:lang w:val="en-GB"/>
              </w:rPr>
              <w:t>, New Zealand</w:t>
            </w:r>
          </w:p>
        </w:tc>
      </w:tr>
      <w:tr w:rsidR="00765216" w:rsidRPr="00512C6E" w14:paraId="5A1D0E4C" w14:textId="77777777" w:rsidTr="00422AD8">
        <w:trPr>
          <w:jc w:val="right"/>
        </w:trPr>
        <w:tc>
          <w:tcPr>
            <w:tcW w:w="2970" w:type="dxa"/>
          </w:tcPr>
          <w:p w14:paraId="5A44CCFB" w14:textId="77777777" w:rsidR="00765216" w:rsidRPr="004943F6" w:rsidRDefault="00765216" w:rsidP="007D760B">
            <w:pPr>
              <w:spacing w:before="40" w:after="80"/>
              <w:rPr>
                <w:b/>
                <w:color w:val="000000"/>
                <w:lang w:val="en-GB"/>
              </w:rPr>
            </w:pPr>
            <w:r w:rsidRPr="004943F6">
              <w:rPr>
                <w:b/>
                <w:color w:val="000000"/>
                <w:lang w:val="en-GB"/>
              </w:rPr>
              <w:t xml:space="preserve">Mohamed </w:t>
            </w:r>
            <w:proofErr w:type="spellStart"/>
            <w:r w:rsidRPr="004943F6">
              <w:rPr>
                <w:b/>
                <w:color w:val="000000"/>
                <w:lang w:val="en-GB"/>
              </w:rPr>
              <w:t>Behnassi</w:t>
            </w:r>
            <w:proofErr w:type="spellEnd"/>
          </w:p>
        </w:tc>
        <w:tc>
          <w:tcPr>
            <w:tcW w:w="5400" w:type="dxa"/>
          </w:tcPr>
          <w:p w14:paraId="1C789C9E" w14:textId="77777777" w:rsidR="00765216" w:rsidRPr="004943F6" w:rsidRDefault="00765216" w:rsidP="007D760B">
            <w:pPr>
              <w:spacing w:before="40" w:after="80"/>
              <w:rPr>
                <w:lang w:val="en-GB" w:eastAsia="en-CA" w:bidi="en-US"/>
              </w:rPr>
            </w:pPr>
            <w:r w:rsidRPr="004943F6">
              <w:rPr>
                <w:color w:val="000000"/>
                <w:lang w:val="en-GB"/>
              </w:rPr>
              <w:t xml:space="preserve">Ibn </w:t>
            </w:r>
            <w:proofErr w:type="spellStart"/>
            <w:r w:rsidRPr="004943F6">
              <w:rPr>
                <w:color w:val="000000"/>
                <w:lang w:val="en-GB"/>
              </w:rPr>
              <w:t>Zohr</w:t>
            </w:r>
            <w:proofErr w:type="spellEnd"/>
            <w:r w:rsidRPr="004943F6">
              <w:rPr>
                <w:color w:val="000000"/>
                <w:lang w:val="en-GB"/>
              </w:rPr>
              <w:t xml:space="preserve"> University of Agadir</w:t>
            </w:r>
            <w:r>
              <w:rPr>
                <w:color w:val="000000"/>
                <w:lang w:val="en-GB"/>
              </w:rPr>
              <w:t>, Morocco</w:t>
            </w:r>
          </w:p>
        </w:tc>
      </w:tr>
      <w:tr w:rsidR="00765216" w:rsidRPr="00512C6E" w14:paraId="26176FD4" w14:textId="77777777" w:rsidTr="00422AD8">
        <w:trPr>
          <w:jc w:val="right"/>
        </w:trPr>
        <w:tc>
          <w:tcPr>
            <w:tcW w:w="2970" w:type="dxa"/>
          </w:tcPr>
          <w:p w14:paraId="27BA5C97" w14:textId="77777777" w:rsidR="00765216" w:rsidRPr="004943F6" w:rsidRDefault="00765216" w:rsidP="007D760B">
            <w:pPr>
              <w:spacing w:before="40" w:after="80"/>
              <w:rPr>
                <w:b/>
                <w:color w:val="000000"/>
                <w:lang w:val="en-GB"/>
              </w:rPr>
            </w:pPr>
            <w:r w:rsidRPr="004943F6">
              <w:rPr>
                <w:b/>
                <w:color w:val="000000"/>
                <w:lang w:val="en-GB"/>
              </w:rPr>
              <w:t>Andrea Belgrano</w:t>
            </w:r>
          </w:p>
        </w:tc>
        <w:tc>
          <w:tcPr>
            <w:tcW w:w="5400" w:type="dxa"/>
          </w:tcPr>
          <w:p w14:paraId="337EE4AC" w14:textId="77777777" w:rsidR="00765216" w:rsidRPr="004943F6" w:rsidRDefault="00765216" w:rsidP="007D760B">
            <w:pPr>
              <w:spacing w:before="40" w:after="80"/>
              <w:rPr>
                <w:lang w:val="en-GB"/>
              </w:rPr>
            </w:pPr>
            <w:r w:rsidRPr="004943F6">
              <w:rPr>
                <w:color w:val="000000"/>
                <w:lang w:val="en-GB"/>
              </w:rPr>
              <w:t>Swedish University of Agricultural Sciences</w:t>
            </w:r>
          </w:p>
        </w:tc>
      </w:tr>
      <w:tr w:rsidR="00765216" w:rsidRPr="004943F6" w14:paraId="66098D21" w14:textId="77777777" w:rsidTr="00422AD8">
        <w:trPr>
          <w:jc w:val="right"/>
        </w:trPr>
        <w:tc>
          <w:tcPr>
            <w:tcW w:w="2970" w:type="dxa"/>
          </w:tcPr>
          <w:p w14:paraId="6C29ED95" w14:textId="77777777" w:rsidR="00765216" w:rsidRPr="004943F6" w:rsidRDefault="00765216" w:rsidP="007D760B">
            <w:pPr>
              <w:spacing w:before="40" w:after="80"/>
              <w:rPr>
                <w:b/>
                <w:color w:val="000000"/>
                <w:lang w:val="en-GB"/>
              </w:rPr>
            </w:pPr>
            <w:r w:rsidRPr="004943F6">
              <w:rPr>
                <w:b/>
                <w:color w:val="000000"/>
                <w:lang w:val="en-GB"/>
              </w:rPr>
              <w:t xml:space="preserve">Peter </w:t>
            </w:r>
            <w:proofErr w:type="spellStart"/>
            <w:r w:rsidRPr="004943F6">
              <w:rPr>
                <w:b/>
                <w:color w:val="000000"/>
                <w:lang w:val="en-GB"/>
              </w:rPr>
              <w:t>Daszak</w:t>
            </w:r>
            <w:proofErr w:type="spellEnd"/>
          </w:p>
        </w:tc>
        <w:tc>
          <w:tcPr>
            <w:tcW w:w="5400" w:type="dxa"/>
          </w:tcPr>
          <w:p w14:paraId="1F8C579B" w14:textId="77777777" w:rsidR="00765216" w:rsidRPr="004943F6" w:rsidRDefault="00765216" w:rsidP="007D760B">
            <w:pPr>
              <w:spacing w:before="40" w:after="80"/>
              <w:rPr>
                <w:i/>
                <w:lang w:val="en-GB" w:eastAsia="en-CA" w:bidi="en-US"/>
              </w:rPr>
            </w:pPr>
            <w:proofErr w:type="spellStart"/>
            <w:r>
              <w:rPr>
                <w:color w:val="000000"/>
                <w:lang w:val="en-GB"/>
              </w:rPr>
              <w:t>EcoHealth</w:t>
            </w:r>
            <w:proofErr w:type="spellEnd"/>
            <w:r>
              <w:rPr>
                <w:color w:val="000000"/>
                <w:lang w:val="en-GB"/>
              </w:rPr>
              <w:t xml:space="preserve"> Alliance</w:t>
            </w:r>
          </w:p>
        </w:tc>
      </w:tr>
      <w:tr w:rsidR="00765216" w:rsidRPr="00512C6E" w14:paraId="302F1B4A" w14:textId="77777777" w:rsidTr="00422AD8">
        <w:trPr>
          <w:jc w:val="right"/>
        </w:trPr>
        <w:tc>
          <w:tcPr>
            <w:tcW w:w="2970" w:type="dxa"/>
          </w:tcPr>
          <w:p w14:paraId="17781131" w14:textId="77777777" w:rsidR="00765216" w:rsidRPr="004943F6" w:rsidRDefault="00765216" w:rsidP="007D760B">
            <w:pPr>
              <w:spacing w:before="40" w:after="80"/>
              <w:rPr>
                <w:b/>
                <w:color w:val="000000"/>
                <w:lang w:val="es-ES"/>
              </w:rPr>
            </w:pPr>
            <w:r w:rsidRPr="004943F6">
              <w:rPr>
                <w:b/>
                <w:color w:val="000000"/>
                <w:lang w:val="es-ES"/>
              </w:rPr>
              <w:t xml:space="preserve">Ana Paula </w:t>
            </w:r>
            <w:proofErr w:type="spellStart"/>
            <w:r w:rsidRPr="004943F6">
              <w:rPr>
                <w:b/>
                <w:color w:val="000000"/>
                <w:lang w:val="es-ES"/>
              </w:rPr>
              <w:t>Dutra</w:t>
            </w:r>
            <w:proofErr w:type="spellEnd"/>
            <w:r w:rsidRPr="004943F6">
              <w:rPr>
                <w:b/>
                <w:color w:val="000000"/>
                <w:lang w:val="es-ES"/>
              </w:rPr>
              <w:t xml:space="preserve"> De Aguiar</w:t>
            </w:r>
          </w:p>
        </w:tc>
        <w:tc>
          <w:tcPr>
            <w:tcW w:w="5400" w:type="dxa"/>
          </w:tcPr>
          <w:p w14:paraId="74385559" w14:textId="77777777" w:rsidR="00765216" w:rsidRPr="004943F6" w:rsidRDefault="00765216" w:rsidP="007D760B">
            <w:pPr>
              <w:spacing w:before="40" w:after="80"/>
              <w:rPr>
                <w:i/>
                <w:lang w:val="en-GB" w:eastAsia="en-CA" w:bidi="en-US"/>
              </w:rPr>
            </w:pPr>
            <w:r w:rsidRPr="004943F6">
              <w:rPr>
                <w:color w:val="000000"/>
                <w:lang w:val="en-GB"/>
              </w:rPr>
              <w:t>National Institute for Space Research (INPE), Brazil</w:t>
            </w:r>
          </w:p>
        </w:tc>
      </w:tr>
      <w:tr w:rsidR="00765216" w:rsidRPr="00512C6E" w14:paraId="5D92109D" w14:textId="77777777" w:rsidTr="00422AD8">
        <w:trPr>
          <w:jc w:val="right"/>
        </w:trPr>
        <w:tc>
          <w:tcPr>
            <w:tcW w:w="2970" w:type="dxa"/>
          </w:tcPr>
          <w:p w14:paraId="1A36A55A" w14:textId="77777777" w:rsidR="00765216" w:rsidRPr="004943F6" w:rsidRDefault="00765216" w:rsidP="007D760B">
            <w:pPr>
              <w:spacing w:before="40" w:after="80"/>
              <w:rPr>
                <w:b/>
                <w:color w:val="000000"/>
                <w:lang w:val="en-GB"/>
              </w:rPr>
            </w:pPr>
            <w:r w:rsidRPr="004943F6">
              <w:rPr>
                <w:b/>
                <w:color w:val="000000"/>
                <w:lang w:val="en-GB"/>
              </w:rPr>
              <w:t xml:space="preserve">Pierre </w:t>
            </w:r>
            <w:proofErr w:type="spellStart"/>
            <w:r w:rsidRPr="004943F6">
              <w:rPr>
                <w:b/>
                <w:color w:val="000000"/>
                <w:lang w:val="en-GB"/>
              </w:rPr>
              <w:t>Failler</w:t>
            </w:r>
            <w:proofErr w:type="spellEnd"/>
          </w:p>
        </w:tc>
        <w:tc>
          <w:tcPr>
            <w:tcW w:w="5400" w:type="dxa"/>
          </w:tcPr>
          <w:p w14:paraId="3D721B67" w14:textId="77777777" w:rsidR="00765216" w:rsidRPr="004943F6" w:rsidRDefault="00765216" w:rsidP="007D760B">
            <w:pPr>
              <w:spacing w:before="40" w:after="80"/>
              <w:rPr>
                <w:i/>
                <w:lang w:val="en-GB" w:eastAsia="en-CA" w:bidi="en-US"/>
              </w:rPr>
            </w:pPr>
            <w:r w:rsidRPr="004943F6">
              <w:rPr>
                <w:color w:val="000000"/>
                <w:lang w:val="en-GB"/>
              </w:rPr>
              <w:t>University of Portsmouth</w:t>
            </w:r>
            <w:r>
              <w:rPr>
                <w:color w:val="000000"/>
                <w:lang w:val="en-GB"/>
              </w:rPr>
              <w:t xml:space="preserve">, </w:t>
            </w:r>
            <w:r w:rsidRPr="004943F6">
              <w:rPr>
                <w:color w:val="000000"/>
                <w:lang w:val="en-GB"/>
              </w:rPr>
              <w:t>United Kingdom</w:t>
            </w:r>
          </w:p>
        </w:tc>
      </w:tr>
      <w:tr w:rsidR="00765216" w:rsidRPr="004943F6" w14:paraId="12F95036" w14:textId="77777777" w:rsidTr="00422AD8">
        <w:trPr>
          <w:jc w:val="right"/>
        </w:trPr>
        <w:tc>
          <w:tcPr>
            <w:tcW w:w="2970" w:type="dxa"/>
          </w:tcPr>
          <w:p w14:paraId="47943AD7" w14:textId="77777777" w:rsidR="00765216" w:rsidRPr="004943F6" w:rsidRDefault="00765216" w:rsidP="007D760B">
            <w:pPr>
              <w:spacing w:before="40" w:after="80"/>
              <w:rPr>
                <w:b/>
                <w:color w:val="000000"/>
                <w:lang w:val="en-GB"/>
              </w:rPr>
            </w:pPr>
            <w:r w:rsidRPr="004943F6">
              <w:rPr>
                <w:b/>
                <w:color w:val="000000"/>
                <w:lang w:val="en-GB"/>
              </w:rPr>
              <w:t xml:space="preserve">Catherine </w:t>
            </w:r>
            <w:proofErr w:type="spellStart"/>
            <w:r w:rsidRPr="004943F6">
              <w:rPr>
                <w:b/>
                <w:color w:val="000000"/>
                <w:lang w:val="en-GB"/>
              </w:rPr>
              <w:t>Febria</w:t>
            </w:r>
            <w:proofErr w:type="spellEnd"/>
          </w:p>
        </w:tc>
        <w:tc>
          <w:tcPr>
            <w:tcW w:w="5400" w:type="dxa"/>
          </w:tcPr>
          <w:p w14:paraId="1CA221D9" w14:textId="77777777" w:rsidR="00765216" w:rsidRPr="004943F6" w:rsidRDefault="00765216" w:rsidP="007D760B">
            <w:pPr>
              <w:spacing w:before="40" w:after="80"/>
              <w:rPr>
                <w:i/>
                <w:lang w:val="en-GB" w:eastAsia="en-CA" w:bidi="en-US"/>
              </w:rPr>
            </w:pPr>
            <w:r w:rsidRPr="004943F6">
              <w:rPr>
                <w:color w:val="000000"/>
                <w:lang w:val="en-GB"/>
              </w:rPr>
              <w:t>University of Windsor</w:t>
            </w:r>
            <w:r>
              <w:rPr>
                <w:color w:val="000000"/>
                <w:lang w:val="en-GB"/>
              </w:rPr>
              <w:t>, Canada</w:t>
            </w:r>
          </w:p>
        </w:tc>
      </w:tr>
      <w:tr w:rsidR="00765216" w:rsidRPr="004943F6" w14:paraId="2AD276F0" w14:textId="77777777" w:rsidTr="00422AD8">
        <w:trPr>
          <w:jc w:val="right"/>
        </w:trPr>
        <w:tc>
          <w:tcPr>
            <w:tcW w:w="2970" w:type="dxa"/>
          </w:tcPr>
          <w:p w14:paraId="0186DAF2" w14:textId="77777777" w:rsidR="00765216" w:rsidRPr="004943F6" w:rsidRDefault="00765216" w:rsidP="007D760B">
            <w:pPr>
              <w:spacing w:before="40" w:after="80"/>
              <w:rPr>
                <w:b/>
                <w:color w:val="000000"/>
                <w:lang w:val="en-GB"/>
              </w:rPr>
            </w:pPr>
            <w:r w:rsidRPr="004943F6">
              <w:rPr>
                <w:b/>
                <w:color w:val="000000"/>
                <w:lang w:val="en-GB"/>
              </w:rPr>
              <w:t xml:space="preserve">Alexandros </w:t>
            </w:r>
            <w:proofErr w:type="spellStart"/>
            <w:r w:rsidRPr="004943F6">
              <w:rPr>
                <w:b/>
                <w:color w:val="000000"/>
                <w:lang w:val="en-GB"/>
              </w:rPr>
              <w:t>Gasparatos</w:t>
            </w:r>
            <w:proofErr w:type="spellEnd"/>
          </w:p>
        </w:tc>
        <w:tc>
          <w:tcPr>
            <w:tcW w:w="5400" w:type="dxa"/>
          </w:tcPr>
          <w:p w14:paraId="2D8A39A7" w14:textId="77777777" w:rsidR="00765216" w:rsidRPr="004943F6" w:rsidRDefault="00765216" w:rsidP="007D760B">
            <w:pPr>
              <w:spacing w:before="40" w:after="80"/>
              <w:rPr>
                <w:i/>
                <w:lang w:val="en-GB" w:eastAsia="en-CA" w:bidi="en-US"/>
              </w:rPr>
            </w:pPr>
            <w:r w:rsidRPr="004943F6">
              <w:rPr>
                <w:color w:val="000000"/>
                <w:lang w:val="en-GB"/>
              </w:rPr>
              <w:t>University of Tokyo</w:t>
            </w:r>
            <w:r>
              <w:rPr>
                <w:color w:val="000000"/>
                <w:lang w:val="en-GB"/>
              </w:rPr>
              <w:t>, Japan</w:t>
            </w:r>
          </w:p>
        </w:tc>
      </w:tr>
      <w:tr w:rsidR="00765216" w:rsidRPr="00512C6E" w14:paraId="60D662AA" w14:textId="77777777" w:rsidTr="00422AD8">
        <w:trPr>
          <w:jc w:val="right"/>
        </w:trPr>
        <w:tc>
          <w:tcPr>
            <w:tcW w:w="2970" w:type="dxa"/>
          </w:tcPr>
          <w:p w14:paraId="6729AE2A" w14:textId="77777777" w:rsidR="00765216" w:rsidRPr="004943F6" w:rsidRDefault="00765216" w:rsidP="007D760B">
            <w:pPr>
              <w:spacing w:before="40" w:after="80"/>
              <w:rPr>
                <w:b/>
                <w:color w:val="000000"/>
                <w:lang w:val="en-GB"/>
              </w:rPr>
            </w:pPr>
            <w:r w:rsidRPr="004943F6">
              <w:rPr>
                <w:b/>
                <w:color w:val="000000"/>
                <w:lang w:val="en-GB"/>
              </w:rPr>
              <w:t>Karen Greenough</w:t>
            </w:r>
          </w:p>
        </w:tc>
        <w:tc>
          <w:tcPr>
            <w:tcW w:w="5400" w:type="dxa"/>
          </w:tcPr>
          <w:p w14:paraId="450B62B4" w14:textId="77777777" w:rsidR="00765216" w:rsidRPr="004943F6" w:rsidRDefault="00765216" w:rsidP="007D760B">
            <w:pPr>
              <w:spacing w:before="40" w:after="80"/>
              <w:rPr>
                <w:i/>
                <w:lang w:val="en-GB" w:eastAsia="en-CA" w:bidi="en-US"/>
              </w:rPr>
            </w:pPr>
            <w:r w:rsidRPr="004943F6">
              <w:rPr>
                <w:color w:val="000000"/>
                <w:lang w:val="en-GB"/>
              </w:rPr>
              <w:t>University of Faso</w:t>
            </w:r>
            <w:r>
              <w:rPr>
                <w:color w:val="000000"/>
                <w:lang w:val="en-GB"/>
              </w:rPr>
              <w:t>, Burkina Faso</w:t>
            </w:r>
          </w:p>
        </w:tc>
      </w:tr>
      <w:tr w:rsidR="00765216" w:rsidRPr="004943F6" w14:paraId="3A4C492A" w14:textId="77777777" w:rsidTr="00422AD8">
        <w:trPr>
          <w:jc w:val="right"/>
        </w:trPr>
        <w:tc>
          <w:tcPr>
            <w:tcW w:w="2970" w:type="dxa"/>
          </w:tcPr>
          <w:p w14:paraId="1B93F458" w14:textId="77777777" w:rsidR="00765216" w:rsidRPr="004943F6" w:rsidRDefault="00765216" w:rsidP="007D760B">
            <w:pPr>
              <w:spacing w:before="40" w:after="80"/>
              <w:rPr>
                <w:b/>
                <w:color w:val="000000"/>
                <w:lang w:val="en-GB"/>
              </w:rPr>
            </w:pPr>
            <w:proofErr w:type="spellStart"/>
            <w:r w:rsidRPr="004943F6">
              <w:rPr>
                <w:b/>
                <w:color w:val="000000"/>
                <w:lang w:val="en-GB"/>
              </w:rPr>
              <w:t>Wame</w:t>
            </w:r>
            <w:proofErr w:type="spellEnd"/>
            <w:r w:rsidRPr="004943F6">
              <w:rPr>
                <w:b/>
                <w:color w:val="000000"/>
                <w:lang w:val="en-GB"/>
              </w:rPr>
              <w:t xml:space="preserve"> Lucretia </w:t>
            </w:r>
            <w:proofErr w:type="spellStart"/>
            <w:r w:rsidRPr="004943F6">
              <w:rPr>
                <w:b/>
                <w:color w:val="000000"/>
                <w:lang w:val="en-GB"/>
              </w:rPr>
              <w:t>Hambira</w:t>
            </w:r>
            <w:proofErr w:type="spellEnd"/>
          </w:p>
        </w:tc>
        <w:tc>
          <w:tcPr>
            <w:tcW w:w="5400" w:type="dxa"/>
          </w:tcPr>
          <w:p w14:paraId="16118C9E" w14:textId="77777777" w:rsidR="00765216" w:rsidRPr="004943F6" w:rsidRDefault="00765216" w:rsidP="007D760B">
            <w:pPr>
              <w:spacing w:before="40" w:after="80"/>
              <w:rPr>
                <w:i/>
                <w:lang w:val="en-GB" w:eastAsia="en-CA" w:bidi="en-US"/>
              </w:rPr>
            </w:pPr>
            <w:r w:rsidRPr="004943F6">
              <w:rPr>
                <w:color w:val="000000"/>
                <w:lang w:val="en-GB"/>
              </w:rPr>
              <w:t>University of Botswana</w:t>
            </w:r>
          </w:p>
        </w:tc>
      </w:tr>
      <w:tr w:rsidR="00765216" w:rsidRPr="00512C6E" w14:paraId="52BCCD3A" w14:textId="77777777" w:rsidTr="00422AD8">
        <w:trPr>
          <w:jc w:val="right"/>
        </w:trPr>
        <w:tc>
          <w:tcPr>
            <w:tcW w:w="2970" w:type="dxa"/>
          </w:tcPr>
          <w:p w14:paraId="1B9F99D7" w14:textId="77777777" w:rsidR="00765216" w:rsidRPr="004943F6" w:rsidRDefault="00765216" w:rsidP="007D760B">
            <w:pPr>
              <w:spacing w:before="40" w:after="80"/>
              <w:rPr>
                <w:b/>
                <w:color w:val="000000"/>
                <w:lang w:val="en-GB"/>
              </w:rPr>
            </w:pPr>
            <w:r w:rsidRPr="004943F6">
              <w:rPr>
                <w:b/>
                <w:color w:val="000000"/>
                <w:lang w:val="en-GB"/>
              </w:rPr>
              <w:t>Paula Harrison</w:t>
            </w:r>
          </w:p>
        </w:tc>
        <w:tc>
          <w:tcPr>
            <w:tcW w:w="5400" w:type="dxa"/>
          </w:tcPr>
          <w:p w14:paraId="54DD8ED1" w14:textId="77777777" w:rsidR="00765216" w:rsidRPr="004943F6" w:rsidRDefault="00765216" w:rsidP="007D760B">
            <w:pPr>
              <w:spacing w:before="40" w:after="80"/>
              <w:rPr>
                <w:i/>
                <w:lang w:val="en-GB" w:eastAsia="en-CA" w:bidi="en-US"/>
              </w:rPr>
            </w:pPr>
            <w:r w:rsidRPr="004943F6">
              <w:rPr>
                <w:color w:val="000000"/>
                <w:lang w:val="en-GB"/>
              </w:rPr>
              <w:t>Centre for Ecology &amp; Hydrology, United Kingdom</w:t>
            </w:r>
          </w:p>
        </w:tc>
      </w:tr>
      <w:tr w:rsidR="00765216" w:rsidRPr="00512C6E" w14:paraId="48661374" w14:textId="77777777" w:rsidTr="00422AD8">
        <w:trPr>
          <w:jc w:val="right"/>
        </w:trPr>
        <w:tc>
          <w:tcPr>
            <w:tcW w:w="2970" w:type="dxa"/>
          </w:tcPr>
          <w:p w14:paraId="301A1A17" w14:textId="77777777" w:rsidR="00765216" w:rsidRPr="004943F6" w:rsidRDefault="00765216" w:rsidP="007D760B">
            <w:pPr>
              <w:spacing w:before="40" w:after="80"/>
              <w:rPr>
                <w:b/>
                <w:color w:val="000000"/>
                <w:lang w:val="en-GB"/>
              </w:rPr>
            </w:pPr>
            <w:r w:rsidRPr="004943F6">
              <w:rPr>
                <w:b/>
                <w:color w:val="000000"/>
                <w:lang w:val="en-GB"/>
              </w:rPr>
              <w:t xml:space="preserve">Gregory </w:t>
            </w:r>
            <w:proofErr w:type="spellStart"/>
            <w:r w:rsidRPr="004943F6">
              <w:rPr>
                <w:b/>
                <w:color w:val="000000"/>
                <w:lang w:val="en-GB"/>
              </w:rPr>
              <w:t>Insarov</w:t>
            </w:r>
            <w:proofErr w:type="spellEnd"/>
          </w:p>
        </w:tc>
        <w:tc>
          <w:tcPr>
            <w:tcW w:w="5400" w:type="dxa"/>
          </w:tcPr>
          <w:p w14:paraId="7467AD08" w14:textId="77777777" w:rsidR="00765216" w:rsidRPr="004943F6" w:rsidRDefault="00765216" w:rsidP="007D760B">
            <w:pPr>
              <w:spacing w:before="40" w:after="80"/>
              <w:rPr>
                <w:i/>
                <w:lang w:val="en-GB" w:eastAsia="en-CA" w:bidi="en-US"/>
              </w:rPr>
            </w:pPr>
            <w:r w:rsidRPr="004943F6">
              <w:rPr>
                <w:color w:val="000000"/>
                <w:lang w:val="en-GB"/>
              </w:rPr>
              <w:t>Institute of Geography of the Russian Academy of Sciences</w:t>
            </w:r>
          </w:p>
        </w:tc>
      </w:tr>
      <w:tr w:rsidR="00765216" w:rsidRPr="00512C6E" w14:paraId="763275E8" w14:textId="77777777" w:rsidTr="00422AD8">
        <w:trPr>
          <w:jc w:val="right"/>
        </w:trPr>
        <w:tc>
          <w:tcPr>
            <w:tcW w:w="2970" w:type="dxa"/>
          </w:tcPr>
          <w:p w14:paraId="0F05133F" w14:textId="77777777" w:rsidR="00765216" w:rsidRPr="004943F6" w:rsidRDefault="00765216" w:rsidP="007D760B">
            <w:pPr>
              <w:spacing w:before="40" w:after="80"/>
              <w:rPr>
                <w:b/>
                <w:color w:val="000000"/>
                <w:lang w:val="en-GB"/>
              </w:rPr>
            </w:pPr>
            <w:proofErr w:type="spellStart"/>
            <w:r w:rsidRPr="004943F6">
              <w:rPr>
                <w:b/>
                <w:color w:val="000000"/>
                <w:lang w:val="en-GB"/>
              </w:rPr>
              <w:t>Gensuo</w:t>
            </w:r>
            <w:proofErr w:type="spellEnd"/>
            <w:r w:rsidRPr="004943F6">
              <w:rPr>
                <w:b/>
                <w:color w:val="000000"/>
                <w:lang w:val="en-GB"/>
              </w:rPr>
              <w:t xml:space="preserve"> Jia</w:t>
            </w:r>
          </w:p>
        </w:tc>
        <w:tc>
          <w:tcPr>
            <w:tcW w:w="5400" w:type="dxa"/>
          </w:tcPr>
          <w:p w14:paraId="50C02403" w14:textId="77777777" w:rsidR="00765216" w:rsidRPr="004943F6" w:rsidRDefault="00765216" w:rsidP="007D760B">
            <w:pPr>
              <w:spacing w:before="40" w:after="80"/>
              <w:rPr>
                <w:i/>
                <w:lang w:val="en-GB" w:eastAsia="en-CA" w:bidi="en-US"/>
              </w:rPr>
            </w:pPr>
            <w:r>
              <w:rPr>
                <w:color w:val="000000"/>
                <w:lang w:val="en-GB"/>
              </w:rPr>
              <w:t>Chinese Academy of Science,</w:t>
            </w:r>
            <w:r w:rsidRPr="004943F6">
              <w:rPr>
                <w:color w:val="000000"/>
                <w:lang w:val="en-GB"/>
              </w:rPr>
              <w:t xml:space="preserve"> Institute of Atmospheric Physics</w:t>
            </w:r>
          </w:p>
        </w:tc>
      </w:tr>
      <w:tr w:rsidR="00765216" w:rsidRPr="00512C6E" w14:paraId="288A88C4" w14:textId="77777777" w:rsidTr="00422AD8">
        <w:trPr>
          <w:jc w:val="right"/>
        </w:trPr>
        <w:tc>
          <w:tcPr>
            <w:tcW w:w="2970" w:type="dxa"/>
          </w:tcPr>
          <w:p w14:paraId="08E237ED" w14:textId="77777777" w:rsidR="00765216" w:rsidRPr="004943F6" w:rsidRDefault="00765216" w:rsidP="007D760B">
            <w:pPr>
              <w:spacing w:before="40" w:after="80"/>
              <w:rPr>
                <w:b/>
                <w:color w:val="000000"/>
                <w:lang w:val="en-GB"/>
              </w:rPr>
            </w:pPr>
            <w:r w:rsidRPr="004943F6">
              <w:rPr>
                <w:b/>
                <w:color w:val="000000"/>
                <w:lang w:val="en-GB"/>
              </w:rPr>
              <w:t>Ganesh Joshi</w:t>
            </w:r>
          </w:p>
        </w:tc>
        <w:tc>
          <w:tcPr>
            <w:tcW w:w="5400" w:type="dxa"/>
          </w:tcPr>
          <w:p w14:paraId="69882F46" w14:textId="77777777" w:rsidR="00765216" w:rsidRPr="004943F6" w:rsidRDefault="00765216" w:rsidP="007D760B">
            <w:pPr>
              <w:spacing w:before="40" w:after="80"/>
              <w:rPr>
                <w:i/>
                <w:lang w:val="en-GB" w:eastAsia="en-CA" w:bidi="en-US"/>
              </w:rPr>
            </w:pPr>
            <w:r w:rsidRPr="004943F6">
              <w:rPr>
                <w:color w:val="000000"/>
                <w:lang w:val="en-GB"/>
              </w:rPr>
              <w:t>Commission for the Investigation of Abuse of Authority, Nepal</w:t>
            </w:r>
          </w:p>
        </w:tc>
      </w:tr>
      <w:tr w:rsidR="00765216" w:rsidRPr="004943F6" w14:paraId="5519B979" w14:textId="77777777" w:rsidTr="00422AD8">
        <w:trPr>
          <w:jc w:val="right"/>
        </w:trPr>
        <w:tc>
          <w:tcPr>
            <w:tcW w:w="2970" w:type="dxa"/>
          </w:tcPr>
          <w:p w14:paraId="65AD961A" w14:textId="77777777" w:rsidR="00765216" w:rsidRPr="004943F6" w:rsidRDefault="00765216" w:rsidP="007D760B">
            <w:pPr>
              <w:spacing w:before="40" w:after="80"/>
              <w:rPr>
                <w:b/>
                <w:color w:val="000000"/>
                <w:lang w:val="en-GB"/>
              </w:rPr>
            </w:pPr>
            <w:proofErr w:type="spellStart"/>
            <w:r w:rsidRPr="004943F6">
              <w:rPr>
                <w:b/>
                <w:color w:val="000000"/>
                <w:lang w:val="en-GB"/>
              </w:rPr>
              <w:t>Hyunno</w:t>
            </w:r>
            <w:proofErr w:type="spellEnd"/>
            <w:r w:rsidRPr="004943F6">
              <w:rPr>
                <w:b/>
                <w:color w:val="000000"/>
                <w:lang w:val="en-GB"/>
              </w:rPr>
              <w:t xml:space="preserve"> Kim</w:t>
            </w:r>
          </w:p>
        </w:tc>
        <w:tc>
          <w:tcPr>
            <w:tcW w:w="5400" w:type="dxa"/>
          </w:tcPr>
          <w:p w14:paraId="4F64478D" w14:textId="77777777" w:rsidR="00765216" w:rsidRPr="004943F6" w:rsidRDefault="00765216" w:rsidP="007D760B">
            <w:pPr>
              <w:spacing w:before="40" w:after="80"/>
              <w:rPr>
                <w:i/>
                <w:lang w:val="en-GB" w:eastAsia="en-CA" w:bidi="en-US"/>
              </w:rPr>
            </w:pPr>
            <w:r w:rsidRPr="004943F6">
              <w:rPr>
                <w:color w:val="000000"/>
                <w:lang w:val="en-GB"/>
              </w:rPr>
              <w:t>Korea Environment Institute</w:t>
            </w:r>
          </w:p>
        </w:tc>
      </w:tr>
      <w:tr w:rsidR="00765216" w:rsidRPr="00512C6E" w14:paraId="7785F7D8" w14:textId="77777777" w:rsidTr="00422AD8">
        <w:trPr>
          <w:jc w:val="right"/>
        </w:trPr>
        <w:tc>
          <w:tcPr>
            <w:tcW w:w="2970" w:type="dxa"/>
          </w:tcPr>
          <w:p w14:paraId="56ED3B36" w14:textId="77777777" w:rsidR="00765216" w:rsidRPr="004943F6" w:rsidRDefault="00765216" w:rsidP="007D760B">
            <w:pPr>
              <w:spacing w:before="40" w:after="80"/>
              <w:rPr>
                <w:b/>
                <w:color w:val="000000"/>
                <w:lang w:val="en-GB"/>
              </w:rPr>
            </w:pPr>
            <w:r w:rsidRPr="004943F6">
              <w:rPr>
                <w:b/>
                <w:color w:val="000000"/>
                <w:lang w:val="en-GB"/>
              </w:rPr>
              <w:t>Eva Kovacs</w:t>
            </w:r>
          </w:p>
        </w:tc>
        <w:tc>
          <w:tcPr>
            <w:tcW w:w="5400" w:type="dxa"/>
          </w:tcPr>
          <w:p w14:paraId="660561CE" w14:textId="77777777" w:rsidR="00765216" w:rsidRPr="004943F6" w:rsidRDefault="00765216" w:rsidP="007D760B">
            <w:pPr>
              <w:spacing w:before="40" w:after="80"/>
              <w:rPr>
                <w:i/>
                <w:lang w:val="en-GB" w:eastAsia="en-CA" w:bidi="en-US"/>
              </w:rPr>
            </w:pPr>
            <w:r w:rsidRPr="004943F6">
              <w:rPr>
                <w:color w:val="000000"/>
                <w:lang w:val="en-GB"/>
              </w:rPr>
              <w:t>Independent expert on inland fisheries and aquaculture</w:t>
            </w:r>
          </w:p>
        </w:tc>
      </w:tr>
      <w:tr w:rsidR="00765216" w:rsidRPr="004943F6" w14:paraId="4CF925BB" w14:textId="77777777" w:rsidTr="00422AD8">
        <w:trPr>
          <w:jc w:val="right"/>
        </w:trPr>
        <w:tc>
          <w:tcPr>
            <w:tcW w:w="2970" w:type="dxa"/>
          </w:tcPr>
          <w:p w14:paraId="69821BC4" w14:textId="77777777" w:rsidR="00765216" w:rsidRPr="004943F6" w:rsidRDefault="00765216" w:rsidP="007D760B">
            <w:pPr>
              <w:spacing w:before="40" w:after="80"/>
              <w:rPr>
                <w:b/>
                <w:color w:val="000000"/>
                <w:lang w:val="en-GB"/>
              </w:rPr>
            </w:pPr>
            <w:r w:rsidRPr="004943F6">
              <w:rPr>
                <w:b/>
                <w:color w:val="000000"/>
                <w:lang w:val="en-GB"/>
              </w:rPr>
              <w:t>Pankaj Kumar</w:t>
            </w:r>
          </w:p>
        </w:tc>
        <w:tc>
          <w:tcPr>
            <w:tcW w:w="5400" w:type="dxa"/>
          </w:tcPr>
          <w:p w14:paraId="3F70299C" w14:textId="77777777" w:rsidR="00765216" w:rsidRPr="004943F6" w:rsidRDefault="00765216" w:rsidP="007D760B">
            <w:pPr>
              <w:spacing w:before="40" w:after="80"/>
              <w:rPr>
                <w:i/>
                <w:lang w:val="en-GB" w:eastAsia="en-CA" w:bidi="en-US"/>
              </w:rPr>
            </w:pPr>
            <w:r w:rsidRPr="004943F6">
              <w:rPr>
                <w:color w:val="000000"/>
                <w:lang w:val="en-GB"/>
              </w:rPr>
              <w:t>Institute for Global Environmental Strategies</w:t>
            </w:r>
            <w:r>
              <w:rPr>
                <w:color w:val="000000"/>
                <w:lang w:val="en-GB"/>
              </w:rPr>
              <w:t>, Japan</w:t>
            </w:r>
          </w:p>
        </w:tc>
      </w:tr>
      <w:tr w:rsidR="00765216" w:rsidRPr="004943F6" w14:paraId="266031FD" w14:textId="77777777" w:rsidTr="00422AD8">
        <w:trPr>
          <w:jc w:val="right"/>
        </w:trPr>
        <w:tc>
          <w:tcPr>
            <w:tcW w:w="2970" w:type="dxa"/>
          </w:tcPr>
          <w:p w14:paraId="0D294B88" w14:textId="77777777" w:rsidR="00765216" w:rsidRPr="004943F6" w:rsidRDefault="00765216" w:rsidP="007D760B">
            <w:pPr>
              <w:spacing w:before="40" w:after="80"/>
              <w:rPr>
                <w:b/>
                <w:color w:val="000000"/>
                <w:lang w:val="en-GB"/>
              </w:rPr>
            </w:pPr>
            <w:proofErr w:type="spellStart"/>
            <w:r w:rsidRPr="004943F6">
              <w:rPr>
                <w:b/>
                <w:color w:val="000000"/>
                <w:lang w:val="en-GB"/>
              </w:rPr>
              <w:t>Chrysi</w:t>
            </w:r>
            <w:proofErr w:type="spellEnd"/>
            <w:r w:rsidRPr="004943F6">
              <w:rPr>
                <w:b/>
                <w:color w:val="000000"/>
                <w:lang w:val="en-GB"/>
              </w:rPr>
              <w:t xml:space="preserve"> </w:t>
            </w:r>
            <w:proofErr w:type="spellStart"/>
            <w:r w:rsidRPr="004943F6">
              <w:rPr>
                <w:b/>
                <w:color w:val="000000"/>
                <w:lang w:val="en-GB"/>
              </w:rPr>
              <w:t>Laspidou</w:t>
            </w:r>
            <w:proofErr w:type="spellEnd"/>
          </w:p>
        </w:tc>
        <w:tc>
          <w:tcPr>
            <w:tcW w:w="5400" w:type="dxa"/>
          </w:tcPr>
          <w:p w14:paraId="044356A9" w14:textId="77777777" w:rsidR="00765216" w:rsidRPr="004943F6" w:rsidRDefault="00765216" w:rsidP="007D760B">
            <w:pPr>
              <w:spacing w:before="40" w:after="80"/>
              <w:rPr>
                <w:i/>
                <w:lang w:val="en-GB" w:eastAsia="en-CA" w:bidi="en-US"/>
              </w:rPr>
            </w:pPr>
            <w:r w:rsidRPr="004943F6">
              <w:rPr>
                <w:color w:val="000000"/>
                <w:lang w:val="en-GB"/>
              </w:rPr>
              <w:t>University of Thessaly</w:t>
            </w:r>
            <w:r>
              <w:rPr>
                <w:color w:val="000000"/>
                <w:lang w:val="en-GB"/>
              </w:rPr>
              <w:t>, Greece</w:t>
            </w:r>
          </w:p>
        </w:tc>
      </w:tr>
      <w:tr w:rsidR="00765216" w:rsidRPr="00512C6E" w14:paraId="448AD8DC" w14:textId="77777777" w:rsidTr="00422AD8">
        <w:trPr>
          <w:jc w:val="right"/>
        </w:trPr>
        <w:tc>
          <w:tcPr>
            <w:tcW w:w="2970" w:type="dxa"/>
          </w:tcPr>
          <w:p w14:paraId="536A9146" w14:textId="77777777" w:rsidR="00765216" w:rsidRPr="004943F6" w:rsidRDefault="00765216" w:rsidP="007D760B">
            <w:pPr>
              <w:spacing w:before="40" w:after="80"/>
              <w:rPr>
                <w:b/>
                <w:color w:val="000000"/>
                <w:lang w:val="en-GB"/>
              </w:rPr>
            </w:pPr>
            <w:proofErr w:type="spellStart"/>
            <w:r w:rsidRPr="004943F6">
              <w:rPr>
                <w:b/>
                <w:color w:val="000000"/>
                <w:lang w:val="en-GB"/>
              </w:rPr>
              <w:t>Qiyong</w:t>
            </w:r>
            <w:proofErr w:type="spellEnd"/>
            <w:r w:rsidRPr="004943F6">
              <w:rPr>
                <w:b/>
                <w:color w:val="000000"/>
                <w:lang w:val="en-GB"/>
              </w:rPr>
              <w:t xml:space="preserve"> Liu</w:t>
            </w:r>
          </w:p>
        </w:tc>
        <w:tc>
          <w:tcPr>
            <w:tcW w:w="5400" w:type="dxa"/>
          </w:tcPr>
          <w:p w14:paraId="3A540684" w14:textId="77777777" w:rsidR="00765216" w:rsidRPr="004943F6" w:rsidRDefault="00765216" w:rsidP="007D760B">
            <w:pPr>
              <w:spacing w:before="40" w:after="80"/>
              <w:rPr>
                <w:i/>
                <w:lang w:val="en-GB" w:eastAsia="en-CA" w:bidi="en-US"/>
              </w:rPr>
            </w:pPr>
            <w:r w:rsidRPr="004943F6">
              <w:rPr>
                <w:color w:val="000000"/>
                <w:lang w:val="en-GB"/>
              </w:rPr>
              <w:t xml:space="preserve">Chinese </w:t>
            </w:r>
            <w:proofErr w:type="spellStart"/>
            <w:r w:rsidRPr="004943F6">
              <w:rPr>
                <w:color w:val="000000"/>
                <w:lang w:val="en-GB"/>
              </w:rPr>
              <w:t>Center</w:t>
            </w:r>
            <w:proofErr w:type="spellEnd"/>
            <w:r w:rsidRPr="004943F6">
              <w:rPr>
                <w:color w:val="000000"/>
                <w:lang w:val="en-GB"/>
              </w:rPr>
              <w:t xml:space="preserve"> for Disease Control and Prevention</w:t>
            </w:r>
          </w:p>
        </w:tc>
      </w:tr>
      <w:tr w:rsidR="00765216" w:rsidRPr="00512C6E" w14:paraId="769CCB19" w14:textId="77777777" w:rsidTr="00422AD8">
        <w:trPr>
          <w:jc w:val="right"/>
        </w:trPr>
        <w:tc>
          <w:tcPr>
            <w:tcW w:w="2970" w:type="dxa"/>
          </w:tcPr>
          <w:p w14:paraId="1DAE40C6" w14:textId="77777777" w:rsidR="00765216" w:rsidRPr="004943F6" w:rsidRDefault="00765216" w:rsidP="007D760B">
            <w:pPr>
              <w:spacing w:before="40" w:after="80"/>
              <w:rPr>
                <w:b/>
                <w:color w:val="000000"/>
                <w:lang w:val="en-GB"/>
              </w:rPr>
            </w:pPr>
            <w:r w:rsidRPr="004943F6">
              <w:rPr>
                <w:b/>
                <w:color w:val="000000"/>
                <w:lang w:val="en-GB"/>
              </w:rPr>
              <w:t xml:space="preserve">Clara </w:t>
            </w:r>
            <w:proofErr w:type="spellStart"/>
            <w:r w:rsidRPr="004943F6">
              <w:rPr>
                <w:b/>
                <w:color w:val="000000"/>
                <w:lang w:val="en-GB"/>
              </w:rPr>
              <w:t>Minaverry</w:t>
            </w:r>
            <w:proofErr w:type="spellEnd"/>
          </w:p>
        </w:tc>
        <w:tc>
          <w:tcPr>
            <w:tcW w:w="5400" w:type="dxa"/>
          </w:tcPr>
          <w:p w14:paraId="40F79F08" w14:textId="77777777" w:rsidR="00765216" w:rsidRPr="004943F6" w:rsidRDefault="00765216" w:rsidP="007D760B">
            <w:pPr>
              <w:spacing w:before="40" w:after="80"/>
              <w:rPr>
                <w:i/>
                <w:lang w:val="en-GB" w:eastAsia="en-CA" w:bidi="en-US"/>
              </w:rPr>
            </w:pPr>
            <w:r w:rsidRPr="004943F6">
              <w:rPr>
                <w:color w:val="000000"/>
                <w:lang w:val="en-GB"/>
              </w:rPr>
              <w:t>National Counsel for Scientific and Technical Research</w:t>
            </w:r>
            <w:r>
              <w:rPr>
                <w:color w:val="000000"/>
                <w:lang w:val="en-GB"/>
              </w:rPr>
              <w:t>, Argentina</w:t>
            </w:r>
          </w:p>
        </w:tc>
      </w:tr>
      <w:tr w:rsidR="00765216" w:rsidRPr="004943F6" w14:paraId="0B7C15D6" w14:textId="77777777" w:rsidTr="00422AD8">
        <w:trPr>
          <w:jc w:val="right"/>
        </w:trPr>
        <w:tc>
          <w:tcPr>
            <w:tcW w:w="2970" w:type="dxa"/>
          </w:tcPr>
          <w:p w14:paraId="78286C13" w14:textId="77777777" w:rsidR="00765216" w:rsidRPr="004943F6" w:rsidRDefault="00765216" w:rsidP="007D760B">
            <w:pPr>
              <w:spacing w:before="40" w:after="80"/>
              <w:rPr>
                <w:b/>
                <w:color w:val="000000"/>
                <w:lang w:val="en-GB"/>
              </w:rPr>
            </w:pPr>
            <w:proofErr w:type="spellStart"/>
            <w:r w:rsidRPr="004943F6">
              <w:rPr>
                <w:b/>
                <w:color w:val="000000"/>
                <w:lang w:val="en-GB"/>
              </w:rPr>
              <w:t>Ermias</w:t>
            </w:r>
            <w:proofErr w:type="spellEnd"/>
            <w:r w:rsidRPr="004943F6">
              <w:rPr>
                <w:b/>
                <w:color w:val="000000"/>
                <w:lang w:val="en-GB"/>
              </w:rPr>
              <w:t xml:space="preserve"> </w:t>
            </w:r>
            <w:proofErr w:type="spellStart"/>
            <w:r w:rsidRPr="004943F6">
              <w:rPr>
                <w:b/>
                <w:color w:val="000000"/>
                <w:lang w:val="en-GB"/>
              </w:rPr>
              <w:t>Lulekal</w:t>
            </w:r>
            <w:proofErr w:type="spellEnd"/>
            <w:r w:rsidRPr="004943F6">
              <w:rPr>
                <w:b/>
                <w:color w:val="000000"/>
                <w:lang w:val="en-GB"/>
              </w:rPr>
              <w:t xml:space="preserve"> </w:t>
            </w:r>
            <w:proofErr w:type="spellStart"/>
            <w:r w:rsidRPr="004943F6">
              <w:rPr>
                <w:b/>
                <w:color w:val="000000"/>
                <w:lang w:val="en-GB"/>
              </w:rPr>
              <w:t>Molla</w:t>
            </w:r>
            <w:proofErr w:type="spellEnd"/>
          </w:p>
        </w:tc>
        <w:tc>
          <w:tcPr>
            <w:tcW w:w="5400" w:type="dxa"/>
          </w:tcPr>
          <w:p w14:paraId="41C7079E" w14:textId="77777777" w:rsidR="00765216" w:rsidRPr="004943F6" w:rsidRDefault="00765216" w:rsidP="007D760B">
            <w:pPr>
              <w:spacing w:before="40" w:after="80"/>
              <w:rPr>
                <w:i/>
                <w:lang w:val="en-GB" w:eastAsia="en-CA" w:bidi="en-US"/>
              </w:rPr>
            </w:pPr>
            <w:r w:rsidRPr="004943F6">
              <w:rPr>
                <w:color w:val="000000"/>
                <w:lang w:val="en-GB"/>
              </w:rPr>
              <w:t>Addis Ababa University</w:t>
            </w:r>
            <w:r>
              <w:rPr>
                <w:color w:val="000000"/>
                <w:lang w:val="en-GB"/>
              </w:rPr>
              <w:t>, Ethiopia</w:t>
            </w:r>
          </w:p>
        </w:tc>
      </w:tr>
      <w:tr w:rsidR="00765216" w:rsidRPr="004943F6" w14:paraId="006F4887" w14:textId="77777777" w:rsidTr="00422AD8">
        <w:trPr>
          <w:jc w:val="right"/>
        </w:trPr>
        <w:tc>
          <w:tcPr>
            <w:tcW w:w="2970" w:type="dxa"/>
          </w:tcPr>
          <w:p w14:paraId="325E79A0" w14:textId="77777777" w:rsidR="00765216" w:rsidRPr="004943F6" w:rsidRDefault="00765216" w:rsidP="007D760B">
            <w:pPr>
              <w:spacing w:before="40" w:after="80"/>
              <w:rPr>
                <w:b/>
                <w:color w:val="000000"/>
                <w:lang w:val="en-GB"/>
              </w:rPr>
            </w:pPr>
            <w:r w:rsidRPr="004943F6">
              <w:rPr>
                <w:b/>
                <w:color w:val="000000"/>
                <w:lang w:val="en-GB"/>
              </w:rPr>
              <w:t xml:space="preserve">Ernest </w:t>
            </w:r>
            <w:proofErr w:type="spellStart"/>
            <w:r w:rsidRPr="004943F6">
              <w:rPr>
                <w:b/>
                <w:color w:val="000000"/>
                <w:lang w:val="en-GB"/>
              </w:rPr>
              <w:t>Lytia</w:t>
            </w:r>
            <w:proofErr w:type="spellEnd"/>
            <w:r w:rsidRPr="004943F6">
              <w:rPr>
                <w:b/>
                <w:color w:val="000000"/>
                <w:lang w:val="en-GB"/>
              </w:rPr>
              <w:t xml:space="preserve"> </w:t>
            </w:r>
            <w:proofErr w:type="spellStart"/>
            <w:r w:rsidRPr="004943F6">
              <w:rPr>
                <w:b/>
                <w:color w:val="000000"/>
                <w:lang w:val="en-GB"/>
              </w:rPr>
              <w:t>Molua</w:t>
            </w:r>
            <w:proofErr w:type="spellEnd"/>
          </w:p>
        </w:tc>
        <w:tc>
          <w:tcPr>
            <w:tcW w:w="5400" w:type="dxa"/>
          </w:tcPr>
          <w:p w14:paraId="6D6CC285" w14:textId="77777777" w:rsidR="00765216" w:rsidRPr="004943F6" w:rsidRDefault="00765216" w:rsidP="007D760B">
            <w:pPr>
              <w:spacing w:before="40" w:after="80"/>
              <w:rPr>
                <w:i/>
                <w:lang w:val="en-GB" w:eastAsia="en-CA" w:bidi="en-US"/>
              </w:rPr>
            </w:pPr>
            <w:r w:rsidRPr="004943F6">
              <w:rPr>
                <w:color w:val="000000"/>
                <w:lang w:val="en-GB"/>
              </w:rPr>
              <w:t xml:space="preserve">University of </w:t>
            </w:r>
            <w:proofErr w:type="spellStart"/>
            <w:r w:rsidRPr="004943F6">
              <w:rPr>
                <w:color w:val="000000"/>
                <w:lang w:val="en-GB"/>
              </w:rPr>
              <w:t>Buea</w:t>
            </w:r>
            <w:proofErr w:type="spellEnd"/>
            <w:r>
              <w:rPr>
                <w:color w:val="000000"/>
                <w:lang w:val="en-GB"/>
              </w:rPr>
              <w:t>, Cameroon</w:t>
            </w:r>
          </w:p>
        </w:tc>
      </w:tr>
      <w:tr w:rsidR="00765216" w:rsidRPr="00512C6E" w14:paraId="43577315" w14:textId="77777777" w:rsidTr="00422AD8">
        <w:trPr>
          <w:jc w:val="right"/>
        </w:trPr>
        <w:tc>
          <w:tcPr>
            <w:tcW w:w="2970" w:type="dxa"/>
          </w:tcPr>
          <w:p w14:paraId="483E1F36" w14:textId="77777777" w:rsidR="00765216" w:rsidRPr="004943F6" w:rsidRDefault="00765216" w:rsidP="007D760B">
            <w:pPr>
              <w:spacing w:before="40" w:after="80"/>
              <w:rPr>
                <w:b/>
                <w:color w:val="000000"/>
                <w:lang w:val="en-GB"/>
              </w:rPr>
            </w:pPr>
            <w:r w:rsidRPr="004943F6">
              <w:rPr>
                <w:b/>
                <w:color w:val="000000"/>
                <w:lang w:val="en-GB"/>
              </w:rPr>
              <w:t xml:space="preserve">David Oersted </w:t>
            </w:r>
            <w:proofErr w:type="spellStart"/>
            <w:r w:rsidRPr="004943F6">
              <w:rPr>
                <w:b/>
                <w:color w:val="000000"/>
                <w:lang w:val="en-GB"/>
              </w:rPr>
              <w:t>Mirera</w:t>
            </w:r>
            <w:proofErr w:type="spellEnd"/>
          </w:p>
        </w:tc>
        <w:tc>
          <w:tcPr>
            <w:tcW w:w="5400" w:type="dxa"/>
          </w:tcPr>
          <w:p w14:paraId="12402EFE" w14:textId="77777777" w:rsidR="00765216" w:rsidRPr="004943F6" w:rsidRDefault="00765216" w:rsidP="007D760B">
            <w:pPr>
              <w:spacing w:before="40" w:after="80"/>
              <w:rPr>
                <w:i/>
                <w:lang w:val="en-GB" w:eastAsia="en-CA" w:bidi="en-US"/>
              </w:rPr>
            </w:pPr>
            <w:r w:rsidRPr="004943F6">
              <w:rPr>
                <w:color w:val="000000"/>
                <w:lang w:val="en-GB"/>
              </w:rPr>
              <w:t>Kenya Marine and Fisheries Research Institute</w:t>
            </w:r>
          </w:p>
        </w:tc>
      </w:tr>
      <w:tr w:rsidR="00765216" w:rsidRPr="00512C6E" w14:paraId="31B8BA4E" w14:textId="77777777" w:rsidTr="00422AD8">
        <w:trPr>
          <w:jc w:val="right"/>
        </w:trPr>
        <w:tc>
          <w:tcPr>
            <w:tcW w:w="2970" w:type="dxa"/>
          </w:tcPr>
          <w:p w14:paraId="0CE6B7EF" w14:textId="77777777" w:rsidR="00765216" w:rsidRPr="004943F6" w:rsidRDefault="00765216" w:rsidP="007D760B">
            <w:pPr>
              <w:spacing w:before="40" w:after="80"/>
              <w:rPr>
                <w:b/>
                <w:color w:val="000000"/>
                <w:lang w:val="en-GB"/>
              </w:rPr>
            </w:pPr>
            <w:r w:rsidRPr="004943F6">
              <w:rPr>
                <w:b/>
                <w:color w:val="000000"/>
                <w:lang w:val="en-GB"/>
              </w:rPr>
              <w:t xml:space="preserve">Jean </w:t>
            </w:r>
            <w:proofErr w:type="spellStart"/>
            <w:r w:rsidRPr="004943F6">
              <w:rPr>
                <w:b/>
                <w:color w:val="000000"/>
                <w:lang w:val="en-GB"/>
              </w:rPr>
              <w:t>Ometto</w:t>
            </w:r>
            <w:proofErr w:type="spellEnd"/>
          </w:p>
        </w:tc>
        <w:tc>
          <w:tcPr>
            <w:tcW w:w="5400" w:type="dxa"/>
          </w:tcPr>
          <w:p w14:paraId="0A2B145C" w14:textId="77777777" w:rsidR="00765216" w:rsidRPr="004943F6" w:rsidRDefault="00765216" w:rsidP="007D760B">
            <w:pPr>
              <w:spacing w:before="40" w:after="80"/>
              <w:rPr>
                <w:i/>
                <w:lang w:val="en-GB" w:eastAsia="en-CA" w:bidi="en-US"/>
              </w:rPr>
            </w:pPr>
            <w:r w:rsidRPr="004943F6">
              <w:rPr>
                <w:color w:val="000000"/>
                <w:lang w:val="en-GB"/>
              </w:rPr>
              <w:t>Brazilian National Institute for Space Research</w:t>
            </w:r>
          </w:p>
        </w:tc>
      </w:tr>
      <w:tr w:rsidR="00765216" w:rsidRPr="004943F6" w14:paraId="48D31E40" w14:textId="77777777" w:rsidTr="00422AD8">
        <w:trPr>
          <w:jc w:val="right"/>
        </w:trPr>
        <w:tc>
          <w:tcPr>
            <w:tcW w:w="2970" w:type="dxa"/>
          </w:tcPr>
          <w:p w14:paraId="16D0149C" w14:textId="77777777" w:rsidR="00765216" w:rsidRPr="004943F6" w:rsidRDefault="00765216" w:rsidP="007D760B">
            <w:pPr>
              <w:spacing w:before="40" w:after="80"/>
              <w:rPr>
                <w:b/>
                <w:color w:val="000000"/>
                <w:lang w:val="en-GB"/>
              </w:rPr>
            </w:pPr>
            <w:r w:rsidRPr="004943F6">
              <w:rPr>
                <w:b/>
                <w:color w:val="000000"/>
                <w:lang w:val="en-GB"/>
              </w:rPr>
              <w:lastRenderedPageBreak/>
              <w:t xml:space="preserve">Craig </w:t>
            </w:r>
            <w:proofErr w:type="spellStart"/>
            <w:r w:rsidRPr="004943F6">
              <w:rPr>
                <w:b/>
                <w:color w:val="000000"/>
                <w:lang w:val="en-GB"/>
              </w:rPr>
              <w:t>Paukert</w:t>
            </w:r>
            <w:proofErr w:type="spellEnd"/>
          </w:p>
        </w:tc>
        <w:tc>
          <w:tcPr>
            <w:tcW w:w="5400" w:type="dxa"/>
          </w:tcPr>
          <w:p w14:paraId="47B36915" w14:textId="77777777" w:rsidR="00765216" w:rsidRPr="004943F6" w:rsidRDefault="00765216" w:rsidP="007D760B">
            <w:pPr>
              <w:spacing w:before="40" w:after="80"/>
              <w:rPr>
                <w:i/>
                <w:lang w:val="en-GB" w:eastAsia="en-CA" w:bidi="en-US"/>
              </w:rPr>
            </w:pPr>
            <w:r w:rsidRPr="004943F6">
              <w:rPr>
                <w:color w:val="000000"/>
                <w:lang w:val="en-GB"/>
              </w:rPr>
              <w:t>U.S. Geological Survey</w:t>
            </w:r>
          </w:p>
        </w:tc>
      </w:tr>
      <w:tr w:rsidR="00765216" w:rsidRPr="00512C6E" w14:paraId="53F4B11D" w14:textId="77777777" w:rsidTr="00422AD8">
        <w:trPr>
          <w:jc w:val="right"/>
        </w:trPr>
        <w:tc>
          <w:tcPr>
            <w:tcW w:w="2970" w:type="dxa"/>
          </w:tcPr>
          <w:p w14:paraId="663C4BFF" w14:textId="77777777" w:rsidR="00765216" w:rsidRPr="004943F6" w:rsidRDefault="00765216" w:rsidP="007D760B">
            <w:pPr>
              <w:spacing w:before="40" w:after="80"/>
              <w:rPr>
                <w:b/>
                <w:color w:val="000000"/>
                <w:lang w:val="en-GB"/>
              </w:rPr>
            </w:pPr>
            <w:r w:rsidRPr="004943F6">
              <w:rPr>
                <w:b/>
                <w:color w:val="000000"/>
                <w:lang w:val="en-GB"/>
              </w:rPr>
              <w:t xml:space="preserve">Unnikrishnan </w:t>
            </w:r>
            <w:proofErr w:type="spellStart"/>
            <w:r w:rsidRPr="004943F6">
              <w:rPr>
                <w:b/>
                <w:color w:val="000000"/>
                <w:lang w:val="en-GB"/>
              </w:rPr>
              <w:t>Payyappallimana</w:t>
            </w:r>
            <w:proofErr w:type="spellEnd"/>
          </w:p>
        </w:tc>
        <w:tc>
          <w:tcPr>
            <w:tcW w:w="5400" w:type="dxa"/>
          </w:tcPr>
          <w:p w14:paraId="323C722B" w14:textId="77777777" w:rsidR="00765216" w:rsidRPr="004943F6" w:rsidRDefault="00765216" w:rsidP="007D760B">
            <w:pPr>
              <w:spacing w:before="40" w:after="80"/>
              <w:rPr>
                <w:i/>
                <w:lang w:val="en-GB" w:eastAsia="en-CA" w:bidi="en-US"/>
              </w:rPr>
            </w:pPr>
            <w:r w:rsidRPr="004943F6">
              <w:rPr>
                <w:color w:val="000000"/>
                <w:lang w:val="en-GB"/>
              </w:rPr>
              <w:t>U</w:t>
            </w:r>
            <w:r>
              <w:rPr>
                <w:color w:val="000000"/>
                <w:lang w:val="en-GB"/>
              </w:rPr>
              <w:t xml:space="preserve">nited </w:t>
            </w:r>
            <w:r w:rsidRPr="004943F6">
              <w:rPr>
                <w:color w:val="000000"/>
                <w:lang w:val="en-GB"/>
              </w:rPr>
              <w:t>N</w:t>
            </w:r>
            <w:r>
              <w:rPr>
                <w:color w:val="000000"/>
                <w:lang w:val="en-GB"/>
              </w:rPr>
              <w:t>ations</w:t>
            </w:r>
            <w:r w:rsidRPr="004943F6">
              <w:rPr>
                <w:color w:val="000000"/>
                <w:lang w:val="en-GB"/>
              </w:rPr>
              <w:t xml:space="preserve"> University-International Institute for Global Health</w:t>
            </w:r>
          </w:p>
        </w:tc>
      </w:tr>
      <w:tr w:rsidR="00765216" w:rsidRPr="00512C6E" w14:paraId="00B0CB39" w14:textId="77777777" w:rsidTr="00422AD8">
        <w:trPr>
          <w:jc w:val="right"/>
        </w:trPr>
        <w:tc>
          <w:tcPr>
            <w:tcW w:w="2970" w:type="dxa"/>
          </w:tcPr>
          <w:p w14:paraId="6D3B890A" w14:textId="77777777" w:rsidR="00765216" w:rsidRPr="004943F6" w:rsidRDefault="00765216" w:rsidP="007D760B">
            <w:pPr>
              <w:spacing w:before="40" w:after="80"/>
              <w:rPr>
                <w:b/>
                <w:color w:val="000000"/>
                <w:lang w:val="en-GB"/>
              </w:rPr>
            </w:pPr>
            <w:r w:rsidRPr="004943F6">
              <w:rPr>
                <w:b/>
                <w:color w:val="000000"/>
                <w:lang w:val="en-GB"/>
              </w:rPr>
              <w:t xml:space="preserve">M. </w:t>
            </w:r>
            <w:proofErr w:type="spellStart"/>
            <w:r w:rsidRPr="004943F6">
              <w:rPr>
                <w:b/>
                <w:color w:val="000000"/>
                <w:lang w:val="en-GB"/>
              </w:rPr>
              <w:t>Mokhlesur</w:t>
            </w:r>
            <w:proofErr w:type="spellEnd"/>
            <w:r w:rsidRPr="004943F6">
              <w:rPr>
                <w:b/>
                <w:color w:val="000000"/>
                <w:lang w:val="en-GB"/>
              </w:rPr>
              <w:t xml:space="preserve"> Rahman</w:t>
            </w:r>
          </w:p>
        </w:tc>
        <w:tc>
          <w:tcPr>
            <w:tcW w:w="5400" w:type="dxa"/>
          </w:tcPr>
          <w:p w14:paraId="200526DE" w14:textId="77777777" w:rsidR="00765216" w:rsidRPr="004943F6" w:rsidRDefault="00765216" w:rsidP="007D760B">
            <w:pPr>
              <w:spacing w:before="40" w:after="80"/>
              <w:rPr>
                <w:i/>
                <w:lang w:val="en-GB" w:eastAsia="en-CA" w:bidi="en-US"/>
              </w:rPr>
            </w:pPr>
            <w:proofErr w:type="spellStart"/>
            <w:r w:rsidRPr="004943F6">
              <w:rPr>
                <w:color w:val="000000"/>
                <w:lang w:val="en-GB"/>
              </w:rPr>
              <w:t>Center</w:t>
            </w:r>
            <w:proofErr w:type="spellEnd"/>
            <w:r w:rsidRPr="004943F6">
              <w:rPr>
                <w:color w:val="000000"/>
                <w:lang w:val="en-GB"/>
              </w:rPr>
              <w:t xml:space="preserve"> for Natural Resource Studies</w:t>
            </w:r>
            <w:r>
              <w:rPr>
                <w:color w:val="000000"/>
                <w:lang w:val="en-GB"/>
              </w:rPr>
              <w:t>, Bangladesh</w:t>
            </w:r>
          </w:p>
        </w:tc>
      </w:tr>
      <w:tr w:rsidR="00765216" w:rsidRPr="00512C6E" w14:paraId="210F7384" w14:textId="77777777" w:rsidTr="00422AD8">
        <w:trPr>
          <w:jc w:val="right"/>
        </w:trPr>
        <w:tc>
          <w:tcPr>
            <w:tcW w:w="2970" w:type="dxa"/>
          </w:tcPr>
          <w:p w14:paraId="19710281" w14:textId="77777777" w:rsidR="00765216" w:rsidRPr="004943F6" w:rsidRDefault="00765216" w:rsidP="007D760B">
            <w:pPr>
              <w:spacing w:before="40" w:after="80"/>
              <w:rPr>
                <w:b/>
                <w:color w:val="000000"/>
                <w:lang w:val="en-GB"/>
              </w:rPr>
            </w:pPr>
            <w:r w:rsidRPr="004943F6">
              <w:rPr>
                <w:b/>
                <w:color w:val="000000"/>
                <w:lang w:val="en-GB"/>
              </w:rPr>
              <w:t>Taylor Ricketts</w:t>
            </w:r>
          </w:p>
        </w:tc>
        <w:tc>
          <w:tcPr>
            <w:tcW w:w="5400" w:type="dxa"/>
          </w:tcPr>
          <w:p w14:paraId="1F79DC91" w14:textId="77777777" w:rsidR="00765216" w:rsidRPr="004943F6" w:rsidRDefault="00765216" w:rsidP="007D760B">
            <w:pPr>
              <w:spacing w:before="40" w:after="80"/>
              <w:rPr>
                <w:i/>
                <w:lang w:val="en-GB" w:eastAsia="en-CA" w:bidi="en-US"/>
              </w:rPr>
            </w:pPr>
            <w:r w:rsidRPr="004943F6">
              <w:rPr>
                <w:color w:val="000000"/>
                <w:lang w:val="en-GB"/>
              </w:rPr>
              <w:t>University of Vermont</w:t>
            </w:r>
            <w:r>
              <w:rPr>
                <w:color w:val="000000"/>
                <w:lang w:val="en-GB"/>
              </w:rPr>
              <w:t>, United States of America</w:t>
            </w:r>
          </w:p>
        </w:tc>
      </w:tr>
      <w:tr w:rsidR="00765216" w:rsidRPr="00512C6E" w14:paraId="387582F6" w14:textId="77777777" w:rsidTr="00422AD8">
        <w:trPr>
          <w:jc w:val="right"/>
        </w:trPr>
        <w:tc>
          <w:tcPr>
            <w:tcW w:w="2970" w:type="dxa"/>
          </w:tcPr>
          <w:p w14:paraId="68CF6010" w14:textId="77777777" w:rsidR="00765216" w:rsidRPr="004943F6" w:rsidRDefault="00765216" w:rsidP="007D760B">
            <w:pPr>
              <w:spacing w:before="40" w:after="80"/>
              <w:rPr>
                <w:b/>
                <w:color w:val="000000"/>
                <w:lang w:val="en-GB"/>
              </w:rPr>
            </w:pPr>
            <w:r w:rsidRPr="004943F6">
              <w:rPr>
                <w:b/>
                <w:color w:val="000000"/>
                <w:lang w:val="en-GB"/>
              </w:rPr>
              <w:t>Marta Guadalupe Rivera-</w:t>
            </w:r>
            <w:proofErr w:type="spellStart"/>
            <w:r>
              <w:rPr>
                <w:b/>
                <w:color w:val="000000"/>
                <w:lang w:val="en-GB"/>
              </w:rPr>
              <w:t>Fe</w:t>
            </w:r>
            <w:r w:rsidRPr="004943F6">
              <w:rPr>
                <w:b/>
                <w:color w:val="000000"/>
                <w:lang w:val="en-GB"/>
              </w:rPr>
              <w:t>rre</w:t>
            </w:r>
            <w:proofErr w:type="spellEnd"/>
          </w:p>
        </w:tc>
        <w:tc>
          <w:tcPr>
            <w:tcW w:w="5400" w:type="dxa"/>
          </w:tcPr>
          <w:p w14:paraId="76A5247B" w14:textId="77777777" w:rsidR="00765216" w:rsidRPr="004943F6" w:rsidRDefault="00765216" w:rsidP="007D760B">
            <w:pPr>
              <w:spacing w:before="40" w:after="80"/>
              <w:rPr>
                <w:i/>
                <w:lang w:val="en-GB" w:eastAsia="en-CA" w:bidi="en-US"/>
              </w:rPr>
            </w:pPr>
            <w:r w:rsidRPr="004943F6">
              <w:rPr>
                <w:color w:val="000000"/>
                <w:lang w:val="en-GB"/>
              </w:rPr>
              <w:t>University of Vic-Central University of Catalonia</w:t>
            </w:r>
            <w:r>
              <w:rPr>
                <w:color w:val="000000"/>
                <w:lang w:val="en-GB"/>
              </w:rPr>
              <w:t>, Spain</w:t>
            </w:r>
          </w:p>
        </w:tc>
      </w:tr>
      <w:tr w:rsidR="00765216" w:rsidRPr="00512C6E" w14:paraId="471F723D" w14:textId="77777777" w:rsidTr="00422AD8">
        <w:trPr>
          <w:jc w:val="right"/>
        </w:trPr>
        <w:tc>
          <w:tcPr>
            <w:tcW w:w="2970" w:type="dxa"/>
          </w:tcPr>
          <w:p w14:paraId="0F2DF003" w14:textId="77777777" w:rsidR="00765216" w:rsidRPr="004943F6" w:rsidRDefault="00765216" w:rsidP="007D760B">
            <w:pPr>
              <w:spacing w:before="40" w:after="80"/>
              <w:rPr>
                <w:b/>
                <w:color w:val="000000"/>
                <w:lang w:val="en-GB"/>
              </w:rPr>
            </w:pPr>
            <w:r w:rsidRPr="004943F6">
              <w:rPr>
                <w:b/>
                <w:color w:val="000000"/>
                <w:lang w:val="en-GB"/>
              </w:rPr>
              <w:t>Vanesa Rodriguez Osuna</w:t>
            </w:r>
          </w:p>
        </w:tc>
        <w:tc>
          <w:tcPr>
            <w:tcW w:w="5400" w:type="dxa"/>
          </w:tcPr>
          <w:p w14:paraId="705D51FE" w14:textId="77777777" w:rsidR="00765216" w:rsidRPr="004943F6" w:rsidRDefault="00765216" w:rsidP="007D760B">
            <w:pPr>
              <w:spacing w:before="40" w:after="80"/>
              <w:rPr>
                <w:i/>
                <w:lang w:val="en-GB" w:eastAsia="en-CA" w:bidi="en-US"/>
              </w:rPr>
            </w:pPr>
            <w:proofErr w:type="spellStart"/>
            <w:r w:rsidRPr="004943F6">
              <w:rPr>
                <w:color w:val="000000"/>
                <w:lang w:val="en-GB"/>
              </w:rPr>
              <w:t>sequa</w:t>
            </w:r>
            <w:proofErr w:type="spellEnd"/>
            <w:r w:rsidRPr="004943F6">
              <w:rPr>
                <w:color w:val="000000"/>
                <w:lang w:val="en-GB"/>
              </w:rPr>
              <w:t xml:space="preserve"> </w:t>
            </w:r>
            <w:proofErr w:type="spellStart"/>
            <w:r w:rsidRPr="004943F6">
              <w:rPr>
                <w:color w:val="000000"/>
                <w:lang w:val="en-GB"/>
              </w:rPr>
              <w:t>gGmbH</w:t>
            </w:r>
            <w:proofErr w:type="spellEnd"/>
            <w:r w:rsidRPr="004943F6">
              <w:rPr>
                <w:color w:val="000000"/>
                <w:lang w:val="en-GB"/>
              </w:rPr>
              <w:t>, Partner of German Business</w:t>
            </w:r>
          </w:p>
        </w:tc>
      </w:tr>
      <w:tr w:rsidR="00765216" w:rsidRPr="004943F6" w14:paraId="76EF6A75" w14:textId="77777777" w:rsidTr="00422AD8">
        <w:trPr>
          <w:jc w:val="right"/>
        </w:trPr>
        <w:tc>
          <w:tcPr>
            <w:tcW w:w="2970" w:type="dxa"/>
          </w:tcPr>
          <w:p w14:paraId="1C6E5678" w14:textId="77777777" w:rsidR="00765216" w:rsidRPr="004943F6" w:rsidRDefault="00765216" w:rsidP="007D760B">
            <w:pPr>
              <w:spacing w:before="40" w:after="80"/>
              <w:rPr>
                <w:b/>
                <w:color w:val="000000"/>
                <w:lang w:val="en-GB"/>
              </w:rPr>
            </w:pPr>
            <w:r w:rsidRPr="004943F6">
              <w:rPr>
                <w:b/>
                <w:color w:val="000000"/>
                <w:lang w:val="en-GB"/>
              </w:rPr>
              <w:t>Cristina Romanelli</w:t>
            </w:r>
          </w:p>
        </w:tc>
        <w:tc>
          <w:tcPr>
            <w:tcW w:w="5400" w:type="dxa"/>
          </w:tcPr>
          <w:p w14:paraId="4FF7F7EF" w14:textId="77777777" w:rsidR="00765216" w:rsidRPr="004943F6" w:rsidRDefault="00765216" w:rsidP="007D760B">
            <w:pPr>
              <w:spacing w:before="40" w:after="80"/>
              <w:rPr>
                <w:i/>
                <w:lang w:val="en-GB" w:eastAsia="en-CA" w:bidi="en-US"/>
              </w:rPr>
            </w:pPr>
            <w:r w:rsidRPr="004943F6">
              <w:rPr>
                <w:color w:val="000000"/>
                <w:lang w:val="en-GB"/>
              </w:rPr>
              <w:t>World Health Organization</w:t>
            </w:r>
          </w:p>
        </w:tc>
      </w:tr>
      <w:tr w:rsidR="00765216" w:rsidRPr="00512C6E" w14:paraId="467ED4A4" w14:textId="77777777" w:rsidTr="00422AD8">
        <w:trPr>
          <w:jc w:val="right"/>
        </w:trPr>
        <w:tc>
          <w:tcPr>
            <w:tcW w:w="2970" w:type="dxa"/>
          </w:tcPr>
          <w:p w14:paraId="59D3F427" w14:textId="77777777" w:rsidR="00765216" w:rsidRPr="004943F6" w:rsidRDefault="00765216" w:rsidP="007D760B">
            <w:pPr>
              <w:spacing w:before="40" w:after="80"/>
              <w:rPr>
                <w:b/>
                <w:color w:val="000000"/>
                <w:lang w:val="en-GB"/>
              </w:rPr>
            </w:pPr>
            <w:r w:rsidRPr="004943F6">
              <w:rPr>
                <w:b/>
                <w:color w:val="000000"/>
                <w:lang w:val="en-GB"/>
              </w:rPr>
              <w:t>Mark Rounsevell</w:t>
            </w:r>
          </w:p>
        </w:tc>
        <w:tc>
          <w:tcPr>
            <w:tcW w:w="5400" w:type="dxa"/>
          </w:tcPr>
          <w:p w14:paraId="334A5A81" w14:textId="77777777" w:rsidR="00765216" w:rsidRPr="004943F6" w:rsidRDefault="00765216" w:rsidP="007D760B">
            <w:pPr>
              <w:spacing w:before="40" w:after="80"/>
              <w:rPr>
                <w:i/>
                <w:lang w:val="en-GB" w:eastAsia="en-CA" w:bidi="en-US"/>
              </w:rPr>
            </w:pPr>
            <w:r w:rsidRPr="004943F6">
              <w:rPr>
                <w:color w:val="000000"/>
                <w:lang w:val="en-GB"/>
              </w:rPr>
              <w:t>University of Edinburgh</w:t>
            </w:r>
            <w:r>
              <w:rPr>
                <w:color w:val="000000"/>
                <w:lang w:val="en-GB"/>
              </w:rPr>
              <w:t>, United Kingdom</w:t>
            </w:r>
          </w:p>
        </w:tc>
      </w:tr>
      <w:tr w:rsidR="00765216" w:rsidRPr="00512C6E" w14:paraId="6791CE78" w14:textId="77777777" w:rsidTr="00422AD8">
        <w:trPr>
          <w:jc w:val="right"/>
        </w:trPr>
        <w:tc>
          <w:tcPr>
            <w:tcW w:w="2970" w:type="dxa"/>
          </w:tcPr>
          <w:p w14:paraId="0AB05FE3" w14:textId="77777777" w:rsidR="00765216" w:rsidRPr="004943F6" w:rsidRDefault="00765216" w:rsidP="007D760B">
            <w:pPr>
              <w:spacing w:before="40" w:after="80"/>
              <w:rPr>
                <w:b/>
                <w:color w:val="000000"/>
                <w:lang w:val="en-GB"/>
              </w:rPr>
            </w:pPr>
            <w:r w:rsidRPr="004943F6">
              <w:rPr>
                <w:b/>
                <w:color w:val="000000"/>
                <w:lang w:val="en-GB"/>
              </w:rPr>
              <w:t xml:space="preserve">Melita Anne </w:t>
            </w:r>
            <w:proofErr w:type="spellStart"/>
            <w:r w:rsidRPr="004943F6">
              <w:rPr>
                <w:b/>
                <w:color w:val="000000"/>
                <w:lang w:val="en-GB"/>
              </w:rPr>
              <w:t>Samoilys</w:t>
            </w:r>
            <w:proofErr w:type="spellEnd"/>
          </w:p>
        </w:tc>
        <w:tc>
          <w:tcPr>
            <w:tcW w:w="5400" w:type="dxa"/>
          </w:tcPr>
          <w:p w14:paraId="2B5B45CF" w14:textId="77777777" w:rsidR="00765216" w:rsidRPr="004943F6" w:rsidRDefault="00765216" w:rsidP="007D760B">
            <w:pPr>
              <w:spacing w:before="40" w:after="80"/>
              <w:rPr>
                <w:i/>
                <w:lang w:val="en-GB" w:eastAsia="en-CA" w:bidi="en-US"/>
              </w:rPr>
            </w:pPr>
            <w:r w:rsidRPr="004943F6">
              <w:rPr>
                <w:color w:val="000000"/>
                <w:lang w:val="en-GB"/>
              </w:rPr>
              <w:t>Coastal Oceans Research and Development Indian Ocean</w:t>
            </w:r>
            <w:r>
              <w:rPr>
                <w:color w:val="000000"/>
                <w:lang w:val="en-GB"/>
              </w:rPr>
              <w:t>, Kenya</w:t>
            </w:r>
          </w:p>
        </w:tc>
      </w:tr>
      <w:tr w:rsidR="00765216" w:rsidRPr="00512C6E" w14:paraId="6A4060F4" w14:textId="77777777" w:rsidTr="00422AD8">
        <w:trPr>
          <w:jc w:val="right"/>
        </w:trPr>
        <w:tc>
          <w:tcPr>
            <w:tcW w:w="2970" w:type="dxa"/>
          </w:tcPr>
          <w:p w14:paraId="5FAABB3E" w14:textId="77777777" w:rsidR="00765216" w:rsidRPr="004943F6" w:rsidRDefault="00765216" w:rsidP="007D760B">
            <w:pPr>
              <w:spacing w:before="40" w:after="80"/>
              <w:rPr>
                <w:b/>
                <w:color w:val="000000"/>
                <w:lang w:val="en-GB"/>
              </w:rPr>
            </w:pPr>
            <w:r w:rsidRPr="004943F6">
              <w:rPr>
                <w:b/>
                <w:color w:val="000000"/>
                <w:lang w:val="en-GB"/>
              </w:rPr>
              <w:t xml:space="preserve">Ralf </w:t>
            </w:r>
            <w:proofErr w:type="spellStart"/>
            <w:r w:rsidRPr="004943F6">
              <w:rPr>
                <w:b/>
                <w:color w:val="000000"/>
                <w:lang w:val="en-GB"/>
              </w:rPr>
              <w:t>Seppelt</w:t>
            </w:r>
            <w:proofErr w:type="spellEnd"/>
          </w:p>
        </w:tc>
        <w:tc>
          <w:tcPr>
            <w:tcW w:w="5400" w:type="dxa"/>
          </w:tcPr>
          <w:p w14:paraId="33DE17B6" w14:textId="77777777" w:rsidR="00765216" w:rsidRPr="004943F6" w:rsidRDefault="00765216" w:rsidP="007D760B">
            <w:pPr>
              <w:spacing w:before="40" w:after="80"/>
              <w:rPr>
                <w:i/>
                <w:lang w:val="en-GB" w:eastAsia="en-CA" w:bidi="en-US"/>
              </w:rPr>
            </w:pPr>
            <w:r w:rsidRPr="004943F6">
              <w:rPr>
                <w:color w:val="000000"/>
                <w:lang w:val="en-GB"/>
              </w:rPr>
              <w:t>Helmholtz Centre for Environmental Research</w:t>
            </w:r>
            <w:r>
              <w:rPr>
                <w:color w:val="000000"/>
                <w:lang w:val="en-GB"/>
              </w:rPr>
              <w:t>, Germany</w:t>
            </w:r>
          </w:p>
        </w:tc>
      </w:tr>
      <w:tr w:rsidR="00765216" w:rsidRPr="004943F6" w14:paraId="24FD5407" w14:textId="77777777" w:rsidTr="00422AD8">
        <w:trPr>
          <w:jc w:val="right"/>
        </w:trPr>
        <w:tc>
          <w:tcPr>
            <w:tcW w:w="2970" w:type="dxa"/>
          </w:tcPr>
          <w:p w14:paraId="42D4678D" w14:textId="77777777" w:rsidR="00765216" w:rsidRPr="004943F6" w:rsidRDefault="00765216" w:rsidP="007D760B">
            <w:pPr>
              <w:spacing w:before="40" w:after="80"/>
              <w:rPr>
                <w:b/>
                <w:color w:val="000000"/>
                <w:lang w:val="en-GB"/>
              </w:rPr>
            </w:pPr>
            <w:r w:rsidRPr="004943F6">
              <w:rPr>
                <w:b/>
                <w:color w:val="000000"/>
                <w:lang w:val="en-GB"/>
              </w:rPr>
              <w:t>Heather Tallis</w:t>
            </w:r>
          </w:p>
        </w:tc>
        <w:tc>
          <w:tcPr>
            <w:tcW w:w="5400" w:type="dxa"/>
          </w:tcPr>
          <w:p w14:paraId="6995702D" w14:textId="77777777" w:rsidR="00765216" w:rsidRPr="004943F6" w:rsidRDefault="00765216" w:rsidP="007D760B">
            <w:pPr>
              <w:spacing w:before="40" w:after="80"/>
              <w:rPr>
                <w:i/>
                <w:lang w:val="en-GB" w:eastAsia="en-CA" w:bidi="en-US"/>
              </w:rPr>
            </w:pPr>
            <w:r w:rsidRPr="004943F6">
              <w:rPr>
                <w:color w:val="000000"/>
                <w:lang w:val="en-GB"/>
              </w:rPr>
              <w:t>The Nature Conservancy</w:t>
            </w:r>
          </w:p>
        </w:tc>
      </w:tr>
      <w:tr w:rsidR="00765216" w:rsidRPr="00512C6E" w14:paraId="382EA493" w14:textId="77777777" w:rsidTr="00422AD8">
        <w:trPr>
          <w:jc w:val="right"/>
        </w:trPr>
        <w:tc>
          <w:tcPr>
            <w:tcW w:w="2970" w:type="dxa"/>
          </w:tcPr>
          <w:p w14:paraId="258D56AE" w14:textId="77777777" w:rsidR="00765216" w:rsidRPr="004943F6" w:rsidRDefault="00765216" w:rsidP="007D760B">
            <w:pPr>
              <w:spacing w:before="40" w:after="80"/>
              <w:rPr>
                <w:b/>
                <w:color w:val="000000"/>
                <w:lang w:val="en-GB"/>
              </w:rPr>
            </w:pPr>
            <w:r w:rsidRPr="004943F6">
              <w:rPr>
                <w:b/>
                <w:color w:val="000000"/>
                <w:lang w:val="en-GB"/>
              </w:rPr>
              <w:t xml:space="preserve">Maria Tirado </w:t>
            </w:r>
            <w:proofErr w:type="spellStart"/>
            <w:r w:rsidRPr="004951F1">
              <w:rPr>
                <w:b/>
                <w:color w:val="000000"/>
                <w:lang w:val="en-GB"/>
              </w:rPr>
              <w:t>Blázquez</w:t>
            </w:r>
            <w:proofErr w:type="spellEnd"/>
          </w:p>
        </w:tc>
        <w:tc>
          <w:tcPr>
            <w:tcW w:w="5400" w:type="dxa"/>
          </w:tcPr>
          <w:p w14:paraId="3A430549" w14:textId="77777777" w:rsidR="00765216" w:rsidRPr="004943F6" w:rsidRDefault="00765216" w:rsidP="007D760B">
            <w:pPr>
              <w:spacing w:before="40" w:after="80"/>
              <w:rPr>
                <w:i/>
                <w:lang w:val="en-GB" w:eastAsia="en-CA" w:bidi="en-US"/>
              </w:rPr>
            </w:pPr>
            <w:r w:rsidRPr="004943F6">
              <w:rPr>
                <w:color w:val="000000"/>
                <w:lang w:val="en-GB"/>
              </w:rPr>
              <w:t>SHE Foundation - Sustainability Health Education</w:t>
            </w:r>
            <w:r>
              <w:rPr>
                <w:color w:val="000000"/>
                <w:lang w:val="en-GB"/>
              </w:rPr>
              <w:t>, Spain</w:t>
            </w:r>
          </w:p>
        </w:tc>
      </w:tr>
      <w:tr w:rsidR="00765216" w:rsidRPr="004943F6" w14:paraId="4AF4AD56" w14:textId="77777777" w:rsidTr="00422AD8">
        <w:trPr>
          <w:jc w:val="right"/>
        </w:trPr>
        <w:tc>
          <w:tcPr>
            <w:tcW w:w="2970" w:type="dxa"/>
          </w:tcPr>
          <w:p w14:paraId="706C7A2F" w14:textId="77777777" w:rsidR="00765216" w:rsidRPr="004943F6" w:rsidRDefault="00765216" w:rsidP="007D760B">
            <w:pPr>
              <w:spacing w:before="40" w:after="80"/>
              <w:rPr>
                <w:b/>
                <w:color w:val="000000"/>
                <w:lang w:val="en-GB"/>
              </w:rPr>
            </w:pPr>
            <w:r w:rsidRPr="004943F6">
              <w:rPr>
                <w:b/>
                <w:color w:val="000000"/>
                <w:lang w:val="en-GB"/>
              </w:rPr>
              <w:t>Peter Toth</w:t>
            </w:r>
          </w:p>
        </w:tc>
        <w:tc>
          <w:tcPr>
            <w:tcW w:w="5400" w:type="dxa"/>
          </w:tcPr>
          <w:p w14:paraId="0C9854AA" w14:textId="77777777" w:rsidR="00765216" w:rsidRPr="004943F6" w:rsidRDefault="00765216" w:rsidP="007D760B">
            <w:pPr>
              <w:spacing w:before="40" w:after="80"/>
              <w:rPr>
                <w:i/>
                <w:lang w:val="en-GB" w:eastAsia="en-CA" w:bidi="en-US"/>
              </w:rPr>
            </w:pPr>
            <w:r w:rsidRPr="004943F6">
              <w:rPr>
                <w:color w:val="000000"/>
                <w:lang w:val="en-GB"/>
              </w:rPr>
              <w:t>Freelancer</w:t>
            </w:r>
          </w:p>
        </w:tc>
      </w:tr>
      <w:tr w:rsidR="00765216" w:rsidRPr="00512C6E" w14:paraId="305F473B" w14:textId="77777777" w:rsidTr="00422AD8">
        <w:trPr>
          <w:jc w:val="right"/>
        </w:trPr>
        <w:tc>
          <w:tcPr>
            <w:tcW w:w="2970" w:type="dxa"/>
          </w:tcPr>
          <w:p w14:paraId="27AAA332" w14:textId="77777777" w:rsidR="00765216" w:rsidRPr="004943F6" w:rsidRDefault="00765216" w:rsidP="007D760B">
            <w:pPr>
              <w:spacing w:before="40" w:after="80"/>
              <w:rPr>
                <w:b/>
                <w:color w:val="000000"/>
                <w:lang w:val="en-GB"/>
              </w:rPr>
            </w:pPr>
            <w:proofErr w:type="spellStart"/>
            <w:r w:rsidRPr="004943F6">
              <w:rPr>
                <w:b/>
                <w:color w:val="000000"/>
                <w:lang w:val="en-GB"/>
              </w:rPr>
              <w:t>Chadia</w:t>
            </w:r>
            <w:proofErr w:type="spellEnd"/>
            <w:r w:rsidRPr="004943F6">
              <w:rPr>
                <w:b/>
                <w:color w:val="000000"/>
                <w:lang w:val="en-GB"/>
              </w:rPr>
              <w:t xml:space="preserve"> </w:t>
            </w:r>
            <w:proofErr w:type="spellStart"/>
            <w:r w:rsidRPr="004943F6">
              <w:rPr>
                <w:b/>
                <w:color w:val="000000"/>
                <w:lang w:val="en-GB"/>
              </w:rPr>
              <w:t>Wannous</w:t>
            </w:r>
            <w:proofErr w:type="spellEnd"/>
          </w:p>
        </w:tc>
        <w:tc>
          <w:tcPr>
            <w:tcW w:w="5400" w:type="dxa"/>
          </w:tcPr>
          <w:p w14:paraId="58437EAB" w14:textId="77777777" w:rsidR="00765216" w:rsidRPr="004943F6" w:rsidRDefault="00765216" w:rsidP="007D760B">
            <w:pPr>
              <w:spacing w:before="40" w:after="80"/>
              <w:rPr>
                <w:i/>
                <w:lang w:val="en-GB" w:eastAsia="en-CA" w:bidi="en-US"/>
              </w:rPr>
            </w:pPr>
            <w:r w:rsidRPr="004943F6">
              <w:rPr>
                <w:color w:val="000000"/>
                <w:lang w:val="en-GB"/>
              </w:rPr>
              <w:t>Towards A Safer World (TASW) Network, Future Earth</w:t>
            </w:r>
          </w:p>
        </w:tc>
      </w:tr>
      <w:tr w:rsidR="00765216" w:rsidRPr="00512C6E" w14:paraId="31AE0F13" w14:textId="77777777" w:rsidTr="00422AD8">
        <w:trPr>
          <w:jc w:val="right"/>
        </w:trPr>
        <w:tc>
          <w:tcPr>
            <w:tcW w:w="2970" w:type="dxa"/>
          </w:tcPr>
          <w:p w14:paraId="523C657E" w14:textId="77777777" w:rsidR="00765216" w:rsidRPr="004943F6" w:rsidRDefault="00765216" w:rsidP="007D760B">
            <w:pPr>
              <w:spacing w:before="40" w:after="80"/>
              <w:rPr>
                <w:b/>
                <w:color w:val="000000"/>
                <w:lang w:val="en-GB"/>
              </w:rPr>
            </w:pPr>
            <w:r w:rsidRPr="004943F6">
              <w:rPr>
                <w:b/>
                <w:color w:val="000000"/>
                <w:lang w:val="en-GB"/>
              </w:rPr>
              <w:t>Robert Watson</w:t>
            </w:r>
          </w:p>
        </w:tc>
        <w:tc>
          <w:tcPr>
            <w:tcW w:w="5400" w:type="dxa"/>
          </w:tcPr>
          <w:p w14:paraId="720E826A" w14:textId="77777777" w:rsidR="00765216" w:rsidRPr="004943F6" w:rsidRDefault="00765216" w:rsidP="007D760B">
            <w:pPr>
              <w:spacing w:before="40" w:after="80"/>
              <w:rPr>
                <w:i/>
                <w:lang w:val="en-GB" w:eastAsia="en-CA" w:bidi="en-US"/>
              </w:rPr>
            </w:pPr>
            <w:r w:rsidRPr="004943F6">
              <w:rPr>
                <w:color w:val="000000"/>
                <w:lang w:val="en-GB"/>
              </w:rPr>
              <w:t>University of East Anglia</w:t>
            </w:r>
            <w:r>
              <w:rPr>
                <w:color w:val="000000"/>
                <w:lang w:val="en-GB"/>
              </w:rPr>
              <w:t>, United Kingdom</w:t>
            </w:r>
          </w:p>
        </w:tc>
      </w:tr>
      <w:tr w:rsidR="00765216" w:rsidRPr="00512C6E" w14:paraId="1D096025" w14:textId="77777777" w:rsidTr="00422AD8">
        <w:trPr>
          <w:jc w:val="right"/>
        </w:trPr>
        <w:tc>
          <w:tcPr>
            <w:tcW w:w="2970" w:type="dxa"/>
          </w:tcPr>
          <w:p w14:paraId="7D851B66" w14:textId="77777777" w:rsidR="00765216" w:rsidRPr="004943F6" w:rsidRDefault="00765216" w:rsidP="007D760B">
            <w:pPr>
              <w:spacing w:before="40" w:after="80"/>
              <w:rPr>
                <w:b/>
                <w:color w:val="000000"/>
                <w:lang w:val="en-GB"/>
              </w:rPr>
            </w:pPr>
            <w:r w:rsidRPr="004943F6">
              <w:rPr>
                <w:b/>
                <w:color w:val="000000"/>
                <w:lang w:val="en-GB"/>
              </w:rPr>
              <w:t>Olaf Weyl</w:t>
            </w:r>
          </w:p>
        </w:tc>
        <w:tc>
          <w:tcPr>
            <w:tcW w:w="5400" w:type="dxa"/>
          </w:tcPr>
          <w:p w14:paraId="76790D8A" w14:textId="77777777" w:rsidR="00765216" w:rsidRPr="004943F6" w:rsidRDefault="00765216" w:rsidP="007D760B">
            <w:pPr>
              <w:spacing w:before="40" w:after="80"/>
              <w:rPr>
                <w:i/>
                <w:lang w:val="en-GB" w:eastAsia="en-CA" w:bidi="en-US"/>
              </w:rPr>
            </w:pPr>
            <w:r w:rsidRPr="004943F6">
              <w:rPr>
                <w:color w:val="000000"/>
                <w:lang w:val="en-GB"/>
              </w:rPr>
              <w:t>National Research Foundation - South African Institute for Aquatic Biodiversity (NRF-SAIAB)</w:t>
            </w:r>
          </w:p>
        </w:tc>
      </w:tr>
      <w:tr w:rsidR="00765216" w:rsidRPr="00512C6E" w14:paraId="25A1C6B5" w14:textId="77777777" w:rsidTr="00422AD8">
        <w:trPr>
          <w:jc w:val="right"/>
        </w:trPr>
        <w:tc>
          <w:tcPr>
            <w:tcW w:w="2970" w:type="dxa"/>
          </w:tcPr>
          <w:p w14:paraId="0BBA2C68" w14:textId="77777777" w:rsidR="00765216" w:rsidRPr="004943F6" w:rsidRDefault="00765216" w:rsidP="007D760B">
            <w:pPr>
              <w:spacing w:before="40" w:after="80"/>
              <w:rPr>
                <w:b/>
                <w:color w:val="000000"/>
                <w:lang w:val="en-GB"/>
              </w:rPr>
            </w:pPr>
            <w:proofErr w:type="spellStart"/>
            <w:r w:rsidRPr="004943F6">
              <w:rPr>
                <w:b/>
                <w:color w:val="000000"/>
                <w:lang w:val="en-GB"/>
              </w:rPr>
              <w:t>Lun</w:t>
            </w:r>
            <w:proofErr w:type="spellEnd"/>
            <w:r w:rsidRPr="004943F6">
              <w:rPr>
                <w:b/>
                <w:color w:val="000000"/>
                <w:lang w:val="en-GB"/>
              </w:rPr>
              <w:t xml:space="preserve"> Yin</w:t>
            </w:r>
          </w:p>
        </w:tc>
        <w:tc>
          <w:tcPr>
            <w:tcW w:w="5400" w:type="dxa"/>
          </w:tcPr>
          <w:p w14:paraId="004657C5" w14:textId="77777777" w:rsidR="00765216" w:rsidRPr="004943F6" w:rsidRDefault="00765216" w:rsidP="007D760B">
            <w:pPr>
              <w:spacing w:before="40" w:after="80"/>
              <w:rPr>
                <w:i/>
                <w:lang w:val="en-GB" w:eastAsia="en-CA" w:bidi="en-US"/>
              </w:rPr>
            </w:pPr>
            <w:proofErr w:type="spellStart"/>
            <w:r w:rsidRPr="004943F6">
              <w:rPr>
                <w:color w:val="000000"/>
                <w:lang w:val="en-GB"/>
              </w:rPr>
              <w:t>Center</w:t>
            </w:r>
            <w:proofErr w:type="spellEnd"/>
            <w:r w:rsidRPr="004943F6">
              <w:rPr>
                <w:color w:val="000000"/>
                <w:lang w:val="en-GB"/>
              </w:rPr>
              <w:t xml:space="preserve"> for Ecological Anthropology Research, Yunnan University</w:t>
            </w:r>
            <w:r>
              <w:rPr>
                <w:color w:val="000000"/>
                <w:lang w:val="en-GB"/>
              </w:rPr>
              <w:t>, China</w:t>
            </w:r>
          </w:p>
        </w:tc>
      </w:tr>
      <w:tr w:rsidR="00765216" w:rsidRPr="004943F6" w14:paraId="00281AE5" w14:textId="77777777" w:rsidTr="00422AD8">
        <w:trPr>
          <w:jc w:val="right"/>
        </w:trPr>
        <w:tc>
          <w:tcPr>
            <w:tcW w:w="2970" w:type="dxa"/>
          </w:tcPr>
          <w:p w14:paraId="4A50D2B0" w14:textId="77777777" w:rsidR="00765216" w:rsidRPr="004943F6" w:rsidRDefault="00765216" w:rsidP="007D760B">
            <w:pPr>
              <w:spacing w:before="40" w:after="80"/>
              <w:rPr>
                <w:b/>
                <w:color w:val="000000"/>
                <w:lang w:val="en-GB"/>
              </w:rPr>
            </w:pPr>
            <w:proofErr w:type="spellStart"/>
            <w:r w:rsidRPr="004943F6">
              <w:rPr>
                <w:b/>
                <w:color w:val="000000"/>
                <w:lang w:val="en-GB"/>
              </w:rPr>
              <w:t>Sumaya</w:t>
            </w:r>
            <w:proofErr w:type="spellEnd"/>
            <w:r w:rsidRPr="004943F6">
              <w:rPr>
                <w:b/>
                <w:color w:val="000000"/>
                <w:lang w:val="en-GB"/>
              </w:rPr>
              <w:t xml:space="preserve"> </w:t>
            </w:r>
            <w:proofErr w:type="spellStart"/>
            <w:r w:rsidRPr="004943F6">
              <w:rPr>
                <w:b/>
                <w:color w:val="000000"/>
                <w:lang w:val="en-GB"/>
              </w:rPr>
              <w:t>Zakieldeen</w:t>
            </w:r>
            <w:proofErr w:type="spellEnd"/>
          </w:p>
        </w:tc>
        <w:tc>
          <w:tcPr>
            <w:tcW w:w="5400" w:type="dxa"/>
          </w:tcPr>
          <w:p w14:paraId="19AF965D" w14:textId="77777777" w:rsidR="00765216" w:rsidRPr="004943F6" w:rsidRDefault="00765216" w:rsidP="007D760B">
            <w:pPr>
              <w:spacing w:before="40" w:after="80"/>
              <w:rPr>
                <w:i/>
                <w:lang w:val="en-GB" w:eastAsia="en-CA" w:bidi="en-US"/>
              </w:rPr>
            </w:pPr>
            <w:r w:rsidRPr="004943F6">
              <w:rPr>
                <w:color w:val="000000"/>
                <w:lang w:val="en-GB"/>
              </w:rPr>
              <w:t>University of Khartoum</w:t>
            </w:r>
            <w:r>
              <w:rPr>
                <w:color w:val="000000"/>
                <w:lang w:val="en-GB"/>
              </w:rPr>
              <w:t>, Sudan</w:t>
            </w:r>
          </w:p>
        </w:tc>
      </w:tr>
      <w:tr w:rsidR="00765216" w:rsidRPr="00512C6E" w14:paraId="26D4A710" w14:textId="77777777" w:rsidTr="00422AD8">
        <w:trPr>
          <w:jc w:val="right"/>
        </w:trPr>
        <w:tc>
          <w:tcPr>
            <w:tcW w:w="2970" w:type="dxa"/>
          </w:tcPr>
          <w:p w14:paraId="1D9C8402" w14:textId="77777777" w:rsidR="00765216" w:rsidRPr="004943F6" w:rsidRDefault="00765216" w:rsidP="007D760B">
            <w:pPr>
              <w:spacing w:before="40" w:after="80"/>
              <w:rPr>
                <w:b/>
                <w:color w:val="000000"/>
                <w:lang w:val="en-GB"/>
              </w:rPr>
            </w:pPr>
            <w:r w:rsidRPr="004943F6">
              <w:rPr>
                <w:b/>
                <w:color w:val="000000"/>
                <w:lang w:val="en-GB"/>
              </w:rPr>
              <w:t>Monika Zurek</w:t>
            </w:r>
          </w:p>
        </w:tc>
        <w:tc>
          <w:tcPr>
            <w:tcW w:w="5400" w:type="dxa"/>
          </w:tcPr>
          <w:p w14:paraId="1880F8C7" w14:textId="77777777" w:rsidR="00765216" w:rsidRPr="004943F6" w:rsidRDefault="00765216" w:rsidP="007D760B">
            <w:pPr>
              <w:spacing w:before="40" w:after="80"/>
              <w:rPr>
                <w:i/>
                <w:lang w:val="en-GB" w:eastAsia="en-CA" w:bidi="en-US"/>
              </w:rPr>
            </w:pPr>
            <w:r w:rsidRPr="004943F6">
              <w:rPr>
                <w:color w:val="000000"/>
                <w:lang w:val="en-GB"/>
              </w:rPr>
              <w:t>Environmental Change Institute, University of Oxford</w:t>
            </w:r>
            <w:r>
              <w:rPr>
                <w:color w:val="000000"/>
                <w:lang w:val="en-GB"/>
              </w:rPr>
              <w:t>, United Kingdom</w:t>
            </w:r>
          </w:p>
        </w:tc>
      </w:tr>
    </w:tbl>
    <w:p w14:paraId="4719D034" w14:textId="77777777" w:rsidR="00765216" w:rsidRPr="00765216" w:rsidRDefault="00765216" w:rsidP="00765216">
      <w:pPr>
        <w:rPr>
          <w:sz w:val="6"/>
          <w:szCs w:val="6"/>
          <w:lang w:val="en-GB"/>
        </w:rPr>
      </w:pPr>
    </w:p>
    <w:tbl>
      <w:tblPr>
        <w:tblW w:w="8307" w:type="dxa"/>
        <w:jc w:val="right"/>
        <w:tblLook w:val="04A0" w:firstRow="1" w:lastRow="0" w:firstColumn="1" w:lastColumn="0" w:noHBand="0" w:noVBand="1"/>
      </w:tblPr>
      <w:tblGrid>
        <w:gridCol w:w="2949"/>
        <w:gridCol w:w="5358"/>
      </w:tblGrid>
      <w:tr w:rsidR="00765216" w:rsidRPr="004943F6" w14:paraId="11EC1198" w14:textId="77777777" w:rsidTr="00422AD8">
        <w:trPr>
          <w:tblHeader/>
          <w:jc w:val="right"/>
        </w:trPr>
        <w:tc>
          <w:tcPr>
            <w:tcW w:w="8370" w:type="dxa"/>
            <w:gridSpan w:val="2"/>
            <w:tcBorders>
              <w:top w:val="single" w:sz="4" w:space="0" w:color="auto"/>
              <w:bottom w:val="single" w:sz="12" w:space="0" w:color="auto"/>
            </w:tcBorders>
          </w:tcPr>
          <w:p w14:paraId="445527FE" w14:textId="77777777" w:rsidR="00765216" w:rsidRPr="00942139" w:rsidRDefault="00765216" w:rsidP="007D760B">
            <w:pPr>
              <w:spacing w:before="40" w:after="40"/>
              <w:rPr>
                <w:b/>
                <w:lang w:val="en-GB" w:eastAsia="en-CA" w:bidi="en-US"/>
              </w:rPr>
            </w:pPr>
            <w:r w:rsidRPr="00942139">
              <w:rPr>
                <w:b/>
                <w:lang w:val="en-GB" w:eastAsia="en-CA" w:bidi="en-US"/>
              </w:rPr>
              <w:t>RESOURCE PERSONS</w:t>
            </w:r>
          </w:p>
        </w:tc>
      </w:tr>
      <w:tr w:rsidR="00765216" w:rsidRPr="00512C6E" w14:paraId="482C93A3" w14:textId="77777777" w:rsidTr="00422AD8">
        <w:trPr>
          <w:jc w:val="right"/>
        </w:trPr>
        <w:tc>
          <w:tcPr>
            <w:tcW w:w="2970" w:type="dxa"/>
          </w:tcPr>
          <w:p w14:paraId="286BB149" w14:textId="77777777" w:rsidR="00765216" w:rsidRPr="00942139" w:rsidRDefault="00765216" w:rsidP="007D760B">
            <w:pPr>
              <w:spacing w:before="40" w:after="80"/>
              <w:rPr>
                <w:b/>
                <w:lang w:val="en-GB" w:eastAsia="en-CA" w:bidi="en-US"/>
              </w:rPr>
            </w:pPr>
            <w:r w:rsidRPr="00942139">
              <w:rPr>
                <w:b/>
                <w:lang w:val="en-GB" w:bidi="en-US"/>
              </w:rPr>
              <w:t>David Cooper</w:t>
            </w:r>
          </w:p>
        </w:tc>
        <w:tc>
          <w:tcPr>
            <w:tcW w:w="5400" w:type="dxa"/>
          </w:tcPr>
          <w:p w14:paraId="467D18C8" w14:textId="77777777" w:rsidR="00765216" w:rsidRPr="00942139" w:rsidRDefault="00765216" w:rsidP="007D760B">
            <w:pPr>
              <w:spacing w:after="80"/>
              <w:rPr>
                <w:lang w:val="en-GB" w:eastAsia="en-CA" w:bidi="en-US"/>
              </w:rPr>
            </w:pPr>
            <w:r w:rsidRPr="00942139">
              <w:rPr>
                <w:rFonts w:cs="Calibri"/>
                <w:color w:val="000000"/>
                <w:lang w:val="en-GB"/>
              </w:rPr>
              <w:t>Secretariat of the Convention on Biological Diversity</w:t>
            </w:r>
          </w:p>
        </w:tc>
      </w:tr>
    </w:tbl>
    <w:p w14:paraId="51462427" w14:textId="426F07C2" w:rsidR="00A54604" w:rsidRPr="00937238" w:rsidRDefault="00A54604" w:rsidP="00937238">
      <w:pPr>
        <w:pStyle w:val="Normal-pool"/>
        <w:rPr>
          <w:sz w:val="2"/>
          <w:szCs w:val="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A54604" w:rsidRPr="00512C6E" w14:paraId="519E080F" w14:textId="77777777" w:rsidTr="00700AD7">
        <w:tc>
          <w:tcPr>
            <w:tcW w:w="1897" w:type="dxa"/>
          </w:tcPr>
          <w:p w14:paraId="0AE5CAA8" w14:textId="77777777" w:rsidR="00A54604" w:rsidRPr="00937238" w:rsidRDefault="00A54604" w:rsidP="00937238">
            <w:pPr>
              <w:pStyle w:val="Normal-pool"/>
              <w:spacing w:before="520" w:after="0" w:line="240" w:lineRule="auto"/>
              <w:rPr>
                <w:rFonts w:ascii="Times New Roman" w:hAnsi="Times New Roman" w:cs="Times New Roman"/>
              </w:rPr>
            </w:pPr>
          </w:p>
        </w:tc>
        <w:tc>
          <w:tcPr>
            <w:tcW w:w="1897" w:type="dxa"/>
          </w:tcPr>
          <w:p w14:paraId="2C9C4462" w14:textId="77777777" w:rsidR="00A54604" w:rsidRPr="00937238" w:rsidRDefault="00A54604" w:rsidP="00937238">
            <w:pPr>
              <w:pStyle w:val="Normal-pool"/>
              <w:spacing w:before="520" w:after="0" w:line="240" w:lineRule="auto"/>
              <w:rPr>
                <w:rFonts w:ascii="Times New Roman" w:hAnsi="Times New Roman" w:cs="Times New Roman"/>
              </w:rPr>
            </w:pPr>
          </w:p>
        </w:tc>
        <w:tc>
          <w:tcPr>
            <w:tcW w:w="1897" w:type="dxa"/>
            <w:tcBorders>
              <w:bottom w:val="single" w:sz="4" w:space="0" w:color="auto"/>
            </w:tcBorders>
          </w:tcPr>
          <w:p w14:paraId="01F823AB" w14:textId="77777777" w:rsidR="00A54604" w:rsidRPr="00937238" w:rsidRDefault="00A54604" w:rsidP="00937238">
            <w:pPr>
              <w:pStyle w:val="Normal-pool"/>
              <w:spacing w:before="520" w:after="0" w:line="240" w:lineRule="auto"/>
              <w:rPr>
                <w:rFonts w:ascii="Times New Roman" w:hAnsi="Times New Roman" w:cs="Times New Roman"/>
              </w:rPr>
            </w:pPr>
          </w:p>
        </w:tc>
        <w:tc>
          <w:tcPr>
            <w:tcW w:w="1897" w:type="dxa"/>
          </w:tcPr>
          <w:p w14:paraId="277D1636" w14:textId="77777777" w:rsidR="00A54604" w:rsidRPr="00937238" w:rsidRDefault="00A54604" w:rsidP="00937238">
            <w:pPr>
              <w:pStyle w:val="Normal-pool"/>
              <w:spacing w:before="520" w:after="0" w:line="240" w:lineRule="auto"/>
              <w:rPr>
                <w:rFonts w:ascii="Times New Roman" w:hAnsi="Times New Roman" w:cs="Times New Roman"/>
              </w:rPr>
            </w:pPr>
          </w:p>
        </w:tc>
        <w:tc>
          <w:tcPr>
            <w:tcW w:w="1898" w:type="dxa"/>
          </w:tcPr>
          <w:p w14:paraId="04C9ED37" w14:textId="77777777" w:rsidR="00A54604" w:rsidRPr="00937238" w:rsidRDefault="00A54604" w:rsidP="00937238">
            <w:pPr>
              <w:pStyle w:val="Normal-pool"/>
              <w:spacing w:before="520" w:after="0" w:line="240" w:lineRule="auto"/>
              <w:rPr>
                <w:rFonts w:ascii="Times New Roman" w:hAnsi="Times New Roman" w:cs="Times New Roman"/>
              </w:rPr>
            </w:pPr>
          </w:p>
        </w:tc>
      </w:tr>
    </w:tbl>
    <w:p w14:paraId="0594FF6A" w14:textId="77777777" w:rsidR="00A54604" w:rsidRPr="00761E49" w:rsidRDefault="00A54604" w:rsidP="00700AD7">
      <w:pPr>
        <w:tabs>
          <w:tab w:val="left" w:pos="4082"/>
        </w:tabs>
        <w:rPr>
          <w:lang w:val="en-GB"/>
        </w:rPr>
      </w:pPr>
    </w:p>
    <w:sectPr w:rsidR="00A54604" w:rsidRPr="00761E49" w:rsidSect="00F46532">
      <w:headerReference w:type="first" r:id="rId20"/>
      <w:footerReference w:type="first" r:id="rId21"/>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15C52" w14:textId="77777777" w:rsidR="00DA3D23" w:rsidRDefault="00DA3D23">
      <w:r>
        <w:separator/>
      </w:r>
    </w:p>
  </w:endnote>
  <w:endnote w:type="continuationSeparator" w:id="0">
    <w:p w14:paraId="1EE5D682" w14:textId="77777777" w:rsidR="00DA3D23" w:rsidRDefault="00DA3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C4F85" w14:textId="36A9560C" w:rsidR="00123699" w:rsidRPr="00422AD8" w:rsidRDefault="00123699" w:rsidP="00422AD8">
    <w:pPr>
      <w:pStyle w:val="Footer-pool"/>
    </w:pPr>
    <w:r w:rsidRPr="00422AD8">
      <w:rPr>
        <w:rStyle w:val="PageNumber"/>
        <w:b/>
      </w:rPr>
      <w:fldChar w:fldCharType="begin"/>
    </w:r>
    <w:r w:rsidRPr="00422AD8">
      <w:rPr>
        <w:rStyle w:val="PageNumber"/>
        <w:b/>
      </w:rPr>
      <w:instrText xml:space="preserve"> PAGE </w:instrText>
    </w:r>
    <w:r w:rsidRPr="00422AD8">
      <w:rPr>
        <w:rStyle w:val="PageNumber"/>
        <w:b/>
      </w:rPr>
      <w:fldChar w:fldCharType="separate"/>
    </w:r>
    <w:r w:rsidR="004B2BF7">
      <w:rPr>
        <w:rStyle w:val="PageNumber"/>
        <w:b/>
        <w:noProof/>
      </w:rPr>
      <w:t>6</w:t>
    </w:r>
    <w:r w:rsidRPr="00422AD8">
      <w:rPr>
        <w:rStyle w:val="PageNumbe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CB31B" w14:textId="325E2E27" w:rsidR="00123699" w:rsidRPr="00422AD8" w:rsidRDefault="00123699" w:rsidP="00422AD8">
    <w:pPr>
      <w:pStyle w:val="Footer-pool"/>
      <w:jc w:val="right"/>
    </w:pPr>
    <w:r w:rsidRPr="00422AD8">
      <w:rPr>
        <w:rStyle w:val="PageNumber"/>
        <w:b/>
      </w:rPr>
      <w:fldChar w:fldCharType="begin"/>
    </w:r>
    <w:r w:rsidRPr="00422AD8">
      <w:rPr>
        <w:rStyle w:val="PageNumber"/>
        <w:b/>
      </w:rPr>
      <w:instrText xml:space="preserve"> PAGE </w:instrText>
    </w:r>
    <w:r w:rsidRPr="00422AD8">
      <w:rPr>
        <w:rStyle w:val="PageNumber"/>
        <w:b/>
      </w:rPr>
      <w:fldChar w:fldCharType="separate"/>
    </w:r>
    <w:r w:rsidR="004B2BF7">
      <w:rPr>
        <w:rStyle w:val="PageNumber"/>
        <w:b/>
        <w:noProof/>
      </w:rPr>
      <w:t>7</w:t>
    </w:r>
    <w:r w:rsidRPr="00422AD8">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ADB7A" w14:textId="1CB5D455" w:rsidR="00D2371C" w:rsidRDefault="008D2C27" w:rsidP="00D2371C">
    <w:pPr>
      <w:pStyle w:val="Normal-pool"/>
    </w:pPr>
    <w:r w:rsidRPr="00937238">
      <w:t>K21</w:t>
    </w:r>
    <w:r w:rsidR="00937238">
      <w:t>01287</w:t>
    </w:r>
    <w:r w:rsidRPr="00937238">
      <w:tab/>
    </w:r>
    <w:r w:rsidR="00D2371C">
      <w:t>21</w:t>
    </w:r>
    <w:r w:rsidR="00937238">
      <w:t>05</w:t>
    </w:r>
    <w:r w:rsidRPr="00937238">
      <w:t>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11272" w14:textId="61EF2F59" w:rsidR="00761E49" w:rsidRPr="00761E49" w:rsidRDefault="00761E49" w:rsidP="00422AD8">
    <w:pPr>
      <w:pStyle w:val="Footer-pool"/>
    </w:pPr>
    <w:r w:rsidRPr="00761E49">
      <w:fldChar w:fldCharType="begin"/>
    </w:r>
    <w:r w:rsidRPr="00761E49">
      <w:instrText xml:space="preserve"> PAGE   \* MERGEFORMAT </w:instrText>
    </w:r>
    <w:r w:rsidRPr="00761E49">
      <w:fldChar w:fldCharType="separate"/>
    </w:r>
    <w:r w:rsidR="004B2BF7">
      <w:rPr>
        <w:noProof/>
      </w:rPr>
      <w:t>2</w:t>
    </w:r>
    <w:r w:rsidRPr="00761E4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B0A07" w14:textId="77777777" w:rsidR="00DA3D23" w:rsidRDefault="00DA3D23" w:rsidP="00D92DE0">
      <w:pPr>
        <w:ind w:left="624"/>
      </w:pPr>
      <w:r>
        <w:separator/>
      </w:r>
    </w:p>
  </w:footnote>
  <w:footnote w:type="continuationSeparator" w:id="0">
    <w:p w14:paraId="5F2B37F5" w14:textId="77777777" w:rsidR="00DA3D23" w:rsidRDefault="00DA3D23">
      <w:r>
        <w:continuationSeparator/>
      </w:r>
    </w:p>
  </w:footnote>
  <w:footnote w:id="1">
    <w:p w14:paraId="405C8440" w14:textId="77777777" w:rsidR="00765216" w:rsidRPr="0031174C" w:rsidRDefault="00765216" w:rsidP="00765216">
      <w:pPr>
        <w:pStyle w:val="NormalNonumber"/>
        <w:spacing w:before="20" w:after="40"/>
        <w:rPr>
          <w:sz w:val="18"/>
          <w:szCs w:val="18"/>
          <w:lang w:val="en-US"/>
        </w:rPr>
      </w:pPr>
      <w:r w:rsidRPr="0031174C">
        <w:rPr>
          <w:rStyle w:val="FootnoteReference"/>
          <w:sz w:val="18"/>
          <w:vertAlign w:val="baseline"/>
        </w:rPr>
        <w:t>*</w:t>
      </w:r>
      <w:r w:rsidRPr="0031174C">
        <w:rPr>
          <w:sz w:val="18"/>
          <w:szCs w:val="18"/>
        </w:rPr>
        <w:t xml:space="preserve"> IPBES/</w:t>
      </w:r>
      <w:r>
        <w:rPr>
          <w:sz w:val="18"/>
          <w:szCs w:val="18"/>
        </w:rPr>
        <w:t>8/1.</w:t>
      </w:r>
    </w:p>
  </w:footnote>
  <w:footnote w:id="2">
    <w:p w14:paraId="384A60E5" w14:textId="77777777" w:rsidR="00765216" w:rsidRDefault="00765216" w:rsidP="00765216">
      <w:pPr>
        <w:pStyle w:val="FootnoteText"/>
        <w:rPr>
          <w:rFonts w:ascii="Calibri" w:hAnsi="Calibri" w:cs="Calibri"/>
          <w:lang w:val="en-US"/>
        </w:rPr>
      </w:pPr>
      <w:r w:rsidRPr="00697CC9">
        <w:rPr>
          <w:rStyle w:val="FootnoteReference"/>
          <w:sz w:val="18"/>
        </w:rPr>
        <w:footnoteRef/>
      </w:r>
      <w:r w:rsidRPr="00697CC9">
        <w:rPr>
          <w:szCs w:val="18"/>
          <w:lang w:val="en-US"/>
        </w:rPr>
        <w:t xml:space="preserve"> Platform workshops are described in section 6.1 of the procedures for the preparation of IPBES deliverables, set out in annex I to decision IPBES-3/3</w:t>
      </w:r>
      <w:r>
        <w:rPr>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11AB" w14:textId="77B99B5C" w:rsidR="00123699" w:rsidRPr="00937238" w:rsidRDefault="00937238" w:rsidP="00937238">
    <w:pPr>
      <w:pStyle w:val="Header"/>
    </w:pPr>
    <w:r w:rsidRPr="00937238">
      <w:rPr>
        <w:rFonts w:eastAsia="DengXian"/>
        <w:szCs w:val="18"/>
        <w:lang w:val="en-US"/>
      </w:rPr>
      <w:t>IPBES/8/INF/4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FCF90" w14:textId="77777777" w:rsidR="00422AD8" w:rsidRPr="00937238" w:rsidRDefault="00422AD8" w:rsidP="00422AD8">
    <w:pPr>
      <w:pStyle w:val="Header-pool"/>
      <w:jc w:val="right"/>
    </w:pPr>
    <w:r w:rsidRPr="00937238">
      <w:rPr>
        <w:rFonts w:eastAsia="DengXian"/>
      </w:rPr>
      <w:t>IPBES/8/INF/4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BAA5B" w14:textId="1F82A269" w:rsidR="008D2C27" w:rsidRPr="00937238" w:rsidRDefault="008D2C27" w:rsidP="00937238">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E1361" w14:textId="7FF9202D" w:rsidR="00700AD7" w:rsidRPr="00422AD8" w:rsidRDefault="00422AD8" w:rsidP="00422AD8">
    <w:pPr>
      <w:pStyle w:val="Header"/>
    </w:pPr>
    <w:r w:rsidRPr="00937238">
      <w:rPr>
        <w:rFonts w:eastAsia="DengXian"/>
        <w:szCs w:val="18"/>
        <w:lang w:val="en-US"/>
      </w:rPr>
      <w:t>IPBES/8/INF/4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629E7"/>
    <w:multiLevelType w:val="multilevel"/>
    <w:tmpl w:val="AE709930"/>
    <w:lvl w:ilvl="0">
      <w:start w:val="1"/>
      <w:numFmt w:val="decimal"/>
      <w:lvlText w:val="%1."/>
      <w:lvlJc w:val="left"/>
      <w:pPr>
        <w:tabs>
          <w:tab w:val="num" w:pos="1134"/>
        </w:tabs>
        <w:ind w:left="1247" w:firstLine="0"/>
      </w:pPr>
      <w:rPr>
        <w:rFonts w:hint="default"/>
        <w:b w:val="0"/>
        <w:bCs/>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 w15:restartNumberingAfterBreak="0">
    <w:nsid w:val="18CD270E"/>
    <w:multiLevelType w:val="multilevel"/>
    <w:tmpl w:val="E1389B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4C2747AC"/>
    <w:multiLevelType w:val="multilevel"/>
    <w:tmpl w:val="D2B8854E"/>
    <w:lvl w:ilvl="0">
      <w:start w:val="7"/>
      <w:numFmt w:val="decimal"/>
      <w:lvlText w:val="%1."/>
      <w:lvlJc w:val="left"/>
      <w:pPr>
        <w:tabs>
          <w:tab w:val="num" w:pos="567"/>
        </w:tabs>
        <w:ind w:left="1247" w:firstLine="0"/>
      </w:pPr>
      <w:rPr>
        <w:rFonts w:hint="default"/>
        <w:b w:val="0"/>
        <w:bCs/>
      </w:rPr>
    </w:lvl>
    <w:lvl w:ilvl="1">
      <w:start w:val="1"/>
      <w:numFmt w:val="lowerLetter"/>
      <w:lvlText w:val="(%2)"/>
      <w:lvlJc w:val="left"/>
      <w:pPr>
        <w:tabs>
          <w:tab w:val="num" w:pos="567"/>
        </w:tabs>
        <w:ind w:left="1247" w:firstLine="567"/>
      </w:pPr>
      <w:rPr>
        <w:rFonts w:hint="default"/>
      </w:rPr>
    </w:lvl>
    <w:lvl w:ilvl="2">
      <w:numFmt w:val="lowerRoman"/>
      <w:lvlText w:val="(%3)"/>
      <w:lvlJc w:val="left"/>
      <w:pPr>
        <w:tabs>
          <w:tab w:val="num" w:pos="567"/>
        </w:tabs>
        <w:ind w:left="2948" w:hanging="567"/>
      </w:pPr>
      <w:rPr>
        <w:rFonts w:hint="default"/>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5" w15:restartNumberingAfterBreak="0">
    <w:nsid w:val="4CAE722C"/>
    <w:multiLevelType w:val="multilevel"/>
    <w:tmpl w:val="D2B8854E"/>
    <w:lvl w:ilvl="0">
      <w:start w:val="7"/>
      <w:numFmt w:val="decimal"/>
      <w:lvlText w:val="%1."/>
      <w:lvlJc w:val="left"/>
      <w:pPr>
        <w:tabs>
          <w:tab w:val="num" w:pos="567"/>
        </w:tabs>
        <w:ind w:left="1247" w:firstLine="0"/>
      </w:pPr>
      <w:rPr>
        <w:rFonts w:hint="default"/>
        <w:b w:val="0"/>
        <w:bCs/>
      </w:rPr>
    </w:lvl>
    <w:lvl w:ilvl="1">
      <w:start w:val="1"/>
      <w:numFmt w:val="lowerLetter"/>
      <w:lvlText w:val="(%2)"/>
      <w:lvlJc w:val="left"/>
      <w:pPr>
        <w:tabs>
          <w:tab w:val="num" w:pos="567"/>
        </w:tabs>
        <w:ind w:left="1247" w:firstLine="567"/>
      </w:pPr>
      <w:rPr>
        <w:rFonts w:hint="default"/>
      </w:rPr>
    </w:lvl>
    <w:lvl w:ilvl="2">
      <w:numFmt w:val="lowerRoman"/>
      <w:lvlText w:val="(%3)"/>
      <w:lvlJc w:val="left"/>
      <w:pPr>
        <w:tabs>
          <w:tab w:val="num" w:pos="567"/>
        </w:tabs>
        <w:ind w:left="2948" w:hanging="567"/>
      </w:pPr>
      <w:rPr>
        <w:rFonts w:hint="default"/>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6" w15:restartNumberingAfterBreak="0">
    <w:nsid w:val="52A66A9D"/>
    <w:multiLevelType w:val="multilevel"/>
    <w:tmpl w:val="B9B00B7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2"/>
  </w:num>
  <w:num w:numId="2">
    <w:abstractNumId w:val="3"/>
  </w:num>
  <w:num w:numId="3">
    <w:abstractNumId w:val="6"/>
  </w:num>
  <w:num w:numId="4">
    <w:abstractNumId w:val="6"/>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5"/>
  </w:num>
  <w:num w:numId="6">
    <w:abstractNumId w:val="4"/>
  </w:num>
  <w:num w:numId="7">
    <w:abstractNumId w:val="0"/>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n-GB" w:vendorID="64" w:dllVersion="4096"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604"/>
    <w:rsid w:val="000149E6"/>
    <w:rsid w:val="00021FE1"/>
    <w:rsid w:val="000247B0"/>
    <w:rsid w:val="00026997"/>
    <w:rsid w:val="00033E0B"/>
    <w:rsid w:val="00035EDE"/>
    <w:rsid w:val="000509B4"/>
    <w:rsid w:val="0006035B"/>
    <w:rsid w:val="00071886"/>
    <w:rsid w:val="000742BC"/>
    <w:rsid w:val="00082A0C"/>
    <w:rsid w:val="00083504"/>
    <w:rsid w:val="0009640C"/>
    <w:rsid w:val="000B22A2"/>
    <w:rsid w:val="000C2A52"/>
    <w:rsid w:val="000D058E"/>
    <w:rsid w:val="000D33C0"/>
    <w:rsid w:val="000D6941"/>
    <w:rsid w:val="001202E3"/>
    <w:rsid w:val="00123699"/>
    <w:rsid w:val="0013059D"/>
    <w:rsid w:val="00141A55"/>
    <w:rsid w:val="001446A3"/>
    <w:rsid w:val="00155395"/>
    <w:rsid w:val="00160D74"/>
    <w:rsid w:val="00167D02"/>
    <w:rsid w:val="001807E4"/>
    <w:rsid w:val="00181EC8"/>
    <w:rsid w:val="00184349"/>
    <w:rsid w:val="00195F33"/>
    <w:rsid w:val="001B1617"/>
    <w:rsid w:val="001B504B"/>
    <w:rsid w:val="001D3874"/>
    <w:rsid w:val="001D7E75"/>
    <w:rsid w:val="001E1464"/>
    <w:rsid w:val="001E56D2"/>
    <w:rsid w:val="001E7D56"/>
    <w:rsid w:val="001F75DE"/>
    <w:rsid w:val="00200D58"/>
    <w:rsid w:val="002013BE"/>
    <w:rsid w:val="002063A4"/>
    <w:rsid w:val="0021145B"/>
    <w:rsid w:val="00237C90"/>
    <w:rsid w:val="00243D36"/>
    <w:rsid w:val="00247707"/>
    <w:rsid w:val="0026018E"/>
    <w:rsid w:val="00286740"/>
    <w:rsid w:val="002929D8"/>
    <w:rsid w:val="002A237D"/>
    <w:rsid w:val="002A4C53"/>
    <w:rsid w:val="002B0672"/>
    <w:rsid w:val="002B247F"/>
    <w:rsid w:val="002C145D"/>
    <w:rsid w:val="002C2C3E"/>
    <w:rsid w:val="002C533E"/>
    <w:rsid w:val="002D027F"/>
    <w:rsid w:val="002D7A85"/>
    <w:rsid w:val="002D7B60"/>
    <w:rsid w:val="002F4761"/>
    <w:rsid w:val="002F5C79"/>
    <w:rsid w:val="00300402"/>
    <w:rsid w:val="003019E2"/>
    <w:rsid w:val="0031413F"/>
    <w:rsid w:val="003148BB"/>
    <w:rsid w:val="00317976"/>
    <w:rsid w:val="0033228A"/>
    <w:rsid w:val="00355EA9"/>
    <w:rsid w:val="003578DE"/>
    <w:rsid w:val="003814DA"/>
    <w:rsid w:val="00396257"/>
    <w:rsid w:val="00397EB8"/>
    <w:rsid w:val="003A4FD0"/>
    <w:rsid w:val="003A69D1"/>
    <w:rsid w:val="003A7705"/>
    <w:rsid w:val="003A77F1"/>
    <w:rsid w:val="003B1545"/>
    <w:rsid w:val="003B40F8"/>
    <w:rsid w:val="003C409D"/>
    <w:rsid w:val="003C5BA6"/>
    <w:rsid w:val="003D1BD3"/>
    <w:rsid w:val="003F0E85"/>
    <w:rsid w:val="00410C55"/>
    <w:rsid w:val="00416854"/>
    <w:rsid w:val="00417725"/>
    <w:rsid w:val="00422AD8"/>
    <w:rsid w:val="00437F26"/>
    <w:rsid w:val="00444097"/>
    <w:rsid w:val="00445487"/>
    <w:rsid w:val="00447693"/>
    <w:rsid w:val="00454769"/>
    <w:rsid w:val="00466991"/>
    <w:rsid w:val="0047064C"/>
    <w:rsid w:val="004976DF"/>
    <w:rsid w:val="004A1246"/>
    <w:rsid w:val="004A42E1"/>
    <w:rsid w:val="004B162C"/>
    <w:rsid w:val="004B2BF7"/>
    <w:rsid w:val="004C3DBE"/>
    <w:rsid w:val="004C5C96"/>
    <w:rsid w:val="004D06A4"/>
    <w:rsid w:val="004F1A81"/>
    <w:rsid w:val="005017D4"/>
    <w:rsid w:val="00512C6E"/>
    <w:rsid w:val="005218D9"/>
    <w:rsid w:val="00536186"/>
    <w:rsid w:val="005367F7"/>
    <w:rsid w:val="00544CBB"/>
    <w:rsid w:val="00557486"/>
    <w:rsid w:val="0057315F"/>
    <w:rsid w:val="00576104"/>
    <w:rsid w:val="005C67C8"/>
    <w:rsid w:val="005D0249"/>
    <w:rsid w:val="005D6E8C"/>
    <w:rsid w:val="005F100C"/>
    <w:rsid w:val="005F68DA"/>
    <w:rsid w:val="0060773B"/>
    <w:rsid w:val="006157B5"/>
    <w:rsid w:val="00626FC6"/>
    <w:rsid w:val="006303B4"/>
    <w:rsid w:val="00633D3D"/>
    <w:rsid w:val="00641703"/>
    <w:rsid w:val="006431A6"/>
    <w:rsid w:val="006459F6"/>
    <w:rsid w:val="006501AD"/>
    <w:rsid w:val="00651BFA"/>
    <w:rsid w:val="00654475"/>
    <w:rsid w:val="00665A4B"/>
    <w:rsid w:val="00674A81"/>
    <w:rsid w:val="00684EE7"/>
    <w:rsid w:val="00692E2A"/>
    <w:rsid w:val="006A76F2"/>
    <w:rsid w:val="006D7EFB"/>
    <w:rsid w:val="006E6672"/>
    <w:rsid w:val="006E6722"/>
    <w:rsid w:val="006F431C"/>
    <w:rsid w:val="00700AD7"/>
    <w:rsid w:val="007027B9"/>
    <w:rsid w:val="00715E88"/>
    <w:rsid w:val="00734CAA"/>
    <w:rsid w:val="0075533C"/>
    <w:rsid w:val="00757581"/>
    <w:rsid w:val="007611A0"/>
    <w:rsid w:val="00761E49"/>
    <w:rsid w:val="00765216"/>
    <w:rsid w:val="00796D3F"/>
    <w:rsid w:val="007A1683"/>
    <w:rsid w:val="007A5C12"/>
    <w:rsid w:val="007A7CB0"/>
    <w:rsid w:val="007B68A3"/>
    <w:rsid w:val="007C2541"/>
    <w:rsid w:val="007D1E93"/>
    <w:rsid w:val="007D66A8"/>
    <w:rsid w:val="007E003F"/>
    <w:rsid w:val="0081367C"/>
    <w:rsid w:val="008164F2"/>
    <w:rsid w:val="00821395"/>
    <w:rsid w:val="00830E26"/>
    <w:rsid w:val="00843576"/>
    <w:rsid w:val="00843B64"/>
    <w:rsid w:val="008478FC"/>
    <w:rsid w:val="00867BFF"/>
    <w:rsid w:val="0088480A"/>
    <w:rsid w:val="0088757A"/>
    <w:rsid w:val="008957DD"/>
    <w:rsid w:val="00897D98"/>
    <w:rsid w:val="008A6DF2"/>
    <w:rsid w:val="008A7807"/>
    <w:rsid w:val="008B4CC9"/>
    <w:rsid w:val="008D2C27"/>
    <w:rsid w:val="008D7C99"/>
    <w:rsid w:val="008E0FCB"/>
    <w:rsid w:val="0092178C"/>
    <w:rsid w:val="00930B88"/>
    <w:rsid w:val="00937238"/>
    <w:rsid w:val="00940DCC"/>
    <w:rsid w:val="0094179A"/>
    <w:rsid w:val="0094459E"/>
    <w:rsid w:val="00944DBC"/>
    <w:rsid w:val="00950977"/>
    <w:rsid w:val="00951A7B"/>
    <w:rsid w:val="009564A6"/>
    <w:rsid w:val="00967621"/>
    <w:rsid w:val="00967E6A"/>
    <w:rsid w:val="009B4A0F"/>
    <w:rsid w:val="009C11D2"/>
    <w:rsid w:val="009C6C70"/>
    <w:rsid w:val="009D0B63"/>
    <w:rsid w:val="009E307E"/>
    <w:rsid w:val="00A07870"/>
    <w:rsid w:val="00A07F19"/>
    <w:rsid w:val="00A1348D"/>
    <w:rsid w:val="00A232EE"/>
    <w:rsid w:val="00A4175F"/>
    <w:rsid w:val="00A44411"/>
    <w:rsid w:val="00A469FA"/>
    <w:rsid w:val="00A54604"/>
    <w:rsid w:val="00A55B01"/>
    <w:rsid w:val="00A56B5B"/>
    <w:rsid w:val="00A603FF"/>
    <w:rsid w:val="00A657DD"/>
    <w:rsid w:val="00A666A6"/>
    <w:rsid w:val="00A675FD"/>
    <w:rsid w:val="00A72437"/>
    <w:rsid w:val="00A741CF"/>
    <w:rsid w:val="00A80611"/>
    <w:rsid w:val="00AA7FA6"/>
    <w:rsid w:val="00AB5340"/>
    <w:rsid w:val="00AC0A89"/>
    <w:rsid w:val="00AC579C"/>
    <w:rsid w:val="00AC7C96"/>
    <w:rsid w:val="00AE237D"/>
    <w:rsid w:val="00AE502A"/>
    <w:rsid w:val="00AF7C07"/>
    <w:rsid w:val="00B07967"/>
    <w:rsid w:val="00B22C93"/>
    <w:rsid w:val="00B27589"/>
    <w:rsid w:val="00B405B7"/>
    <w:rsid w:val="00B52222"/>
    <w:rsid w:val="00B54FE7"/>
    <w:rsid w:val="00B66901"/>
    <w:rsid w:val="00B71E6D"/>
    <w:rsid w:val="00B72070"/>
    <w:rsid w:val="00B779E1"/>
    <w:rsid w:val="00B91EE1"/>
    <w:rsid w:val="00BA0090"/>
    <w:rsid w:val="00BA1A67"/>
    <w:rsid w:val="00BE2D02"/>
    <w:rsid w:val="00BE5B5F"/>
    <w:rsid w:val="00C1123B"/>
    <w:rsid w:val="00C26F55"/>
    <w:rsid w:val="00C30C63"/>
    <w:rsid w:val="00C36B8B"/>
    <w:rsid w:val="00C415C1"/>
    <w:rsid w:val="00C47DBF"/>
    <w:rsid w:val="00C552FF"/>
    <w:rsid w:val="00C558DA"/>
    <w:rsid w:val="00C55AF3"/>
    <w:rsid w:val="00C84759"/>
    <w:rsid w:val="00CA6C7F"/>
    <w:rsid w:val="00CA7341"/>
    <w:rsid w:val="00CC10A6"/>
    <w:rsid w:val="00CD5EB8"/>
    <w:rsid w:val="00CD7044"/>
    <w:rsid w:val="00CE08B9"/>
    <w:rsid w:val="00CE524C"/>
    <w:rsid w:val="00CF141F"/>
    <w:rsid w:val="00CF4777"/>
    <w:rsid w:val="00D04E58"/>
    <w:rsid w:val="00D067BB"/>
    <w:rsid w:val="00D1352A"/>
    <w:rsid w:val="00D169AF"/>
    <w:rsid w:val="00D231FD"/>
    <w:rsid w:val="00D2371C"/>
    <w:rsid w:val="00D25249"/>
    <w:rsid w:val="00D44172"/>
    <w:rsid w:val="00D605CB"/>
    <w:rsid w:val="00D63B8C"/>
    <w:rsid w:val="00D739CC"/>
    <w:rsid w:val="00D8093D"/>
    <w:rsid w:val="00D8108C"/>
    <w:rsid w:val="00D842AE"/>
    <w:rsid w:val="00D9211C"/>
    <w:rsid w:val="00D92DE0"/>
    <w:rsid w:val="00D92FEF"/>
    <w:rsid w:val="00D93A0F"/>
    <w:rsid w:val="00DA1BCA"/>
    <w:rsid w:val="00DA3D23"/>
    <w:rsid w:val="00DC3370"/>
    <w:rsid w:val="00DC46FF"/>
    <w:rsid w:val="00DC5254"/>
    <w:rsid w:val="00DD1A4F"/>
    <w:rsid w:val="00DD3107"/>
    <w:rsid w:val="00DD7C2C"/>
    <w:rsid w:val="00E05463"/>
    <w:rsid w:val="00E06797"/>
    <w:rsid w:val="00E07236"/>
    <w:rsid w:val="00E1265B"/>
    <w:rsid w:val="00E13B48"/>
    <w:rsid w:val="00E1404F"/>
    <w:rsid w:val="00E21C83"/>
    <w:rsid w:val="00E24ADA"/>
    <w:rsid w:val="00E2541E"/>
    <w:rsid w:val="00E32F59"/>
    <w:rsid w:val="00E459E6"/>
    <w:rsid w:val="00E46D9A"/>
    <w:rsid w:val="00E565FF"/>
    <w:rsid w:val="00E65388"/>
    <w:rsid w:val="00E85B7D"/>
    <w:rsid w:val="00E9121B"/>
    <w:rsid w:val="00EA0AE2"/>
    <w:rsid w:val="00EA39E5"/>
    <w:rsid w:val="00EC5A46"/>
    <w:rsid w:val="00EC63E2"/>
    <w:rsid w:val="00EF22B3"/>
    <w:rsid w:val="00F03B69"/>
    <w:rsid w:val="00F07A50"/>
    <w:rsid w:val="00F113DA"/>
    <w:rsid w:val="00F37DC8"/>
    <w:rsid w:val="00F439B3"/>
    <w:rsid w:val="00F46532"/>
    <w:rsid w:val="00F650C3"/>
    <w:rsid w:val="00F65D85"/>
    <w:rsid w:val="00F8091E"/>
    <w:rsid w:val="00F8615C"/>
    <w:rsid w:val="00F969E5"/>
    <w:rsid w:val="00FA6BB0"/>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35CC2"/>
  <w15:chartTrackingRefBased/>
  <w15:docId w15:val="{26D0D788-6334-4C81-B15E-05D888C3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941"/>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next w:val="NormalNonumber"/>
    <w:rsid w:val="005017D4"/>
    <w:pPr>
      <w:tabs>
        <w:tab w:val="left" w:pos="624"/>
      </w:tabs>
    </w:pPr>
    <w:rPr>
      <w:b/>
      <w:lang w:eastAsia="en-US"/>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807E4"/>
    <w:pPr>
      <w:keepNext/>
      <w:keepLines/>
      <w:tabs>
        <w:tab w:val="right" w:pos="851"/>
      </w:tabs>
      <w:suppressAutoHyphens/>
      <w:spacing w:before="240" w:after="120"/>
      <w:ind w:left="1247" w:right="284" w:hanging="1247"/>
    </w:pPr>
    <w:rPr>
      <w:b/>
      <w:sz w:val="28"/>
      <w:szCs w:val="28"/>
      <w:lang w:val="en-GB"/>
    </w:rPr>
  </w:style>
  <w:style w:type="paragraph" w:customStyle="1" w:styleId="CH2">
    <w:name w:val="CH2"/>
    <w:next w:val="Normalnumber"/>
    <w:link w:val="CH2Char"/>
    <w:rsid w:val="001807E4"/>
    <w:pPr>
      <w:keepNext/>
      <w:keepLines/>
      <w:tabs>
        <w:tab w:val="right" w:pos="851"/>
        <w:tab w:val="left" w:pos="1247"/>
      </w:tabs>
      <w:suppressAutoHyphens/>
      <w:spacing w:before="240" w:after="120"/>
      <w:ind w:left="1247" w:right="284" w:hanging="1247"/>
    </w:pPr>
    <w:rPr>
      <w:b/>
      <w:sz w:val="24"/>
      <w:szCs w:val="24"/>
      <w:lang w:eastAsia="en-US"/>
    </w:rPr>
  </w:style>
  <w:style w:type="paragraph" w:customStyle="1" w:styleId="CH3">
    <w:name w:val="CH3"/>
    <w:next w:val="Normalnumber"/>
    <w:rsid w:val="001807E4"/>
    <w:pPr>
      <w:keepNext/>
      <w:keepLines/>
      <w:tabs>
        <w:tab w:val="right" w:pos="851"/>
        <w:tab w:val="left" w:pos="1247"/>
      </w:tabs>
      <w:suppressAutoHyphens/>
      <w:spacing w:before="240" w:after="120"/>
      <w:ind w:left="1247" w:right="284" w:hanging="1247"/>
    </w:pPr>
    <w:rPr>
      <w:b/>
      <w:lang w:eastAsia="en-US"/>
    </w:rPr>
  </w:style>
  <w:style w:type="paragraph" w:customStyle="1" w:styleId="CH4">
    <w:name w:val="CH4"/>
    <w:next w:val="Normalnumber"/>
    <w:rsid w:val="001807E4"/>
    <w:pPr>
      <w:keepNext/>
      <w:keepLines/>
      <w:tabs>
        <w:tab w:val="right" w:pos="851"/>
        <w:tab w:val="left" w:pos="1247"/>
      </w:tabs>
      <w:suppressAutoHyphens/>
      <w:spacing w:before="120" w:after="120"/>
      <w:ind w:left="1247" w:right="284" w:hanging="1247"/>
    </w:pPr>
    <w:rPr>
      <w:b/>
      <w:lang w:eastAsia="en-US"/>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next w:val="Normalnumber"/>
    <w:rsid w:val="001807E4"/>
    <w:pPr>
      <w:keepNext/>
      <w:keepLines/>
      <w:tabs>
        <w:tab w:val="right" w:pos="851"/>
        <w:tab w:val="left" w:pos="1247"/>
      </w:tabs>
      <w:suppressAutoHyphens/>
      <w:spacing w:before="120" w:after="120"/>
      <w:ind w:left="1247" w:right="284" w:hanging="1247"/>
    </w:pPr>
    <w:rPr>
      <w:b/>
      <w:lang w:eastAsia="en-US"/>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next w:val="Normal-pool"/>
    <w:rsid w:val="005017D4"/>
    <w:pPr>
      <w:tabs>
        <w:tab w:val="left" w:pos="624"/>
      </w:tabs>
      <w:spacing w:before="60" w:after="120"/>
    </w:pPr>
    <w:rPr>
      <w:b/>
      <w:sz w:val="18"/>
      <w:lang w:eastAsia="en-US"/>
    </w:rPr>
  </w:style>
  <w:style w:type="paragraph" w:customStyle="1" w:styleId="Header-pool">
    <w:name w:val="Header-pool"/>
    <w:next w:val="Normal-pool"/>
    <w:rsid w:val="005017D4"/>
    <w:pPr>
      <w:pBdr>
        <w:bottom w:val="single" w:sz="4" w:space="1" w:color="auto"/>
      </w:pBdr>
      <w:tabs>
        <w:tab w:val="left" w:pos="624"/>
      </w:tabs>
      <w:spacing w:after="120"/>
    </w:pPr>
    <w:rPr>
      <w:b/>
      <w:sz w:val="18"/>
      <w:lang w:eastAsia="en-US"/>
    </w:rPr>
  </w:style>
  <w:style w:type="paragraph" w:customStyle="1" w:styleId="Normal-pool">
    <w:name w:val="Normal-pool"/>
    <w:link w:val="Normal-poolChar"/>
    <w:rsid w:val="00937238"/>
    <w:pPr>
      <w:tabs>
        <w:tab w:val="left" w:pos="624"/>
      </w:tabs>
    </w:pPr>
    <w:rPr>
      <w:lang w:eastAsia="en-US"/>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
    <w:basedOn w:val="DefaultParagraphFont"/>
    <w:uiPriority w:val="99"/>
    <w:qForma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uiPriority w:val="99"/>
    <w:semiHidden/>
    <w:rsid w:val="000D6941"/>
    <w:pPr>
      <w:spacing w:before="20" w:after="40"/>
      <w:ind w:left="1247"/>
    </w:pPr>
    <w:rPr>
      <w:sz w:val="18"/>
    </w:rPr>
  </w:style>
  <w:style w:type="paragraph" w:styleId="BalloonText">
    <w:name w:val="Balloon Text"/>
    <w:basedOn w:val="Normal"/>
    <w:link w:val="BalloonTextChar"/>
    <w:rsid w:val="00A54604"/>
    <w:rPr>
      <w:rFonts w:ascii="Segoe UI" w:hAnsi="Segoe UI" w:cs="Segoe UI"/>
      <w:sz w:val="18"/>
      <w:szCs w:val="18"/>
    </w:rPr>
  </w:style>
  <w:style w:type="character" w:customStyle="1" w:styleId="BalloonTextChar">
    <w:name w:val="Balloon Text Char"/>
    <w:basedOn w:val="DefaultParagraphFont"/>
    <w:link w:val="BalloonText"/>
    <w:rsid w:val="00A54604"/>
    <w:rPr>
      <w:rFonts w:ascii="Segoe UI" w:hAnsi="Segoe UI" w:cs="Segoe UI"/>
      <w:sz w:val="18"/>
      <w:szCs w:val="18"/>
      <w:lang w:val="fr-FR" w:eastAsia="en-US"/>
    </w:rPr>
  </w:style>
  <w:style w:type="character" w:customStyle="1" w:styleId="Normal-poolChar">
    <w:name w:val="Normal-pool Char"/>
    <w:link w:val="Normal-pool"/>
    <w:rsid w:val="00937238"/>
    <w:rPr>
      <w:lang w:eastAsia="en-US"/>
    </w:rPr>
  </w:style>
  <w:style w:type="table" w:styleId="TableGrid">
    <w:name w:val="Table Grid"/>
    <w:basedOn w:val="TableNormal"/>
    <w:uiPriority w:val="59"/>
    <w:rsid w:val="00A54604"/>
    <w:pPr>
      <w:spacing w:after="120" w:line="264" w:lineRule="auto"/>
    </w:pPr>
    <w:rPr>
      <w:rFonts w:ascii="Calibri" w:eastAsia="DengXian" w:hAnsi="Calibri" w:cs="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rsid w:val="005017D4"/>
    <w:pPr>
      <w:keepNext/>
      <w:keepLines/>
      <w:tabs>
        <w:tab w:val="left" w:pos="624"/>
      </w:tabs>
      <w:suppressAutoHyphens/>
      <w:ind w:right="5103"/>
    </w:pPr>
    <w:rPr>
      <w:b/>
      <w:lang w:eastAsia="en-US"/>
    </w:rPr>
  </w:style>
  <w:style w:type="paragraph" w:customStyle="1" w:styleId="AATitle2">
    <w:name w:val="AA_Title2"/>
    <w:rsid w:val="003814DA"/>
    <w:pPr>
      <w:keepNext/>
      <w:keepLines/>
      <w:tabs>
        <w:tab w:val="left" w:pos="624"/>
      </w:tabs>
      <w:spacing w:before="60"/>
      <w:ind w:right="4536"/>
    </w:pPr>
    <w:rPr>
      <w:b/>
      <w:lang w:eastAsia="en-US"/>
    </w:rPr>
  </w:style>
  <w:style w:type="paragraph" w:customStyle="1" w:styleId="BBTitle">
    <w:name w:val="BB_Title"/>
    <w:rsid w:val="005017D4"/>
    <w:pPr>
      <w:keepNext/>
      <w:keepLines/>
      <w:tabs>
        <w:tab w:val="left" w:pos="851"/>
        <w:tab w:val="left" w:pos="1247"/>
      </w:tabs>
      <w:suppressAutoHyphens/>
      <w:spacing w:before="320" w:after="240"/>
      <w:ind w:left="1247" w:right="567"/>
    </w:pPr>
    <w:rPr>
      <w:b/>
      <w:sz w:val="28"/>
      <w:szCs w:val="28"/>
      <w:lang w:eastAsia="en-US"/>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3"/>
      </w:numPr>
    </w:pPr>
  </w:style>
  <w:style w:type="paragraph" w:customStyle="1" w:styleId="NormalNonumber">
    <w:name w:val="Normal_No_number"/>
    <w:rsid w:val="005017D4"/>
    <w:pPr>
      <w:tabs>
        <w:tab w:val="left" w:pos="624"/>
      </w:tabs>
      <w:spacing w:after="120"/>
      <w:ind w:left="1247"/>
    </w:pPr>
    <w:rPr>
      <w:lang w:eastAsia="en-US"/>
    </w:rPr>
  </w:style>
  <w:style w:type="paragraph" w:customStyle="1" w:styleId="Normalnumber">
    <w:name w:val="Normal_number"/>
    <w:link w:val="NormalnumberChar"/>
    <w:qFormat/>
    <w:rsid w:val="005017D4"/>
    <w:pPr>
      <w:numPr>
        <w:numId w:val="4"/>
      </w:numPr>
      <w:tabs>
        <w:tab w:val="left" w:pos="624"/>
      </w:tabs>
      <w:spacing w:after="120"/>
    </w:pPr>
    <w:rPr>
      <w:lang w:eastAsia="en-US"/>
    </w:rPr>
  </w:style>
  <w:style w:type="paragraph" w:customStyle="1" w:styleId="Titletable">
    <w:name w:val="Title_table"/>
    <w:rsid w:val="005017D4"/>
    <w:pPr>
      <w:keepNext/>
      <w:keepLines/>
      <w:tabs>
        <w:tab w:val="left" w:pos="624"/>
      </w:tabs>
      <w:suppressAutoHyphens/>
      <w:spacing w:after="60"/>
      <w:ind w:left="1247"/>
    </w:pPr>
    <w:rPr>
      <w:bCs/>
      <w:lang w:eastAsia="en-U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rsid w:val="005017D4"/>
    <w:pPr>
      <w:tabs>
        <w:tab w:val="left" w:pos="624"/>
      </w:tabs>
    </w:pPr>
    <w:rPr>
      <w:b/>
      <w:bCs/>
      <w:sz w:val="28"/>
      <w:szCs w:val="22"/>
      <w:lang w:eastAsia="en-US"/>
    </w:rPr>
  </w:style>
  <w:style w:type="paragraph" w:customStyle="1" w:styleId="ZZAnxtitle">
    <w:name w:val="ZZ_Anx_title"/>
    <w:rsid w:val="005017D4"/>
    <w:pPr>
      <w:tabs>
        <w:tab w:val="left" w:pos="624"/>
      </w:tabs>
      <w:spacing w:before="360" w:after="120"/>
      <w:ind w:left="1247"/>
    </w:pPr>
    <w:rPr>
      <w:b/>
      <w:bCs/>
      <w:sz w:val="28"/>
      <w:szCs w:val="26"/>
      <w:lang w:eastAsia="en-US"/>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basedOn w:val="DefaultParagraphFont"/>
    <w:link w:val="FootnoteText"/>
    <w:uiPriority w:val="99"/>
    <w:semiHidden/>
    <w:rsid w:val="00765216"/>
    <w:rPr>
      <w:sz w:val="18"/>
      <w:lang w:val="fr-FR" w:eastAsia="en-US"/>
    </w:rPr>
  </w:style>
  <w:style w:type="character" w:customStyle="1" w:styleId="NormalnumberChar">
    <w:name w:val="Normal_number Char"/>
    <w:link w:val="Normalnumber"/>
    <w:locked/>
    <w:rsid w:val="00765216"/>
    <w:rPr>
      <w:lang w:eastAsia="en-US"/>
    </w:rPr>
  </w:style>
  <w:style w:type="character" w:customStyle="1" w:styleId="CH2Char">
    <w:name w:val="CH2 Char"/>
    <w:link w:val="CH2"/>
    <w:locked/>
    <w:rsid w:val="001807E4"/>
    <w:rPr>
      <w:b/>
      <w:sz w:val="24"/>
      <w:szCs w:val="24"/>
      <w:lang w:eastAsia="en-US"/>
    </w:rPr>
  </w:style>
  <w:style w:type="character" w:customStyle="1" w:styleId="FooterChar">
    <w:name w:val="Footer Char"/>
    <w:basedOn w:val="DefaultParagraphFont"/>
    <w:link w:val="Footer"/>
    <w:uiPriority w:val="99"/>
    <w:rsid w:val="00937238"/>
    <w:rPr>
      <w:sz w:val="18"/>
      <w:lang w:val="fr-FR" w:eastAsia="en-US"/>
    </w:rPr>
  </w:style>
  <w:style w:type="character" w:customStyle="1" w:styleId="HeaderChar">
    <w:name w:val="Header Char"/>
    <w:basedOn w:val="DefaultParagraphFont"/>
    <w:link w:val="Header"/>
    <w:semiHidden/>
    <w:rsid w:val="00422AD8"/>
    <w:rPr>
      <w:b/>
      <w:sz w:val="18"/>
      <w:lang w:val="fr-FR" w:eastAsia="en-US"/>
    </w:rPr>
  </w:style>
  <w:style w:type="character" w:styleId="CommentReference">
    <w:name w:val="annotation reference"/>
    <w:basedOn w:val="DefaultParagraphFont"/>
    <w:rsid w:val="00CA7341"/>
    <w:rPr>
      <w:sz w:val="16"/>
      <w:szCs w:val="16"/>
    </w:rPr>
  </w:style>
  <w:style w:type="paragraph" w:styleId="CommentText">
    <w:name w:val="annotation text"/>
    <w:basedOn w:val="Normal"/>
    <w:link w:val="CommentTextChar"/>
    <w:rsid w:val="00CA7341"/>
  </w:style>
  <w:style w:type="character" w:customStyle="1" w:styleId="CommentTextChar">
    <w:name w:val="Comment Text Char"/>
    <w:basedOn w:val="DefaultParagraphFont"/>
    <w:link w:val="CommentText"/>
    <w:rsid w:val="00CA7341"/>
    <w:rPr>
      <w:lang w:val="fr-FR" w:eastAsia="en-US"/>
    </w:rPr>
  </w:style>
  <w:style w:type="paragraph" w:styleId="CommentSubject">
    <w:name w:val="annotation subject"/>
    <w:basedOn w:val="CommentText"/>
    <w:next w:val="CommentText"/>
    <w:link w:val="CommentSubjectChar"/>
    <w:rsid w:val="00CA7341"/>
    <w:rPr>
      <w:b/>
      <w:bCs/>
    </w:rPr>
  </w:style>
  <w:style w:type="character" w:customStyle="1" w:styleId="CommentSubjectChar">
    <w:name w:val="Comment Subject Char"/>
    <w:basedOn w:val="CommentTextChar"/>
    <w:link w:val="CommentSubject"/>
    <w:rsid w:val="00CA7341"/>
    <w:rPr>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ipbes.net/sites/default/files/em_2019_17_notification_online_conferences_scoping_final.pdf"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ipbes.net/sites/default/files/call_for_nominations_nexus_assessment_e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2021-05-25T11:20:08Z</Uploadeddate>
  </documentManagement>
</p:properties>
</file>

<file path=customXml/itemProps1.xml><?xml version="1.0" encoding="utf-8"?>
<ds:datastoreItem xmlns:ds="http://schemas.openxmlformats.org/officeDocument/2006/customXml" ds:itemID="{382CDF2D-85A8-4A55-9100-221E9A181CE2}"/>
</file>

<file path=customXml/itemProps2.xml><?xml version="1.0" encoding="utf-8"?>
<ds:datastoreItem xmlns:ds="http://schemas.openxmlformats.org/officeDocument/2006/customXml" ds:itemID="{AE9521A7-918C-4A4B-A191-DE623701D7C9}">
  <ds:schemaRefs>
    <ds:schemaRef ds:uri="http://schemas.microsoft.com/sharepoint/v3/contenttype/forms"/>
  </ds:schemaRefs>
</ds:datastoreItem>
</file>

<file path=customXml/itemProps3.xml><?xml version="1.0" encoding="utf-8"?>
<ds:datastoreItem xmlns:ds="http://schemas.openxmlformats.org/officeDocument/2006/customXml" ds:itemID="{E88DC013-7EF5-4385-B352-88BD4A6FE9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2847</Words>
  <Characters>16231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Olga Rasmus</cp:lastModifiedBy>
  <cp:revision>2</cp:revision>
  <cp:lastPrinted>2010-07-07T11:56:00Z</cp:lastPrinted>
  <dcterms:created xsi:type="dcterms:W3CDTF">2021-05-25T09:18:00Z</dcterms:created>
  <dcterms:modified xsi:type="dcterms:W3CDTF">2021-05-25T09:18:00Z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