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right"/>
        <w:tblLayout w:type="fixed"/>
        <w:tblLook w:val="0000" w:firstRow="0" w:lastRow="0" w:firstColumn="0" w:lastColumn="0" w:noHBand="0" w:noVBand="0"/>
      </w:tblPr>
      <w:tblGrid>
        <w:gridCol w:w="1523"/>
        <w:gridCol w:w="577"/>
        <w:gridCol w:w="347"/>
        <w:gridCol w:w="849"/>
        <w:gridCol w:w="938"/>
        <w:gridCol w:w="2633"/>
        <w:gridCol w:w="956"/>
        <w:gridCol w:w="1673"/>
      </w:tblGrid>
      <w:tr w:rsidR="00140D4C" w:rsidRPr="005B6695" w14:paraId="147DF553" w14:textId="77777777" w:rsidTr="00812F69">
        <w:trPr>
          <w:cantSplit/>
          <w:trHeight w:val="1079"/>
          <w:jc w:val="right"/>
        </w:trPr>
        <w:tc>
          <w:tcPr>
            <w:tcW w:w="1530" w:type="dxa"/>
          </w:tcPr>
          <w:p w14:paraId="1A4FB400" w14:textId="499CDD30" w:rsidR="00140D4C" w:rsidRPr="005B6695" w:rsidRDefault="00140D4C" w:rsidP="00812F69">
            <w:pPr>
              <w:pStyle w:val="Normal-pool"/>
              <w:ind w:right="-134"/>
              <w:rPr>
                <w:rFonts w:ascii="Arial" w:hAnsi="Arial" w:cs="Arial"/>
                <w:b/>
                <w:noProof/>
                <w:sz w:val="27"/>
                <w:szCs w:val="27"/>
                <w:lang w:val="fr-FR"/>
              </w:rPr>
            </w:pPr>
            <w:r w:rsidRPr="005B6695">
              <w:rPr>
                <w:rFonts w:ascii="Arial" w:hAnsi="Arial" w:cs="Arial"/>
                <w:b/>
                <w:noProof/>
                <w:sz w:val="27"/>
                <w:szCs w:val="27"/>
                <w:lang w:val="fr-FR"/>
              </w:rPr>
              <w:t>NATION</w:t>
            </w:r>
            <w:r w:rsidR="00812F69" w:rsidRPr="005B6695">
              <w:rPr>
                <w:rFonts w:ascii="Arial" w:hAnsi="Arial" w:cs="Arial"/>
                <w:b/>
                <w:noProof/>
                <w:sz w:val="27"/>
                <w:szCs w:val="27"/>
                <w:lang w:val="fr-FR"/>
              </w:rPr>
              <w:t>S</w:t>
            </w:r>
            <w:r w:rsidRPr="005B6695">
              <w:rPr>
                <w:rFonts w:ascii="Arial" w:hAnsi="Arial" w:cs="Arial"/>
                <w:b/>
                <w:noProof/>
                <w:sz w:val="27"/>
                <w:szCs w:val="27"/>
                <w:lang w:val="fr-FR"/>
              </w:rPr>
              <w:t xml:space="preserve"> UNIES</w:t>
            </w:r>
          </w:p>
        </w:tc>
        <w:tc>
          <w:tcPr>
            <w:tcW w:w="927" w:type="dxa"/>
            <w:gridSpan w:val="2"/>
            <w:tcBorders>
              <w:left w:val="nil"/>
            </w:tcBorders>
            <w:vAlign w:val="center"/>
          </w:tcPr>
          <w:p w14:paraId="7EB91885" w14:textId="77777777" w:rsidR="00140D4C" w:rsidRPr="005B6695" w:rsidRDefault="00140D4C" w:rsidP="004049EF">
            <w:pPr>
              <w:pStyle w:val="Normal-pool"/>
              <w:rPr>
                <w:noProof/>
                <w:lang w:val="fr-FR"/>
              </w:rPr>
            </w:pPr>
            <w:r w:rsidRPr="005B6695">
              <w:rPr>
                <w:noProof/>
                <w:lang w:val="fr-FR"/>
              </w:rPr>
              <w:drawing>
                <wp:inline distT="0" distB="0" distL="0" distR="0" wp14:anchorId="6C63A73D" wp14:editId="4613CA6B">
                  <wp:extent cx="482803" cy="460857"/>
                  <wp:effectExtent l="0" t="0" r="0" b="0"/>
                  <wp:docPr id="2" name="Picture 1"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2802" cy="460856"/>
                          </a:xfrm>
                          <a:prstGeom prst="rect">
                            <a:avLst/>
                          </a:prstGeom>
                          <a:noFill/>
                          <a:ln>
                            <a:noFill/>
                          </a:ln>
                        </pic:spPr>
                      </pic:pic>
                    </a:graphicData>
                  </a:graphic>
                </wp:inline>
              </w:drawing>
            </w:r>
          </w:p>
        </w:tc>
        <w:tc>
          <w:tcPr>
            <w:tcW w:w="852" w:type="dxa"/>
            <w:tcBorders>
              <w:left w:val="nil"/>
            </w:tcBorders>
            <w:vAlign w:val="center"/>
          </w:tcPr>
          <w:p w14:paraId="1DEEB32F" w14:textId="77777777" w:rsidR="00140D4C" w:rsidRPr="005B6695" w:rsidRDefault="00140D4C" w:rsidP="004049EF">
            <w:pPr>
              <w:pStyle w:val="Normal-pool"/>
              <w:spacing w:before="160"/>
              <w:rPr>
                <w:noProof/>
                <w:lang w:val="fr-FR"/>
              </w:rPr>
            </w:pPr>
            <w:r w:rsidRPr="005B6695">
              <w:rPr>
                <w:noProof/>
                <w:lang w:val="fr-FR"/>
              </w:rPr>
              <w:drawing>
                <wp:inline distT="0" distB="0" distL="0" distR="0" wp14:anchorId="00493D12" wp14:editId="14B898FC">
                  <wp:extent cx="362710" cy="478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E-3.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2710" cy="478800"/>
                          </a:xfrm>
                          <a:prstGeom prst="rect">
                            <a:avLst/>
                          </a:prstGeom>
                        </pic:spPr>
                      </pic:pic>
                    </a:graphicData>
                  </a:graphic>
                </wp:inline>
              </w:drawing>
            </w:r>
          </w:p>
        </w:tc>
        <w:tc>
          <w:tcPr>
            <w:tcW w:w="941" w:type="dxa"/>
            <w:tcBorders>
              <w:left w:val="nil"/>
            </w:tcBorders>
            <w:vAlign w:val="center"/>
          </w:tcPr>
          <w:p w14:paraId="695CD821" w14:textId="77777777" w:rsidR="00140D4C" w:rsidRPr="005B6695" w:rsidRDefault="00140D4C" w:rsidP="004049EF">
            <w:pPr>
              <w:pStyle w:val="Normal-pool"/>
              <w:rPr>
                <w:noProof/>
                <w:lang w:val="fr-FR"/>
              </w:rPr>
            </w:pPr>
            <w:r w:rsidRPr="005B6695">
              <w:rPr>
                <w:noProof/>
                <w:lang w:val="fr-FR"/>
              </w:rPr>
              <w:drawing>
                <wp:inline distT="0" distB="0" distL="0" distR="0" wp14:anchorId="08D1ACEE" wp14:editId="6EE3DCD6">
                  <wp:extent cx="490119" cy="460857"/>
                  <wp:effectExtent l="0" t="0" r="5715" b="0"/>
                  <wp:docPr id="7"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954" cy="466344"/>
                          </a:xfrm>
                          <a:prstGeom prst="rect">
                            <a:avLst/>
                          </a:prstGeom>
                          <a:noFill/>
                          <a:ln>
                            <a:noFill/>
                          </a:ln>
                        </pic:spPr>
                      </pic:pic>
                    </a:graphicData>
                  </a:graphic>
                </wp:inline>
              </w:drawing>
            </w:r>
          </w:p>
        </w:tc>
        <w:tc>
          <w:tcPr>
            <w:tcW w:w="2645" w:type="dxa"/>
            <w:tcBorders>
              <w:left w:val="nil"/>
            </w:tcBorders>
            <w:vAlign w:val="center"/>
          </w:tcPr>
          <w:p w14:paraId="29DC63D3" w14:textId="77777777" w:rsidR="00140D4C" w:rsidRPr="005B6695" w:rsidRDefault="00140D4C" w:rsidP="004049EF">
            <w:pPr>
              <w:pStyle w:val="Normal-pool"/>
              <w:rPr>
                <w:noProof/>
                <w:lang w:val="fr-FR"/>
              </w:rPr>
            </w:pPr>
            <w:r w:rsidRPr="005B6695">
              <w:rPr>
                <w:noProof/>
                <w:lang w:val="fr-FR"/>
              </w:rPr>
              <w:drawing>
                <wp:inline distT="0" distB="0" distL="0" distR="0" wp14:anchorId="369C00D9" wp14:editId="1F84FE6B">
                  <wp:extent cx="1562425" cy="354839"/>
                  <wp:effectExtent l="0" t="0" r="0" b="7620"/>
                  <wp:docPr id="8" name="Picture 8" descr="FA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8073" cy="367477"/>
                          </a:xfrm>
                          <a:prstGeom prst="rect">
                            <a:avLst/>
                          </a:prstGeom>
                          <a:noFill/>
                          <a:ln>
                            <a:noFill/>
                          </a:ln>
                        </pic:spPr>
                      </pic:pic>
                    </a:graphicData>
                  </a:graphic>
                </wp:inline>
              </w:drawing>
            </w:r>
          </w:p>
        </w:tc>
        <w:tc>
          <w:tcPr>
            <w:tcW w:w="959" w:type="dxa"/>
            <w:tcBorders>
              <w:left w:val="nil"/>
            </w:tcBorders>
            <w:vAlign w:val="center"/>
          </w:tcPr>
          <w:p w14:paraId="06EE5678" w14:textId="3CFB3F9D" w:rsidR="00140D4C" w:rsidRPr="005B6695" w:rsidRDefault="00333C37" w:rsidP="004049EF">
            <w:pPr>
              <w:pStyle w:val="Normal-pool"/>
              <w:ind w:right="-136"/>
              <w:rPr>
                <w:noProof/>
                <w:lang w:val="fr-FR"/>
              </w:rPr>
            </w:pPr>
            <w:r w:rsidRPr="005B6695">
              <w:rPr>
                <w:noProof/>
                <w:lang w:val="fr-FR"/>
              </w:rPr>
              <w:t xml:space="preserve"> </w:t>
            </w:r>
            <w:r w:rsidR="00140D4C" w:rsidRPr="005B6695">
              <w:rPr>
                <w:noProof/>
                <w:lang w:val="fr-FR"/>
              </w:rPr>
              <w:drawing>
                <wp:inline distT="0" distB="0" distL="0" distR="0" wp14:anchorId="4384B8FC" wp14:editId="55B9698C">
                  <wp:extent cx="327617" cy="63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gif"/>
                          <pic:cNvPicPr/>
                        </pic:nvPicPr>
                        <pic:blipFill>
                          <a:blip r:embed="rId15">
                            <a:extLst>
                              <a:ext uri="{BEBA8EAE-BF5A-486C-A8C5-ECC9F3942E4B}">
                                <a14:imgProps xmlns:a14="http://schemas.microsoft.com/office/drawing/2010/main">
                                  <a14:imgLayer r:embed="rId16">
                                    <a14:imgEffect>
                                      <a14:sharpenSoften amount="10000"/>
                                    </a14:imgEffect>
                                    <a14:imgEffect>
                                      <a14:brightnessContrast bright="12000" contrast="21000"/>
                                    </a14:imgEffect>
                                  </a14:imgLayer>
                                </a14:imgProps>
                              </a:ext>
                              <a:ext uri="{28A0092B-C50C-407E-A947-70E740481C1C}">
                                <a14:useLocalDpi xmlns:a14="http://schemas.microsoft.com/office/drawing/2010/main" val="0"/>
                              </a:ext>
                            </a:extLst>
                          </a:blip>
                          <a:stretch>
                            <a:fillRect/>
                          </a:stretch>
                        </pic:blipFill>
                        <pic:spPr>
                          <a:xfrm>
                            <a:off x="0" y="0"/>
                            <a:ext cx="327617" cy="637200"/>
                          </a:xfrm>
                          <a:prstGeom prst="rect">
                            <a:avLst/>
                          </a:prstGeom>
                        </pic:spPr>
                      </pic:pic>
                    </a:graphicData>
                  </a:graphic>
                </wp:inline>
              </w:drawing>
            </w:r>
          </w:p>
        </w:tc>
        <w:tc>
          <w:tcPr>
            <w:tcW w:w="1680" w:type="dxa"/>
          </w:tcPr>
          <w:p w14:paraId="0077F1A5" w14:textId="77777777" w:rsidR="00140D4C" w:rsidRPr="005B6695" w:rsidRDefault="00140D4C" w:rsidP="004049EF">
            <w:pPr>
              <w:pStyle w:val="Normal-pool"/>
              <w:ind w:right="-136"/>
              <w:jc w:val="right"/>
              <w:rPr>
                <w:rFonts w:ascii="Arial" w:hAnsi="Arial" w:cs="Arial"/>
                <w:b/>
                <w:noProof/>
                <w:sz w:val="64"/>
                <w:szCs w:val="64"/>
                <w:lang w:val="fr-FR"/>
              </w:rPr>
            </w:pPr>
            <w:r w:rsidRPr="005B6695">
              <w:rPr>
                <w:rFonts w:ascii="Arial" w:hAnsi="Arial" w:cs="Arial"/>
                <w:b/>
                <w:noProof/>
                <w:sz w:val="64"/>
                <w:szCs w:val="64"/>
                <w:lang w:val="fr-FR"/>
              </w:rPr>
              <w:t>BES</w:t>
            </w:r>
          </w:p>
        </w:tc>
      </w:tr>
      <w:tr w:rsidR="00140D4C" w:rsidRPr="005B6695" w14:paraId="724F861C" w14:textId="77777777" w:rsidTr="00812F69">
        <w:trPr>
          <w:cantSplit/>
          <w:trHeight w:val="282"/>
          <w:jc w:val="right"/>
        </w:trPr>
        <w:tc>
          <w:tcPr>
            <w:tcW w:w="1530" w:type="dxa"/>
            <w:tcBorders>
              <w:bottom w:val="single" w:sz="2" w:space="0" w:color="auto"/>
            </w:tcBorders>
          </w:tcPr>
          <w:p w14:paraId="3F393557" w14:textId="77777777" w:rsidR="00140D4C" w:rsidRPr="005B6695" w:rsidRDefault="00140D4C" w:rsidP="004049EF">
            <w:pPr>
              <w:pStyle w:val="Normal-pool"/>
              <w:rPr>
                <w:noProof/>
                <w:lang w:val="fr-FR"/>
              </w:rPr>
            </w:pPr>
          </w:p>
        </w:tc>
        <w:tc>
          <w:tcPr>
            <w:tcW w:w="5365" w:type="dxa"/>
            <w:gridSpan w:val="5"/>
            <w:tcBorders>
              <w:bottom w:val="single" w:sz="2" w:space="0" w:color="auto"/>
            </w:tcBorders>
          </w:tcPr>
          <w:p w14:paraId="10C014D3" w14:textId="77777777" w:rsidR="00140D4C" w:rsidRPr="005B6695" w:rsidRDefault="00140D4C" w:rsidP="004049EF">
            <w:pPr>
              <w:pStyle w:val="Normal-pool"/>
              <w:rPr>
                <w:rFonts w:ascii="Univers" w:hAnsi="Univers"/>
                <w:b/>
                <w:noProof/>
                <w:sz w:val="24"/>
                <w:lang w:val="fr-FR"/>
              </w:rPr>
            </w:pPr>
          </w:p>
        </w:tc>
        <w:tc>
          <w:tcPr>
            <w:tcW w:w="2639" w:type="dxa"/>
            <w:gridSpan w:val="2"/>
            <w:tcBorders>
              <w:bottom w:val="single" w:sz="2" w:space="0" w:color="auto"/>
            </w:tcBorders>
          </w:tcPr>
          <w:p w14:paraId="33EBA617" w14:textId="214E415E" w:rsidR="00140D4C" w:rsidRPr="005B6695" w:rsidRDefault="00140D4C" w:rsidP="004049EF">
            <w:pPr>
              <w:pStyle w:val="Normal-pool"/>
              <w:spacing w:before="120"/>
              <w:rPr>
                <w:b/>
                <w:noProof/>
                <w:sz w:val="24"/>
                <w:szCs w:val="24"/>
                <w:lang w:val="fr-FR"/>
              </w:rPr>
            </w:pPr>
            <w:r w:rsidRPr="005B6695">
              <w:rPr>
                <w:b/>
                <w:noProof/>
                <w:sz w:val="24"/>
                <w:lang w:val="fr-FR"/>
              </w:rPr>
              <w:t>IPBES</w:t>
            </w:r>
            <w:r w:rsidRPr="005B6695">
              <w:rPr>
                <w:noProof/>
                <w:lang w:val="fr-FR"/>
              </w:rPr>
              <w:t>/</w:t>
            </w:r>
            <w:r w:rsidR="00012382" w:rsidRPr="005B6695">
              <w:rPr>
                <w:noProof/>
                <w:lang w:val="fr-FR"/>
              </w:rPr>
              <w:t>8</w:t>
            </w:r>
            <w:r w:rsidRPr="005B6695">
              <w:rPr>
                <w:noProof/>
                <w:lang w:val="fr-FR"/>
              </w:rPr>
              <w:t>/</w:t>
            </w:r>
            <w:r w:rsidR="00012382" w:rsidRPr="005B6695">
              <w:rPr>
                <w:noProof/>
                <w:lang w:val="fr-FR"/>
              </w:rPr>
              <w:t>6</w:t>
            </w:r>
          </w:p>
        </w:tc>
      </w:tr>
      <w:tr w:rsidR="00140D4C" w:rsidRPr="005B6695" w14:paraId="501A4C89" w14:textId="77777777" w:rsidTr="00812F69">
        <w:trPr>
          <w:cantSplit/>
          <w:trHeight w:val="1743"/>
          <w:jc w:val="right"/>
        </w:trPr>
        <w:tc>
          <w:tcPr>
            <w:tcW w:w="2109" w:type="dxa"/>
            <w:gridSpan w:val="2"/>
            <w:tcBorders>
              <w:top w:val="single" w:sz="2" w:space="0" w:color="auto"/>
              <w:bottom w:val="single" w:sz="24" w:space="0" w:color="auto"/>
            </w:tcBorders>
          </w:tcPr>
          <w:p w14:paraId="6FD8E47E" w14:textId="77777777" w:rsidR="00140D4C" w:rsidRPr="005B6695" w:rsidRDefault="00140D4C" w:rsidP="004049EF">
            <w:pPr>
              <w:pStyle w:val="Normal-pool"/>
              <w:spacing w:before="240" w:after="240"/>
              <w:rPr>
                <w:b/>
                <w:noProof/>
                <w:sz w:val="28"/>
                <w:szCs w:val="28"/>
                <w:lang w:val="fr-FR"/>
              </w:rPr>
            </w:pPr>
            <w:r w:rsidRPr="005B6695">
              <w:rPr>
                <w:b/>
                <w:noProof/>
                <w:sz w:val="28"/>
                <w:szCs w:val="28"/>
                <w:lang w:val="fr-FR"/>
              </w:rPr>
              <w:drawing>
                <wp:inline distT="0" distB="0" distL="0" distR="0" wp14:anchorId="4512FD12" wp14:editId="048373E2">
                  <wp:extent cx="1111406" cy="5193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4785" w:type="dxa"/>
            <w:gridSpan w:val="4"/>
            <w:tcBorders>
              <w:top w:val="single" w:sz="2" w:space="0" w:color="auto"/>
              <w:bottom w:val="single" w:sz="24" w:space="0" w:color="auto"/>
            </w:tcBorders>
          </w:tcPr>
          <w:p w14:paraId="6EC2AD95" w14:textId="77777777" w:rsidR="00140D4C" w:rsidRPr="005B6695" w:rsidRDefault="00720714" w:rsidP="004049EF">
            <w:pPr>
              <w:pStyle w:val="Normal-pool"/>
              <w:spacing w:before="240" w:after="240"/>
              <w:rPr>
                <w:rFonts w:ascii="Arial" w:hAnsi="Arial" w:cs="Arial"/>
                <w:b/>
                <w:noProof/>
                <w:sz w:val="28"/>
                <w:szCs w:val="28"/>
                <w:lang w:val="fr-FR"/>
              </w:rPr>
            </w:pPr>
            <w:hyperlink r:id="rId18" w:tgtFrame="_blank" w:history="1">
              <w:r w:rsidR="00140D4C" w:rsidRPr="005B6695">
                <w:rPr>
                  <w:rFonts w:ascii="Arial" w:hAnsi="Arial" w:cs="Arial"/>
                  <w:b/>
                  <w:noProof/>
                  <w:sz w:val="28"/>
                  <w:szCs w:val="28"/>
                  <w:lang w:val="fr-FR"/>
                </w:rPr>
                <w:t>Plateforme intergouvernementale scientifique et politique sur la biodiversité et les services écosystémiques</w:t>
              </w:r>
            </w:hyperlink>
          </w:p>
        </w:tc>
        <w:tc>
          <w:tcPr>
            <w:tcW w:w="2639" w:type="dxa"/>
            <w:gridSpan w:val="2"/>
            <w:tcBorders>
              <w:top w:val="single" w:sz="2" w:space="0" w:color="auto"/>
              <w:bottom w:val="single" w:sz="24" w:space="0" w:color="auto"/>
            </w:tcBorders>
          </w:tcPr>
          <w:p w14:paraId="3D8A180D" w14:textId="44FE34CE" w:rsidR="00140D4C" w:rsidRPr="005B6695" w:rsidRDefault="00140D4C" w:rsidP="004049EF">
            <w:pPr>
              <w:pStyle w:val="Normal-pool"/>
              <w:spacing w:before="120"/>
              <w:rPr>
                <w:noProof/>
                <w:lang w:val="fr-FR"/>
              </w:rPr>
            </w:pPr>
            <w:r w:rsidRPr="005B6695">
              <w:rPr>
                <w:noProof/>
                <w:lang w:val="fr-FR"/>
              </w:rPr>
              <w:t xml:space="preserve">Distr. générale </w:t>
            </w:r>
            <w:r w:rsidRPr="005B6695">
              <w:rPr>
                <w:noProof/>
                <w:lang w:val="fr-FR"/>
              </w:rPr>
              <w:br/>
              <w:t>17 mars 2021</w:t>
            </w:r>
          </w:p>
          <w:p w14:paraId="75C98C5A" w14:textId="1C4BFA13" w:rsidR="00140D4C" w:rsidRPr="005B6695" w:rsidRDefault="00140D4C" w:rsidP="004049EF">
            <w:pPr>
              <w:pStyle w:val="Normal-pool"/>
              <w:spacing w:before="120"/>
              <w:rPr>
                <w:noProof/>
                <w:lang w:val="fr-FR"/>
              </w:rPr>
            </w:pPr>
            <w:r w:rsidRPr="005B6695">
              <w:rPr>
                <w:noProof/>
                <w:lang w:val="fr-FR"/>
              </w:rPr>
              <w:t xml:space="preserve">Français </w:t>
            </w:r>
            <w:r w:rsidRPr="005B6695">
              <w:rPr>
                <w:noProof/>
                <w:lang w:val="fr-FR"/>
              </w:rPr>
              <w:br/>
              <w:t>Original</w:t>
            </w:r>
            <w:r w:rsidR="00421431" w:rsidRPr="005B6695">
              <w:rPr>
                <w:noProof/>
                <w:lang w:val="fr-FR"/>
              </w:rPr>
              <w:t> :</w:t>
            </w:r>
            <w:r w:rsidRPr="005B6695">
              <w:rPr>
                <w:noProof/>
                <w:lang w:val="fr-FR"/>
              </w:rPr>
              <w:t xml:space="preserve"> anglais</w:t>
            </w:r>
          </w:p>
        </w:tc>
      </w:tr>
    </w:tbl>
    <w:p w14:paraId="1BF6F6B8" w14:textId="77777777" w:rsidR="00140D4C" w:rsidRPr="005B6695" w:rsidRDefault="00140D4C" w:rsidP="00360A52">
      <w:pPr>
        <w:pStyle w:val="AATitle"/>
        <w:ind w:right="4162"/>
        <w:rPr>
          <w:noProof/>
          <w:lang w:val="fr-FR"/>
        </w:rPr>
      </w:pPr>
      <w:r w:rsidRPr="005B6695">
        <w:rPr>
          <w:noProof/>
          <w:lang w:val="fr-FR"/>
        </w:rPr>
        <w:t xml:space="preserve">Plénière de la Plateforme intergouvernementale </w:t>
      </w:r>
      <w:r w:rsidRPr="005B6695">
        <w:rPr>
          <w:noProof/>
          <w:lang w:val="fr-FR"/>
        </w:rPr>
        <w:br/>
        <w:t xml:space="preserve">scientifique et politique sur la biodiversité </w:t>
      </w:r>
      <w:r w:rsidRPr="005B6695">
        <w:rPr>
          <w:noProof/>
          <w:lang w:val="fr-FR"/>
        </w:rPr>
        <w:br/>
        <w:t>et les services écosystémiques</w:t>
      </w:r>
    </w:p>
    <w:p w14:paraId="38AA37DE" w14:textId="77777777" w:rsidR="007741FD" w:rsidRPr="005B6695" w:rsidRDefault="007741FD" w:rsidP="007741FD">
      <w:pPr>
        <w:pStyle w:val="AATitle"/>
        <w:rPr>
          <w:bCs/>
          <w:noProof/>
          <w:lang w:val="fr-FR"/>
        </w:rPr>
      </w:pPr>
      <w:r w:rsidRPr="005B6695">
        <w:rPr>
          <w:bCs/>
          <w:noProof/>
          <w:lang w:val="fr-FR"/>
        </w:rPr>
        <w:t>Huitième session</w:t>
      </w:r>
    </w:p>
    <w:p w14:paraId="752E082D" w14:textId="77777777" w:rsidR="007741FD" w:rsidRPr="005B6695" w:rsidRDefault="007741FD" w:rsidP="007741FD">
      <w:pPr>
        <w:pStyle w:val="AATitle"/>
        <w:rPr>
          <w:b w:val="0"/>
          <w:noProof/>
          <w:lang w:val="fr-FR"/>
        </w:rPr>
      </w:pPr>
      <w:r w:rsidRPr="005B6695">
        <w:rPr>
          <w:b w:val="0"/>
          <w:noProof/>
          <w:lang w:val="fr-FR"/>
        </w:rPr>
        <w:t>En ligne, 14–24 juin 2021</w:t>
      </w:r>
    </w:p>
    <w:p w14:paraId="01FC9FF6" w14:textId="66D8EAD6" w:rsidR="00DC5E14" w:rsidRPr="005B6695" w:rsidRDefault="00DC5E14" w:rsidP="00DC5E14">
      <w:pPr>
        <w:pStyle w:val="AATitle"/>
        <w:rPr>
          <w:b w:val="0"/>
          <w:bCs/>
          <w:noProof/>
          <w:lang w:val="fr-FR"/>
        </w:rPr>
      </w:pPr>
      <w:r w:rsidRPr="005B6695">
        <w:rPr>
          <w:b w:val="0"/>
          <w:bCs/>
          <w:noProof/>
          <w:lang w:val="fr-FR"/>
        </w:rPr>
        <w:t>Point 7 c) de l</w:t>
      </w:r>
      <w:r w:rsidR="0070106C" w:rsidRPr="005B6695">
        <w:rPr>
          <w:b w:val="0"/>
          <w:bCs/>
          <w:noProof/>
          <w:lang w:val="fr-FR"/>
        </w:rPr>
        <w:t>’</w:t>
      </w:r>
      <w:r w:rsidRPr="005B6695">
        <w:rPr>
          <w:b w:val="0"/>
          <w:bCs/>
          <w:noProof/>
          <w:lang w:val="fr-FR"/>
        </w:rPr>
        <w:t>ordre du jour provisoire</w:t>
      </w:r>
      <w:r w:rsidR="00714F6B" w:rsidRPr="005B6695">
        <w:rPr>
          <w:b w:val="0"/>
          <w:bCs/>
          <w:noProof/>
          <w:lang w:val="fr-FR"/>
        </w:rPr>
        <w:footnoteReference w:customMarkFollows="1" w:id="1"/>
        <w:t>*</w:t>
      </w:r>
    </w:p>
    <w:p w14:paraId="53914C59" w14:textId="7B8932FB" w:rsidR="00DC5E14" w:rsidRPr="005B6695" w:rsidRDefault="00D80DBF" w:rsidP="00DC5E14">
      <w:pPr>
        <w:pStyle w:val="AATitle2"/>
        <w:rPr>
          <w:noProof/>
          <w:lang w:val="fr-FR"/>
        </w:rPr>
      </w:pPr>
      <w:r w:rsidRPr="005B6695">
        <w:rPr>
          <w:bCs/>
          <w:noProof/>
          <w:lang w:val="fr-FR"/>
        </w:rPr>
        <w:t>Évaluation des connaissances</w:t>
      </w:r>
      <w:r w:rsidR="00421431" w:rsidRPr="005B6695">
        <w:rPr>
          <w:bCs/>
          <w:noProof/>
          <w:lang w:val="fr-FR"/>
        </w:rPr>
        <w:t> :</w:t>
      </w:r>
      <w:r w:rsidRPr="005B6695">
        <w:rPr>
          <w:bCs/>
          <w:noProof/>
          <w:lang w:val="fr-FR"/>
        </w:rPr>
        <w:t xml:space="preserve"> </w:t>
      </w:r>
      <w:r w:rsidR="0071153F" w:rsidRPr="005B6695">
        <w:rPr>
          <w:bCs/>
          <w:noProof/>
          <w:lang w:val="fr-FR"/>
        </w:rPr>
        <w:t>t</w:t>
      </w:r>
      <w:r w:rsidRPr="005B6695">
        <w:rPr>
          <w:bCs/>
          <w:noProof/>
          <w:lang w:val="fr-FR"/>
        </w:rPr>
        <w:t>ravaux concernant les</w:t>
      </w:r>
      <w:r w:rsidR="0070106C" w:rsidRPr="005B6695">
        <w:rPr>
          <w:bCs/>
          <w:noProof/>
          <w:lang w:val="fr-FR"/>
        </w:rPr>
        <w:t> </w:t>
      </w:r>
      <w:r w:rsidRPr="005B6695">
        <w:rPr>
          <w:bCs/>
          <w:noProof/>
          <w:lang w:val="fr-FR"/>
        </w:rPr>
        <w:t>liens d</w:t>
      </w:r>
      <w:r w:rsidR="0070106C" w:rsidRPr="005B6695">
        <w:rPr>
          <w:bCs/>
          <w:noProof/>
          <w:lang w:val="fr-FR"/>
        </w:rPr>
        <w:t>’</w:t>
      </w:r>
      <w:r w:rsidRPr="005B6695">
        <w:rPr>
          <w:bCs/>
          <w:noProof/>
          <w:lang w:val="fr-FR"/>
        </w:rPr>
        <w:t>interdépendance entre la biodiversité et les changements climatiques et collaboration avec le Groupe d</w:t>
      </w:r>
      <w:r w:rsidR="0070106C" w:rsidRPr="005B6695">
        <w:rPr>
          <w:bCs/>
          <w:noProof/>
          <w:lang w:val="fr-FR"/>
        </w:rPr>
        <w:t>’</w:t>
      </w:r>
      <w:r w:rsidRPr="005B6695">
        <w:rPr>
          <w:bCs/>
          <w:noProof/>
          <w:lang w:val="fr-FR"/>
        </w:rPr>
        <w:t>experts intergouvernemental sur l</w:t>
      </w:r>
      <w:r w:rsidR="0070106C" w:rsidRPr="005B6695">
        <w:rPr>
          <w:bCs/>
          <w:noProof/>
          <w:lang w:val="fr-FR"/>
        </w:rPr>
        <w:t>’</w:t>
      </w:r>
      <w:r w:rsidRPr="005B6695">
        <w:rPr>
          <w:bCs/>
          <w:noProof/>
          <w:lang w:val="fr-FR"/>
        </w:rPr>
        <w:t>évolution du climat</w:t>
      </w:r>
    </w:p>
    <w:p w14:paraId="082AE414" w14:textId="71C29B9E" w:rsidR="00333364" w:rsidRPr="005B6695" w:rsidRDefault="00333364" w:rsidP="00333364">
      <w:pPr>
        <w:pStyle w:val="BBTitle"/>
        <w:rPr>
          <w:noProof/>
          <w:lang w:val="fr-FR"/>
        </w:rPr>
      </w:pPr>
      <w:r w:rsidRPr="005B6695">
        <w:rPr>
          <w:bCs/>
          <w:noProof/>
          <w:lang w:val="fr-FR"/>
        </w:rPr>
        <w:t>Travaux sur la biodiversité et les changements climatiques et</w:t>
      </w:r>
      <w:r w:rsidR="00360291" w:rsidRPr="005B6695">
        <w:rPr>
          <w:bCs/>
          <w:noProof/>
          <w:lang w:val="fr-FR"/>
        </w:rPr>
        <w:t> </w:t>
      </w:r>
      <w:r w:rsidRPr="005B6695">
        <w:rPr>
          <w:bCs/>
          <w:noProof/>
          <w:lang w:val="fr-FR"/>
        </w:rPr>
        <w:t>collaboration avec le Groupe d</w:t>
      </w:r>
      <w:r w:rsidR="0070106C" w:rsidRPr="005B6695">
        <w:rPr>
          <w:bCs/>
          <w:noProof/>
          <w:lang w:val="fr-FR"/>
        </w:rPr>
        <w:t>’</w:t>
      </w:r>
      <w:r w:rsidRPr="005B6695">
        <w:rPr>
          <w:bCs/>
          <w:noProof/>
          <w:lang w:val="fr-FR"/>
        </w:rPr>
        <w:t>experts intergouvernemental sur l</w:t>
      </w:r>
      <w:r w:rsidR="0070106C" w:rsidRPr="005B6695">
        <w:rPr>
          <w:bCs/>
          <w:noProof/>
          <w:lang w:val="fr-FR"/>
        </w:rPr>
        <w:t>’</w:t>
      </w:r>
      <w:r w:rsidRPr="005B6695">
        <w:rPr>
          <w:bCs/>
          <w:noProof/>
          <w:lang w:val="fr-FR"/>
        </w:rPr>
        <w:t>évolution du climat</w:t>
      </w:r>
    </w:p>
    <w:p w14:paraId="59108CA1" w14:textId="77777777" w:rsidR="00421431" w:rsidRPr="005B6695" w:rsidRDefault="00333364" w:rsidP="00866BAB">
      <w:pPr>
        <w:pStyle w:val="CH2"/>
        <w:rPr>
          <w:noProof/>
          <w:lang w:val="fr-FR"/>
        </w:rPr>
      </w:pPr>
      <w:r w:rsidRPr="005B6695">
        <w:rPr>
          <w:noProof/>
          <w:lang w:val="fr-FR"/>
        </w:rPr>
        <w:tab/>
      </w:r>
      <w:r w:rsidRPr="005B6695">
        <w:rPr>
          <w:noProof/>
          <w:lang w:val="fr-FR"/>
        </w:rPr>
        <w:tab/>
      </w:r>
      <w:r w:rsidRPr="005B6695">
        <w:rPr>
          <w:bCs/>
          <w:noProof/>
          <w:lang w:val="fr-FR"/>
        </w:rPr>
        <w:t>Note du secrétariat</w:t>
      </w:r>
    </w:p>
    <w:p w14:paraId="762FC2D6" w14:textId="67739B0F" w:rsidR="009A44DB" w:rsidRPr="005B6695" w:rsidRDefault="00866BAB" w:rsidP="00866BAB">
      <w:pPr>
        <w:pStyle w:val="CH1"/>
        <w:rPr>
          <w:noProof/>
          <w:lang w:val="fr-FR"/>
        </w:rPr>
      </w:pPr>
      <w:r w:rsidRPr="005B6695">
        <w:rPr>
          <w:noProof/>
          <w:lang w:val="fr-FR"/>
        </w:rPr>
        <w:tab/>
      </w:r>
      <w:r w:rsidRPr="005B6695">
        <w:rPr>
          <w:noProof/>
          <w:lang w:val="fr-FR"/>
        </w:rPr>
        <w:tab/>
      </w:r>
      <w:r w:rsidRPr="005B6695">
        <w:rPr>
          <w:bCs/>
          <w:noProof/>
          <w:lang w:val="fr-FR"/>
        </w:rPr>
        <w:t>Introduction</w:t>
      </w:r>
    </w:p>
    <w:p w14:paraId="0D51ADF3" w14:textId="2B3107F3" w:rsidR="00421431" w:rsidRPr="005B6695" w:rsidRDefault="00333364" w:rsidP="00397BC4">
      <w:pPr>
        <w:pStyle w:val="Normalnumber"/>
        <w:rPr>
          <w:noProof/>
          <w:lang w:val="fr-FR"/>
        </w:rPr>
      </w:pPr>
      <w:r w:rsidRPr="005B6695">
        <w:rPr>
          <w:noProof/>
          <w:lang w:val="fr-FR"/>
        </w:rPr>
        <w:t xml:space="preserve">Dans sa décision IPBES-7/1, la Plénière de la Plateforme intergouvernementale scientifique et politique sur la biodiversité et les services écosystémiques </w:t>
      </w:r>
      <w:r w:rsidR="00615327" w:rsidRPr="005B6695">
        <w:rPr>
          <w:noProof/>
          <w:lang w:val="fr-FR"/>
        </w:rPr>
        <w:t xml:space="preserve">(IPBES) </w:t>
      </w:r>
      <w:r w:rsidRPr="005B6695">
        <w:rPr>
          <w:noProof/>
          <w:lang w:val="fr-FR"/>
        </w:rPr>
        <w:t xml:space="preserve">a adopté le programme de travail glissant de </w:t>
      </w:r>
      <w:r w:rsidR="008976F6" w:rsidRPr="005B6695">
        <w:rPr>
          <w:noProof/>
          <w:lang w:val="fr-FR"/>
        </w:rPr>
        <w:t>la Plateforme</w:t>
      </w:r>
      <w:r w:rsidRPr="005B6695">
        <w:rPr>
          <w:noProof/>
          <w:lang w:val="fr-FR"/>
        </w:rPr>
        <w:t xml:space="preserve"> pour la période allant jusqu</w:t>
      </w:r>
      <w:r w:rsidR="0070106C" w:rsidRPr="005B6695">
        <w:rPr>
          <w:noProof/>
          <w:lang w:val="fr-FR"/>
        </w:rPr>
        <w:t>’</w:t>
      </w:r>
      <w:r w:rsidRPr="005B6695">
        <w:rPr>
          <w:noProof/>
          <w:lang w:val="fr-FR"/>
        </w:rPr>
        <w:t>en 2030. Dans le cadre de l</w:t>
      </w:r>
      <w:r w:rsidR="0070106C" w:rsidRPr="005B6695">
        <w:rPr>
          <w:noProof/>
          <w:lang w:val="fr-FR"/>
        </w:rPr>
        <w:t>’</w:t>
      </w:r>
      <w:r w:rsidRPr="005B6695">
        <w:rPr>
          <w:noProof/>
          <w:lang w:val="fr-FR"/>
        </w:rPr>
        <w:t>objectif 1 de ce programme de travail, la Plénière a inclus quatre produits, dont un document technique sur les liens d</w:t>
      </w:r>
      <w:r w:rsidR="0070106C" w:rsidRPr="005B6695">
        <w:rPr>
          <w:noProof/>
          <w:lang w:val="fr-FR"/>
        </w:rPr>
        <w:t>’</w:t>
      </w:r>
      <w:r w:rsidRPr="005B6695">
        <w:rPr>
          <w:noProof/>
          <w:lang w:val="fr-FR"/>
        </w:rPr>
        <w:t>interdépendance entre la biodiversité et les changements climatiques.</w:t>
      </w:r>
    </w:p>
    <w:p w14:paraId="1DACFED2" w14:textId="77581CEB" w:rsidR="00421431" w:rsidRPr="005B6695" w:rsidRDefault="00333364" w:rsidP="00397BC4">
      <w:pPr>
        <w:pStyle w:val="Normalnumber"/>
        <w:rPr>
          <w:noProof/>
          <w:lang w:val="fr-FR"/>
        </w:rPr>
      </w:pPr>
      <w:r w:rsidRPr="005B6695">
        <w:rPr>
          <w:noProof/>
          <w:lang w:val="fr-FR"/>
        </w:rPr>
        <w:t>Dans la même décision, la Plénière a approuvé l</w:t>
      </w:r>
      <w:r w:rsidR="0070106C" w:rsidRPr="005B6695">
        <w:rPr>
          <w:noProof/>
          <w:lang w:val="fr-FR"/>
        </w:rPr>
        <w:t>’</w:t>
      </w:r>
      <w:r w:rsidRPr="005B6695">
        <w:rPr>
          <w:noProof/>
          <w:lang w:val="fr-FR"/>
        </w:rPr>
        <w:t>élaboration d</w:t>
      </w:r>
      <w:r w:rsidR="0070106C" w:rsidRPr="005B6695">
        <w:rPr>
          <w:noProof/>
          <w:lang w:val="fr-FR"/>
        </w:rPr>
        <w:t>’</w:t>
      </w:r>
      <w:r w:rsidRPr="005B6695">
        <w:rPr>
          <w:noProof/>
          <w:lang w:val="fr-FR"/>
        </w:rPr>
        <w:t>un document technique sur la biodiversité et les changements climatiques fondé sur les documents auxquels renvoient les rapports d</w:t>
      </w:r>
      <w:r w:rsidR="0070106C" w:rsidRPr="005B6695">
        <w:rPr>
          <w:noProof/>
          <w:lang w:val="fr-FR"/>
        </w:rPr>
        <w:t>’</w:t>
      </w:r>
      <w:r w:rsidRPr="005B6695">
        <w:rPr>
          <w:noProof/>
          <w:lang w:val="fr-FR"/>
        </w:rPr>
        <w:t>évaluation établis par la Plateforme ou y figurant et, de manière exceptionnelle, sur les rapports d</w:t>
      </w:r>
      <w:r w:rsidR="0070106C" w:rsidRPr="005B6695">
        <w:rPr>
          <w:noProof/>
          <w:lang w:val="fr-FR"/>
        </w:rPr>
        <w:t>’</w:t>
      </w:r>
      <w:r w:rsidRPr="005B6695">
        <w:rPr>
          <w:noProof/>
          <w:lang w:val="fr-FR"/>
        </w:rPr>
        <w:t>évaluation du Groupe d</w:t>
      </w:r>
      <w:r w:rsidR="0070106C" w:rsidRPr="005B6695">
        <w:rPr>
          <w:noProof/>
          <w:lang w:val="fr-FR"/>
        </w:rPr>
        <w:t>’</w:t>
      </w:r>
      <w:r w:rsidRPr="005B6695">
        <w:rPr>
          <w:noProof/>
          <w:lang w:val="fr-FR"/>
        </w:rPr>
        <w:t>experts intergouvernemental sur l</w:t>
      </w:r>
      <w:r w:rsidR="0070106C" w:rsidRPr="005B6695">
        <w:rPr>
          <w:noProof/>
          <w:lang w:val="fr-FR"/>
        </w:rPr>
        <w:t>’</w:t>
      </w:r>
      <w:r w:rsidRPr="005B6695">
        <w:rPr>
          <w:noProof/>
          <w:lang w:val="fr-FR"/>
        </w:rPr>
        <w:t>évolution du climat (GIEC). Le document informera, entre autres, la Conférence des Parties à la Convention sur la diversité biologique à sa quinzième réunion et la Conférence des Parties à la Convention-cadre des Nations Unies sur les changements climatiques à sa vingt-sixième session, par le biais du document technique devant être produit, conformément au processus de validation des documents techniques, qui figure dans les procédures d</w:t>
      </w:r>
      <w:r w:rsidR="0070106C" w:rsidRPr="005B6695">
        <w:rPr>
          <w:noProof/>
          <w:lang w:val="fr-FR"/>
        </w:rPr>
        <w:t>’</w:t>
      </w:r>
      <w:r w:rsidRPr="005B6695">
        <w:rPr>
          <w:noProof/>
          <w:lang w:val="fr-FR"/>
        </w:rPr>
        <w:t>établissement des produits de la Plateforme</w:t>
      </w:r>
      <w:r w:rsidRPr="005B6695">
        <w:rPr>
          <w:rFonts w:eastAsiaTheme="minorEastAsia"/>
          <w:noProof/>
          <w:vertAlign w:val="superscript"/>
          <w:lang w:val="fr-FR"/>
        </w:rPr>
        <w:footnoteReference w:id="2"/>
      </w:r>
      <w:r w:rsidRPr="005B6695">
        <w:rPr>
          <w:noProof/>
          <w:lang w:val="fr-FR"/>
        </w:rPr>
        <w:t>, et sur la base de la note de cadrage du document technique</w:t>
      </w:r>
      <w:r w:rsidRPr="005B6695">
        <w:rPr>
          <w:rFonts w:eastAsiaTheme="minorEastAsia"/>
          <w:noProof/>
          <w:vertAlign w:val="superscript"/>
          <w:lang w:val="fr-FR"/>
        </w:rPr>
        <w:footnoteReference w:id="3"/>
      </w:r>
      <w:r w:rsidRPr="005B6695">
        <w:rPr>
          <w:noProof/>
          <w:lang w:val="fr-FR"/>
        </w:rPr>
        <w:t>.</w:t>
      </w:r>
    </w:p>
    <w:p w14:paraId="0E8402CB" w14:textId="4E2AAC2E" w:rsidR="00421431" w:rsidRPr="005B6695" w:rsidRDefault="00333364" w:rsidP="00397BC4">
      <w:pPr>
        <w:pStyle w:val="Normalnumber"/>
        <w:rPr>
          <w:noProof/>
          <w:lang w:val="fr-FR"/>
        </w:rPr>
      </w:pPr>
      <w:r w:rsidRPr="005B6695">
        <w:rPr>
          <w:noProof/>
          <w:lang w:val="fr-FR"/>
        </w:rPr>
        <w:t>À cette fin, la Plénière a prié la Secrétaire exécutive d</w:t>
      </w:r>
      <w:r w:rsidR="0070106C" w:rsidRPr="005B6695">
        <w:rPr>
          <w:noProof/>
          <w:lang w:val="fr-FR"/>
        </w:rPr>
        <w:t>’</w:t>
      </w:r>
      <w:r w:rsidRPr="005B6695">
        <w:rPr>
          <w:noProof/>
          <w:lang w:val="fr-FR"/>
        </w:rPr>
        <w:t>étudier, en collaboration avec le secrétariat du GIEC, les activités conjointes pouvant être mises en œuvre dans les domaines de la biodiversité et des changements climatiques, y compris la possibilité d</w:t>
      </w:r>
      <w:r w:rsidR="0070106C" w:rsidRPr="005B6695">
        <w:rPr>
          <w:noProof/>
          <w:lang w:val="fr-FR"/>
        </w:rPr>
        <w:t>’</w:t>
      </w:r>
      <w:r w:rsidRPr="005B6695">
        <w:rPr>
          <w:noProof/>
          <w:lang w:val="fr-FR"/>
        </w:rPr>
        <w:t xml:space="preserve">élaborer conjointement le document technique mentionné </w:t>
      </w:r>
      <w:r w:rsidR="0071153F" w:rsidRPr="005B6695">
        <w:rPr>
          <w:noProof/>
          <w:lang w:val="fr-FR"/>
        </w:rPr>
        <w:t>plus haut</w:t>
      </w:r>
      <w:r w:rsidRPr="005B6695">
        <w:rPr>
          <w:noProof/>
          <w:lang w:val="fr-FR"/>
        </w:rPr>
        <w:t xml:space="preserve">, et de lui faire rapport, à sa huitième session, sur les débats concernant les autres activités conjointes potentielles et les produits liés à la biodiversité et </w:t>
      </w:r>
      <w:r w:rsidRPr="005B6695">
        <w:rPr>
          <w:noProof/>
          <w:lang w:val="fr-FR"/>
        </w:rPr>
        <w:lastRenderedPageBreak/>
        <w:t>aux</w:t>
      </w:r>
      <w:r w:rsidR="00BA499E" w:rsidRPr="005B6695">
        <w:rPr>
          <w:noProof/>
          <w:lang w:val="fr-FR"/>
        </w:rPr>
        <w:t> </w:t>
      </w:r>
      <w:r w:rsidRPr="005B6695">
        <w:rPr>
          <w:noProof/>
          <w:lang w:val="fr-FR"/>
        </w:rPr>
        <w:t>services écosystémiques ainsi qu</w:t>
      </w:r>
      <w:r w:rsidR="0070106C" w:rsidRPr="005B6695">
        <w:rPr>
          <w:noProof/>
          <w:lang w:val="fr-FR"/>
        </w:rPr>
        <w:t>’</w:t>
      </w:r>
      <w:r w:rsidRPr="005B6695">
        <w:rPr>
          <w:noProof/>
          <w:lang w:val="fr-FR"/>
        </w:rPr>
        <w:t xml:space="preserve">aux changements climatiques, en précisant les incidences en termes de temps et de ressources. La Plénière a également </w:t>
      </w:r>
      <w:r w:rsidR="0071153F" w:rsidRPr="005B6695">
        <w:rPr>
          <w:noProof/>
          <w:lang w:val="fr-FR"/>
        </w:rPr>
        <w:t xml:space="preserve">prié </w:t>
      </w:r>
      <w:r w:rsidRPr="005B6695">
        <w:rPr>
          <w:noProof/>
          <w:lang w:val="fr-FR"/>
        </w:rPr>
        <w:t>la Secrétaire exécutive de transmettre rapidement la décision au secrétariat du Groupe d</w:t>
      </w:r>
      <w:r w:rsidR="0070106C" w:rsidRPr="005B6695">
        <w:rPr>
          <w:noProof/>
          <w:lang w:val="fr-FR"/>
        </w:rPr>
        <w:t>’</w:t>
      </w:r>
      <w:r w:rsidRPr="005B6695">
        <w:rPr>
          <w:noProof/>
          <w:lang w:val="fr-FR"/>
        </w:rPr>
        <w:t>experts.</w:t>
      </w:r>
    </w:p>
    <w:p w14:paraId="03D12057" w14:textId="6D5F8EBD" w:rsidR="00333364" w:rsidRPr="005B6695" w:rsidRDefault="005D7D51" w:rsidP="00397BC4">
      <w:pPr>
        <w:pStyle w:val="Normalnumber"/>
        <w:rPr>
          <w:rFonts w:eastAsiaTheme="minorEastAsia"/>
          <w:noProof/>
          <w:lang w:val="fr-FR"/>
        </w:rPr>
      </w:pPr>
      <w:r w:rsidRPr="005B6695">
        <w:rPr>
          <w:noProof/>
          <w:lang w:val="fr-FR"/>
        </w:rPr>
        <w:t xml:space="preserve">La section I de la présente note fournit des informations </w:t>
      </w:r>
      <w:r w:rsidR="00723D78" w:rsidRPr="005B6695">
        <w:rPr>
          <w:noProof/>
          <w:lang w:val="fr-FR"/>
        </w:rPr>
        <w:t>relatives à</w:t>
      </w:r>
      <w:r w:rsidRPr="005B6695">
        <w:rPr>
          <w:noProof/>
          <w:lang w:val="fr-FR"/>
        </w:rPr>
        <w:t xml:space="preserve"> l</w:t>
      </w:r>
      <w:r w:rsidR="0070106C" w:rsidRPr="005B6695">
        <w:rPr>
          <w:noProof/>
          <w:lang w:val="fr-FR"/>
        </w:rPr>
        <w:t>’</w:t>
      </w:r>
      <w:r w:rsidRPr="005B6695">
        <w:rPr>
          <w:noProof/>
          <w:lang w:val="fr-FR"/>
        </w:rPr>
        <w:t>atelier sur la biodiversité et les changements climatiques coparrainé par la Plateforme et le GIEC, tandis que la section II décrit les formes potentielles de collaboration avec le GIEC. Un projet de décision sur ces sujets est présenté dans la note du secrétariat sur les projets de décision pour la huitième session de la Plénière (IPBES/8/1/Add.2).</w:t>
      </w:r>
    </w:p>
    <w:p w14:paraId="08D25238" w14:textId="13F56801" w:rsidR="00333364" w:rsidRPr="005B6695" w:rsidRDefault="00140D4C" w:rsidP="00FA748A">
      <w:pPr>
        <w:pStyle w:val="CH1"/>
        <w:rPr>
          <w:noProof/>
          <w:lang w:val="fr-FR"/>
        </w:rPr>
      </w:pPr>
      <w:bookmarkStart w:id="0" w:name="_Toc515963418"/>
      <w:r w:rsidRPr="005B6695">
        <w:rPr>
          <w:noProof/>
          <w:lang w:val="fr-FR"/>
        </w:rPr>
        <w:tab/>
      </w:r>
      <w:r w:rsidR="007A4E26" w:rsidRPr="005B6695">
        <w:rPr>
          <w:noProof/>
          <w:lang w:val="fr-FR"/>
        </w:rPr>
        <w:t>I.</w:t>
      </w:r>
      <w:r w:rsidR="007A4E26" w:rsidRPr="005B6695">
        <w:rPr>
          <w:noProof/>
          <w:lang w:val="fr-FR"/>
        </w:rPr>
        <w:tab/>
      </w:r>
      <w:r w:rsidR="007A4E26" w:rsidRPr="005B6695">
        <w:rPr>
          <w:bCs/>
          <w:noProof/>
          <w:lang w:val="fr-FR"/>
        </w:rPr>
        <w:t>Atelier coparrainé sur la biodiversité et les changements climatiques</w:t>
      </w:r>
    </w:p>
    <w:p w14:paraId="39E0ACB9" w14:textId="1FE3ED9E" w:rsidR="00421431" w:rsidRPr="005B6695" w:rsidRDefault="00333364" w:rsidP="00397BC4">
      <w:pPr>
        <w:pStyle w:val="Normalnumber"/>
        <w:rPr>
          <w:noProof/>
          <w:lang w:val="fr-FR"/>
        </w:rPr>
      </w:pPr>
      <w:bookmarkStart w:id="1" w:name="_Toc29492201"/>
      <w:r w:rsidRPr="005B6695">
        <w:rPr>
          <w:noProof/>
          <w:lang w:val="fr-FR"/>
        </w:rPr>
        <w:t>La Secrétaire exécutive de l</w:t>
      </w:r>
      <w:r w:rsidR="0070106C" w:rsidRPr="005B6695">
        <w:rPr>
          <w:noProof/>
          <w:lang w:val="fr-FR"/>
        </w:rPr>
        <w:t>’</w:t>
      </w:r>
      <w:r w:rsidRPr="005B6695">
        <w:rPr>
          <w:noProof/>
          <w:lang w:val="fr-FR"/>
        </w:rPr>
        <w:t>IPBES a transmis les éléments pertinents de la décision IPBES-7/1 au Secrétaire du GIEC le 5 mai 2019, avant la quarante-neuvième session du GIEC, qui s</w:t>
      </w:r>
      <w:r w:rsidR="0070106C" w:rsidRPr="005B6695">
        <w:rPr>
          <w:noProof/>
          <w:lang w:val="fr-FR"/>
        </w:rPr>
        <w:t>’</w:t>
      </w:r>
      <w:r w:rsidRPr="005B6695">
        <w:rPr>
          <w:noProof/>
          <w:lang w:val="fr-FR"/>
        </w:rPr>
        <w:t>est tenu</w:t>
      </w:r>
      <w:r w:rsidR="00916A5A" w:rsidRPr="005B6695">
        <w:rPr>
          <w:noProof/>
          <w:lang w:val="fr-FR"/>
        </w:rPr>
        <w:t>e</w:t>
      </w:r>
      <w:r w:rsidRPr="005B6695">
        <w:rPr>
          <w:noProof/>
          <w:lang w:val="fr-FR"/>
        </w:rPr>
        <w:t xml:space="preserve"> à Kyoto (Japon) du 8 au 12 mai 2019.</w:t>
      </w:r>
    </w:p>
    <w:p w14:paraId="23B908C2" w14:textId="4799CCD6" w:rsidR="00421431" w:rsidRPr="005B6695" w:rsidRDefault="00333364" w:rsidP="00397BC4">
      <w:pPr>
        <w:pStyle w:val="Normalnumber"/>
        <w:rPr>
          <w:noProof/>
          <w:lang w:val="fr-FR"/>
        </w:rPr>
      </w:pPr>
      <w:r w:rsidRPr="005B6695">
        <w:rPr>
          <w:noProof/>
          <w:lang w:val="fr-FR"/>
        </w:rPr>
        <w:t>Au cours de la quarante-neuvième session du GIEC, certains gouvernements ont soulevé la question de la collaboration entre le GIEC et l</w:t>
      </w:r>
      <w:r w:rsidR="0070106C" w:rsidRPr="005B6695">
        <w:rPr>
          <w:noProof/>
          <w:lang w:val="fr-FR"/>
        </w:rPr>
        <w:t>’</w:t>
      </w:r>
      <w:r w:rsidRPr="005B6695">
        <w:rPr>
          <w:noProof/>
          <w:lang w:val="fr-FR"/>
        </w:rPr>
        <w:t>IPBES, mais le Groupe d</w:t>
      </w:r>
      <w:r w:rsidR="0070106C" w:rsidRPr="005B6695">
        <w:rPr>
          <w:noProof/>
          <w:lang w:val="fr-FR"/>
        </w:rPr>
        <w:t>’</w:t>
      </w:r>
      <w:r w:rsidRPr="005B6695">
        <w:rPr>
          <w:noProof/>
          <w:lang w:val="fr-FR"/>
        </w:rPr>
        <w:t>experts ne s</w:t>
      </w:r>
      <w:r w:rsidR="0070106C" w:rsidRPr="005B6695">
        <w:rPr>
          <w:noProof/>
          <w:lang w:val="fr-FR"/>
        </w:rPr>
        <w:t>’</w:t>
      </w:r>
      <w:r w:rsidRPr="005B6695">
        <w:rPr>
          <w:noProof/>
          <w:lang w:val="fr-FR"/>
        </w:rPr>
        <w:t>est pas prononcé sur cette question.</w:t>
      </w:r>
    </w:p>
    <w:p w14:paraId="4C77B38D" w14:textId="0EA2491B" w:rsidR="00421431" w:rsidRPr="005B6695" w:rsidRDefault="00615327" w:rsidP="00397BC4">
      <w:pPr>
        <w:pStyle w:val="Normalnumber"/>
        <w:rPr>
          <w:noProof/>
          <w:lang w:val="fr-FR"/>
        </w:rPr>
      </w:pPr>
      <w:r w:rsidRPr="005B6695">
        <w:rPr>
          <w:noProof/>
          <w:lang w:val="fr-FR"/>
        </w:rPr>
        <w:t>À</w:t>
      </w:r>
      <w:r w:rsidR="00333364" w:rsidRPr="005B6695">
        <w:rPr>
          <w:noProof/>
          <w:lang w:val="fr-FR"/>
        </w:rPr>
        <w:t xml:space="preserve"> sa cinquantième session, tenue à Genève du 2 au 6 août 2019, le GIEC a examiné la question de la collaboration entre le Groupe d</w:t>
      </w:r>
      <w:r w:rsidR="0070106C" w:rsidRPr="005B6695">
        <w:rPr>
          <w:noProof/>
          <w:lang w:val="fr-FR"/>
        </w:rPr>
        <w:t>’</w:t>
      </w:r>
      <w:r w:rsidR="00333364" w:rsidRPr="005B6695">
        <w:rPr>
          <w:noProof/>
          <w:lang w:val="fr-FR"/>
        </w:rPr>
        <w:t>experts et l</w:t>
      </w:r>
      <w:r w:rsidR="0070106C" w:rsidRPr="005B6695">
        <w:rPr>
          <w:noProof/>
          <w:lang w:val="fr-FR"/>
        </w:rPr>
        <w:t>’</w:t>
      </w:r>
      <w:r w:rsidR="00333364" w:rsidRPr="005B6695">
        <w:rPr>
          <w:noProof/>
          <w:lang w:val="fr-FR"/>
        </w:rPr>
        <w:t xml:space="preserve">IPBES au titre du point 5 de son ordre du jour, </w:t>
      </w:r>
      <w:r w:rsidR="00916A5A" w:rsidRPr="005B6695">
        <w:rPr>
          <w:noProof/>
          <w:lang w:val="fr-FR"/>
        </w:rPr>
        <w:t>« </w:t>
      </w:r>
      <w:r w:rsidR="00333364" w:rsidRPr="005B6695">
        <w:rPr>
          <w:noProof/>
          <w:lang w:val="fr-FR"/>
        </w:rPr>
        <w:t>Questions diverses</w:t>
      </w:r>
      <w:r w:rsidR="00916A5A" w:rsidRPr="005B6695">
        <w:rPr>
          <w:noProof/>
          <w:lang w:val="fr-FR"/>
        </w:rPr>
        <w:t> »</w:t>
      </w:r>
      <w:r w:rsidR="00333364" w:rsidRPr="005B6695">
        <w:rPr>
          <w:noProof/>
          <w:lang w:val="fr-FR"/>
        </w:rPr>
        <w:t>. Le Secrétaire adjoint du GIEC a rappelé la décision de la Plénière de l</w:t>
      </w:r>
      <w:r w:rsidR="0070106C" w:rsidRPr="005B6695">
        <w:rPr>
          <w:noProof/>
          <w:lang w:val="fr-FR"/>
        </w:rPr>
        <w:t>’</w:t>
      </w:r>
      <w:r w:rsidR="00333364" w:rsidRPr="005B6695">
        <w:rPr>
          <w:noProof/>
          <w:lang w:val="fr-FR"/>
        </w:rPr>
        <w:t>IPBES et a noté qu</w:t>
      </w:r>
      <w:r w:rsidR="0070106C" w:rsidRPr="005B6695">
        <w:rPr>
          <w:noProof/>
          <w:lang w:val="fr-FR"/>
        </w:rPr>
        <w:t>’</w:t>
      </w:r>
      <w:r w:rsidR="00333364" w:rsidRPr="005B6695">
        <w:rPr>
          <w:noProof/>
          <w:lang w:val="fr-FR"/>
        </w:rPr>
        <w:t>il existait de nombreuses possibilités d</w:t>
      </w:r>
      <w:r w:rsidR="0070106C" w:rsidRPr="005B6695">
        <w:rPr>
          <w:noProof/>
          <w:lang w:val="fr-FR"/>
        </w:rPr>
        <w:t>’</w:t>
      </w:r>
      <w:r w:rsidR="00333364" w:rsidRPr="005B6695">
        <w:rPr>
          <w:noProof/>
          <w:lang w:val="fr-FR"/>
        </w:rPr>
        <w:t>accroître la collaboration entre l</w:t>
      </w:r>
      <w:r w:rsidR="0070106C" w:rsidRPr="005B6695">
        <w:rPr>
          <w:noProof/>
          <w:lang w:val="fr-FR"/>
        </w:rPr>
        <w:t>’</w:t>
      </w:r>
      <w:r w:rsidR="00333364" w:rsidRPr="005B6695">
        <w:rPr>
          <w:noProof/>
          <w:lang w:val="fr-FR"/>
        </w:rPr>
        <w:t>IPBES et le Groupe d</w:t>
      </w:r>
      <w:r w:rsidR="0070106C" w:rsidRPr="005B6695">
        <w:rPr>
          <w:noProof/>
          <w:lang w:val="fr-FR"/>
        </w:rPr>
        <w:t>’</w:t>
      </w:r>
      <w:r w:rsidR="00333364" w:rsidRPr="005B6695">
        <w:rPr>
          <w:noProof/>
          <w:lang w:val="fr-FR"/>
        </w:rPr>
        <w:t>experts et que cet accroissement présentait un grand intérêt, mais que conformément à la décision de la Plénière, le calendrier des travaux rendait cette tâche extrêmement difficile pour le Groupe d</w:t>
      </w:r>
      <w:r w:rsidR="0070106C" w:rsidRPr="005B6695">
        <w:rPr>
          <w:noProof/>
          <w:lang w:val="fr-FR"/>
        </w:rPr>
        <w:t>’</w:t>
      </w:r>
      <w:r w:rsidR="00333364" w:rsidRPr="005B6695">
        <w:rPr>
          <w:noProof/>
          <w:lang w:val="fr-FR"/>
        </w:rPr>
        <w:t>experts. Le Président du GIEC a conclu en renvoyant la question au secrétariat du Groupe d</w:t>
      </w:r>
      <w:r w:rsidR="0070106C" w:rsidRPr="005B6695">
        <w:rPr>
          <w:noProof/>
          <w:lang w:val="fr-FR"/>
        </w:rPr>
        <w:t>’</w:t>
      </w:r>
      <w:r w:rsidR="00333364" w:rsidRPr="005B6695">
        <w:rPr>
          <w:noProof/>
          <w:lang w:val="fr-FR"/>
        </w:rPr>
        <w:t>experts afin de poursuivre la préparation en consultation avec le secrétariat de l</w:t>
      </w:r>
      <w:r w:rsidR="0070106C" w:rsidRPr="005B6695">
        <w:rPr>
          <w:noProof/>
          <w:lang w:val="fr-FR"/>
        </w:rPr>
        <w:t>’</w:t>
      </w:r>
      <w:r w:rsidR="00333364" w:rsidRPr="005B6695">
        <w:rPr>
          <w:noProof/>
          <w:lang w:val="fr-FR"/>
        </w:rPr>
        <w:t xml:space="preserve">IPBES, les résultats devant être présentés au Bureau du GIEC pour examen </w:t>
      </w:r>
      <w:r w:rsidRPr="005B6695">
        <w:rPr>
          <w:noProof/>
          <w:lang w:val="fr-FR"/>
        </w:rPr>
        <w:t>à</w:t>
      </w:r>
      <w:r w:rsidR="00333364" w:rsidRPr="005B6695">
        <w:rPr>
          <w:noProof/>
          <w:lang w:val="fr-FR"/>
        </w:rPr>
        <w:t xml:space="preserve"> sa cinquante-septième session,</w:t>
      </w:r>
      <w:r w:rsidR="00140D4C" w:rsidRPr="005B6695">
        <w:rPr>
          <w:noProof/>
          <w:lang w:val="fr-FR"/>
        </w:rPr>
        <w:t xml:space="preserve"> </w:t>
      </w:r>
      <w:r w:rsidRPr="005B6695">
        <w:rPr>
          <w:noProof/>
          <w:lang w:val="fr-FR"/>
        </w:rPr>
        <w:t>qui doit</w:t>
      </w:r>
      <w:r w:rsidR="00333364" w:rsidRPr="005B6695">
        <w:rPr>
          <w:noProof/>
          <w:lang w:val="fr-FR"/>
        </w:rPr>
        <w:t xml:space="preserve"> se tenir à Singapour les 24 et 25 octobre 2019.</w:t>
      </w:r>
    </w:p>
    <w:p w14:paraId="7AEB0D87" w14:textId="479C5E58" w:rsidR="00421431" w:rsidRPr="005B6695" w:rsidRDefault="00427227" w:rsidP="00397BC4">
      <w:pPr>
        <w:pStyle w:val="Normalnumber"/>
        <w:rPr>
          <w:noProof/>
          <w:lang w:val="fr-FR"/>
        </w:rPr>
      </w:pPr>
      <w:r w:rsidRPr="005B6695">
        <w:rPr>
          <w:noProof/>
          <w:lang w:val="fr-FR"/>
        </w:rPr>
        <w:t>À l</w:t>
      </w:r>
      <w:r w:rsidR="0070106C" w:rsidRPr="005B6695">
        <w:rPr>
          <w:noProof/>
          <w:lang w:val="fr-FR"/>
        </w:rPr>
        <w:t>’</w:t>
      </w:r>
      <w:r w:rsidRPr="005B6695">
        <w:rPr>
          <w:noProof/>
          <w:lang w:val="fr-FR"/>
        </w:rPr>
        <w:t>issue de consultations informelles, au cours desquelles la possibilité de tenir un atelier coparrainé est apparue comme un compromis possible, le Bureau de l</w:t>
      </w:r>
      <w:r w:rsidR="0070106C" w:rsidRPr="005B6695">
        <w:rPr>
          <w:noProof/>
          <w:lang w:val="fr-FR"/>
        </w:rPr>
        <w:t>’</w:t>
      </w:r>
      <w:r w:rsidRPr="005B6695">
        <w:rPr>
          <w:noProof/>
          <w:lang w:val="fr-FR"/>
        </w:rPr>
        <w:t xml:space="preserve">IPBES a examiné la question. </w:t>
      </w:r>
      <w:r w:rsidR="00615327" w:rsidRPr="005B6695">
        <w:rPr>
          <w:noProof/>
          <w:lang w:val="fr-FR"/>
        </w:rPr>
        <w:t>Il</w:t>
      </w:r>
      <w:r w:rsidR="003C6C71" w:rsidRPr="005B6695">
        <w:rPr>
          <w:noProof/>
          <w:lang w:val="fr-FR"/>
        </w:rPr>
        <w:t> </w:t>
      </w:r>
      <w:r w:rsidRPr="005B6695">
        <w:rPr>
          <w:noProof/>
          <w:lang w:val="fr-FR"/>
        </w:rPr>
        <w:t>a conclu que l</w:t>
      </w:r>
      <w:r w:rsidR="0070106C" w:rsidRPr="005B6695">
        <w:rPr>
          <w:noProof/>
          <w:lang w:val="fr-FR"/>
        </w:rPr>
        <w:t>’</w:t>
      </w:r>
      <w:r w:rsidRPr="005B6695">
        <w:rPr>
          <w:noProof/>
          <w:lang w:val="fr-FR"/>
        </w:rPr>
        <w:t>élaboration d</w:t>
      </w:r>
      <w:r w:rsidR="0070106C" w:rsidRPr="005B6695">
        <w:rPr>
          <w:noProof/>
          <w:lang w:val="fr-FR"/>
        </w:rPr>
        <w:t>’</w:t>
      </w:r>
      <w:r w:rsidRPr="005B6695">
        <w:rPr>
          <w:noProof/>
          <w:lang w:val="fr-FR"/>
        </w:rPr>
        <w:t>un document technique conjoint n</w:t>
      </w:r>
      <w:r w:rsidR="0070106C" w:rsidRPr="005B6695">
        <w:rPr>
          <w:noProof/>
          <w:lang w:val="fr-FR"/>
        </w:rPr>
        <w:t>’</w:t>
      </w:r>
      <w:r w:rsidRPr="005B6695">
        <w:rPr>
          <w:noProof/>
          <w:lang w:val="fr-FR"/>
        </w:rPr>
        <w:t>était pas envisageable en raison de la charge de travail du Groupe d</w:t>
      </w:r>
      <w:r w:rsidR="0070106C" w:rsidRPr="005B6695">
        <w:rPr>
          <w:noProof/>
          <w:lang w:val="fr-FR"/>
        </w:rPr>
        <w:t>’</w:t>
      </w:r>
      <w:r w:rsidRPr="005B6695">
        <w:rPr>
          <w:noProof/>
          <w:lang w:val="fr-FR"/>
        </w:rPr>
        <w:t>experts et du fait que la décision de la Plénière de l</w:t>
      </w:r>
      <w:r w:rsidR="0070106C" w:rsidRPr="005B6695">
        <w:rPr>
          <w:noProof/>
          <w:lang w:val="fr-FR"/>
        </w:rPr>
        <w:t>’</w:t>
      </w:r>
      <w:r w:rsidRPr="005B6695">
        <w:rPr>
          <w:noProof/>
          <w:lang w:val="fr-FR"/>
        </w:rPr>
        <w:t>IPBES exigeait que le document technique soit disponible à temps pour la quinzième réunion de la Conférence des Parties à la Convention sur la diversité biologique, qui devait se tenir en octobre 2020, tandis que le GIEC n</w:t>
      </w:r>
      <w:r w:rsidR="0070106C" w:rsidRPr="005B6695">
        <w:rPr>
          <w:noProof/>
          <w:lang w:val="fr-FR"/>
        </w:rPr>
        <w:t>’</w:t>
      </w:r>
      <w:r w:rsidRPr="005B6695">
        <w:rPr>
          <w:noProof/>
          <w:lang w:val="fr-FR"/>
        </w:rPr>
        <w:t>aurait pas l</w:t>
      </w:r>
      <w:r w:rsidR="0070106C" w:rsidRPr="005B6695">
        <w:rPr>
          <w:noProof/>
          <w:lang w:val="fr-FR"/>
        </w:rPr>
        <w:t>’</w:t>
      </w:r>
      <w:r w:rsidRPr="005B6695">
        <w:rPr>
          <w:noProof/>
          <w:lang w:val="fr-FR"/>
        </w:rPr>
        <w:t>occasion d</w:t>
      </w:r>
      <w:r w:rsidR="0070106C" w:rsidRPr="005B6695">
        <w:rPr>
          <w:noProof/>
          <w:lang w:val="fr-FR"/>
        </w:rPr>
        <w:t>’</w:t>
      </w:r>
      <w:r w:rsidRPr="005B6695">
        <w:rPr>
          <w:noProof/>
          <w:lang w:val="fr-FR"/>
        </w:rPr>
        <w:t>approuver l</w:t>
      </w:r>
      <w:r w:rsidR="0070106C" w:rsidRPr="005B6695">
        <w:rPr>
          <w:noProof/>
          <w:lang w:val="fr-FR"/>
        </w:rPr>
        <w:t>’</w:t>
      </w:r>
      <w:r w:rsidRPr="005B6695">
        <w:rPr>
          <w:noProof/>
          <w:lang w:val="fr-FR"/>
        </w:rPr>
        <w:t>élaboration d</w:t>
      </w:r>
      <w:r w:rsidR="0070106C" w:rsidRPr="005B6695">
        <w:rPr>
          <w:noProof/>
          <w:lang w:val="fr-FR"/>
        </w:rPr>
        <w:t>’</w:t>
      </w:r>
      <w:r w:rsidRPr="005B6695">
        <w:rPr>
          <w:noProof/>
          <w:lang w:val="fr-FR"/>
        </w:rPr>
        <w:t>un document technique conjoint avant sa cinquante-deuxième session, qui devait se tenir en février 2020.</w:t>
      </w:r>
    </w:p>
    <w:p w14:paraId="23C8DE5C" w14:textId="5E7618E6" w:rsidR="00421431" w:rsidRPr="005B6695" w:rsidRDefault="00333364" w:rsidP="0078134B">
      <w:pPr>
        <w:pStyle w:val="Normalnumber"/>
        <w:rPr>
          <w:noProof/>
          <w:lang w:val="fr-FR"/>
        </w:rPr>
      </w:pPr>
      <w:r w:rsidRPr="005B6695">
        <w:rPr>
          <w:noProof/>
          <w:lang w:val="fr-FR"/>
        </w:rPr>
        <w:t>Le Bureau de l</w:t>
      </w:r>
      <w:r w:rsidR="0070106C" w:rsidRPr="005B6695">
        <w:rPr>
          <w:noProof/>
          <w:lang w:val="fr-FR"/>
        </w:rPr>
        <w:t>’</w:t>
      </w:r>
      <w:r w:rsidRPr="005B6695">
        <w:rPr>
          <w:noProof/>
          <w:lang w:val="fr-FR"/>
        </w:rPr>
        <w:t>IPBES a également conclu que l</w:t>
      </w:r>
      <w:r w:rsidR="0070106C" w:rsidRPr="005B6695">
        <w:rPr>
          <w:noProof/>
          <w:lang w:val="fr-FR"/>
        </w:rPr>
        <w:t>’</w:t>
      </w:r>
      <w:r w:rsidRPr="005B6695">
        <w:rPr>
          <w:noProof/>
          <w:lang w:val="fr-FR"/>
        </w:rPr>
        <w:t>élaboration d</w:t>
      </w:r>
      <w:r w:rsidR="0070106C" w:rsidRPr="005B6695">
        <w:rPr>
          <w:noProof/>
          <w:lang w:val="fr-FR"/>
        </w:rPr>
        <w:t>’</w:t>
      </w:r>
      <w:r w:rsidRPr="005B6695">
        <w:rPr>
          <w:noProof/>
          <w:lang w:val="fr-FR"/>
        </w:rPr>
        <w:t>un document technique par l</w:t>
      </w:r>
      <w:r w:rsidR="0070106C" w:rsidRPr="005B6695">
        <w:rPr>
          <w:noProof/>
          <w:lang w:val="fr-FR"/>
        </w:rPr>
        <w:t>’</w:t>
      </w:r>
      <w:r w:rsidRPr="005B6695">
        <w:rPr>
          <w:noProof/>
          <w:lang w:val="fr-FR"/>
        </w:rPr>
        <w:t>IPBES seule entre octobre 2019 et septembre 2020 et l</w:t>
      </w:r>
      <w:r w:rsidR="0070106C" w:rsidRPr="005B6695">
        <w:rPr>
          <w:noProof/>
          <w:lang w:val="fr-FR"/>
        </w:rPr>
        <w:t>’</w:t>
      </w:r>
      <w:r w:rsidRPr="005B6695">
        <w:rPr>
          <w:noProof/>
          <w:lang w:val="fr-FR"/>
        </w:rPr>
        <w:t>organisation d</w:t>
      </w:r>
      <w:r w:rsidR="0070106C" w:rsidRPr="005B6695">
        <w:rPr>
          <w:noProof/>
          <w:lang w:val="fr-FR"/>
        </w:rPr>
        <w:t>’</w:t>
      </w:r>
      <w:r w:rsidRPr="005B6695">
        <w:rPr>
          <w:noProof/>
          <w:lang w:val="fr-FR"/>
        </w:rPr>
        <w:t xml:space="preserve">un atelier coparrainé au début de 2020 pourraient entraîner une duplication des efforts. </w:t>
      </w:r>
      <w:r w:rsidR="00832425" w:rsidRPr="005B6695">
        <w:rPr>
          <w:noProof/>
          <w:lang w:val="fr-FR"/>
        </w:rPr>
        <w:t>Il</w:t>
      </w:r>
      <w:r w:rsidRPr="005B6695">
        <w:rPr>
          <w:noProof/>
          <w:lang w:val="fr-FR"/>
        </w:rPr>
        <w:t xml:space="preserve"> a par conséquent accepté l</w:t>
      </w:r>
      <w:r w:rsidR="0070106C" w:rsidRPr="005B6695">
        <w:rPr>
          <w:noProof/>
          <w:lang w:val="fr-FR"/>
        </w:rPr>
        <w:t>’</w:t>
      </w:r>
      <w:r w:rsidRPr="005B6695">
        <w:rPr>
          <w:noProof/>
          <w:lang w:val="fr-FR"/>
        </w:rPr>
        <w:t>organisation d</w:t>
      </w:r>
      <w:r w:rsidR="0070106C" w:rsidRPr="005B6695">
        <w:rPr>
          <w:noProof/>
          <w:lang w:val="fr-FR"/>
        </w:rPr>
        <w:t>’</w:t>
      </w:r>
      <w:r w:rsidRPr="005B6695">
        <w:rPr>
          <w:noProof/>
          <w:lang w:val="fr-FR"/>
        </w:rPr>
        <w:t>un atelier coparrainé avec le GIEC, conformément à la section 6.2 des procédures d</w:t>
      </w:r>
      <w:r w:rsidR="0070106C" w:rsidRPr="005B6695">
        <w:rPr>
          <w:noProof/>
          <w:lang w:val="fr-FR"/>
        </w:rPr>
        <w:t>’</w:t>
      </w:r>
      <w:r w:rsidRPr="005B6695">
        <w:rPr>
          <w:noProof/>
          <w:lang w:val="fr-FR"/>
        </w:rPr>
        <w:t>établissement des produits de la Plateforme, sur les ateliers coparrainés. Le Bureau a noté que le rapport de l</w:t>
      </w:r>
      <w:r w:rsidR="0070106C" w:rsidRPr="005B6695">
        <w:rPr>
          <w:noProof/>
          <w:lang w:val="fr-FR"/>
        </w:rPr>
        <w:t>’</w:t>
      </w:r>
      <w:r w:rsidRPr="005B6695">
        <w:rPr>
          <w:noProof/>
          <w:lang w:val="fr-FR"/>
        </w:rPr>
        <w:t>atelier contribuerait au processus de cadrage pour l</w:t>
      </w:r>
      <w:r w:rsidR="0070106C" w:rsidRPr="005B6695">
        <w:rPr>
          <w:noProof/>
          <w:lang w:val="fr-FR"/>
        </w:rPr>
        <w:t>’</w:t>
      </w:r>
      <w:r w:rsidRPr="005B6695">
        <w:rPr>
          <w:noProof/>
          <w:lang w:val="fr-FR"/>
        </w:rPr>
        <w:t>évaluation des liens d</w:t>
      </w:r>
      <w:r w:rsidR="0070106C" w:rsidRPr="005B6695">
        <w:rPr>
          <w:noProof/>
          <w:lang w:val="fr-FR"/>
        </w:rPr>
        <w:t>’</w:t>
      </w:r>
      <w:r w:rsidRPr="005B6695">
        <w:rPr>
          <w:noProof/>
          <w:lang w:val="fr-FR"/>
        </w:rPr>
        <w:t>interdépendance entre la biodiversité, l</w:t>
      </w:r>
      <w:r w:rsidR="0070106C" w:rsidRPr="005B6695">
        <w:rPr>
          <w:noProof/>
          <w:lang w:val="fr-FR"/>
        </w:rPr>
        <w:t>’</w:t>
      </w:r>
      <w:r w:rsidRPr="005B6695">
        <w:rPr>
          <w:noProof/>
          <w:lang w:val="fr-FR"/>
        </w:rPr>
        <w:t>eau, l</w:t>
      </w:r>
      <w:r w:rsidR="0070106C" w:rsidRPr="005B6695">
        <w:rPr>
          <w:noProof/>
          <w:lang w:val="fr-FR"/>
        </w:rPr>
        <w:t>’</w:t>
      </w:r>
      <w:r w:rsidRPr="005B6695">
        <w:rPr>
          <w:noProof/>
          <w:lang w:val="fr-FR"/>
        </w:rPr>
        <w:t>alimentation et la santé, qui faisait partie du programme de travail glissant de la Plateforme pour la période allant jusqu</w:t>
      </w:r>
      <w:r w:rsidR="0070106C" w:rsidRPr="005B6695">
        <w:rPr>
          <w:noProof/>
          <w:lang w:val="fr-FR"/>
        </w:rPr>
        <w:t>’</w:t>
      </w:r>
      <w:r w:rsidRPr="005B6695">
        <w:rPr>
          <w:noProof/>
          <w:lang w:val="fr-FR"/>
        </w:rPr>
        <w:t>en 2030, approuvé dans la décision IPBES-7/1.</w:t>
      </w:r>
    </w:p>
    <w:p w14:paraId="6A84AFB2" w14:textId="2B2C534E" w:rsidR="00421431" w:rsidRPr="005B6695" w:rsidRDefault="00333364" w:rsidP="00397BC4">
      <w:pPr>
        <w:pStyle w:val="Normalnumber"/>
        <w:rPr>
          <w:noProof/>
          <w:lang w:val="fr-FR"/>
        </w:rPr>
      </w:pPr>
      <w:r w:rsidRPr="005B6695">
        <w:rPr>
          <w:noProof/>
          <w:lang w:val="fr-FR"/>
        </w:rPr>
        <w:t>Le Bureau du GIEC, à sa cinquante-septième session, a accepté le principe d</w:t>
      </w:r>
      <w:r w:rsidR="0070106C" w:rsidRPr="005B6695">
        <w:rPr>
          <w:noProof/>
          <w:lang w:val="fr-FR"/>
        </w:rPr>
        <w:t>’</w:t>
      </w:r>
      <w:r w:rsidRPr="005B6695">
        <w:rPr>
          <w:noProof/>
          <w:lang w:val="fr-FR"/>
        </w:rPr>
        <w:t xml:space="preserve">un atelier coparrainé sur le thème de la biodiversité et des changements climatiques et a chargé les coprésidents du </w:t>
      </w:r>
      <w:r w:rsidR="00916A5A" w:rsidRPr="005B6695">
        <w:rPr>
          <w:noProof/>
          <w:lang w:val="fr-FR"/>
        </w:rPr>
        <w:t>Groupe de travail</w:t>
      </w:r>
      <w:r w:rsidRPr="005B6695">
        <w:rPr>
          <w:noProof/>
          <w:lang w:val="fr-FR"/>
        </w:rPr>
        <w:t xml:space="preserve"> II du GIEC, en étroite collaboration avec les coprésidents des </w:t>
      </w:r>
      <w:r w:rsidR="00916A5A" w:rsidRPr="005B6695">
        <w:rPr>
          <w:noProof/>
          <w:lang w:val="fr-FR"/>
        </w:rPr>
        <w:t>G</w:t>
      </w:r>
      <w:r w:rsidRPr="005B6695">
        <w:rPr>
          <w:noProof/>
          <w:lang w:val="fr-FR"/>
        </w:rPr>
        <w:t>roupes de travail</w:t>
      </w:r>
      <w:r w:rsidR="00EA0768" w:rsidRPr="005B6695">
        <w:rPr>
          <w:noProof/>
          <w:lang w:val="fr-FR"/>
        </w:rPr>
        <w:t> </w:t>
      </w:r>
      <w:r w:rsidRPr="005B6695">
        <w:rPr>
          <w:noProof/>
          <w:lang w:val="fr-FR"/>
        </w:rPr>
        <w:t>I et III, d</w:t>
      </w:r>
      <w:r w:rsidR="0070106C" w:rsidRPr="005B6695">
        <w:rPr>
          <w:noProof/>
          <w:lang w:val="fr-FR"/>
        </w:rPr>
        <w:t>’</w:t>
      </w:r>
      <w:r w:rsidRPr="005B6695">
        <w:rPr>
          <w:noProof/>
          <w:lang w:val="fr-FR"/>
        </w:rPr>
        <w:t>étudier les modalités d</w:t>
      </w:r>
      <w:r w:rsidR="0070106C" w:rsidRPr="005B6695">
        <w:rPr>
          <w:noProof/>
          <w:lang w:val="fr-FR"/>
        </w:rPr>
        <w:t>’</w:t>
      </w:r>
      <w:r w:rsidRPr="005B6695">
        <w:rPr>
          <w:noProof/>
          <w:lang w:val="fr-FR"/>
        </w:rPr>
        <w:t>un atelier coparrainé avec le secrétariat de l</w:t>
      </w:r>
      <w:r w:rsidR="0070106C" w:rsidRPr="005B6695">
        <w:rPr>
          <w:noProof/>
          <w:lang w:val="fr-FR"/>
        </w:rPr>
        <w:t>’</w:t>
      </w:r>
      <w:r w:rsidRPr="005B6695">
        <w:rPr>
          <w:noProof/>
          <w:lang w:val="fr-FR"/>
        </w:rPr>
        <w:t>IPBES. Il</w:t>
      </w:r>
      <w:r w:rsidR="00EA0768" w:rsidRPr="005B6695">
        <w:rPr>
          <w:noProof/>
          <w:lang w:val="fr-FR"/>
        </w:rPr>
        <w:t> </w:t>
      </w:r>
      <w:r w:rsidRPr="005B6695">
        <w:rPr>
          <w:noProof/>
          <w:lang w:val="fr-FR"/>
        </w:rPr>
        <w:t>a</w:t>
      </w:r>
      <w:r w:rsidR="00EA0768" w:rsidRPr="005B6695">
        <w:rPr>
          <w:noProof/>
          <w:lang w:val="fr-FR"/>
        </w:rPr>
        <w:t> </w:t>
      </w:r>
      <w:r w:rsidRPr="005B6695">
        <w:rPr>
          <w:noProof/>
          <w:lang w:val="fr-FR"/>
        </w:rPr>
        <w:t>également chargé le Comité exécutif du Groupe d</w:t>
      </w:r>
      <w:r w:rsidR="0070106C" w:rsidRPr="005B6695">
        <w:rPr>
          <w:noProof/>
          <w:lang w:val="fr-FR"/>
        </w:rPr>
        <w:t>’</w:t>
      </w:r>
      <w:r w:rsidRPr="005B6695">
        <w:rPr>
          <w:noProof/>
          <w:lang w:val="fr-FR"/>
        </w:rPr>
        <w:t>experts de l</w:t>
      </w:r>
      <w:r w:rsidR="0070106C" w:rsidRPr="005B6695">
        <w:rPr>
          <w:noProof/>
          <w:lang w:val="fr-FR"/>
        </w:rPr>
        <w:t>’</w:t>
      </w:r>
      <w:r w:rsidRPr="005B6695">
        <w:rPr>
          <w:noProof/>
          <w:lang w:val="fr-FR"/>
        </w:rPr>
        <w:t>approbation de ces modalités. La</w:t>
      </w:r>
      <w:r w:rsidR="00EA0768" w:rsidRPr="005B6695">
        <w:rPr>
          <w:noProof/>
          <w:lang w:val="fr-FR"/>
        </w:rPr>
        <w:t> </w:t>
      </w:r>
      <w:r w:rsidRPr="005B6695">
        <w:rPr>
          <w:noProof/>
          <w:lang w:val="fr-FR"/>
        </w:rPr>
        <w:t>note de cadrage relative à l</w:t>
      </w:r>
      <w:r w:rsidR="0070106C" w:rsidRPr="005B6695">
        <w:rPr>
          <w:noProof/>
          <w:lang w:val="fr-FR"/>
        </w:rPr>
        <w:t>’</w:t>
      </w:r>
      <w:r w:rsidRPr="005B6695">
        <w:rPr>
          <w:noProof/>
          <w:lang w:val="fr-FR"/>
        </w:rPr>
        <w:t>atelier coparrainé, qui figure dans la note de cadrage sur les activités conjointes du GIEC et de l</w:t>
      </w:r>
      <w:r w:rsidR="0070106C" w:rsidRPr="005B6695">
        <w:rPr>
          <w:noProof/>
          <w:lang w:val="fr-FR"/>
        </w:rPr>
        <w:t>’</w:t>
      </w:r>
      <w:r w:rsidRPr="005B6695">
        <w:rPr>
          <w:noProof/>
          <w:lang w:val="fr-FR"/>
        </w:rPr>
        <w:t>IPBES (IPCC-LII/INF.7), a été présentée par l</w:t>
      </w:r>
      <w:r w:rsidR="0070106C" w:rsidRPr="005B6695">
        <w:rPr>
          <w:noProof/>
          <w:lang w:val="fr-FR"/>
        </w:rPr>
        <w:t>’</w:t>
      </w:r>
      <w:r w:rsidRPr="005B6695">
        <w:rPr>
          <w:noProof/>
          <w:lang w:val="fr-FR"/>
        </w:rPr>
        <w:t xml:space="preserve">un des coprésidents du </w:t>
      </w:r>
      <w:r w:rsidR="00916A5A" w:rsidRPr="005B6695">
        <w:rPr>
          <w:noProof/>
          <w:lang w:val="fr-FR"/>
        </w:rPr>
        <w:t>Groupe de travail</w:t>
      </w:r>
      <w:r w:rsidRPr="005B6695">
        <w:rPr>
          <w:noProof/>
          <w:lang w:val="fr-FR"/>
        </w:rPr>
        <w:t xml:space="preserve"> II au GIEC</w:t>
      </w:r>
      <w:r w:rsidR="00AB72CD" w:rsidRPr="005B6695">
        <w:rPr>
          <w:noProof/>
          <w:lang w:val="fr-FR"/>
        </w:rPr>
        <w:t>,</w:t>
      </w:r>
      <w:r w:rsidRPr="005B6695">
        <w:rPr>
          <w:noProof/>
          <w:lang w:val="fr-FR"/>
        </w:rPr>
        <w:t xml:space="preserve"> </w:t>
      </w:r>
      <w:r w:rsidR="00AB72CD" w:rsidRPr="005B6695">
        <w:rPr>
          <w:noProof/>
          <w:lang w:val="fr-FR"/>
        </w:rPr>
        <w:t>à</w:t>
      </w:r>
      <w:r w:rsidRPr="005B6695">
        <w:rPr>
          <w:noProof/>
          <w:lang w:val="fr-FR"/>
        </w:rPr>
        <w:t xml:space="preserve"> sa cinquante-deuxième session, tenue à Paris en février 2020. Le</w:t>
      </w:r>
      <w:r w:rsidR="0045254F" w:rsidRPr="005B6695">
        <w:rPr>
          <w:noProof/>
          <w:lang w:val="fr-FR"/>
        </w:rPr>
        <w:t> </w:t>
      </w:r>
      <w:r w:rsidRPr="005B6695">
        <w:rPr>
          <w:noProof/>
          <w:lang w:val="fr-FR"/>
        </w:rPr>
        <w:t>GIEC a pris note des informations communiquées.</w:t>
      </w:r>
    </w:p>
    <w:p w14:paraId="032CC896" w14:textId="6DF2AA37" w:rsidR="00421431" w:rsidRPr="005B6695" w:rsidRDefault="007C527A" w:rsidP="00397BC4">
      <w:pPr>
        <w:pStyle w:val="Normalnumber"/>
        <w:rPr>
          <w:noProof/>
          <w:lang w:val="fr-FR"/>
        </w:rPr>
      </w:pPr>
      <w:r w:rsidRPr="005B6695">
        <w:rPr>
          <w:noProof/>
          <w:lang w:val="fr-FR"/>
        </w:rPr>
        <w:t>L</w:t>
      </w:r>
      <w:r w:rsidR="0070106C" w:rsidRPr="005B6695">
        <w:rPr>
          <w:noProof/>
          <w:lang w:val="fr-FR"/>
        </w:rPr>
        <w:t>’</w:t>
      </w:r>
      <w:r w:rsidRPr="005B6695">
        <w:rPr>
          <w:noProof/>
          <w:lang w:val="fr-FR"/>
        </w:rPr>
        <w:t>atelier devait initialement se tenir du 12 au 14 mai 2020,</w:t>
      </w:r>
      <w:r w:rsidR="006F62BD" w:rsidRPr="005B6695">
        <w:rPr>
          <w:noProof/>
          <w:lang w:val="fr-FR"/>
        </w:rPr>
        <w:t xml:space="preserve"> sous l</w:t>
      </w:r>
      <w:r w:rsidR="0070106C" w:rsidRPr="005B6695">
        <w:rPr>
          <w:noProof/>
          <w:lang w:val="fr-FR"/>
        </w:rPr>
        <w:t>’</w:t>
      </w:r>
      <w:r w:rsidR="006F62BD" w:rsidRPr="005B6695">
        <w:rPr>
          <w:noProof/>
          <w:lang w:val="fr-FR"/>
        </w:rPr>
        <w:t>égide du</w:t>
      </w:r>
      <w:r w:rsidRPr="005B6695">
        <w:rPr>
          <w:noProof/>
          <w:lang w:val="fr-FR"/>
        </w:rPr>
        <w:t xml:space="preserve"> Gouvernement du Royaume-Uni de Grande-Bretagne et d</w:t>
      </w:r>
      <w:r w:rsidR="0070106C" w:rsidRPr="005B6695">
        <w:rPr>
          <w:noProof/>
          <w:lang w:val="fr-FR"/>
        </w:rPr>
        <w:t>’</w:t>
      </w:r>
      <w:r w:rsidRPr="005B6695">
        <w:rPr>
          <w:noProof/>
          <w:lang w:val="fr-FR"/>
        </w:rPr>
        <w:t>Irlande du Nord, avec un appui supplémentaire fourni par la Norvège, et les préparatifs se sont déroulés en conséquence.</w:t>
      </w:r>
    </w:p>
    <w:p w14:paraId="7389F302" w14:textId="503AAB22" w:rsidR="00421431" w:rsidRPr="005B6695" w:rsidRDefault="00836880" w:rsidP="004D6269">
      <w:pPr>
        <w:pStyle w:val="Normalnumber"/>
        <w:keepNext/>
        <w:keepLines/>
        <w:ind w:left="1253"/>
        <w:rPr>
          <w:noProof/>
          <w:lang w:val="fr-FR"/>
        </w:rPr>
      </w:pPr>
      <w:r w:rsidRPr="005B6695">
        <w:rPr>
          <w:noProof/>
          <w:lang w:val="fr-FR"/>
        </w:rPr>
        <w:lastRenderedPageBreak/>
        <w:t>L</w:t>
      </w:r>
      <w:r w:rsidR="0070106C" w:rsidRPr="005B6695">
        <w:rPr>
          <w:noProof/>
          <w:lang w:val="fr-FR"/>
        </w:rPr>
        <w:t>’</w:t>
      </w:r>
      <w:r w:rsidRPr="005B6695">
        <w:rPr>
          <w:noProof/>
          <w:lang w:val="fr-FR"/>
        </w:rPr>
        <w:t>atelier a été dirigé par un comité de pilotage scientifique composé de 12 membres, six</w:t>
      </w:r>
      <w:r w:rsidR="0070106C" w:rsidRPr="005B6695">
        <w:rPr>
          <w:noProof/>
          <w:lang w:val="fr-FR"/>
        </w:rPr>
        <w:t> </w:t>
      </w:r>
      <w:r w:rsidRPr="005B6695">
        <w:rPr>
          <w:noProof/>
          <w:lang w:val="fr-FR"/>
        </w:rPr>
        <w:t>choisis par le GIEC et six par le Groupe d</w:t>
      </w:r>
      <w:r w:rsidR="0070106C" w:rsidRPr="005B6695">
        <w:rPr>
          <w:noProof/>
          <w:lang w:val="fr-FR"/>
        </w:rPr>
        <w:t>’</w:t>
      </w:r>
      <w:r w:rsidRPr="005B6695">
        <w:rPr>
          <w:noProof/>
          <w:lang w:val="fr-FR"/>
        </w:rPr>
        <w:t>experts multidisciplinaire de l</w:t>
      </w:r>
      <w:r w:rsidR="0070106C" w:rsidRPr="005B6695">
        <w:rPr>
          <w:noProof/>
          <w:lang w:val="fr-FR"/>
        </w:rPr>
        <w:t>’</w:t>
      </w:r>
      <w:r w:rsidRPr="005B6695">
        <w:rPr>
          <w:noProof/>
          <w:lang w:val="fr-FR"/>
        </w:rPr>
        <w:t xml:space="preserve">IPBES. </w:t>
      </w:r>
      <w:r w:rsidR="0070106C" w:rsidRPr="005B6695">
        <w:rPr>
          <w:noProof/>
          <w:lang w:val="fr-FR"/>
        </w:rPr>
        <w:br/>
      </w:r>
      <w:r w:rsidR="00BA2DA7" w:rsidRPr="005B6695">
        <w:rPr>
          <w:noProof/>
          <w:lang w:val="fr-FR"/>
        </w:rPr>
        <w:t>À</w:t>
      </w:r>
      <w:r w:rsidRPr="005B6695">
        <w:rPr>
          <w:noProof/>
          <w:lang w:val="fr-FR"/>
        </w:rPr>
        <w:t xml:space="preserve"> sa quatorzième réunion tenue en janvier 2020, le Groupe d</w:t>
      </w:r>
      <w:r w:rsidR="0070106C" w:rsidRPr="005B6695">
        <w:rPr>
          <w:noProof/>
          <w:lang w:val="fr-FR"/>
        </w:rPr>
        <w:t>’</w:t>
      </w:r>
      <w:r w:rsidRPr="005B6695">
        <w:rPr>
          <w:noProof/>
          <w:lang w:val="fr-FR"/>
        </w:rPr>
        <w:t>experts multidisciplinaire a désigné les experts suivants pour représenter l</w:t>
      </w:r>
      <w:r w:rsidR="0070106C" w:rsidRPr="005B6695">
        <w:rPr>
          <w:noProof/>
          <w:lang w:val="fr-FR"/>
        </w:rPr>
        <w:t>’</w:t>
      </w:r>
      <w:r w:rsidRPr="005B6695">
        <w:rPr>
          <w:noProof/>
          <w:lang w:val="fr-FR"/>
        </w:rPr>
        <w:t xml:space="preserve">IPBES au sein du comité directeur scientifique, </w:t>
      </w:r>
      <w:r w:rsidR="00BA2DA7" w:rsidRPr="005B6695">
        <w:rPr>
          <w:noProof/>
          <w:lang w:val="fr-FR"/>
        </w:rPr>
        <w:t>avec</w:t>
      </w:r>
      <w:r w:rsidRPr="005B6695">
        <w:rPr>
          <w:noProof/>
          <w:lang w:val="fr-FR"/>
        </w:rPr>
        <w:t xml:space="preserve"> Robert Scholes comme un de</w:t>
      </w:r>
      <w:r w:rsidR="00BA2DA7" w:rsidRPr="005B6695">
        <w:rPr>
          <w:noProof/>
          <w:lang w:val="fr-FR"/>
        </w:rPr>
        <w:t>s</w:t>
      </w:r>
      <w:r w:rsidRPr="005B6695">
        <w:rPr>
          <w:noProof/>
          <w:lang w:val="fr-FR"/>
        </w:rPr>
        <w:t xml:space="preserve"> deux coprésidents</w:t>
      </w:r>
      <w:r w:rsidR="00421431" w:rsidRPr="005B6695">
        <w:rPr>
          <w:noProof/>
          <w:lang w:val="fr-FR"/>
        </w:rPr>
        <w:t> :</w:t>
      </w:r>
    </w:p>
    <w:p w14:paraId="59A8B1E7" w14:textId="6A4F33A5" w:rsidR="00333364" w:rsidRPr="005B6695" w:rsidRDefault="00333364" w:rsidP="00162A49">
      <w:pPr>
        <w:pStyle w:val="Normalnumber"/>
        <w:numPr>
          <w:ilvl w:val="1"/>
          <w:numId w:val="8"/>
        </w:numPr>
        <w:rPr>
          <w:rFonts w:eastAsia="MS Mincho"/>
          <w:noProof/>
          <w:lang w:val="fr-FR"/>
        </w:rPr>
      </w:pPr>
      <w:r w:rsidRPr="005B6695">
        <w:rPr>
          <w:noProof/>
          <w:lang w:val="fr-FR"/>
        </w:rPr>
        <w:t xml:space="preserve">Robert Scholes, Université du Witwatersrand, Johannesburg (Afrique du Sud) </w:t>
      </w:r>
      <w:r w:rsidR="00CB7B1B" w:rsidRPr="005B6695">
        <w:rPr>
          <w:noProof/>
          <w:lang w:val="fr-FR"/>
        </w:rPr>
        <w:br/>
      </w:r>
      <w:r w:rsidRPr="005B6695">
        <w:rPr>
          <w:noProof/>
          <w:lang w:val="fr-FR"/>
        </w:rPr>
        <w:t xml:space="preserve">(coprésident, </w:t>
      </w:r>
      <w:r w:rsidR="00916A5A" w:rsidRPr="005B6695">
        <w:rPr>
          <w:noProof/>
          <w:lang w:val="fr-FR"/>
        </w:rPr>
        <w:t>É</w:t>
      </w:r>
      <w:r w:rsidRPr="005B6695">
        <w:rPr>
          <w:noProof/>
          <w:lang w:val="fr-FR"/>
        </w:rPr>
        <w:t>valuation par l</w:t>
      </w:r>
      <w:r w:rsidR="0070106C" w:rsidRPr="005B6695">
        <w:rPr>
          <w:noProof/>
          <w:lang w:val="fr-FR"/>
        </w:rPr>
        <w:t>’</w:t>
      </w:r>
      <w:r w:rsidRPr="005B6695">
        <w:rPr>
          <w:noProof/>
          <w:lang w:val="fr-FR"/>
        </w:rPr>
        <w:t>IPBES de la dégradation et de la restauration des sols)</w:t>
      </w:r>
      <w:r w:rsidR="00421431" w:rsidRPr="005B6695">
        <w:rPr>
          <w:noProof/>
          <w:lang w:val="fr-FR"/>
        </w:rPr>
        <w:t> ;</w:t>
      </w:r>
    </w:p>
    <w:p w14:paraId="37BDBDB7" w14:textId="4C1EB75D" w:rsidR="00333364" w:rsidRPr="005B6695" w:rsidRDefault="00333364" w:rsidP="00162A49">
      <w:pPr>
        <w:pStyle w:val="Normalnumber"/>
        <w:numPr>
          <w:ilvl w:val="1"/>
          <w:numId w:val="8"/>
        </w:numPr>
        <w:rPr>
          <w:rFonts w:eastAsia="MS Mincho"/>
          <w:noProof/>
          <w:lang w:val="fr-FR"/>
        </w:rPr>
      </w:pPr>
      <w:r w:rsidRPr="005B6695">
        <w:rPr>
          <w:noProof/>
          <w:lang w:val="fr-FR"/>
        </w:rPr>
        <w:t>Sandra Díaz, Université nationale de Córdoba (Argentine) (ancienne membre du Groupe d</w:t>
      </w:r>
      <w:r w:rsidR="0070106C" w:rsidRPr="005B6695">
        <w:rPr>
          <w:noProof/>
          <w:lang w:val="fr-FR"/>
        </w:rPr>
        <w:t>’</w:t>
      </w:r>
      <w:r w:rsidRPr="005B6695">
        <w:rPr>
          <w:noProof/>
          <w:lang w:val="fr-FR"/>
        </w:rPr>
        <w:t>experts multidisciplinaire de l</w:t>
      </w:r>
      <w:r w:rsidR="0070106C" w:rsidRPr="005B6695">
        <w:rPr>
          <w:noProof/>
          <w:lang w:val="fr-FR"/>
        </w:rPr>
        <w:t>’</w:t>
      </w:r>
      <w:r w:rsidRPr="005B6695">
        <w:rPr>
          <w:noProof/>
          <w:lang w:val="fr-FR"/>
        </w:rPr>
        <w:t>IPBES</w:t>
      </w:r>
      <w:r w:rsidR="00421431" w:rsidRPr="005B6695">
        <w:rPr>
          <w:noProof/>
          <w:lang w:val="fr-FR"/>
        </w:rPr>
        <w:t> ;</w:t>
      </w:r>
      <w:r w:rsidRPr="005B6695">
        <w:rPr>
          <w:noProof/>
          <w:lang w:val="fr-FR"/>
        </w:rPr>
        <w:t xml:space="preserve"> coprésidente, </w:t>
      </w:r>
      <w:r w:rsidR="00916A5A" w:rsidRPr="005B6695">
        <w:rPr>
          <w:noProof/>
          <w:lang w:val="fr-FR"/>
        </w:rPr>
        <w:t>É</w:t>
      </w:r>
      <w:r w:rsidRPr="005B6695">
        <w:rPr>
          <w:noProof/>
          <w:lang w:val="fr-FR"/>
        </w:rPr>
        <w:t>valuation mondiale de la biodiversité et des services écosystémiques</w:t>
      </w:r>
      <w:r w:rsidR="005012B8" w:rsidRPr="005B6695">
        <w:rPr>
          <w:noProof/>
          <w:lang w:val="fr-FR"/>
        </w:rPr>
        <w:t xml:space="preserve"> de l</w:t>
      </w:r>
      <w:r w:rsidR="0070106C" w:rsidRPr="005B6695">
        <w:rPr>
          <w:noProof/>
          <w:lang w:val="fr-FR"/>
        </w:rPr>
        <w:t>’</w:t>
      </w:r>
      <w:r w:rsidR="005012B8" w:rsidRPr="005B6695">
        <w:rPr>
          <w:noProof/>
          <w:lang w:val="fr-FR"/>
        </w:rPr>
        <w:t>IPBES</w:t>
      </w:r>
      <w:r w:rsidRPr="005B6695">
        <w:rPr>
          <w:noProof/>
          <w:lang w:val="fr-FR"/>
        </w:rPr>
        <w:t>)</w:t>
      </w:r>
      <w:r w:rsidR="00421431" w:rsidRPr="005B6695">
        <w:rPr>
          <w:noProof/>
          <w:lang w:val="fr-FR"/>
        </w:rPr>
        <w:t> ;</w:t>
      </w:r>
    </w:p>
    <w:p w14:paraId="0523E44F" w14:textId="16F461D9" w:rsidR="00333364" w:rsidRPr="005B6695" w:rsidRDefault="00333364" w:rsidP="00162A49">
      <w:pPr>
        <w:pStyle w:val="Normalnumber"/>
        <w:numPr>
          <w:ilvl w:val="1"/>
          <w:numId w:val="8"/>
        </w:numPr>
        <w:rPr>
          <w:rFonts w:eastAsia="MS Mincho"/>
          <w:noProof/>
          <w:lang w:val="fr-FR"/>
        </w:rPr>
      </w:pPr>
      <w:r w:rsidRPr="005B6695">
        <w:rPr>
          <w:noProof/>
          <w:lang w:val="fr-FR"/>
        </w:rPr>
        <w:t>Markus Fischer, Université de Berne (Suisse) (membre du Groupe d</w:t>
      </w:r>
      <w:r w:rsidR="0070106C" w:rsidRPr="005B6695">
        <w:rPr>
          <w:noProof/>
          <w:lang w:val="fr-FR"/>
        </w:rPr>
        <w:t>’</w:t>
      </w:r>
      <w:r w:rsidRPr="005B6695">
        <w:rPr>
          <w:noProof/>
          <w:lang w:val="fr-FR"/>
        </w:rPr>
        <w:t>experts multidisciplinaire de l</w:t>
      </w:r>
      <w:r w:rsidR="0070106C" w:rsidRPr="005B6695">
        <w:rPr>
          <w:noProof/>
          <w:lang w:val="fr-FR"/>
        </w:rPr>
        <w:t>’</w:t>
      </w:r>
      <w:r w:rsidRPr="005B6695">
        <w:rPr>
          <w:noProof/>
          <w:lang w:val="fr-FR"/>
        </w:rPr>
        <w:t>IPBES</w:t>
      </w:r>
      <w:r w:rsidR="00421431" w:rsidRPr="005B6695">
        <w:rPr>
          <w:noProof/>
          <w:lang w:val="fr-FR"/>
        </w:rPr>
        <w:t> ;</w:t>
      </w:r>
      <w:r w:rsidRPr="005B6695">
        <w:rPr>
          <w:noProof/>
          <w:lang w:val="fr-FR"/>
        </w:rPr>
        <w:t xml:space="preserve"> coprésident, Évaluation régionale de la biodiversité et des services écosystémiques pour l</w:t>
      </w:r>
      <w:r w:rsidR="0070106C" w:rsidRPr="005B6695">
        <w:rPr>
          <w:noProof/>
          <w:lang w:val="fr-FR"/>
        </w:rPr>
        <w:t>’</w:t>
      </w:r>
      <w:r w:rsidRPr="005B6695">
        <w:rPr>
          <w:noProof/>
          <w:lang w:val="fr-FR"/>
        </w:rPr>
        <w:t>Europe et l</w:t>
      </w:r>
      <w:r w:rsidR="0070106C" w:rsidRPr="005B6695">
        <w:rPr>
          <w:noProof/>
          <w:lang w:val="fr-FR"/>
        </w:rPr>
        <w:t>’</w:t>
      </w:r>
      <w:r w:rsidRPr="005B6695">
        <w:rPr>
          <w:noProof/>
          <w:lang w:val="fr-FR"/>
        </w:rPr>
        <w:t>Asie centrale)</w:t>
      </w:r>
      <w:r w:rsidR="00421431" w:rsidRPr="005B6695">
        <w:rPr>
          <w:noProof/>
          <w:lang w:val="fr-FR"/>
        </w:rPr>
        <w:t> ;</w:t>
      </w:r>
    </w:p>
    <w:p w14:paraId="4CFA6179" w14:textId="7C67EDF0" w:rsidR="00333364" w:rsidRPr="005B6695" w:rsidRDefault="00333364" w:rsidP="00162A49">
      <w:pPr>
        <w:pStyle w:val="Normalnumber"/>
        <w:numPr>
          <w:ilvl w:val="1"/>
          <w:numId w:val="8"/>
        </w:numPr>
        <w:rPr>
          <w:rFonts w:eastAsia="MS Mincho"/>
          <w:noProof/>
          <w:lang w:val="fr-FR"/>
        </w:rPr>
      </w:pPr>
      <w:r w:rsidRPr="005B6695">
        <w:rPr>
          <w:noProof/>
          <w:lang w:val="fr-FR"/>
        </w:rPr>
        <w:t>Shizuka Hashimoto, Université de Tokyo (Japon) (membre du Groupe d</w:t>
      </w:r>
      <w:r w:rsidR="0070106C" w:rsidRPr="005B6695">
        <w:rPr>
          <w:noProof/>
          <w:lang w:val="fr-FR"/>
        </w:rPr>
        <w:t>’</w:t>
      </w:r>
      <w:r w:rsidRPr="005B6695">
        <w:rPr>
          <w:noProof/>
          <w:lang w:val="fr-FR"/>
        </w:rPr>
        <w:t>experts multidisciplinaire de l</w:t>
      </w:r>
      <w:r w:rsidR="0070106C" w:rsidRPr="005B6695">
        <w:rPr>
          <w:noProof/>
          <w:lang w:val="fr-FR"/>
        </w:rPr>
        <w:t>’</w:t>
      </w:r>
      <w:r w:rsidRPr="005B6695">
        <w:rPr>
          <w:noProof/>
          <w:lang w:val="fr-FR"/>
        </w:rPr>
        <w:t>IPBES)</w:t>
      </w:r>
      <w:r w:rsidR="00421431" w:rsidRPr="005B6695">
        <w:rPr>
          <w:noProof/>
          <w:lang w:val="fr-FR"/>
        </w:rPr>
        <w:t> ;</w:t>
      </w:r>
    </w:p>
    <w:p w14:paraId="3C7A3054" w14:textId="66ADF255" w:rsidR="00333364" w:rsidRPr="005B6695" w:rsidRDefault="00333364" w:rsidP="00162A49">
      <w:pPr>
        <w:pStyle w:val="Normalnumber"/>
        <w:numPr>
          <w:ilvl w:val="1"/>
          <w:numId w:val="8"/>
        </w:numPr>
        <w:rPr>
          <w:rFonts w:eastAsia="MS Mincho"/>
          <w:noProof/>
          <w:lang w:val="fr-FR"/>
        </w:rPr>
      </w:pPr>
      <w:r w:rsidRPr="005B6695">
        <w:rPr>
          <w:noProof/>
          <w:lang w:val="fr-FR"/>
        </w:rPr>
        <w:t>Sandra Lavorel, Centre national de la recherche scientifique (France) (membre du Groupe d</w:t>
      </w:r>
      <w:r w:rsidR="0070106C" w:rsidRPr="005B6695">
        <w:rPr>
          <w:noProof/>
          <w:lang w:val="fr-FR"/>
        </w:rPr>
        <w:t>’</w:t>
      </w:r>
      <w:r w:rsidRPr="005B6695">
        <w:rPr>
          <w:noProof/>
          <w:lang w:val="fr-FR"/>
        </w:rPr>
        <w:t>experts multidisciplinaire de l</w:t>
      </w:r>
      <w:r w:rsidR="0070106C" w:rsidRPr="005B6695">
        <w:rPr>
          <w:noProof/>
          <w:lang w:val="fr-FR"/>
        </w:rPr>
        <w:t>’</w:t>
      </w:r>
      <w:r w:rsidRPr="005B6695">
        <w:rPr>
          <w:noProof/>
          <w:lang w:val="fr-FR"/>
        </w:rPr>
        <w:t>IPBES)</w:t>
      </w:r>
      <w:r w:rsidR="00421431" w:rsidRPr="005B6695">
        <w:rPr>
          <w:noProof/>
          <w:lang w:val="fr-FR"/>
        </w:rPr>
        <w:t> ;</w:t>
      </w:r>
    </w:p>
    <w:p w14:paraId="369CEA65" w14:textId="07B589D6" w:rsidR="00333364" w:rsidRPr="005B6695" w:rsidRDefault="00333364" w:rsidP="00162A49">
      <w:pPr>
        <w:pStyle w:val="Normalnumber"/>
        <w:numPr>
          <w:ilvl w:val="1"/>
          <w:numId w:val="8"/>
        </w:numPr>
        <w:rPr>
          <w:rFonts w:eastAsia="MS Mincho"/>
          <w:noProof/>
          <w:lang w:val="fr-FR"/>
        </w:rPr>
      </w:pPr>
      <w:r w:rsidRPr="005B6695">
        <w:rPr>
          <w:noProof/>
          <w:lang w:val="fr-FR"/>
        </w:rPr>
        <w:t>Ning Wu, Académie chinoise des sciences (Chine) (membre du Groupe d</w:t>
      </w:r>
      <w:r w:rsidR="0070106C" w:rsidRPr="005B6695">
        <w:rPr>
          <w:noProof/>
          <w:lang w:val="fr-FR"/>
        </w:rPr>
        <w:t>’</w:t>
      </w:r>
      <w:r w:rsidRPr="005B6695">
        <w:rPr>
          <w:noProof/>
          <w:lang w:val="fr-FR"/>
        </w:rPr>
        <w:t>experts multidisciplinaire de l</w:t>
      </w:r>
      <w:r w:rsidR="0070106C" w:rsidRPr="005B6695">
        <w:rPr>
          <w:noProof/>
          <w:lang w:val="fr-FR"/>
        </w:rPr>
        <w:t>’</w:t>
      </w:r>
      <w:r w:rsidRPr="005B6695">
        <w:rPr>
          <w:noProof/>
          <w:lang w:val="fr-FR"/>
        </w:rPr>
        <w:t>IPBES).</w:t>
      </w:r>
    </w:p>
    <w:p w14:paraId="4562BEDD" w14:textId="4DA5CD8C" w:rsidR="00421431" w:rsidRPr="005B6695" w:rsidRDefault="00333364" w:rsidP="00397BC4">
      <w:pPr>
        <w:pStyle w:val="Normalnumber"/>
        <w:rPr>
          <w:noProof/>
          <w:lang w:val="fr-FR"/>
        </w:rPr>
      </w:pPr>
      <w:r w:rsidRPr="005B6695">
        <w:rPr>
          <w:noProof/>
          <w:lang w:val="fr-FR"/>
        </w:rPr>
        <w:t xml:space="preserve">Le GIEC a désigné les experts suivants au Comité directeur scientifique, </w:t>
      </w:r>
      <w:r w:rsidR="005012B8" w:rsidRPr="005B6695">
        <w:rPr>
          <w:noProof/>
          <w:lang w:val="fr-FR"/>
        </w:rPr>
        <w:t>avec</w:t>
      </w:r>
      <w:r w:rsidRPr="005B6695">
        <w:rPr>
          <w:noProof/>
          <w:lang w:val="fr-FR"/>
        </w:rPr>
        <w:t xml:space="preserve"> Hans-Otto Pörtner comme un de</w:t>
      </w:r>
      <w:r w:rsidR="005012B8" w:rsidRPr="005B6695">
        <w:rPr>
          <w:noProof/>
          <w:lang w:val="fr-FR"/>
        </w:rPr>
        <w:t>s</w:t>
      </w:r>
      <w:r w:rsidRPr="005B6695">
        <w:rPr>
          <w:noProof/>
          <w:lang w:val="fr-FR"/>
        </w:rPr>
        <w:t xml:space="preserve"> deux coprésidents</w:t>
      </w:r>
      <w:r w:rsidR="00421431" w:rsidRPr="005B6695">
        <w:rPr>
          <w:noProof/>
          <w:lang w:val="fr-FR"/>
        </w:rPr>
        <w:t> :</w:t>
      </w:r>
    </w:p>
    <w:p w14:paraId="6C6450AB" w14:textId="192E2081" w:rsidR="00333364" w:rsidRPr="005B6695" w:rsidRDefault="00333364" w:rsidP="00162A49">
      <w:pPr>
        <w:pStyle w:val="Normalnumber"/>
        <w:numPr>
          <w:ilvl w:val="1"/>
          <w:numId w:val="9"/>
        </w:numPr>
        <w:rPr>
          <w:rFonts w:eastAsia="MS Mincho"/>
          <w:noProof/>
          <w:lang w:val="fr-FR"/>
        </w:rPr>
      </w:pPr>
      <w:r w:rsidRPr="005B6695">
        <w:rPr>
          <w:noProof/>
          <w:lang w:val="fr-FR"/>
        </w:rPr>
        <w:t xml:space="preserve">Hans-Otto Pörtner, Institut Alfred Wegener (Allemagne), (coprésident du </w:t>
      </w:r>
      <w:r w:rsidR="00916A5A" w:rsidRPr="005B6695">
        <w:rPr>
          <w:noProof/>
          <w:lang w:val="fr-FR"/>
        </w:rPr>
        <w:t>Groupe de travail</w:t>
      </w:r>
      <w:r w:rsidRPr="005B6695">
        <w:rPr>
          <w:noProof/>
          <w:lang w:val="fr-FR"/>
        </w:rPr>
        <w:t xml:space="preserve"> II du GIEC)</w:t>
      </w:r>
      <w:r w:rsidR="00421431" w:rsidRPr="005B6695">
        <w:rPr>
          <w:noProof/>
          <w:lang w:val="fr-FR"/>
        </w:rPr>
        <w:t> ;</w:t>
      </w:r>
    </w:p>
    <w:p w14:paraId="5F77B08C" w14:textId="59CCC554" w:rsidR="00333364" w:rsidRPr="005B6695" w:rsidRDefault="00333364" w:rsidP="00162A49">
      <w:pPr>
        <w:pStyle w:val="Normalnumber"/>
        <w:numPr>
          <w:ilvl w:val="1"/>
          <w:numId w:val="9"/>
        </w:numPr>
        <w:rPr>
          <w:rFonts w:eastAsia="MS Mincho"/>
          <w:noProof/>
          <w:lang w:val="fr-FR"/>
        </w:rPr>
      </w:pPr>
      <w:r w:rsidRPr="005B6695">
        <w:rPr>
          <w:noProof/>
          <w:lang w:val="fr-FR"/>
        </w:rPr>
        <w:t>Edvin Aldrian, Agence pour l</w:t>
      </w:r>
      <w:r w:rsidR="0070106C" w:rsidRPr="005B6695">
        <w:rPr>
          <w:noProof/>
          <w:lang w:val="fr-FR"/>
        </w:rPr>
        <w:t>’</w:t>
      </w:r>
      <w:r w:rsidRPr="005B6695">
        <w:rPr>
          <w:noProof/>
          <w:lang w:val="fr-FR"/>
        </w:rPr>
        <w:t>évaluation et l</w:t>
      </w:r>
      <w:r w:rsidR="0070106C" w:rsidRPr="005B6695">
        <w:rPr>
          <w:noProof/>
          <w:lang w:val="fr-FR"/>
        </w:rPr>
        <w:t>’</w:t>
      </w:r>
      <w:r w:rsidRPr="005B6695">
        <w:rPr>
          <w:noProof/>
          <w:lang w:val="fr-FR"/>
        </w:rPr>
        <w:t xml:space="preserve">application de la technologie (Indonésie), (coprésident du </w:t>
      </w:r>
      <w:r w:rsidR="00916A5A" w:rsidRPr="005B6695">
        <w:rPr>
          <w:noProof/>
          <w:lang w:val="fr-FR"/>
        </w:rPr>
        <w:t>Groupe de travail</w:t>
      </w:r>
      <w:r w:rsidRPr="005B6695">
        <w:rPr>
          <w:noProof/>
          <w:lang w:val="fr-FR"/>
        </w:rPr>
        <w:t xml:space="preserve"> I du GIEC)</w:t>
      </w:r>
      <w:r w:rsidR="00421431" w:rsidRPr="005B6695">
        <w:rPr>
          <w:noProof/>
          <w:lang w:val="fr-FR"/>
        </w:rPr>
        <w:t> ;</w:t>
      </w:r>
    </w:p>
    <w:p w14:paraId="0DBCD197" w14:textId="5D76A8B8" w:rsidR="00333364" w:rsidRPr="005B6695" w:rsidRDefault="00333364" w:rsidP="00162A49">
      <w:pPr>
        <w:pStyle w:val="Normalnumber"/>
        <w:numPr>
          <w:ilvl w:val="1"/>
          <w:numId w:val="9"/>
        </w:numPr>
        <w:rPr>
          <w:rFonts w:eastAsia="MS Mincho"/>
          <w:noProof/>
          <w:lang w:val="fr-FR"/>
        </w:rPr>
      </w:pPr>
      <w:r w:rsidRPr="005B6695">
        <w:rPr>
          <w:noProof/>
          <w:lang w:val="fr-FR"/>
        </w:rPr>
        <w:t>Ramon Pichs Madruga, Centre d</w:t>
      </w:r>
      <w:r w:rsidR="0070106C" w:rsidRPr="005B6695">
        <w:rPr>
          <w:noProof/>
          <w:lang w:val="fr-FR"/>
        </w:rPr>
        <w:t>’</w:t>
      </w:r>
      <w:r w:rsidRPr="005B6695">
        <w:rPr>
          <w:noProof/>
          <w:lang w:val="fr-FR"/>
        </w:rPr>
        <w:t>études de l</w:t>
      </w:r>
      <w:r w:rsidR="0070106C" w:rsidRPr="005B6695">
        <w:rPr>
          <w:noProof/>
          <w:lang w:val="fr-FR"/>
        </w:rPr>
        <w:t>’</w:t>
      </w:r>
      <w:r w:rsidRPr="005B6695">
        <w:rPr>
          <w:noProof/>
          <w:lang w:val="fr-FR"/>
        </w:rPr>
        <w:t xml:space="preserve">économie mondiale (Cuba), (coprésident du </w:t>
      </w:r>
      <w:r w:rsidR="00916A5A" w:rsidRPr="005B6695">
        <w:rPr>
          <w:noProof/>
          <w:lang w:val="fr-FR"/>
        </w:rPr>
        <w:t>Groupe de travail</w:t>
      </w:r>
      <w:r w:rsidRPr="005B6695">
        <w:rPr>
          <w:noProof/>
          <w:lang w:val="fr-FR"/>
        </w:rPr>
        <w:t xml:space="preserve"> III du GIEC</w:t>
      </w:r>
      <w:r w:rsidR="00421431" w:rsidRPr="005B6695">
        <w:rPr>
          <w:noProof/>
          <w:lang w:val="fr-FR"/>
        </w:rPr>
        <w:t> ;</w:t>
      </w:r>
      <w:r w:rsidRPr="005B6695">
        <w:rPr>
          <w:noProof/>
          <w:lang w:val="fr-FR"/>
        </w:rPr>
        <w:t xml:space="preserve"> membre de l</w:t>
      </w:r>
      <w:r w:rsidR="0070106C" w:rsidRPr="005B6695">
        <w:rPr>
          <w:noProof/>
          <w:lang w:val="fr-FR"/>
        </w:rPr>
        <w:t>’</w:t>
      </w:r>
      <w:r w:rsidRPr="005B6695">
        <w:rPr>
          <w:noProof/>
          <w:lang w:val="fr-FR"/>
        </w:rPr>
        <w:t>équipe spéciale de l</w:t>
      </w:r>
      <w:r w:rsidR="0070106C" w:rsidRPr="005B6695">
        <w:rPr>
          <w:noProof/>
          <w:lang w:val="fr-FR"/>
        </w:rPr>
        <w:t>’</w:t>
      </w:r>
      <w:r w:rsidRPr="005B6695">
        <w:rPr>
          <w:noProof/>
          <w:lang w:val="fr-FR"/>
        </w:rPr>
        <w:t>IPBES sur les scénarios et les modèles)</w:t>
      </w:r>
      <w:r w:rsidR="00421431" w:rsidRPr="005B6695">
        <w:rPr>
          <w:noProof/>
          <w:lang w:val="fr-FR"/>
        </w:rPr>
        <w:t> ;</w:t>
      </w:r>
    </w:p>
    <w:p w14:paraId="1FC14275" w14:textId="390C88E2" w:rsidR="00333364" w:rsidRPr="005B6695" w:rsidRDefault="00333364" w:rsidP="00162A49">
      <w:pPr>
        <w:pStyle w:val="Normalnumber"/>
        <w:numPr>
          <w:ilvl w:val="1"/>
          <w:numId w:val="9"/>
        </w:numPr>
        <w:rPr>
          <w:rFonts w:eastAsia="MS Mincho"/>
          <w:noProof/>
          <w:lang w:val="fr-FR"/>
        </w:rPr>
      </w:pPr>
      <w:r w:rsidRPr="005B6695">
        <w:rPr>
          <w:noProof/>
          <w:lang w:val="fr-FR"/>
        </w:rPr>
        <w:t>Camille Parmesan, Université de Plymouth (Royaume-Uni de Grande-Bretagne et d</w:t>
      </w:r>
      <w:r w:rsidR="0070106C" w:rsidRPr="005B6695">
        <w:rPr>
          <w:noProof/>
          <w:lang w:val="fr-FR"/>
        </w:rPr>
        <w:t>’</w:t>
      </w:r>
      <w:r w:rsidRPr="005B6695">
        <w:rPr>
          <w:noProof/>
          <w:lang w:val="fr-FR"/>
        </w:rPr>
        <w:t>Irlande du Nord), (auteure principale chargée de la coordination, sixième rapport d</w:t>
      </w:r>
      <w:r w:rsidR="0070106C" w:rsidRPr="005B6695">
        <w:rPr>
          <w:noProof/>
          <w:lang w:val="fr-FR"/>
        </w:rPr>
        <w:t>’</w:t>
      </w:r>
      <w:r w:rsidRPr="005B6695">
        <w:rPr>
          <w:noProof/>
          <w:lang w:val="fr-FR"/>
        </w:rPr>
        <w:t>évaluation du GIEC</w:t>
      </w:r>
      <w:r w:rsidR="00421431" w:rsidRPr="005B6695">
        <w:rPr>
          <w:noProof/>
          <w:lang w:val="fr-FR"/>
        </w:rPr>
        <w:t> ;</w:t>
      </w:r>
      <w:r w:rsidRPr="005B6695">
        <w:rPr>
          <w:noProof/>
          <w:lang w:val="fr-FR"/>
        </w:rPr>
        <w:t xml:space="preserve"> membre du </w:t>
      </w:r>
      <w:r w:rsidR="00916A5A" w:rsidRPr="005B6695">
        <w:rPr>
          <w:noProof/>
          <w:lang w:val="fr-FR"/>
        </w:rPr>
        <w:t>Groupe de travail</w:t>
      </w:r>
      <w:r w:rsidRPr="005B6695">
        <w:rPr>
          <w:noProof/>
          <w:lang w:val="fr-FR"/>
        </w:rPr>
        <w:t xml:space="preserve"> II du GIEC)</w:t>
      </w:r>
      <w:r w:rsidR="00421431" w:rsidRPr="005B6695">
        <w:rPr>
          <w:noProof/>
          <w:lang w:val="fr-FR"/>
        </w:rPr>
        <w:t> ;</w:t>
      </w:r>
    </w:p>
    <w:p w14:paraId="541F499C" w14:textId="3C8DE830" w:rsidR="00333364" w:rsidRPr="005B6695" w:rsidRDefault="00333364" w:rsidP="00162A49">
      <w:pPr>
        <w:pStyle w:val="Normalnumber"/>
        <w:numPr>
          <w:ilvl w:val="1"/>
          <w:numId w:val="9"/>
        </w:numPr>
        <w:rPr>
          <w:rFonts w:eastAsia="MS Mincho"/>
          <w:noProof/>
          <w:lang w:val="fr-FR"/>
        </w:rPr>
      </w:pPr>
      <w:r w:rsidRPr="005B6695">
        <w:rPr>
          <w:noProof/>
          <w:lang w:val="fr-FR"/>
        </w:rPr>
        <w:t xml:space="preserve">Debra Roberts, Sustainable and Resilient City Initiatives Unit, eThekwini Municipality, Durban (Afrique du Sud), (coprésidente du </w:t>
      </w:r>
      <w:r w:rsidR="00916A5A" w:rsidRPr="005B6695">
        <w:rPr>
          <w:noProof/>
          <w:lang w:val="fr-FR"/>
        </w:rPr>
        <w:t>Groupe de travail</w:t>
      </w:r>
      <w:r w:rsidRPr="005B6695">
        <w:rPr>
          <w:noProof/>
          <w:lang w:val="fr-FR"/>
        </w:rPr>
        <w:t xml:space="preserve"> II du GIEC)</w:t>
      </w:r>
      <w:r w:rsidR="00421431" w:rsidRPr="005B6695">
        <w:rPr>
          <w:noProof/>
          <w:lang w:val="fr-FR"/>
        </w:rPr>
        <w:t> ;</w:t>
      </w:r>
    </w:p>
    <w:p w14:paraId="4F57CDF9" w14:textId="6A05DB16" w:rsidR="00333364" w:rsidRPr="005B6695" w:rsidRDefault="00333364" w:rsidP="00162A49">
      <w:pPr>
        <w:pStyle w:val="Normalnumber"/>
        <w:numPr>
          <w:ilvl w:val="1"/>
          <w:numId w:val="9"/>
        </w:numPr>
        <w:rPr>
          <w:rFonts w:eastAsia="MS Mincho"/>
          <w:noProof/>
          <w:lang w:val="fr-FR"/>
        </w:rPr>
      </w:pPr>
      <w:r w:rsidRPr="005B6695">
        <w:rPr>
          <w:noProof/>
          <w:lang w:val="fr-FR"/>
        </w:rPr>
        <w:t>Alex Rogers, Université d</w:t>
      </w:r>
      <w:r w:rsidR="0070106C" w:rsidRPr="005B6695">
        <w:rPr>
          <w:noProof/>
          <w:lang w:val="fr-FR"/>
        </w:rPr>
        <w:t>’</w:t>
      </w:r>
      <w:r w:rsidRPr="005B6695">
        <w:rPr>
          <w:noProof/>
          <w:lang w:val="fr-FR"/>
        </w:rPr>
        <w:t>Oxford (Royaume-Uni).</w:t>
      </w:r>
    </w:p>
    <w:p w14:paraId="76859D4C" w14:textId="2364D384" w:rsidR="00333364" w:rsidRPr="005B6695" w:rsidRDefault="008F1F0A" w:rsidP="00397BC4">
      <w:pPr>
        <w:pStyle w:val="Normalnumber"/>
        <w:rPr>
          <w:rFonts w:eastAsiaTheme="minorEastAsia"/>
          <w:noProof/>
          <w:lang w:val="fr-FR"/>
        </w:rPr>
      </w:pPr>
      <w:r w:rsidRPr="005B6695">
        <w:rPr>
          <w:noProof/>
          <w:lang w:val="fr-FR"/>
        </w:rPr>
        <w:t>Une cinquantaine d</w:t>
      </w:r>
      <w:r w:rsidR="0070106C" w:rsidRPr="005B6695">
        <w:rPr>
          <w:noProof/>
          <w:lang w:val="fr-FR"/>
        </w:rPr>
        <w:t>’</w:t>
      </w:r>
      <w:r w:rsidRPr="005B6695">
        <w:rPr>
          <w:noProof/>
          <w:lang w:val="fr-FR"/>
        </w:rPr>
        <w:t>experts, choisis par le Comité de pilotage scientifique avec une représentation égale des communautés du GIEC et de l</w:t>
      </w:r>
      <w:r w:rsidR="0070106C" w:rsidRPr="005B6695">
        <w:rPr>
          <w:noProof/>
          <w:lang w:val="fr-FR"/>
        </w:rPr>
        <w:t>’</w:t>
      </w:r>
      <w:r w:rsidRPr="005B6695">
        <w:rPr>
          <w:noProof/>
          <w:lang w:val="fr-FR"/>
        </w:rPr>
        <w:t>IPBES, ont participé à l</w:t>
      </w:r>
      <w:r w:rsidR="0070106C" w:rsidRPr="005B6695">
        <w:rPr>
          <w:noProof/>
          <w:lang w:val="fr-FR"/>
        </w:rPr>
        <w:t>’</w:t>
      </w:r>
      <w:r w:rsidRPr="005B6695">
        <w:rPr>
          <w:noProof/>
          <w:lang w:val="fr-FR"/>
        </w:rPr>
        <w:t>atelier. En outre, deux</w:t>
      </w:r>
      <w:r w:rsidR="00FC3934" w:rsidRPr="005B6695">
        <w:rPr>
          <w:noProof/>
          <w:lang w:val="fr-FR"/>
        </w:rPr>
        <w:t> </w:t>
      </w:r>
      <w:r w:rsidRPr="005B6695">
        <w:rPr>
          <w:noProof/>
          <w:lang w:val="fr-FR"/>
        </w:rPr>
        <w:t xml:space="preserve">membres </w:t>
      </w:r>
      <w:r w:rsidR="00832425" w:rsidRPr="005B6695">
        <w:rPr>
          <w:noProof/>
          <w:lang w:val="fr-FR"/>
        </w:rPr>
        <w:t>du</w:t>
      </w:r>
      <w:r w:rsidRPr="005B6695">
        <w:rPr>
          <w:noProof/>
          <w:lang w:val="fr-FR"/>
        </w:rPr>
        <w:t xml:space="preserve"> Bureau du GIEC et </w:t>
      </w:r>
      <w:r w:rsidR="00832425" w:rsidRPr="005B6695">
        <w:rPr>
          <w:noProof/>
          <w:lang w:val="fr-FR"/>
        </w:rPr>
        <w:t xml:space="preserve">deux de celui </w:t>
      </w:r>
      <w:r w:rsidRPr="005B6695">
        <w:rPr>
          <w:noProof/>
          <w:lang w:val="fr-FR"/>
        </w:rPr>
        <w:t>de l</w:t>
      </w:r>
      <w:r w:rsidR="0070106C" w:rsidRPr="005B6695">
        <w:rPr>
          <w:noProof/>
          <w:lang w:val="fr-FR"/>
        </w:rPr>
        <w:t>’</w:t>
      </w:r>
      <w:r w:rsidRPr="005B6695">
        <w:rPr>
          <w:noProof/>
          <w:lang w:val="fr-FR"/>
        </w:rPr>
        <w:t>IPBES ont participé à l</w:t>
      </w:r>
      <w:r w:rsidR="0070106C" w:rsidRPr="005B6695">
        <w:rPr>
          <w:noProof/>
          <w:lang w:val="fr-FR"/>
        </w:rPr>
        <w:t>’</w:t>
      </w:r>
      <w:r w:rsidRPr="005B6695">
        <w:rPr>
          <w:noProof/>
          <w:lang w:val="fr-FR"/>
        </w:rPr>
        <w:t>atelier en tant qu</w:t>
      </w:r>
      <w:r w:rsidR="0070106C" w:rsidRPr="005B6695">
        <w:rPr>
          <w:noProof/>
          <w:lang w:val="fr-FR"/>
        </w:rPr>
        <w:t>’</w:t>
      </w:r>
      <w:r w:rsidRPr="005B6695">
        <w:rPr>
          <w:noProof/>
          <w:lang w:val="fr-FR"/>
        </w:rPr>
        <w:t>observateurs. Les participants choisis par l</w:t>
      </w:r>
      <w:r w:rsidR="0070106C" w:rsidRPr="005B6695">
        <w:rPr>
          <w:noProof/>
          <w:lang w:val="fr-FR"/>
        </w:rPr>
        <w:t>’</w:t>
      </w:r>
      <w:r w:rsidRPr="005B6695">
        <w:rPr>
          <w:noProof/>
          <w:lang w:val="fr-FR"/>
        </w:rPr>
        <w:t>IPBES l</w:t>
      </w:r>
      <w:r w:rsidR="0070106C" w:rsidRPr="005B6695">
        <w:rPr>
          <w:noProof/>
          <w:lang w:val="fr-FR"/>
        </w:rPr>
        <w:t>’</w:t>
      </w:r>
      <w:r w:rsidRPr="005B6695">
        <w:rPr>
          <w:noProof/>
          <w:lang w:val="fr-FR"/>
        </w:rPr>
        <w:t>ont été à partir de la liste des experts qui avaient indiqué dans leur profil IPBES qu</w:t>
      </w:r>
      <w:r w:rsidR="0070106C" w:rsidRPr="005B6695">
        <w:rPr>
          <w:noProof/>
          <w:lang w:val="fr-FR"/>
        </w:rPr>
        <w:t>’</w:t>
      </w:r>
      <w:r w:rsidRPr="005B6695">
        <w:rPr>
          <w:noProof/>
          <w:lang w:val="fr-FR"/>
        </w:rPr>
        <w:t>ils possédaient des compétences dans les domaines de la biodiversité et des changements climatiques. Le Comité directeur scientifique a tenu une téléconférence le 6 mars 2020 et a arrêté définitivement son choix d</w:t>
      </w:r>
      <w:r w:rsidR="0070106C" w:rsidRPr="005B6695">
        <w:rPr>
          <w:noProof/>
          <w:lang w:val="fr-FR"/>
        </w:rPr>
        <w:t>’</w:t>
      </w:r>
      <w:r w:rsidRPr="005B6695">
        <w:rPr>
          <w:noProof/>
          <w:lang w:val="fr-FR"/>
        </w:rPr>
        <w:t xml:space="preserve">experts le 16 avril 2020. </w:t>
      </w:r>
      <w:r w:rsidR="00C16197" w:rsidRPr="005B6695">
        <w:rPr>
          <w:noProof/>
          <w:lang w:val="fr-FR"/>
        </w:rPr>
        <w:br/>
      </w:r>
      <w:r w:rsidRPr="005B6695">
        <w:rPr>
          <w:noProof/>
          <w:lang w:val="fr-FR"/>
        </w:rPr>
        <w:t>La liste des participants à l</w:t>
      </w:r>
      <w:r w:rsidR="0070106C" w:rsidRPr="005B6695">
        <w:rPr>
          <w:noProof/>
          <w:lang w:val="fr-FR"/>
        </w:rPr>
        <w:t>’</w:t>
      </w:r>
      <w:r w:rsidRPr="005B6695">
        <w:rPr>
          <w:noProof/>
          <w:lang w:val="fr-FR"/>
        </w:rPr>
        <w:t>atelier figure sur le site Web de l</w:t>
      </w:r>
      <w:r w:rsidR="0070106C" w:rsidRPr="005B6695">
        <w:rPr>
          <w:noProof/>
          <w:lang w:val="fr-FR"/>
        </w:rPr>
        <w:t>’</w:t>
      </w:r>
      <w:r w:rsidRPr="005B6695">
        <w:rPr>
          <w:noProof/>
          <w:lang w:val="fr-FR"/>
        </w:rPr>
        <w:t>IPBES à l</w:t>
      </w:r>
      <w:r w:rsidR="0070106C" w:rsidRPr="005B6695">
        <w:rPr>
          <w:noProof/>
          <w:lang w:val="fr-FR"/>
        </w:rPr>
        <w:t>’</w:t>
      </w:r>
      <w:r w:rsidRPr="005B6695">
        <w:rPr>
          <w:noProof/>
          <w:lang w:val="fr-FR"/>
        </w:rPr>
        <w:t xml:space="preserve">adresse </w:t>
      </w:r>
      <w:hyperlink r:id="rId19" w:history="1">
        <w:r w:rsidR="00084467" w:rsidRPr="005B6695">
          <w:rPr>
            <w:rFonts w:eastAsiaTheme="minorEastAsia"/>
            <w:noProof/>
            <w:color w:val="5B9BD5" w:themeColor="accent5"/>
            <w:lang w:val="fr-FR"/>
          </w:rPr>
          <w:t>https://ipbes.net/biodiversity-climatechange/participants</w:t>
        </w:r>
      </w:hyperlink>
      <w:r w:rsidR="00084467" w:rsidRPr="005B6695">
        <w:rPr>
          <w:rFonts w:eastAsiaTheme="minorEastAsia"/>
          <w:noProof/>
          <w:color w:val="5B9BD5" w:themeColor="accent5"/>
          <w:lang w:val="fr-FR"/>
        </w:rPr>
        <w:t xml:space="preserve"> </w:t>
      </w:r>
      <w:r w:rsidRPr="005B6695">
        <w:rPr>
          <w:noProof/>
          <w:lang w:val="fr-FR"/>
        </w:rPr>
        <w:t>et dans une annexe au rapport de l</w:t>
      </w:r>
      <w:r w:rsidR="0070106C" w:rsidRPr="005B6695">
        <w:rPr>
          <w:noProof/>
          <w:lang w:val="fr-FR"/>
        </w:rPr>
        <w:t>’</w:t>
      </w:r>
      <w:r w:rsidRPr="005B6695">
        <w:rPr>
          <w:noProof/>
          <w:lang w:val="fr-FR"/>
        </w:rPr>
        <w:t>atelier.</w:t>
      </w:r>
    </w:p>
    <w:p w14:paraId="72EE65F0" w14:textId="6A9A97A6" w:rsidR="00421431" w:rsidRPr="005B6695" w:rsidRDefault="00333364" w:rsidP="00397BC4">
      <w:pPr>
        <w:pStyle w:val="Normalnumber"/>
        <w:rPr>
          <w:noProof/>
          <w:lang w:val="fr-FR"/>
        </w:rPr>
      </w:pPr>
      <w:bookmarkStart w:id="2" w:name="_Hlk67395170"/>
      <w:r w:rsidRPr="005B6695">
        <w:rPr>
          <w:noProof/>
          <w:lang w:val="fr-FR"/>
        </w:rPr>
        <w:t>En avril 2020, le Comité directeur scientifique, en consultation avec le Bureau de l</w:t>
      </w:r>
      <w:r w:rsidR="0070106C" w:rsidRPr="005B6695">
        <w:rPr>
          <w:noProof/>
          <w:lang w:val="fr-FR"/>
        </w:rPr>
        <w:t>’</w:t>
      </w:r>
      <w:r w:rsidRPr="005B6695">
        <w:rPr>
          <w:noProof/>
          <w:lang w:val="fr-FR"/>
        </w:rPr>
        <w:t>IPBES et les gouvernements apportant un appui à l</w:t>
      </w:r>
      <w:r w:rsidR="0070106C" w:rsidRPr="005B6695">
        <w:rPr>
          <w:noProof/>
          <w:lang w:val="fr-FR"/>
        </w:rPr>
        <w:t>’</w:t>
      </w:r>
      <w:r w:rsidRPr="005B6695">
        <w:rPr>
          <w:noProof/>
          <w:lang w:val="fr-FR"/>
        </w:rPr>
        <w:t>atelier, a décidé, au vu de la pandémie de coronavirus (COVID-19), de reporter l</w:t>
      </w:r>
      <w:r w:rsidR="0070106C" w:rsidRPr="005B6695">
        <w:rPr>
          <w:noProof/>
          <w:lang w:val="fr-FR"/>
        </w:rPr>
        <w:t>’</w:t>
      </w:r>
      <w:r w:rsidRPr="005B6695">
        <w:rPr>
          <w:noProof/>
          <w:lang w:val="fr-FR"/>
        </w:rPr>
        <w:t xml:space="preserve">atelier prévu </w:t>
      </w:r>
      <w:r w:rsidR="0016657B" w:rsidRPr="005B6695">
        <w:rPr>
          <w:noProof/>
          <w:lang w:val="fr-FR"/>
        </w:rPr>
        <w:t>pour le</w:t>
      </w:r>
      <w:r w:rsidRPr="005B6695">
        <w:rPr>
          <w:noProof/>
          <w:lang w:val="fr-FR"/>
        </w:rPr>
        <w:t xml:space="preserve"> 12 au 14 mai 2020. </w:t>
      </w:r>
      <w:r w:rsidR="0016657B" w:rsidRPr="005B6695">
        <w:rPr>
          <w:noProof/>
          <w:lang w:val="fr-FR"/>
        </w:rPr>
        <w:t>I</w:t>
      </w:r>
      <w:r w:rsidRPr="005B6695">
        <w:rPr>
          <w:noProof/>
          <w:lang w:val="fr-FR"/>
        </w:rPr>
        <w:t>l a été décidé qu</w:t>
      </w:r>
      <w:r w:rsidR="0070106C" w:rsidRPr="005B6695">
        <w:rPr>
          <w:noProof/>
          <w:lang w:val="fr-FR"/>
        </w:rPr>
        <w:t>’</w:t>
      </w:r>
      <w:r w:rsidR="0016657B" w:rsidRPr="005B6695">
        <w:rPr>
          <w:noProof/>
          <w:lang w:val="fr-FR"/>
        </w:rPr>
        <w:t>il aurait lieu</w:t>
      </w:r>
      <w:r w:rsidRPr="005B6695">
        <w:rPr>
          <w:noProof/>
          <w:lang w:val="fr-FR"/>
        </w:rPr>
        <w:t xml:space="preserve"> en ligne du 14 au 17 décembre 2020. Du fait qu</w:t>
      </w:r>
      <w:r w:rsidR="0070106C" w:rsidRPr="005B6695">
        <w:rPr>
          <w:noProof/>
          <w:lang w:val="fr-FR"/>
        </w:rPr>
        <w:t>’</w:t>
      </w:r>
      <w:r w:rsidR="0016657B" w:rsidRPr="005B6695">
        <w:rPr>
          <w:noProof/>
          <w:lang w:val="fr-FR"/>
        </w:rPr>
        <w:t>il prendrait</w:t>
      </w:r>
      <w:r w:rsidRPr="005B6695">
        <w:rPr>
          <w:noProof/>
          <w:lang w:val="fr-FR"/>
        </w:rPr>
        <w:t xml:space="preserve"> </w:t>
      </w:r>
      <w:r w:rsidR="0016657B" w:rsidRPr="005B6695">
        <w:rPr>
          <w:noProof/>
          <w:lang w:val="fr-FR"/>
        </w:rPr>
        <w:t>la forme d</w:t>
      </w:r>
      <w:r w:rsidR="0070106C" w:rsidRPr="005B6695">
        <w:rPr>
          <w:noProof/>
          <w:lang w:val="fr-FR"/>
        </w:rPr>
        <w:t>’</w:t>
      </w:r>
      <w:r w:rsidR="0016657B" w:rsidRPr="005B6695">
        <w:rPr>
          <w:noProof/>
          <w:lang w:val="fr-FR"/>
        </w:rPr>
        <w:t xml:space="preserve">un atelier </w:t>
      </w:r>
      <w:r w:rsidRPr="005B6695">
        <w:rPr>
          <w:noProof/>
          <w:lang w:val="fr-FR"/>
        </w:rPr>
        <w:t xml:space="preserve">en ligne, des préparatifs approfondis ont été menés sous la direction du </w:t>
      </w:r>
      <w:r w:rsidR="00084467" w:rsidRPr="005B6695">
        <w:rPr>
          <w:noProof/>
          <w:lang w:val="fr-FR"/>
        </w:rPr>
        <w:t>c</w:t>
      </w:r>
      <w:r w:rsidRPr="005B6695">
        <w:rPr>
          <w:noProof/>
          <w:lang w:val="fr-FR"/>
        </w:rPr>
        <w:t>omité de pilotage scientifique.</w:t>
      </w:r>
      <w:bookmarkEnd w:id="2"/>
    </w:p>
    <w:p w14:paraId="57093033" w14:textId="610E366F" w:rsidR="00421431" w:rsidRPr="005B6695" w:rsidRDefault="00D516BC" w:rsidP="00397BC4">
      <w:pPr>
        <w:pStyle w:val="Normalnumber"/>
        <w:rPr>
          <w:noProof/>
          <w:lang w:val="fr-FR"/>
        </w:rPr>
      </w:pPr>
      <w:r w:rsidRPr="005B6695">
        <w:rPr>
          <w:noProof/>
          <w:lang w:val="fr-FR"/>
        </w:rPr>
        <w:t>Lors de l</w:t>
      </w:r>
      <w:r w:rsidR="0070106C" w:rsidRPr="005B6695">
        <w:rPr>
          <w:noProof/>
          <w:lang w:val="fr-FR"/>
        </w:rPr>
        <w:t>’</w:t>
      </w:r>
      <w:r w:rsidRPr="005B6695">
        <w:rPr>
          <w:noProof/>
          <w:lang w:val="fr-FR"/>
        </w:rPr>
        <w:t>ouverture de l</w:t>
      </w:r>
      <w:r w:rsidR="0070106C" w:rsidRPr="005B6695">
        <w:rPr>
          <w:noProof/>
          <w:lang w:val="fr-FR"/>
        </w:rPr>
        <w:t>’</w:t>
      </w:r>
      <w:r w:rsidRPr="005B6695">
        <w:rPr>
          <w:noProof/>
          <w:lang w:val="fr-FR"/>
        </w:rPr>
        <w:t>atelier, le 14 décembre 2020, des déclarations ont été faites par Zac</w:t>
      </w:r>
      <w:r w:rsidR="000C44E0" w:rsidRPr="005B6695">
        <w:rPr>
          <w:noProof/>
          <w:lang w:val="fr-FR"/>
        </w:rPr>
        <w:t> </w:t>
      </w:r>
      <w:r w:rsidRPr="005B6695">
        <w:rPr>
          <w:noProof/>
          <w:lang w:val="fr-FR"/>
        </w:rPr>
        <w:t>Goldsmith, Ministre d</w:t>
      </w:r>
      <w:r w:rsidR="0070106C" w:rsidRPr="005B6695">
        <w:rPr>
          <w:noProof/>
          <w:lang w:val="fr-FR"/>
        </w:rPr>
        <w:t>’</w:t>
      </w:r>
      <w:r w:rsidRPr="005B6695">
        <w:rPr>
          <w:noProof/>
          <w:lang w:val="fr-FR"/>
        </w:rPr>
        <w:t>État pour le Pacifique et l</w:t>
      </w:r>
      <w:r w:rsidR="0070106C" w:rsidRPr="005B6695">
        <w:rPr>
          <w:noProof/>
          <w:lang w:val="fr-FR"/>
        </w:rPr>
        <w:t>’</w:t>
      </w:r>
      <w:r w:rsidRPr="005B6695">
        <w:rPr>
          <w:noProof/>
          <w:lang w:val="fr-FR"/>
        </w:rPr>
        <w:t>environnement et Ministre de l</w:t>
      </w:r>
      <w:r w:rsidR="0070106C" w:rsidRPr="005B6695">
        <w:rPr>
          <w:noProof/>
          <w:lang w:val="fr-FR"/>
        </w:rPr>
        <w:t>’</w:t>
      </w:r>
      <w:r w:rsidRPr="005B6695">
        <w:rPr>
          <w:noProof/>
          <w:lang w:val="fr-FR"/>
        </w:rPr>
        <w:t>environnement, de l</w:t>
      </w:r>
      <w:r w:rsidR="0070106C" w:rsidRPr="005B6695">
        <w:rPr>
          <w:noProof/>
          <w:lang w:val="fr-FR"/>
        </w:rPr>
        <w:t>’</w:t>
      </w:r>
      <w:r w:rsidRPr="005B6695">
        <w:rPr>
          <w:noProof/>
          <w:lang w:val="fr-FR"/>
        </w:rPr>
        <w:t>alimentation et des affaires rurales du Royaume-Uni</w:t>
      </w:r>
      <w:r w:rsidR="00421431" w:rsidRPr="005B6695">
        <w:rPr>
          <w:noProof/>
          <w:lang w:val="fr-FR"/>
        </w:rPr>
        <w:t> ;</w:t>
      </w:r>
      <w:r w:rsidRPr="005B6695">
        <w:rPr>
          <w:noProof/>
          <w:lang w:val="fr-FR"/>
        </w:rPr>
        <w:t xml:space="preserve"> Maren Hersleth Holsen, Secrétaire d</w:t>
      </w:r>
      <w:r w:rsidR="0070106C" w:rsidRPr="005B6695">
        <w:rPr>
          <w:noProof/>
          <w:lang w:val="fr-FR"/>
        </w:rPr>
        <w:t>’</w:t>
      </w:r>
      <w:r w:rsidRPr="005B6695">
        <w:rPr>
          <w:noProof/>
          <w:lang w:val="fr-FR"/>
        </w:rPr>
        <w:t>État, Ministère du climat et de l</w:t>
      </w:r>
      <w:r w:rsidR="0070106C" w:rsidRPr="005B6695">
        <w:rPr>
          <w:noProof/>
          <w:lang w:val="fr-FR"/>
        </w:rPr>
        <w:t>’</w:t>
      </w:r>
      <w:r w:rsidRPr="005B6695">
        <w:rPr>
          <w:noProof/>
          <w:lang w:val="fr-FR"/>
        </w:rPr>
        <w:t>environnement, Norvège</w:t>
      </w:r>
      <w:r w:rsidR="00421431" w:rsidRPr="005B6695">
        <w:rPr>
          <w:noProof/>
          <w:lang w:val="fr-FR"/>
        </w:rPr>
        <w:t> ;</w:t>
      </w:r>
      <w:r w:rsidRPr="005B6695">
        <w:rPr>
          <w:noProof/>
          <w:lang w:val="fr-FR"/>
        </w:rPr>
        <w:t xml:space="preserve"> Ana María Hernández Salgar, Présidente de l</w:t>
      </w:r>
      <w:r w:rsidR="0070106C" w:rsidRPr="005B6695">
        <w:rPr>
          <w:noProof/>
          <w:lang w:val="fr-FR"/>
        </w:rPr>
        <w:t>’</w:t>
      </w:r>
      <w:r w:rsidRPr="005B6695">
        <w:rPr>
          <w:noProof/>
          <w:lang w:val="fr-FR"/>
        </w:rPr>
        <w:t>IPBES</w:t>
      </w:r>
      <w:r w:rsidR="00421431" w:rsidRPr="005B6695">
        <w:rPr>
          <w:noProof/>
          <w:lang w:val="fr-FR"/>
        </w:rPr>
        <w:t> ;</w:t>
      </w:r>
      <w:r w:rsidRPr="005B6695">
        <w:rPr>
          <w:noProof/>
          <w:lang w:val="fr-FR"/>
        </w:rPr>
        <w:t xml:space="preserve"> et Hoesung Lee, Président du GIEC. Au cours de l</w:t>
      </w:r>
      <w:r w:rsidR="0070106C" w:rsidRPr="005B6695">
        <w:rPr>
          <w:noProof/>
          <w:lang w:val="fr-FR"/>
        </w:rPr>
        <w:t>’</w:t>
      </w:r>
      <w:r w:rsidRPr="005B6695">
        <w:rPr>
          <w:noProof/>
          <w:lang w:val="fr-FR"/>
        </w:rPr>
        <w:t>atelier, les participants ont examiné les thèmes définis dans la note de cadrage de l</w:t>
      </w:r>
      <w:r w:rsidR="0070106C" w:rsidRPr="005B6695">
        <w:rPr>
          <w:noProof/>
          <w:lang w:val="fr-FR"/>
        </w:rPr>
        <w:t>’</w:t>
      </w:r>
      <w:r w:rsidRPr="005B6695">
        <w:rPr>
          <w:noProof/>
          <w:lang w:val="fr-FR"/>
        </w:rPr>
        <w:t xml:space="preserve">atelier, notamment les impacts sur la biodiversité et les </w:t>
      </w:r>
      <w:r w:rsidRPr="005B6695">
        <w:rPr>
          <w:noProof/>
          <w:lang w:val="fr-FR"/>
        </w:rPr>
        <w:lastRenderedPageBreak/>
        <w:t>risques qu</w:t>
      </w:r>
      <w:r w:rsidR="0070106C" w:rsidRPr="005B6695">
        <w:rPr>
          <w:noProof/>
          <w:lang w:val="fr-FR"/>
        </w:rPr>
        <w:t>’</w:t>
      </w:r>
      <w:r w:rsidRPr="005B6695">
        <w:rPr>
          <w:noProof/>
          <w:lang w:val="fr-FR"/>
        </w:rPr>
        <w:t>elle encourt, les contributions de la nature aux populations et à la qualité de vie selon les changements climatiques futurs plausibles</w:t>
      </w:r>
      <w:r w:rsidR="00421431" w:rsidRPr="005B6695">
        <w:rPr>
          <w:noProof/>
          <w:lang w:val="fr-FR"/>
        </w:rPr>
        <w:t> ;</w:t>
      </w:r>
      <w:r w:rsidRPr="005B6695">
        <w:rPr>
          <w:noProof/>
          <w:lang w:val="fr-FR"/>
        </w:rPr>
        <w:t xml:space="preserve"> la rétroaction entre les changements plausibles de la biodiversité et les caractéristiques et </w:t>
      </w:r>
      <w:r w:rsidR="0016657B" w:rsidRPr="005B6695">
        <w:rPr>
          <w:noProof/>
          <w:lang w:val="fr-FR"/>
        </w:rPr>
        <w:t>évolutions du</w:t>
      </w:r>
      <w:r w:rsidRPr="005B6695">
        <w:rPr>
          <w:noProof/>
          <w:lang w:val="fr-FR"/>
        </w:rPr>
        <w:t xml:space="preserve"> climat</w:t>
      </w:r>
      <w:r w:rsidR="00421431" w:rsidRPr="005B6695">
        <w:rPr>
          <w:noProof/>
          <w:lang w:val="fr-FR"/>
        </w:rPr>
        <w:t> ;</w:t>
      </w:r>
      <w:r w:rsidRPr="005B6695">
        <w:rPr>
          <w:noProof/>
          <w:lang w:val="fr-FR"/>
        </w:rPr>
        <w:t xml:space="preserve"> les possibilités d</w:t>
      </w:r>
      <w:r w:rsidR="0070106C" w:rsidRPr="005B6695">
        <w:rPr>
          <w:noProof/>
          <w:lang w:val="fr-FR"/>
        </w:rPr>
        <w:t>’</w:t>
      </w:r>
      <w:r w:rsidRPr="005B6695">
        <w:rPr>
          <w:noProof/>
          <w:lang w:val="fr-FR"/>
        </w:rPr>
        <w:t>atteindre les objectifs liés à la fois aux changements climatiques et à la biodiversité et les risques que poserait l</w:t>
      </w:r>
      <w:r w:rsidR="0070106C" w:rsidRPr="005B6695">
        <w:rPr>
          <w:noProof/>
          <w:lang w:val="fr-FR"/>
        </w:rPr>
        <w:t>’</w:t>
      </w:r>
      <w:r w:rsidRPr="005B6695">
        <w:rPr>
          <w:noProof/>
          <w:lang w:val="fr-FR"/>
        </w:rPr>
        <w:t xml:space="preserve">examen séparé de ces questions, y compris les possibilités offertes et les problèmes et les risques posés </w:t>
      </w:r>
      <w:r w:rsidR="00084467" w:rsidRPr="005B6695">
        <w:rPr>
          <w:noProof/>
          <w:lang w:val="fr-FR"/>
        </w:rPr>
        <w:t xml:space="preserve">à la biodiversité </w:t>
      </w:r>
      <w:r w:rsidRPr="005B6695">
        <w:rPr>
          <w:noProof/>
          <w:lang w:val="fr-FR"/>
        </w:rPr>
        <w:t>par les options en matière d</w:t>
      </w:r>
      <w:r w:rsidR="0070106C" w:rsidRPr="005B6695">
        <w:rPr>
          <w:noProof/>
          <w:lang w:val="fr-FR"/>
        </w:rPr>
        <w:t>’</w:t>
      </w:r>
      <w:r w:rsidRPr="005B6695">
        <w:rPr>
          <w:noProof/>
          <w:lang w:val="fr-FR"/>
        </w:rPr>
        <w:t>atténuation et d</w:t>
      </w:r>
      <w:r w:rsidR="0070106C" w:rsidRPr="005B6695">
        <w:rPr>
          <w:noProof/>
          <w:lang w:val="fr-FR"/>
        </w:rPr>
        <w:t>’</w:t>
      </w:r>
      <w:r w:rsidRPr="005B6695">
        <w:rPr>
          <w:noProof/>
          <w:lang w:val="fr-FR"/>
        </w:rPr>
        <w:t>adaptation aux changements climatiques, les</w:t>
      </w:r>
      <w:r w:rsidR="007B0260" w:rsidRPr="005B6695">
        <w:rPr>
          <w:noProof/>
          <w:lang w:val="fr-FR"/>
        </w:rPr>
        <w:t> </w:t>
      </w:r>
      <w:r w:rsidRPr="005B6695">
        <w:rPr>
          <w:noProof/>
          <w:lang w:val="fr-FR"/>
        </w:rPr>
        <w:t>contributions de la nature aux populations et à la qualité de vie</w:t>
      </w:r>
      <w:r w:rsidR="00421431" w:rsidRPr="005B6695">
        <w:rPr>
          <w:noProof/>
          <w:lang w:val="fr-FR"/>
        </w:rPr>
        <w:t> ;</w:t>
      </w:r>
      <w:r w:rsidRPr="005B6695">
        <w:rPr>
          <w:noProof/>
          <w:lang w:val="fr-FR"/>
        </w:rPr>
        <w:t xml:space="preserve"> les effets de la conservation de la biodiversité et des modes d</w:t>
      </w:r>
      <w:r w:rsidR="0070106C" w:rsidRPr="005B6695">
        <w:rPr>
          <w:noProof/>
          <w:lang w:val="fr-FR"/>
        </w:rPr>
        <w:t>’</w:t>
      </w:r>
      <w:r w:rsidR="0016657B" w:rsidRPr="005B6695">
        <w:rPr>
          <w:noProof/>
          <w:lang w:val="fr-FR"/>
        </w:rPr>
        <w:t>exploit</w:t>
      </w:r>
      <w:r w:rsidRPr="005B6695">
        <w:rPr>
          <w:noProof/>
          <w:lang w:val="fr-FR"/>
        </w:rPr>
        <w:t>ation durables sur les émissions de gaz à effet de serre</w:t>
      </w:r>
      <w:r w:rsidR="00421431" w:rsidRPr="005B6695">
        <w:rPr>
          <w:noProof/>
          <w:lang w:val="fr-FR"/>
        </w:rPr>
        <w:t> ;</w:t>
      </w:r>
      <w:r w:rsidRPr="005B6695">
        <w:rPr>
          <w:noProof/>
          <w:lang w:val="fr-FR"/>
        </w:rPr>
        <w:t xml:space="preserve"> les</w:t>
      </w:r>
      <w:r w:rsidR="007B0260" w:rsidRPr="005B6695">
        <w:rPr>
          <w:noProof/>
          <w:lang w:val="fr-FR"/>
        </w:rPr>
        <w:t> </w:t>
      </w:r>
      <w:r w:rsidRPr="005B6695">
        <w:rPr>
          <w:noProof/>
          <w:lang w:val="fr-FR"/>
        </w:rPr>
        <w:t>synergies, les arbitrages et l</w:t>
      </w:r>
      <w:r w:rsidR="0070106C" w:rsidRPr="005B6695">
        <w:rPr>
          <w:noProof/>
          <w:lang w:val="fr-FR"/>
        </w:rPr>
        <w:t>’</w:t>
      </w:r>
      <w:r w:rsidRPr="005B6695">
        <w:rPr>
          <w:noProof/>
          <w:lang w:val="fr-FR"/>
        </w:rPr>
        <w:t xml:space="preserve">efficacité des politiques et structures de gouvernance </w:t>
      </w:r>
      <w:r w:rsidR="00BB1A41" w:rsidRPr="005B6695">
        <w:rPr>
          <w:noProof/>
          <w:lang w:val="fr-FR"/>
        </w:rPr>
        <w:t>adoptées face au double problème des</w:t>
      </w:r>
      <w:r w:rsidRPr="005B6695">
        <w:rPr>
          <w:noProof/>
          <w:lang w:val="fr-FR"/>
        </w:rPr>
        <w:t xml:space="preserve"> changements climatiques et </w:t>
      </w:r>
      <w:r w:rsidR="00BB1A41" w:rsidRPr="005B6695">
        <w:rPr>
          <w:noProof/>
          <w:lang w:val="fr-FR"/>
        </w:rPr>
        <w:t>de</w:t>
      </w:r>
      <w:r w:rsidRPr="005B6695">
        <w:rPr>
          <w:noProof/>
          <w:lang w:val="fr-FR"/>
        </w:rPr>
        <w:t xml:space="preserve"> l</w:t>
      </w:r>
      <w:r w:rsidR="0070106C" w:rsidRPr="005B6695">
        <w:rPr>
          <w:noProof/>
          <w:lang w:val="fr-FR"/>
        </w:rPr>
        <w:t>’</w:t>
      </w:r>
      <w:r w:rsidRPr="005B6695">
        <w:rPr>
          <w:noProof/>
          <w:lang w:val="fr-FR"/>
        </w:rPr>
        <w:t>érosion de la biodiversité</w:t>
      </w:r>
      <w:r w:rsidR="00421431" w:rsidRPr="005B6695">
        <w:rPr>
          <w:noProof/>
          <w:lang w:val="fr-FR"/>
        </w:rPr>
        <w:t> ;</w:t>
      </w:r>
      <w:r w:rsidRPr="005B6695">
        <w:rPr>
          <w:noProof/>
          <w:lang w:val="fr-FR"/>
        </w:rPr>
        <w:t xml:space="preserve"> </w:t>
      </w:r>
      <w:r w:rsidR="00BB1A41" w:rsidRPr="005B6695">
        <w:rPr>
          <w:noProof/>
          <w:lang w:val="fr-FR"/>
        </w:rPr>
        <w:t xml:space="preserve">et </w:t>
      </w:r>
      <w:r w:rsidRPr="005B6695">
        <w:rPr>
          <w:noProof/>
          <w:lang w:val="fr-FR"/>
        </w:rPr>
        <w:t xml:space="preserve">les </w:t>
      </w:r>
      <w:r w:rsidR="00BB1A41" w:rsidRPr="005B6695">
        <w:rPr>
          <w:noProof/>
          <w:lang w:val="fr-FR"/>
        </w:rPr>
        <w:t xml:space="preserve">principales </w:t>
      </w:r>
      <w:r w:rsidRPr="005B6695">
        <w:rPr>
          <w:noProof/>
          <w:lang w:val="fr-FR"/>
        </w:rPr>
        <w:t>incertitudes scientifiques. L</w:t>
      </w:r>
      <w:r w:rsidR="0070106C" w:rsidRPr="005B6695">
        <w:rPr>
          <w:noProof/>
          <w:lang w:val="fr-FR"/>
        </w:rPr>
        <w:t>’</w:t>
      </w:r>
      <w:r w:rsidRPr="005B6695">
        <w:rPr>
          <w:noProof/>
          <w:lang w:val="fr-FR"/>
        </w:rPr>
        <w:t>atelier s</w:t>
      </w:r>
      <w:r w:rsidR="0070106C" w:rsidRPr="005B6695">
        <w:rPr>
          <w:noProof/>
          <w:lang w:val="fr-FR"/>
        </w:rPr>
        <w:t>’</w:t>
      </w:r>
      <w:r w:rsidRPr="005B6695">
        <w:rPr>
          <w:noProof/>
          <w:lang w:val="fr-FR"/>
        </w:rPr>
        <w:t>est terminé le 17 décembre 2020.</w:t>
      </w:r>
    </w:p>
    <w:p w14:paraId="6A26C67C" w14:textId="7956118A" w:rsidR="00421431" w:rsidRPr="005B6695" w:rsidRDefault="00333364" w:rsidP="00397BC4">
      <w:pPr>
        <w:pStyle w:val="Normalnumber"/>
        <w:rPr>
          <w:noProof/>
          <w:lang w:val="fr-FR"/>
        </w:rPr>
      </w:pPr>
      <w:r w:rsidRPr="005B6695">
        <w:rPr>
          <w:noProof/>
          <w:lang w:val="fr-FR"/>
        </w:rPr>
        <w:t xml:space="preserve">On trouvera </w:t>
      </w:r>
      <w:r w:rsidR="006F62BD" w:rsidRPr="005B6695">
        <w:rPr>
          <w:noProof/>
          <w:lang w:val="fr-FR"/>
        </w:rPr>
        <w:t>les comptes rendus</w:t>
      </w:r>
      <w:r w:rsidRPr="005B6695">
        <w:rPr>
          <w:noProof/>
          <w:lang w:val="fr-FR"/>
        </w:rPr>
        <w:t xml:space="preserve"> de l</w:t>
      </w:r>
      <w:r w:rsidR="0070106C" w:rsidRPr="005B6695">
        <w:rPr>
          <w:noProof/>
          <w:lang w:val="fr-FR"/>
        </w:rPr>
        <w:t>’</w:t>
      </w:r>
      <w:r w:rsidRPr="005B6695">
        <w:rPr>
          <w:noProof/>
          <w:lang w:val="fr-FR"/>
        </w:rPr>
        <w:t>atelier dans le document IPBES/8/INF/20.</w:t>
      </w:r>
    </w:p>
    <w:p w14:paraId="21EE99E1" w14:textId="168AE959" w:rsidR="00333364" w:rsidRPr="005B6695" w:rsidRDefault="00084467" w:rsidP="007A4E26">
      <w:pPr>
        <w:pStyle w:val="CH1"/>
        <w:rPr>
          <w:noProof/>
          <w:lang w:val="fr-FR"/>
        </w:rPr>
      </w:pPr>
      <w:r w:rsidRPr="005B6695">
        <w:rPr>
          <w:noProof/>
          <w:lang w:val="fr-FR"/>
        </w:rPr>
        <w:tab/>
      </w:r>
      <w:r w:rsidR="007A4E26" w:rsidRPr="005B6695">
        <w:rPr>
          <w:noProof/>
          <w:lang w:val="fr-FR"/>
        </w:rPr>
        <w:t>II.</w:t>
      </w:r>
      <w:r w:rsidR="007A4E26" w:rsidRPr="005B6695">
        <w:rPr>
          <w:noProof/>
          <w:lang w:val="fr-FR"/>
        </w:rPr>
        <w:tab/>
      </w:r>
      <w:r w:rsidR="007A4E26" w:rsidRPr="005B6695">
        <w:rPr>
          <w:bCs/>
          <w:noProof/>
          <w:lang w:val="fr-FR"/>
        </w:rPr>
        <w:t>Formes de collaboration potentielles avec le GIEC</w:t>
      </w:r>
      <w:bookmarkEnd w:id="1"/>
    </w:p>
    <w:p w14:paraId="539E55DA" w14:textId="625E882D" w:rsidR="00421431" w:rsidRPr="005B6695" w:rsidRDefault="00EA4704" w:rsidP="00397BC4">
      <w:pPr>
        <w:pStyle w:val="Normalnumber"/>
        <w:rPr>
          <w:noProof/>
          <w:lang w:val="fr-FR"/>
        </w:rPr>
      </w:pPr>
      <w:bookmarkStart w:id="3" w:name="_Toc514081856"/>
      <w:bookmarkStart w:id="4" w:name="_Toc515453099"/>
      <w:r w:rsidRPr="005B6695">
        <w:rPr>
          <w:noProof/>
          <w:lang w:val="fr-FR"/>
        </w:rPr>
        <w:t>Dans sa décision IPBES-7/1, la Plénière a demandé à la Secrétaire exécutive d</w:t>
      </w:r>
      <w:r w:rsidR="0070106C" w:rsidRPr="005B6695">
        <w:rPr>
          <w:noProof/>
          <w:lang w:val="fr-FR"/>
        </w:rPr>
        <w:t>’</w:t>
      </w:r>
      <w:r w:rsidRPr="005B6695">
        <w:rPr>
          <w:noProof/>
          <w:lang w:val="fr-FR"/>
        </w:rPr>
        <w:t>étudier, en</w:t>
      </w:r>
      <w:r w:rsidR="00436350" w:rsidRPr="005B6695">
        <w:rPr>
          <w:noProof/>
          <w:lang w:val="fr-FR"/>
        </w:rPr>
        <w:t> </w:t>
      </w:r>
      <w:r w:rsidRPr="005B6695">
        <w:rPr>
          <w:noProof/>
          <w:lang w:val="fr-FR"/>
        </w:rPr>
        <w:t>collaboration avec le secrétariat du GIEC, les activités conjointes pouvant être mises en œuvre dans les domaines de la biodiversité et des changements climatiques. En raison de la situation difficile causée par la pandémie de COVID-19 et de l</w:t>
      </w:r>
      <w:r w:rsidR="0070106C" w:rsidRPr="005B6695">
        <w:rPr>
          <w:noProof/>
          <w:lang w:val="fr-FR"/>
        </w:rPr>
        <w:t>’</w:t>
      </w:r>
      <w:r w:rsidRPr="005B6695">
        <w:rPr>
          <w:noProof/>
          <w:lang w:val="fr-FR"/>
        </w:rPr>
        <w:t>accent mis sur l</w:t>
      </w:r>
      <w:r w:rsidR="0070106C" w:rsidRPr="005B6695">
        <w:rPr>
          <w:noProof/>
          <w:lang w:val="fr-FR"/>
        </w:rPr>
        <w:t>’</w:t>
      </w:r>
      <w:r w:rsidRPr="005B6695">
        <w:rPr>
          <w:noProof/>
          <w:lang w:val="fr-FR"/>
        </w:rPr>
        <w:t>organisation de l</w:t>
      </w:r>
      <w:r w:rsidR="0070106C" w:rsidRPr="005B6695">
        <w:rPr>
          <w:noProof/>
          <w:lang w:val="fr-FR"/>
        </w:rPr>
        <w:t>’</w:t>
      </w:r>
      <w:r w:rsidRPr="005B6695">
        <w:rPr>
          <w:noProof/>
          <w:lang w:val="fr-FR"/>
        </w:rPr>
        <w:t>atelier coparrainé, il</w:t>
      </w:r>
      <w:r w:rsidR="00436350" w:rsidRPr="005B6695">
        <w:rPr>
          <w:noProof/>
          <w:lang w:val="fr-FR"/>
        </w:rPr>
        <w:t> </w:t>
      </w:r>
      <w:r w:rsidRPr="005B6695">
        <w:rPr>
          <w:noProof/>
          <w:lang w:val="fr-FR"/>
        </w:rPr>
        <w:t>n</w:t>
      </w:r>
      <w:r w:rsidR="0070106C" w:rsidRPr="005B6695">
        <w:rPr>
          <w:noProof/>
          <w:lang w:val="fr-FR"/>
        </w:rPr>
        <w:t>’</w:t>
      </w:r>
      <w:r w:rsidRPr="005B6695">
        <w:rPr>
          <w:noProof/>
          <w:lang w:val="fr-FR"/>
        </w:rPr>
        <w:t>a pas encore été possible d</w:t>
      </w:r>
      <w:r w:rsidR="0070106C" w:rsidRPr="005B6695">
        <w:rPr>
          <w:noProof/>
          <w:lang w:val="fr-FR"/>
        </w:rPr>
        <w:t>’</w:t>
      </w:r>
      <w:r w:rsidRPr="005B6695">
        <w:rPr>
          <w:noProof/>
          <w:lang w:val="fr-FR"/>
        </w:rPr>
        <w:t>aborder la question de la collaboration future.</w:t>
      </w:r>
    </w:p>
    <w:p w14:paraId="541BAD40" w14:textId="70C8E9BC" w:rsidR="00333364" w:rsidRPr="005B6695" w:rsidRDefault="006C6064" w:rsidP="00B40337">
      <w:pPr>
        <w:pStyle w:val="Normalnumber"/>
        <w:keepNext/>
        <w:keepLines/>
        <w:rPr>
          <w:rFonts w:eastAsia="MS Mincho"/>
          <w:noProof/>
          <w:lang w:val="fr-FR"/>
        </w:rPr>
      </w:pPr>
      <w:r w:rsidRPr="005B6695">
        <w:rPr>
          <w:noProof/>
          <w:lang w:val="fr-FR"/>
        </w:rPr>
        <w:t>Il est de plus en plus reconnu qu</w:t>
      </w:r>
      <w:r w:rsidR="0070106C" w:rsidRPr="005B6695">
        <w:rPr>
          <w:noProof/>
          <w:lang w:val="fr-FR"/>
        </w:rPr>
        <w:t>’</w:t>
      </w:r>
      <w:r w:rsidRPr="005B6695">
        <w:rPr>
          <w:noProof/>
          <w:lang w:val="fr-FR"/>
        </w:rPr>
        <w:t>il faut faire face conjointement à la perte de biodiversité et aux changements climatiques pour garantir des solutions durables. Ainsi, il a été indiqué dans le rapport de l</w:t>
      </w:r>
      <w:r w:rsidR="0070106C" w:rsidRPr="005B6695">
        <w:rPr>
          <w:noProof/>
          <w:lang w:val="fr-FR"/>
        </w:rPr>
        <w:t>’</w:t>
      </w:r>
      <w:r w:rsidRPr="005B6695">
        <w:rPr>
          <w:noProof/>
          <w:lang w:val="fr-FR"/>
        </w:rPr>
        <w:t>évaluation mondiale de la biodiversité et des services écosystémiques (</w:t>
      </w:r>
      <w:r w:rsidRPr="005B6695">
        <w:rPr>
          <w:i/>
          <w:iCs/>
          <w:noProof/>
          <w:lang w:val="fr-FR"/>
        </w:rPr>
        <w:t>Global Assessment Report on Biodiversity and Ecosystem Services</w:t>
      </w:r>
      <w:r w:rsidRPr="005B6695">
        <w:rPr>
          <w:noProof/>
          <w:lang w:val="fr-FR"/>
        </w:rPr>
        <w:t xml:space="preserve">) </w:t>
      </w:r>
      <w:r w:rsidR="00BB1A41" w:rsidRPr="005B6695">
        <w:rPr>
          <w:noProof/>
          <w:lang w:val="fr-FR"/>
        </w:rPr>
        <w:t>établi par l</w:t>
      </w:r>
      <w:r w:rsidR="0070106C" w:rsidRPr="005B6695">
        <w:rPr>
          <w:noProof/>
          <w:lang w:val="fr-FR"/>
        </w:rPr>
        <w:t>’</w:t>
      </w:r>
      <w:r w:rsidR="00BB1A41" w:rsidRPr="005B6695">
        <w:rPr>
          <w:noProof/>
          <w:lang w:val="fr-FR"/>
        </w:rPr>
        <w:t xml:space="preserve">IPBES </w:t>
      </w:r>
      <w:r w:rsidRPr="005B6695">
        <w:rPr>
          <w:noProof/>
          <w:lang w:val="fr-FR"/>
        </w:rPr>
        <w:t>que les forêts, les autres types d</w:t>
      </w:r>
      <w:r w:rsidR="0070106C" w:rsidRPr="005B6695">
        <w:rPr>
          <w:noProof/>
          <w:lang w:val="fr-FR"/>
        </w:rPr>
        <w:t>’</w:t>
      </w:r>
      <w:r w:rsidRPr="005B6695">
        <w:rPr>
          <w:noProof/>
          <w:lang w:val="fr-FR"/>
        </w:rPr>
        <w:t>écosystème et les sols, s</w:t>
      </w:r>
      <w:r w:rsidR="0070106C" w:rsidRPr="005B6695">
        <w:rPr>
          <w:noProof/>
          <w:lang w:val="fr-FR"/>
        </w:rPr>
        <w:t>’</w:t>
      </w:r>
      <w:r w:rsidRPr="005B6695">
        <w:rPr>
          <w:noProof/>
          <w:lang w:val="fr-FR"/>
        </w:rPr>
        <w:t>ils étaient correctement protégés et mieux gérés, pourraient contribuer à</w:t>
      </w:r>
      <w:r w:rsidR="006F4B17" w:rsidRPr="005B6695">
        <w:rPr>
          <w:noProof/>
          <w:lang w:val="fr-FR"/>
        </w:rPr>
        <w:t> </w:t>
      </w:r>
      <w:r w:rsidRPr="005B6695">
        <w:rPr>
          <w:noProof/>
          <w:lang w:val="fr-FR"/>
        </w:rPr>
        <w:t>atténuer les changements climatiques, mais aussi que, en raison de la transformation des habitats, les</w:t>
      </w:r>
      <w:r w:rsidR="006F4B17" w:rsidRPr="005B6695">
        <w:rPr>
          <w:noProof/>
          <w:lang w:val="fr-FR"/>
        </w:rPr>
        <w:t> </w:t>
      </w:r>
      <w:r w:rsidRPr="005B6695">
        <w:rPr>
          <w:noProof/>
          <w:lang w:val="fr-FR"/>
        </w:rPr>
        <w:t>mesures d</w:t>
      </w:r>
      <w:r w:rsidR="0070106C" w:rsidRPr="005B6695">
        <w:rPr>
          <w:noProof/>
          <w:lang w:val="fr-FR"/>
        </w:rPr>
        <w:t>’</w:t>
      </w:r>
      <w:r w:rsidRPr="005B6695">
        <w:rPr>
          <w:noProof/>
          <w:lang w:val="fr-FR"/>
        </w:rPr>
        <w:t>atténuation terrestres à grande échelle nécessaires pour maintenir le réchauffement de la planète en dessous de 2°C pourraient représenter une menace majeure pour les plantes et les animaux.</w:t>
      </w:r>
    </w:p>
    <w:p w14:paraId="44D259F9" w14:textId="59B02ED0" w:rsidR="00333364" w:rsidRPr="005B6695" w:rsidRDefault="00333364" w:rsidP="00397BC4">
      <w:pPr>
        <w:pStyle w:val="Normalnumber"/>
        <w:rPr>
          <w:noProof/>
          <w:lang w:val="fr-FR"/>
        </w:rPr>
      </w:pPr>
      <w:r w:rsidRPr="005B6695">
        <w:rPr>
          <w:noProof/>
          <w:lang w:val="fr-FR"/>
        </w:rPr>
        <w:t>Les activités de collaboration permettraient au GIEC et à l</w:t>
      </w:r>
      <w:r w:rsidR="0070106C" w:rsidRPr="005B6695">
        <w:rPr>
          <w:noProof/>
          <w:lang w:val="fr-FR"/>
        </w:rPr>
        <w:t>’</w:t>
      </w:r>
      <w:r w:rsidRPr="005B6695">
        <w:rPr>
          <w:noProof/>
          <w:lang w:val="fr-FR"/>
        </w:rPr>
        <w:t>IPBES d</w:t>
      </w:r>
      <w:r w:rsidR="0070106C" w:rsidRPr="005B6695">
        <w:rPr>
          <w:noProof/>
          <w:lang w:val="fr-FR"/>
        </w:rPr>
        <w:t>’</w:t>
      </w:r>
      <w:r w:rsidRPr="005B6695">
        <w:rPr>
          <w:noProof/>
          <w:lang w:val="fr-FR"/>
        </w:rPr>
        <w:t>apprendre l</w:t>
      </w:r>
      <w:r w:rsidR="0070106C" w:rsidRPr="005B6695">
        <w:rPr>
          <w:noProof/>
          <w:lang w:val="fr-FR"/>
        </w:rPr>
        <w:t>’</w:t>
      </w:r>
      <w:r w:rsidRPr="005B6695">
        <w:rPr>
          <w:noProof/>
          <w:lang w:val="fr-FR"/>
        </w:rPr>
        <w:t>un de l</w:t>
      </w:r>
      <w:r w:rsidR="0070106C" w:rsidRPr="005B6695">
        <w:rPr>
          <w:noProof/>
          <w:lang w:val="fr-FR"/>
        </w:rPr>
        <w:t>’</w:t>
      </w:r>
      <w:r w:rsidRPr="005B6695">
        <w:rPr>
          <w:noProof/>
          <w:lang w:val="fr-FR"/>
        </w:rPr>
        <w:t xml:space="preserve">autre. </w:t>
      </w:r>
      <w:r w:rsidR="002B397D" w:rsidRPr="005B6695">
        <w:rPr>
          <w:noProof/>
          <w:lang w:val="fr-FR"/>
        </w:rPr>
        <w:t>Tandis</w:t>
      </w:r>
      <w:r w:rsidRPr="005B6695">
        <w:rPr>
          <w:noProof/>
          <w:lang w:val="fr-FR"/>
        </w:rPr>
        <w:t xml:space="preserve"> que le GIEC a plus de 30 ans d</w:t>
      </w:r>
      <w:r w:rsidR="0070106C" w:rsidRPr="005B6695">
        <w:rPr>
          <w:noProof/>
          <w:lang w:val="fr-FR"/>
        </w:rPr>
        <w:t>’</w:t>
      </w:r>
      <w:r w:rsidRPr="005B6695">
        <w:rPr>
          <w:noProof/>
          <w:lang w:val="fr-FR"/>
        </w:rPr>
        <w:t>expérience, l</w:t>
      </w:r>
      <w:r w:rsidR="0070106C" w:rsidRPr="005B6695">
        <w:rPr>
          <w:noProof/>
          <w:lang w:val="fr-FR"/>
        </w:rPr>
        <w:t>’</w:t>
      </w:r>
      <w:r w:rsidRPr="005B6695">
        <w:rPr>
          <w:noProof/>
          <w:lang w:val="fr-FR"/>
        </w:rPr>
        <w:t xml:space="preserve">IPBES a mis en œuvre de nouvelles approches, </w:t>
      </w:r>
      <w:r w:rsidR="006854C5" w:rsidRPr="005B6695">
        <w:rPr>
          <w:noProof/>
          <w:lang w:val="fr-FR"/>
        </w:rPr>
        <w:t xml:space="preserve">par exemple dans </w:t>
      </w:r>
      <w:r w:rsidRPr="005B6695">
        <w:rPr>
          <w:noProof/>
          <w:lang w:val="fr-FR"/>
        </w:rPr>
        <w:t>s</w:t>
      </w:r>
      <w:r w:rsidR="00BB1A41" w:rsidRPr="005B6695">
        <w:rPr>
          <w:noProof/>
          <w:lang w:val="fr-FR"/>
        </w:rPr>
        <w:t>es</w:t>
      </w:r>
      <w:r w:rsidRPr="005B6695">
        <w:rPr>
          <w:noProof/>
          <w:lang w:val="fr-FR"/>
        </w:rPr>
        <w:t xml:space="preserve"> trava</w:t>
      </w:r>
      <w:r w:rsidR="00BB1A41" w:rsidRPr="005B6695">
        <w:rPr>
          <w:noProof/>
          <w:lang w:val="fr-FR"/>
        </w:rPr>
        <w:t>ux</w:t>
      </w:r>
      <w:r w:rsidRPr="005B6695">
        <w:rPr>
          <w:noProof/>
          <w:lang w:val="fr-FR"/>
        </w:rPr>
        <w:t xml:space="preserve"> sur la reconnaissance </w:t>
      </w:r>
      <w:r w:rsidR="00BB1A41" w:rsidRPr="005B6695">
        <w:rPr>
          <w:noProof/>
          <w:lang w:val="fr-FR"/>
        </w:rPr>
        <w:t>et l</w:t>
      </w:r>
      <w:r w:rsidR="0070106C" w:rsidRPr="005B6695">
        <w:rPr>
          <w:noProof/>
          <w:lang w:val="fr-FR"/>
        </w:rPr>
        <w:t>’</w:t>
      </w:r>
      <w:r w:rsidR="00BB1A41" w:rsidRPr="005B6695">
        <w:rPr>
          <w:noProof/>
          <w:lang w:val="fr-FR"/>
        </w:rPr>
        <w:t xml:space="preserve">utilisation </w:t>
      </w:r>
      <w:r w:rsidRPr="005B6695">
        <w:rPr>
          <w:noProof/>
          <w:lang w:val="fr-FR"/>
        </w:rPr>
        <w:t xml:space="preserve">des </w:t>
      </w:r>
      <w:r w:rsidR="00BB1A41" w:rsidRPr="005B6695">
        <w:rPr>
          <w:noProof/>
          <w:lang w:val="fr-FR"/>
        </w:rPr>
        <w:t xml:space="preserve">savoirs </w:t>
      </w:r>
      <w:r w:rsidRPr="005B6695">
        <w:rPr>
          <w:noProof/>
          <w:lang w:val="fr-FR"/>
        </w:rPr>
        <w:t>autochtones et loca</w:t>
      </w:r>
      <w:r w:rsidR="00BB1A41" w:rsidRPr="005B6695">
        <w:rPr>
          <w:noProof/>
          <w:lang w:val="fr-FR"/>
        </w:rPr>
        <w:t>ux.</w:t>
      </w:r>
    </w:p>
    <w:p w14:paraId="54D28A9C" w14:textId="22574B6F" w:rsidR="00333364" w:rsidRPr="005B6695" w:rsidRDefault="00333364" w:rsidP="00397BC4">
      <w:pPr>
        <w:pStyle w:val="Normalnumber"/>
        <w:rPr>
          <w:noProof/>
          <w:lang w:val="fr-FR"/>
        </w:rPr>
      </w:pPr>
      <w:r w:rsidRPr="005B6695">
        <w:rPr>
          <w:noProof/>
          <w:lang w:val="fr-FR"/>
        </w:rPr>
        <w:t>Le secrétariat de l</w:t>
      </w:r>
      <w:r w:rsidR="0070106C" w:rsidRPr="005B6695">
        <w:rPr>
          <w:noProof/>
          <w:lang w:val="fr-FR"/>
        </w:rPr>
        <w:t>’</w:t>
      </w:r>
      <w:r w:rsidRPr="005B6695">
        <w:rPr>
          <w:noProof/>
          <w:lang w:val="fr-FR"/>
        </w:rPr>
        <w:t>IPBES a mis en évidence plusieurs options théoriques visant à explorer avec le GIEC une collaboration plus poussée. Les produits générés par l</w:t>
      </w:r>
      <w:r w:rsidR="0070106C" w:rsidRPr="005B6695">
        <w:rPr>
          <w:noProof/>
          <w:lang w:val="fr-FR"/>
        </w:rPr>
        <w:t>’</w:t>
      </w:r>
      <w:r w:rsidRPr="005B6695">
        <w:rPr>
          <w:noProof/>
          <w:lang w:val="fr-FR"/>
        </w:rPr>
        <w:t>IPBES et le Groupe d</w:t>
      </w:r>
      <w:r w:rsidR="0070106C" w:rsidRPr="005B6695">
        <w:rPr>
          <w:noProof/>
          <w:lang w:val="fr-FR"/>
        </w:rPr>
        <w:t>’</w:t>
      </w:r>
      <w:r w:rsidRPr="005B6695">
        <w:rPr>
          <w:noProof/>
          <w:lang w:val="fr-FR"/>
        </w:rPr>
        <w:t xml:space="preserve">experts et les procédures relatives à leur élaboration sont souvent </w:t>
      </w:r>
      <w:r w:rsidR="002B397D" w:rsidRPr="005B6695">
        <w:rPr>
          <w:noProof/>
          <w:lang w:val="fr-FR"/>
        </w:rPr>
        <w:t>similaires</w:t>
      </w:r>
      <w:r w:rsidRPr="005B6695">
        <w:rPr>
          <w:noProof/>
          <w:lang w:val="fr-FR"/>
        </w:rPr>
        <w:t xml:space="preserve">. Les formes potentielles de collaboration, dont les exigences </w:t>
      </w:r>
      <w:r w:rsidR="006854C5" w:rsidRPr="005B6695">
        <w:rPr>
          <w:noProof/>
          <w:lang w:val="fr-FR"/>
        </w:rPr>
        <w:t xml:space="preserve">diffèrent </w:t>
      </w:r>
      <w:r w:rsidRPr="005B6695">
        <w:rPr>
          <w:noProof/>
          <w:lang w:val="fr-FR"/>
        </w:rPr>
        <w:t xml:space="preserve">en </w:t>
      </w:r>
      <w:r w:rsidR="006854C5" w:rsidRPr="005B6695">
        <w:rPr>
          <w:noProof/>
          <w:lang w:val="fr-FR"/>
        </w:rPr>
        <w:t>ce qui concerne les</w:t>
      </w:r>
      <w:r w:rsidRPr="005B6695">
        <w:rPr>
          <w:noProof/>
          <w:lang w:val="fr-FR"/>
        </w:rPr>
        <w:t xml:space="preserve"> procédures, </w:t>
      </w:r>
      <w:r w:rsidR="006854C5" w:rsidRPr="005B6695">
        <w:rPr>
          <w:noProof/>
          <w:lang w:val="fr-FR"/>
        </w:rPr>
        <w:t>le</w:t>
      </w:r>
      <w:r w:rsidRPr="005B6695">
        <w:rPr>
          <w:noProof/>
          <w:lang w:val="fr-FR"/>
        </w:rPr>
        <w:t xml:space="preserve"> finance</w:t>
      </w:r>
      <w:r w:rsidR="006854C5" w:rsidRPr="005B6695">
        <w:rPr>
          <w:noProof/>
          <w:lang w:val="fr-FR"/>
        </w:rPr>
        <w:t>ment</w:t>
      </w:r>
      <w:r w:rsidRPr="005B6695">
        <w:rPr>
          <w:noProof/>
          <w:lang w:val="fr-FR"/>
        </w:rPr>
        <w:t xml:space="preserve"> et </w:t>
      </w:r>
      <w:r w:rsidR="006854C5" w:rsidRPr="005B6695">
        <w:rPr>
          <w:noProof/>
          <w:lang w:val="fr-FR"/>
        </w:rPr>
        <w:t xml:space="preserve">les </w:t>
      </w:r>
      <w:r w:rsidR="002B397D" w:rsidRPr="005B6695">
        <w:rPr>
          <w:noProof/>
          <w:lang w:val="fr-FR"/>
        </w:rPr>
        <w:t>délais</w:t>
      </w:r>
      <w:r w:rsidRPr="005B6695">
        <w:rPr>
          <w:noProof/>
          <w:lang w:val="fr-FR"/>
        </w:rPr>
        <w:t xml:space="preserve">, sont examinées dans les sections </w:t>
      </w:r>
      <w:r w:rsidR="006854C5" w:rsidRPr="005B6695">
        <w:rPr>
          <w:noProof/>
          <w:lang w:val="fr-FR"/>
        </w:rPr>
        <w:t xml:space="preserve">qui </w:t>
      </w:r>
      <w:r w:rsidRPr="005B6695">
        <w:rPr>
          <w:noProof/>
          <w:lang w:val="fr-FR"/>
        </w:rPr>
        <w:t>suiv</w:t>
      </w:r>
      <w:r w:rsidR="006854C5" w:rsidRPr="005B6695">
        <w:rPr>
          <w:noProof/>
          <w:lang w:val="fr-FR"/>
        </w:rPr>
        <w:t>ent</w:t>
      </w:r>
      <w:r w:rsidRPr="005B6695">
        <w:rPr>
          <w:noProof/>
          <w:lang w:val="fr-FR"/>
        </w:rPr>
        <w:t xml:space="preserve">. </w:t>
      </w:r>
      <w:r w:rsidR="001E4825" w:rsidRPr="005B6695">
        <w:rPr>
          <w:noProof/>
          <w:lang w:val="fr-FR"/>
        </w:rPr>
        <w:t>On peut envisager d</w:t>
      </w:r>
      <w:r w:rsidR="0070106C" w:rsidRPr="005B6695">
        <w:rPr>
          <w:noProof/>
          <w:lang w:val="fr-FR"/>
        </w:rPr>
        <w:t>’</w:t>
      </w:r>
      <w:r w:rsidR="001E4825" w:rsidRPr="005B6695">
        <w:rPr>
          <w:noProof/>
          <w:lang w:val="fr-FR"/>
        </w:rPr>
        <w:t>accompagner t</w:t>
      </w:r>
      <w:r w:rsidRPr="005B6695">
        <w:rPr>
          <w:noProof/>
          <w:lang w:val="fr-FR"/>
        </w:rPr>
        <w:t>outes les activités d</w:t>
      </w:r>
      <w:r w:rsidR="0070106C" w:rsidRPr="005B6695">
        <w:rPr>
          <w:noProof/>
          <w:lang w:val="fr-FR"/>
        </w:rPr>
        <w:t>’</w:t>
      </w:r>
      <w:r w:rsidRPr="005B6695">
        <w:rPr>
          <w:noProof/>
          <w:lang w:val="fr-FR"/>
        </w:rPr>
        <w:t>efforts conjoints de communication et d</w:t>
      </w:r>
      <w:r w:rsidR="0070106C" w:rsidRPr="005B6695">
        <w:rPr>
          <w:noProof/>
          <w:lang w:val="fr-FR"/>
        </w:rPr>
        <w:t>’</w:t>
      </w:r>
      <w:r w:rsidRPr="005B6695">
        <w:rPr>
          <w:noProof/>
          <w:lang w:val="fr-FR"/>
        </w:rPr>
        <w:t>information</w:t>
      </w:r>
      <w:r w:rsidR="001E4825" w:rsidRPr="005B6695">
        <w:rPr>
          <w:noProof/>
          <w:lang w:val="fr-FR"/>
        </w:rPr>
        <w:t>,</w:t>
      </w:r>
      <w:r w:rsidRPr="005B6695">
        <w:rPr>
          <w:noProof/>
          <w:lang w:val="fr-FR"/>
        </w:rPr>
        <w:t xml:space="preserve"> afin de favoriser l</w:t>
      </w:r>
      <w:r w:rsidR="0070106C" w:rsidRPr="005B6695">
        <w:rPr>
          <w:noProof/>
          <w:lang w:val="fr-FR"/>
        </w:rPr>
        <w:t>’</w:t>
      </w:r>
      <w:r w:rsidRPr="005B6695">
        <w:rPr>
          <w:noProof/>
          <w:lang w:val="fr-FR"/>
        </w:rPr>
        <w:t>utilisation de tou</w:t>
      </w:r>
      <w:r w:rsidR="006854C5" w:rsidRPr="005B6695">
        <w:rPr>
          <w:noProof/>
          <w:lang w:val="fr-FR"/>
        </w:rPr>
        <w:t>t</w:t>
      </w:r>
      <w:r w:rsidRPr="005B6695">
        <w:rPr>
          <w:noProof/>
          <w:lang w:val="fr-FR"/>
        </w:rPr>
        <w:t xml:space="preserve"> produit en résultant.</w:t>
      </w:r>
    </w:p>
    <w:p w14:paraId="2C1C64C1" w14:textId="243786AC" w:rsidR="00333364" w:rsidRPr="005B6695" w:rsidRDefault="002B397D" w:rsidP="007A4E26">
      <w:pPr>
        <w:pStyle w:val="CH2"/>
        <w:rPr>
          <w:noProof/>
          <w:lang w:val="fr-FR"/>
        </w:rPr>
      </w:pPr>
      <w:r w:rsidRPr="005B6695">
        <w:rPr>
          <w:noProof/>
          <w:lang w:val="fr-FR"/>
        </w:rPr>
        <w:tab/>
      </w:r>
      <w:r w:rsidR="00333364" w:rsidRPr="005B6695">
        <w:rPr>
          <w:noProof/>
          <w:lang w:val="fr-FR"/>
        </w:rPr>
        <w:t>A.</w:t>
      </w:r>
      <w:r w:rsidR="00333364" w:rsidRPr="005B6695">
        <w:rPr>
          <w:noProof/>
          <w:lang w:val="fr-FR"/>
        </w:rPr>
        <w:tab/>
      </w:r>
      <w:r w:rsidR="00333364" w:rsidRPr="005B6695">
        <w:rPr>
          <w:bCs/>
          <w:noProof/>
          <w:lang w:val="fr-FR"/>
        </w:rPr>
        <w:t>Évaluation conjointe</w:t>
      </w:r>
    </w:p>
    <w:p w14:paraId="322B072B" w14:textId="6C3FC4EF" w:rsidR="00421431" w:rsidRPr="005B6695" w:rsidRDefault="00333364" w:rsidP="00397BC4">
      <w:pPr>
        <w:pStyle w:val="Normalnumber"/>
        <w:rPr>
          <w:noProof/>
          <w:lang w:val="fr-FR"/>
        </w:rPr>
      </w:pPr>
      <w:r w:rsidRPr="005B6695">
        <w:rPr>
          <w:noProof/>
          <w:lang w:val="fr-FR"/>
        </w:rPr>
        <w:t xml:space="preserve">Les procédures </w:t>
      </w:r>
      <w:r w:rsidR="002B397D" w:rsidRPr="005B6695">
        <w:rPr>
          <w:noProof/>
          <w:lang w:val="fr-FR"/>
        </w:rPr>
        <w:t>d</w:t>
      </w:r>
      <w:r w:rsidR="0070106C" w:rsidRPr="005B6695">
        <w:rPr>
          <w:noProof/>
          <w:lang w:val="fr-FR"/>
        </w:rPr>
        <w:t>’</w:t>
      </w:r>
      <w:r w:rsidR="002B397D" w:rsidRPr="005B6695">
        <w:rPr>
          <w:noProof/>
          <w:lang w:val="fr-FR"/>
        </w:rPr>
        <w:t>élaboration</w:t>
      </w:r>
      <w:r w:rsidRPr="005B6695">
        <w:rPr>
          <w:noProof/>
          <w:lang w:val="fr-FR"/>
        </w:rPr>
        <w:t xml:space="preserve"> des évaluations du GIEC et de l</w:t>
      </w:r>
      <w:r w:rsidR="0070106C" w:rsidRPr="005B6695">
        <w:rPr>
          <w:noProof/>
          <w:lang w:val="fr-FR"/>
        </w:rPr>
        <w:t>’</w:t>
      </w:r>
      <w:r w:rsidRPr="005B6695">
        <w:rPr>
          <w:noProof/>
          <w:lang w:val="fr-FR"/>
        </w:rPr>
        <w:t>IPBES sont fort similaires. D</w:t>
      </w:r>
      <w:r w:rsidR="0070106C" w:rsidRPr="005B6695">
        <w:rPr>
          <w:noProof/>
          <w:lang w:val="fr-FR"/>
        </w:rPr>
        <w:t>’</w:t>
      </w:r>
      <w:r w:rsidRPr="005B6695">
        <w:rPr>
          <w:noProof/>
          <w:lang w:val="fr-FR"/>
        </w:rPr>
        <w:t>un</w:t>
      </w:r>
      <w:r w:rsidR="006E3C34" w:rsidRPr="005B6695">
        <w:rPr>
          <w:noProof/>
          <w:lang w:val="fr-FR"/>
        </w:rPr>
        <w:t> </w:t>
      </w:r>
      <w:r w:rsidRPr="005B6695">
        <w:rPr>
          <w:noProof/>
          <w:lang w:val="fr-FR"/>
        </w:rPr>
        <w:t>point de vue procédural, il pourrait donc être possible pour le GIEC et l</w:t>
      </w:r>
      <w:r w:rsidR="0070106C" w:rsidRPr="005B6695">
        <w:rPr>
          <w:noProof/>
          <w:lang w:val="fr-FR"/>
        </w:rPr>
        <w:t>’</w:t>
      </w:r>
      <w:r w:rsidRPr="005B6695">
        <w:rPr>
          <w:noProof/>
          <w:lang w:val="fr-FR"/>
        </w:rPr>
        <w:t>IPBES d</w:t>
      </w:r>
      <w:r w:rsidR="0070106C" w:rsidRPr="005B6695">
        <w:rPr>
          <w:noProof/>
          <w:lang w:val="fr-FR"/>
        </w:rPr>
        <w:t>’</w:t>
      </w:r>
      <w:r w:rsidRPr="005B6695">
        <w:rPr>
          <w:noProof/>
          <w:lang w:val="fr-FR"/>
        </w:rPr>
        <w:t xml:space="preserve">élaborer conjointement une évaluation. </w:t>
      </w:r>
      <w:r w:rsidR="00223AD5" w:rsidRPr="005B6695">
        <w:rPr>
          <w:noProof/>
          <w:lang w:val="fr-FR"/>
        </w:rPr>
        <w:t>Le</w:t>
      </w:r>
      <w:r w:rsidRPr="005B6695">
        <w:rPr>
          <w:noProof/>
          <w:lang w:val="fr-FR"/>
        </w:rPr>
        <w:t xml:space="preserve"> rapport d</w:t>
      </w:r>
      <w:r w:rsidR="0070106C" w:rsidRPr="005B6695">
        <w:rPr>
          <w:noProof/>
          <w:lang w:val="fr-FR"/>
        </w:rPr>
        <w:t>’</w:t>
      </w:r>
      <w:r w:rsidRPr="005B6695">
        <w:rPr>
          <w:noProof/>
          <w:lang w:val="fr-FR"/>
        </w:rPr>
        <w:t xml:space="preserve">évaluation </w:t>
      </w:r>
      <w:r w:rsidR="00223AD5" w:rsidRPr="005B6695">
        <w:rPr>
          <w:noProof/>
          <w:lang w:val="fr-FR"/>
        </w:rPr>
        <w:t xml:space="preserve">résultant </w:t>
      </w:r>
      <w:r w:rsidRPr="005B6695">
        <w:rPr>
          <w:noProof/>
          <w:lang w:val="fr-FR"/>
        </w:rPr>
        <w:t>devrait être approuvé (résumé pour les décideurs) et accepté (chapitres) par le GIEC et la Plénière de l</w:t>
      </w:r>
      <w:r w:rsidR="0070106C" w:rsidRPr="005B6695">
        <w:rPr>
          <w:noProof/>
          <w:lang w:val="fr-FR"/>
        </w:rPr>
        <w:t>’</w:t>
      </w:r>
      <w:r w:rsidRPr="005B6695">
        <w:rPr>
          <w:noProof/>
          <w:lang w:val="fr-FR"/>
        </w:rPr>
        <w:t>IPBES.</w:t>
      </w:r>
    </w:p>
    <w:p w14:paraId="2E16CB79" w14:textId="635F9410" w:rsidR="00421431" w:rsidRPr="005B6695" w:rsidRDefault="00BB651B" w:rsidP="00397BC4">
      <w:pPr>
        <w:pStyle w:val="Normalnumber"/>
        <w:rPr>
          <w:noProof/>
          <w:lang w:val="fr-FR"/>
        </w:rPr>
      </w:pPr>
      <w:r w:rsidRPr="005B6695">
        <w:rPr>
          <w:noProof/>
          <w:lang w:val="fr-FR"/>
        </w:rPr>
        <w:t>Les exigences procédurales d</w:t>
      </w:r>
      <w:r w:rsidR="0070106C" w:rsidRPr="005B6695">
        <w:rPr>
          <w:noProof/>
          <w:lang w:val="fr-FR"/>
        </w:rPr>
        <w:t>’</w:t>
      </w:r>
      <w:r w:rsidRPr="005B6695">
        <w:rPr>
          <w:noProof/>
          <w:lang w:val="fr-FR"/>
        </w:rPr>
        <w:t>une évaluation conjointe comprendraient l</w:t>
      </w:r>
      <w:r w:rsidR="0070106C" w:rsidRPr="005B6695">
        <w:rPr>
          <w:noProof/>
          <w:lang w:val="fr-FR"/>
        </w:rPr>
        <w:t>’</w:t>
      </w:r>
      <w:r w:rsidR="00526BC3" w:rsidRPr="005B6695">
        <w:rPr>
          <w:noProof/>
          <w:lang w:val="fr-FR"/>
        </w:rPr>
        <w:t>adoption par le GIEC et la Plénière de l</w:t>
      </w:r>
      <w:r w:rsidR="0070106C" w:rsidRPr="005B6695">
        <w:rPr>
          <w:noProof/>
          <w:lang w:val="fr-FR"/>
        </w:rPr>
        <w:t>’</w:t>
      </w:r>
      <w:r w:rsidR="00526BC3" w:rsidRPr="005B6695">
        <w:rPr>
          <w:noProof/>
          <w:lang w:val="fr-FR"/>
        </w:rPr>
        <w:t>IPBES d</w:t>
      </w:r>
      <w:r w:rsidRPr="005B6695">
        <w:rPr>
          <w:noProof/>
          <w:lang w:val="fr-FR"/>
        </w:rPr>
        <w:t>e décisions substantiellement identiques</w:t>
      </w:r>
      <w:r w:rsidR="009009CE" w:rsidRPr="005B6695">
        <w:rPr>
          <w:noProof/>
          <w:lang w:val="fr-FR"/>
        </w:rPr>
        <w:t xml:space="preserve"> </w:t>
      </w:r>
      <w:r w:rsidR="00A062B7" w:rsidRPr="005B6695">
        <w:rPr>
          <w:noProof/>
          <w:lang w:val="fr-FR"/>
        </w:rPr>
        <w:t>comprenant les suivantes</w:t>
      </w:r>
      <w:r w:rsidR="00421431" w:rsidRPr="005B6695">
        <w:rPr>
          <w:noProof/>
          <w:lang w:val="fr-FR"/>
        </w:rPr>
        <w:t> :</w:t>
      </w:r>
    </w:p>
    <w:p w14:paraId="29C4D877" w14:textId="3655E3F6" w:rsidR="00333364" w:rsidRPr="005B6695" w:rsidRDefault="00333364" w:rsidP="00804B7B">
      <w:pPr>
        <w:pStyle w:val="Normalnumber"/>
        <w:numPr>
          <w:ilvl w:val="1"/>
          <w:numId w:val="7"/>
        </w:numPr>
        <w:ind w:firstLine="643"/>
        <w:rPr>
          <w:noProof/>
          <w:lang w:val="fr-FR"/>
        </w:rPr>
      </w:pPr>
      <w:r w:rsidRPr="005B6695">
        <w:rPr>
          <w:noProof/>
          <w:lang w:val="fr-FR"/>
        </w:rPr>
        <w:t>Décisions approuvant un processus de cadrage conjoint pour l</w:t>
      </w:r>
      <w:r w:rsidR="0070106C" w:rsidRPr="005B6695">
        <w:rPr>
          <w:noProof/>
          <w:lang w:val="fr-FR"/>
        </w:rPr>
        <w:t>’</w:t>
      </w:r>
      <w:r w:rsidRPr="005B6695">
        <w:rPr>
          <w:noProof/>
          <w:lang w:val="fr-FR"/>
        </w:rPr>
        <w:t>évaluation</w:t>
      </w:r>
      <w:r w:rsidR="00421431" w:rsidRPr="005B6695">
        <w:rPr>
          <w:noProof/>
          <w:lang w:val="fr-FR"/>
        </w:rPr>
        <w:t> ;</w:t>
      </w:r>
    </w:p>
    <w:p w14:paraId="05E647A2" w14:textId="562F1AC6" w:rsidR="00421431" w:rsidRPr="005B6695" w:rsidRDefault="00333364" w:rsidP="00804B7B">
      <w:pPr>
        <w:pStyle w:val="Normalnumber"/>
        <w:numPr>
          <w:ilvl w:val="1"/>
          <w:numId w:val="7"/>
        </w:numPr>
        <w:ind w:firstLine="643"/>
        <w:rPr>
          <w:noProof/>
          <w:lang w:val="fr-FR"/>
        </w:rPr>
      </w:pPr>
      <w:r w:rsidRPr="005B6695">
        <w:rPr>
          <w:noProof/>
          <w:lang w:val="fr-FR"/>
        </w:rPr>
        <w:t>Décisions approuvant les modalités de la sélection conjointe d</w:t>
      </w:r>
      <w:r w:rsidR="0070106C" w:rsidRPr="005B6695">
        <w:rPr>
          <w:noProof/>
          <w:lang w:val="fr-FR"/>
        </w:rPr>
        <w:t>’</w:t>
      </w:r>
      <w:r w:rsidRPr="005B6695">
        <w:rPr>
          <w:noProof/>
          <w:lang w:val="fr-FR"/>
        </w:rPr>
        <w:t xml:space="preserve">experts </w:t>
      </w:r>
      <w:r w:rsidR="002B397D" w:rsidRPr="005B6695">
        <w:rPr>
          <w:noProof/>
          <w:lang w:val="fr-FR"/>
        </w:rPr>
        <w:t>visant à</w:t>
      </w:r>
      <w:r w:rsidRPr="005B6695">
        <w:rPr>
          <w:noProof/>
          <w:lang w:val="fr-FR"/>
        </w:rPr>
        <w:t xml:space="preserve"> aider au cadrage, </w:t>
      </w:r>
      <w:r w:rsidR="002B397D" w:rsidRPr="005B6695">
        <w:rPr>
          <w:noProof/>
          <w:lang w:val="fr-FR"/>
        </w:rPr>
        <w:t xml:space="preserve">à </w:t>
      </w:r>
      <w:r w:rsidRPr="005B6695">
        <w:rPr>
          <w:noProof/>
          <w:lang w:val="fr-FR"/>
        </w:rPr>
        <w:t>l</w:t>
      </w:r>
      <w:r w:rsidR="0070106C" w:rsidRPr="005B6695">
        <w:rPr>
          <w:noProof/>
          <w:lang w:val="fr-FR"/>
        </w:rPr>
        <w:t>’</w:t>
      </w:r>
      <w:r w:rsidRPr="005B6695">
        <w:rPr>
          <w:noProof/>
          <w:lang w:val="fr-FR"/>
        </w:rPr>
        <w:t xml:space="preserve">organisation conjointe du processus de cadrage et </w:t>
      </w:r>
      <w:r w:rsidR="002B397D" w:rsidRPr="005B6695">
        <w:rPr>
          <w:noProof/>
          <w:lang w:val="fr-FR"/>
        </w:rPr>
        <w:t xml:space="preserve">à </w:t>
      </w:r>
      <w:r w:rsidRPr="005B6695">
        <w:rPr>
          <w:noProof/>
          <w:lang w:val="fr-FR"/>
        </w:rPr>
        <w:t>l</w:t>
      </w:r>
      <w:r w:rsidR="0070106C" w:rsidRPr="005B6695">
        <w:rPr>
          <w:noProof/>
          <w:lang w:val="fr-FR"/>
        </w:rPr>
        <w:t>’</w:t>
      </w:r>
      <w:r w:rsidRPr="005B6695">
        <w:rPr>
          <w:noProof/>
          <w:lang w:val="fr-FR"/>
        </w:rPr>
        <w:t xml:space="preserve">examen et </w:t>
      </w:r>
      <w:r w:rsidR="002B397D" w:rsidRPr="005B6695">
        <w:rPr>
          <w:noProof/>
          <w:lang w:val="fr-FR"/>
        </w:rPr>
        <w:t xml:space="preserve">à </w:t>
      </w:r>
      <w:r w:rsidRPr="005B6695">
        <w:rPr>
          <w:noProof/>
          <w:lang w:val="fr-FR"/>
        </w:rPr>
        <w:t>l</w:t>
      </w:r>
      <w:r w:rsidR="0070106C" w:rsidRPr="005B6695">
        <w:rPr>
          <w:noProof/>
          <w:lang w:val="fr-FR"/>
        </w:rPr>
        <w:t>’</w:t>
      </w:r>
      <w:r w:rsidRPr="005B6695">
        <w:rPr>
          <w:noProof/>
          <w:lang w:val="fr-FR"/>
        </w:rPr>
        <w:t>approbation conjoints du rapport de cadrage par le GIEC et la Plénière de l</w:t>
      </w:r>
      <w:r w:rsidR="0070106C" w:rsidRPr="005B6695">
        <w:rPr>
          <w:noProof/>
          <w:lang w:val="fr-FR"/>
        </w:rPr>
        <w:t>’</w:t>
      </w:r>
      <w:r w:rsidRPr="005B6695">
        <w:rPr>
          <w:noProof/>
          <w:lang w:val="fr-FR"/>
        </w:rPr>
        <w:t>IPBES</w:t>
      </w:r>
      <w:r w:rsidR="00421431" w:rsidRPr="005B6695">
        <w:rPr>
          <w:noProof/>
          <w:lang w:val="fr-FR"/>
        </w:rPr>
        <w:t> ;</w:t>
      </w:r>
    </w:p>
    <w:p w14:paraId="47888DFE" w14:textId="5E8F1481" w:rsidR="00333364" w:rsidRPr="005B6695" w:rsidRDefault="00333364" w:rsidP="00804B7B">
      <w:pPr>
        <w:pStyle w:val="Normalnumber"/>
        <w:numPr>
          <w:ilvl w:val="1"/>
          <w:numId w:val="7"/>
        </w:numPr>
        <w:ind w:firstLine="643"/>
        <w:rPr>
          <w:noProof/>
          <w:lang w:val="fr-FR"/>
        </w:rPr>
      </w:pPr>
      <w:r w:rsidRPr="005B6695">
        <w:rPr>
          <w:noProof/>
          <w:lang w:val="fr-FR"/>
        </w:rPr>
        <w:t>Décisions approuvant le rapport de cadrage</w:t>
      </w:r>
      <w:r w:rsidR="00421431" w:rsidRPr="005B6695">
        <w:rPr>
          <w:noProof/>
          <w:lang w:val="fr-FR"/>
        </w:rPr>
        <w:t> ;</w:t>
      </w:r>
    </w:p>
    <w:p w14:paraId="5CBC1207" w14:textId="7E8EDEFB" w:rsidR="00333364" w:rsidRPr="005B6695" w:rsidRDefault="00333364" w:rsidP="00804B7B">
      <w:pPr>
        <w:pStyle w:val="Normalnumber"/>
        <w:numPr>
          <w:ilvl w:val="1"/>
          <w:numId w:val="7"/>
        </w:numPr>
        <w:ind w:firstLine="643"/>
        <w:rPr>
          <w:noProof/>
          <w:lang w:val="fr-FR"/>
        </w:rPr>
      </w:pPr>
      <w:r w:rsidRPr="005B6695">
        <w:rPr>
          <w:noProof/>
          <w:lang w:val="fr-FR"/>
        </w:rPr>
        <w:t>Décisions d</w:t>
      </w:r>
      <w:r w:rsidR="0070106C" w:rsidRPr="005B6695">
        <w:rPr>
          <w:noProof/>
          <w:lang w:val="fr-FR"/>
        </w:rPr>
        <w:t>’</w:t>
      </w:r>
      <w:r w:rsidRPr="005B6695">
        <w:rPr>
          <w:noProof/>
          <w:lang w:val="fr-FR"/>
        </w:rPr>
        <w:t>entreprendre l</w:t>
      </w:r>
      <w:r w:rsidR="0070106C" w:rsidRPr="005B6695">
        <w:rPr>
          <w:noProof/>
          <w:lang w:val="fr-FR"/>
        </w:rPr>
        <w:t>’</w:t>
      </w:r>
      <w:r w:rsidRPr="005B6695">
        <w:rPr>
          <w:noProof/>
          <w:lang w:val="fr-FR"/>
        </w:rPr>
        <w:t>évaluation</w:t>
      </w:r>
      <w:r w:rsidR="00421431" w:rsidRPr="005B6695">
        <w:rPr>
          <w:noProof/>
          <w:lang w:val="fr-FR"/>
        </w:rPr>
        <w:t> ;</w:t>
      </w:r>
    </w:p>
    <w:p w14:paraId="10C9059B" w14:textId="6A8AD014" w:rsidR="00421431" w:rsidRPr="005B6695" w:rsidRDefault="00333364" w:rsidP="00804B7B">
      <w:pPr>
        <w:pStyle w:val="Normalnumber"/>
        <w:numPr>
          <w:ilvl w:val="1"/>
          <w:numId w:val="7"/>
        </w:numPr>
        <w:ind w:firstLine="643"/>
        <w:rPr>
          <w:noProof/>
          <w:lang w:val="fr-FR"/>
        </w:rPr>
      </w:pPr>
      <w:r w:rsidRPr="005B6695">
        <w:rPr>
          <w:noProof/>
          <w:lang w:val="fr-FR"/>
        </w:rPr>
        <w:t>Décisions approuvant les modalités de la sélection conjointe des experts en évaluation, de l</w:t>
      </w:r>
      <w:r w:rsidR="0070106C" w:rsidRPr="005B6695">
        <w:rPr>
          <w:noProof/>
          <w:lang w:val="fr-FR"/>
        </w:rPr>
        <w:t>’</w:t>
      </w:r>
      <w:r w:rsidRPr="005B6695">
        <w:rPr>
          <w:noProof/>
          <w:lang w:val="fr-FR"/>
        </w:rPr>
        <w:t>organisation conjointe du processus d</w:t>
      </w:r>
      <w:r w:rsidR="0070106C" w:rsidRPr="005B6695">
        <w:rPr>
          <w:noProof/>
          <w:lang w:val="fr-FR"/>
        </w:rPr>
        <w:t>’</w:t>
      </w:r>
      <w:r w:rsidRPr="005B6695">
        <w:rPr>
          <w:noProof/>
          <w:lang w:val="fr-FR"/>
        </w:rPr>
        <w:t>évaluation, y compris les périodes d</w:t>
      </w:r>
      <w:r w:rsidR="0070106C" w:rsidRPr="005B6695">
        <w:rPr>
          <w:noProof/>
          <w:lang w:val="fr-FR"/>
        </w:rPr>
        <w:t>’</w:t>
      </w:r>
      <w:r w:rsidRPr="005B6695">
        <w:rPr>
          <w:noProof/>
          <w:lang w:val="fr-FR"/>
        </w:rPr>
        <w:t>examen, et de l</w:t>
      </w:r>
      <w:r w:rsidR="0070106C" w:rsidRPr="005B6695">
        <w:rPr>
          <w:noProof/>
          <w:lang w:val="fr-FR"/>
        </w:rPr>
        <w:t>’</w:t>
      </w:r>
      <w:r w:rsidRPr="005B6695">
        <w:rPr>
          <w:noProof/>
          <w:lang w:val="fr-FR"/>
        </w:rPr>
        <w:t>examen et de l</w:t>
      </w:r>
      <w:r w:rsidR="0070106C" w:rsidRPr="005B6695">
        <w:rPr>
          <w:noProof/>
          <w:lang w:val="fr-FR"/>
        </w:rPr>
        <w:t>’</w:t>
      </w:r>
      <w:r w:rsidRPr="005B6695">
        <w:rPr>
          <w:noProof/>
          <w:lang w:val="fr-FR"/>
        </w:rPr>
        <w:t>approbation conjoints du résumé à l</w:t>
      </w:r>
      <w:r w:rsidR="0070106C" w:rsidRPr="005B6695">
        <w:rPr>
          <w:noProof/>
          <w:lang w:val="fr-FR"/>
        </w:rPr>
        <w:t>’</w:t>
      </w:r>
      <w:r w:rsidRPr="005B6695">
        <w:rPr>
          <w:noProof/>
          <w:lang w:val="fr-FR"/>
        </w:rPr>
        <w:t>intention des décideurs et de l</w:t>
      </w:r>
      <w:r w:rsidR="0070106C" w:rsidRPr="005B6695">
        <w:rPr>
          <w:noProof/>
          <w:lang w:val="fr-FR"/>
        </w:rPr>
        <w:t>’</w:t>
      </w:r>
      <w:r w:rsidRPr="005B6695">
        <w:rPr>
          <w:noProof/>
          <w:lang w:val="fr-FR"/>
        </w:rPr>
        <w:t>acceptation des chapitres par le GIEC et la Plénière de l</w:t>
      </w:r>
      <w:r w:rsidR="0070106C" w:rsidRPr="005B6695">
        <w:rPr>
          <w:noProof/>
          <w:lang w:val="fr-FR"/>
        </w:rPr>
        <w:t>’</w:t>
      </w:r>
      <w:r w:rsidRPr="005B6695">
        <w:rPr>
          <w:noProof/>
          <w:lang w:val="fr-FR"/>
        </w:rPr>
        <w:t>IPBES</w:t>
      </w:r>
      <w:r w:rsidR="00421431" w:rsidRPr="005B6695">
        <w:rPr>
          <w:noProof/>
          <w:lang w:val="fr-FR"/>
        </w:rPr>
        <w:t> ;</w:t>
      </w:r>
    </w:p>
    <w:p w14:paraId="1FAC6285" w14:textId="1D25BC04" w:rsidR="00421431" w:rsidRPr="005B6695" w:rsidRDefault="00576521" w:rsidP="00804B7B">
      <w:pPr>
        <w:pStyle w:val="Normalnumber"/>
        <w:numPr>
          <w:ilvl w:val="1"/>
          <w:numId w:val="7"/>
        </w:numPr>
        <w:ind w:firstLine="643"/>
        <w:rPr>
          <w:noProof/>
          <w:lang w:val="fr-FR"/>
        </w:rPr>
      </w:pPr>
      <w:r w:rsidRPr="005B6695">
        <w:rPr>
          <w:noProof/>
          <w:lang w:val="fr-FR"/>
        </w:rPr>
        <w:lastRenderedPageBreak/>
        <w:t>Une décision approuvant le résumé à l</w:t>
      </w:r>
      <w:r w:rsidR="0070106C" w:rsidRPr="005B6695">
        <w:rPr>
          <w:noProof/>
          <w:lang w:val="fr-FR"/>
        </w:rPr>
        <w:t>’</w:t>
      </w:r>
      <w:r w:rsidRPr="005B6695">
        <w:rPr>
          <w:noProof/>
          <w:lang w:val="fr-FR"/>
        </w:rPr>
        <w:t>intention des décideurs et acceptant les chapitres.</w:t>
      </w:r>
    </w:p>
    <w:p w14:paraId="0FF1DD29" w14:textId="5E592865" w:rsidR="00421431" w:rsidRPr="005B6695" w:rsidRDefault="00097664" w:rsidP="00397BC4">
      <w:pPr>
        <w:pStyle w:val="Normalnumber"/>
        <w:rPr>
          <w:noProof/>
          <w:lang w:val="fr-FR"/>
        </w:rPr>
      </w:pPr>
      <w:r w:rsidRPr="005B6695">
        <w:rPr>
          <w:noProof/>
          <w:lang w:val="fr-FR"/>
        </w:rPr>
        <w:t>La production d</w:t>
      </w:r>
      <w:r w:rsidR="0070106C" w:rsidRPr="005B6695">
        <w:rPr>
          <w:noProof/>
          <w:lang w:val="fr-FR"/>
        </w:rPr>
        <w:t>’</w:t>
      </w:r>
      <w:r w:rsidRPr="005B6695">
        <w:rPr>
          <w:noProof/>
          <w:lang w:val="fr-FR"/>
        </w:rPr>
        <w:t xml:space="preserve">une évaluation conjointe durerait au moins cinq ans, </w:t>
      </w:r>
      <w:r w:rsidR="00421431" w:rsidRPr="005B6695">
        <w:rPr>
          <w:noProof/>
          <w:lang w:val="fr-FR"/>
        </w:rPr>
        <w:t>à l</w:t>
      </w:r>
      <w:r w:rsidR="0070106C" w:rsidRPr="005B6695">
        <w:rPr>
          <w:noProof/>
          <w:lang w:val="fr-FR"/>
        </w:rPr>
        <w:t>’</w:t>
      </w:r>
      <w:r w:rsidR="00421431" w:rsidRPr="005B6695">
        <w:rPr>
          <w:noProof/>
          <w:lang w:val="fr-FR"/>
        </w:rPr>
        <w:t>inclusion des étapes suivantes :</w:t>
      </w:r>
    </w:p>
    <w:p w14:paraId="4AEDD43E" w14:textId="5EDF51AA" w:rsidR="00333364" w:rsidRPr="005B6695" w:rsidRDefault="00333364" w:rsidP="0043624F">
      <w:pPr>
        <w:pStyle w:val="Normalnumber"/>
        <w:numPr>
          <w:ilvl w:val="1"/>
          <w:numId w:val="29"/>
        </w:numPr>
        <w:ind w:firstLine="643"/>
        <w:rPr>
          <w:noProof/>
          <w:lang w:val="fr-FR"/>
        </w:rPr>
      </w:pPr>
      <w:r w:rsidRPr="005B6695">
        <w:rPr>
          <w:noProof/>
          <w:lang w:val="fr-FR"/>
        </w:rPr>
        <w:t>Année 1</w:t>
      </w:r>
      <w:r w:rsidR="00421431" w:rsidRPr="005B6695">
        <w:rPr>
          <w:noProof/>
          <w:lang w:val="fr-FR"/>
        </w:rPr>
        <w:t> :</w:t>
      </w:r>
      <w:r w:rsidRPr="005B6695">
        <w:rPr>
          <w:noProof/>
          <w:lang w:val="fr-FR"/>
        </w:rPr>
        <w:t xml:space="preserve"> </w:t>
      </w:r>
      <w:r w:rsidR="0015455A" w:rsidRPr="005B6695">
        <w:rPr>
          <w:noProof/>
          <w:lang w:val="fr-FR"/>
        </w:rPr>
        <w:t>Adoption par le GIEC et la Plénière de l</w:t>
      </w:r>
      <w:r w:rsidR="0070106C" w:rsidRPr="005B6695">
        <w:rPr>
          <w:noProof/>
          <w:lang w:val="fr-FR"/>
        </w:rPr>
        <w:t>’</w:t>
      </w:r>
      <w:r w:rsidR="0015455A" w:rsidRPr="005B6695">
        <w:rPr>
          <w:noProof/>
          <w:lang w:val="fr-FR"/>
        </w:rPr>
        <w:t xml:space="preserve">IPBES, lors de leurs sessions respectives tenues séparément, de décisions substantiellement identiques </w:t>
      </w:r>
      <w:r w:rsidR="00A062B7" w:rsidRPr="005B6695">
        <w:rPr>
          <w:noProof/>
          <w:lang w:val="fr-FR"/>
        </w:rPr>
        <w:t>comprenant les suivantes</w:t>
      </w:r>
      <w:r w:rsidR="00421431" w:rsidRPr="005B6695">
        <w:rPr>
          <w:noProof/>
          <w:lang w:val="fr-FR"/>
        </w:rPr>
        <w:t> :</w:t>
      </w:r>
    </w:p>
    <w:p w14:paraId="36DEF67E" w14:textId="5A435F14" w:rsidR="00421431" w:rsidRPr="005B6695" w:rsidRDefault="00333364" w:rsidP="00045391">
      <w:pPr>
        <w:pStyle w:val="Normalnumber"/>
        <w:numPr>
          <w:ilvl w:val="2"/>
          <w:numId w:val="30"/>
        </w:numPr>
        <w:ind w:hanging="464"/>
        <w:rPr>
          <w:noProof/>
          <w:lang w:val="fr-FR"/>
        </w:rPr>
      </w:pPr>
      <w:r w:rsidRPr="005B6695">
        <w:rPr>
          <w:noProof/>
          <w:lang w:val="fr-FR"/>
        </w:rPr>
        <w:t>Décisions de tenir des sessions extraordinaires conjointes du GIEC et de la plénière de l</w:t>
      </w:r>
      <w:r w:rsidR="0070106C" w:rsidRPr="005B6695">
        <w:rPr>
          <w:noProof/>
          <w:lang w:val="fr-FR"/>
        </w:rPr>
        <w:t>’</w:t>
      </w:r>
      <w:r w:rsidRPr="005B6695">
        <w:rPr>
          <w:noProof/>
          <w:lang w:val="fr-FR"/>
        </w:rPr>
        <w:t>IPBES environ 14 mois plus tard, ou de programmer des sessions ordinaires du GIEC et de la Plénière de l</w:t>
      </w:r>
      <w:r w:rsidR="0070106C" w:rsidRPr="005B6695">
        <w:rPr>
          <w:noProof/>
          <w:lang w:val="fr-FR"/>
        </w:rPr>
        <w:t>’</w:t>
      </w:r>
      <w:r w:rsidRPr="005B6695">
        <w:rPr>
          <w:noProof/>
          <w:lang w:val="fr-FR"/>
        </w:rPr>
        <w:t>IPBES environ 14 mois plus tard, en parallèle ou l</w:t>
      </w:r>
      <w:r w:rsidR="0070106C" w:rsidRPr="005B6695">
        <w:rPr>
          <w:noProof/>
          <w:lang w:val="fr-FR"/>
        </w:rPr>
        <w:t>’</w:t>
      </w:r>
      <w:r w:rsidRPr="005B6695">
        <w:rPr>
          <w:noProof/>
          <w:lang w:val="fr-FR"/>
        </w:rPr>
        <w:t>une à la suite de l</w:t>
      </w:r>
      <w:r w:rsidR="0070106C" w:rsidRPr="005B6695">
        <w:rPr>
          <w:noProof/>
          <w:lang w:val="fr-FR"/>
        </w:rPr>
        <w:t>’</w:t>
      </w:r>
      <w:r w:rsidRPr="005B6695">
        <w:rPr>
          <w:noProof/>
          <w:lang w:val="fr-FR"/>
        </w:rPr>
        <w:t>autre, et de les organiser de manière à pouvoir tenir des réunions conjointes au cours de ces sessions</w:t>
      </w:r>
      <w:r w:rsidR="00421431" w:rsidRPr="005B6695">
        <w:rPr>
          <w:noProof/>
          <w:lang w:val="fr-FR"/>
        </w:rPr>
        <w:t> ;</w:t>
      </w:r>
    </w:p>
    <w:p w14:paraId="64F53AE5" w14:textId="11328F66" w:rsidR="00421431" w:rsidRPr="005B6695" w:rsidRDefault="00333364" w:rsidP="00045391">
      <w:pPr>
        <w:pStyle w:val="Normalnumber"/>
        <w:numPr>
          <w:ilvl w:val="2"/>
          <w:numId w:val="30"/>
        </w:numPr>
        <w:ind w:hanging="464"/>
        <w:rPr>
          <w:noProof/>
          <w:lang w:val="fr-FR"/>
        </w:rPr>
      </w:pPr>
      <w:r w:rsidRPr="005B6695">
        <w:rPr>
          <w:noProof/>
          <w:lang w:val="fr-FR"/>
        </w:rPr>
        <w:t>Décisions relatives à la création d</w:t>
      </w:r>
      <w:r w:rsidR="0070106C" w:rsidRPr="005B6695">
        <w:rPr>
          <w:noProof/>
          <w:lang w:val="fr-FR"/>
        </w:rPr>
        <w:t>’</w:t>
      </w:r>
      <w:r w:rsidRPr="005B6695">
        <w:rPr>
          <w:noProof/>
          <w:lang w:val="fr-FR"/>
        </w:rPr>
        <w:t>un groupe conjoint ayant pour mandat d</w:t>
      </w:r>
      <w:r w:rsidR="0070106C" w:rsidRPr="005B6695">
        <w:rPr>
          <w:noProof/>
          <w:lang w:val="fr-FR"/>
        </w:rPr>
        <w:t>’</w:t>
      </w:r>
      <w:r w:rsidRPr="005B6695">
        <w:rPr>
          <w:noProof/>
          <w:lang w:val="fr-FR"/>
        </w:rPr>
        <w:t>élaborer un rapport de cadrage initial, un ensemble de modalités pour un processus de cadrage conjoint et un ensemble de modalités pour un processus d</w:t>
      </w:r>
      <w:r w:rsidR="0070106C" w:rsidRPr="005B6695">
        <w:rPr>
          <w:noProof/>
          <w:lang w:val="fr-FR"/>
        </w:rPr>
        <w:t>’</w:t>
      </w:r>
      <w:r w:rsidRPr="005B6695">
        <w:rPr>
          <w:noProof/>
          <w:lang w:val="fr-FR"/>
        </w:rPr>
        <w:t>évaluation conjoint, sur la base des procédures respectives du GIEC et de l</w:t>
      </w:r>
      <w:r w:rsidR="0070106C" w:rsidRPr="005B6695">
        <w:rPr>
          <w:noProof/>
          <w:lang w:val="fr-FR"/>
        </w:rPr>
        <w:t>’</w:t>
      </w:r>
      <w:r w:rsidRPr="005B6695">
        <w:rPr>
          <w:noProof/>
          <w:lang w:val="fr-FR"/>
        </w:rPr>
        <w:t>IPBES, pour examen par le GIEC et la Plénière de l</w:t>
      </w:r>
      <w:r w:rsidR="0070106C" w:rsidRPr="005B6695">
        <w:rPr>
          <w:noProof/>
          <w:lang w:val="fr-FR"/>
        </w:rPr>
        <w:t>’</w:t>
      </w:r>
      <w:r w:rsidRPr="005B6695">
        <w:rPr>
          <w:noProof/>
          <w:lang w:val="fr-FR"/>
        </w:rPr>
        <w:t>IPBES lors de la session extraordinaire conjointe ou des réunions conjointes tenues au cours des sessions ordinaires</w:t>
      </w:r>
      <w:r w:rsidR="00421431" w:rsidRPr="005B6695">
        <w:rPr>
          <w:noProof/>
          <w:lang w:val="fr-FR"/>
        </w:rPr>
        <w:t> ;</w:t>
      </w:r>
    </w:p>
    <w:p w14:paraId="175E6EFD" w14:textId="0FCFE4AB" w:rsidR="00421431" w:rsidRPr="005B6695" w:rsidRDefault="00333364" w:rsidP="0043624F">
      <w:pPr>
        <w:pStyle w:val="Normalnumber"/>
        <w:numPr>
          <w:ilvl w:val="1"/>
          <w:numId w:val="29"/>
        </w:numPr>
        <w:ind w:firstLine="643"/>
        <w:rPr>
          <w:noProof/>
          <w:lang w:val="fr-FR"/>
        </w:rPr>
      </w:pPr>
      <w:r w:rsidRPr="005B6695">
        <w:rPr>
          <w:noProof/>
          <w:lang w:val="fr-FR"/>
        </w:rPr>
        <w:t>Année 2</w:t>
      </w:r>
      <w:r w:rsidR="00421431" w:rsidRPr="005B6695">
        <w:rPr>
          <w:noProof/>
          <w:lang w:val="fr-FR"/>
        </w:rPr>
        <w:t> :</w:t>
      </w:r>
      <w:r w:rsidRPr="005B6695">
        <w:rPr>
          <w:noProof/>
          <w:lang w:val="fr-FR"/>
        </w:rPr>
        <w:t xml:space="preserve"> Sessions extraordinaires conjointes du GIEC et de la Plénière de l</w:t>
      </w:r>
      <w:r w:rsidR="0070106C" w:rsidRPr="005B6695">
        <w:rPr>
          <w:noProof/>
          <w:lang w:val="fr-FR"/>
        </w:rPr>
        <w:t>’</w:t>
      </w:r>
      <w:r w:rsidRPr="005B6695">
        <w:rPr>
          <w:noProof/>
          <w:lang w:val="fr-FR"/>
        </w:rPr>
        <w:t>IPBES, ou sessions plénières du GIEC et de l</w:t>
      </w:r>
      <w:r w:rsidR="0070106C" w:rsidRPr="005B6695">
        <w:rPr>
          <w:noProof/>
          <w:lang w:val="fr-FR"/>
        </w:rPr>
        <w:t>’</w:t>
      </w:r>
      <w:r w:rsidRPr="005B6695">
        <w:rPr>
          <w:noProof/>
          <w:lang w:val="fr-FR"/>
        </w:rPr>
        <w:t>IPBES organisées en parallèle ou l</w:t>
      </w:r>
      <w:r w:rsidR="0070106C" w:rsidRPr="005B6695">
        <w:rPr>
          <w:noProof/>
          <w:lang w:val="fr-FR"/>
        </w:rPr>
        <w:t>’</w:t>
      </w:r>
      <w:r w:rsidRPr="005B6695">
        <w:rPr>
          <w:noProof/>
          <w:lang w:val="fr-FR"/>
        </w:rPr>
        <w:t>une à la suite de l</w:t>
      </w:r>
      <w:r w:rsidR="0070106C" w:rsidRPr="005B6695">
        <w:rPr>
          <w:noProof/>
          <w:lang w:val="fr-FR"/>
        </w:rPr>
        <w:t>’</w:t>
      </w:r>
      <w:r w:rsidRPr="005B6695">
        <w:rPr>
          <w:noProof/>
          <w:lang w:val="fr-FR"/>
        </w:rPr>
        <w:t xml:space="preserve">autre, </w:t>
      </w:r>
      <w:r w:rsidR="00140D4C" w:rsidRPr="005B6695">
        <w:rPr>
          <w:noProof/>
          <w:lang w:val="fr-FR"/>
        </w:rPr>
        <w:t>afin</w:t>
      </w:r>
      <w:r w:rsidRPr="005B6695">
        <w:rPr>
          <w:noProof/>
          <w:lang w:val="fr-FR"/>
        </w:rPr>
        <w:t xml:space="preserve"> que les réunions conjointes soient en mesure</w:t>
      </w:r>
      <w:r w:rsidR="00421431" w:rsidRPr="005B6695">
        <w:rPr>
          <w:noProof/>
          <w:lang w:val="fr-FR"/>
        </w:rPr>
        <w:t> :</w:t>
      </w:r>
    </w:p>
    <w:p w14:paraId="22214EE6" w14:textId="04ABA1F6" w:rsidR="00421431" w:rsidRPr="005B6695" w:rsidRDefault="00333364" w:rsidP="00045391">
      <w:pPr>
        <w:pStyle w:val="Normalnumber"/>
        <w:numPr>
          <w:ilvl w:val="2"/>
          <w:numId w:val="31"/>
        </w:numPr>
        <w:ind w:hanging="473"/>
        <w:rPr>
          <w:noProof/>
          <w:lang w:val="fr-FR"/>
        </w:rPr>
      </w:pPr>
      <w:r w:rsidRPr="005B6695">
        <w:rPr>
          <w:noProof/>
          <w:lang w:val="fr-FR"/>
        </w:rPr>
        <w:t>D</w:t>
      </w:r>
      <w:r w:rsidR="0070106C" w:rsidRPr="005B6695">
        <w:rPr>
          <w:noProof/>
          <w:lang w:val="fr-FR"/>
        </w:rPr>
        <w:t>’</w:t>
      </w:r>
      <w:r w:rsidRPr="005B6695">
        <w:rPr>
          <w:noProof/>
          <w:lang w:val="fr-FR"/>
        </w:rPr>
        <w:t>approuver le cadrage de l</w:t>
      </w:r>
      <w:r w:rsidR="0070106C" w:rsidRPr="005B6695">
        <w:rPr>
          <w:noProof/>
          <w:lang w:val="fr-FR"/>
        </w:rPr>
        <w:t>’</w:t>
      </w:r>
      <w:r w:rsidRPr="005B6695">
        <w:rPr>
          <w:noProof/>
          <w:lang w:val="fr-FR"/>
        </w:rPr>
        <w:t>évaluation sur la base du rapport de cadrage initial élaboré par le groupe conjoint</w:t>
      </w:r>
      <w:r w:rsidR="00421431" w:rsidRPr="005B6695">
        <w:rPr>
          <w:noProof/>
          <w:lang w:val="fr-FR"/>
        </w:rPr>
        <w:t> ;</w:t>
      </w:r>
    </w:p>
    <w:p w14:paraId="1179D422" w14:textId="25A1C612" w:rsidR="00421431" w:rsidRPr="005B6695" w:rsidRDefault="00333364" w:rsidP="00045391">
      <w:pPr>
        <w:pStyle w:val="Normalnumber"/>
        <w:numPr>
          <w:ilvl w:val="2"/>
          <w:numId w:val="31"/>
        </w:numPr>
        <w:ind w:hanging="473"/>
        <w:rPr>
          <w:noProof/>
          <w:lang w:val="fr-FR"/>
        </w:rPr>
      </w:pPr>
      <w:r w:rsidRPr="005B6695">
        <w:rPr>
          <w:noProof/>
          <w:lang w:val="fr-FR"/>
        </w:rPr>
        <w:t>D</w:t>
      </w:r>
      <w:r w:rsidR="0070106C" w:rsidRPr="005B6695">
        <w:rPr>
          <w:noProof/>
          <w:lang w:val="fr-FR"/>
        </w:rPr>
        <w:t>’</w:t>
      </w:r>
      <w:r w:rsidRPr="005B6695">
        <w:rPr>
          <w:noProof/>
          <w:lang w:val="fr-FR"/>
        </w:rPr>
        <w:t>approuver les modalités d</w:t>
      </w:r>
      <w:r w:rsidR="0070106C" w:rsidRPr="005B6695">
        <w:rPr>
          <w:noProof/>
          <w:lang w:val="fr-FR"/>
        </w:rPr>
        <w:t>’</w:t>
      </w:r>
      <w:r w:rsidRPr="005B6695">
        <w:rPr>
          <w:noProof/>
          <w:lang w:val="fr-FR"/>
        </w:rPr>
        <w:t>un processus de cadrage conjoint et d</w:t>
      </w:r>
      <w:r w:rsidR="0070106C" w:rsidRPr="005B6695">
        <w:rPr>
          <w:noProof/>
          <w:lang w:val="fr-FR"/>
        </w:rPr>
        <w:t>’</w:t>
      </w:r>
      <w:r w:rsidRPr="005B6695">
        <w:rPr>
          <w:noProof/>
          <w:lang w:val="fr-FR"/>
        </w:rPr>
        <w:t>un processus d</w:t>
      </w:r>
      <w:r w:rsidR="0070106C" w:rsidRPr="005B6695">
        <w:rPr>
          <w:noProof/>
          <w:lang w:val="fr-FR"/>
        </w:rPr>
        <w:t>’</w:t>
      </w:r>
      <w:r w:rsidRPr="005B6695">
        <w:rPr>
          <w:noProof/>
          <w:lang w:val="fr-FR"/>
        </w:rPr>
        <w:t>évaluation conjoint élaborés par le groupe conjoint</w:t>
      </w:r>
      <w:r w:rsidR="00421431" w:rsidRPr="005B6695">
        <w:rPr>
          <w:noProof/>
          <w:lang w:val="fr-FR"/>
        </w:rPr>
        <w:t> ;</w:t>
      </w:r>
    </w:p>
    <w:p w14:paraId="69E85595" w14:textId="7683719C" w:rsidR="00421431" w:rsidRPr="005B6695" w:rsidRDefault="00333364" w:rsidP="0043624F">
      <w:pPr>
        <w:pStyle w:val="Normalnumber"/>
        <w:numPr>
          <w:ilvl w:val="1"/>
          <w:numId w:val="29"/>
        </w:numPr>
        <w:ind w:firstLine="643"/>
        <w:rPr>
          <w:noProof/>
          <w:lang w:val="fr-FR"/>
        </w:rPr>
      </w:pPr>
      <w:r w:rsidRPr="005B6695">
        <w:rPr>
          <w:noProof/>
          <w:lang w:val="fr-FR"/>
        </w:rPr>
        <w:t>Année 3</w:t>
      </w:r>
      <w:r w:rsidR="00421431" w:rsidRPr="005B6695">
        <w:rPr>
          <w:noProof/>
          <w:lang w:val="fr-FR"/>
        </w:rPr>
        <w:t> :</w:t>
      </w:r>
      <w:r w:rsidRPr="005B6695">
        <w:rPr>
          <w:noProof/>
          <w:lang w:val="fr-FR"/>
        </w:rPr>
        <w:t xml:space="preserve"> Sessions extraordinaires conjointes du GIEC et de la Plénière de l</w:t>
      </w:r>
      <w:r w:rsidR="0070106C" w:rsidRPr="005B6695">
        <w:rPr>
          <w:noProof/>
          <w:lang w:val="fr-FR"/>
        </w:rPr>
        <w:t>’</w:t>
      </w:r>
      <w:r w:rsidRPr="005B6695">
        <w:rPr>
          <w:noProof/>
          <w:lang w:val="fr-FR"/>
        </w:rPr>
        <w:t>IPBES, ou</w:t>
      </w:r>
      <w:r w:rsidR="007831B4" w:rsidRPr="005B6695">
        <w:rPr>
          <w:noProof/>
          <w:lang w:val="fr-FR"/>
        </w:rPr>
        <w:t> </w:t>
      </w:r>
      <w:r w:rsidRPr="005B6695">
        <w:rPr>
          <w:noProof/>
          <w:lang w:val="fr-FR"/>
        </w:rPr>
        <w:t>sessions ordinaires du Groupe d</w:t>
      </w:r>
      <w:r w:rsidR="0070106C" w:rsidRPr="005B6695">
        <w:rPr>
          <w:noProof/>
          <w:lang w:val="fr-FR"/>
        </w:rPr>
        <w:t>’</w:t>
      </w:r>
      <w:r w:rsidRPr="005B6695">
        <w:rPr>
          <w:noProof/>
          <w:lang w:val="fr-FR"/>
        </w:rPr>
        <w:t>experts et de la Plénière de l</w:t>
      </w:r>
      <w:r w:rsidR="0070106C" w:rsidRPr="005B6695">
        <w:rPr>
          <w:noProof/>
          <w:lang w:val="fr-FR"/>
        </w:rPr>
        <w:t>’</w:t>
      </w:r>
      <w:r w:rsidRPr="005B6695">
        <w:rPr>
          <w:noProof/>
          <w:lang w:val="fr-FR"/>
        </w:rPr>
        <w:t>IPBES, organisées en parallèle ou</w:t>
      </w:r>
      <w:r w:rsidR="007831B4" w:rsidRPr="005B6695">
        <w:rPr>
          <w:noProof/>
          <w:lang w:val="fr-FR"/>
        </w:rPr>
        <w:t> </w:t>
      </w:r>
      <w:r w:rsidRPr="005B6695">
        <w:rPr>
          <w:noProof/>
          <w:lang w:val="fr-FR"/>
        </w:rPr>
        <w:t>l</w:t>
      </w:r>
      <w:r w:rsidR="0070106C" w:rsidRPr="005B6695">
        <w:rPr>
          <w:noProof/>
          <w:lang w:val="fr-FR"/>
        </w:rPr>
        <w:t>’</w:t>
      </w:r>
      <w:r w:rsidRPr="005B6695">
        <w:rPr>
          <w:noProof/>
          <w:lang w:val="fr-FR"/>
        </w:rPr>
        <w:t>une à la suite de l</w:t>
      </w:r>
      <w:r w:rsidR="0070106C" w:rsidRPr="005B6695">
        <w:rPr>
          <w:noProof/>
          <w:lang w:val="fr-FR"/>
        </w:rPr>
        <w:t>’</w:t>
      </w:r>
      <w:r w:rsidRPr="005B6695">
        <w:rPr>
          <w:noProof/>
          <w:lang w:val="fr-FR"/>
        </w:rPr>
        <w:t>autre, permettant de tenir des réunions conjointes pour approuver le rapport de cadrage et l</w:t>
      </w:r>
      <w:r w:rsidR="00EF6FF6" w:rsidRPr="005B6695">
        <w:rPr>
          <w:noProof/>
          <w:lang w:val="fr-FR"/>
        </w:rPr>
        <w:t>e commencement de l</w:t>
      </w:r>
      <w:r w:rsidRPr="005B6695">
        <w:rPr>
          <w:noProof/>
          <w:lang w:val="fr-FR"/>
        </w:rPr>
        <w:t>a réalisation de l</w:t>
      </w:r>
      <w:r w:rsidR="0070106C" w:rsidRPr="005B6695">
        <w:rPr>
          <w:noProof/>
          <w:lang w:val="fr-FR"/>
        </w:rPr>
        <w:t>’</w:t>
      </w:r>
      <w:r w:rsidRPr="005B6695">
        <w:rPr>
          <w:noProof/>
          <w:lang w:val="fr-FR"/>
        </w:rPr>
        <w:t>évaluation</w:t>
      </w:r>
      <w:r w:rsidR="00421431" w:rsidRPr="005B6695">
        <w:rPr>
          <w:noProof/>
          <w:lang w:val="fr-FR"/>
        </w:rPr>
        <w:t> ;</w:t>
      </w:r>
    </w:p>
    <w:p w14:paraId="4DD51816" w14:textId="4A28EE7C" w:rsidR="00421431" w:rsidRPr="005B6695" w:rsidRDefault="00333364" w:rsidP="0043624F">
      <w:pPr>
        <w:pStyle w:val="Normalnumber"/>
        <w:numPr>
          <w:ilvl w:val="1"/>
          <w:numId w:val="29"/>
        </w:numPr>
        <w:ind w:firstLine="643"/>
        <w:rPr>
          <w:noProof/>
          <w:lang w:val="fr-FR"/>
        </w:rPr>
      </w:pPr>
      <w:r w:rsidRPr="005B6695">
        <w:rPr>
          <w:noProof/>
          <w:lang w:val="fr-FR"/>
        </w:rPr>
        <w:t>Année 6</w:t>
      </w:r>
      <w:r w:rsidR="00421431" w:rsidRPr="005B6695">
        <w:rPr>
          <w:noProof/>
          <w:lang w:val="fr-FR"/>
        </w:rPr>
        <w:t> :</w:t>
      </w:r>
      <w:r w:rsidRPr="005B6695">
        <w:rPr>
          <w:noProof/>
          <w:lang w:val="fr-FR"/>
        </w:rPr>
        <w:t xml:space="preserve"> Sessions extraordinaires conjointes du GIEC et de la Plénière de l</w:t>
      </w:r>
      <w:r w:rsidR="0070106C" w:rsidRPr="005B6695">
        <w:rPr>
          <w:noProof/>
          <w:lang w:val="fr-FR"/>
        </w:rPr>
        <w:t>’</w:t>
      </w:r>
      <w:r w:rsidRPr="005B6695">
        <w:rPr>
          <w:noProof/>
          <w:lang w:val="fr-FR"/>
        </w:rPr>
        <w:t>IPBES, ou</w:t>
      </w:r>
      <w:r w:rsidR="0045752A" w:rsidRPr="005B6695">
        <w:rPr>
          <w:noProof/>
          <w:lang w:val="fr-FR"/>
        </w:rPr>
        <w:t> </w:t>
      </w:r>
      <w:r w:rsidRPr="005B6695">
        <w:rPr>
          <w:noProof/>
          <w:lang w:val="fr-FR"/>
        </w:rPr>
        <w:t>sessions du Groupe d</w:t>
      </w:r>
      <w:r w:rsidR="0070106C" w:rsidRPr="005B6695">
        <w:rPr>
          <w:noProof/>
          <w:lang w:val="fr-FR"/>
        </w:rPr>
        <w:t>’</w:t>
      </w:r>
      <w:r w:rsidRPr="005B6695">
        <w:rPr>
          <w:noProof/>
          <w:lang w:val="fr-FR"/>
        </w:rPr>
        <w:t>experts et de la Plénière de l</w:t>
      </w:r>
      <w:r w:rsidR="0070106C" w:rsidRPr="005B6695">
        <w:rPr>
          <w:noProof/>
          <w:lang w:val="fr-FR"/>
        </w:rPr>
        <w:t>’</w:t>
      </w:r>
      <w:r w:rsidRPr="005B6695">
        <w:rPr>
          <w:noProof/>
          <w:lang w:val="fr-FR"/>
        </w:rPr>
        <w:t>IPBES organisées en parallèle ou l</w:t>
      </w:r>
      <w:r w:rsidR="0070106C" w:rsidRPr="005B6695">
        <w:rPr>
          <w:noProof/>
          <w:lang w:val="fr-FR"/>
        </w:rPr>
        <w:t>’</w:t>
      </w:r>
      <w:r w:rsidRPr="005B6695">
        <w:rPr>
          <w:noProof/>
          <w:lang w:val="fr-FR"/>
        </w:rPr>
        <w:t>une à la suite de l</w:t>
      </w:r>
      <w:r w:rsidR="0070106C" w:rsidRPr="005B6695">
        <w:rPr>
          <w:noProof/>
          <w:lang w:val="fr-FR"/>
        </w:rPr>
        <w:t>’</w:t>
      </w:r>
      <w:r w:rsidRPr="005B6695">
        <w:rPr>
          <w:noProof/>
          <w:lang w:val="fr-FR"/>
        </w:rPr>
        <w:t>autre, permettant de tenir des réunions conjointes pour approuver le résumé destiné aux décideurs et accepter les chapitres de l</w:t>
      </w:r>
      <w:r w:rsidR="0070106C" w:rsidRPr="005B6695">
        <w:rPr>
          <w:noProof/>
          <w:lang w:val="fr-FR"/>
        </w:rPr>
        <w:t>’</w:t>
      </w:r>
      <w:r w:rsidRPr="005B6695">
        <w:rPr>
          <w:noProof/>
          <w:lang w:val="fr-FR"/>
        </w:rPr>
        <w:t>évaluation.</w:t>
      </w:r>
    </w:p>
    <w:p w14:paraId="391B501D" w14:textId="780B57D8" w:rsidR="00333364" w:rsidRPr="005B6695" w:rsidRDefault="00333364" w:rsidP="00397BC4">
      <w:pPr>
        <w:pStyle w:val="Normalnumber"/>
        <w:rPr>
          <w:noProof/>
          <w:lang w:val="fr-FR"/>
        </w:rPr>
      </w:pPr>
      <w:r w:rsidRPr="005B6695">
        <w:rPr>
          <w:noProof/>
          <w:lang w:val="fr-FR"/>
        </w:rPr>
        <w:t xml:space="preserve">En ce qui concerne le calendrier possible, une évaluation pourrait être </w:t>
      </w:r>
      <w:r w:rsidR="00933B14" w:rsidRPr="005B6695">
        <w:rPr>
          <w:noProof/>
          <w:lang w:val="fr-FR"/>
        </w:rPr>
        <w:t xml:space="preserve">menée à bien </w:t>
      </w:r>
      <w:r w:rsidRPr="005B6695">
        <w:rPr>
          <w:noProof/>
          <w:lang w:val="fr-FR"/>
        </w:rPr>
        <w:t>dans le cadre du programme de travail glissant de l</w:t>
      </w:r>
      <w:r w:rsidR="0070106C" w:rsidRPr="005B6695">
        <w:rPr>
          <w:noProof/>
          <w:lang w:val="fr-FR"/>
        </w:rPr>
        <w:t>’</w:t>
      </w:r>
      <w:r w:rsidRPr="005B6695">
        <w:rPr>
          <w:noProof/>
          <w:lang w:val="fr-FR"/>
        </w:rPr>
        <w:t>IPBES jusqu</w:t>
      </w:r>
      <w:r w:rsidR="0070106C" w:rsidRPr="005B6695">
        <w:rPr>
          <w:noProof/>
          <w:lang w:val="fr-FR"/>
        </w:rPr>
        <w:t>’</w:t>
      </w:r>
      <w:r w:rsidRPr="005B6695">
        <w:rPr>
          <w:noProof/>
          <w:lang w:val="fr-FR"/>
        </w:rPr>
        <w:t>en 2030 et du septième cycle d</w:t>
      </w:r>
      <w:r w:rsidR="0070106C" w:rsidRPr="005B6695">
        <w:rPr>
          <w:noProof/>
          <w:lang w:val="fr-FR"/>
        </w:rPr>
        <w:t>’</w:t>
      </w:r>
      <w:r w:rsidRPr="005B6695">
        <w:rPr>
          <w:noProof/>
          <w:lang w:val="fr-FR"/>
        </w:rPr>
        <w:t>évaluation du GIEC, à temps pour l</w:t>
      </w:r>
      <w:r w:rsidR="0070106C" w:rsidRPr="005B6695">
        <w:rPr>
          <w:noProof/>
          <w:lang w:val="fr-FR"/>
        </w:rPr>
        <w:t>’</w:t>
      </w:r>
      <w:r w:rsidRPr="005B6695">
        <w:rPr>
          <w:noProof/>
          <w:lang w:val="fr-FR"/>
        </w:rPr>
        <w:t>élaboration de tout objectif ou cible pour l</w:t>
      </w:r>
      <w:r w:rsidR="0070106C" w:rsidRPr="005B6695">
        <w:rPr>
          <w:noProof/>
          <w:lang w:val="fr-FR"/>
        </w:rPr>
        <w:t>’</w:t>
      </w:r>
      <w:r w:rsidRPr="005B6695">
        <w:rPr>
          <w:noProof/>
          <w:lang w:val="fr-FR"/>
        </w:rPr>
        <w:t>après-2030. Par exemple, si le rapport de cadrage est examiné en 2026, le rapport d</w:t>
      </w:r>
      <w:r w:rsidR="0070106C" w:rsidRPr="005B6695">
        <w:rPr>
          <w:noProof/>
          <w:lang w:val="fr-FR"/>
        </w:rPr>
        <w:t>’</w:t>
      </w:r>
      <w:r w:rsidRPr="005B6695">
        <w:rPr>
          <w:noProof/>
          <w:lang w:val="fr-FR"/>
        </w:rPr>
        <w:t>évaluation pourra l</w:t>
      </w:r>
      <w:r w:rsidR="0070106C" w:rsidRPr="005B6695">
        <w:rPr>
          <w:noProof/>
          <w:lang w:val="fr-FR"/>
        </w:rPr>
        <w:t>’</w:t>
      </w:r>
      <w:r w:rsidRPr="005B6695">
        <w:rPr>
          <w:noProof/>
          <w:lang w:val="fr-FR"/>
        </w:rPr>
        <w:t>être en 2029.</w:t>
      </w:r>
    </w:p>
    <w:p w14:paraId="2D0300E1" w14:textId="503A0A3A" w:rsidR="00421431" w:rsidRPr="005B6695" w:rsidRDefault="00132671" w:rsidP="00397BC4">
      <w:pPr>
        <w:pStyle w:val="Normalnumber"/>
        <w:rPr>
          <w:noProof/>
          <w:lang w:val="fr-FR"/>
        </w:rPr>
      </w:pPr>
      <w:r w:rsidRPr="005B6695">
        <w:rPr>
          <w:noProof/>
          <w:lang w:val="fr-FR"/>
        </w:rPr>
        <w:t>Le coût de l</w:t>
      </w:r>
      <w:r w:rsidR="0070106C" w:rsidRPr="005B6695">
        <w:rPr>
          <w:noProof/>
          <w:lang w:val="fr-FR"/>
        </w:rPr>
        <w:t>’</w:t>
      </w:r>
      <w:r w:rsidRPr="005B6695">
        <w:rPr>
          <w:noProof/>
          <w:lang w:val="fr-FR"/>
        </w:rPr>
        <w:t>élaboration d</w:t>
      </w:r>
      <w:r w:rsidR="0070106C" w:rsidRPr="005B6695">
        <w:rPr>
          <w:noProof/>
          <w:lang w:val="fr-FR"/>
        </w:rPr>
        <w:t>’</w:t>
      </w:r>
      <w:r w:rsidRPr="005B6695">
        <w:rPr>
          <w:noProof/>
          <w:lang w:val="fr-FR"/>
        </w:rPr>
        <w:t>une évaluation conjointe comprendrait les ressources nécessaires pour une évaluation triennale, trois sessions extraordinaires du GIEC et de la Plénière de l</w:t>
      </w:r>
      <w:r w:rsidR="0070106C" w:rsidRPr="005B6695">
        <w:rPr>
          <w:noProof/>
          <w:lang w:val="fr-FR"/>
        </w:rPr>
        <w:t>’</w:t>
      </w:r>
      <w:r w:rsidRPr="005B6695">
        <w:rPr>
          <w:noProof/>
          <w:lang w:val="fr-FR"/>
        </w:rPr>
        <w:t>IPBES ou des réunions supplémentaires des sessions ordinaires du GIEC ou de la Plénière de l</w:t>
      </w:r>
      <w:r w:rsidR="0070106C" w:rsidRPr="005B6695">
        <w:rPr>
          <w:noProof/>
          <w:lang w:val="fr-FR"/>
        </w:rPr>
        <w:t>’</w:t>
      </w:r>
      <w:r w:rsidRPr="005B6695">
        <w:rPr>
          <w:noProof/>
          <w:lang w:val="fr-FR"/>
        </w:rPr>
        <w:t>IPBES organisées l</w:t>
      </w:r>
      <w:r w:rsidR="0070106C" w:rsidRPr="005B6695">
        <w:rPr>
          <w:noProof/>
          <w:lang w:val="fr-FR"/>
        </w:rPr>
        <w:t>’</w:t>
      </w:r>
      <w:r w:rsidRPr="005B6695">
        <w:rPr>
          <w:noProof/>
          <w:lang w:val="fr-FR"/>
        </w:rPr>
        <w:t>une à la suite de l</w:t>
      </w:r>
      <w:r w:rsidR="0070106C" w:rsidRPr="005B6695">
        <w:rPr>
          <w:noProof/>
          <w:lang w:val="fr-FR"/>
        </w:rPr>
        <w:t>’</w:t>
      </w:r>
      <w:r w:rsidRPr="005B6695">
        <w:rPr>
          <w:noProof/>
          <w:lang w:val="fr-FR"/>
        </w:rPr>
        <w:t>autre, ainsi que de réunions supplémentaires, telles que les réunions conjointes du Bureau du GIEC et du Groupe d</w:t>
      </w:r>
      <w:r w:rsidR="0070106C" w:rsidRPr="005B6695">
        <w:rPr>
          <w:noProof/>
          <w:lang w:val="fr-FR"/>
        </w:rPr>
        <w:t>’</w:t>
      </w:r>
      <w:r w:rsidRPr="005B6695">
        <w:rPr>
          <w:noProof/>
          <w:lang w:val="fr-FR"/>
        </w:rPr>
        <w:t>experts multidisciplinaire et du Bureau de l</w:t>
      </w:r>
      <w:r w:rsidR="0070106C" w:rsidRPr="005B6695">
        <w:rPr>
          <w:noProof/>
          <w:lang w:val="fr-FR"/>
        </w:rPr>
        <w:t>’</w:t>
      </w:r>
      <w:r w:rsidRPr="005B6695">
        <w:rPr>
          <w:noProof/>
          <w:lang w:val="fr-FR"/>
        </w:rPr>
        <w:t>IPBES, visant à coordonner l</w:t>
      </w:r>
      <w:r w:rsidR="0070106C" w:rsidRPr="005B6695">
        <w:rPr>
          <w:noProof/>
          <w:lang w:val="fr-FR"/>
        </w:rPr>
        <w:t>’</w:t>
      </w:r>
      <w:r w:rsidRPr="005B6695">
        <w:rPr>
          <w:noProof/>
          <w:lang w:val="fr-FR"/>
        </w:rPr>
        <w:t>évaluation, si elles devaient se tenir en présentiel.</w:t>
      </w:r>
    </w:p>
    <w:p w14:paraId="2AF834B3" w14:textId="0309E0D5" w:rsidR="00333364" w:rsidRPr="005B6695" w:rsidRDefault="00EF6FF6" w:rsidP="006E07F8">
      <w:pPr>
        <w:pStyle w:val="CH2"/>
        <w:rPr>
          <w:noProof/>
          <w:lang w:val="fr-FR"/>
        </w:rPr>
      </w:pPr>
      <w:r w:rsidRPr="005B6695">
        <w:rPr>
          <w:noProof/>
          <w:lang w:val="fr-FR"/>
        </w:rPr>
        <w:tab/>
      </w:r>
      <w:r w:rsidR="00333364" w:rsidRPr="005B6695">
        <w:rPr>
          <w:noProof/>
          <w:lang w:val="fr-FR"/>
        </w:rPr>
        <w:t>B.</w:t>
      </w:r>
      <w:r w:rsidR="00333364" w:rsidRPr="005B6695">
        <w:rPr>
          <w:noProof/>
          <w:lang w:val="fr-FR"/>
        </w:rPr>
        <w:tab/>
      </w:r>
      <w:r w:rsidR="00333364" w:rsidRPr="005B6695">
        <w:rPr>
          <w:bCs/>
          <w:noProof/>
          <w:lang w:val="fr-FR"/>
        </w:rPr>
        <w:t>Document technique conjoint</w:t>
      </w:r>
    </w:p>
    <w:p w14:paraId="712897DF" w14:textId="5DA7416E" w:rsidR="00421431" w:rsidRPr="005B6695" w:rsidRDefault="00333364" w:rsidP="00397BC4">
      <w:pPr>
        <w:pStyle w:val="Normalnumber"/>
        <w:rPr>
          <w:noProof/>
          <w:lang w:val="fr-FR"/>
        </w:rPr>
      </w:pPr>
      <w:r w:rsidRPr="005B6695">
        <w:rPr>
          <w:noProof/>
          <w:lang w:val="fr-FR"/>
        </w:rPr>
        <w:t>Les procédures d</w:t>
      </w:r>
      <w:r w:rsidR="0070106C" w:rsidRPr="005B6695">
        <w:rPr>
          <w:noProof/>
          <w:lang w:val="fr-FR"/>
        </w:rPr>
        <w:t>’</w:t>
      </w:r>
      <w:r w:rsidRPr="005B6695">
        <w:rPr>
          <w:noProof/>
          <w:lang w:val="fr-FR"/>
        </w:rPr>
        <w:t xml:space="preserve">élaboration des documents techniques sont </w:t>
      </w:r>
      <w:r w:rsidR="00EF6FF6" w:rsidRPr="005B6695">
        <w:rPr>
          <w:noProof/>
          <w:lang w:val="fr-FR"/>
        </w:rPr>
        <w:t>quasiment</w:t>
      </w:r>
      <w:r w:rsidRPr="005B6695">
        <w:rPr>
          <w:noProof/>
          <w:lang w:val="fr-FR"/>
        </w:rPr>
        <w:t xml:space="preserve"> identiques dans le cadre du GIEC et de l</w:t>
      </w:r>
      <w:r w:rsidR="0070106C" w:rsidRPr="005B6695">
        <w:rPr>
          <w:noProof/>
          <w:lang w:val="fr-FR"/>
        </w:rPr>
        <w:t>’</w:t>
      </w:r>
      <w:r w:rsidRPr="005B6695">
        <w:rPr>
          <w:noProof/>
          <w:lang w:val="fr-FR"/>
        </w:rPr>
        <w:t>IPBES. D</w:t>
      </w:r>
      <w:r w:rsidR="0070106C" w:rsidRPr="005B6695">
        <w:rPr>
          <w:noProof/>
          <w:lang w:val="fr-FR"/>
        </w:rPr>
        <w:t>’</w:t>
      </w:r>
      <w:r w:rsidRPr="005B6695">
        <w:rPr>
          <w:noProof/>
          <w:lang w:val="fr-FR"/>
        </w:rPr>
        <w:t>un point de vue procédural, il pourrait donc être possible pour le GIEC et l</w:t>
      </w:r>
      <w:r w:rsidR="0070106C" w:rsidRPr="005B6695">
        <w:rPr>
          <w:noProof/>
          <w:lang w:val="fr-FR"/>
        </w:rPr>
        <w:t>’</w:t>
      </w:r>
      <w:r w:rsidRPr="005B6695">
        <w:rPr>
          <w:noProof/>
          <w:lang w:val="fr-FR"/>
        </w:rPr>
        <w:t>IPBES d</w:t>
      </w:r>
      <w:r w:rsidR="0070106C" w:rsidRPr="005B6695">
        <w:rPr>
          <w:noProof/>
          <w:lang w:val="fr-FR"/>
        </w:rPr>
        <w:t>’</w:t>
      </w:r>
      <w:r w:rsidRPr="005B6695">
        <w:rPr>
          <w:noProof/>
          <w:lang w:val="fr-FR"/>
        </w:rPr>
        <w:t>élaborer conjointement un document technique. Les coprésidents et les auteurs principaux du rapport établir</w:t>
      </w:r>
      <w:r w:rsidR="0015455A" w:rsidRPr="005B6695">
        <w:rPr>
          <w:noProof/>
          <w:lang w:val="fr-FR"/>
        </w:rPr>
        <w:t>aie</w:t>
      </w:r>
      <w:r w:rsidRPr="005B6695">
        <w:rPr>
          <w:noProof/>
          <w:lang w:val="fr-FR"/>
        </w:rPr>
        <w:t>nt la version finale du document technique conjoint, en consultation avec le Groupe d</w:t>
      </w:r>
      <w:r w:rsidR="0070106C" w:rsidRPr="005B6695">
        <w:rPr>
          <w:noProof/>
          <w:lang w:val="fr-FR"/>
        </w:rPr>
        <w:t>’</w:t>
      </w:r>
      <w:r w:rsidRPr="005B6695">
        <w:rPr>
          <w:noProof/>
          <w:lang w:val="fr-FR"/>
        </w:rPr>
        <w:t>experts multidisciplinaire de l</w:t>
      </w:r>
      <w:r w:rsidR="0070106C" w:rsidRPr="005B6695">
        <w:rPr>
          <w:noProof/>
          <w:lang w:val="fr-FR"/>
        </w:rPr>
        <w:t>’</w:t>
      </w:r>
      <w:r w:rsidRPr="005B6695">
        <w:rPr>
          <w:noProof/>
          <w:lang w:val="fr-FR"/>
        </w:rPr>
        <w:t>IPBES et l</w:t>
      </w:r>
      <w:r w:rsidR="0070106C" w:rsidRPr="005B6695">
        <w:rPr>
          <w:noProof/>
          <w:lang w:val="fr-FR"/>
        </w:rPr>
        <w:t>’</w:t>
      </w:r>
      <w:r w:rsidRPr="005B6695">
        <w:rPr>
          <w:noProof/>
          <w:lang w:val="fr-FR"/>
        </w:rPr>
        <w:t>organe compétent du GIEC faisant office de comité de rédaction, sans examen par le GIEC et la Plénière de l</w:t>
      </w:r>
      <w:r w:rsidR="0070106C" w:rsidRPr="005B6695">
        <w:rPr>
          <w:noProof/>
          <w:lang w:val="fr-FR"/>
        </w:rPr>
        <w:t>’</w:t>
      </w:r>
      <w:r w:rsidRPr="005B6695">
        <w:rPr>
          <w:noProof/>
          <w:lang w:val="fr-FR"/>
        </w:rPr>
        <w:t>IPBES.</w:t>
      </w:r>
    </w:p>
    <w:p w14:paraId="56983009" w14:textId="080F3034" w:rsidR="00421431" w:rsidRPr="005B6695" w:rsidRDefault="00254006" w:rsidP="00991907">
      <w:pPr>
        <w:pStyle w:val="Normalnumber"/>
        <w:keepNext/>
        <w:keepLines/>
        <w:ind w:left="1253"/>
        <w:rPr>
          <w:noProof/>
          <w:lang w:val="fr-FR"/>
        </w:rPr>
      </w:pPr>
      <w:r w:rsidRPr="005B6695">
        <w:rPr>
          <w:noProof/>
          <w:lang w:val="fr-FR"/>
        </w:rPr>
        <w:lastRenderedPageBreak/>
        <w:t>Les exigences procédurales relatives à l</w:t>
      </w:r>
      <w:r w:rsidR="0070106C" w:rsidRPr="005B6695">
        <w:rPr>
          <w:noProof/>
          <w:lang w:val="fr-FR"/>
        </w:rPr>
        <w:t>’</w:t>
      </w:r>
      <w:r w:rsidRPr="005B6695">
        <w:rPr>
          <w:noProof/>
          <w:lang w:val="fr-FR"/>
        </w:rPr>
        <w:t>élaboration d</w:t>
      </w:r>
      <w:r w:rsidR="0070106C" w:rsidRPr="005B6695">
        <w:rPr>
          <w:noProof/>
          <w:lang w:val="fr-FR"/>
        </w:rPr>
        <w:t>’</w:t>
      </w:r>
      <w:r w:rsidRPr="005B6695">
        <w:rPr>
          <w:noProof/>
          <w:lang w:val="fr-FR"/>
        </w:rPr>
        <w:t xml:space="preserve">un document technique conjoint comprendraient </w:t>
      </w:r>
      <w:r w:rsidR="0015455A" w:rsidRPr="005B6695">
        <w:rPr>
          <w:noProof/>
          <w:lang w:val="fr-FR"/>
        </w:rPr>
        <w:t>l</w:t>
      </w:r>
      <w:r w:rsidR="0070106C" w:rsidRPr="005B6695">
        <w:rPr>
          <w:noProof/>
          <w:lang w:val="fr-FR"/>
        </w:rPr>
        <w:t>’</w:t>
      </w:r>
      <w:r w:rsidR="0015455A" w:rsidRPr="005B6695">
        <w:rPr>
          <w:noProof/>
          <w:lang w:val="fr-FR"/>
        </w:rPr>
        <w:t>adoption par le GIEC et la Plénière de l</w:t>
      </w:r>
      <w:r w:rsidR="0070106C" w:rsidRPr="005B6695">
        <w:rPr>
          <w:noProof/>
          <w:lang w:val="fr-FR"/>
        </w:rPr>
        <w:t>’</w:t>
      </w:r>
      <w:r w:rsidR="0015455A" w:rsidRPr="005B6695">
        <w:rPr>
          <w:noProof/>
          <w:lang w:val="fr-FR"/>
        </w:rPr>
        <w:t>IPBES</w:t>
      </w:r>
      <w:r w:rsidR="00933B14" w:rsidRPr="005B6695">
        <w:rPr>
          <w:noProof/>
          <w:lang w:val="fr-FR"/>
        </w:rPr>
        <w:t>,</w:t>
      </w:r>
      <w:r w:rsidR="0015455A" w:rsidRPr="005B6695">
        <w:rPr>
          <w:noProof/>
          <w:lang w:val="fr-FR"/>
        </w:rPr>
        <w:t xml:space="preserve"> lors de leurs sessions respectives tenues séparément</w:t>
      </w:r>
      <w:r w:rsidR="00933B14" w:rsidRPr="005B6695">
        <w:rPr>
          <w:noProof/>
          <w:lang w:val="fr-FR"/>
        </w:rPr>
        <w:t>,</w:t>
      </w:r>
      <w:r w:rsidR="0015455A" w:rsidRPr="005B6695">
        <w:rPr>
          <w:noProof/>
          <w:lang w:val="fr-FR"/>
        </w:rPr>
        <w:t xml:space="preserve"> de</w:t>
      </w:r>
      <w:r w:rsidRPr="005B6695">
        <w:rPr>
          <w:noProof/>
          <w:lang w:val="fr-FR"/>
        </w:rPr>
        <w:t xml:space="preserve"> décisions substantiellement identiques</w:t>
      </w:r>
      <w:r w:rsidR="0015455A" w:rsidRPr="005B6695">
        <w:rPr>
          <w:noProof/>
          <w:sz w:val="24"/>
          <w:szCs w:val="24"/>
          <w:lang w:val="fr-FR" w:eastAsia="en-GB"/>
        </w:rPr>
        <w:t xml:space="preserve"> </w:t>
      </w:r>
      <w:r w:rsidR="00A062B7" w:rsidRPr="005B6695">
        <w:rPr>
          <w:noProof/>
          <w:lang w:val="fr-FR"/>
        </w:rPr>
        <w:t>comprenant les suivantes</w:t>
      </w:r>
      <w:r w:rsidR="00421431" w:rsidRPr="005B6695">
        <w:rPr>
          <w:noProof/>
          <w:lang w:val="fr-FR"/>
        </w:rPr>
        <w:t> :</w:t>
      </w:r>
    </w:p>
    <w:p w14:paraId="4A53F138" w14:textId="5B3ABF2D" w:rsidR="00333364" w:rsidRPr="005B6695" w:rsidRDefault="00333364" w:rsidP="00D1636F">
      <w:pPr>
        <w:pStyle w:val="Normalnumber"/>
        <w:keepNext/>
        <w:keepLines/>
        <w:numPr>
          <w:ilvl w:val="1"/>
          <w:numId w:val="10"/>
        </w:numPr>
        <w:ind w:left="1253" w:firstLine="637"/>
        <w:rPr>
          <w:rFonts w:eastAsia="MS Mincho"/>
          <w:noProof/>
          <w:lang w:val="fr-FR"/>
        </w:rPr>
      </w:pPr>
      <w:r w:rsidRPr="005B6695">
        <w:rPr>
          <w:noProof/>
          <w:lang w:val="fr-FR"/>
        </w:rPr>
        <w:t>Décisions portant approbation de l</w:t>
      </w:r>
      <w:r w:rsidR="0070106C" w:rsidRPr="005B6695">
        <w:rPr>
          <w:noProof/>
          <w:lang w:val="fr-FR"/>
        </w:rPr>
        <w:t>’</w:t>
      </w:r>
      <w:r w:rsidRPr="005B6695">
        <w:rPr>
          <w:noProof/>
          <w:lang w:val="fr-FR"/>
        </w:rPr>
        <w:t>élaboration d</w:t>
      </w:r>
      <w:r w:rsidR="0070106C" w:rsidRPr="005B6695">
        <w:rPr>
          <w:noProof/>
          <w:lang w:val="fr-FR"/>
        </w:rPr>
        <w:t>’</w:t>
      </w:r>
      <w:r w:rsidRPr="005B6695">
        <w:rPr>
          <w:noProof/>
          <w:lang w:val="fr-FR"/>
        </w:rPr>
        <w:t>un document technique conjoint sur un sujet spécifique</w:t>
      </w:r>
      <w:r w:rsidR="00421431" w:rsidRPr="005B6695">
        <w:rPr>
          <w:noProof/>
          <w:lang w:val="fr-FR"/>
        </w:rPr>
        <w:t> ;</w:t>
      </w:r>
    </w:p>
    <w:p w14:paraId="369639DE" w14:textId="7FC112CA" w:rsidR="00421431" w:rsidRPr="005B6695" w:rsidRDefault="00333364" w:rsidP="00D1636F">
      <w:pPr>
        <w:pStyle w:val="Normalnumber"/>
        <w:numPr>
          <w:ilvl w:val="1"/>
          <w:numId w:val="10"/>
        </w:numPr>
        <w:ind w:firstLine="637"/>
        <w:rPr>
          <w:noProof/>
          <w:lang w:val="fr-FR"/>
        </w:rPr>
      </w:pPr>
      <w:r w:rsidRPr="005B6695">
        <w:rPr>
          <w:noProof/>
          <w:lang w:val="fr-FR"/>
        </w:rPr>
        <w:t>Décisions prévoyant les modalités de la sélection conjointe d</w:t>
      </w:r>
      <w:r w:rsidR="0070106C" w:rsidRPr="005B6695">
        <w:rPr>
          <w:noProof/>
          <w:lang w:val="fr-FR"/>
        </w:rPr>
        <w:t>’</w:t>
      </w:r>
      <w:r w:rsidRPr="005B6695">
        <w:rPr>
          <w:noProof/>
          <w:lang w:val="fr-FR"/>
        </w:rPr>
        <w:t>experts et l</w:t>
      </w:r>
      <w:r w:rsidR="0070106C" w:rsidRPr="005B6695">
        <w:rPr>
          <w:noProof/>
          <w:lang w:val="fr-FR"/>
        </w:rPr>
        <w:t>’</w:t>
      </w:r>
      <w:r w:rsidRPr="005B6695">
        <w:rPr>
          <w:noProof/>
          <w:lang w:val="fr-FR"/>
        </w:rPr>
        <w:t>élaboration et l</w:t>
      </w:r>
      <w:r w:rsidR="0070106C" w:rsidRPr="005B6695">
        <w:rPr>
          <w:noProof/>
          <w:lang w:val="fr-FR"/>
        </w:rPr>
        <w:t>’</w:t>
      </w:r>
      <w:r w:rsidRPr="005B6695">
        <w:rPr>
          <w:noProof/>
          <w:lang w:val="fr-FR"/>
        </w:rPr>
        <w:t>établissement de la version finale du document.</w:t>
      </w:r>
    </w:p>
    <w:p w14:paraId="1C092EDB" w14:textId="6A41CE5E" w:rsidR="00421431" w:rsidRPr="005B6695" w:rsidRDefault="00097664" w:rsidP="0050150C">
      <w:pPr>
        <w:pStyle w:val="Normalnumber"/>
        <w:rPr>
          <w:noProof/>
          <w:lang w:val="fr-FR"/>
        </w:rPr>
      </w:pPr>
      <w:r w:rsidRPr="005B6695">
        <w:rPr>
          <w:noProof/>
          <w:lang w:val="fr-FR"/>
        </w:rPr>
        <w:t>La production d</w:t>
      </w:r>
      <w:r w:rsidR="0070106C" w:rsidRPr="005B6695">
        <w:rPr>
          <w:noProof/>
          <w:lang w:val="fr-FR"/>
        </w:rPr>
        <w:t>’</w:t>
      </w:r>
      <w:r w:rsidRPr="005B6695">
        <w:rPr>
          <w:noProof/>
          <w:lang w:val="fr-FR"/>
        </w:rPr>
        <w:t xml:space="preserve">un document technique durerait au moins trois ans, </w:t>
      </w:r>
      <w:r w:rsidR="00421431" w:rsidRPr="005B6695">
        <w:rPr>
          <w:noProof/>
          <w:lang w:val="fr-FR"/>
        </w:rPr>
        <w:t>à l</w:t>
      </w:r>
      <w:r w:rsidR="0070106C" w:rsidRPr="005B6695">
        <w:rPr>
          <w:noProof/>
          <w:lang w:val="fr-FR"/>
        </w:rPr>
        <w:t>’</w:t>
      </w:r>
      <w:r w:rsidR="00421431" w:rsidRPr="005B6695">
        <w:rPr>
          <w:noProof/>
          <w:lang w:val="fr-FR"/>
        </w:rPr>
        <w:t>inclusion des étapes suivantes :</w:t>
      </w:r>
    </w:p>
    <w:p w14:paraId="59CB2B11" w14:textId="2C273F31" w:rsidR="00421431" w:rsidRPr="005B6695" w:rsidRDefault="00333364" w:rsidP="00D1636F">
      <w:pPr>
        <w:pStyle w:val="Normalnumber"/>
        <w:numPr>
          <w:ilvl w:val="1"/>
          <w:numId w:val="15"/>
        </w:numPr>
        <w:ind w:firstLine="652"/>
        <w:rPr>
          <w:noProof/>
          <w:lang w:val="fr-FR"/>
        </w:rPr>
      </w:pPr>
      <w:r w:rsidRPr="005B6695">
        <w:rPr>
          <w:noProof/>
          <w:lang w:val="fr-FR"/>
        </w:rPr>
        <w:t>Année 1</w:t>
      </w:r>
      <w:r w:rsidR="00421431" w:rsidRPr="005B6695">
        <w:rPr>
          <w:noProof/>
          <w:lang w:val="fr-FR"/>
        </w:rPr>
        <w:t> :</w:t>
      </w:r>
      <w:r w:rsidRPr="005B6695">
        <w:rPr>
          <w:noProof/>
          <w:lang w:val="fr-FR"/>
        </w:rPr>
        <w:t xml:space="preserve"> </w:t>
      </w:r>
      <w:r w:rsidR="0015455A" w:rsidRPr="005B6695">
        <w:rPr>
          <w:noProof/>
          <w:lang w:val="fr-FR"/>
        </w:rPr>
        <w:t>Adoption par le GIEC et la Plénière de l</w:t>
      </w:r>
      <w:r w:rsidR="0070106C" w:rsidRPr="005B6695">
        <w:rPr>
          <w:noProof/>
          <w:lang w:val="fr-FR"/>
        </w:rPr>
        <w:t>’</w:t>
      </w:r>
      <w:r w:rsidR="0015455A" w:rsidRPr="005B6695">
        <w:rPr>
          <w:noProof/>
          <w:lang w:val="fr-FR"/>
        </w:rPr>
        <w:t>IPBES, lors de leurs sessions respectives tenues séparément, d</w:t>
      </w:r>
      <w:r w:rsidRPr="005B6695">
        <w:rPr>
          <w:noProof/>
          <w:lang w:val="fr-FR"/>
        </w:rPr>
        <w:t>e décisions substantiellement identiques</w:t>
      </w:r>
      <w:r w:rsidR="0015455A" w:rsidRPr="005B6695">
        <w:rPr>
          <w:noProof/>
          <w:lang w:val="fr-FR"/>
        </w:rPr>
        <w:t xml:space="preserve"> </w:t>
      </w:r>
      <w:r w:rsidR="00A062B7" w:rsidRPr="005B6695">
        <w:rPr>
          <w:noProof/>
          <w:lang w:val="fr-FR"/>
        </w:rPr>
        <w:t xml:space="preserve">comprenant les </w:t>
      </w:r>
      <w:r w:rsidR="009009CE" w:rsidRPr="005B6695">
        <w:rPr>
          <w:noProof/>
          <w:lang w:val="fr-FR"/>
        </w:rPr>
        <w:t>suivantes</w:t>
      </w:r>
      <w:r w:rsidR="00421431" w:rsidRPr="005B6695">
        <w:rPr>
          <w:noProof/>
          <w:lang w:val="fr-FR"/>
        </w:rPr>
        <w:t> :</w:t>
      </w:r>
    </w:p>
    <w:p w14:paraId="50B37218" w14:textId="3DCF1897" w:rsidR="00421431" w:rsidRPr="005B6695" w:rsidRDefault="00333364" w:rsidP="00D1636F">
      <w:pPr>
        <w:pStyle w:val="Normalnumber"/>
        <w:numPr>
          <w:ilvl w:val="2"/>
          <w:numId w:val="11"/>
        </w:numPr>
        <w:ind w:hanging="446"/>
        <w:rPr>
          <w:noProof/>
          <w:lang w:val="fr-FR"/>
        </w:rPr>
      </w:pPr>
      <w:r w:rsidRPr="005B6695">
        <w:rPr>
          <w:noProof/>
          <w:lang w:val="fr-FR"/>
        </w:rPr>
        <w:t>Décisions approuvant l</w:t>
      </w:r>
      <w:r w:rsidR="0070106C" w:rsidRPr="005B6695">
        <w:rPr>
          <w:noProof/>
          <w:lang w:val="fr-FR"/>
        </w:rPr>
        <w:t>’</w:t>
      </w:r>
      <w:r w:rsidRPr="005B6695">
        <w:rPr>
          <w:noProof/>
          <w:lang w:val="fr-FR"/>
        </w:rPr>
        <w:t>élaboration d</w:t>
      </w:r>
      <w:r w:rsidR="0070106C" w:rsidRPr="005B6695">
        <w:rPr>
          <w:noProof/>
          <w:lang w:val="fr-FR"/>
        </w:rPr>
        <w:t>’</w:t>
      </w:r>
      <w:r w:rsidRPr="005B6695">
        <w:rPr>
          <w:noProof/>
          <w:lang w:val="fr-FR"/>
        </w:rPr>
        <w:t>un document technique conjoint sur un sujet spécifique</w:t>
      </w:r>
      <w:r w:rsidR="00421431" w:rsidRPr="005B6695">
        <w:rPr>
          <w:noProof/>
          <w:lang w:val="fr-FR"/>
        </w:rPr>
        <w:t> ;</w:t>
      </w:r>
    </w:p>
    <w:p w14:paraId="1BC62F0D" w14:textId="462D327F" w:rsidR="00421431" w:rsidRPr="005B6695" w:rsidRDefault="00333364" w:rsidP="00D1636F">
      <w:pPr>
        <w:pStyle w:val="Normalnumber"/>
        <w:numPr>
          <w:ilvl w:val="2"/>
          <w:numId w:val="11"/>
        </w:numPr>
        <w:ind w:hanging="446"/>
        <w:rPr>
          <w:noProof/>
          <w:lang w:val="fr-FR"/>
        </w:rPr>
      </w:pPr>
      <w:r w:rsidRPr="005B6695">
        <w:rPr>
          <w:noProof/>
          <w:lang w:val="fr-FR"/>
        </w:rPr>
        <w:t>Décisions donnant mandat à leurs organes subsidiaires respectifs de parvenir à un accord sur les modalités de la sélection conjointe d</w:t>
      </w:r>
      <w:r w:rsidR="0070106C" w:rsidRPr="005B6695">
        <w:rPr>
          <w:noProof/>
          <w:lang w:val="fr-FR"/>
        </w:rPr>
        <w:t>’</w:t>
      </w:r>
      <w:r w:rsidRPr="005B6695">
        <w:rPr>
          <w:noProof/>
          <w:lang w:val="fr-FR"/>
        </w:rPr>
        <w:t>experts et de l</w:t>
      </w:r>
      <w:r w:rsidR="0070106C" w:rsidRPr="005B6695">
        <w:rPr>
          <w:noProof/>
          <w:lang w:val="fr-FR"/>
        </w:rPr>
        <w:t>’</w:t>
      </w:r>
      <w:r w:rsidRPr="005B6695">
        <w:rPr>
          <w:noProof/>
          <w:lang w:val="fr-FR"/>
        </w:rPr>
        <w:t>élaboration et de l</w:t>
      </w:r>
      <w:r w:rsidR="0070106C" w:rsidRPr="005B6695">
        <w:rPr>
          <w:noProof/>
          <w:lang w:val="fr-FR"/>
        </w:rPr>
        <w:t>’</w:t>
      </w:r>
      <w:r w:rsidRPr="005B6695">
        <w:rPr>
          <w:noProof/>
          <w:lang w:val="fr-FR"/>
        </w:rPr>
        <w:t>établissement de la version finale du document</w:t>
      </w:r>
      <w:r w:rsidR="00421431" w:rsidRPr="005B6695">
        <w:rPr>
          <w:noProof/>
          <w:lang w:val="fr-FR"/>
        </w:rPr>
        <w:t> ;</w:t>
      </w:r>
    </w:p>
    <w:p w14:paraId="59391366" w14:textId="32468B94" w:rsidR="00333364" w:rsidRPr="005B6695" w:rsidRDefault="00333364" w:rsidP="00D1636F">
      <w:pPr>
        <w:pStyle w:val="Normalnumber"/>
        <w:numPr>
          <w:ilvl w:val="1"/>
          <w:numId w:val="15"/>
        </w:numPr>
        <w:ind w:firstLine="652"/>
        <w:rPr>
          <w:noProof/>
          <w:lang w:val="fr-FR"/>
        </w:rPr>
      </w:pPr>
      <w:r w:rsidRPr="005B6695">
        <w:rPr>
          <w:noProof/>
          <w:lang w:val="fr-FR"/>
        </w:rPr>
        <w:t>Année 2</w:t>
      </w:r>
      <w:r w:rsidR="00421431" w:rsidRPr="005B6695">
        <w:rPr>
          <w:noProof/>
          <w:lang w:val="fr-FR"/>
        </w:rPr>
        <w:t> :</w:t>
      </w:r>
      <w:r w:rsidRPr="005B6695">
        <w:rPr>
          <w:noProof/>
          <w:lang w:val="fr-FR"/>
        </w:rPr>
        <w:t xml:space="preserve"> Sélection des experts, constitution d</w:t>
      </w:r>
      <w:r w:rsidR="0070106C" w:rsidRPr="005B6695">
        <w:rPr>
          <w:noProof/>
          <w:lang w:val="fr-FR"/>
        </w:rPr>
        <w:t>’</w:t>
      </w:r>
      <w:r w:rsidRPr="005B6695">
        <w:rPr>
          <w:noProof/>
          <w:lang w:val="fr-FR"/>
        </w:rPr>
        <w:t>un comité de rédaction, accord sur la portée du document technique par les organes subsidiaires et début de l</w:t>
      </w:r>
      <w:r w:rsidR="0070106C" w:rsidRPr="005B6695">
        <w:rPr>
          <w:noProof/>
          <w:lang w:val="fr-FR"/>
        </w:rPr>
        <w:t>’</w:t>
      </w:r>
      <w:r w:rsidRPr="005B6695">
        <w:rPr>
          <w:noProof/>
          <w:lang w:val="fr-FR"/>
        </w:rPr>
        <w:t>élaboration du document</w:t>
      </w:r>
      <w:r w:rsidR="00421431" w:rsidRPr="005B6695">
        <w:rPr>
          <w:noProof/>
          <w:lang w:val="fr-FR"/>
        </w:rPr>
        <w:t> ;</w:t>
      </w:r>
    </w:p>
    <w:p w14:paraId="7DAA16C7" w14:textId="10DB1072" w:rsidR="00333364" w:rsidRPr="005B6695" w:rsidRDefault="00333364" w:rsidP="00D1636F">
      <w:pPr>
        <w:pStyle w:val="Normalnumber"/>
        <w:numPr>
          <w:ilvl w:val="1"/>
          <w:numId w:val="15"/>
        </w:numPr>
        <w:ind w:firstLine="652"/>
        <w:rPr>
          <w:noProof/>
          <w:lang w:val="fr-FR"/>
        </w:rPr>
      </w:pPr>
      <w:r w:rsidRPr="005B6695">
        <w:rPr>
          <w:noProof/>
          <w:lang w:val="fr-FR"/>
        </w:rPr>
        <w:t>Année 3</w:t>
      </w:r>
      <w:r w:rsidR="00421431" w:rsidRPr="005B6695">
        <w:rPr>
          <w:noProof/>
          <w:lang w:val="fr-FR"/>
        </w:rPr>
        <w:t> :</w:t>
      </w:r>
      <w:r w:rsidRPr="005B6695">
        <w:rPr>
          <w:noProof/>
          <w:lang w:val="fr-FR"/>
        </w:rPr>
        <w:t xml:space="preserve"> Révision externe et établissement de la version finale du document par des experts en consultation avec le comité de rédaction.</w:t>
      </w:r>
    </w:p>
    <w:p w14:paraId="4BC331EC" w14:textId="3BB2244B" w:rsidR="00421431" w:rsidRPr="005B6695" w:rsidRDefault="00333364" w:rsidP="00CD603B">
      <w:pPr>
        <w:pStyle w:val="Normalnumber"/>
        <w:rPr>
          <w:noProof/>
          <w:lang w:val="fr-FR"/>
        </w:rPr>
      </w:pPr>
      <w:r w:rsidRPr="005B6695">
        <w:rPr>
          <w:noProof/>
          <w:lang w:val="fr-FR"/>
        </w:rPr>
        <w:t>En ce qui concerne le calendrier possible, un document technique pourrait être élaboré après l</w:t>
      </w:r>
      <w:r w:rsidR="0070106C" w:rsidRPr="005B6695">
        <w:rPr>
          <w:noProof/>
          <w:lang w:val="fr-FR"/>
        </w:rPr>
        <w:t>’</w:t>
      </w:r>
      <w:r w:rsidRPr="005B6695">
        <w:rPr>
          <w:noProof/>
          <w:lang w:val="fr-FR"/>
        </w:rPr>
        <w:t>achèvement de certaines parties du septième rapport d</w:t>
      </w:r>
      <w:r w:rsidR="0070106C" w:rsidRPr="005B6695">
        <w:rPr>
          <w:noProof/>
          <w:lang w:val="fr-FR"/>
        </w:rPr>
        <w:t>’</w:t>
      </w:r>
      <w:r w:rsidRPr="005B6695">
        <w:rPr>
          <w:noProof/>
          <w:lang w:val="fr-FR"/>
        </w:rPr>
        <w:t>évaluation du GIEC et de</w:t>
      </w:r>
      <w:r w:rsidR="00933B14" w:rsidRPr="005B6695">
        <w:rPr>
          <w:noProof/>
          <w:lang w:val="fr-FR"/>
        </w:rPr>
        <w:t>s</w:t>
      </w:r>
      <w:r w:rsidRPr="005B6695">
        <w:rPr>
          <w:noProof/>
          <w:lang w:val="fr-FR"/>
        </w:rPr>
        <w:t xml:space="preserve"> évaluation</w:t>
      </w:r>
      <w:r w:rsidR="00933B14" w:rsidRPr="005B6695">
        <w:rPr>
          <w:noProof/>
          <w:lang w:val="fr-FR"/>
        </w:rPr>
        <w:t>s</w:t>
      </w:r>
      <w:r w:rsidRPr="005B6695">
        <w:rPr>
          <w:noProof/>
          <w:lang w:val="fr-FR"/>
        </w:rPr>
        <w:t xml:space="preserve"> des interactions et des changements transformateurs de l</w:t>
      </w:r>
      <w:r w:rsidR="0070106C" w:rsidRPr="005B6695">
        <w:rPr>
          <w:noProof/>
          <w:lang w:val="fr-FR"/>
        </w:rPr>
        <w:t>’</w:t>
      </w:r>
      <w:r w:rsidRPr="005B6695">
        <w:rPr>
          <w:noProof/>
          <w:lang w:val="fr-FR"/>
        </w:rPr>
        <w:t>IPBES, par exemple entre 2025 et 2028.</w:t>
      </w:r>
    </w:p>
    <w:p w14:paraId="4D8C670D" w14:textId="1719EF9A" w:rsidR="00421431" w:rsidRPr="005B6695" w:rsidRDefault="00132671" w:rsidP="00CD603B">
      <w:pPr>
        <w:pStyle w:val="Normalnumber"/>
        <w:rPr>
          <w:noProof/>
          <w:lang w:val="fr-FR"/>
        </w:rPr>
      </w:pPr>
      <w:r w:rsidRPr="005B6695">
        <w:rPr>
          <w:noProof/>
          <w:lang w:val="fr-FR"/>
        </w:rPr>
        <w:t>Le coût de l</w:t>
      </w:r>
      <w:r w:rsidR="0070106C" w:rsidRPr="005B6695">
        <w:rPr>
          <w:noProof/>
          <w:lang w:val="fr-FR"/>
        </w:rPr>
        <w:t>’</w:t>
      </w:r>
      <w:r w:rsidRPr="005B6695">
        <w:rPr>
          <w:noProof/>
          <w:lang w:val="fr-FR"/>
        </w:rPr>
        <w:t>élaboration d</w:t>
      </w:r>
      <w:r w:rsidR="0070106C" w:rsidRPr="005B6695">
        <w:rPr>
          <w:noProof/>
          <w:lang w:val="fr-FR"/>
        </w:rPr>
        <w:t>’</w:t>
      </w:r>
      <w:r w:rsidRPr="005B6695">
        <w:rPr>
          <w:noProof/>
          <w:lang w:val="fr-FR"/>
        </w:rPr>
        <w:t>un document technique conjoint comprendrait les ressources nécessaires à l</w:t>
      </w:r>
      <w:r w:rsidR="0070106C" w:rsidRPr="005B6695">
        <w:rPr>
          <w:noProof/>
          <w:lang w:val="fr-FR"/>
        </w:rPr>
        <w:t>’</w:t>
      </w:r>
      <w:r w:rsidR="00933B14" w:rsidRPr="005B6695">
        <w:rPr>
          <w:noProof/>
          <w:lang w:val="fr-FR"/>
        </w:rPr>
        <w:t>organisation</w:t>
      </w:r>
      <w:r w:rsidRPr="005B6695">
        <w:rPr>
          <w:noProof/>
          <w:lang w:val="fr-FR"/>
        </w:rPr>
        <w:t xml:space="preserve"> de trois réunions d</w:t>
      </w:r>
      <w:r w:rsidR="0070106C" w:rsidRPr="005B6695">
        <w:rPr>
          <w:noProof/>
          <w:lang w:val="fr-FR"/>
        </w:rPr>
        <w:t>’</w:t>
      </w:r>
      <w:r w:rsidRPr="005B6695">
        <w:rPr>
          <w:noProof/>
          <w:lang w:val="fr-FR"/>
        </w:rPr>
        <w:t>experts, si elles devaient se tenir en présentiel.</w:t>
      </w:r>
    </w:p>
    <w:p w14:paraId="3D44F7B1" w14:textId="1A5F1A9B" w:rsidR="00333364" w:rsidRPr="005B6695" w:rsidRDefault="00EF6FF6" w:rsidP="006E07F8">
      <w:pPr>
        <w:pStyle w:val="CH2"/>
        <w:rPr>
          <w:noProof/>
          <w:lang w:val="fr-FR"/>
        </w:rPr>
      </w:pPr>
      <w:r w:rsidRPr="005B6695">
        <w:rPr>
          <w:noProof/>
          <w:lang w:val="fr-FR"/>
        </w:rPr>
        <w:tab/>
      </w:r>
      <w:r w:rsidR="00333364" w:rsidRPr="005B6695">
        <w:rPr>
          <w:noProof/>
          <w:lang w:val="fr-FR"/>
        </w:rPr>
        <w:t>C.</w:t>
      </w:r>
      <w:r w:rsidR="00333364" w:rsidRPr="005B6695">
        <w:rPr>
          <w:noProof/>
          <w:lang w:val="fr-FR"/>
        </w:rPr>
        <w:tab/>
      </w:r>
      <w:r w:rsidR="00333364" w:rsidRPr="005B6695">
        <w:rPr>
          <w:bCs/>
          <w:noProof/>
          <w:lang w:val="fr-FR"/>
        </w:rPr>
        <w:t>Atelier coparrainé</w:t>
      </w:r>
    </w:p>
    <w:p w14:paraId="19DF1872" w14:textId="7774DAF8" w:rsidR="00333364" w:rsidRPr="005B6695" w:rsidRDefault="00333364" w:rsidP="00397BC4">
      <w:pPr>
        <w:pStyle w:val="Normalnumber"/>
        <w:rPr>
          <w:rFonts w:eastAsiaTheme="minorEastAsia"/>
          <w:noProof/>
          <w:lang w:val="fr-FR"/>
        </w:rPr>
      </w:pPr>
      <w:r w:rsidRPr="005B6695">
        <w:rPr>
          <w:noProof/>
          <w:lang w:val="fr-FR"/>
        </w:rPr>
        <w:t>Les procédures relatives aux ateliers coparrainés dans le cadre du GIEC et de l</w:t>
      </w:r>
      <w:r w:rsidR="0070106C" w:rsidRPr="005B6695">
        <w:rPr>
          <w:noProof/>
          <w:lang w:val="fr-FR"/>
        </w:rPr>
        <w:t>’</w:t>
      </w:r>
      <w:r w:rsidRPr="005B6695">
        <w:rPr>
          <w:noProof/>
          <w:lang w:val="fr-FR"/>
        </w:rPr>
        <w:t xml:space="preserve">IPBES sont </w:t>
      </w:r>
      <w:r w:rsidR="00EF6FF6" w:rsidRPr="005B6695">
        <w:rPr>
          <w:noProof/>
          <w:lang w:val="fr-FR"/>
        </w:rPr>
        <w:t>quasiment</w:t>
      </w:r>
      <w:r w:rsidRPr="005B6695">
        <w:rPr>
          <w:noProof/>
          <w:lang w:val="fr-FR"/>
        </w:rPr>
        <w:t xml:space="preserve"> identiques, et un premier atelier coparrainé a eu lieu en décembre 2020, comme indiqué </w:t>
      </w:r>
      <w:r w:rsidR="00933B14" w:rsidRPr="005B6695">
        <w:rPr>
          <w:noProof/>
          <w:lang w:val="fr-FR"/>
        </w:rPr>
        <w:t>dans</w:t>
      </w:r>
      <w:r w:rsidRPr="005B6695">
        <w:rPr>
          <w:noProof/>
          <w:lang w:val="fr-FR"/>
        </w:rPr>
        <w:t xml:space="preserve"> la section I de la présente note. La décision de tenir un atelier coparrainé peut être prise par le Bureau et le Groupe d</w:t>
      </w:r>
      <w:r w:rsidR="0070106C" w:rsidRPr="005B6695">
        <w:rPr>
          <w:noProof/>
          <w:lang w:val="fr-FR"/>
        </w:rPr>
        <w:t>’</w:t>
      </w:r>
      <w:r w:rsidRPr="005B6695">
        <w:rPr>
          <w:noProof/>
          <w:lang w:val="fr-FR"/>
        </w:rPr>
        <w:t>experts multidisciplinaire de l</w:t>
      </w:r>
      <w:r w:rsidR="0070106C" w:rsidRPr="005B6695">
        <w:rPr>
          <w:noProof/>
          <w:lang w:val="fr-FR"/>
        </w:rPr>
        <w:t>’</w:t>
      </w:r>
      <w:r w:rsidRPr="005B6695">
        <w:rPr>
          <w:noProof/>
          <w:lang w:val="fr-FR"/>
        </w:rPr>
        <w:t>IPBES et l</w:t>
      </w:r>
      <w:r w:rsidR="0070106C" w:rsidRPr="005B6695">
        <w:rPr>
          <w:noProof/>
          <w:lang w:val="fr-FR"/>
        </w:rPr>
        <w:t>’</w:t>
      </w:r>
      <w:r w:rsidRPr="005B6695">
        <w:rPr>
          <w:noProof/>
          <w:lang w:val="fr-FR"/>
        </w:rPr>
        <w:t>organe compétent du GIEC. La</w:t>
      </w:r>
      <w:r w:rsidR="000E5831" w:rsidRPr="005B6695">
        <w:rPr>
          <w:noProof/>
          <w:lang w:val="fr-FR"/>
        </w:rPr>
        <w:t> </w:t>
      </w:r>
      <w:r w:rsidRPr="005B6695">
        <w:rPr>
          <w:noProof/>
          <w:lang w:val="fr-FR"/>
        </w:rPr>
        <w:t>version finale du compte rendu d</w:t>
      </w:r>
      <w:r w:rsidR="0070106C" w:rsidRPr="005B6695">
        <w:rPr>
          <w:noProof/>
          <w:lang w:val="fr-FR"/>
        </w:rPr>
        <w:t>’</w:t>
      </w:r>
      <w:r w:rsidRPr="005B6695">
        <w:rPr>
          <w:noProof/>
          <w:lang w:val="fr-FR"/>
        </w:rPr>
        <w:t>un atelier de ce type est établie sous la direction du comité directeur scientifique de l</w:t>
      </w:r>
      <w:r w:rsidR="0070106C" w:rsidRPr="005B6695">
        <w:rPr>
          <w:noProof/>
          <w:lang w:val="fr-FR"/>
        </w:rPr>
        <w:t>’</w:t>
      </w:r>
      <w:r w:rsidRPr="005B6695">
        <w:rPr>
          <w:noProof/>
          <w:lang w:val="fr-FR"/>
        </w:rPr>
        <w:t>atelier, sans examen par le GIEC et la Plénière de l</w:t>
      </w:r>
      <w:r w:rsidR="0070106C" w:rsidRPr="005B6695">
        <w:rPr>
          <w:noProof/>
          <w:lang w:val="fr-FR"/>
        </w:rPr>
        <w:t>’</w:t>
      </w:r>
      <w:r w:rsidRPr="005B6695">
        <w:rPr>
          <w:noProof/>
          <w:lang w:val="fr-FR"/>
        </w:rPr>
        <w:t>IPBES.</w:t>
      </w:r>
    </w:p>
    <w:p w14:paraId="1EB98A68" w14:textId="4960BD31" w:rsidR="00333364" w:rsidRPr="005B6695" w:rsidRDefault="00132671" w:rsidP="009D5AD4">
      <w:pPr>
        <w:pStyle w:val="Normalnumber"/>
        <w:rPr>
          <w:rFonts w:eastAsiaTheme="minorEastAsia"/>
          <w:noProof/>
          <w:lang w:val="fr-FR"/>
        </w:rPr>
      </w:pPr>
      <w:r w:rsidRPr="005B6695">
        <w:rPr>
          <w:noProof/>
          <w:lang w:val="fr-FR"/>
        </w:rPr>
        <w:t xml:space="preserve">Les exigences procédurales pour les ateliers coparrainés comprendraient </w:t>
      </w:r>
      <w:r w:rsidR="009009CE" w:rsidRPr="005B6695">
        <w:rPr>
          <w:noProof/>
          <w:lang w:val="fr-FR"/>
        </w:rPr>
        <w:t>l</w:t>
      </w:r>
      <w:r w:rsidR="0070106C" w:rsidRPr="005B6695">
        <w:rPr>
          <w:noProof/>
          <w:lang w:val="fr-FR"/>
        </w:rPr>
        <w:t>’</w:t>
      </w:r>
      <w:r w:rsidR="009009CE" w:rsidRPr="005B6695">
        <w:rPr>
          <w:noProof/>
          <w:lang w:val="fr-FR"/>
        </w:rPr>
        <w:t xml:space="preserve">adoption par les organes compétents du GIEC et </w:t>
      </w:r>
      <w:r w:rsidR="00933B14" w:rsidRPr="005B6695">
        <w:rPr>
          <w:noProof/>
          <w:lang w:val="fr-FR"/>
        </w:rPr>
        <w:t xml:space="preserve">par </w:t>
      </w:r>
      <w:r w:rsidR="009009CE" w:rsidRPr="005B6695">
        <w:rPr>
          <w:noProof/>
          <w:lang w:val="fr-FR"/>
        </w:rPr>
        <w:t>le Groupe d</w:t>
      </w:r>
      <w:r w:rsidR="0070106C" w:rsidRPr="005B6695">
        <w:rPr>
          <w:noProof/>
          <w:lang w:val="fr-FR"/>
        </w:rPr>
        <w:t>’</w:t>
      </w:r>
      <w:r w:rsidR="009009CE" w:rsidRPr="005B6695">
        <w:rPr>
          <w:noProof/>
          <w:lang w:val="fr-FR"/>
        </w:rPr>
        <w:t>experts multidisciplinaire</w:t>
      </w:r>
      <w:r w:rsidR="00933B14" w:rsidRPr="005B6695">
        <w:rPr>
          <w:noProof/>
          <w:lang w:val="fr-FR"/>
        </w:rPr>
        <w:t xml:space="preserve"> et</w:t>
      </w:r>
      <w:r w:rsidR="009009CE" w:rsidRPr="005B6695">
        <w:rPr>
          <w:noProof/>
          <w:lang w:val="fr-FR"/>
        </w:rPr>
        <w:t xml:space="preserve"> le Bureau de l</w:t>
      </w:r>
      <w:r w:rsidR="0070106C" w:rsidRPr="005B6695">
        <w:rPr>
          <w:noProof/>
          <w:lang w:val="fr-FR"/>
        </w:rPr>
        <w:t>’</w:t>
      </w:r>
      <w:r w:rsidR="009009CE" w:rsidRPr="005B6695">
        <w:rPr>
          <w:noProof/>
          <w:lang w:val="fr-FR"/>
        </w:rPr>
        <w:t xml:space="preserve">IPBES de </w:t>
      </w:r>
      <w:r w:rsidRPr="005B6695">
        <w:rPr>
          <w:noProof/>
          <w:lang w:val="fr-FR"/>
        </w:rPr>
        <w:t>décisions substantiellement identiques</w:t>
      </w:r>
      <w:r w:rsidR="009009CE" w:rsidRPr="005B6695">
        <w:rPr>
          <w:noProof/>
          <w:sz w:val="24"/>
          <w:szCs w:val="24"/>
          <w:lang w:val="fr-FR" w:eastAsia="en-GB"/>
        </w:rPr>
        <w:t xml:space="preserve"> </w:t>
      </w:r>
      <w:r w:rsidR="00A062B7" w:rsidRPr="005B6695">
        <w:rPr>
          <w:noProof/>
          <w:lang w:val="fr-FR"/>
        </w:rPr>
        <w:t>comprenant les suivantes</w:t>
      </w:r>
      <w:r w:rsidR="00421431" w:rsidRPr="005B6695">
        <w:rPr>
          <w:noProof/>
          <w:lang w:val="fr-FR"/>
        </w:rPr>
        <w:t> :</w:t>
      </w:r>
    </w:p>
    <w:p w14:paraId="08684617" w14:textId="7E07A2AF" w:rsidR="00421431" w:rsidRPr="005B6695" w:rsidRDefault="00333364" w:rsidP="00D64EE0">
      <w:pPr>
        <w:pStyle w:val="Normalnumber"/>
        <w:numPr>
          <w:ilvl w:val="1"/>
          <w:numId w:val="22"/>
        </w:numPr>
        <w:ind w:firstLine="634"/>
        <w:rPr>
          <w:noProof/>
          <w:lang w:val="fr-FR"/>
        </w:rPr>
      </w:pPr>
      <w:r w:rsidRPr="005B6695">
        <w:rPr>
          <w:noProof/>
          <w:lang w:val="fr-FR"/>
        </w:rPr>
        <w:t>Décisions visant à déterminer qu</w:t>
      </w:r>
      <w:r w:rsidR="0070106C" w:rsidRPr="005B6695">
        <w:rPr>
          <w:noProof/>
          <w:lang w:val="fr-FR"/>
        </w:rPr>
        <w:t>’</w:t>
      </w:r>
      <w:r w:rsidRPr="005B6695">
        <w:rPr>
          <w:noProof/>
          <w:lang w:val="fr-FR"/>
        </w:rPr>
        <w:t>un atelier coparrainé fournirait un appui aux activités approuvées par la Plénière</w:t>
      </w:r>
      <w:r w:rsidR="00421431" w:rsidRPr="005B6695">
        <w:rPr>
          <w:noProof/>
          <w:lang w:val="fr-FR"/>
        </w:rPr>
        <w:t> ;</w:t>
      </w:r>
    </w:p>
    <w:p w14:paraId="3CAD9C01" w14:textId="3EF1710B" w:rsidR="00333364" w:rsidRPr="005B6695" w:rsidRDefault="00333364" w:rsidP="00D64EE0">
      <w:pPr>
        <w:pStyle w:val="Normalnumber"/>
        <w:numPr>
          <w:ilvl w:val="1"/>
          <w:numId w:val="22"/>
        </w:numPr>
        <w:ind w:firstLine="634"/>
        <w:rPr>
          <w:noProof/>
          <w:lang w:val="fr-FR"/>
        </w:rPr>
      </w:pPr>
      <w:r w:rsidRPr="005B6695">
        <w:rPr>
          <w:noProof/>
          <w:lang w:val="fr-FR"/>
        </w:rPr>
        <w:t>Décisions d</w:t>
      </w:r>
      <w:r w:rsidR="0070106C" w:rsidRPr="005B6695">
        <w:rPr>
          <w:noProof/>
          <w:lang w:val="fr-FR"/>
        </w:rPr>
        <w:t>’</w:t>
      </w:r>
      <w:r w:rsidRPr="005B6695">
        <w:rPr>
          <w:noProof/>
          <w:lang w:val="fr-FR"/>
        </w:rPr>
        <w:t>organiser un atelier coparrainé</w:t>
      </w:r>
      <w:r w:rsidR="00421431" w:rsidRPr="005B6695">
        <w:rPr>
          <w:noProof/>
          <w:lang w:val="fr-FR"/>
        </w:rPr>
        <w:t> ;</w:t>
      </w:r>
    </w:p>
    <w:p w14:paraId="2309FB97" w14:textId="52A804F0" w:rsidR="00421431" w:rsidRPr="005B6695" w:rsidRDefault="00333364" w:rsidP="00D64EE0">
      <w:pPr>
        <w:pStyle w:val="Normalnumber"/>
        <w:numPr>
          <w:ilvl w:val="1"/>
          <w:numId w:val="22"/>
        </w:numPr>
        <w:ind w:firstLine="634"/>
        <w:rPr>
          <w:noProof/>
          <w:lang w:val="fr-FR"/>
        </w:rPr>
      </w:pPr>
      <w:r w:rsidRPr="005B6695">
        <w:rPr>
          <w:noProof/>
          <w:lang w:val="fr-FR"/>
        </w:rPr>
        <w:t>Décisions concernant les modalités de la sélection conjointe d</w:t>
      </w:r>
      <w:r w:rsidR="0070106C" w:rsidRPr="005B6695">
        <w:rPr>
          <w:noProof/>
          <w:lang w:val="fr-FR"/>
        </w:rPr>
        <w:t>’</w:t>
      </w:r>
      <w:r w:rsidRPr="005B6695">
        <w:rPr>
          <w:noProof/>
          <w:lang w:val="fr-FR"/>
        </w:rPr>
        <w:t>experts, l</w:t>
      </w:r>
      <w:r w:rsidR="0070106C" w:rsidRPr="005B6695">
        <w:rPr>
          <w:noProof/>
          <w:lang w:val="fr-FR"/>
        </w:rPr>
        <w:t>’</w:t>
      </w:r>
      <w:r w:rsidRPr="005B6695">
        <w:rPr>
          <w:noProof/>
          <w:lang w:val="fr-FR"/>
        </w:rPr>
        <w:t>organisation de l</w:t>
      </w:r>
      <w:r w:rsidR="0070106C" w:rsidRPr="005B6695">
        <w:rPr>
          <w:noProof/>
          <w:lang w:val="fr-FR"/>
        </w:rPr>
        <w:t>’</w:t>
      </w:r>
      <w:r w:rsidRPr="005B6695">
        <w:rPr>
          <w:noProof/>
          <w:lang w:val="fr-FR"/>
        </w:rPr>
        <w:t>atelier et l</w:t>
      </w:r>
      <w:r w:rsidR="0070106C" w:rsidRPr="005B6695">
        <w:rPr>
          <w:noProof/>
          <w:lang w:val="fr-FR"/>
        </w:rPr>
        <w:t>’</w:t>
      </w:r>
      <w:r w:rsidRPr="005B6695">
        <w:rPr>
          <w:noProof/>
          <w:lang w:val="fr-FR"/>
        </w:rPr>
        <w:t>élaboration du rapport de l</w:t>
      </w:r>
      <w:r w:rsidR="0070106C" w:rsidRPr="005B6695">
        <w:rPr>
          <w:noProof/>
          <w:lang w:val="fr-FR"/>
        </w:rPr>
        <w:t>’</w:t>
      </w:r>
      <w:r w:rsidRPr="005B6695">
        <w:rPr>
          <w:noProof/>
          <w:lang w:val="fr-FR"/>
        </w:rPr>
        <w:t>atelier</w:t>
      </w:r>
      <w:r w:rsidR="00421431" w:rsidRPr="005B6695">
        <w:rPr>
          <w:noProof/>
          <w:lang w:val="fr-FR"/>
        </w:rPr>
        <w:t> ;</w:t>
      </w:r>
    </w:p>
    <w:p w14:paraId="5EA581DB" w14:textId="59C35E99" w:rsidR="00421431" w:rsidRPr="005B6695" w:rsidRDefault="00132671" w:rsidP="00872B0F">
      <w:pPr>
        <w:pStyle w:val="Normalnumber"/>
        <w:rPr>
          <w:noProof/>
          <w:lang w:val="fr-FR"/>
        </w:rPr>
      </w:pPr>
      <w:r w:rsidRPr="005B6695">
        <w:rPr>
          <w:noProof/>
          <w:lang w:val="fr-FR"/>
        </w:rPr>
        <w:t>L</w:t>
      </w:r>
      <w:r w:rsidR="0070106C" w:rsidRPr="005B6695">
        <w:rPr>
          <w:noProof/>
          <w:lang w:val="fr-FR"/>
        </w:rPr>
        <w:t>’</w:t>
      </w:r>
      <w:r w:rsidRPr="005B6695">
        <w:rPr>
          <w:noProof/>
          <w:lang w:val="fr-FR"/>
        </w:rPr>
        <w:t>organisation d</w:t>
      </w:r>
      <w:r w:rsidR="0070106C" w:rsidRPr="005B6695">
        <w:rPr>
          <w:noProof/>
          <w:lang w:val="fr-FR"/>
        </w:rPr>
        <w:t>’</w:t>
      </w:r>
      <w:r w:rsidRPr="005B6695">
        <w:rPr>
          <w:noProof/>
          <w:lang w:val="fr-FR"/>
        </w:rPr>
        <w:t>un atelier coparrainé durerait au minimum un an et comprendrait les étapes suivantes</w:t>
      </w:r>
      <w:r w:rsidR="00421431" w:rsidRPr="005B6695">
        <w:rPr>
          <w:noProof/>
          <w:lang w:val="fr-FR"/>
        </w:rPr>
        <w:t> :</w:t>
      </w:r>
    </w:p>
    <w:p w14:paraId="7372E959" w14:textId="65831E57" w:rsidR="00333364" w:rsidRPr="005B6695" w:rsidRDefault="00933B14" w:rsidP="009F4E48">
      <w:pPr>
        <w:pStyle w:val="Normalnumber"/>
        <w:numPr>
          <w:ilvl w:val="1"/>
          <w:numId w:val="23"/>
        </w:numPr>
        <w:ind w:firstLine="643"/>
        <w:rPr>
          <w:noProof/>
          <w:lang w:val="fr-FR"/>
        </w:rPr>
      </w:pPr>
      <w:r w:rsidRPr="005B6695">
        <w:rPr>
          <w:noProof/>
          <w:lang w:val="fr-FR"/>
        </w:rPr>
        <w:t>Adoption par les organes compétents du GIEC et par le Groupe d</w:t>
      </w:r>
      <w:r w:rsidR="0070106C" w:rsidRPr="005B6695">
        <w:rPr>
          <w:noProof/>
          <w:lang w:val="fr-FR"/>
        </w:rPr>
        <w:t>’</w:t>
      </w:r>
      <w:r w:rsidRPr="005B6695">
        <w:rPr>
          <w:noProof/>
          <w:lang w:val="fr-FR"/>
        </w:rPr>
        <w:t>experts multidisciplinaire et le Bureau de l</w:t>
      </w:r>
      <w:r w:rsidR="0070106C" w:rsidRPr="005B6695">
        <w:rPr>
          <w:noProof/>
          <w:lang w:val="fr-FR"/>
        </w:rPr>
        <w:t>’</w:t>
      </w:r>
      <w:r w:rsidRPr="005B6695">
        <w:rPr>
          <w:noProof/>
          <w:lang w:val="fr-FR"/>
        </w:rPr>
        <w:t xml:space="preserve">IPBES des décisions distinctes mais substantiellement identiques </w:t>
      </w:r>
      <w:r w:rsidR="00A062B7" w:rsidRPr="005B6695">
        <w:rPr>
          <w:noProof/>
          <w:lang w:val="fr-FR"/>
        </w:rPr>
        <w:t xml:space="preserve">comprenant les </w:t>
      </w:r>
      <w:r w:rsidRPr="005B6695">
        <w:rPr>
          <w:noProof/>
          <w:lang w:val="fr-FR"/>
        </w:rPr>
        <w:t>suivantes</w:t>
      </w:r>
      <w:r w:rsidR="00421431" w:rsidRPr="005B6695">
        <w:rPr>
          <w:noProof/>
          <w:lang w:val="fr-FR"/>
        </w:rPr>
        <w:t> :</w:t>
      </w:r>
    </w:p>
    <w:p w14:paraId="0338AC3A" w14:textId="572B1B02" w:rsidR="00421431" w:rsidRPr="005B6695" w:rsidRDefault="00333364" w:rsidP="00742016">
      <w:pPr>
        <w:pStyle w:val="Normalnumber"/>
        <w:numPr>
          <w:ilvl w:val="2"/>
          <w:numId w:val="24"/>
        </w:numPr>
        <w:ind w:left="2970" w:hanging="468"/>
        <w:rPr>
          <w:noProof/>
          <w:lang w:val="fr-FR"/>
        </w:rPr>
      </w:pPr>
      <w:r w:rsidRPr="005B6695">
        <w:rPr>
          <w:noProof/>
          <w:lang w:val="fr-FR"/>
        </w:rPr>
        <w:t>Décisions déterminant que l</w:t>
      </w:r>
      <w:r w:rsidR="0070106C" w:rsidRPr="005B6695">
        <w:rPr>
          <w:noProof/>
          <w:lang w:val="fr-FR"/>
        </w:rPr>
        <w:t>’</w:t>
      </w:r>
      <w:r w:rsidRPr="005B6695">
        <w:rPr>
          <w:noProof/>
          <w:lang w:val="fr-FR"/>
        </w:rPr>
        <w:t>atelier coparrainé fournit un appui à une activité approuvée par le GIEC et la Plénière de l</w:t>
      </w:r>
      <w:r w:rsidR="0070106C" w:rsidRPr="005B6695">
        <w:rPr>
          <w:noProof/>
          <w:lang w:val="fr-FR"/>
        </w:rPr>
        <w:t>’</w:t>
      </w:r>
      <w:r w:rsidRPr="005B6695">
        <w:rPr>
          <w:noProof/>
          <w:lang w:val="fr-FR"/>
        </w:rPr>
        <w:t>IPBES</w:t>
      </w:r>
      <w:r w:rsidR="00421431" w:rsidRPr="005B6695">
        <w:rPr>
          <w:noProof/>
          <w:lang w:val="fr-FR"/>
        </w:rPr>
        <w:t> ;</w:t>
      </w:r>
    </w:p>
    <w:p w14:paraId="2D41B947" w14:textId="4F879CFB" w:rsidR="00333364" w:rsidRPr="005B6695" w:rsidRDefault="00333364" w:rsidP="00742016">
      <w:pPr>
        <w:pStyle w:val="Normalnumber"/>
        <w:numPr>
          <w:ilvl w:val="2"/>
          <w:numId w:val="24"/>
        </w:numPr>
        <w:ind w:left="2970" w:hanging="468"/>
        <w:rPr>
          <w:rFonts w:eastAsiaTheme="minorEastAsia"/>
          <w:noProof/>
          <w:lang w:val="fr-FR"/>
        </w:rPr>
      </w:pPr>
      <w:r w:rsidRPr="005B6695">
        <w:rPr>
          <w:noProof/>
          <w:lang w:val="fr-FR"/>
        </w:rPr>
        <w:t>Décisions d</w:t>
      </w:r>
      <w:r w:rsidR="0070106C" w:rsidRPr="005B6695">
        <w:rPr>
          <w:noProof/>
          <w:lang w:val="fr-FR"/>
        </w:rPr>
        <w:t>’</w:t>
      </w:r>
      <w:r w:rsidRPr="005B6695">
        <w:rPr>
          <w:noProof/>
          <w:lang w:val="fr-FR"/>
        </w:rPr>
        <w:t>organiser un atelier coparrainé</w:t>
      </w:r>
      <w:r w:rsidR="00421431" w:rsidRPr="005B6695">
        <w:rPr>
          <w:noProof/>
          <w:lang w:val="fr-FR"/>
        </w:rPr>
        <w:t> ;</w:t>
      </w:r>
    </w:p>
    <w:p w14:paraId="4D6D9449" w14:textId="77777777" w:rsidR="00333364" w:rsidRPr="005B6695" w:rsidRDefault="00333364" w:rsidP="00742016">
      <w:pPr>
        <w:pStyle w:val="Normalnumber"/>
        <w:numPr>
          <w:ilvl w:val="2"/>
          <w:numId w:val="24"/>
        </w:numPr>
        <w:ind w:left="2970" w:hanging="468"/>
        <w:rPr>
          <w:rFonts w:eastAsiaTheme="minorEastAsia"/>
          <w:noProof/>
          <w:lang w:val="fr-FR"/>
        </w:rPr>
      </w:pPr>
      <w:r w:rsidRPr="005B6695">
        <w:rPr>
          <w:noProof/>
          <w:lang w:val="fr-FR"/>
        </w:rPr>
        <w:t>Décisions établissant un comité directeur scientifique.</w:t>
      </w:r>
    </w:p>
    <w:p w14:paraId="7FDE96E6" w14:textId="248B111F" w:rsidR="00333364" w:rsidRPr="005B6695" w:rsidRDefault="003818BA" w:rsidP="009F4E48">
      <w:pPr>
        <w:pStyle w:val="Normalnumber"/>
        <w:numPr>
          <w:ilvl w:val="1"/>
          <w:numId w:val="23"/>
        </w:numPr>
        <w:ind w:firstLine="643"/>
        <w:rPr>
          <w:noProof/>
          <w:lang w:val="fr-FR"/>
        </w:rPr>
      </w:pPr>
      <w:r w:rsidRPr="005B6695">
        <w:rPr>
          <w:noProof/>
          <w:lang w:val="fr-FR"/>
        </w:rPr>
        <w:lastRenderedPageBreak/>
        <w:t>La sélection des experts, l</w:t>
      </w:r>
      <w:r w:rsidR="0070106C" w:rsidRPr="005B6695">
        <w:rPr>
          <w:noProof/>
          <w:lang w:val="fr-FR"/>
        </w:rPr>
        <w:t>’</w:t>
      </w:r>
      <w:r w:rsidRPr="005B6695">
        <w:rPr>
          <w:noProof/>
          <w:lang w:val="fr-FR"/>
        </w:rPr>
        <w:t>accord sur la portée, le programme et l</w:t>
      </w:r>
      <w:r w:rsidR="0070106C" w:rsidRPr="005B6695">
        <w:rPr>
          <w:noProof/>
          <w:lang w:val="fr-FR"/>
        </w:rPr>
        <w:t>’</w:t>
      </w:r>
      <w:r w:rsidRPr="005B6695">
        <w:rPr>
          <w:noProof/>
          <w:lang w:val="fr-FR"/>
        </w:rPr>
        <w:t>organisation de l</w:t>
      </w:r>
      <w:r w:rsidR="0070106C" w:rsidRPr="005B6695">
        <w:rPr>
          <w:noProof/>
          <w:lang w:val="fr-FR"/>
        </w:rPr>
        <w:t>’</w:t>
      </w:r>
      <w:r w:rsidRPr="005B6695">
        <w:rPr>
          <w:noProof/>
          <w:lang w:val="fr-FR"/>
        </w:rPr>
        <w:t>atelier et l</w:t>
      </w:r>
      <w:r w:rsidR="0070106C" w:rsidRPr="005B6695">
        <w:rPr>
          <w:noProof/>
          <w:lang w:val="fr-FR"/>
        </w:rPr>
        <w:t>’</w:t>
      </w:r>
      <w:r w:rsidRPr="005B6695">
        <w:rPr>
          <w:noProof/>
          <w:lang w:val="fr-FR"/>
        </w:rPr>
        <w:t>établissement de la version finale du rapport de l</w:t>
      </w:r>
      <w:r w:rsidR="0070106C" w:rsidRPr="005B6695">
        <w:rPr>
          <w:noProof/>
          <w:lang w:val="fr-FR"/>
        </w:rPr>
        <w:t>’</w:t>
      </w:r>
      <w:r w:rsidRPr="005B6695">
        <w:rPr>
          <w:noProof/>
          <w:lang w:val="fr-FR"/>
        </w:rPr>
        <w:t>atelier par le comité de pilotage scientifique.</w:t>
      </w:r>
    </w:p>
    <w:p w14:paraId="194FE25A" w14:textId="4B338FE3" w:rsidR="00333364" w:rsidRPr="005B6695" w:rsidRDefault="00A161F0" w:rsidP="006E68FD">
      <w:pPr>
        <w:pStyle w:val="Normalnumber"/>
        <w:rPr>
          <w:rFonts w:eastAsiaTheme="minorEastAsia"/>
          <w:noProof/>
          <w:lang w:val="fr-FR"/>
        </w:rPr>
      </w:pPr>
      <w:r w:rsidRPr="005B6695">
        <w:rPr>
          <w:noProof/>
          <w:lang w:val="fr-FR"/>
        </w:rPr>
        <w:t>Le coût de la tenue d</w:t>
      </w:r>
      <w:r w:rsidR="0070106C" w:rsidRPr="005B6695">
        <w:rPr>
          <w:noProof/>
          <w:lang w:val="fr-FR"/>
        </w:rPr>
        <w:t>’</w:t>
      </w:r>
      <w:r w:rsidRPr="005B6695">
        <w:rPr>
          <w:noProof/>
          <w:lang w:val="fr-FR"/>
        </w:rPr>
        <w:t>un atelier coparrainé comprendrait les ressources nécessaires à la tenue d</w:t>
      </w:r>
      <w:r w:rsidR="0070106C" w:rsidRPr="005B6695">
        <w:rPr>
          <w:noProof/>
          <w:lang w:val="fr-FR"/>
        </w:rPr>
        <w:t>’</w:t>
      </w:r>
      <w:r w:rsidRPr="005B6695">
        <w:rPr>
          <w:noProof/>
          <w:lang w:val="fr-FR"/>
        </w:rPr>
        <w:t>une réunion d</w:t>
      </w:r>
      <w:r w:rsidR="0070106C" w:rsidRPr="005B6695">
        <w:rPr>
          <w:noProof/>
          <w:lang w:val="fr-FR"/>
        </w:rPr>
        <w:t>’</w:t>
      </w:r>
      <w:r w:rsidRPr="005B6695">
        <w:rPr>
          <w:noProof/>
          <w:lang w:val="fr-FR"/>
        </w:rPr>
        <w:t>experts, si celle-ci devait se dérouler en présentiel.</w:t>
      </w:r>
    </w:p>
    <w:p w14:paraId="28AB66A5" w14:textId="67F6D387" w:rsidR="00333364" w:rsidRPr="005B6695" w:rsidRDefault="00EF6FF6" w:rsidP="006E07F8">
      <w:pPr>
        <w:pStyle w:val="CH2"/>
        <w:rPr>
          <w:noProof/>
          <w:lang w:val="fr-FR"/>
        </w:rPr>
      </w:pPr>
      <w:r w:rsidRPr="005B6695">
        <w:rPr>
          <w:noProof/>
          <w:lang w:val="fr-FR"/>
        </w:rPr>
        <w:tab/>
      </w:r>
      <w:r w:rsidR="00333364" w:rsidRPr="005B6695">
        <w:rPr>
          <w:noProof/>
          <w:lang w:val="fr-FR"/>
        </w:rPr>
        <w:t>D.</w:t>
      </w:r>
      <w:r w:rsidR="00333364" w:rsidRPr="005B6695">
        <w:rPr>
          <w:noProof/>
          <w:lang w:val="fr-FR"/>
        </w:rPr>
        <w:tab/>
      </w:r>
      <w:r w:rsidR="00333364" w:rsidRPr="005B6695">
        <w:rPr>
          <w:bCs/>
          <w:noProof/>
          <w:lang w:val="fr-FR"/>
        </w:rPr>
        <w:t>Groupe de liaison</w:t>
      </w:r>
    </w:p>
    <w:p w14:paraId="32AD8EA5" w14:textId="559F5727" w:rsidR="00421431" w:rsidRPr="005B6695" w:rsidRDefault="00333364" w:rsidP="00397BC4">
      <w:pPr>
        <w:pStyle w:val="Normalnumber"/>
        <w:rPr>
          <w:noProof/>
          <w:lang w:val="fr-FR"/>
        </w:rPr>
      </w:pPr>
      <w:bookmarkStart w:id="5" w:name="_Toc29492202"/>
      <w:r w:rsidRPr="005B6695">
        <w:rPr>
          <w:noProof/>
          <w:lang w:val="fr-FR"/>
        </w:rPr>
        <w:t>Il n</w:t>
      </w:r>
      <w:r w:rsidR="0070106C" w:rsidRPr="005B6695">
        <w:rPr>
          <w:noProof/>
          <w:lang w:val="fr-FR"/>
        </w:rPr>
        <w:t>’</w:t>
      </w:r>
      <w:r w:rsidRPr="005B6695">
        <w:rPr>
          <w:noProof/>
          <w:lang w:val="fr-FR"/>
        </w:rPr>
        <w:t>existe pas de procédures spécifiques dans le cadre du GIEC ou de l</w:t>
      </w:r>
      <w:r w:rsidR="0070106C" w:rsidRPr="005B6695">
        <w:rPr>
          <w:noProof/>
          <w:lang w:val="fr-FR"/>
        </w:rPr>
        <w:t>’</w:t>
      </w:r>
      <w:r w:rsidRPr="005B6695">
        <w:rPr>
          <w:noProof/>
          <w:lang w:val="fr-FR"/>
        </w:rPr>
        <w:t>IPBES concernant l</w:t>
      </w:r>
      <w:r w:rsidR="0070106C" w:rsidRPr="005B6695">
        <w:rPr>
          <w:noProof/>
          <w:lang w:val="fr-FR"/>
        </w:rPr>
        <w:t>’</w:t>
      </w:r>
      <w:r w:rsidRPr="005B6695">
        <w:rPr>
          <w:noProof/>
          <w:lang w:val="fr-FR"/>
        </w:rPr>
        <w:t>établissement d</w:t>
      </w:r>
      <w:r w:rsidR="0070106C" w:rsidRPr="005B6695">
        <w:rPr>
          <w:noProof/>
          <w:lang w:val="fr-FR"/>
        </w:rPr>
        <w:t>’</w:t>
      </w:r>
      <w:r w:rsidRPr="005B6695">
        <w:rPr>
          <w:noProof/>
          <w:lang w:val="fr-FR"/>
        </w:rPr>
        <w:t>un groupe de liaison entre le GIEC et l</w:t>
      </w:r>
      <w:r w:rsidR="0070106C" w:rsidRPr="005B6695">
        <w:rPr>
          <w:noProof/>
          <w:lang w:val="fr-FR"/>
        </w:rPr>
        <w:t>’</w:t>
      </w:r>
      <w:r w:rsidRPr="005B6695">
        <w:rPr>
          <w:noProof/>
          <w:lang w:val="fr-FR"/>
        </w:rPr>
        <w:t>IPBES.</w:t>
      </w:r>
    </w:p>
    <w:p w14:paraId="66709559" w14:textId="6B3F9500" w:rsidR="00421431" w:rsidRPr="005B6695" w:rsidRDefault="00FB26B2" w:rsidP="00397BC4">
      <w:pPr>
        <w:pStyle w:val="Normalnumber"/>
        <w:rPr>
          <w:noProof/>
          <w:lang w:val="fr-FR"/>
        </w:rPr>
      </w:pPr>
      <w:r w:rsidRPr="005B6695">
        <w:rPr>
          <w:noProof/>
          <w:lang w:val="fr-FR"/>
        </w:rPr>
        <w:t>Les exigences procédurales pour la création d</w:t>
      </w:r>
      <w:r w:rsidR="0070106C" w:rsidRPr="005B6695">
        <w:rPr>
          <w:noProof/>
          <w:lang w:val="fr-FR"/>
        </w:rPr>
        <w:t>’</w:t>
      </w:r>
      <w:r w:rsidRPr="005B6695">
        <w:rPr>
          <w:noProof/>
          <w:lang w:val="fr-FR"/>
        </w:rPr>
        <w:t xml:space="preserve">un groupe de liaison comprendraient </w:t>
      </w:r>
      <w:r w:rsidR="009009CE" w:rsidRPr="005B6695">
        <w:rPr>
          <w:noProof/>
          <w:lang w:val="fr-FR"/>
        </w:rPr>
        <w:t>l</w:t>
      </w:r>
      <w:r w:rsidR="0070106C" w:rsidRPr="005B6695">
        <w:rPr>
          <w:noProof/>
          <w:lang w:val="fr-FR"/>
        </w:rPr>
        <w:t>’</w:t>
      </w:r>
      <w:r w:rsidR="009009CE" w:rsidRPr="005B6695">
        <w:rPr>
          <w:noProof/>
          <w:lang w:val="fr-FR"/>
        </w:rPr>
        <w:t>adoption par le GIEC et la Plénière de l</w:t>
      </w:r>
      <w:r w:rsidR="0070106C" w:rsidRPr="005B6695">
        <w:rPr>
          <w:noProof/>
          <w:lang w:val="fr-FR"/>
        </w:rPr>
        <w:t>’</w:t>
      </w:r>
      <w:r w:rsidR="009009CE" w:rsidRPr="005B6695">
        <w:rPr>
          <w:noProof/>
          <w:lang w:val="fr-FR"/>
        </w:rPr>
        <w:t>IPBES de</w:t>
      </w:r>
      <w:r w:rsidRPr="005B6695">
        <w:rPr>
          <w:noProof/>
          <w:lang w:val="fr-FR"/>
        </w:rPr>
        <w:t xml:space="preserve"> décisions substantiellement identiques</w:t>
      </w:r>
      <w:r w:rsidR="009009CE" w:rsidRPr="005B6695">
        <w:rPr>
          <w:noProof/>
          <w:lang w:val="fr-FR"/>
        </w:rPr>
        <w:t xml:space="preserve"> </w:t>
      </w:r>
      <w:r w:rsidR="00A062B7" w:rsidRPr="005B6695">
        <w:rPr>
          <w:noProof/>
          <w:lang w:val="fr-FR"/>
        </w:rPr>
        <w:t>comprenant les suivantes</w:t>
      </w:r>
      <w:r w:rsidR="00421431" w:rsidRPr="005B6695">
        <w:rPr>
          <w:noProof/>
          <w:lang w:val="fr-FR"/>
        </w:rPr>
        <w:t> :</w:t>
      </w:r>
    </w:p>
    <w:p w14:paraId="116430E5" w14:textId="61671C45" w:rsidR="00421431" w:rsidRPr="005B6695" w:rsidRDefault="00333364" w:rsidP="005A77FC">
      <w:pPr>
        <w:pStyle w:val="Normalnumber"/>
        <w:numPr>
          <w:ilvl w:val="0"/>
          <w:numId w:val="39"/>
        </w:numPr>
        <w:tabs>
          <w:tab w:val="left" w:pos="2502"/>
        </w:tabs>
        <w:ind w:left="1278" w:firstLine="612"/>
        <w:rPr>
          <w:noProof/>
          <w:lang w:val="fr-FR"/>
        </w:rPr>
      </w:pPr>
      <w:r w:rsidRPr="005B6695">
        <w:rPr>
          <w:noProof/>
          <w:lang w:val="fr-FR"/>
        </w:rPr>
        <w:t xml:space="preserve">Décision de créer (premier organe prenant la décision) </w:t>
      </w:r>
      <w:r w:rsidR="00933B14" w:rsidRPr="005B6695">
        <w:rPr>
          <w:noProof/>
          <w:lang w:val="fr-FR"/>
        </w:rPr>
        <w:t xml:space="preserve">le groupe de liaison </w:t>
      </w:r>
      <w:r w:rsidRPr="005B6695">
        <w:rPr>
          <w:noProof/>
          <w:lang w:val="fr-FR"/>
        </w:rPr>
        <w:t>ou d</w:t>
      </w:r>
      <w:r w:rsidR="0070106C" w:rsidRPr="005B6695">
        <w:rPr>
          <w:noProof/>
          <w:lang w:val="fr-FR"/>
        </w:rPr>
        <w:t>’</w:t>
      </w:r>
      <w:r w:rsidRPr="005B6695">
        <w:rPr>
          <w:noProof/>
          <w:lang w:val="fr-FR"/>
        </w:rPr>
        <w:t xml:space="preserve">approuver </w:t>
      </w:r>
      <w:r w:rsidR="00933B14" w:rsidRPr="005B6695">
        <w:rPr>
          <w:noProof/>
          <w:lang w:val="fr-FR"/>
        </w:rPr>
        <w:t>s</w:t>
      </w:r>
      <w:r w:rsidRPr="005B6695">
        <w:rPr>
          <w:noProof/>
          <w:lang w:val="fr-FR"/>
        </w:rPr>
        <w:t>a création (deuxième organe prenant la décision) et de définir sa composition</w:t>
      </w:r>
      <w:r w:rsidR="00421431" w:rsidRPr="005B6695">
        <w:rPr>
          <w:noProof/>
          <w:lang w:val="fr-FR"/>
        </w:rPr>
        <w:t> ;</w:t>
      </w:r>
    </w:p>
    <w:p w14:paraId="687EACAA" w14:textId="2F15E7AE" w:rsidR="00421431" w:rsidRPr="005B6695" w:rsidRDefault="00333364" w:rsidP="005A77FC">
      <w:pPr>
        <w:pStyle w:val="Normalnumber"/>
        <w:numPr>
          <w:ilvl w:val="0"/>
          <w:numId w:val="39"/>
        </w:numPr>
        <w:tabs>
          <w:tab w:val="left" w:pos="2502"/>
        </w:tabs>
        <w:ind w:left="1278" w:firstLine="612"/>
        <w:rPr>
          <w:noProof/>
          <w:lang w:val="fr-FR"/>
        </w:rPr>
      </w:pPr>
      <w:r w:rsidRPr="005B6695">
        <w:rPr>
          <w:noProof/>
          <w:lang w:val="fr-FR"/>
        </w:rPr>
        <w:t>Décisions énonçant le mandat du groupe de liaison.</w:t>
      </w:r>
    </w:p>
    <w:p w14:paraId="1195BB6C" w14:textId="729E303A" w:rsidR="00421431" w:rsidRPr="005B6695" w:rsidRDefault="00333364" w:rsidP="00397BC4">
      <w:pPr>
        <w:pStyle w:val="Normalnumber"/>
        <w:rPr>
          <w:noProof/>
          <w:lang w:val="fr-FR"/>
        </w:rPr>
      </w:pPr>
      <w:r w:rsidRPr="005B6695">
        <w:rPr>
          <w:noProof/>
          <w:lang w:val="fr-FR"/>
        </w:rPr>
        <w:t>Le délai requis serait au minimum d</w:t>
      </w:r>
      <w:r w:rsidR="0070106C" w:rsidRPr="005B6695">
        <w:rPr>
          <w:noProof/>
          <w:lang w:val="fr-FR"/>
        </w:rPr>
        <w:t>’</w:t>
      </w:r>
      <w:r w:rsidRPr="005B6695">
        <w:rPr>
          <w:noProof/>
          <w:lang w:val="fr-FR"/>
        </w:rPr>
        <w:t xml:space="preserve">un an, </w:t>
      </w:r>
      <w:r w:rsidR="00421431" w:rsidRPr="005B6695">
        <w:rPr>
          <w:noProof/>
          <w:lang w:val="fr-FR"/>
        </w:rPr>
        <w:t>à l</w:t>
      </w:r>
      <w:r w:rsidR="0070106C" w:rsidRPr="005B6695">
        <w:rPr>
          <w:noProof/>
          <w:lang w:val="fr-FR"/>
        </w:rPr>
        <w:t>’</w:t>
      </w:r>
      <w:r w:rsidR="00421431" w:rsidRPr="005B6695">
        <w:rPr>
          <w:noProof/>
          <w:lang w:val="fr-FR"/>
        </w:rPr>
        <w:t>inclusion des étapes suivantes :</w:t>
      </w:r>
    </w:p>
    <w:p w14:paraId="1F5AA790" w14:textId="3ED2FF75" w:rsidR="00421431" w:rsidRPr="005B6695" w:rsidRDefault="009D7F4E" w:rsidP="005A77FC">
      <w:pPr>
        <w:pStyle w:val="Normalnumber"/>
        <w:numPr>
          <w:ilvl w:val="1"/>
          <w:numId w:val="33"/>
        </w:numPr>
        <w:ind w:firstLine="643"/>
        <w:rPr>
          <w:noProof/>
          <w:lang w:val="fr-FR"/>
        </w:rPr>
      </w:pPr>
      <w:r w:rsidRPr="005B6695">
        <w:rPr>
          <w:noProof/>
          <w:lang w:val="fr-FR"/>
        </w:rPr>
        <w:t>A</w:t>
      </w:r>
      <w:r w:rsidR="00933B14" w:rsidRPr="005B6695">
        <w:rPr>
          <w:noProof/>
          <w:lang w:val="fr-FR"/>
        </w:rPr>
        <w:t>doption</w:t>
      </w:r>
      <w:r w:rsidR="00333364" w:rsidRPr="005B6695">
        <w:rPr>
          <w:noProof/>
          <w:lang w:val="fr-FR"/>
        </w:rPr>
        <w:t xml:space="preserve"> par le GIEC et la Plénière de l</w:t>
      </w:r>
      <w:r w:rsidR="0070106C" w:rsidRPr="005B6695">
        <w:rPr>
          <w:noProof/>
          <w:lang w:val="fr-FR"/>
        </w:rPr>
        <w:t>’</w:t>
      </w:r>
      <w:r w:rsidR="00333364" w:rsidRPr="005B6695">
        <w:rPr>
          <w:noProof/>
          <w:lang w:val="fr-FR"/>
        </w:rPr>
        <w:t>IPBES</w:t>
      </w:r>
      <w:r w:rsidR="00933B14" w:rsidRPr="005B6695">
        <w:rPr>
          <w:noProof/>
          <w:lang w:val="fr-FR"/>
        </w:rPr>
        <w:t xml:space="preserve"> de décisions distinctes </w:t>
      </w:r>
      <w:r w:rsidR="00A062B7" w:rsidRPr="005B6695">
        <w:rPr>
          <w:noProof/>
          <w:lang w:val="fr-FR"/>
        </w:rPr>
        <w:t xml:space="preserve">comprenant les </w:t>
      </w:r>
      <w:r w:rsidR="00933B14" w:rsidRPr="005B6695">
        <w:rPr>
          <w:noProof/>
          <w:lang w:val="fr-FR"/>
        </w:rPr>
        <w:t>suivantes</w:t>
      </w:r>
      <w:r w:rsidR="00421431" w:rsidRPr="005B6695">
        <w:rPr>
          <w:noProof/>
          <w:lang w:val="fr-FR"/>
        </w:rPr>
        <w:t> :</w:t>
      </w:r>
    </w:p>
    <w:p w14:paraId="35B751FB" w14:textId="1E01D0FA" w:rsidR="00421431" w:rsidRPr="005B6695" w:rsidRDefault="00333364" w:rsidP="005A77FC">
      <w:pPr>
        <w:pStyle w:val="Normalnumber"/>
        <w:numPr>
          <w:ilvl w:val="2"/>
          <w:numId w:val="32"/>
        </w:numPr>
        <w:ind w:hanging="446"/>
        <w:rPr>
          <w:noProof/>
          <w:lang w:val="fr-FR"/>
        </w:rPr>
      </w:pPr>
      <w:r w:rsidRPr="005B6695">
        <w:rPr>
          <w:noProof/>
          <w:lang w:val="fr-FR"/>
        </w:rPr>
        <w:t>Décision d</w:t>
      </w:r>
      <w:r w:rsidR="0070106C" w:rsidRPr="005B6695">
        <w:rPr>
          <w:noProof/>
          <w:lang w:val="fr-FR"/>
        </w:rPr>
        <w:t>’</w:t>
      </w:r>
      <w:r w:rsidRPr="005B6695">
        <w:rPr>
          <w:noProof/>
          <w:lang w:val="fr-FR"/>
        </w:rPr>
        <w:t>établir (première décision) ou de rejoindre (deuxième décision) le</w:t>
      </w:r>
      <w:r w:rsidR="002408FC" w:rsidRPr="005B6695">
        <w:rPr>
          <w:noProof/>
          <w:lang w:val="fr-FR"/>
        </w:rPr>
        <w:t> </w:t>
      </w:r>
      <w:r w:rsidRPr="005B6695">
        <w:rPr>
          <w:noProof/>
          <w:lang w:val="fr-FR"/>
        </w:rPr>
        <w:t>groupe de liaison, définissant ou acceptant sa composition</w:t>
      </w:r>
      <w:r w:rsidR="00421431" w:rsidRPr="005B6695">
        <w:rPr>
          <w:noProof/>
          <w:lang w:val="fr-FR"/>
        </w:rPr>
        <w:t> ;</w:t>
      </w:r>
    </w:p>
    <w:p w14:paraId="6C279317" w14:textId="058C7BA5" w:rsidR="00421431" w:rsidRPr="005B6695" w:rsidRDefault="00333364" w:rsidP="005A77FC">
      <w:pPr>
        <w:pStyle w:val="Normalnumber"/>
        <w:numPr>
          <w:ilvl w:val="2"/>
          <w:numId w:val="32"/>
        </w:numPr>
        <w:ind w:hanging="446"/>
        <w:rPr>
          <w:noProof/>
          <w:lang w:val="fr-FR"/>
        </w:rPr>
      </w:pPr>
      <w:r w:rsidRPr="005B6695">
        <w:rPr>
          <w:noProof/>
          <w:lang w:val="fr-FR"/>
        </w:rPr>
        <w:t>Décision invitant les organes subsidiaires du GIEC et la Plénière de l</w:t>
      </w:r>
      <w:r w:rsidR="0070106C" w:rsidRPr="005B6695">
        <w:rPr>
          <w:noProof/>
          <w:lang w:val="fr-FR"/>
        </w:rPr>
        <w:t>’</w:t>
      </w:r>
      <w:r w:rsidRPr="005B6695">
        <w:rPr>
          <w:noProof/>
          <w:lang w:val="fr-FR"/>
        </w:rPr>
        <w:t>IPBES à</w:t>
      </w:r>
      <w:r w:rsidR="002408FC" w:rsidRPr="005B6695">
        <w:rPr>
          <w:noProof/>
          <w:lang w:val="fr-FR"/>
        </w:rPr>
        <w:t> </w:t>
      </w:r>
      <w:r w:rsidRPr="005B6695">
        <w:rPr>
          <w:noProof/>
          <w:lang w:val="fr-FR"/>
        </w:rPr>
        <w:t>convenir du mandat du groupe de liaison.</w:t>
      </w:r>
    </w:p>
    <w:p w14:paraId="14F330D2" w14:textId="54D0DFD3" w:rsidR="00333364" w:rsidRPr="005B6695" w:rsidRDefault="00333364" w:rsidP="005A77FC">
      <w:pPr>
        <w:pStyle w:val="Normalnumber"/>
        <w:numPr>
          <w:ilvl w:val="1"/>
          <w:numId w:val="33"/>
        </w:numPr>
        <w:ind w:firstLine="643"/>
        <w:rPr>
          <w:noProof/>
          <w:lang w:val="fr-FR"/>
        </w:rPr>
      </w:pPr>
      <w:r w:rsidRPr="005B6695">
        <w:rPr>
          <w:noProof/>
          <w:lang w:val="fr-FR"/>
        </w:rPr>
        <w:t>Constitution du groupe de liaison.</w:t>
      </w:r>
    </w:p>
    <w:p w14:paraId="59A3BF92" w14:textId="5ED67155" w:rsidR="00421431" w:rsidRPr="005B6695" w:rsidRDefault="005374B8" w:rsidP="0078134B">
      <w:pPr>
        <w:pStyle w:val="Normalnumber"/>
        <w:rPr>
          <w:noProof/>
          <w:lang w:val="fr-FR"/>
        </w:rPr>
      </w:pPr>
      <w:r w:rsidRPr="005B6695">
        <w:rPr>
          <w:noProof/>
          <w:lang w:val="fr-FR"/>
        </w:rPr>
        <w:t xml:space="preserve">Les ressources requises pour le groupe de liaison </w:t>
      </w:r>
      <w:r w:rsidR="006433EF" w:rsidRPr="005B6695">
        <w:rPr>
          <w:noProof/>
          <w:lang w:val="fr-FR"/>
        </w:rPr>
        <w:t>varieraient</w:t>
      </w:r>
      <w:r w:rsidRPr="005B6695">
        <w:rPr>
          <w:noProof/>
          <w:lang w:val="fr-FR"/>
        </w:rPr>
        <w:t xml:space="preserve"> selon qu</w:t>
      </w:r>
      <w:r w:rsidR="0070106C" w:rsidRPr="005B6695">
        <w:rPr>
          <w:noProof/>
          <w:lang w:val="fr-FR"/>
        </w:rPr>
        <w:t>’</w:t>
      </w:r>
      <w:r w:rsidR="00933B14" w:rsidRPr="005B6695">
        <w:rPr>
          <w:noProof/>
          <w:lang w:val="fr-FR"/>
        </w:rPr>
        <w:t>il</w:t>
      </w:r>
      <w:r w:rsidRPr="005B6695">
        <w:rPr>
          <w:noProof/>
          <w:lang w:val="fr-FR"/>
        </w:rPr>
        <w:t xml:space="preserve"> se réuni</w:t>
      </w:r>
      <w:r w:rsidR="00933B14" w:rsidRPr="005B6695">
        <w:rPr>
          <w:noProof/>
          <w:lang w:val="fr-FR"/>
        </w:rPr>
        <w:t>rai</w:t>
      </w:r>
      <w:r w:rsidRPr="005B6695">
        <w:rPr>
          <w:noProof/>
          <w:lang w:val="fr-FR"/>
        </w:rPr>
        <w:t>t en</w:t>
      </w:r>
      <w:r w:rsidR="002408FC" w:rsidRPr="005B6695">
        <w:rPr>
          <w:noProof/>
          <w:lang w:val="fr-FR"/>
        </w:rPr>
        <w:t> </w:t>
      </w:r>
      <w:r w:rsidRPr="005B6695">
        <w:rPr>
          <w:noProof/>
          <w:lang w:val="fr-FR"/>
        </w:rPr>
        <w:t>présentiel ou en ligne et selon le nombre de réunions par période intersessions.</w:t>
      </w:r>
      <w:bookmarkEnd w:id="0"/>
      <w:bookmarkEnd w:id="3"/>
      <w:bookmarkEnd w:id="4"/>
      <w:bookmarkEnd w:id="5"/>
    </w:p>
    <w:p w14:paraId="5596C445" w14:textId="035E7464" w:rsidR="0073392B" w:rsidRPr="005B6695" w:rsidRDefault="0073392B" w:rsidP="003B500B">
      <w:pPr>
        <w:pStyle w:val="Normal-pool"/>
        <w:rPr>
          <w:noProof/>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8"/>
        <w:gridCol w:w="1899"/>
        <w:gridCol w:w="1899"/>
        <w:gridCol w:w="1900"/>
        <w:gridCol w:w="1900"/>
      </w:tblGrid>
      <w:tr w:rsidR="00C95B00" w:rsidRPr="005B6695" w14:paraId="116D792D" w14:textId="77777777" w:rsidTr="008F1F0A">
        <w:tc>
          <w:tcPr>
            <w:tcW w:w="1898" w:type="dxa"/>
          </w:tcPr>
          <w:p w14:paraId="13F47D7C" w14:textId="77777777" w:rsidR="00C95B00" w:rsidRPr="005B6695" w:rsidRDefault="00C95B00" w:rsidP="00311B98">
            <w:pPr>
              <w:pStyle w:val="Normal-pool"/>
              <w:spacing w:before="520"/>
              <w:rPr>
                <w:noProof/>
                <w:lang w:val="fr-FR"/>
              </w:rPr>
            </w:pPr>
          </w:p>
        </w:tc>
        <w:tc>
          <w:tcPr>
            <w:tcW w:w="1899" w:type="dxa"/>
          </w:tcPr>
          <w:p w14:paraId="257EBF89" w14:textId="77777777" w:rsidR="00C95B00" w:rsidRPr="005B6695" w:rsidRDefault="00C95B00" w:rsidP="00311B98">
            <w:pPr>
              <w:pStyle w:val="Normal-pool"/>
              <w:spacing w:before="520"/>
              <w:rPr>
                <w:noProof/>
                <w:lang w:val="fr-FR"/>
              </w:rPr>
            </w:pPr>
          </w:p>
        </w:tc>
        <w:tc>
          <w:tcPr>
            <w:tcW w:w="1899" w:type="dxa"/>
            <w:tcBorders>
              <w:bottom w:val="single" w:sz="4" w:space="0" w:color="auto"/>
            </w:tcBorders>
          </w:tcPr>
          <w:p w14:paraId="0A86BB2C" w14:textId="77777777" w:rsidR="00C95B00" w:rsidRPr="005B6695" w:rsidRDefault="00C95B00" w:rsidP="00311B98">
            <w:pPr>
              <w:pStyle w:val="Normal-pool"/>
              <w:spacing w:before="520"/>
              <w:rPr>
                <w:noProof/>
                <w:lang w:val="fr-FR"/>
              </w:rPr>
            </w:pPr>
          </w:p>
        </w:tc>
        <w:tc>
          <w:tcPr>
            <w:tcW w:w="1900" w:type="dxa"/>
          </w:tcPr>
          <w:p w14:paraId="6DC736A3" w14:textId="77777777" w:rsidR="00C95B00" w:rsidRPr="005B6695" w:rsidRDefault="00C95B00" w:rsidP="00311B98">
            <w:pPr>
              <w:pStyle w:val="Normal-pool"/>
              <w:spacing w:before="520"/>
              <w:rPr>
                <w:noProof/>
                <w:lang w:val="fr-FR"/>
              </w:rPr>
            </w:pPr>
          </w:p>
        </w:tc>
        <w:tc>
          <w:tcPr>
            <w:tcW w:w="1900" w:type="dxa"/>
          </w:tcPr>
          <w:p w14:paraId="0E87F923" w14:textId="77777777" w:rsidR="00C95B00" w:rsidRPr="005B6695" w:rsidRDefault="00C95B00" w:rsidP="00311B98">
            <w:pPr>
              <w:pStyle w:val="Normal-pool"/>
              <w:spacing w:before="520"/>
              <w:rPr>
                <w:noProof/>
                <w:lang w:val="fr-FR"/>
              </w:rPr>
            </w:pPr>
          </w:p>
        </w:tc>
      </w:tr>
    </w:tbl>
    <w:p w14:paraId="2FCE7570" w14:textId="77777777" w:rsidR="00C95B00" w:rsidRPr="005B6695" w:rsidRDefault="00C95B00" w:rsidP="00311B98">
      <w:pPr>
        <w:pStyle w:val="Normal-pool"/>
        <w:rPr>
          <w:noProof/>
          <w:lang w:val="fr-FR"/>
        </w:rPr>
      </w:pPr>
    </w:p>
    <w:sectPr w:rsidR="00C95B00" w:rsidRPr="005B6695" w:rsidSect="00C61B30">
      <w:headerReference w:type="even" r:id="rId20"/>
      <w:headerReference w:type="default" r:id="rId21"/>
      <w:footerReference w:type="even" r:id="rId22"/>
      <w:footerReference w:type="default" r:id="rId23"/>
      <w:footerReference w:type="first" r:id="rId24"/>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29A91" w14:textId="77777777" w:rsidR="00914253" w:rsidRDefault="00914253">
      <w:r>
        <w:separator/>
      </w:r>
    </w:p>
  </w:endnote>
  <w:endnote w:type="continuationSeparator" w:id="0">
    <w:p w14:paraId="72F47A60" w14:textId="77777777" w:rsidR="00914253" w:rsidRDefault="00914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0982727"/>
      <w:docPartObj>
        <w:docPartGallery w:val="Page Numbers (Bottom of Page)"/>
        <w:docPartUnique/>
      </w:docPartObj>
    </w:sdtPr>
    <w:sdtEndPr>
      <w:rPr>
        <w:noProof/>
      </w:rPr>
    </w:sdtEndPr>
    <w:sdtContent>
      <w:p w14:paraId="498E25EB" w14:textId="77777777" w:rsidR="00607E7A" w:rsidRPr="008162E9" w:rsidRDefault="000217BC" w:rsidP="000217BC">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05407" w14:textId="77777777" w:rsidR="00607E7A" w:rsidRPr="008162E9" w:rsidRDefault="00607E7A" w:rsidP="008162E9">
    <w:pPr>
      <w:pStyle w:val="Footer-pool"/>
      <w:jc w:val="right"/>
    </w:pPr>
    <w:r w:rsidRPr="008162E9">
      <w:rPr>
        <w:rStyle w:val="PageNumber"/>
        <w:b/>
      </w:rPr>
      <w:fldChar w:fldCharType="begin"/>
    </w:r>
    <w:r w:rsidRPr="008162E9">
      <w:rPr>
        <w:rStyle w:val="PageNumber"/>
        <w:b/>
      </w:rPr>
      <w:instrText xml:space="preserve"> PAGE </w:instrText>
    </w:r>
    <w:r w:rsidRPr="008162E9">
      <w:rPr>
        <w:rStyle w:val="PageNumber"/>
        <w:b/>
      </w:rPr>
      <w:fldChar w:fldCharType="separate"/>
    </w:r>
    <w:r w:rsidRPr="008162E9">
      <w:rPr>
        <w:rStyle w:val="PageNumber"/>
        <w:b/>
      </w:rPr>
      <w:t>1</w:t>
    </w:r>
    <w:r w:rsidRPr="008162E9">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E69D8" w14:textId="58E4B217" w:rsidR="00607E7A" w:rsidRPr="00C30DB4" w:rsidRDefault="00607E7A" w:rsidP="00C30DB4">
    <w:pPr>
      <w:pStyle w:val="Footer-pool"/>
      <w:rPr>
        <w:b w:val="0"/>
        <w:bCs/>
        <w:sz w:val="20"/>
      </w:rPr>
    </w:pPr>
    <w:r w:rsidRPr="00C30DB4">
      <w:rPr>
        <w:b w:val="0"/>
        <w:bCs/>
        <w:sz w:val="20"/>
      </w:rPr>
      <w:t>K2100</w:t>
    </w:r>
    <w:r>
      <w:rPr>
        <w:b w:val="0"/>
        <w:bCs/>
        <w:sz w:val="20"/>
      </w:rPr>
      <w:t>81</w:t>
    </w:r>
    <w:r w:rsidR="00140D4C">
      <w:rPr>
        <w:b w:val="0"/>
        <w:bCs/>
        <w:sz w:val="20"/>
      </w:rPr>
      <w:t>4</w:t>
    </w:r>
    <w:r w:rsidR="00BA499E">
      <w:rPr>
        <w:b w:val="0"/>
        <w:bCs/>
        <w:sz w:val="20"/>
      </w:rPr>
      <w:t xml:space="preserve">       050521</w:t>
    </w:r>
    <w:r w:rsidRPr="00C30DB4">
      <w:rPr>
        <w:b w:val="0"/>
        <w:bCs/>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C05D6" w14:textId="77777777" w:rsidR="00914253" w:rsidRPr="00DC5E14" w:rsidRDefault="00914253" w:rsidP="00DC5E14">
      <w:pPr>
        <w:tabs>
          <w:tab w:val="left" w:pos="624"/>
        </w:tabs>
        <w:spacing w:before="60"/>
        <w:ind w:left="624"/>
        <w:rPr>
          <w:sz w:val="18"/>
          <w:szCs w:val="18"/>
        </w:rPr>
      </w:pPr>
      <w:r w:rsidRPr="00DC5E14">
        <w:rPr>
          <w:sz w:val="18"/>
          <w:szCs w:val="18"/>
        </w:rPr>
        <w:separator/>
      </w:r>
    </w:p>
  </w:footnote>
  <w:footnote w:type="continuationSeparator" w:id="0">
    <w:p w14:paraId="14712B48" w14:textId="77777777" w:rsidR="00914253" w:rsidRDefault="00914253">
      <w:r>
        <w:continuationSeparator/>
      </w:r>
    </w:p>
  </w:footnote>
  <w:footnote w:id="1">
    <w:p w14:paraId="381F7898" w14:textId="77777777" w:rsidR="00607E7A" w:rsidRPr="0071153F" w:rsidRDefault="00607E7A" w:rsidP="00571B56">
      <w:pPr>
        <w:pStyle w:val="Normal-pool"/>
        <w:spacing w:before="20" w:after="40"/>
        <w:ind w:left="1247"/>
        <w:rPr>
          <w:sz w:val="18"/>
          <w:szCs w:val="18"/>
          <w:lang w:val="fr-FR"/>
        </w:rPr>
      </w:pPr>
      <w:r>
        <w:rPr>
          <w:lang w:val="fr-FR"/>
        </w:rPr>
        <w:t>* IPBES/8/1.</w:t>
      </w:r>
    </w:p>
  </w:footnote>
  <w:footnote w:id="2">
    <w:p w14:paraId="2A6237DC" w14:textId="77777777" w:rsidR="00607E7A" w:rsidRPr="00571B56" w:rsidRDefault="00607E7A" w:rsidP="00571B56">
      <w:pPr>
        <w:pStyle w:val="Normal-pool"/>
        <w:spacing w:before="20" w:after="40"/>
        <w:ind w:left="1247"/>
        <w:rPr>
          <w:sz w:val="18"/>
          <w:szCs w:val="18"/>
        </w:rPr>
      </w:pPr>
      <w:r w:rsidRPr="00571B56">
        <w:rPr>
          <w:rStyle w:val="FootnoteReference"/>
          <w:sz w:val="18"/>
          <w:lang w:val="fr-FR"/>
        </w:rPr>
        <w:footnoteRef/>
      </w:r>
      <w:r>
        <w:rPr>
          <w:lang w:val="fr-FR"/>
        </w:rPr>
        <w:t xml:space="preserve"> Décision IPBES-3/3, annexe I, sect. 4.</w:t>
      </w:r>
    </w:p>
  </w:footnote>
  <w:footnote w:id="3">
    <w:p w14:paraId="47864694" w14:textId="77777777" w:rsidR="00421431" w:rsidRDefault="00607E7A" w:rsidP="00571B56">
      <w:pPr>
        <w:pStyle w:val="Normal-pool"/>
        <w:spacing w:before="20" w:after="40"/>
        <w:ind w:left="1247"/>
        <w:rPr>
          <w:lang w:val="fr-FR"/>
        </w:rPr>
      </w:pPr>
      <w:r w:rsidRPr="00571B56">
        <w:rPr>
          <w:rStyle w:val="FootnoteReference"/>
          <w:sz w:val="18"/>
          <w:lang w:val="fr-FR"/>
        </w:rPr>
        <w:footnoteRef/>
      </w:r>
      <w:r>
        <w:rPr>
          <w:lang w:val="fr-FR"/>
        </w:rPr>
        <w:t xml:space="preserve"> IPBES/7/6, appendice II, sect. II.</w:t>
      </w:r>
    </w:p>
    <w:p w14:paraId="1505C831" w14:textId="0F2CDF7C" w:rsidR="00607E7A" w:rsidRPr="00571B56" w:rsidRDefault="00607E7A" w:rsidP="00571B56">
      <w:pPr>
        <w:pStyle w:val="Normal-pool"/>
        <w:spacing w:before="20" w:after="40"/>
        <w:ind w:left="1247"/>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54558" w14:textId="1E33471C" w:rsidR="00607E7A" w:rsidRPr="00DC5E14" w:rsidRDefault="00607E7A" w:rsidP="00DC5E14">
    <w:pPr>
      <w:pStyle w:val="Header-pool"/>
    </w:pPr>
    <w:r w:rsidRPr="00C95B00">
      <w:t>IPBES/8/</w:t>
    </w:r>
    <w: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75549" w14:textId="303BB5BE" w:rsidR="00607E7A" w:rsidRPr="00DC5E14" w:rsidRDefault="00607E7A" w:rsidP="00DC5E14">
    <w:pPr>
      <w:pStyle w:val="Header-pool"/>
      <w:jc w:val="right"/>
    </w:pPr>
    <w:r w:rsidRPr="00C95B00">
      <w:t>IPBES/8/</w:t>
    </w:r>
    <w:r w:rsidR="008162E9">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14893"/>
    <w:multiLevelType w:val="hybridMultilevel"/>
    <w:tmpl w:val="DB9A5B34"/>
    <w:lvl w:ilvl="0" w:tplc="AB8495AE">
      <w:start w:val="1"/>
      <w:numFmt w:val="lowerLetter"/>
      <w:lvlText w:val="%1)"/>
      <w:lvlJc w:val="left"/>
      <w:pPr>
        <w:ind w:left="2174" w:hanging="360"/>
      </w:pPr>
      <w:rPr>
        <w:rFonts w:hint="default"/>
      </w:rPr>
    </w:lvl>
    <w:lvl w:ilvl="1" w:tplc="20000019">
      <w:start w:val="1"/>
      <w:numFmt w:val="lowerLetter"/>
      <w:lvlText w:val="%2."/>
      <w:lvlJc w:val="left"/>
      <w:pPr>
        <w:ind w:left="2894" w:hanging="360"/>
      </w:pPr>
    </w:lvl>
    <w:lvl w:ilvl="2" w:tplc="2000001B" w:tentative="1">
      <w:start w:val="1"/>
      <w:numFmt w:val="lowerRoman"/>
      <w:lvlText w:val="%3."/>
      <w:lvlJc w:val="right"/>
      <w:pPr>
        <w:ind w:left="3614" w:hanging="180"/>
      </w:pPr>
    </w:lvl>
    <w:lvl w:ilvl="3" w:tplc="2000000F" w:tentative="1">
      <w:start w:val="1"/>
      <w:numFmt w:val="decimal"/>
      <w:lvlText w:val="%4."/>
      <w:lvlJc w:val="left"/>
      <w:pPr>
        <w:ind w:left="4334" w:hanging="360"/>
      </w:pPr>
    </w:lvl>
    <w:lvl w:ilvl="4" w:tplc="20000019" w:tentative="1">
      <w:start w:val="1"/>
      <w:numFmt w:val="lowerLetter"/>
      <w:lvlText w:val="%5."/>
      <w:lvlJc w:val="left"/>
      <w:pPr>
        <w:ind w:left="5054" w:hanging="360"/>
      </w:pPr>
    </w:lvl>
    <w:lvl w:ilvl="5" w:tplc="2000001B" w:tentative="1">
      <w:start w:val="1"/>
      <w:numFmt w:val="lowerRoman"/>
      <w:lvlText w:val="%6."/>
      <w:lvlJc w:val="right"/>
      <w:pPr>
        <w:ind w:left="5774" w:hanging="180"/>
      </w:pPr>
    </w:lvl>
    <w:lvl w:ilvl="6" w:tplc="2000000F" w:tentative="1">
      <w:start w:val="1"/>
      <w:numFmt w:val="decimal"/>
      <w:lvlText w:val="%7."/>
      <w:lvlJc w:val="left"/>
      <w:pPr>
        <w:ind w:left="6494" w:hanging="360"/>
      </w:pPr>
    </w:lvl>
    <w:lvl w:ilvl="7" w:tplc="20000019" w:tentative="1">
      <w:start w:val="1"/>
      <w:numFmt w:val="lowerLetter"/>
      <w:lvlText w:val="%8."/>
      <w:lvlJc w:val="left"/>
      <w:pPr>
        <w:ind w:left="7214" w:hanging="360"/>
      </w:pPr>
    </w:lvl>
    <w:lvl w:ilvl="8" w:tplc="2000001B" w:tentative="1">
      <w:start w:val="1"/>
      <w:numFmt w:val="lowerRoman"/>
      <w:lvlText w:val="%9."/>
      <w:lvlJc w:val="right"/>
      <w:pPr>
        <w:ind w:left="7934" w:hanging="180"/>
      </w:pPr>
    </w:lvl>
  </w:abstractNum>
  <w:abstractNum w:abstractNumId="1" w15:restartNumberingAfterBreak="0">
    <w:nsid w:val="0A39562B"/>
    <w:multiLevelType w:val="multilevel"/>
    <w:tmpl w:val="0AF24D8A"/>
    <w:lvl w:ilvl="0">
      <w:start w:val="5"/>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numFmt w:val="lowerRoman"/>
      <w:lvlText w:val="(%3)"/>
      <w:lvlJc w:val="left"/>
      <w:pPr>
        <w:tabs>
          <w:tab w:val="num" w:pos="567"/>
        </w:tabs>
        <w:ind w:left="2948" w:hanging="567"/>
      </w:pPr>
      <w:rPr>
        <w:rFonts w:hint="default"/>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2" w15:restartNumberingAfterBreak="0">
    <w:nsid w:val="10617FB3"/>
    <w:multiLevelType w:val="multilevel"/>
    <w:tmpl w:val="80F014BA"/>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b w:val="0"/>
        <w:i w:val="0"/>
        <w:caps w:val="0"/>
        <w:strike w:val="0"/>
        <w:dstrike w:val="0"/>
        <w:vanish w:val="0"/>
        <w:color w:val="000000"/>
        <w:sz w:val="20"/>
        <w:szCs w:val="20"/>
        <w:vertAlign w:val="baseline"/>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15:restartNumberingAfterBreak="0">
    <w:nsid w:val="1E9336E0"/>
    <w:multiLevelType w:val="multilevel"/>
    <w:tmpl w:val="ED126406"/>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2A111002"/>
    <w:multiLevelType w:val="multilevel"/>
    <w:tmpl w:val="B77CA1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b w:val="0"/>
        <w:i w:val="0"/>
        <w:caps w:val="0"/>
        <w:strike w:val="0"/>
        <w:dstrike w:val="0"/>
        <w:vanish w:val="0"/>
        <w:color w:val="000000"/>
        <w:sz w:val="20"/>
        <w:szCs w:val="20"/>
        <w:vertAlign w:val="baseline"/>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15:restartNumberingAfterBreak="0">
    <w:nsid w:val="2A291A92"/>
    <w:multiLevelType w:val="multilevel"/>
    <w:tmpl w:val="ED126406"/>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2BA472D8"/>
    <w:multiLevelType w:val="multilevel"/>
    <w:tmpl w:val="ED126406"/>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9" w15:restartNumberingAfterBreak="0">
    <w:nsid w:val="36EE164F"/>
    <w:multiLevelType w:val="multilevel"/>
    <w:tmpl w:val="06903CC4"/>
    <w:lvl w:ilvl="0">
      <w:start w:val="4"/>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rPr>
        <w:rFonts w:ascii="Times New Roman" w:eastAsiaTheme="minorEastAsia" w:hAnsi="Times New Roman" w:cs="Times New Roman"/>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10" w15:restartNumberingAfterBreak="0">
    <w:nsid w:val="39D729B2"/>
    <w:multiLevelType w:val="multilevel"/>
    <w:tmpl w:val="A4E0D010"/>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b w:val="0"/>
        <w:i w:val="0"/>
        <w:caps w:val="0"/>
        <w:strike w:val="0"/>
        <w:dstrike w:val="0"/>
        <w:vanish w:val="0"/>
        <w:color w:val="000000"/>
        <w:sz w:val="20"/>
        <w:szCs w:val="20"/>
        <w:vertAlign w:val="baseline"/>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 w15:restartNumberingAfterBreak="0">
    <w:nsid w:val="52A66A9D"/>
    <w:multiLevelType w:val="multilevel"/>
    <w:tmpl w:val="81DEBE68"/>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2" w15:restartNumberingAfterBreak="0">
    <w:nsid w:val="54DC3F2F"/>
    <w:multiLevelType w:val="multilevel"/>
    <w:tmpl w:val="45AAF570"/>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3" w15:restartNumberingAfterBreak="0">
    <w:nsid w:val="5A886F4C"/>
    <w:multiLevelType w:val="multilevel"/>
    <w:tmpl w:val="ED126406"/>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15:restartNumberingAfterBreak="0">
    <w:nsid w:val="5D641A33"/>
    <w:multiLevelType w:val="multilevel"/>
    <w:tmpl w:val="8D4E8788"/>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b w:val="0"/>
        <w:i w:val="0"/>
        <w:caps w:val="0"/>
        <w:strike w:val="0"/>
        <w:dstrike w:val="0"/>
        <w:vanish w:val="0"/>
        <w:color w:val="000000"/>
        <w:sz w:val="20"/>
        <w:szCs w:val="20"/>
        <w:vertAlign w:val="baseline"/>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5" w15:restartNumberingAfterBreak="0">
    <w:nsid w:val="6F5A2446"/>
    <w:multiLevelType w:val="multilevel"/>
    <w:tmpl w:val="45AAF570"/>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6" w15:restartNumberingAfterBreak="0">
    <w:nsid w:val="71A517A5"/>
    <w:multiLevelType w:val="multilevel"/>
    <w:tmpl w:val="A33472F8"/>
    <w:lvl w:ilvl="0">
      <w:start w:val="4"/>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ascii="Times New Roman" w:eastAsiaTheme="minorEastAsia" w:hAnsi="Times New Roman" w:cs="Times New Roman"/>
      </w:rPr>
    </w:lvl>
    <w:lvl w:ilvl="2">
      <w:start w:val="1"/>
      <w:numFmt w:val="lowerRoman"/>
      <w:lvlText w:val="(%3)"/>
      <w:lvlJc w:val="left"/>
      <w:pPr>
        <w:tabs>
          <w:tab w:val="num" w:pos="567"/>
        </w:tabs>
        <w:ind w:left="2948" w:hanging="567"/>
      </w:pPr>
      <w:rPr>
        <w:rFonts w:ascii="Times New Roman" w:eastAsiaTheme="minorEastAsia" w:hAnsi="Times New Roman" w:cs="Times New Roman"/>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17" w15:restartNumberingAfterBreak="0">
    <w:nsid w:val="74327C78"/>
    <w:multiLevelType w:val="multilevel"/>
    <w:tmpl w:val="ED126406"/>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8" w15:restartNumberingAfterBreak="0">
    <w:nsid w:val="75D702AA"/>
    <w:multiLevelType w:val="multilevel"/>
    <w:tmpl w:val="7C4A9A10"/>
    <w:lvl w:ilvl="0">
      <w:start w:val="5"/>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numFmt w:val="lowerRoman"/>
      <w:lvlText w:val="(%3)"/>
      <w:lvlJc w:val="left"/>
      <w:pPr>
        <w:tabs>
          <w:tab w:val="num" w:pos="567"/>
        </w:tabs>
        <w:ind w:left="2948" w:hanging="567"/>
      </w:pPr>
      <w:rPr>
        <w:rFonts w:hint="default"/>
      </w:rPr>
    </w:lvl>
    <w:lvl w:ilvl="3">
      <w:numFmt w:val="lowerLetter"/>
      <w:lvlText w:val="%4."/>
      <w:lvlJc w:val="left"/>
      <w:pPr>
        <w:tabs>
          <w:tab w:val="num" w:pos="567"/>
        </w:tabs>
        <w:ind w:left="3515" w:hanging="567"/>
      </w:pPr>
      <w:rPr>
        <w:rFonts w:hint="default"/>
      </w:rPr>
    </w:lvl>
    <w:lvl w:ilvl="4">
      <w:numFmt w:val="lowerLetter"/>
      <w:lvlText w:val="%5."/>
      <w:lvlJc w:val="left"/>
      <w:pPr>
        <w:tabs>
          <w:tab w:val="num" w:pos="6548"/>
        </w:tabs>
        <w:ind w:left="6548" w:hanging="360"/>
      </w:pPr>
      <w:rPr>
        <w:rFonts w:hint="default"/>
      </w:rPr>
    </w:lvl>
    <w:lvl w:ilvl="5">
      <w:numFmt w:val="lowerRoman"/>
      <w:lvlText w:val="%6."/>
      <w:lvlJc w:val="right"/>
      <w:pPr>
        <w:tabs>
          <w:tab w:val="num" w:pos="7268"/>
        </w:tabs>
        <w:ind w:left="7268" w:hanging="180"/>
      </w:pPr>
      <w:rPr>
        <w:rFonts w:hint="default"/>
      </w:rPr>
    </w:lvl>
    <w:lvl w:ilvl="6">
      <w:numFmt w:val="decimal"/>
      <w:lvlText w:val="%7."/>
      <w:lvlJc w:val="left"/>
      <w:pPr>
        <w:tabs>
          <w:tab w:val="num" w:pos="7988"/>
        </w:tabs>
        <w:ind w:left="7988" w:hanging="360"/>
      </w:pPr>
      <w:rPr>
        <w:rFonts w:hint="default"/>
      </w:rPr>
    </w:lvl>
    <w:lvl w:ilvl="7">
      <w:numFmt w:val="lowerLetter"/>
      <w:lvlText w:val="%8."/>
      <w:lvlJc w:val="left"/>
      <w:pPr>
        <w:tabs>
          <w:tab w:val="num" w:pos="8708"/>
        </w:tabs>
        <w:ind w:left="8708" w:hanging="360"/>
      </w:pPr>
      <w:rPr>
        <w:rFonts w:hint="default"/>
      </w:rPr>
    </w:lvl>
    <w:lvl w:ilvl="8">
      <w:numFmt w:val="lowerRoman"/>
      <w:lvlText w:val="%9."/>
      <w:lvlJc w:val="right"/>
      <w:pPr>
        <w:tabs>
          <w:tab w:val="num" w:pos="9428"/>
        </w:tabs>
        <w:ind w:left="9428" w:hanging="180"/>
      </w:pPr>
      <w:rPr>
        <w:rFonts w:hint="default"/>
      </w:rPr>
    </w:lvl>
  </w:abstractNum>
  <w:abstractNum w:abstractNumId="19" w15:restartNumberingAfterBreak="0">
    <w:nsid w:val="7E1C3F7C"/>
    <w:multiLevelType w:val="multilevel"/>
    <w:tmpl w:val="4D16C6AE"/>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b w:val="0"/>
        <w:i w:val="0"/>
        <w:caps w:val="0"/>
        <w:strike w:val="0"/>
        <w:dstrike w:val="0"/>
        <w:vanish w:val="0"/>
        <w:color w:val="000000"/>
        <w:sz w:val="20"/>
        <w:szCs w:val="20"/>
        <w:vertAlign w:val="baseline"/>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11"/>
  </w:num>
  <w:num w:numId="2">
    <w:abstractNumId w:val="3"/>
  </w:num>
  <w:num w:numId="3">
    <w:abstractNumId w:val="8"/>
  </w:num>
  <w:num w:numId="4">
    <w:abstractNumId w:val="11"/>
    <w:lvlOverride w:ilvl="0">
      <w:lvl w:ilvl="0">
        <w:start w:val="1"/>
        <w:numFmt w:val="decimal"/>
        <w:pStyle w:val="Normalnumber"/>
        <w:lvlText w:val="%1."/>
        <w:lvlJc w:val="left"/>
        <w:pPr>
          <w:tabs>
            <w:tab w:val="num" w:pos="1134"/>
          </w:tabs>
          <w:ind w:left="1247" w:firstLine="0"/>
        </w:pPr>
        <w:rPr>
          <w:rFonts w:hint="default"/>
          <w:b w:val="0"/>
          <w:bCs w:val="0"/>
        </w:rPr>
      </w:lvl>
    </w:lvlOverride>
  </w:num>
  <w:num w:numId="5">
    <w:abstractNumId w:val="16"/>
  </w:num>
  <w:num w:numId="6">
    <w:abstractNumId w:val="18"/>
  </w:num>
  <w:num w:numId="7">
    <w:abstractNumId w:val="12"/>
  </w:num>
  <w:num w:numId="8">
    <w:abstractNumId w:val="1"/>
  </w:num>
  <w:num w:numId="9">
    <w:abstractNumId w:val="9"/>
  </w:num>
  <w:num w:numId="10">
    <w:abstractNumId w:val="13"/>
  </w:num>
  <w:num w:numId="11">
    <w:abstractNumId w:val="2"/>
  </w:num>
  <w:num w:numId="12">
    <w:abstractNumId w:val="11"/>
    <w:lvlOverride w:ilvl="0">
      <w:lvl w:ilvl="0">
        <w:start w:val="1"/>
        <w:numFmt w:val="decimal"/>
        <w:pStyle w:val="Normalnumber"/>
        <w:lvlText w:val="%1."/>
        <w:lvlJc w:val="left"/>
        <w:pPr>
          <w:tabs>
            <w:tab w:val="num" w:pos="1134"/>
          </w:tabs>
          <w:ind w:left="1247" w:firstLine="0"/>
        </w:pPr>
        <w:rPr>
          <w:rFonts w:hint="default"/>
          <w:b w:val="0"/>
          <w:bCs w:val="0"/>
        </w:rPr>
      </w:lvl>
    </w:lvlOverride>
  </w:num>
  <w:num w:numId="13">
    <w:abstractNumId w:val="11"/>
    <w:lvlOverride w:ilvl="0">
      <w:lvl w:ilvl="0">
        <w:start w:val="1"/>
        <w:numFmt w:val="decimal"/>
        <w:pStyle w:val="Normalnumber"/>
        <w:lvlText w:val="%1."/>
        <w:lvlJc w:val="left"/>
        <w:pPr>
          <w:tabs>
            <w:tab w:val="num" w:pos="1134"/>
          </w:tabs>
          <w:ind w:left="1247" w:firstLine="0"/>
        </w:pPr>
        <w:rPr>
          <w:rFonts w:hint="default"/>
          <w:b w:val="0"/>
          <w:bCs w:val="0"/>
        </w:rPr>
      </w:lvl>
    </w:lvlOverride>
  </w:num>
  <w:num w:numId="14">
    <w:abstractNumId w:val="11"/>
    <w:lvlOverride w:ilvl="0">
      <w:lvl w:ilvl="0">
        <w:start w:val="1"/>
        <w:numFmt w:val="decimal"/>
        <w:pStyle w:val="Normalnumber"/>
        <w:lvlText w:val="%1."/>
        <w:lvlJc w:val="left"/>
        <w:pPr>
          <w:tabs>
            <w:tab w:val="num" w:pos="1134"/>
          </w:tabs>
          <w:ind w:left="1247" w:firstLine="0"/>
        </w:pPr>
        <w:rPr>
          <w:rFonts w:hint="default"/>
          <w:b w:val="0"/>
          <w:bCs w:val="0"/>
        </w:rPr>
      </w:lvl>
    </w:lvlOverride>
  </w:num>
  <w:num w:numId="15">
    <w:abstractNumId w:val="6"/>
  </w:num>
  <w:num w:numId="16">
    <w:abstractNumId w:val="11"/>
    <w:lvlOverride w:ilvl="0">
      <w:lvl w:ilvl="0">
        <w:start w:val="1"/>
        <w:numFmt w:val="decimal"/>
        <w:pStyle w:val="Normalnumber"/>
        <w:lvlText w:val="%1."/>
        <w:lvlJc w:val="left"/>
        <w:pPr>
          <w:tabs>
            <w:tab w:val="num" w:pos="1134"/>
          </w:tabs>
          <w:ind w:left="1247" w:firstLine="0"/>
        </w:pPr>
        <w:rPr>
          <w:rFonts w:hint="default"/>
          <w:b w:val="0"/>
          <w:bCs w:val="0"/>
        </w:rPr>
      </w:lvl>
    </w:lvlOverride>
  </w:num>
  <w:num w:numId="17">
    <w:abstractNumId w:val="11"/>
    <w:lvlOverride w:ilvl="0">
      <w:lvl w:ilvl="0">
        <w:start w:val="1"/>
        <w:numFmt w:val="decimal"/>
        <w:pStyle w:val="Normalnumber"/>
        <w:lvlText w:val="%1."/>
        <w:lvlJc w:val="left"/>
        <w:pPr>
          <w:tabs>
            <w:tab w:val="num" w:pos="1134"/>
          </w:tabs>
          <w:ind w:left="1247" w:firstLine="0"/>
        </w:pPr>
        <w:rPr>
          <w:rFonts w:hint="default"/>
          <w:b w:val="0"/>
          <w:bCs w:val="0"/>
        </w:rPr>
      </w:lvl>
    </w:lvlOverride>
  </w:num>
  <w:num w:numId="18">
    <w:abstractNumId w:val="11"/>
    <w:lvlOverride w:ilvl="0">
      <w:lvl w:ilvl="0">
        <w:start w:val="1"/>
        <w:numFmt w:val="decimal"/>
        <w:pStyle w:val="Normalnumber"/>
        <w:lvlText w:val="%1."/>
        <w:lvlJc w:val="left"/>
        <w:pPr>
          <w:tabs>
            <w:tab w:val="num" w:pos="1134"/>
          </w:tabs>
          <w:ind w:left="1247" w:firstLine="0"/>
        </w:pPr>
        <w:rPr>
          <w:rFonts w:hint="default"/>
          <w:b w:val="0"/>
          <w:bCs w:val="0"/>
        </w:rPr>
      </w:lvl>
    </w:lvlOverride>
  </w:num>
  <w:num w:numId="19">
    <w:abstractNumId w:val="11"/>
    <w:lvlOverride w:ilvl="0">
      <w:lvl w:ilvl="0">
        <w:start w:val="1"/>
        <w:numFmt w:val="decimal"/>
        <w:pStyle w:val="Normalnumber"/>
        <w:lvlText w:val="%1."/>
        <w:lvlJc w:val="left"/>
        <w:pPr>
          <w:tabs>
            <w:tab w:val="num" w:pos="1134"/>
          </w:tabs>
          <w:ind w:left="1247" w:firstLine="0"/>
        </w:pPr>
        <w:rPr>
          <w:rFonts w:hint="default"/>
          <w:b w:val="0"/>
          <w:bCs w:val="0"/>
        </w:rPr>
      </w:lvl>
    </w:lvlOverride>
  </w:num>
  <w:num w:numId="20">
    <w:abstractNumId w:val="11"/>
    <w:lvlOverride w:ilvl="0">
      <w:lvl w:ilvl="0">
        <w:start w:val="1"/>
        <w:numFmt w:val="decimal"/>
        <w:pStyle w:val="Normalnumber"/>
        <w:lvlText w:val="%1."/>
        <w:lvlJc w:val="left"/>
        <w:pPr>
          <w:tabs>
            <w:tab w:val="num" w:pos="1134"/>
          </w:tabs>
          <w:ind w:left="1247" w:firstLine="0"/>
        </w:pPr>
        <w:rPr>
          <w:rFonts w:hint="default"/>
          <w:b w:val="0"/>
          <w:bCs w:val="0"/>
        </w:rPr>
      </w:lvl>
    </w:lvlOverride>
  </w:num>
  <w:num w:numId="21">
    <w:abstractNumId w:val="11"/>
    <w:lvlOverride w:ilvl="0">
      <w:lvl w:ilvl="0">
        <w:start w:val="1"/>
        <w:numFmt w:val="decimal"/>
        <w:pStyle w:val="Normalnumber"/>
        <w:lvlText w:val="%1."/>
        <w:lvlJc w:val="left"/>
        <w:pPr>
          <w:tabs>
            <w:tab w:val="num" w:pos="1134"/>
          </w:tabs>
          <w:ind w:left="1247" w:firstLine="0"/>
        </w:pPr>
        <w:rPr>
          <w:rFonts w:hint="default"/>
          <w:b w:val="0"/>
          <w:bCs w:val="0"/>
        </w:rPr>
      </w:lvl>
    </w:lvlOverride>
  </w:num>
  <w:num w:numId="22">
    <w:abstractNumId w:val="17"/>
  </w:num>
  <w:num w:numId="23">
    <w:abstractNumId w:val="4"/>
  </w:num>
  <w:num w:numId="24">
    <w:abstractNumId w:val="10"/>
  </w:num>
  <w:num w:numId="25">
    <w:abstractNumId w:val="11"/>
    <w:lvlOverride w:ilvl="0">
      <w:lvl w:ilvl="0">
        <w:start w:val="1"/>
        <w:numFmt w:val="decimal"/>
        <w:pStyle w:val="Normalnumber"/>
        <w:lvlText w:val="%1."/>
        <w:lvlJc w:val="left"/>
        <w:pPr>
          <w:tabs>
            <w:tab w:val="num" w:pos="1134"/>
          </w:tabs>
          <w:ind w:left="1247" w:firstLine="0"/>
        </w:pPr>
        <w:rPr>
          <w:rFonts w:hint="default"/>
          <w:b w:val="0"/>
          <w:bCs w:val="0"/>
        </w:rPr>
      </w:lvl>
    </w:lvlOverride>
  </w:num>
  <w:num w:numId="26">
    <w:abstractNumId w:val="11"/>
    <w:lvlOverride w:ilvl="0">
      <w:lvl w:ilvl="0">
        <w:start w:val="1"/>
        <w:numFmt w:val="decimal"/>
        <w:pStyle w:val="Normalnumber"/>
        <w:lvlText w:val="%1."/>
        <w:lvlJc w:val="left"/>
        <w:pPr>
          <w:tabs>
            <w:tab w:val="num" w:pos="1134"/>
          </w:tabs>
          <w:ind w:left="1247" w:firstLine="0"/>
        </w:pPr>
        <w:rPr>
          <w:rFonts w:hint="default"/>
          <w:b w:val="0"/>
          <w:bCs w:val="0"/>
        </w:rPr>
      </w:lvl>
    </w:lvlOverride>
  </w:num>
  <w:num w:numId="27">
    <w:abstractNumId w:val="11"/>
    <w:lvlOverride w:ilvl="0">
      <w:lvl w:ilvl="0">
        <w:start w:val="1"/>
        <w:numFmt w:val="decimal"/>
        <w:pStyle w:val="Normalnumber"/>
        <w:lvlText w:val="%1."/>
        <w:lvlJc w:val="left"/>
        <w:pPr>
          <w:tabs>
            <w:tab w:val="num" w:pos="1134"/>
          </w:tabs>
          <w:ind w:left="1247" w:firstLine="0"/>
        </w:pPr>
        <w:rPr>
          <w:rFonts w:hint="default"/>
          <w:b w:val="0"/>
          <w:bCs w:val="0"/>
        </w:rPr>
      </w:lvl>
    </w:lvlOverride>
  </w:num>
  <w:num w:numId="28">
    <w:abstractNumId w:val="11"/>
    <w:lvlOverride w:ilvl="0">
      <w:lvl w:ilvl="0">
        <w:start w:val="1"/>
        <w:numFmt w:val="decimal"/>
        <w:pStyle w:val="Normalnumber"/>
        <w:lvlText w:val="%1."/>
        <w:lvlJc w:val="left"/>
        <w:pPr>
          <w:tabs>
            <w:tab w:val="num" w:pos="1134"/>
          </w:tabs>
          <w:ind w:left="1247" w:firstLine="0"/>
        </w:pPr>
        <w:rPr>
          <w:rFonts w:hint="default"/>
          <w:b w:val="0"/>
          <w:bCs w:val="0"/>
        </w:rPr>
      </w:lvl>
    </w:lvlOverride>
  </w:num>
  <w:num w:numId="29">
    <w:abstractNumId w:val="15"/>
  </w:num>
  <w:num w:numId="30">
    <w:abstractNumId w:val="5"/>
  </w:num>
  <w:num w:numId="31">
    <w:abstractNumId w:val="14"/>
  </w:num>
  <w:num w:numId="32">
    <w:abstractNumId w:val="19"/>
  </w:num>
  <w:num w:numId="33">
    <w:abstractNumId w:val="7"/>
  </w:num>
  <w:num w:numId="34">
    <w:abstractNumId w:val="11"/>
    <w:lvlOverride w:ilvl="0">
      <w:lvl w:ilvl="0">
        <w:start w:val="1"/>
        <w:numFmt w:val="decimal"/>
        <w:pStyle w:val="Normalnumber"/>
        <w:lvlText w:val="%1."/>
        <w:lvlJc w:val="left"/>
        <w:pPr>
          <w:tabs>
            <w:tab w:val="num" w:pos="1134"/>
          </w:tabs>
          <w:ind w:left="1247" w:firstLine="0"/>
        </w:pPr>
        <w:rPr>
          <w:rFonts w:hint="default"/>
          <w:b w:val="0"/>
          <w:bCs w:val="0"/>
        </w:rPr>
      </w:lvl>
    </w:lvlOverride>
  </w:num>
  <w:num w:numId="35">
    <w:abstractNumId w:val="11"/>
    <w:lvlOverride w:ilvl="0">
      <w:lvl w:ilvl="0">
        <w:start w:val="1"/>
        <w:numFmt w:val="decimal"/>
        <w:pStyle w:val="Normalnumber"/>
        <w:lvlText w:val="%1."/>
        <w:lvlJc w:val="left"/>
        <w:pPr>
          <w:tabs>
            <w:tab w:val="num" w:pos="1134"/>
          </w:tabs>
          <w:ind w:left="1247" w:firstLine="0"/>
        </w:pPr>
        <w:rPr>
          <w:rFonts w:hint="default"/>
          <w:b w:val="0"/>
          <w:bCs w:val="0"/>
        </w:rPr>
      </w:lvl>
    </w:lvlOverride>
  </w:num>
  <w:num w:numId="36">
    <w:abstractNumId w:val="11"/>
    <w:lvlOverride w:ilvl="0">
      <w:lvl w:ilvl="0">
        <w:start w:val="1"/>
        <w:numFmt w:val="decimal"/>
        <w:pStyle w:val="Normalnumber"/>
        <w:lvlText w:val="%1."/>
        <w:lvlJc w:val="left"/>
        <w:pPr>
          <w:tabs>
            <w:tab w:val="num" w:pos="1134"/>
          </w:tabs>
          <w:ind w:left="1247" w:firstLine="0"/>
        </w:pPr>
        <w:rPr>
          <w:rFonts w:hint="default"/>
          <w:b w:val="0"/>
          <w:bCs w:val="0"/>
        </w:rPr>
      </w:lvl>
    </w:lvlOverride>
  </w:num>
  <w:num w:numId="37">
    <w:abstractNumId w:val="11"/>
    <w:lvlOverride w:ilvl="0">
      <w:lvl w:ilvl="0">
        <w:start w:val="1"/>
        <w:numFmt w:val="decimal"/>
        <w:pStyle w:val="Normalnumber"/>
        <w:lvlText w:val="%1."/>
        <w:lvlJc w:val="left"/>
        <w:pPr>
          <w:tabs>
            <w:tab w:val="num" w:pos="1134"/>
          </w:tabs>
          <w:ind w:left="1247" w:firstLine="0"/>
        </w:pPr>
        <w:rPr>
          <w:rFonts w:hint="default"/>
          <w:b w:val="0"/>
          <w:bCs w:val="0"/>
        </w:rPr>
      </w:lvl>
    </w:lvlOverride>
  </w:num>
  <w:num w:numId="38">
    <w:abstractNumId w:val="11"/>
    <w:lvlOverride w:ilvl="0">
      <w:lvl w:ilvl="0">
        <w:start w:val="1"/>
        <w:numFmt w:val="decimal"/>
        <w:pStyle w:val="Normalnumber"/>
        <w:lvlText w:val="%1."/>
        <w:lvlJc w:val="left"/>
        <w:pPr>
          <w:tabs>
            <w:tab w:val="num" w:pos="1134"/>
          </w:tabs>
          <w:ind w:left="1247" w:firstLine="0"/>
        </w:pPr>
        <w:rPr>
          <w:rFonts w:hint="default"/>
          <w:b w:val="0"/>
          <w:bCs w:val="0"/>
        </w:rPr>
      </w:lvl>
    </w:lvlOverride>
  </w:num>
  <w:num w:numId="39">
    <w:abstractNumId w:val="0"/>
  </w:num>
  <w:num w:numId="40">
    <w:abstractNumId w:val="11"/>
    <w:lvlOverride w:ilvl="0">
      <w:lvl w:ilvl="0">
        <w:start w:val="1"/>
        <w:numFmt w:val="decimal"/>
        <w:pStyle w:val="Normalnumber"/>
        <w:lvlText w:val="%1."/>
        <w:lvlJc w:val="left"/>
        <w:pPr>
          <w:tabs>
            <w:tab w:val="num" w:pos="1134"/>
          </w:tabs>
          <w:ind w:left="1247" w:firstLine="0"/>
        </w:pPr>
        <w:rPr>
          <w:rFonts w:hint="default"/>
          <w:b w:val="0"/>
          <w:bCs w:val="0"/>
        </w:rPr>
      </w:lvl>
    </w:lvlOverride>
  </w:num>
  <w:num w:numId="41">
    <w:abstractNumId w:val="11"/>
    <w:lvlOverride w:ilvl="0">
      <w:lvl w:ilvl="0">
        <w:start w:val="1"/>
        <w:numFmt w:val="decimal"/>
        <w:pStyle w:val="Normalnumber"/>
        <w:lvlText w:val="%1."/>
        <w:lvlJc w:val="left"/>
        <w:pPr>
          <w:tabs>
            <w:tab w:val="num" w:pos="1134"/>
          </w:tabs>
          <w:ind w:left="1247" w:firstLine="0"/>
        </w:pPr>
        <w:rPr>
          <w:rFonts w:hint="default"/>
          <w:b w:val="0"/>
          <w:bCs w:val="0"/>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ZA" w:vendorID="64" w:dllVersion="0" w:nlCheck="1" w:checkStyle="0"/>
  <w:activeWritingStyle w:appName="MSWord" w:lang="en-CA"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comments="0" w:insDel="0" w:formatting="0"/>
  <w:defaultTabStop w:val="624"/>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B00"/>
    <w:rsid w:val="000116F0"/>
    <w:rsid w:val="00012382"/>
    <w:rsid w:val="0001497E"/>
    <w:rsid w:val="000149E6"/>
    <w:rsid w:val="0002109D"/>
    <w:rsid w:val="000217BC"/>
    <w:rsid w:val="000247B0"/>
    <w:rsid w:val="00026971"/>
    <w:rsid w:val="00026997"/>
    <w:rsid w:val="00031A82"/>
    <w:rsid w:val="00033E0B"/>
    <w:rsid w:val="00035EDE"/>
    <w:rsid w:val="00036891"/>
    <w:rsid w:val="00040C7C"/>
    <w:rsid w:val="00045391"/>
    <w:rsid w:val="000509B4"/>
    <w:rsid w:val="00051F07"/>
    <w:rsid w:val="00056FD5"/>
    <w:rsid w:val="0006035B"/>
    <w:rsid w:val="00060448"/>
    <w:rsid w:val="000709EB"/>
    <w:rsid w:val="00071886"/>
    <w:rsid w:val="000742BC"/>
    <w:rsid w:val="00077577"/>
    <w:rsid w:val="00082A0C"/>
    <w:rsid w:val="00083504"/>
    <w:rsid w:val="00084467"/>
    <w:rsid w:val="00094CA8"/>
    <w:rsid w:val="00095124"/>
    <w:rsid w:val="0009640C"/>
    <w:rsid w:val="00097664"/>
    <w:rsid w:val="000A1D5A"/>
    <w:rsid w:val="000B22A2"/>
    <w:rsid w:val="000B3C16"/>
    <w:rsid w:val="000C2A52"/>
    <w:rsid w:val="000C2CAF"/>
    <w:rsid w:val="000C44E0"/>
    <w:rsid w:val="000D073D"/>
    <w:rsid w:val="000D33C0"/>
    <w:rsid w:val="000D468E"/>
    <w:rsid w:val="000D6941"/>
    <w:rsid w:val="000D7400"/>
    <w:rsid w:val="000E5831"/>
    <w:rsid w:val="001036CA"/>
    <w:rsid w:val="001202E3"/>
    <w:rsid w:val="001203EB"/>
    <w:rsid w:val="00121278"/>
    <w:rsid w:val="00122272"/>
    <w:rsid w:val="00123699"/>
    <w:rsid w:val="00123E90"/>
    <w:rsid w:val="0013059D"/>
    <w:rsid w:val="00132671"/>
    <w:rsid w:val="0013637E"/>
    <w:rsid w:val="00140D4C"/>
    <w:rsid w:val="00141A55"/>
    <w:rsid w:val="00142D29"/>
    <w:rsid w:val="001446A3"/>
    <w:rsid w:val="0014640B"/>
    <w:rsid w:val="00152574"/>
    <w:rsid w:val="0015455A"/>
    <w:rsid w:val="00155395"/>
    <w:rsid w:val="00160D74"/>
    <w:rsid w:val="00161BCA"/>
    <w:rsid w:val="00162A49"/>
    <w:rsid w:val="0016657B"/>
    <w:rsid w:val="00167D02"/>
    <w:rsid w:val="00170A2C"/>
    <w:rsid w:val="001729FC"/>
    <w:rsid w:val="00174FA1"/>
    <w:rsid w:val="0017509A"/>
    <w:rsid w:val="0017564A"/>
    <w:rsid w:val="00181EC8"/>
    <w:rsid w:val="00183973"/>
    <w:rsid w:val="0018399A"/>
    <w:rsid w:val="00184349"/>
    <w:rsid w:val="00195F33"/>
    <w:rsid w:val="001965B7"/>
    <w:rsid w:val="00196A1E"/>
    <w:rsid w:val="001A2350"/>
    <w:rsid w:val="001A6D33"/>
    <w:rsid w:val="001A7A79"/>
    <w:rsid w:val="001B1617"/>
    <w:rsid w:val="001B3ECD"/>
    <w:rsid w:val="001B504B"/>
    <w:rsid w:val="001C000D"/>
    <w:rsid w:val="001C246C"/>
    <w:rsid w:val="001C67B8"/>
    <w:rsid w:val="001D02B1"/>
    <w:rsid w:val="001D1F3B"/>
    <w:rsid w:val="001D3874"/>
    <w:rsid w:val="001D7E75"/>
    <w:rsid w:val="001E4825"/>
    <w:rsid w:val="001E56D2"/>
    <w:rsid w:val="001E6029"/>
    <w:rsid w:val="001E7D56"/>
    <w:rsid w:val="001F62E1"/>
    <w:rsid w:val="001F75DE"/>
    <w:rsid w:val="00200D58"/>
    <w:rsid w:val="002013BE"/>
    <w:rsid w:val="00201BBE"/>
    <w:rsid w:val="002063A4"/>
    <w:rsid w:val="00210B8E"/>
    <w:rsid w:val="0021145B"/>
    <w:rsid w:val="0021787F"/>
    <w:rsid w:val="00223AD5"/>
    <w:rsid w:val="00226FCB"/>
    <w:rsid w:val="00237416"/>
    <w:rsid w:val="002379D0"/>
    <w:rsid w:val="002408FC"/>
    <w:rsid w:val="00243D36"/>
    <w:rsid w:val="00247707"/>
    <w:rsid w:val="00254006"/>
    <w:rsid w:val="0026018E"/>
    <w:rsid w:val="002663F0"/>
    <w:rsid w:val="00280502"/>
    <w:rsid w:val="00282131"/>
    <w:rsid w:val="00282FE6"/>
    <w:rsid w:val="00286740"/>
    <w:rsid w:val="00291F86"/>
    <w:rsid w:val="002929D8"/>
    <w:rsid w:val="002A237D"/>
    <w:rsid w:val="002A2427"/>
    <w:rsid w:val="002A43EB"/>
    <w:rsid w:val="002A445A"/>
    <w:rsid w:val="002A4C53"/>
    <w:rsid w:val="002A6579"/>
    <w:rsid w:val="002B0672"/>
    <w:rsid w:val="002B247F"/>
    <w:rsid w:val="002B397D"/>
    <w:rsid w:val="002C145D"/>
    <w:rsid w:val="002C2C3E"/>
    <w:rsid w:val="002C320D"/>
    <w:rsid w:val="002C533E"/>
    <w:rsid w:val="002C57BE"/>
    <w:rsid w:val="002C72B4"/>
    <w:rsid w:val="002D027F"/>
    <w:rsid w:val="002D670D"/>
    <w:rsid w:val="002D7A85"/>
    <w:rsid w:val="002D7B60"/>
    <w:rsid w:val="002F4324"/>
    <w:rsid w:val="002F4761"/>
    <w:rsid w:val="002F5C79"/>
    <w:rsid w:val="003019E2"/>
    <w:rsid w:val="003072AD"/>
    <w:rsid w:val="00311B98"/>
    <w:rsid w:val="0031413F"/>
    <w:rsid w:val="003148BB"/>
    <w:rsid w:val="00315379"/>
    <w:rsid w:val="00317976"/>
    <w:rsid w:val="00331094"/>
    <w:rsid w:val="00333364"/>
    <w:rsid w:val="00333C37"/>
    <w:rsid w:val="00336E0A"/>
    <w:rsid w:val="003412E4"/>
    <w:rsid w:val="00355BC8"/>
    <w:rsid w:val="00355EA9"/>
    <w:rsid w:val="003578DE"/>
    <w:rsid w:val="00360291"/>
    <w:rsid w:val="00360A52"/>
    <w:rsid w:val="003627A9"/>
    <w:rsid w:val="003775D1"/>
    <w:rsid w:val="003818BA"/>
    <w:rsid w:val="00385585"/>
    <w:rsid w:val="00387455"/>
    <w:rsid w:val="0038747C"/>
    <w:rsid w:val="0039180B"/>
    <w:rsid w:val="00391B70"/>
    <w:rsid w:val="00396257"/>
    <w:rsid w:val="00397BC4"/>
    <w:rsid w:val="00397EB8"/>
    <w:rsid w:val="003A4FD0"/>
    <w:rsid w:val="003A6664"/>
    <w:rsid w:val="003A69D1"/>
    <w:rsid w:val="003A7705"/>
    <w:rsid w:val="003A77F1"/>
    <w:rsid w:val="003B1545"/>
    <w:rsid w:val="003B500B"/>
    <w:rsid w:val="003C098D"/>
    <w:rsid w:val="003C09DF"/>
    <w:rsid w:val="003C1153"/>
    <w:rsid w:val="003C409D"/>
    <w:rsid w:val="003C411D"/>
    <w:rsid w:val="003C4E39"/>
    <w:rsid w:val="003C5BA6"/>
    <w:rsid w:val="003C6C71"/>
    <w:rsid w:val="003C7D20"/>
    <w:rsid w:val="003D1E71"/>
    <w:rsid w:val="003D686F"/>
    <w:rsid w:val="003E258C"/>
    <w:rsid w:val="003E5592"/>
    <w:rsid w:val="003F0E85"/>
    <w:rsid w:val="003F4C99"/>
    <w:rsid w:val="003F539E"/>
    <w:rsid w:val="00406675"/>
    <w:rsid w:val="00410C55"/>
    <w:rsid w:val="00412EAD"/>
    <w:rsid w:val="00416854"/>
    <w:rsid w:val="00417725"/>
    <w:rsid w:val="00421431"/>
    <w:rsid w:val="00423377"/>
    <w:rsid w:val="004256DE"/>
    <w:rsid w:val="00427227"/>
    <w:rsid w:val="0043271C"/>
    <w:rsid w:val="004330FE"/>
    <w:rsid w:val="0043624F"/>
    <w:rsid w:val="00436350"/>
    <w:rsid w:val="00437F26"/>
    <w:rsid w:val="00444097"/>
    <w:rsid w:val="004447D4"/>
    <w:rsid w:val="00445487"/>
    <w:rsid w:val="0045117B"/>
    <w:rsid w:val="0045254F"/>
    <w:rsid w:val="00454769"/>
    <w:rsid w:val="0045752A"/>
    <w:rsid w:val="0045776F"/>
    <w:rsid w:val="00466991"/>
    <w:rsid w:val="0047064C"/>
    <w:rsid w:val="004815DB"/>
    <w:rsid w:val="004852F3"/>
    <w:rsid w:val="00493FBD"/>
    <w:rsid w:val="004968FE"/>
    <w:rsid w:val="004A0706"/>
    <w:rsid w:val="004A20B0"/>
    <w:rsid w:val="004A42E1"/>
    <w:rsid w:val="004B162C"/>
    <w:rsid w:val="004B4FF7"/>
    <w:rsid w:val="004B7F10"/>
    <w:rsid w:val="004C089E"/>
    <w:rsid w:val="004C3DBE"/>
    <w:rsid w:val="004C5C96"/>
    <w:rsid w:val="004D06A4"/>
    <w:rsid w:val="004D3E45"/>
    <w:rsid w:val="004D6269"/>
    <w:rsid w:val="004E182C"/>
    <w:rsid w:val="004E3C36"/>
    <w:rsid w:val="004F1A81"/>
    <w:rsid w:val="005012B8"/>
    <w:rsid w:val="0050150C"/>
    <w:rsid w:val="005218D9"/>
    <w:rsid w:val="00526BC3"/>
    <w:rsid w:val="00533120"/>
    <w:rsid w:val="00534B14"/>
    <w:rsid w:val="00536186"/>
    <w:rsid w:val="005374B8"/>
    <w:rsid w:val="005437AC"/>
    <w:rsid w:val="00544CBB"/>
    <w:rsid w:val="005468A6"/>
    <w:rsid w:val="0055096A"/>
    <w:rsid w:val="00571B56"/>
    <w:rsid w:val="0057315F"/>
    <w:rsid w:val="00576104"/>
    <w:rsid w:val="00576521"/>
    <w:rsid w:val="00582AA3"/>
    <w:rsid w:val="00592D18"/>
    <w:rsid w:val="0059796D"/>
    <w:rsid w:val="005A5C42"/>
    <w:rsid w:val="005A77FC"/>
    <w:rsid w:val="005B6695"/>
    <w:rsid w:val="005B7D9F"/>
    <w:rsid w:val="005C67C8"/>
    <w:rsid w:val="005D0249"/>
    <w:rsid w:val="005D6E8C"/>
    <w:rsid w:val="005D7D51"/>
    <w:rsid w:val="005E0E4D"/>
    <w:rsid w:val="005F100C"/>
    <w:rsid w:val="005F3A5C"/>
    <w:rsid w:val="005F68DA"/>
    <w:rsid w:val="005F6EC0"/>
    <w:rsid w:val="00600484"/>
    <w:rsid w:val="0060773B"/>
    <w:rsid w:val="00607E7A"/>
    <w:rsid w:val="00613F60"/>
    <w:rsid w:val="00615327"/>
    <w:rsid w:val="006157B5"/>
    <w:rsid w:val="00626FC6"/>
    <w:rsid w:val="006303B4"/>
    <w:rsid w:val="00633D3D"/>
    <w:rsid w:val="00641703"/>
    <w:rsid w:val="006431A6"/>
    <w:rsid w:val="006433EF"/>
    <w:rsid w:val="00643EE5"/>
    <w:rsid w:val="006456D6"/>
    <w:rsid w:val="006459F6"/>
    <w:rsid w:val="006501AD"/>
    <w:rsid w:val="00651BFA"/>
    <w:rsid w:val="006532F6"/>
    <w:rsid w:val="00654475"/>
    <w:rsid w:val="00665A4B"/>
    <w:rsid w:val="006710F8"/>
    <w:rsid w:val="0068256C"/>
    <w:rsid w:val="00683F14"/>
    <w:rsid w:val="006854C5"/>
    <w:rsid w:val="00687DAD"/>
    <w:rsid w:val="00692E2A"/>
    <w:rsid w:val="006A453E"/>
    <w:rsid w:val="006A58F9"/>
    <w:rsid w:val="006A76F2"/>
    <w:rsid w:val="006C0C19"/>
    <w:rsid w:val="006C6064"/>
    <w:rsid w:val="006C7D58"/>
    <w:rsid w:val="006D1086"/>
    <w:rsid w:val="006D35BB"/>
    <w:rsid w:val="006D7EFB"/>
    <w:rsid w:val="006E07F8"/>
    <w:rsid w:val="006E3ACE"/>
    <w:rsid w:val="006E3C34"/>
    <w:rsid w:val="006E509F"/>
    <w:rsid w:val="006E6672"/>
    <w:rsid w:val="006E6722"/>
    <w:rsid w:val="006E68FD"/>
    <w:rsid w:val="006F4B17"/>
    <w:rsid w:val="006F4E68"/>
    <w:rsid w:val="006F5678"/>
    <w:rsid w:val="006F62BD"/>
    <w:rsid w:val="006F6E42"/>
    <w:rsid w:val="0070106C"/>
    <w:rsid w:val="00701B64"/>
    <w:rsid w:val="007027B9"/>
    <w:rsid w:val="00703595"/>
    <w:rsid w:val="00707C25"/>
    <w:rsid w:val="0071153F"/>
    <w:rsid w:val="00711C06"/>
    <w:rsid w:val="00714F6B"/>
    <w:rsid w:val="00715E88"/>
    <w:rsid w:val="00716197"/>
    <w:rsid w:val="00717B93"/>
    <w:rsid w:val="00717E15"/>
    <w:rsid w:val="00720714"/>
    <w:rsid w:val="00723C1C"/>
    <w:rsid w:val="00723D78"/>
    <w:rsid w:val="0073392B"/>
    <w:rsid w:val="00734CAA"/>
    <w:rsid w:val="00742016"/>
    <w:rsid w:val="007424F0"/>
    <w:rsid w:val="0074310F"/>
    <w:rsid w:val="007533D3"/>
    <w:rsid w:val="0075533C"/>
    <w:rsid w:val="00757581"/>
    <w:rsid w:val="007611A0"/>
    <w:rsid w:val="007667E1"/>
    <w:rsid w:val="00770255"/>
    <w:rsid w:val="00770706"/>
    <w:rsid w:val="00773D90"/>
    <w:rsid w:val="007741FD"/>
    <w:rsid w:val="0078134B"/>
    <w:rsid w:val="007831B4"/>
    <w:rsid w:val="0078538D"/>
    <w:rsid w:val="00796D3F"/>
    <w:rsid w:val="007A1683"/>
    <w:rsid w:val="007A4E26"/>
    <w:rsid w:val="007A5C12"/>
    <w:rsid w:val="007A7CB0"/>
    <w:rsid w:val="007B0260"/>
    <w:rsid w:val="007B68A3"/>
    <w:rsid w:val="007C2541"/>
    <w:rsid w:val="007C3705"/>
    <w:rsid w:val="007C4535"/>
    <w:rsid w:val="007C527A"/>
    <w:rsid w:val="007D66A8"/>
    <w:rsid w:val="007E003F"/>
    <w:rsid w:val="007E0276"/>
    <w:rsid w:val="007E6282"/>
    <w:rsid w:val="007E7842"/>
    <w:rsid w:val="007F0760"/>
    <w:rsid w:val="007F348C"/>
    <w:rsid w:val="007F6F0C"/>
    <w:rsid w:val="00804B7B"/>
    <w:rsid w:val="00805A89"/>
    <w:rsid w:val="008125AA"/>
    <w:rsid w:val="00812F69"/>
    <w:rsid w:val="008162E9"/>
    <w:rsid w:val="008164F2"/>
    <w:rsid w:val="00821395"/>
    <w:rsid w:val="0082156A"/>
    <w:rsid w:val="0082259E"/>
    <w:rsid w:val="00822C96"/>
    <w:rsid w:val="00830E26"/>
    <w:rsid w:val="00832425"/>
    <w:rsid w:val="00832527"/>
    <w:rsid w:val="00836880"/>
    <w:rsid w:val="008402E9"/>
    <w:rsid w:val="00843576"/>
    <w:rsid w:val="00843B64"/>
    <w:rsid w:val="0084583C"/>
    <w:rsid w:val="008478FC"/>
    <w:rsid w:val="00862384"/>
    <w:rsid w:val="008633D6"/>
    <w:rsid w:val="008646BA"/>
    <w:rsid w:val="00866BAB"/>
    <w:rsid w:val="00867BFF"/>
    <w:rsid w:val="00870E2A"/>
    <w:rsid w:val="008714F5"/>
    <w:rsid w:val="00872B0F"/>
    <w:rsid w:val="00876189"/>
    <w:rsid w:val="008826DE"/>
    <w:rsid w:val="0088461D"/>
    <w:rsid w:val="0088480A"/>
    <w:rsid w:val="0088593C"/>
    <w:rsid w:val="0088683E"/>
    <w:rsid w:val="0088752C"/>
    <w:rsid w:val="0088757A"/>
    <w:rsid w:val="008878BA"/>
    <w:rsid w:val="00890B86"/>
    <w:rsid w:val="00890D48"/>
    <w:rsid w:val="008957DD"/>
    <w:rsid w:val="008976F6"/>
    <w:rsid w:val="00897D98"/>
    <w:rsid w:val="008A4965"/>
    <w:rsid w:val="008A6DF2"/>
    <w:rsid w:val="008A7807"/>
    <w:rsid w:val="008B0776"/>
    <w:rsid w:val="008B4CC9"/>
    <w:rsid w:val="008C71A3"/>
    <w:rsid w:val="008D699A"/>
    <w:rsid w:val="008D6B2D"/>
    <w:rsid w:val="008D7C99"/>
    <w:rsid w:val="008E0FCB"/>
    <w:rsid w:val="008E5F02"/>
    <w:rsid w:val="008F0150"/>
    <w:rsid w:val="008F0312"/>
    <w:rsid w:val="008F1F0A"/>
    <w:rsid w:val="009009CE"/>
    <w:rsid w:val="009009D8"/>
    <w:rsid w:val="00914253"/>
    <w:rsid w:val="00916A5A"/>
    <w:rsid w:val="0092070B"/>
    <w:rsid w:val="0092178C"/>
    <w:rsid w:val="00924183"/>
    <w:rsid w:val="00927BAE"/>
    <w:rsid w:val="00930B88"/>
    <w:rsid w:val="00933B14"/>
    <w:rsid w:val="0093708B"/>
    <w:rsid w:val="00940DCC"/>
    <w:rsid w:val="0094179A"/>
    <w:rsid w:val="009422CC"/>
    <w:rsid w:val="0094426A"/>
    <w:rsid w:val="0094459E"/>
    <w:rsid w:val="00944DBC"/>
    <w:rsid w:val="00950977"/>
    <w:rsid w:val="009513F1"/>
    <w:rsid w:val="00951A7B"/>
    <w:rsid w:val="0095448F"/>
    <w:rsid w:val="009564A6"/>
    <w:rsid w:val="00961015"/>
    <w:rsid w:val="00967621"/>
    <w:rsid w:val="00967E6A"/>
    <w:rsid w:val="00971AA2"/>
    <w:rsid w:val="009871EF"/>
    <w:rsid w:val="00991907"/>
    <w:rsid w:val="0099256F"/>
    <w:rsid w:val="009A3B85"/>
    <w:rsid w:val="009A44DB"/>
    <w:rsid w:val="009A6720"/>
    <w:rsid w:val="009B1383"/>
    <w:rsid w:val="009B4192"/>
    <w:rsid w:val="009B4A0F"/>
    <w:rsid w:val="009B5F35"/>
    <w:rsid w:val="009C11D2"/>
    <w:rsid w:val="009C3C79"/>
    <w:rsid w:val="009C6C70"/>
    <w:rsid w:val="009D06E6"/>
    <w:rsid w:val="009D0B63"/>
    <w:rsid w:val="009D5AD4"/>
    <w:rsid w:val="009D6D5C"/>
    <w:rsid w:val="009D7F4E"/>
    <w:rsid w:val="009E307E"/>
    <w:rsid w:val="009E468E"/>
    <w:rsid w:val="009E53A1"/>
    <w:rsid w:val="009F4E48"/>
    <w:rsid w:val="00A062B7"/>
    <w:rsid w:val="00A07870"/>
    <w:rsid w:val="00A07F19"/>
    <w:rsid w:val="00A1348D"/>
    <w:rsid w:val="00A161F0"/>
    <w:rsid w:val="00A232EE"/>
    <w:rsid w:val="00A24150"/>
    <w:rsid w:val="00A24B07"/>
    <w:rsid w:val="00A24BBF"/>
    <w:rsid w:val="00A24C27"/>
    <w:rsid w:val="00A30C83"/>
    <w:rsid w:val="00A31C9A"/>
    <w:rsid w:val="00A33437"/>
    <w:rsid w:val="00A36E01"/>
    <w:rsid w:val="00A4175F"/>
    <w:rsid w:val="00A424DA"/>
    <w:rsid w:val="00A44411"/>
    <w:rsid w:val="00A469FA"/>
    <w:rsid w:val="00A50C42"/>
    <w:rsid w:val="00A55B01"/>
    <w:rsid w:val="00A5614D"/>
    <w:rsid w:val="00A56B5B"/>
    <w:rsid w:val="00A603FF"/>
    <w:rsid w:val="00A62940"/>
    <w:rsid w:val="00A657DD"/>
    <w:rsid w:val="00A65E98"/>
    <w:rsid w:val="00A666A6"/>
    <w:rsid w:val="00A675FD"/>
    <w:rsid w:val="00A72437"/>
    <w:rsid w:val="00A72557"/>
    <w:rsid w:val="00A74174"/>
    <w:rsid w:val="00A769A6"/>
    <w:rsid w:val="00A80611"/>
    <w:rsid w:val="00A81E71"/>
    <w:rsid w:val="00A82840"/>
    <w:rsid w:val="00A873B9"/>
    <w:rsid w:val="00A914C2"/>
    <w:rsid w:val="00A94AB6"/>
    <w:rsid w:val="00A96173"/>
    <w:rsid w:val="00AB1158"/>
    <w:rsid w:val="00AB1BE1"/>
    <w:rsid w:val="00AB5340"/>
    <w:rsid w:val="00AB72CD"/>
    <w:rsid w:val="00AC07D3"/>
    <w:rsid w:val="00AC0A89"/>
    <w:rsid w:val="00AC7C96"/>
    <w:rsid w:val="00AD3C2C"/>
    <w:rsid w:val="00AD54E5"/>
    <w:rsid w:val="00AE237D"/>
    <w:rsid w:val="00AE502A"/>
    <w:rsid w:val="00AF0071"/>
    <w:rsid w:val="00AF1382"/>
    <w:rsid w:val="00AF7C07"/>
    <w:rsid w:val="00B01955"/>
    <w:rsid w:val="00B0516F"/>
    <w:rsid w:val="00B22C93"/>
    <w:rsid w:val="00B27589"/>
    <w:rsid w:val="00B275E7"/>
    <w:rsid w:val="00B30A96"/>
    <w:rsid w:val="00B40337"/>
    <w:rsid w:val="00B405B7"/>
    <w:rsid w:val="00B44EFA"/>
    <w:rsid w:val="00B45D26"/>
    <w:rsid w:val="00B52222"/>
    <w:rsid w:val="00B54FE7"/>
    <w:rsid w:val="00B5624D"/>
    <w:rsid w:val="00B57193"/>
    <w:rsid w:val="00B66901"/>
    <w:rsid w:val="00B66F36"/>
    <w:rsid w:val="00B67026"/>
    <w:rsid w:val="00B71E6D"/>
    <w:rsid w:val="00B72070"/>
    <w:rsid w:val="00B72891"/>
    <w:rsid w:val="00B74B94"/>
    <w:rsid w:val="00B779E1"/>
    <w:rsid w:val="00B831E4"/>
    <w:rsid w:val="00B91EE1"/>
    <w:rsid w:val="00BA0090"/>
    <w:rsid w:val="00BA19B2"/>
    <w:rsid w:val="00BA1A67"/>
    <w:rsid w:val="00BA2355"/>
    <w:rsid w:val="00BA2DA7"/>
    <w:rsid w:val="00BA499E"/>
    <w:rsid w:val="00BB1A41"/>
    <w:rsid w:val="00BB651B"/>
    <w:rsid w:val="00BC404B"/>
    <w:rsid w:val="00BE2A2D"/>
    <w:rsid w:val="00BE5B5F"/>
    <w:rsid w:val="00BE5E52"/>
    <w:rsid w:val="00BE61C7"/>
    <w:rsid w:val="00BF6FB4"/>
    <w:rsid w:val="00C01D25"/>
    <w:rsid w:val="00C144A9"/>
    <w:rsid w:val="00C158C0"/>
    <w:rsid w:val="00C16197"/>
    <w:rsid w:val="00C21CAC"/>
    <w:rsid w:val="00C222EB"/>
    <w:rsid w:val="00C24730"/>
    <w:rsid w:val="00C26F55"/>
    <w:rsid w:val="00C30C63"/>
    <w:rsid w:val="00C30DB4"/>
    <w:rsid w:val="00C36B8B"/>
    <w:rsid w:val="00C415C1"/>
    <w:rsid w:val="00C417FB"/>
    <w:rsid w:val="00C430AA"/>
    <w:rsid w:val="00C454D1"/>
    <w:rsid w:val="00C47DBF"/>
    <w:rsid w:val="00C5289F"/>
    <w:rsid w:val="00C552FF"/>
    <w:rsid w:val="00C558DA"/>
    <w:rsid w:val="00C55AF3"/>
    <w:rsid w:val="00C61B30"/>
    <w:rsid w:val="00C737E7"/>
    <w:rsid w:val="00C7404E"/>
    <w:rsid w:val="00C818E3"/>
    <w:rsid w:val="00C84759"/>
    <w:rsid w:val="00C95B00"/>
    <w:rsid w:val="00CA140E"/>
    <w:rsid w:val="00CA45C6"/>
    <w:rsid w:val="00CA6C7F"/>
    <w:rsid w:val="00CA7CBD"/>
    <w:rsid w:val="00CB7B1B"/>
    <w:rsid w:val="00CC10A6"/>
    <w:rsid w:val="00CD11B7"/>
    <w:rsid w:val="00CD16D9"/>
    <w:rsid w:val="00CD2FF8"/>
    <w:rsid w:val="00CD54D1"/>
    <w:rsid w:val="00CD5EB8"/>
    <w:rsid w:val="00CD603B"/>
    <w:rsid w:val="00CD7044"/>
    <w:rsid w:val="00CE08B9"/>
    <w:rsid w:val="00CE524C"/>
    <w:rsid w:val="00CF141F"/>
    <w:rsid w:val="00CF4777"/>
    <w:rsid w:val="00D067BB"/>
    <w:rsid w:val="00D1352A"/>
    <w:rsid w:val="00D1636F"/>
    <w:rsid w:val="00D169AF"/>
    <w:rsid w:val="00D25249"/>
    <w:rsid w:val="00D314CC"/>
    <w:rsid w:val="00D43755"/>
    <w:rsid w:val="00D44172"/>
    <w:rsid w:val="00D516BC"/>
    <w:rsid w:val="00D5627A"/>
    <w:rsid w:val="00D63B8C"/>
    <w:rsid w:val="00D63F33"/>
    <w:rsid w:val="00D64EE0"/>
    <w:rsid w:val="00D739CC"/>
    <w:rsid w:val="00D74431"/>
    <w:rsid w:val="00D75752"/>
    <w:rsid w:val="00D776B5"/>
    <w:rsid w:val="00D803A4"/>
    <w:rsid w:val="00D8092E"/>
    <w:rsid w:val="00D8093D"/>
    <w:rsid w:val="00D80DBF"/>
    <w:rsid w:val="00D8108C"/>
    <w:rsid w:val="00D81809"/>
    <w:rsid w:val="00D842AE"/>
    <w:rsid w:val="00D87A79"/>
    <w:rsid w:val="00D91A10"/>
    <w:rsid w:val="00D9211C"/>
    <w:rsid w:val="00D92DE0"/>
    <w:rsid w:val="00D92FEF"/>
    <w:rsid w:val="00D93A0F"/>
    <w:rsid w:val="00D961A0"/>
    <w:rsid w:val="00DA1B92"/>
    <w:rsid w:val="00DA1BCA"/>
    <w:rsid w:val="00DA7BED"/>
    <w:rsid w:val="00DB0B70"/>
    <w:rsid w:val="00DB6420"/>
    <w:rsid w:val="00DB6FC9"/>
    <w:rsid w:val="00DC1EC2"/>
    <w:rsid w:val="00DC3AB1"/>
    <w:rsid w:val="00DC46FF"/>
    <w:rsid w:val="00DC5254"/>
    <w:rsid w:val="00DC5E14"/>
    <w:rsid w:val="00DD0F1F"/>
    <w:rsid w:val="00DD1A4F"/>
    <w:rsid w:val="00DD1FB0"/>
    <w:rsid w:val="00DD3107"/>
    <w:rsid w:val="00DD7C2C"/>
    <w:rsid w:val="00DE33D4"/>
    <w:rsid w:val="00DF1132"/>
    <w:rsid w:val="00DF67E8"/>
    <w:rsid w:val="00E04F96"/>
    <w:rsid w:val="00E06797"/>
    <w:rsid w:val="00E069C2"/>
    <w:rsid w:val="00E1265B"/>
    <w:rsid w:val="00E13700"/>
    <w:rsid w:val="00E13B48"/>
    <w:rsid w:val="00E1404F"/>
    <w:rsid w:val="00E14745"/>
    <w:rsid w:val="00E21C83"/>
    <w:rsid w:val="00E24ADA"/>
    <w:rsid w:val="00E32F59"/>
    <w:rsid w:val="00E33778"/>
    <w:rsid w:val="00E36D5E"/>
    <w:rsid w:val="00E37044"/>
    <w:rsid w:val="00E46D9A"/>
    <w:rsid w:val="00E565FF"/>
    <w:rsid w:val="00E60AF8"/>
    <w:rsid w:val="00E65388"/>
    <w:rsid w:val="00E66418"/>
    <w:rsid w:val="00E664EA"/>
    <w:rsid w:val="00E672AE"/>
    <w:rsid w:val="00E67BA9"/>
    <w:rsid w:val="00E85B7D"/>
    <w:rsid w:val="00E9121B"/>
    <w:rsid w:val="00E953D0"/>
    <w:rsid w:val="00EA0768"/>
    <w:rsid w:val="00EA0AE2"/>
    <w:rsid w:val="00EA2897"/>
    <w:rsid w:val="00EA39E5"/>
    <w:rsid w:val="00EA4704"/>
    <w:rsid w:val="00EB3EDA"/>
    <w:rsid w:val="00EC3381"/>
    <w:rsid w:val="00EC5A46"/>
    <w:rsid w:val="00EC63E2"/>
    <w:rsid w:val="00ED2563"/>
    <w:rsid w:val="00ED4EAF"/>
    <w:rsid w:val="00ED7917"/>
    <w:rsid w:val="00EE61C4"/>
    <w:rsid w:val="00EF159E"/>
    <w:rsid w:val="00EF1749"/>
    <w:rsid w:val="00EF22B3"/>
    <w:rsid w:val="00EF57A9"/>
    <w:rsid w:val="00EF6FF6"/>
    <w:rsid w:val="00EF7090"/>
    <w:rsid w:val="00F00B5C"/>
    <w:rsid w:val="00F02F19"/>
    <w:rsid w:val="00F03B69"/>
    <w:rsid w:val="00F07A50"/>
    <w:rsid w:val="00F113DA"/>
    <w:rsid w:val="00F14E62"/>
    <w:rsid w:val="00F15859"/>
    <w:rsid w:val="00F30388"/>
    <w:rsid w:val="00F338AF"/>
    <w:rsid w:val="00F3650F"/>
    <w:rsid w:val="00F37DC8"/>
    <w:rsid w:val="00F439B3"/>
    <w:rsid w:val="00F4501B"/>
    <w:rsid w:val="00F45CA8"/>
    <w:rsid w:val="00F467F6"/>
    <w:rsid w:val="00F47165"/>
    <w:rsid w:val="00F54DC0"/>
    <w:rsid w:val="00F633F5"/>
    <w:rsid w:val="00F63C1E"/>
    <w:rsid w:val="00F650C3"/>
    <w:rsid w:val="00F65D85"/>
    <w:rsid w:val="00F72AC3"/>
    <w:rsid w:val="00F72FA8"/>
    <w:rsid w:val="00F76D61"/>
    <w:rsid w:val="00F8091E"/>
    <w:rsid w:val="00F83DA6"/>
    <w:rsid w:val="00F85FEA"/>
    <w:rsid w:val="00F8615C"/>
    <w:rsid w:val="00F93BF9"/>
    <w:rsid w:val="00F969E5"/>
    <w:rsid w:val="00FA0880"/>
    <w:rsid w:val="00FA1D72"/>
    <w:rsid w:val="00FA3C70"/>
    <w:rsid w:val="00FA6BB0"/>
    <w:rsid w:val="00FA748A"/>
    <w:rsid w:val="00FB2367"/>
    <w:rsid w:val="00FB26B2"/>
    <w:rsid w:val="00FB4C72"/>
    <w:rsid w:val="00FC3934"/>
    <w:rsid w:val="00FC514C"/>
    <w:rsid w:val="00FD47B9"/>
    <w:rsid w:val="00FD5860"/>
    <w:rsid w:val="00FE352D"/>
    <w:rsid w:val="00FE40EB"/>
    <w:rsid w:val="00FE4D02"/>
    <w:rsid w:val="00FE7D62"/>
    <w:rsid w:val="00FF363C"/>
    <w:rsid w:val="00FF38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CC77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0502"/>
    <w:rPr>
      <w:sz w:val="24"/>
      <w:szCs w:val="24"/>
    </w:rPr>
  </w:style>
  <w:style w:type="paragraph" w:styleId="Heading1">
    <w:name w:val="heading 1"/>
    <w:basedOn w:val="Normal"/>
    <w:next w:val="Normalnumber"/>
    <w:qFormat/>
    <w:rsid w:val="000D6941"/>
    <w:pPr>
      <w:keepNext/>
      <w:tabs>
        <w:tab w:val="left" w:pos="1247"/>
        <w:tab w:val="left" w:pos="1814"/>
        <w:tab w:val="left" w:pos="2381"/>
        <w:tab w:val="left" w:pos="2948"/>
        <w:tab w:val="left" w:pos="3515"/>
      </w:tabs>
      <w:spacing w:before="240" w:after="120"/>
      <w:ind w:left="1247" w:hanging="680"/>
      <w:outlineLvl w:val="0"/>
    </w:pPr>
    <w:rPr>
      <w:b/>
      <w:sz w:val="28"/>
      <w:szCs w:val="20"/>
      <w:lang w:val="fr-FR" w:eastAsia="en-US"/>
    </w:rPr>
  </w:style>
  <w:style w:type="paragraph" w:styleId="Heading2">
    <w:name w:val="heading 2"/>
    <w:basedOn w:val="Normal"/>
    <w:next w:val="Normalnumber"/>
    <w:qFormat/>
    <w:rsid w:val="000D6941"/>
    <w:pPr>
      <w:keepNext/>
      <w:tabs>
        <w:tab w:val="left" w:pos="1247"/>
        <w:tab w:val="left" w:pos="1814"/>
        <w:tab w:val="left" w:pos="2381"/>
        <w:tab w:val="left" w:pos="2948"/>
        <w:tab w:val="left" w:pos="3515"/>
      </w:tabs>
      <w:spacing w:before="240" w:after="120"/>
      <w:ind w:left="1247" w:hanging="680"/>
      <w:outlineLvl w:val="1"/>
    </w:pPr>
    <w:rPr>
      <w:b/>
      <w:lang w:val="fr-FR" w:eastAsia="en-US"/>
    </w:rPr>
  </w:style>
  <w:style w:type="paragraph" w:styleId="Heading3">
    <w:name w:val="heading 3"/>
    <w:basedOn w:val="Normal"/>
    <w:next w:val="Normalnumber"/>
    <w:qFormat/>
    <w:rsid w:val="000D6941"/>
    <w:pPr>
      <w:tabs>
        <w:tab w:val="left" w:pos="1247"/>
        <w:tab w:val="left" w:pos="1814"/>
        <w:tab w:val="left" w:pos="2381"/>
        <w:tab w:val="left" w:pos="2948"/>
        <w:tab w:val="left" w:pos="3515"/>
      </w:tabs>
      <w:spacing w:after="120"/>
      <w:ind w:left="1247" w:hanging="680"/>
      <w:outlineLvl w:val="2"/>
    </w:pPr>
    <w:rPr>
      <w:b/>
      <w:sz w:val="20"/>
      <w:szCs w:val="20"/>
      <w:lang w:val="fr-FR" w:eastAsia="en-US"/>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tabs>
        <w:tab w:val="left" w:pos="1247"/>
        <w:tab w:val="left" w:pos="1814"/>
        <w:tab w:val="left" w:pos="2381"/>
        <w:tab w:val="left" w:pos="2948"/>
        <w:tab w:val="left" w:pos="3515"/>
      </w:tabs>
      <w:outlineLvl w:val="4"/>
    </w:pPr>
    <w:rPr>
      <w:rFonts w:ascii="Univers" w:hAnsi="Univers"/>
      <w:b/>
      <w:szCs w:val="20"/>
      <w:lang w:val="fr-FR" w:eastAsia="en-US"/>
    </w:rPr>
  </w:style>
  <w:style w:type="paragraph" w:styleId="Heading6">
    <w:name w:val="heading 6"/>
    <w:basedOn w:val="Normal"/>
    <w:next w:val="Normal"/>
    <w:qFormat/>
    <w:rsid w:val="000D6941"/>
    <w:pPr>
      <w:keepNext/>
      <w:tabs>
        <w:tab w:val="left" w:pos="1247"/>
        <w:tab w:val="left" w:pos="1814"/>
        <w:tab w:val="left" w:pos="2381"/>
        <w:tab w:val="left" w:pos="2948"/>
        <w:tab w:val="left" w:pos="3515"/>
      </w:tabs>
      <w:ind w:left="578"/>
      <w:outlineLvl w:val="5"/>
    </w:pPr>
    <w:rPr>
      <w:b/>
      <w:bCs/>
      <w:szCs w:val="20"/>
      <w:lang w:val="fr-FR" w:eastAsia="en-US"/>
    </w:rPr>
  </w:style>
  <w:style w:type="paragraph" w:styleId="Heading7">
    <w:name w:val="heading 7"/>
    <w:basedOn w:val="Normal"/>
    <w:next w:val="Normal"/>
    <w:qFormat/>
    <w:rsid w:val="000D6941"/>
    <w:pPr>
      <w:keepNext/>
      <w:widowControl w:val="0"/>
      <w:tabs>
        <w:tab w:val="left" w:pos="1247"/>
        <w:tab w:val="left" w:pos="1814"/>
        <w:tab w:val="left" w:pos="2381"/>
        <w:tab w:val="left" w:pos="2948"/>
        <w:tab w:val="left" w:pos="3515"/>
      </w:tabs>
      <w:jc w:val="center"/>
      <w:outlineLvl w:val="6"/>
    </w:pPr>
    <w:rPr>
      <w:snapToGrid w:val="0"/>
      <w:sz w:val="20"/>
      <w:szCs w:val="20"/>
      <w:u w:val="single"/>
      <w:lang w:val="en-US" w:eastAsia="en-US"/>
    </w:rPr>
  </w:style>
  <w:style w:type="paragraph" w:styleId="Heading8">
    <w:name w:val="heading 8"/>
    <w:basedOn w:val="Normal"/>
    <w:next w:val="Normal"/>
    <w:qFormat/>
    <w:rsid w:val="000D6941"/>
    <w:pPr>
      <w:keepNext/>
      <w:widowControl w:val="0"/>
      <w:numPr>
        <w:numId w:val="2"/>
      </w:numPr>
      <w:tabs>
        <w:tab w:val="left" w:pos="-1440"/>
        <w:tab w:val="left" w:pos="-720"/>
        <w:tab w:val="left" w:pos="1247"/>
        <w:tab w:val="left" w:pos="1814"/>
        <w:tab w:val="left" w:pos="2381"/>
        <w:tab w:val="left" w:pos="2948"/>
        <w:tab w:val="left" w:pos="3515"/>
      </w:tabs>
      <w:suppressAutoHyphens/>
      <w:jc w:val="center"/>
      <w:outlineLvl w:val="7"/>
    </w:pPr>
    <w:rPr>
      <w:snapToGrid w:val="0"/>
      <w:sz w:val="20"/>
      <w:szCs w:val="20"/>
      <w:u w:val="single"/>
      <w:lang w:val="en-US" w:eastAsia="en-US"/>
    </w:rPr>
  </w:style>
  <w:style w:type="paragraph" w:styleId="Heading9">
    <w:name w:val="heading 9"/>
    <w:basedOn w:val="Normal"/>
    <w:next w:val="Normal"/>
    <w:qFormat/>
    <w:rsid w:val="000D6941"/>
    <w:pPr>
      <w:keepNext/>
      <w:widowControl w:val="0"/>
      <w:numPr>
        <w:numId w:val="3"/>
      </w:numPr>
      <w:tabs>
        <w:tab w:val="left" w:pos="1247"/>
        <w:tab w:val="left" w:pos="1814"/>
        <w:tab w:val="left" w:pos="2381"/>
        <w:tab w:val="left" w:pos="2948"/>
        <w:tab w:val="left" w:pos="3515"/>
      </w:tabs>
      <w:suppressAutoHyphens/>
      <w:jc w:val="center"/>
      <w:outlineLvl w:val="8"/>
    </w:pPr>
    <w:rPr>
      <w:snapToGrid w:val="0"/>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C95B00"/>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rsid w:val="00C95B00"/>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C95B00"/>
    <w:pPr>
      <w:keepNext/>
      <w:keepLines/>
      <w:tabs>
        <w:tab w:val="right" w:pos="851"/>
      </w:tabs>
      <w:suppressAutoHyphens/>
      <w:spacing w:before="12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D43755"/>
    <w:pPr>
      <w:spacing w:before="60" w:after="120"/>
    </w:pPr>
    <w:rPr>
      <w:b/>
      <w:sz w:val="18"/>
    </w:rPr>
  </w:style>
  <w:style w:type="paragraph" w:customStyle="1" w:styleId="Header-pool">
    <w:name w:val="Header-pool"/>
    <w:basedOn w:val="Normal-pool"/>
    <w:next w:val="Normal-pool"/>
    <w:rsid w:val="00D43755"/>
    <w:pPr>
      <w:pBdr>
        <w:bottom w:val="single" w:sz="4" w:space="1" w:color="auto"/>
      </w:pBdr>
      <w:spacing w:after="120"/>
    </w:pPr>
    <w:rPr>
      <w:b/>
      <w:sz w:val="18"/>
    </w:rPr>
  </w:style>
  <w:style w:type="paragraph" w:customStyle="1" w:styleId="Normal-pool">
    <w:name w:val="Normal-pool"/>
    <w:link w:val="Normal-poolChar"/>
    <w:qFormat/>
    <w:rsid w:val="00D43755"/>
    <w:pPr>
      <w:tabs>
        <w:tab w:val="left" w:pos="624"/>
      </w:tabs>
    </w:pPr>
    <w:rPr>
      <w:lang w:eastAsia="en-US"/>
    </w:rPr>
  </w:style>
  <w:style w:type="paragraph" w:styleId="FootnoteText">
    <w:name w:val="footnote text"/>
    <w:aliases w:val="Geneva 9,Font: Geneva 9,Boston 10,f,fn,Footnotes,Footnote ak,ft,fn cafc,Footnotes Char Char,Footnote Text Char Char,fn Char Char,footnote text Char Char Char Ch,Footnote Text Char1,footnote text Char Char Char Ch Char,DNV-FT"/>
    <w:basedOn w:val="Normalpool"/>
    <w:link w:val="FootnoteTextChar"/>
    <w:qFormat/>
    <w:rsid w:val="000D6941"/>
    <w:pPr>
      <w:spacing w:before="20" w:after="40"/>
      <w:ind w:left="1247"/>
    </w:pPr>
    <w:rPr>
      <w:sz w:val="18"/>
    </w:rPr>
  </w:style>
  <w:style w:type="table" w:styleId="TableGrid">
    <w:name w:val="Table Grid"/>
    <w:basedOn w:val="TableNormal"/>
    <w:rsid w:val="00C95B0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D43755"/>
    <w:pPr>
      <w:tabs>
        <w:tab w:val="clear" w:pos="1247"/>
        <w:tab w:val="clear" w:pos="1814"/>
        <w:tab w:val="clear" w:pos="2381"/>
        <w:tab w:val="clear" w:pos="2948"/>
        <w:tab w:val="clear" w:pos="3515"/>
        <w:tab w:val="clear" w:pos="4082"/>
        <w:tab w:val="left" w:pos="624"/>
      </w:tabs>
      <w:spacing w:before="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uiPriority w:val="99"/>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rsid w:val="0078134B"/>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character" w:customStyle="1" w:styleId="Normal-poolChar">
    <w:name w:val="Normal-pool Char"/>
    <w:link w:val="Normal-pool"/>
    <w:rsid w:val="00D43755"/>
    <w:rPr>
      <w:lang w:eastAsia="en-US"/>
    </w:rPr>
  </w:style>
  <w:style w:type="paragraph" w:styleId="BalloonText">
    <w:name w:val="Balloon Text"/>
    <w:basedOn w:val="Normal"/>
    <w:link w:val="BalloonTextChar"/>
    <w:rsid w:val="00DC5E14"/>
    <w:pPr>
      <w:tabs>
        <w:tab w:val="left" w:pos="1247"/>
        <w:tab w:val="left" w:pos="1814"/>
        <w:tab w:val="left" w:pos="2381"/>
        <w:tab w:val="left" w:pos="2948"/>
        <w:tab w:val="left" w:pos="3515"/>
      </w:tabs>
    </w:pPr>
    <w:rPr>
      <w:rFonts w:ascii="Segoe UI" w:hAnsi="Segoe UI" w:cs="Segoe UI"/>
      <w:sz w:val="18"/>
      <w:szCs w:val="18"/>
      <w:lang w:val="fr-FR" w:eastAsia="en-US"/>
    </w:rPr>
  </w:style>
  <w:style w:type="character" w:customStyle="1" w:styleId="BalloonTextChar">
    <w:name w:val="Balloon Text Char"/>
    <w:basedOn w:val="DefaultParagraphFont"/>
    <w:link w:val="BalloonText"/>
    <w:rsid w:val="00DC5E14"/>
    <w:rPr>
      <w:rFonts w:ascii="Segoe UI" w:hAnsi="Segoe UI" w:cs="Segoe UI"/>
      <w:sz w:val="18"/>
      <w:szCs w:val="18"/>
      <w:lang w:val="fr-FR" w:eastAsia="en-US"/>
    </w:rPr>
  </w:style>
  <w:style w:type="paragraph" w:styleId="ListParagraph">
    <w:name w:val="List Paragraph"/>
    <w:basedOn w:val="Normal"/>
    <w:uiPriority w:val="34"/>
    <w:qFormat/>
    <w:rsid w:val="00E953D0"/>
    <w:pPr>
      <w:tabs>
        <w:tab w:val="left" w:pos="1247"/>
        <w:tab w:val="left" w:pos="1814"/>
        <w:tab w:val="left" w:pos="2381"/>
        <w:tab w:val="left" w:pos="2948"/>
        <w:tab w:val="left" w:pos="3515"/>
      </w:tabs>
      <w:ind w:left="720"/>
      <w:contextualSpacing/>
    </w:pPr>
    <w:rPr>
      <w:sz w:val="20"/>
      <w:szCs w:val="20"/>
      <w:lang w:val="fr-FR" w:eastAsia="en-US"/>
    </w:r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link w:val="FootnoteText"/>
    <w:rsid w:val="00714F6B"/>
    <w:rPr>
      <w:sz w:val="18"/>
      <w:lang w:val="fr-FR" w:eastAsia="en-US"/>
    </w:rPr>
  </w:style>
  <w:style w:type="character" w:customStyle="1" w:styleId="NormalnumberChar">
    <w:name w:val="Normal_number Char"/>
    <w:link w:val="Normalnumber"/>
    <w:rsid w:val="0078134B"/>
    <w:rPr>
      <w:lang w:eastAsia="en-US"/>
    </w:rPr>
  </w:style>
  <w:style w:type="character" w:customStyle="1" w:styleId="CH2Char">
    <w:name w:val="CH2 Char"/>
    <w:link w:val="CH2"/>
    <w:rsid w:val="008125AA"/>
    <w:rPr>
      <w:b/>
      <w:sz w:val="24"/>
      <w:szCs w:val="24"/>
      <w:lang w:eastAsia="en-US"/>
    </w:rPr>
  </w:style>
  <w:style w:type="character" w:styleId="CommentReference">
    <w:name w:val="annotation reference"/>
    <w:uiPriority w:val="99"/>
    <w:rsid w:val="008125AA"/>
    <w:rPr>
      <w:sz w:val="16"/>
      <w:szCs w:val="16"/>
    </w:rPr>
  </w:style>
  <w:style w:type="paragraph" w:styleId="Title">
    <w:name w:val="Title"/>
    <w:basedOn w:val="Normal"/>
    <w:next w:val="Normal"/>
    <w:link w:val="TitleChar"/>
    <w:qFormat/>
    <w:rsid w:val="00EF57A9"/>
    <w:pPr>
      <w:tabs>
        <w:tab w:val="left" w:pos="1247"/>
        <w:tab w:val="left" w:pos="1814"/>
        <w:tab w:val="left" w:pos="2381"/>
        <w:tab w:val="left" w:pos="2948"/>
        <w:tab w:val="left" w:pos="3515"/>
      </w:tabs>
      <w:contextualSpacing/>
    </w:pPr>
    <w:rPr>
      <w:rFonts w:asciiTheme="majorHAnsi" w:eastAsiaTheme="majorEastAsia" w:hAnsiTheme="majorHAnsi" w:cstheme="majorBidi"/>
      <w:spacing w:val="-10"/>
      <w:kern w:val="28"/>
      <w:sz w:val="56"/>
      <w:szCs w:val="56"/>
      <w:lang w:val="fr-FR" w:eastAsia="en-US"/>
    </w:rPr>
  </w:style>
  <w:style w:type="character" w:customStyle="1" w:styleId="TitleChar">
    <w:name w:val="Title Char"/>
    <w:basedOn w:val="DefaultParagraphFont"/>
    <w:link w:val="Title"/>
    <w:rsid w:val="00EF57A9"/>
    <w:rPr>
      <w:rFonts w:asciiTheme="majorHAnsi" w:eastAsiaTheme="majorEastAsia" w:hAnsiTheme="majorHAnsi" w:cstheme="majorBidi"/>
      <w:spacing w:val="-10"/>
      <w:kern w:val="28"/>
      <w:sz w:val="56"/>
      <w:szCs w:val="56"/>
      <w:lang w:val="fr-FR" w:eastAsia="en-US"/>
    </w:rPr>
  </w:style>
  <w:style w:type="paragraph" w:styleId="Subtitle">
    <w:name w:val="Subtitle"/>
    <w:basedOn w:val="Normal"/>
    <w:next w:val="Normal"/>
    <w:link w:val="SubtitleChar"/>
    <w:qFormat/>
    <w:rsid w:val="00EF57A9"/>
    <w:pPr>
      <w:numPr>
        <w:ilvl w:val="1"/>
      </w:numPr>
      <w:tabs>
        <w:tab w:val="left" w:pos="1247"/>
        <w:tab w:val="left" w:pos="1814"/>
        <w:tab w:val="left" w:pos="2381"/>
        <w:tab w:val="left" w:pos="2948"/>
        <w:tab w:val="left" w:pos="3515"/>
      </w:tabs>
      <w:spacing w:after="160"/>
    </w:pPr>
    <w:rPr>
      <w:rFonts w:asciiTheme="minorHAnsi" w:eastAsiaTheme="minorEastAsia" w:hAnsiTheme="minorHAnsi" w:cstheme="minorBidi"/>
      <w:color w:val="5A5A5A" w:themeColor="text1" w:themeTint="A5"/>
      <w:spacing w:val="15"/>
      <w:sz w:val="22"/>
      <w:szCs w:val="22"/>
      <w:lang w:val="fr-FR" w:eastAsia="en-US"/>
    </w:rPr>
  </w:style>
  <w:style w:type="character" w:customStyle="1" w:styleId="SubtitleChar">
    <w:name w:val="Subtitle Char"/>
    <w:basedOn w:val="DefaultParagraphFont"/>
    <w:link w:val="Subtitle"/>
    <w:rsid w:val="00EF57A9"/>
    <w:rPr>
      <w:rFonts w:asciiTheme="minorHAnsi" w:eastAsiaTheme="minorEastAsia" w:hAnsiTheme="minorHAnsi" w:cstheme="minorBidi"/>
      <w:color w:val="5A5A5A" w:themeColor="text1" w:themeTint="A5"/>
      <w:spacing w:val="15"/>
      <w:sz w:val="22"/>
      <w:szCs w:val="22"/>
      <w:lang w:val="fr-FR" w:eastAsia="en-US"/>
    </w:rPr>
  </w:style>
  <w:style w:type="character" w:styleId="FootnoteReference">
    <w:name w:val="footnote reference"/>
    <w:aliases w:val="16 Point,Superscript 6 Point,number,SUPERS,Footnote Reference Superscript"/>
    <w:rsid w:val="00333364"/>
    <w:rPr>
      <w:rFonts w:ascii="Times New Roman" w:hAnsi="Times New Roman"/>
      <w:color w:val="auto"/>
      <w:sz w:val="20"/>
      <w:szCs w:val="18"/>
      <w:vertAlign w:val="superscript"/>
    </w:rPr>
  </w:style>
  <w:style w:type="paragraph" w:styleId="CommentText">
    <w:name w:val="annotation text"/>
    <w:basedOn w:val="Normal"/>
    <w:link w:val="CommentTextChar"/>
    <w:rsid w:val="009009D8"/>
    <w:pPr>
      <w:tabs>
        <w:tab w:val="left" w:pos="1247"/>
        <w:tab w:val="left" w:pos="1814"/>
        <w:tab w:val="left" w:pos="2381"/>
        <w:tab w:val="left" w:pos="2948"/>
        <w:tab w:val="left" w:pos="3515"/>
      </w:tabs>
    </w:pPr>
    <w:rPr>
      <w:sz w:val="20"/>
      <w:szCs w:val="20"/>
      <w:lang w:val="fr-FR" w:eastAsia="en-US"/>
    </w:rPr>
  </w:style>
  <w:style w:type="character" w:customStyle="1" w:styleId="CommentTextChar">
    <w:name w:val="Comment Text Char"/>
    <w:basedOn w:val="DefaultParagraphFont"/>
    <w:link w:val="CommentText"/>
    <w:rsid w:val="009009D8"/>
    <w:rPr>
      <w:lang w:val="fr-FR" w:eastAsia="en-US"/>
    </w:rPr>
  </w:style>
  <w:style w:type="paragraph" w:styleId="CommentSubject">
    <w:name w:val="annotation subject"/>
    <w:basedOn w:val="CommentText"/>
    <w:next w:val="CommentText"/>
    <w:link w:val="CommentSubjectChar"/>
    <w:rsid w:val="009009D8"/>
    <w:rPr>
      <w:b/>
      <w:bCs/>
    </w:rPr>
  </w:style>
  <w:style w:type="character" w:customStyle="1" w:styleId="CommentSubjectChar">
    <w:name w:val="Comment Subject Char"/>
    <w:basedOn w:val="CommentTextChar"/>
    <w:link w:val="CommentSubject"/>
    <w:rsid w:val="009009D8"/>
    <w:rPr>
      <w:b/>
      <w:bCs/>
      <w:lang w:val="fr-FR" w:eastAsia="en-US"/>
    </w:rPr>
  </w:style>
  <w:style w:type="character" w:styleId="UnresolvedMention">
    <w:name w:val="Unresolved Mention"/>
    <w:basedOn w:val="DefaultParagraphFont"/>
    <w:uiPriority w:val="99"/>
    <w:semiHidden/>
    <w:unhideWhenUsed/>
    <w:rsid w:val="00B831E4"/>
    <w:rPr>
      <w:color w:val="605E5C"/>
      <w:shd w:val="clear" w:color="auto" w:fill="E1DFDD"/>
    </w:rPr>
  </w:style>
  <w:style w:type="paragraph" w:styleId="NormalWeb">
    <w:name w:val="Normal (Web)"/>
    <w:basedOn w:val="Normal"/>
    <w:uiPriority w:val="99"/>
    <w:unhideWhenUsed/>
    <w:rsid w:val="004A0706"/>
    <w:pPr>
      <w:spacing w:before="100" w:beforeAutospacing="1" w:after="100" w:afterAutospacing="1"/>
    </w:pPr>
  </w:style>
  <w:style w:type="character" w:styleId="Emphasis">
    <w:name w:val="Emphasis"/>
    <w:basedOn w:val="DefaultParagraphFont"/>
    <w:uiPriority w:val="20"/>
    <w:qFormat/>
    <w:rsid w:val="004A0706"/>
    <w:rPr>
      <w:i/>
      <w:iCs/>
    </w:rPr>
  </w:style>
  <w:style w:type="character" w:styleId="FollowedHyperlink">
    <w:name w:val="FollowedHyperlink"/>
    <w:basedOn w:val="DefaultParagraphFont"/>
    <w:rsid w:val="00A50C42"/>
    <w:rPr>
      <w:color w:val="954F72" w:themeColor="followedHyperlink"/>
      <w:u w:val="single"/>
    </w:rPr>
  </w:style>
  <w:style w:type="paragraph" w:styleId="Revision">
    <w:name w:val="Revision"/>
    <w:hidden/>
    <w:uiPriority w:val="99"/>
    <w:semiHidden/>
    <w:rsid w:val="00C818E3"/>
    <w:rPr>
      <w:sz w:val="24"/>
      <w:szCs w:val="24"/>
    </w:rPr>
  </w:style>
  <w:style w:type="character" w:customStyle="1" w:styleId="FooterChar">
    <w:name w:val="Footer Char"/>
    <w:basedOn w:val="DefaultParagraphFont"/>
    <w:link w:val="Footer"/>
    <w:uiPriority w:val="99"/>
    <w:rsid w:val="000217BC"/>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045426">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60536063">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15862927">
      <w:bodyDiv w:val="1"/>
      <w:marLeft w:val="0"/>
      <w:marRight w:val="0"/>
      <w:marTop w:val="0"/>
      <w:marBottom w:val="0"/>
      <w:divBdr>
        <w:top w:val="none" w:sz="0" w:space="0" w:color="auto"/>
        <w:left w:val="none" w:sz="0" w:space="0" w:color="auto"/>
        <w:bottom w:val="none" w:sz="0" w:space="0" w:color="auto"/>
        <w:right w:val="none" w:sz="0" w:space="0" w:color="auto"/>
      </w:divBdr>
    </w:div>
    <w:div w:id="172821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unterm.un.org/DGAACS/unterm.nsf/WebView/89752D0EE42F5EDF852575EC006B64B1?OpenDocumen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ipbes.net/biodiversity-climatechange/participa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2021-05-06T10:20:41+00:00</Uploadeddat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6AF36-4312-4B11-9124-6514D4A7A6F1}">
  <ds:schemaRefs>
    <ds:schemaRef ds:uri="http://www.w3.org/XML/1998/namespace"/>
    <ds:schemaRef ds:uri="a5a030b7-a207-4454-9836-0151be6a4cb9"/>
    <ds:schemaRef ds:uri="d171b53f-1e97-4759-80c4-d294f18acbad"/>
    <ds:schemaRef ds:uri="http://purl.org/dc/dcmitype/"/>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053C4FE2-7F88-43AB-9F72-18FE7C899A6E}">
  <ds:schemaRefs>
    <ds:schemaRef ds:uri="http://schemas.openxmlformats.org/officeDocument/2006/bibliography"/>
  </ds:schemaRefs>
</ds:datastoreItem>
</file>

<file path=customXml/itemProps3.xml><?xml version="1.0" encoding="utf-8"?>
<ds:datastoreItem xmlns:ds="http://schemas.openxmlformats.org/officeDocument/2006/customXml" ds:itemID="{18070566-64BF-4FAB-A2DA-37E9507F8B5F}">
  <ds:schemaRefs>
    <ds:schemaRef ds:uri="http://schemas.microsoft.com/sharepoint/v3/contenttype/forms"/>
  </ds:schemaRefs>
</ds:datastoreItem>
</file>

<file path=customXml/itemProps4.xml><?xml version="1.0" encoding="utf-8"?>
<ds:datastoreItem xmlns:ds="http://schemas.openxmlformats.org/officeDocument/2006/customXml" ds:itemID="{25ED525F-0DFC-409D-93B8-26363E044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1b53f-1e97-4759-80c4-d294f18acbad"/>
    <ds:schemaRef ds:uri="a5a030b7-a207-4454-9836-0151be6a4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3952</Words>
  <Characters>21816</Characters>
  <Application>Microsoft Office Word</Application>
  <DocSecurity>4</DocSecurity>
  <Lines>181</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Manager/>
  <Company/>
  <LinksUpToDate>false</LinksUpToDate>
  <CharactersWithSpaces>25717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
  <cp:keywords/>
  <dc:description/>
  <cp:lastModifiedBy/>
  <cp:revision>1</cp:revision>
  <dcterms:created xsi:type="dcterms:W3CDTF">2021-05-06T10:20:00Z</dcterms:created>
  <dcterms:modified xsi:type="dcterms:W3CDTF">2021-05-06T10:20:00Z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