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"/>
        <w:gridCol w:w="1469"/>
        <w:gridCol w:w="475"/>
        <w:gridCol w:w="256"/>
        <w:gridCol w:w="1697"/>
        <w:gridCol w:w="958"/>
        <w:gridCol w:w="717"/>
        <w:gridCol w:w="2029"/>
        <w:gridCol w:w="601"/>
        <w:gridCol w:w="1224"/>
        <w:gridCol w:w="35"/>
      </w:tblGrid>
      <w:tr w:rsidR="00790C02" w:rsidRPr="00790C02" w14:paraId="5DFEEC84" w14:textId="77777777" w:rsidTr="009D36EE">
        <w:trPr>
          <w:cantSplit/>
          <w:trHeight w:val="1079"/>
          <w:jc w:val="center"/>
        </w:trPr>
        <w:tc>
          <w:tcPr>
            <w:tcW w:w="2235" w:type="dxa"/>
            <w:gridSpan w:val="4"/>
            <w:hideMark/>
          </w:tcPr>
          <w:p w14:paraId="29E1E50D" w14:textId="347DD22D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sz w:val="24"/>
                <w:szCs w:val="24"/>
                <w:lang w:val="ru-RU"/>
              </w:rPr>
            </w:pPr>
            <w:r w:rsidRPr="00790C02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790C02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790C02">
              <w:rPr>
                <w:rFonts w:ascii="Arial" w:eastAsia="MS Mincho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697" w:type="dxa"/>
            <w:vAlign w:val="center"/>
            <w:hideMark/>
          </w:tcPr>
          <w:p w14:paraId="5A1CD9E5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790C02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2384A47E" wp14:editId="32A735D7">
                  <wp:extent cx="1038225" cy="438150"/>
                  <wp:effectExtent l="0" t="0" r="9525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00C8C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851"/>
              <w:jc w:val="center"/>
              <w:rPr>
                <w:rFonts w:eastAsia="MS Mincho"/>
                <w:b/>
                <w:lang w:val="ru-RU"/>
              </w:rPr>
            </w:pPr>
            <w:proofErr w:type="spellStart"/>
            <w:r w:rsidRPr="00790C02">
              <w:rPr>
                <w:rFonts w:eastAsia="MS Mincho"/>
                <w:b/>
                <w:lang w:val="ru-RU"/>
              </w:rPr>
              <w:t>ЮНЕП</w:t>
            </w:r>
            <w:proofErr w:type="spellEnd"/>
          </w:p>
        </w:tc>
        <w:tc>
          <w:tcPr>
            <w:tcW w:w="958" w:type="dxa"/>
            <w:vAlign w:val="center"/>
            <w:hideMark/>
          </w:tcPr>
          <w:p w14:paraId="714E0EFA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57"/>
              <w:jc w:val="center"/>
              <w:rPr>
                <w:rFonts w:ascii="Calibri" w:eastAsia="MS Mincho" w:hAnsi="Calibri"/>
                <w:lang w:val="en-GB"/>
              </w:rPr>
            </w:pPr>
            <w:r w:rsidRPr="00790C02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53C93832" wp14:editId="697DADC1">
                  <wp:extent cx="532130" cy="443442"/>
                  <wp:effectExtent l="0" t="0" r="1270" b="0"/>
                  <wp:docPr id="2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60" cy="44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vAlign w:val="center"/>
            <w:hideMark/>
          </w:tcPr>
          <w:p w14:paraId="5AA18EE5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lang w:val="en-GB"/>
              </w:rPr>
            </w:pPr>
            <w:r w:rsidRPr="00790C02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157FABEB" wp14:editId="5DF311F0">
                  <wp:extent cx="428625" cy="409575"/>
                  <wp:effectExtent l="0" t="0" r="0" b="0"/>
                  <wp:docPr id="5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vAlign w:val="center"/>
          </w:tcPr>
          <w:p w14:paraId="02F3CD9F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Arial" w:eastAsia="MS Mincho" w:hAnsi="Arial" w:cs="Arial"/>
                <w:b/>
                <w:sz w:val="16"/>
                <w:szCs w:val="16"/>
                <w:lang w:val="en-US"/>
              </w:rPr>
            </w:pPr>
          </w:p>
          <w:p w14:paraId="5E240BDA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Calibri" w:eastAsia="MS Mincho" w:hAnsi="Calibri"/>
                <w:sz w:val="16"/>
                <w:szCs w:val="16"/>
                <w:lang w:val="ru-RU"/>
              </w:rPr>
            </w:pPr>
            <w:r w:rsidRPr="00790C02">
              <w:rPr>
                <w:rFonts w:ascii="Arial" w:eastAsia="MS Mincho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1" w:type="dxa"/>
            <w:vAlign w:val="center"/>
            <w:hideMark/>
          </w:tcPr>
          <w:p w14:paraId="27E781CA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113" w:right="-318"/>
              <w:rPr>
                <w:rFonts w:eastAsia="MS Mincho"/>
                <w:sz w:val="22"/>
                <w:szCs w:val="22"/>
                <w:lang w:val="en-GB"/>
              </w:rPr>
            </w:pPr>
            <w:r w:rsidRPr="00790C02">
              <w:rPr>
                <w:rFonts w:eastAsia="MS Mincho"/>
                <w:noProof/>
                <w:lang w:val="en-GB" w:eastAsia="en-GB"/>
              </w:rPr>
              <w:drawing>
                <wp:inline distT="0" distB="0" distL="0" distR="0" wp14:anchorId="51040D89" wp14:editId="23882972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hideMark/>
          </w:tcPr>
          <w:p w14:paraId="776AF9D2" w14:textId="77777777" w:rsidR="00790C02" w:rsidRPr="00790C02" w:rsidRDefault="00790C02" w:rsidP="00790C02">
            <w:pPr>
              <w:keepNext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40"/>
              <w:ind w:left="79"/>
              <w:outlineLvl w:val="1"/>
              <w:rPr>
                <w:rFonts w:ascii="Arial" w:eastAsia="MS Mincho" w:hAnsi="Arial" w:cs="Arial"/>
                <w:b/>
                <w:sz w:val="52"/>
                <w:szCs w:val="52"/>
                <w:lang w:val="en-GB"/>
              </w:rPr>
            </w:pPr>
            <w:proofErr w:type="spellStart"/>
            <w:r w:rsidRPr="00790C02">
              <w:rPr>
                <w:rFonts w:ascii="Arial" w:eastAsia="MS Mincho" w:hAnsi="Arial" w:cs="Arial"/>
                <w:b/>
                <w:sz w:val="52"/>
                <w:szCs w:val="52"/>
                <w:lang w:val="ru-RU"/>
              </w:rPr>
              <w:t>BES</w:t>
            </w:r>
            <w:proofErr w:type="spellEnd"/>
          </w:p>
        </w:tc>
      </w:tr>
      <w:tr w:rsidR="00790C02" w:rsidRPr="00790C02" w14:paraId="5E2F952C" w14:textId="77777777" w:rsidTr="009D36EE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46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6E47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noProof/>
                <w:lang w:val="en-GB"/>
              </w:rPr>
            </w:pPr>
          </w:p>
        </w:tc>
        <w:tc>
          <w:tcPr>
            <w:tcW w:w="613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69F7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1035" w14:textId="7445CAB1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b/>
                <w:lang w:val="en-GB"/>
              </w:rPr>
            </w:pPr>
            <w:proofErr w:type="spellStart"/>
            <w:r w:rsidRPr="00790C02">
              <w:rPr>
                <w:rFonts w:eastAsia="MS Mincho"/>
                <w:b/>
                <w:sz w:val="24"/>
                <w:szCs w:val="24"/>
                <w:lang w:val="ru-RU"/>
              </w:rPr>
              <w:t>IPBES</w:t>
            </w:r>
            <w:proofErr w:type="spellEnd"/>
            <w:r w:rsidRPr="00790C02">
              <w:rPr>
                <w:rFonts w:eastAsia="MS Mincho"/>
                <w:lang w:val="ru-RU"/>
              </w:rPr>
              <w:t>/</w:t>
            </w:r>
            <w:r w:rsidRPr="00790C02">
              <w:rPr>
                <w:rFonts w:eastAsia="MS Mincho"/>
                <w:lang w:val="en-US"/>
              </w:rPr>
              <w:t>8</w:t>
            </w:r>
            <w:r w:rsidRPr="00790C02">
              <w:rPr>
                <w:rFonts w:eastAsia="MS Mincho"/>
                <w:lang w:val="en-GB"/>
              </w:rPr>
              <w:t>/</w:t>
            </w:r>
            <w:r w:rsidR="009D36EE">
              <w:rPr>
                <w:rFonts w:eastAsia="MS Mincho"/>
                <w:lang w:val="en-GB"/>
              </w:rPr>
              <w:t>4</w:t>
            </w:r>
          </w:p>
        </w:tc>
      </w:tr>
      <w:tr w:rsidR="00790C02" w:rsidRPr="00790C02" w14:paraId="7EDDF172" w14:textId="77777777" w:rsidTr="009D36EE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44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A39B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40" w:after="240"/>
              <w:rPr>
                <w:rFonts w:ascii="Arial" w:eastAsia="MS Mincho" w:hAnsi="Arial" w:cs="Arial"/>
                <w:b/>
                <w:sz w:val="28"/>
                <w:szCs w:val="28"/>
                <w:lang w:val="en-GB"/>
              </w:rPr>
            </w:pPr>
            <w:r w:rsidRPr="00790C02">
              <w:rPr>
                <w:rFonts w:ascii="Arial" w:eastAsia="MS Mincho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9AACABD" wp14:editId="683083B5">
                  <wp:extent cx="1114425" cy="523875"/>
                  <wp:effectExtent l="0" t="0" r="0" b="0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gridSpan w:val="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5D5C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790C02"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790C02"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790C02"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  <w:br/>
              <w:t xml:space="preserve">по биоразнообразию и </w:t>
            </w:r>
            <w:r w:rsidRPr="00790C02">
              <w:rPr>
                <w:rFonts w:ascii="Arial" w:eastAsia="MS Mincho" w:hAnsi="Arial" w:cs="Arial"/>
                <w:b/>
                <w:sz w:val="28"/>
                <w:szCs w:val="28"/>
                <w:lang w:val="ru-RU"/>
              </w:rPr>
              <w:br/>
              <w:t>экосистемным услугам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430D" w14:textId="07B82F64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790C02">
              <w:rPr>
                <w:lang w:val="en-GB"/>
              </w:rPr>
              <w:t>Distr.: General</w:t>
            </w:r>
            <w:r w:rsidRPr="00790C02">
              <w:rPr>
                <w:lang w:val="en-GB"/>
              </w:rPr>
              <w:br/>
            </w:r>
            <w:r w:rsidR="009D36EE" w:rsidRPr="00F338AF">
              <w:t>15 March 2021</w:t>
            </w:r>
          </w:p>
          <w:p w14:paraId="4FF61F24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lang w:val="en-US"/>
              </w:rPr>
            </w:pPr>
          </w:p>
          <w:p w14:paraId="3015849E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lang w:val="en-US"/>
              </w:rPr>
            </w:pPr>
            <w:r w:rsidRPr="00790C02">
              <w:rPr>
                <w:rFonts w:eastAsia="MS Mincho"/>
                <w:lang w:val="en-US"/>
              </w:rPr>
              <w:t xml:space="preserve">Russian </w:t>
            </w:r>
          </w:p>
          <w:p w14:paraId="448D6163" w14:textId="77777777" w:rsidR="00790C02" w:rsidRPr="00790C02" w:rsidRDefault="00790C02" w:rsidP="00790C0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MS Mincho"/>
                <w:lang w:val="en-US"/>
              </w:rPr>
            </w:pPr>
            <w:r w:rsidRPr="00790C02">
              <w:rPr>
                <w:rFonts w:eastAsia="MS Mincho"/>
                <w:lang w:val="en-US"/>
              </w:rPr>
              <w:t>Original: English</w:t>
            </w:r>
          </w:p>
        </w:tc>
      </w:tr>
    </w:tbl>
    <w:p w14:paraId="31A8CBD4" w14:textId="77777777" w:rsidR="00670FD5" w:rsidRPr="00C06A42" w:rsidRDefault="00670FD5" w:rsidP="00670FD5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6B49E6D8" w14:textId="77777777" w:rsidR="00C95B00" w:rsidRPr="00F73A1C" w:rsidRDefault="00C95B00" w:rsidP="001B574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lang w:val="ru-RU"/>
        </w:rPr>
      </w:pPr>
      <w:r>
        <w:rPr>
          <w:bCs/>
          <w:lang w:val="ru-RU"/>
        </w:rPr>
        <w:t>Восьмая сессия</w:t>
      </w:r>
    </w:p>
    <w:p w14:paraId="47E03A95" w14:textId="67EEECD9" w:rsidR="00DC5E14" w:rsidRPr="00F73A1C" w:rsidRDefault="00DC5E14" w:rsidP="001B574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bCs/>
          <w:lang w:val="ru-RU"/>
        </w:rPr>
      </w:pPr>
      <w:r w:rsidRPr="00891F79">
        <w:rPr>
          <w:b w:val="0"/>
          <w:bCs/>
          <w:lang w:val="ru-RU"/>
        </w:rPr>
        <w:t>В онлайн-режиме, 14-24 июня 2021 года</w:t>
      </w:r>
    </w:p>
    <w:p w14:paraId="00344F7B" w14:textId="540134E5" w:rsidR="00DC5E14" w:rsidRPr="00F73A1C" w:rsidRDefault="00DC5E14" w:rsidP="001B5744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rPr>
          <w:b w:val="0"/>
          <w:bCs/>
          <w:lang w:val="ru-RU"/>
        </w:rPr>
      </w:pPr>
      <w:r w:rsidRPr="00891F79">
        <w:rPr>
          <w:b w:val="0"/>
          <w:bCs/>
          <w:lang w:val="ru-RU"/>
        </w:rPr>
        <w:t>Пункт 7 b) предварительной повестки дня</w:t>
      </w:r>
      <w:r w:rsidR="00714F6B" w:rsidRPr="00891F79">
        <w:rPr>
          <w:b w:val="0"/>
          <w:bCs/>
          <w:lang w:val="ru-RU"/>
        </w:rPr>
        <w:footnoteReference w:customMarkFollows="1" w:id="1"/>
        <w:t>*</w:t>
      </w:r>
    </w:p>
    <w:p w14:paraId="17DFB4C4" w14:textId="0D9D19AA" w:rsidR="00D00B7B" w:rsidRPr="00F73A1C" w:rsidRDefault="00670FD5" w:rsidP="001B5744">
      <w:pPr>
        <w:pStyle w:val="AATitle2"/>
        <w:keepNext w:val="0"/>
        <w:keepLines w:val="0"/>
        <w:tabs>
          <w:tab w:val="clear" w:pos="624"/>
        </w:tabs>
        <w:spacing w:before="0" w:after="120"/>
        <w:ind w:right="1701"/>
        <w:rPr>
          <w:szCs w:val="22"/>
          <w:lang w:val="ru-RU"/>
        </w:rPr>
      </w:pPr>
      <w:bookmarkStart w:id="0" w:name="_Hlk66707816"/>
      <w:r>
        <w:rPr>
          <w:szCs w:val="22"/>
          <w:lang w:val="ru-RU"/>
        </w:rPr>
        <w:t>Оценка знаний:</w:t>
      </w:r>
      <w:r w:rsidR="00D00B7B" w:rsidRPr="00F73A1C">
        <w:rPr>
          <w:szCs w:val="22"/>
          <w:lang w:val="ru-RU"/>
        </w:rPr>
        <w:t xml:space="preserve"> </w:t>
      </w:r>
      <w:r w:rsidR="00D00B7B" w:rsidRPr="000206A6">
        <w:rPr>
          <w:szCs w:val="22"/>
          <w:lang w:val="ru-RU"/>
        </w:rPr>
        <w:t>доклад об аналитическом исследовании для 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</w:t>
      </w:r>
      <w:r w:rsidR="00D00B7B">
        <w:rPr>
          <w:szCs w:val="22"/>
          <w:lang w:val="ru-RU"/>
        </w:rPr>
        <w:t xml:space="preserve"> </w:t>
      </w:r>
    </w:p>
    <w:bookmarkEnd w:id="0"/>
    <w:p w14:paraId="4D589017" w14:textId="26ABC51D" w:rsidR="008125AA" w:rsidRPr="00522C60" w:rsidRDefault="008125AA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r w:rsidRPr="00522C60">
        <w:rPr>
          <w:b/>
          <w:bCs/>
          <w:sz w:val="28"/>
          <w:szCs w:val="28"/>
          <w:lang w:val="ru-RU"/>
        </w:rPr>
        <w:t xml:space="preserve">Доклад об аналитическом исследовании </w:t>
      </w:r>
      <w:r w:rsidR="00E721F1">
        <w:rPr>
          <w:b/>
          <w:bCs/>
          <w:sz w:val="28"/>
          <w:szCs w:val="28"/>
          <w:lang w:val="ru-RU"/>
        </w:rPr>
        <w:t>для</w:t>
      </w:r>
      <w:r w:rsidRPr="00062F7D">
        <w:rPr>
          <w:b/>
          <w:bCs/>
          <w:sz w:val="28"/>
          <w:szCs w:val="28"/>
          <w:lang w:val="ru-RU"/>
        </w:rPr>
        <w:t xml:space="preserve"> оценк</w:t>
      </w:r>
      <w:r w:rsidR="00E721F1">
        <w:rPr>
          <w:b/>
          <w:bCs/>
          <w:sz w:val="28"/>
          <w:szCs w:val="28"/>
          <w:lang w:val="ru-RU"/>
        </w:rPr>
        <w:t>и</w:t>
      </w:r>
      <w:r w:rsidRPr="00522C60">
        <w:rPr>
          <w:b/>
          <w:bCs/>
          <w:sz w:val="28"/>
          <w:szCs w:val="28"/>
          <w:lang w:val="ru-RU"/>
        </w:rPr>
        <w:t xml:space="preserve"> коренных причин утраты биоразнообразия и определяющих факторов преобразовательных изменений (тематическая оценка) для реализации Концепции в области биоразнообразия на период до 2050 года</w:t>
      </w:r>
      <w:r w:rsidR="00CA45C6" w:rsidRPr="00522C60">
        <w:rPr>
          <w:b/>
          <w:bCs/>
          <w:sz w:val="28"/>
          <w:szCs w:val="28"/>
          <w:lang w:val="ru-RU"/>
        </w:rPr>
        <w:footnoteReference w:customMarkFollows="1" w:id="2"/>
        <w:t>**</w:t>
      </w:r>
    </w:p>
    <w:p w14:paraId="599CB405" w14:textId="2E8C9B6B" w:rsidR="008125AA" w:rsidRPr="00522C60" w:rsidRDefault="008125AA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  <w:lang w:val="ru-RU"/>
        </w:rPr>
      </w:pPr>
      <w:r w:rsidRPr="00522C60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6BB312B5" w14:textId="751819BD" w:rsidR="008125AA" w:rsidRPr="00522C60" w:rsidRDefault="00522C60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На своей седьмой сессии в пункте 2 b) раздела II решения МПБЭУ-7/1 Пленум утвердил процесс проведения аналитического исследования</w:t>
      </w:r>
      <w:r w:rsidR="005831EF">
        <w:rPr>
          <w:lang w:val="ru-RU"/>
        </w:rPr>
        <w:t xml:space="preserve"> для </w:t>
      </w:r>
      <w:r w:rsidR="008125AA" w:rsidRPr="00522C60">
        <w:rPr>
          <w:lang w:val="ru-RU"/>
        </w:rPr>
        <w:t>тематической оценки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</w:t>
      </w:r>
      <w:r>
        <w:rPr>
          <w:lang w:val="en-GB"/>
        </w:rPr>
        <w:t> </w:t>
      </w:r>
      <w:r w:rsidR="008125AA" w:rsidRPr="00522C60">
        <w:rPr>
          <w:lang w:val="ru-RU"/>
        </w:rPr>
        <w:t>года</w:t>
      </w:r>
      <w:r w:rsidR="0050025E" w:rsidRPr="00522C60">
        <w:rPr>
          <w:rFonts w:eastAsia="MS Mincho"/>
          <w:vertAlign w:val="superscript"/>
          <w:lang w:val="ru-RU"/>
        </w:rPr>
        <w:footnoteReference w:id="3"/>
      </w:r>
      <w:r w:rsidR="008125AA" w:rsidRPr="00522C60">
        <w:rPr>
          <w:lang w:val="ru-RU"/>
        </w:rPr>
        <w:t xml:space="preserve"> в соответствии с процедурами подготовки </w:t>
      </w:r>
      <w:r w:rsidR="00F0272A">
        <w:rPr>
          <w:lang w:val="ru-RU"/>
        </w:rPr>
        <w:t>итоговых материалов</w:t>
      </w:r>
      <w:r w:rsidR="00F0272A" w:rsidRPr="00522C60">
        <w:rPr>
          <w:lang w:val="ru-RU"/>
        </w:rPr>
        <w:t xml:space="preserve"> </w:t>
      </w:r>
      <w:r w:rsidR="008125AA" w:rsidRPr="00522C60">
        <w:rPr>
          <w:lang w:val="ru-RU"/>
        </w:rPr>
        <w:t>Платформы, изложенными в приложении I к решению МПБЭУ-3/3, и на основе доклада о</w:t>
      </w:r>
      <w:r w:rsidR="002C082E">
        <w:rPr>
          <w:lang w:val="ru-RU"/>
        </w:rPr>
        <w:t xml:space="preserve"> первичном</w:t>
      </w:r>
      <w:r w:rsidR="008125AA" w:rsidRPr="00522C60">
        <w:rPr>
          <w:lang w:val="ru-RU"/>
        </w:rPr>
        <w:t xml:space="preserve"> аналитическом исследовании </w:t>
      </w:r>
      <w:r w:rsidR="00610AC9">
        <w:rPr>
          <w:lang w:val="ru-RU"/>
        </w:rPr>
        <w:t>для</w:t>
      </w:r>
      <w:r w:rsidR="00610AC9" w:rsidRPr="00522C60">
        <w:rPr>
          <w:lang w:val="ru-RU"/>
        </w:rPr>
        <w:t xml:space="preserve"> </w:t>
      </w:r>
      <w:r w:rsidR="008125AA" w:rsidRPr="00522C60">
        <w:rPr>
          <w:lang w:val="ru-RU"/>
        </w:rPr>
        <w:t>оценк</w:t>
      </w:r>
      <w:r w:rsidR="00610AC9">
        <w:rPr>
          <w:lang w:val="ru-RU"/>
        </w:rPr>
        <w:t>и</w:t>
      </w:r>
      <w:r w:rsidR="008125AA" w:rsidRPr="00522C60">
        <w:rPr>
          <w:lang w:val="ru-RU"/>
        </w:rPr>
        <w:t xml:space="preserve">, изложенного в разделе III дополнения II к документу </w:t>
      </w:r>
      <w:proofErr w:type="spellStart"/>
      <w:r w:rsidR="008125AA" w:rsidRPr="00522C60">
        <w:rPr>
          <w:lang w:val="ru-RU"/>
        </w:rPr>
        <w:t>IPBES</w:t>
      </w:r>
      <w:proofErr w:type="spellEnd"/>
      <w:r w:rsidR="008125AA" w:rsidRPr="00522C60">
        <w:rPr>
          <w:lang w:val="ru-RU"/>
        </w:rPr>
        <w:t xml:space="preserve">/7/6. </w:t>
      </w:r>
    </w:p>
    <w:p w14:paraId="4FE1A35D" w14:textId="5616508C" w:rsidR="008125AA" w:rsidRPr="00522C60" w:rsidRDefault="00522C60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2.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В настоящей записке содержится доклад об аналитическом исследовании, представленный Пленуму Многодисциплинарной группой экспертов. Информация о процессе подготовки аналитического исследования содержится в документе </w:t>
      </w:r>
      <w:proofErr w:type="spellStart"/>
      <w:r w:rsidR="008125AA" w:rsidRPr="00522C60">
        <w:rPr>
          <w:lang w:val="ru-RU"/>
        </w:rPr>
        <w:t>IPBES</w:t>
      </w:r>
      <w:proofErr w:type="spellEnd"/>
      <w:r w:rsidR="008125AA" w:rsidRPr="00522C60">
        <w:rPr>
          <w:lang w:val="ru-RU"/>
        </w:rPr>
        <w:t>/8/</w:t>
      </w:r>
      <w:proofErr w:type="spellStart"/>
      <w:r w:rsidR="008125AA" w:rsidRPr="00522C60">
        <w:rPr>
          <w:lang w:val="ru-RU"/>
        </w:rPr>
        <w:t>INF</w:t>
      </w:r>
      <w:proofErr w:type="spellEnd"/>
      <w:r w:rsidR="008125AA" w:rsidRPr="00522C60">
        <w:rPr>
          <w:lang w:val="ru-RU"/>
        </w:rPr>
        <w:t xml:space="preserve">/6. </w:t>
      </w:r>
    </w:p>
    <w:p w14:paraId="1E44F922" w14:textId="7421B9B8" w:rsidR="008125AA" w:rsidRPr="00522C60" w:rsidRDefault="00522C60" w:rsidP="00CD7DB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ab/>
      </w:r>
      <w:r w:rsidR="008125AA" w:rsidRPr="00522C60">
        <w:rPr>
          <w:b/>
          <w:bCs/>
          <w:sz w:val="28"/>
          <w:szCs w:val="28"/>
          <w:lang w:val="ru-RU"/>
        </w:rPr>
        <w:t>I.</w:t>
      </w:r>
      <w:r w:rsidR="008125AA" w:rsidRPr="00522C60">
        <w:rPr>
          <w:b/>
          <w:bCs/>
          <w:sz w:val="28"/>
          <w:szCs w:val="28"/>
          <w:lang w:val="ru-RU"/>
        </w:rPr>
        <w:tab/>
        <w:t xml:space="preserve">Сфера охвата, сроки и географический охват, политический контекст, </w:t>
      </w:r>
      <w:r w:rsidR="00693108">
        <w:rPr>
          <w:b/>
          <w:bCs/>
          <w:sz w:val="28"/>
          <w:szCs w:val="28"/>
          <w:lang w:val="ru-RU"/>
        </w:rPr>
        <w:t>всеобъемлющие</w:t>
      </w:r>
      <w:r w:rsidR="00693108" w:rsidRPr="00522C60">
        <w:rPr>
          <w:b/>
          <w:bCs/>
          <w:sz w:val="28"/>
          <w:szCs w:val="28"/>
          <w:lang w:val="ru-RU"/>
        </w:rPr>
        <w:t xml:space="preserve"> </w:t>
      </w:r>
      <w:r w:rsidR="008125AA" w:rsidRPr="00522C60">
        <w:rPr>
          <w:b/>
          <w:bCs/>
          <w:sz w:val="28"/>
          <w:szCs w:val="28"/>
          <w:lang w:val="ru-RU"/>
        </w:rPr>
        <w:t>вопросы и методологический подход</w:t>
      </w:r>
    </w:p>
    <w:p w14:paraId="571658BA" w14:textId="7B5960A9" w:rsidR="008125AA" w:rsidRPr="00522C60" w:rsidRDefault="00522C60" w:rsidP="00F73A1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8125AA" w:rsidRPr="00522C60">
        <w:rPr>
          <w:b/>
          <w:bCs/>
          <w:sz w:val="24"/>
          <w:szCs w:val="24"/>
          <w:lang w:val="ru-RU"/>
        </w:rPr>
        <w:t>A.</w:t>
      </w:r>
      <w:r w:rsidR="008125AA" w:rsidRPr="00522C60">
        <w:rPr>
          <w:b/>
          <w:bCs/>
          <w:sz w:val="24"/>
          <w:szCs w:val="24"/>
          <w:lang w:val="ru-RU"/>
        </w:rPr>
        <w:tab/>
        <w:t>Сфера охвата</w:t>
      </w:r>
    </w:p>
    <w:p w14:paraId="0F56CD70" w14:textId="15CD4E6A" w:rsidR="008125AA" w:rsidRPr="00522C60" w:rsidRDefault="0050025E" w:rsidP="00F73A1C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Для целей оценки и в соответствии с предыдущей работой МПБЭУ, одобренной Пленумом МПБЭУ, преобразовательные изменения</w:t>
      </w:r>
      <w:r w:rsidR="000B6A6E" w:rsidRPr="000B6A6E">
        <w:rPr>
          <w:rFonts w:eastAsia="MS Mincho"/>
          <w:vertAlign w:val="superscript"/>
          <w:lang w:val="ru-RU"/>
        </w:rPr>
        <w:footnoteReference w:id="4"/>
      </w:r>
      <w:r w:rsidR="008125AA" w:rsidRPr="00522C60">
        <w:rPr>
          <w:lang w:val="ru-RU"/>
        </w:rPr>
        <w:t xml:space="preserve"> определяются как кардинальная реорганизация всей системы с учетом технологических, экономических и социальных факторов, включая парадигмы, цели и ценности</w:t>
      </w:r>
      <w:r w:rsidR="000B6A6E" w:rsidRPr="000B6A6E">
        <w:rPr>
          <w:rFonts w:eastAsia="MS Mincho"/>
          <w:vertAlign w:val="superscript"/>
          <w:lang w:val="ru-RU"/>
        </w:rPr>
        <w:footnoteReference w:id="5"/>
      </w:r>
      <w:r w:rsidR="008125AA" w:rsidRPr="00522C60">
        <w:rPr>
          <w:lang w:val="ru-RU"/>
        </w:rPr>
        <w:t xml:space="preserve">. Необходимость и возможность быстрых преобразовательных изменений стали очевидными во время пандемии </w:t>
      </w:r>
      <w:proofErr w:type="spellStart"/>
      <w:r w:rsidR="001D0D4A" w:rsidRPr="00534B14">
        <w:rPr>
          <w:rFonts w:eastAsia="MS Mincho"/>
        </w:rPr>
        <w:t>COVID</w:t>
      </w:r>
      <w:proofErr w:type="spellEnd"/>
      <w:r w:rsidR="008125AA" w:rsidRPr="00522C60">
        <w:rPr>
          <w:lang w:val="ru-RU"/>
        </w:rPr>
        <w:t>-19.</w:t>
      </w:r>
    </w:p>
    <w:p w14:paraId="1013EA74" w14:textId="473DE72A" w:rsidR="008125AA" w:rsidRPr="00522C60" w:rsidRDefault="001D0D4A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4.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В предыдущей глобальной оценке МПБЭУ по вопросам биоразнообразия и экосистемных услуг был сделан вывод о </w:t>
      </w:r>
      <w:r w:rsidR="00C13203">
        <w:rPr>
          <w:lang w:val="ru-RU"/>
        </w:rPr>
        <w:t>наличии</w:t>
      </w:r>
      <w:r w:rsidR="008125AA" w:rsidRPr="00522C60">
        <w:rPr>
          <w:lang w:val="ru-RU"/>
        </w:rPr>
        <w:t xml:space="preserve"> вероятны</w:t>
      </w:r>
      <w:r w:rsidR="00C376D9">
        <w:rPr>
          <w:lang w:val="ru-RU"/>
        </w:rPr>
        <w:t>х</w:t>
      </w:r>
      <w:r w:rsidR="008125AA" w:rsidRPr="00522C60">
        <w:rPr>
          <w:lang w:val="ru-RU"/>
        </w:rPr>
        <w:t xml:space="preserve"> пут</w:t>
      </w:r>
      <w:r w:rsidR="00C376D9">
        <w:rPr>
          <w:lang w:val="ru-RU"/>
        </w:rPr>
        <w:t>ей</w:t>
      </w:r>
      <w:r w:rsidR="008125AA" w:rsidRPr="00522C60">
        <w:rPr>
          <w:lang w:val="ru-RU"/>
        </w:rPr>
        <w:t xml:space="preserve"> реализации Концепции в области биоразнообразия на период до 2050 года в увязке с ключевыми целями в области развития человеческого потенциала. Однако эти пути требуют ка</w:t>
      </w:r>
      <w:r w:rsidRPr="00522C60">
        <w:rPr>
          <w:lang w:val="ru-RU"/>
        </w:rPr>
        <w:t>р</w:t>
      </w:r>
      <w:r w:rsidR="008125AA" w:rsidRPr="00522C60">
        <w:rPr>
          <w:lang w:val="ru-RU"/>
        </w:rPr>
        <w:t xml:space="preserve">динальных изменений в парадигмах развития и социально-экологической динамике, которые, в свою очередь, подразумевают изменения в обществе, рассмотрение вопросов неравенства и управления, </w:t>
      </w:r>
      <w:r w:rsidR="009C5F48">
        <w:rPr>
          <w:lang w:val="ru-RU"/>
        </w:rPr>
        <w:t>значительно</w:t>
      </w:r>
      <w:r w:rsidR="009C5F48" w:rsidRPr="00522C60">
        <w:rPr>
          <w:lang w:val="ru-RU"/>
        </w:rPr>
        <w:t xml:space="preserve"> </w:t>
      </w:r>
      <w:r w:rsidR="008125AA" w:rsidRPr="00522C60">
        <w:rPr>
          <w:lang w:val="ru-RU"/>
        </w:rPr>
        <w:t>более рациональное использование земли, воды, энергии и материалов, а также переосмысление и надлежащее изменение моделей потребления, продовольственных систем и глобальных производственно-сбытовых цеп</w:t>
      </w:r>
      <w:r w:rsidR="00D4626C">
        <w:rPr>
          <w:lang w:val="ru-RU"/>
        </w:rPr>
        <w:t>ей</w:t>
      </w:r>
      <w:r w:rsidR="008125AA" w:rsidRPr="00522C60">
        <w:rPr>
          <w:lang w:val="ru-RU"/>
        </w:rPr>
        <w:t>. Эта оценка проинформирует директивные органы о вариантах осуществления преобразовательных изменений для реализации Концепции в области биоразнообразия на период до 2050 года и целей в области устойчивого развития.</w:t>
      </w:r>
    </w:p>
    <w:p w14:paraId="6716106C" w14:textId="4249DC0B" w:rsidR="008125AA" w:rsidRPr="00522C60" w:rsidRDefault="001D0D4A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5.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В докладе об оценке будут рассмотрены различные концепции и сценарии формирования устойчивого мира, отвечающего интересам природы и людей, в соответствии с Концепцией в области биоразнообразия на период до 2050 года и в контексте Повестки дня в области устойчивого развития на период до 2030 года и содержащихся в ней целей в области устойчивого развития, включая представления коренных народов и местных общин. Кроме того, в докладе буд</w:t>
      </w:r>
      <w:r w:rsidR="00CC5885">
        <w:rPr>
          <w:lang w:val="ru-RU"/>
        </w:rPr>
        <w:t>е</w:t>
      </w:r>
      <w:r w:rsidR="008125AA" w:rsidRPr="00522C60">
        <w:rPr>
          <w:lang w:val="ru-RU"/>
        </w:rPr>
        <w:t xml:space="preserve">т проведена оценка определяющих факторов преобразовательных изменений, того, как они происходят, с какими препятствиями они могут сталкиваться и, что </w:t>
      </w:r>
      <w:r w:rsidR="00970A16">
        <w:rPr>
          <w:lang w:val="ru-RU"/>
        </w:rPr>
        <w:t>особо</w:t>
      </w:r>
      <w:r w:rsidR="008125AA" w:rsidRPr="00522C60">
        <w:rPr>
          <w:lang w:val="ru-RU"/>
        </w:rPr>
        <w:t xml:space="preserve"> важно, какие существуют варианты мер для стимулирования и поддержания преобразовательных изменений применительно к концепциям, сценариям и путям формирования устойчивого мира, какие шаги необходимы для реализации этих концепций и как можно определить и отследить </w:t>
      </w:r>
      <w:r w:rsidR="0026368A">
        <w:rPr>
          <w:lang w:val="ru-RU"/>
        </w:rPr>
        <w:t>ход</w:t>
      </w:r>
      <w:r w:rsidR="008125AA" w:rsidRPr="00522C60">
        <w:rPr>
          <w:lang w:val="ru-RU"/>
        </w:rPr>
        <w:t xml:space="preserve"> осуществления преобразовательных изменений.</w:t>
      </w:r>
    </w:p>
    <w:p w14:paraId="5480E67C" w14:textId="32DA9F0A" w:rsidR="008125AA" w:rsidRPr="00522C60" w:rsidRDefault="001D0D4A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6.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Оценка направлена на выявление и обеспечение понимания факторов, </w:t>
      </w:r>
      <w:r w:rsidR="00863F84">
        <w:rPr>
          <w:lang w:val="ru-RU"/>
        </w:rPr>
        <w:t>имеющихся</w:t>
      </w:r>
      <w:r w:rsidR="00863F84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в человеческом обществе как на индивидуальном, так и на коллективном уровнях, а также на различных уровнях, от местного до глобального, которые можно использовать в целях осуществления преобразовательных изменений для содействия реализации Концепции в области биоразнообразия на период до 2050 года и целей в области устойчивого развития. Эти факторы включают психологические, поведенческие, социальные, культурные, экономические, политические, управленческие, институциональные, демографические, технические и технологические аспекты, соответствующие косвенным факторам изменения биоразнообразия, которые лежат в основе </w:t>
      </w:r>
      <w:r w:rsidR="00210E5D">
        <w:rPr>
          <w:lang w:val="ru-RU"/>
        </w:rPr>
        <w:t>системы понятий</w:t>
      </w:r>
      <w:r w:rsidR="008125AA" w:rsidRPr="00522C60">
        <w:rPr>
          <w:lang w:val="ru-RU"/>
        </w:rPr>
        <w:t xml:space="preserve"> МПБЭУ</w:t>
      </w:r>
      <w:r w:rsidRPr="001D0D4A">
        <w:rPr>
          <w:rFonts w:eastAsia="MS Mincho"/>
          <w:vertAlign w:val="superscript"/>
          <w:lang w:val="ru-RU"/>
        </w:rPr>
        <w:footnoteReference w:id="6"/>
      </w:r>
      <w:r w:rsidR="008125AA" w:rsidRPr="00522C60">
        <w:rPr>
          <w:lang w:val="ru-RU"/>
        </w:rPr>
        <w:t xml:space="preserve">. Они включают в себя роль формальных и неформальных институтов, а также воздействие моделей производства, предложения и потребления на природу, </w:t>
      </w:r>
      <w:r w:rsidR="00F56711">
        <w:rPr>
          <w:lang w:val="ru-RU"/>
        </w:rPr>
        <w:t xml:space="preserve">обеспечиваемый </w:t>
      </w:r>
      <w:r w:rsidR="008125AA" w:rsidRPr="00522C60">
        <w:rPr>
          <w:lang w:val="ru-RU"/>
        </w:rPr>
        <w:t>природ</w:t>
      </w:r>
      <w:r w:rsidR="00F56711">
        <w:rPr>
          <w:lang w:val="ru-RU"/>
        </w:rPr>
        <w:t>ой вклад на благо человека</w:t>
      </w:r>
      <w:r w:rsidR="008125AA" w:rsidRPr="00522C60">
        <w:rPr>
          <w:lang w:val="ru-RU"/>
        </w:rPr>
        <w:t xml:space="preserve"> и </w:t>
      </w:r>
      <w:r w:rsidR="00F56711">
        <w:rPr>
          <w:lang w:val="ru-RU"/>
        </w:rPr>
        <w:t>достойное</w:t>
      </w:r>
      <w:r w:rsidR="00F56711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качество жизни. Более четкое понимание того, как эти взаимодействующие факторы могут быть изменены или скорректированы, может помочь в разработке политики и действий, направленных на инициирование преобразовательных изменений в целях сохранения и </w:t>
      </w:r>
      <w:r w:rsidR="00504DC7">
        <w:rPr>
          <w:lang w:val="ru-RU"/>
        </w:rPr>
        <w:t>пропаганды</w:t>
      </w:r>
      <w:r w:rsidR="00504DC7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биоразнообразия и </w:t>
      </w:r>
      <w:r w:rsidR="00FF28D0">
        <w:rPr>
          <w:lang w:val="ru-RU"/>
        </w:rPr>
        <w:t xml:space="preserve">обеспечиваемого </w:t>
      </w:r>
      <w:r w:rsidR="008125AA" w:rsidRPr="00522C60">
        <w:rPr>
          <w:lang w:val="ru-RU"/>
        </w:rPr>
        <w:t>природ</w:t>
      </w:r>
      <w:r w:rsidR="00FF28D0">
        <w:rPr>
          <w:lang w:val="ru-RU"/>
        </w:rPr>
        <w:t>ой вклада на благо человека</w:t>
      </w:r>
      <w:r w:rsidR="008125AA" w:rsidRPr="00522C60">
        <w:rPr>
          <w:lang w:val="ru-RU"/>
        </w:rPr>
        <w:t xml:space="preserve">, а также обеспечения устойчивости и </w:t>
      </w:r>
      <w:r w:rsidR="00504DC7">
        <w:rPr>
          <w:lang w:val="ru-RU"/>
        </w:rPr>
        <w:t>достойного</w:t>
      </w:r>
      <w:r w:rsidR="00504DC7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качества жизни на многих уровнях </w:t>
      </w:r>
      <w:r w:rsidR="0023515A" w:rsidRPr="00F72D0F">
        <w:rPr>
          <w:lang w:val="ru-RU"/>
        </w:rPr>
        <w:t>–</w:t>
      </w:r>
      <w:r w:rsidR="008125AA" w:rsidRPr="00522C60">
        <w:rPr>
          <w:lang w:val="ru-RU"/>
        </w:rPr>
        <w:t xml:space="preserve"> от отдельных людей через общины и предприятия до общества в целом </w:t>
      </w:r>
      <w:r w:rsidR="0023515A" w:rsidRPr="00F73A1C">
        <w:rPr>
          <w:lang w:val="ru-RU"/>
        </w:rPr>
        <w:t>–</w:t>
      </w:r>
      <w:r w:rsidR="008125AA" w:rsidRPr="00522C60">
        <w:rPr>
          <w:lang w:val="ru-RU"/>
        </w:rPr>
        <w:t xml:space="preserve"> в соответствии с Концепцией в области биоразнообразия на период до 2050 года и в контексте целей в области устойчивого развития.</w:t>
      </w:r>
    </w:p>
    <w:p w14:paraId="7017086C" w14:textId="34A68A56" w:rsidR="008125AA" w:rsidRPr="00522C60" w:rsidRDefault="001D0D4A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lastRenderedPageBreak/>
        <w:t>7.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В ходе оценки будет рассмотрена важность упомянутых выше косвенных факторов в контексте их воздействия на важнейшие прямые факторы изменений</w:t>
      </w:r>
      <w:r w:rsidR="00F55D11" w:rsidRPr="00F55D11">
        <w:rPr>
          <w:rFonts w:eastAsia="MS Mincho"/>
          <w:vertAlign w:val="superscript"/>
          <w:lang w:val="ru-RU"/>
        </w:rPr>
        <w:footnoteReference w:id="7"/>
      </w:r>
      <w:r w:rsidR="008125AA" w:rsidRPr="00522C60">
        <w:rPr>
          <w:lang w:val="ru-RU"/>
        </w:rPr>
        <w:t xml:space="preserve"> (т.е. изменения в </w:t>
      </w:r>
      <w:r w:rsidR="0014750B">
        <w:rPr>
          <w:lang w:val="ru-RU"/>
        </w:rPr>
        <w:t xml:space="preserve">землепользовании и </w:t>
      </w:r>
      <w:r w:rsidR="008125AA" w:rsidRPr="00522C60">
        <w:rPr>
          <w:lang w:val="ru-RU"/>
        </w:rPr>
        <w:t xml:space="preserve">использовании морских ресурсов, непосредственная эксплуатация организмов, изменение климата, загрязнение и появление инвазивных чужеродных видов) во всех биомах. </w:t>
      </w:r>
    </w:p>
    <w:p w14:paraId="3EAB0E39" w14:textId="10A92F70" w:rsidR="008125AA" w:rsidRPr="00522C60" w:rsidRDefault="00F55D11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8.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Оценка будет учитывать разнообразие общественных ценностей и моделей поведения, которые лежат в основе </w:t>
      </w:r>
      <w:r w:rsidR="002F2B58" w:rsidRPr="00522C60">
        <w:rPr>
          <w:lang w:val="ru-RU"/>
        </w:rPr>
        <w:t>косвенны</w:t>
      </w:r>
      <w:r w:rsidR="002F2B58">
        <w:rPr>
          <w:lang w:val="ru-RU"/>
        </w:rPr>
        <w:t>х</w:t>
      </w:r>
      <w:r w:rsidR="002F2B58" w:rsidRPr="00522C60">
        <w:rPr>
          <w:lang w:val="ru-RU"/>
        </w:rPr>
        <w:t xml:space="preserve"> фактор</w:t>
      </w:r>
      <w:r w:rsidR="002F2B58">
        <w:rPr>
          <w:lang w:val="ru-RU"/>
        </w:rPr>
        <w:t>ов</w:t>
      </w:r>
      <w:r w:rsidR="002F2B58" w:rsidRPr="00522C60">
        <w:rPr>
          <w:lang w:val="ru-RU"/>
        </w:rPr>
        <w:t xml:space="preserve"> изменений </w:t>
      </w:r>
      <w:r w:rsidR="008125AA" w:rsidRPr="00522C60">
        <w:rPr>
          <w:lang w:val="ru-RU"/>
        </w:rPr>
        <w:t>и развиваются совместно с</w:t>
      </w:r>
      <w:r w:rsidR="002F2B58">
        <w:rPr>
          <w:lang w:val="ru-RU"/>
        </w:rPr>
        <w:t xml:space="preserve"> ними</w:t>
      </w:r>
      <w:r w:rsidR="008125AA" w:rsidRPr="00522C60">
        <w:rPr>
          <w:lang w:val="ru-RU"/>
        </w:rPr>
        <w:t>, т.е. побудительными причинами широких общественных изменений и преобразований, для обоснования разработки соответствующих стратегий, информационных кампаний и привлечения широкого круга участников и других мер. Соответственно, она будет учитывать, в частности: а) ценности (относительные, утилитарные и т.д.), то, как они влияют на поведение и как это влияние различается в зависимости от регионов и субрегионов, а также уровней развития, на основе и в дополнение к оценке ценностей МПБЭУ после ее завершения; b)</w:t>
      </w:r>
      <w:r w:rsidR="00DB2B40">
        <w:rPr>
          <w:lang w:val="en-GB"/>
        </w:rPr>
        <w:t> </w:t>
      </w:r>
      <w:r w:rsidR="008125AA" w:rsidRPr="00522C60">
        <w:rPr>
          <w:lang w:val="ru-RU"/>
        </w:rPr>
        <w:t>представления о достойном качестве жизни, мировоззрения и культуры, модели взаимодействия между природой и человеком и социальные представления; c) роль систем управления, норм и правил, образования и коммуникации, экономических стимулов, а также финансовых и других институтов в обеспечении изменения поведения отдельных лиц, предприятий, общин и обществ; d) роль технологий и оценки технологий; е) роль индивидуальных и коллективных действий; f) роль сложных систем</w:t>
      </w:r>
      <w:r w:rsidR="00AA2D5B">
        <w:rPr>
          <w:lang w:val="ru-RU"/>
        </w:rPr>
        <w:t xml:space="preserve"> и </w:t>
      </w:r>
      <w:r w:rsidR="007C73B8">
        <w:rPr>
          <w:lang w:val="ru-RU"/>
        </w:rPr>
        <w:t xml:space="preserve">концепции </w:t>
      </w:r>
      <w:r w:rsidR="008125AA" w:rsidRPr="00522C60">
        <w:rPr>
          <w:lang w:val="ru-RU"/>
        </w:rPr>
        <w:t xml:space="preserve">преобразований и </w:t>
      </w:r>
      <w:r w:rsidR="007C73B8">
        <w:rPr>
          <w:lang w:val="ru-RU"/>
        </w:rPr>
        <w:t>изменения укладов</w:t>
      </w:r>
      <w:r w:rsidR="008125AA" w:rsidRPr="00522C60">
        <w:rPr>
          <w:lang w:val="ru-RU"/>
        </w:rPr>
        <w:t>; g) препятствия на пути осуществления преобразовательных изменений; h)</w:t>
      </w:r>
      <w:r w:rsidR="00DB2B40">
        <w:rPr>
          <w:lang w:val="en-GB"/>
        </w:rPr>
        <w:t> </w:t>
      </w:r>
      <w:r w:rsidR="008125AA" w:rsidRPr="00522C60">
        <w:rPr>
          <w:lang w:val="ru-RU"/>
        </w:rPr>
        <w:t xml:space="preserve">равенство и необходимость </w:t>
      </w:r>
      <w:r w:rsidRPr="00F73A1C">
        <w:rPr>
          <w:lang w:val="ru-RU"/>
        </w:rPr>
        <w:t>«</w:t>
      </w:r>
      <w:r w:rsidR="008125AA" w:rsidRPr="00522C60">
        <w:rPr>
          <w:lang w:val="ru-RU"/>
        </w:rPr>
        <w:t>справедливых преобразований</w:t>
      </w:r>
      <w:r w:rsidRPr="00F73A1C">
        <w:rPr>
          <w:lang w:val="ru-RU"/>
        </w:rPr>
        <w:t>»</w:t>
      </w:r>
      <w:r w:rsidR="008125AA" w:rsidRPr="00522C60">
        <w:rPr>
          <w:lang w:val="ru-RU"/>
        </w:rPr>
        <w:t>, включая гендерные аспекты; i)</w:t>
      </w:r>
      <w:r w:rsidR="00DB2B40">
        <w:rPr>
          <w:lang w:val="en-GB"/>
        </w:rPr>
        <w:t> </w:t>
      </w:r>
      <w:r w:rsidR="008125AA" w:rsidRPr="00522C60">
        <w:rPr>
          <w:lang w:val="ru-RU"/>
        </w:rPr>
        <w:t>уроки предыдущих переходных процессов, кризисов и преобразований</w:t>
      </w:r>
      <w:r w:rsidR="00DB2B40" w:rsidRPr="00DB2B40">
        <w:rPr>
          <w:rFonts w:eastAsia="MS Mincho"/>
          <w:vertAlign w:val="superscript"/>
          <w:lang w:val="ru-RU"/>
        </w:rPr>
        <w:footnoteReference w:id="8"/>
      </w:r>
      <w:r w:rsidR="008125AA" w:rsidRPr="00522C60">
        <w:rPr>
          <w:lang w:val="ru-RU"/>
        </w:rPr>
        <w:t>.</w:t>
      </w:r>
    </w:p>
    <w:p w14:paraId="434D6544" w14:textId="4FE3A50E" w:rsidR="008125AA" w:rsidRPr="00522C60" w:rsidRDefault="00F55D11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9.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Процесс оценки и его результаты будут поддерживаться четырьмя функциями Платформы и усиливать их</w:t>
      </w:r>
      <w:r w:rsidR="00DB2B40" w:rsidRPr="00DB2B40">
        <w:rPr>
          <w:rFonts w:eastAsia="MS Mincho"/>
          <w:vertAlign w:val="superscript"/>
          <w:lang w:val="ru-RU"/>
        </w:rPr>
        <w:footnoteReference w:id="9"/>
      </w:r>
      <w:r w:rsidR="008125AA" w:rsidRPr="00522C60">
        <w:rPr>
          <w:lang w:val="ru-RU"/>
        </w:rPr>
        <w:t>.</w:t>
      </w:r>
    </w:p>
    <w:p w14:paraId="0B32C343" w14:textId="76F02E2B" w:rsidR="008125AA" w:rsidRPr="00522C60" w:rsidRDefault="00DB2B40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8125AA" w:rsidRPr="00522C60">
        <w:rPr>
          <w:b/>
          <w:bCs/>
          <w:sz w:val="24"/>
          <w:szCs w:val="24"/>
          <w:lang w:val="ru-RU"/>
        </w:rPr>
        <w:t>B.</w:t>
      </w:r>
      <w:r w:rsidR="008125AA" w:rsidRPr="00522C60">
        <w:rPr>
          <w:b/>
          <w:bCs/>
          <w:sz w:val="24"/>
          <w:szCs w:val="24"/>
          <w:lang w:val="ru-RU"/>
        </w:rPr>
        <w:tab/>
        <w:t>Сроки и географический охват</w:t>
      </w:r>
    </w:p>
    <w:p w14:paraId="3579A7D9" w14:textId="6E409909" w:rsidR="008125AA" w:rsidRPr="00522C60" w:rsidRDefault="00DB2B40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10.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Эта оценка будет носить глобальный характер. В ней также будут </w:t>
      </w:r>
      <w:r w:rsidR="00CB1A96">
        <w:rPr>
          <w:lang w:val="ru-RU"/>
        </w:rPr>
        <w:t>отмечены</w:t>
      </w:r>
      <w:r w:rsidR="00CB1A96" w:rsidRPr="00522C60">
        <w:rPr>
          <w:lang w:val="ru-RU"/>
        </w:rPr>
        <w:t xml:space="preserve"> </w:t>
      </w:r>
      <w:r w:rsidR="008125AA" w:rsidRPr="00522C60">
        <w:rPr>
          <w:lang w:val="ru-RU"/>
        </w:rPr>
        <w:t>общие черты и различия между регионами и субрегионами и между странами, находящимися на разных стадиях развития, приведены примеры местного опыта, а</w:t>
      </w:r>
      <w:r w:rsidR="008F7746">
        <w:rPr>
          <w:lang w:val="ru-RU"/>
        </w:rPr>
        <w:t xml:space="preserve"> также рассмотрены </w:t>
      </w:r>
      <w:r w:rsidR="009C1E58">
        <w:rPr>
          <w:lang w:val="ru-RU"/>
        </w:rPr>
        <w:t>вопросы</w:t>
      </w:r>
      <w:r w:rsidR="00367AB7">
        <w:rPr>
          <w:lang w:val="ru-RU"/>
        </w:rPr>
        <w:t>, охватывающие несколько сфер</w:t>
      </w:r>
      <w:r w:rsidR="008125AA" w:rsidRPr="00522C60">
        <w:rPr>
          <w:lang w:val="ru-RU"/>
        </w:rPr>
        <w:t xml:space="preserve">. </w:t>
      </w:r>
      <w:r w:rsidR="00367AB7">
        <w:rPr>
          <w:lang w:val="ru-RU"/>
        </w:rPr>
        <w:t>В ней будут рассматриваться</w:t>
      </w:r>
      <w:r w:rsidR="008125AA" w:rsidRPr="00522C60">
        <w:rPr>
          <w:lang w:val="ru-RU"/>
        </w:rPr>
        <w:t xml:space="preserve">, по мере необходимости, </w:t>
      </w:r>
      <w:r w:rsidR="008D2AEF">
        <w:rPr>
          <w:lang w:val="ru-RU"/>
        </w:rPr>
        <w:t xml:space="preserve">периоды времени в </w:t>
      </w:r>
      <w:r w:rsidR="008125AA" w:rsidRPr="00522C60">
        <w:rPr>
          <w:lang w:val="ru-RU"/>
        </w:rPr>
        <w:t>прошл</w:t>
      </w:r>
      <w:r w:rsidR="008D2AEF">
        <w:rPr>
          <w:lang w:val="ru-RU"/>
        </w:rPr>
        <w:t>ом</w:t>
      </w:r>
      <w:r w:rsidR="008125AA" w:rsidRPr="00522C60">
        <w:rPr>
          <w:lang w:val="ru-RU"/>
        </w:rPr>
        <w:t xml:space="preserve"> и будущ</w:t>
      </w:r>
      <w:r w:rsidR="008D2AEF">
        <w:rPr>
          <w:lang w:val="ru-RU"/>
        </w:rPr>
        <w:t>ем</w:t>
      </w:r>
      <w:r w:rsidR="008125AA" w:rsidRPr="00522C60">
        <w:rPr>
          <w:lang w:val="ru-RU"/>
        </w:rPr>
        <w:t xml:space="preserve"> и </w:t>
      </w:r>
      <w:r w:rsidR="00485AAD">
        <w:rPr>
          <w:lang w:val="ru-RU"/>
        </w:rPr>
        <w:t>хронология</w:t>
      </w:r>
      <w:r w:rsidR="008125AA" w:rsidRPr="00522C60">
        <w:rPr>
          <w:lang w:val="ru-RU"/>
        </w:rPr>
        <w:t xml:space="preserve"> преобразовательных изменений.</w:t>
      </w:r>
    </w:p>
    <w:p w14:paraId="172906C0" w14:textId="73716074" w:rsidR="008125AA" w:rsidRPr="00522C60" w:rsidRDefault="0008233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11.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Оценка будет проводиться в течение трех лет, что позволяет использовать ее в качестве информационной основы и инструмента для обзора прогресса, достигнутого в реализации системы глобальных мероприятий в сфере биоразнообразия на период после 2020 года, Повестки дня в области устойчивого развития на период до 2030 года и Парижского соглашения об изменении климата. </w:t>
      </w:r>
    </w:p>
    <w:p w14:paraId="1BF4C234" w14:textId="5F8E3EBF" w:rsidR="008125AA" w:rsidRPr="00522C60" w:rsidRDefault="0008233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8125AA" w:rsidRPr="00522C60">
        <w:rPr>
          <w:b/>
          <w:bCs/>
          <w:sz w:val="24"/>
          <w:szCs w:val="24"/>
          <w:lang w:val="ru-RU"/>
        </w:rPr>
        <w:t>C.</w:t>
      </w:r>
      <w:r w:rsidR="008125AA" w:rsidRPr="00522C60">
        <w:rPr>
          <w:b/>
          <w:bCs/>
          <w:sz w:val="24"/>
          <w:szCs w:val="24"/>
          <w:lang w:val="ru-RU"/>
        </w:rPr>
        <w:tab/>
        <w:t>Политический контекст</w:t>
      </w:r>
    </w:p>
    <w:p w14:paraId="17CAFF30" w14:textId="74D75C23" w:rsidR="008125AA" w:rsidRPr="00522C60" w:rsidRDefault="0008233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12.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К числу предполагаемых пользователей оценки относятся, в частности</w:t>
      </w:r>
      <w:r w:rsidR="004246A7">
        <w:rPr>
          <w:lang w:val="ru-RU"/>
        </w:rPr>
        <w:t>:</w:t>
      </w:r>
      <w:r w:rsidR="008125AA" w:rsidRPr="00522C60">
        <w:rPr>
          <w:lang w:val="ru-RU"/>
        </w:rPr>
        <w:t xml:space="preserve"> правительства; руководящие органы многосторонних природоохранных соглашений; ответственные лица глобальных политических структур, субнациональные правительства и</w:t>
      </w:r>
      <w:r w:rsidR="0091137A">
        <w:rPr>
          <w:lang w:val="ru-RU"/>
        </w:rPr>
        <w:t xml:space="preserve"> органы местного самоуправления</w:t>
      </w:r>
      <w:r w:rsidR="008125AA" w:rsidRPr="00522C60">
        <w:rPr>
          <w:lang w:val="ru-RU"/>
        </w:rPr>
        <w:t>; уч</w:t>
      </w:r>
      <w:r w:rsidR="00541C12">
        <w:rPr>
          <w:lang w:val="ru-RU"/>
        </w:rPr>
        <w:t>е</w:t>
      </w:r>
      <w:r w:rsidR="008125AA" w:rsidRPr="00522C60">
        <w:rPr>
          <w:lang w:val="ru-RU"/>
        </w:rPr>
        <w:t>ные; системы образования и СМИ; частный сектор и гражданское общество, включая коренные народы и местные общины, молодежь, женщин и неправительственные организации.</w:t>
      </w:r>
    </w:p>
    <w:p w14:paraId="61AC940D" w14:textId="070B8206" w:rsidR="008125AA" w:rsidRPr="00522C60" w:rsidRDefault="0008233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13.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Эта оценка укрепит базу знаний для принятия обоснованных решений на основе фактических данных в контексте системы глобальных мероприятий в сфере биоразнообразия на период после 2020 года, Повестки дня в области устойчивого развития на период до 2030</w:t>
      </w:r>
      <w:r>
        <w:rPr>
          <w:lang w:val="en-GB"/>
        </w:rPr>
        <w:t> </w:t>
      </w:r>
      <w:r w:rsidR="008125AA" w:rsidRPr="00522C60">
        <w:rPr>
          <w:lang w:val="ru-RU"/>
        </w:rPr>
        <w:t>года и Парижского соглашения. Оценка призвана также послужить информационной основой для других соответствующих процессов в рамках многосторонних природоохранных соглашений, других конвенций, соглашений и организаций, занимающихся вопросами биоразнообразия и окружающей среды, а также соответствующих секторальных и региональных многосторонних природоохранных соглашений и процессов.</w:t>
      </w:r>
    </w:p>
    <w:p w14:paraId="34B898BB" w14:textId="0A705500" w:rsidR="008125AA" w:rsidRPr="00522C60" w:rsidRDefault="0008233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lastRenderedPageBreak/>
        <w:t>14.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Ожидается также, что эта оценка послужит информационной основой для субнациональной, национальной, региональной и глобальной политики в области сохранения и устойчивого использования биоразнообразия и экосистем, природных ресурсов и вклада природы в жизнь людей.</w:t>
      </w:r>
    </w:p>
    <w:p w14:paraId="28C807E4" w14:textId="0F975ABF" w:rsidR="008125AA" w:rsidRPr="00522C60" w:rsidRDefault="00082339" w:rsidP="0053149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8125AA" w:rsidRPr="00522C60">
        <w:rPr>
          <w:b/>
          <w:bCs/>
          <w:sz w:val="24"/>
          <w:szCs w:val="24"/>
          <w:lang w:val="ru-RU"/>
        </w:rPr>
        <w:t>D.</w:t>
      </w:r>
      <w:r w:rsidR="008125AA" w:rsidRPr="00522C60">
        <w:rPr>
          <w:b/>
          <w:bCs/>
          <w:sz w:val="24"/>
          <w:szCs w:val="24"/>
          <w:lang w:val="ru-RU"/>
        </w:rPr>
        <w:tab/>
      </w:r>
      <w:r w:rsidR="00FC2F0F">
        <w:rPr>
          <w:b/>
          <w:bCs/>
          <w:sz w:val="24"/>
          <w:szCs w:val="24"/>
          <w:lang w:val="ru-RU"/>
        </w:rPr>
        <w:t>Всеобъемлющие</w:t>
      </w:r>
      <w:r w:rsidR="00FC2F0F" w:rsidRPr="00522C60">
        <w:rPr>
          <w:b/>
          <w:bCs/>
          <w:sz w:val="24"/>
          <w:szCs w:val="24"/>
          <w:lang w:val="ru-RU"/>
        </w:rPr>
        <w:t xml:space="preserve"> </w:t>
      </w:r>
      <w:r w:rsidR="008125AA" w:rsidRPr="00522C60">
        <w:rPr>
          <w:b/>
          <w:bCs/>
          <w:sz w:val="24"/>
          <w:szCs w:val="24"/>
          <w:lang w:val="ru-RU"/>
        </w:rPr>
        <w:t xml:space="preserve">вопросы </w:t>
      </w:r>
    </w:p>
    <w:p w14:paraId="1CE37405" w14:textId="3C316921" w:rsidR="008125AA" w:rsidRPr="00522C60" w:rsidRDefault="00082339" w:rsidP="005314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8B4429">
        <w:rPr>
          <w:lang w:val="ru-RU"/>
        </w:rPr>
        <w:t>15.</w:t>
      </w:r>
      <w:r w:rsidRPr="008B4429">
        <w:rPr>
          <w:lang w:val="ru-RU"/>
        </w:rPr>
        <w:tab/>
      </w:r>
      <w:r w:rsidR="008125AA" w:rsidRPr="00522C60">
        <w:rPr>
          <w:lang w:val="ru-RU"/>
        </w:rPr>
        <w:t>В ходе оценки будут рассмотрены вопросы, имеющие актуальное значение для директивных органов и других заинтересованных сторон, занимающихся вопросами преобразовательных изменений, для реализации Концепции в области биоразнообразия на период до 2050 года и целей в области устойчивого развития, сформулированных в Повестке дня на период до 2030 год</w:t>
      </w:r>
      <w:r w:rsidR="008737B4" w:rsidRPr="00522C60">
        <w:rPr>
          <w:lang w:val="ru-RU"/>
        </w:rPr>
        <w:t>а</w:t>
      </w:r>
      <w:r w:rsidR="008125AA" w:rsidRPr="00522C60">
        <w:rPr>
          <w:lang w:val="ru-RU"/>
        </w:rPr>
        <w:t xml:space="preserve">, а также осуществления системы глобальных мероприятий в сфере биоразнообразия на период после 2020 года и Парижского соглашения (которые ниже во избежание </w:t>
      </w:r>
      <w:r w:rsidR="00315F05">
        <w:rPr>
          <w:lang w:val="ru-RU"/>
        </w:rPr>
        <w:t xml:space="preserve">повторения </w:t>
      </w:r>
      <w:r w:rsidR="00774303">
        <w:rPr>
          <w:lang w:val="ru-RU"/>
        </w:rPr>
        <w:t xml:space="preserve">называются </w:t>
      </w:r>
      <w:r w:rsidR="008737B4" w:rsidRPr="008B4429">
        <w:rPr>
          <w:lang w:val="ru-RU"/>
        </w:rPr>
        <w:t>«</w:t>
      </w:r>
      <w:r w:rsidR="008125AA" w:rsidRPr="00522C60">
        <w:rPr>
          <w:lang w:val="ru-RU"/>
        </w:rPr>
        <w:t>глобальные цели</w:t>
      </w:r>
      <w:r w:rsidR="008737B4" w:rsidRPr="008B4429">
        <w:rPr>
          <w:lang w:val="ru-RU"/>
        </w:rPr>
        <w:t>»</w:t>
      </w:r>
      <w:r w:rsidR="008125AA" w:rsidRPr="00522C60">
        <w:rPr>
          <w:lang w:val="ru-RU"/>
        </w:rPr>
        <w:t>), например:</w:t>
      </w:r>
    </w:p>
    <w:p w14:paraId="5CE6B483" w14:textId="4E9AFBC4" w:rsidR="008125AA" w:rsidRPr="00522C60" w:rsidRDefault="00281784" w:rsidP="0053149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a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Что </w:t>
      </w:r>
      <w:r w:rsidR="008125AA" w:rsidRPr="00522C60">
        <w:rPr>
          <w:lang w:val="ru-RU"/>
        </w:rPr>
        <w:t xml:space="preserve">такое преобразовательные изменения и как они связаны с </w:t>
      </w:r>
      <w:r w:rsidR="00774303">
        <w:rPr>
          <w:lang w:val="ru-RU"/>
        </w:rPr>
        <w:t>современными</w:t>
      </w:r>
      <w:r w:rsidR="00774303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подходами к регулированию биоразнообразия и экосистемных услуг? </w:t>
      </w:r>
    </w:p>
    <w:p w14:paraId="19A7F77C" w14:textId="1DDC3561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b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 </w:t>
      </w:r>
      <w:r w:rsidR="008125AA" w:rsidRPr="00522C60">
        <w:rPr>
          <w:lang w:val="ru-RU"/>
        </w:rPr>
        <w:t>можно использовать целенаправленные и зарождающиеся преобразовательные изменения для достижения упомянутых выше глобальных целей?</w:t>
      </w:r>
    </w:p>
    <w:p w14:paraId="5BCE071E" w14:textId="3A12C19C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c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 </w:t>
      </w:r>
      <w:r w:rsidR="008125AA" w:rsidRPr="00522C60">
        <w:rPr>
          <w:lang w:val="ru-RU"/>
        </w:rPr>
        <w:t xml:space="preserve">различные группы </w:t>
      </w:r>
      <w:r w:rsidR="00441BDD">
        <w:rPr>
          <w:lang w:val="ru-RU"/>
        </w:rPr>
        <w:t>представляют себе</w:t>
      </w:r>
      <w:r w:rsidR="00441BDD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устойчивый мир, в котором Концепция в области биоразнообразия на период до 2050 года реализуется в контексте целей в области устойчивого развития? </w:t>
      </w:r>
      <w:r w:rsidR="00957F33" w:rsidRPr="00522C60">
        <w:rPr>
          <w:lang w:val="ru-RU"/>
        </w:rPr>
        <w:t xml:space="preserve">Что </w:t>
      </w:r>
      <w:r w:rsidR="008125AA" w:rsidRPr="00522C60">
        <w:rPr>
          <w:lang w:val="ru-RU"/>
        </w:rPr>
        <w:t xml:space="preserve">эти </w:t>
      </w:r>
      <w:r w:rsidR="0086162D">
        <w:rPr>
          <w:lang w:val="ru-RU"/>
        </w:rPr>
        <w:t>представления</w:t>
      </w:r>
      <w:r w:rsidR="0086162D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и лежащие в их основе ценности </w:t>
      </w:r>
      <w:r w:rsidR="0086162D">
        <w:rPr>
          <w:lang w:val="ru-RU"/>
        </w:rPr>
        <w:t>означают для</w:t>
      </w:r>
      <w:r w:rsidR="008125AA" w:rsidRPr="00522C60">
        <w:rPr>
          <w:lang w:val="ru-RU"/>
        </w:rPr>
        <w:t xml:space="preserve"> преобразовательны</w:t>
      </w:r>
      <w:r w:rsidR="0086162D">
        <w:rPr>
          <w:lang w:val="ru-RU"/>
        </w:rPr>
        <w:t>х</w:t>
      </w:r>
      <w:r w:rsidR="008125AA" w:rsidRPr="00522C60">
        <w:rPr>
          <w:lang w:val="ru-RU"/>
        </w:rPr>
        <w:t xml:space="preserve"> изменени</w:t>
      </w:r>
      <w:r w:rsidR="0086162D">
        <w:rPr>
          <w:lang w:val="ru-RU"/>
        </w:rPr>
        <w:t>й</w:t>
      </w:r>
      <w:r w:rsidR="008125AA" w:rsidRPr="00522C60">
        <w:rPr>
          <w:lang w:val="ru-RU"/>
        </w:rPr>
        <w:t xml:space="preserve"> в различных секторах и системах? </w:t>
      </w:r>
    </w:p>
    <w:p w14:paraId="09F3F726" w14:textId="3EF92DDF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d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Какие </w:t>
      </w:r>
      <w:r w:rsidR="008125AA" w:rsidRPr="00522C60">
        <w:rPr>
          <w:lang w:val="ru-RU"/>
        </w:rPr>
        <w:t xml:space="preserve">будущие сценарии и пути могут привести к преобразованиям, необходимым для достижения упомянутых выше глобальных целей? </w:t>
      </w:r>
      <w:r w:rsidR="00957F33" w:rsidRPr="00522C60">
        <w:rPr>
          <w:lang w:val="ru-RU"/>
        </w:rPr>
        <w:t xml:space="preserve">Какие </w:t>
      </w:r>
      <w:r w:rsidR="008125AA" w:rsidRPr="00522C60">
        <w:rPr>
          <w:lang w:val="ru-RU"/>
        </w:rPr>
        <w:t xml:space="preserve">рычаги и стратегии в этих сценариях и на этих путях имеют ключевое значение для осуществления необходимых преобразований? </w:t>
      </w:r>
    </w:p>
    <w:p w14:paraId="6F5D19D6" w14:textId="52DD9248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e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Что </w:t>
      </w:r>
      <w:r w:rsidR="008125AA" w:rsidRPr="00522C60">
        <w:rPr>
          <w:lang w:val="ru-RU"/>
        </w:rPr>
        <w:t xml:space="preserve">обусловливает и ускоряет преобразовательные изменения и что могут сделать лица, отвечающие за разработку политики и принятие решений, руководители, заинтересованные стороны, граждане, предприятия и организации для использования и продолжения преобразовательных изменений в интересах достижения соответствующих местных, национальных и международных целей на основе справедливости, равноправия и широкого участия, не оставляя никого без внимания? </w:t>
      </w:r>
    </w:p>
    <w:p w14:paraId="61B506F3" w14:textId="097D4D23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bookmarkStart w:id="2" w:name="_Hlk43300554"/>
      <w:r>
        <w:rPr>
          <w:lang w:val="en-GB"/>
        </w:rPr>
        <w:t>f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Какие </w:t>
      </w:r>
      <w:r w:rsidR="008125AA" w:rsidRPr="00522C60">
        <w:rPr>
          <w:lang w:val="ru-RU"/>
        </w:rPr>
        <w:t xml:space="preserve">препятствия и проблемы мешают преобразовательным изменениям для формирования устойчивого мира, как они могут меняться в разные периоды времени, в разных масштабах и контекстах и как их можно преодолеть? </w:t>
      </w:r>
      <w:bookmarkEnd w:id="2"/>
    </w:p>
    <w:p w14:paraId="78D87ACE" w14:textId="63247106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g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>Как</w:t>
      </w:r>
      <w:r w:rsidR="00C3081F">
        <w:rPr>
          <w:lang w:val="ru-RU"/>
        </w:rPr>
        <w:t>ие</w:t>
      </w:r>
      <w:r w:rsidR="00957F33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варианты и роли имеются у лиц, отвечающих за разработку политики и принятие решений, руководителей, заинтересованных сторон, граждан, деловых кругов и организаций для содействия изменениям в интересах достижения упомянутых выше глобальных целей и как эти варианты и роли могут меняться в разные периоды времени и в разных контекстах? </w:t>
      </w:r>
    </w:p>
    <w:p w14:paraId="23EC2B92" w14:textId="1B94137C" w:rsidR="008125AA" w:rsidRPr="00522C60" w:rsidRDefault="00281784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h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Каким </w:t>
      </w:r>
      <w:r w:rsidR="008125AA" w:rsidRPr="00522C60">
        <w:rPr>
          <w:lang w:val="ru-RU"/>
        </w:rPr>
        <w:t>образом можно сочетать различные варианты на пути достижения упомянутых выше глобальных целей?</w:t>
      </w:r>
    </w:p>
    <w:p w14:paraId="365047E5" w14:textId="45128454" w:rsidR="008125AA" w:rsidRPr="00522C60" w:rsidRDefault="002E18FF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proofErr w:type="spellStart"/>
      <w:r>
        <w:rPr>
          <w:lang w:val="en-GB"/>
        </w:rPr>
        <w:t>i</w:t>
      </w:r>
      <w:proofErr w:type="spellEnd"/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Каковы </w:t>
      </w:r>
      <w:r w:rsidR="008125AA" w:rsidRPr="00522C60">
        <w:rPr>
          <w:lang w:val="ru-RU"/>
        </w:rPr>
        <w:t>наиболее важные пробелы в знаниях о коренных причинах утраты биоразнообразия для достижения преобразовательных изменений и упомянутых выше глобальных целей и как можно заполнить эти пробелы в знаниях?</w:t>
      </w:r>
    </w:p>
    <w:p w14:paraId="40E2FD73" w14:textId="0810D544" w:rsidR="008125AA" w:rsidRPr="00522C60" w:rsidRDefault="002E18FF" w:rsidP="0028178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MS Mincho"/>
          <w:lang w:val="ru-RU"/>
        </w:rPr>
      </w:pPr>
      <w:r>
        <w:rPr>
          <w:lang w:val="en-GB"/>
        </w:rPr>
        <w:t>j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957F33" w:rsidRPr="00522C60">
        <w:rPr>
          <w:lang w:val="ru-RU"/>
        </w:rPr>
        <w:t xml:space="preserve">Какие </w:t>
      </w:r>
      <w:r w:rsidR="00C3081F">
        <w:rPr>
          <w:lang w:val="ru-RU"/>
        </w:rPr>
        <w:t>информационные</w:t>
      </w:r>
      <w:r w:rsidR="008125AA" w:rsidRPr="00522C60">
        <w:rPr>
          <w:lang w:val="ru-RU"/>
        </w:rPr>
        <w:t>, образовательные и другие стратегии могут быть использованы для просвещения предполагаемых пользователей этой оценки в отношении преобразовательных изменений в интересах формирования устойчивого мира?</w:t>
      </w:r>
    </w:p>
    <w:p w14:paraId="5F21F5C6" w14:textId="29B0E019" w:rsidR="008125AA" w:rsidRPr="00522C60" w:rsidRDefault="002E18FF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8125AA" w:rsidRPr="00522C60">
        <w:rPr>
          <w:b/>
          <w:bCs/>
          <w:sz w:val="24"/>
          <w:szCs w:val="24"/>
          <w:lang w:val="ru-RU"/>
        </w:rPr>
        <w:t>E.</w:t>
      </w:r>
      <w:r w:rsidR="008125AA" w:rsidRPr="00522C60">
        <w:rPr>
          <w:b/>
          <w:bCs/>
          <w:sz w:val="24"/>
          <w:szCs w:val="24"/>
          <w:lang w:val="ru-RU"/>
        </w:rPr>
        <w:tab/>
        <w:t>Методологический подход</w:t>
      </w:r>
    </w:p>
    <w:p w14:paraId="34DE9455" w14:textId="61387848" w:rsidR="008125AA" w:rsidRPr="00522C60" w:rsidRDefault="002E18FF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16.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Оценка будет проводиться группой экспертов в соответствии с процедурами подготовки результатов работы Платформы. Она будет включать резюме для директивных органов и набор глав, которые будут представлены Пленуму для утверждения и принятия, соответственно.</w:t>
      </w:r>
    </w:p>
    <w:p w14:paraId="59ED4DD4" w14:textId="08D23C44" w:rsidR="008125AA" w:rsidRPr="00522C60" w:rsidRDefault="002E18FF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17.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Цель будет заключаться в том, чтобы оценка была достоверной, легитимной и опиралась на многочисленные фактические данные. В резюме для директивных органов будут показаны основные выводы относительно политики и не имеющие предписывающего характера варианты политики для широкого круга конечных пользователей, некоторые из </w:t>
      </w:r>
      <w:r w:rsidR="008125AA" w:rsidRPr="00522C60">
        <w:rPr>
          <w:lang w:val="ru-RU"/>
        </w:rPr>
        <w:lastRenderedPageBreak/>
        <w:t xml:space="preserve">которых были упомянуты выше, и будет </w:t>
      </w:r>
      <w:r w:rsidR="00737CEB">
        <w:rPr>
          <w:lang w:val="ru-RU"/>
        </w:rPr>
        <w:t>отражен</w:t>
      </w:r>
      <w:r w:rsidR="00737CEB" w:rsidRPr="00522C60">
        <w:rPr>
          <w:lang w:val="ru-RU"/>
        </w:rPr>
        <w:t xml:space="preserve"> </w:t>
      </w:r>
      <w:r w:rsidR="008125AA" w:rsidRPr="00522C60">
        <w:rPr>
          <w:lang w:val="ru-RU"/>
        </w:rPr>
        <w:t>всеобъемлющий анализ текущего состояния научных знаний и других систем знаний (включая знания коренного и местного населения), проведенный в главах.</w:t>
      </w:r>
    </w:p>
    <w:p w14:paraId="7FCFACC2" w14:textId="40969B01" w:rsidR="008125AA" w:rsidRPr="00522C60" w:rsidRDefault="002E18FF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18.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Оценка будет опираться на имеющиеся факты, т.е. на данные (включая, по мере необходимости, национальные данные), научн</w:t>
      </w:r>
      <w:r w:rsidR="001659F2">
        <w:rPr>
          <w:lang w:val="ru-RU"/>
        </w:rPr>
        <w:t>ые</w:t>
      </w:r>
      <w:r w:rsidR="008125AA" w:rsidRPr="00522C60">
        <w:rPr>
          <w:lang w:val="ru-RU"/>
        </w:rPr>
        <w:t xml:space="preserve"> и </w:t>
      </w:r>
      <w:r w:rsidR="00FB56DF">
        <w:rPr>
          <w:lang w:val="ru-RU"/>
        </w:rPr>
        <w:t>неофициальные публикации</w:t>
      </w:r>
      <w:r w:rsidR="008125AA" w:rsidRPr="00522C60">
        <w:rPr>
          <w:lang w:val="ru-RU"/>
        </w:rPr>
        <w:t xml:space="preserve"> и другие формы знаний на разных языках (по мере возможности), согласно соответствующим процедурам Платформы. </w:t>
      </w:r>
    </w:p>
    <w:p w14:paraId="5D237A26" w14:textId="703C0D44" w:rsidR="008125AA" w:rsidRPr="00522C60" w:rsidRDefault="002E18FF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19.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Оценка будет опираться на результаты предыдущей и текущей работы в рамках МПБЭУ, включая оценки МПБЭУ (методологические, тематические, региональные и глобальные), и дополнять их. В оценке будут использоваться существующие данные и информация глобальных, региональных, субрегиональных и национальных учреждений, включая, в частности, соответствующие многосторонние природоохранные соглашения и межправительственные организации. В оценке будут использоваться существующие сценарии и модели, а также новые сценарии и модели, разработка которых может быть ускорена в рамках последующей деятельности по итогам оценки сценариев и моделей биоразнообразия и экосистемных услуг МПБЭУ</w:t>
      </w:r>
      <w:r w:rsidR="00733F54" w:rsidRPr="00733F54">
        <w:rPr>
          <w:rFonts w:eastAsia="MS Mincho"/>
          <w:vertAlign w:val="superscript"/>
          <w:lang w:val="ru-RU"/>
        </w:rPr>
        <w:footnoteReference w:id="10"/>
      </w:r>
      <w:r w:rsidR="008125AA" w:rsidRPr="00522C60">
        <w:rPr>
          <w:lang w:val="ru-RU"/>
        </w:rPr>
        <w:t>.</w:t>
      </w:r>
    </w:p>
    <w:p w14:paraId="3511DE65" w14:textId="59BE5CB7" w:rsidR="008125AA" w:rsidRPr="00522C60" w:rsidRDefault="00733F54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20.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В ходе оценки будут выявлены основные пробелы в информации и знаниях и области, в которых создание потенциала и разработка политики и политических инструментов могут способствовать осуществлению представленных в оценке вариантов политики. В рамках оценки буд</w:t>
      </w:r>
      <w:r w:rsidR="00866080">
        <w:rPr>
          <w:lang w:val="ru-RU"/>
        </w:rPr>
        <w:t>у</w:t>
      </w:r>
      <w:r w:rsidR="008125AA" w:rsidRPr="00522C60">
        <w:rPr>
          <w:lang w:val="ru-RU"/>
        </w:rPr>
        <w:t xml:space="preserve">т предложены варианты и решения для устранения этих пробелов на соответствующих уровнях. </w:t>
      </w:r>
    </w:p>
    <w:p w14:paraId="098D9353" w14:textId="18EF609B" w:rsidR="008125AA" w:rsidRPr="00522C60" w:rsidRDefault="00733F54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21.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Целевая группа по вопросам знаний коренного и местного населения будет содействовать реализации подхода МПБЭУ к признанию и использованию знаний</w:t>
      </w:r>
      <w:r w:rsidRPr="00733F54">
        <w:rPr>
          <w:rFonts w:eastAsia="MS Mincho"/>
          <w:vertAlign w:val="superscript"/>
          <w:lang w:val="ru-RU"/>
        </w:rPr>
        <w:footnoteReference w:id="11"/>
      </w:r>
      <w:r w:rsidR="008125AA" w:rsidRPr="00522C60">
        <w:rPr>
          <w:lang w:val="ru-RU"/>
        </w:rPr>
        <w:t xml:space="preserve"> коренного и местного населения для целей проведения этой оценки. Целевая группа по вопросам знаний и данны</w:t>
      </w:r>
      <w:r w:rsidR="00866080">
        <w:rPr>
          <w:lang w:val="ru-RU"/>
        </w:rPr>
        <w:t>х</w:t>
      </w:r>
      <w:r w:rsidR="008125AA" w:rsidRPr="00522C60">
        <w:rPr>
          <w:lang w:val="ru-RU"/>
        </w:rPr>
        <w:t xml:space="preserve"> будет содействовать работе, связанной с данными и знаниями, о чем подробно рассказывается в разделе III ниже. Целевая группа по вопросам инструментов и методологий политики будет проводить работу для повышения актуальности оценки в целях разработки мер политики и, после ее утверждения, для ее использования в процессе принятия решений. Целевая группа по вопросам сценариев и моделей будет оказывать поддержку работе, связанной со сценариями и моделями, о чем подробно говорится в разделе III. Наконец, целевая группа по вопросам создания потенциала будет осуществлять надзор за осуществлением мероприятий по созданию потенциала, которые описываются в разделе IV. Все целевые группы МПБЭУ будут оказывать поддержку в проведении этой оценки согласно своим соответствующим мандатам. </w:t>
      </w:r>
    </w:p>
    <w:p w14:paraId="17598756" w14:textId="20B83359" w:rsidR="008125AA" w:rsidRPr="00522C60" w:rsidRDefault="00733F54" w:rsidP="00733F5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22.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Учитывая потенциально сильную взаимосвязь между запланированной оценкой преобразовательных изменений МПБЭУ и оценкой </w:t>
      </w:r>
      <w:r w:rsidR="00D15E53">
        <w:rPr>
          <w:lang w:val="ru-RU"/>
        </w:rPr>
        <w:t>совокупности</w:t>
      </w:r>
      <w:r w:rsidR="00D15E53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(тематическая оценка взаимосвязей между биоразнообразием, водными ресурсами, продовольствием и здоровьем в контексте изменения климата; </w:t>
      </w:r>
      <w:proofErr w:type="spellStart"/>
      <w:r w:rsidR="008125AA" w:rsidRPr="00522C60">
        <w:rPr>
          <w:lang w:val="ru-RU"/>
        </w:rPr>
        <w:t>IPBES</w:t>
      </w:r>
      <w:proofErr w:type="spellEnd"/>
      <w:r w:rsidR="008125AA" w:rsidRPr="00522C60">
        <w:rPr>
          <w:lang w:val="ru-RU"/>
        </w:rPr>
        <w:t>/8/3), между двумя процессами оценки будет обеспечена тесная координация и взаимодействие для обеспечения синерги</w:t>
      </w:r>
      <w:r w:rsidR="00AA13D0">
        <w:rPr>
          <w:lang w:val="ru-RU"/>
        </w:rPr>
        <w:t>и</w:t>
      </w:r>
      <w:r w:rsidR="008125AA" w:rsidRPr="00522C60">
        <w:rPr>
          <w:lang w:val="ru-RU"/>
        </w:rPr>
        <w:t xml:space="preserve"> и взаимодополняемости, а также во избежание дублирования сферы охвата и работы. Эти две оценки будут дополнять друг друга, причем оценка преобразовательных изменений будет сосредоточена на факторах преобразовательных изменений, а оценка </w:t>
      </w:r>
      <w:r w:rsidR="00AA13D0">
        <w:rPr>
          <w:lang w:val="ru-RU"/>
        </w:rPr>
        <w:t>совокупности</w:t>
      </w:r>
      <w:r w:rsidR="00AA13D0" w:rsidRPr="00522C60">
        <w:rPr>
          <w:lang w:val="ru-RU"/>
        </w:rPr>
        <w:t xml:space="preserve"> </w:t>
      </w:r>
      <w:r w:rsidR="008125AA" w:rsidRPr="00522C60">
        <w:rPr>
          <w:lang w:val="ru-RU"/>
        </w:rPr>
        <w:t>будет сфокусирована на вариантах преодоления компромиссов и создания возможностей для синерги</w:t>
      </w:r>
      <w:r w:rsidR="00AA13D0">
        <w:rPr>
          <w:lang w:val="ru-RU"/>
        </w:rPr>
        <w:t>и</w:t>
      </w:r>
      <w:r w:rsidR="008125AA" w:rsidRPr="00522C60">
        <w:rPr>
          <w:lang w:val="ru-RU"/>
        </w:rPr>
        <w:t xml:space="preserve"> между биоразнообразием, водными ресурсами, продовольствием, климатом, энергией и здоровьем.</w:t>
      </w:r>
    </w:p>
    <w:p w14:paraId="60A999D9" w14:textId="0FC5B121" w:rsidR="008125AA" w:rsidRPr="00733F54" w:rsidRDefault="00733F54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8125AA" w:rsidRPr="00733F54">
        <w:rPr>
          <w:b/>
          <w:bCs/>
          <w:sz w:val="28"/>
          <w:szCs w:val="28"/>
          <w:lang w:val="ru-RU"/>
        </w:rPr>
        <w:t>II.</w:t>
      </w:r>
      <w:r w:rsidR="008125AA" w:rsidRPr="00733F54">
        <w:rPr>
          <w:b/>
          <w:bCs/>
          <w:sz w:val="28"/>
          <w:szCs w:val="28"/>
          <w:lang w:val="ru-RU"/>
        </w:rPr>
        <w:tab/>
        <w:t>Обзор содержания глав</w:t>
      </w:r>
    </w:p>
    <w:p w14:paraId="65800F18" w14:textId="764B3619" w:rsidR="008125AA" w:rsidRPr="00522C60" w:rsidRDefault="00733F54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23.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Главы оценки будут отражать саму природу преобразовательных изменений и связанные с ними многочисленные ценности, системы знаний, </w:t>
      </w:r>
      <w:r w:rsidR="006A17B1">
        <w:rPr>
          <w:lang w:val="ru-RU"/>
        </w:rPr>
        <w:t>институты</w:t>
      </w:r>
      <w:r w:rsidR="006A17B1" w:rsidRPr="00522C60">
        <w:rPr>
          <w:lang w:val="ru-RU"/>
        </w:rPr>
        <w:t xml:space="preserve"> </w:t>
      </w:r>
      <w:r w:rsidR="008125AA" w:rsidRPr="00522C60">
        <w:rPr>
          <w:lang w:val="ru-RU"/>
        </w:rPr>
        <w:t>и возможности выбора. Поскольку оценка предназначена для широкой и разнообразной аудитории и признает необходимость привлечения широкого круга субъектов и общин к преобразовательным изменениям, каждая глава будет включать оценку многочисленных ценностей, соответствующих дисциплинарных аспектов, систем знаний, путей развития и ролей различных субъектов. Преобразовательные изменения также влекут за собой компромиссы, выбор путей, синерги</w:t>
      </w:r>
      <w:r w:rsidR="00E43B07">
        <w:rPr>
          <w:lang w:val="ru-RU"/>
        </w:rPr>
        <w:t>ю</w:t>
      </w:r>
      <w:r w:rsidR="008125AA" w:rsidRPr="00522C60">
        <w:rPr>
          <w:lang w:val="ru-RU"/>
        </w:rPr>
        <w:t xml:space="preserve">, воздействие на равенство и </w:t>
      </w:r>
      <w:r w:rsidR="008A77A8">
        <w:rPr>
          <w:lang w:val="ru-RU"/>
        </w:rPr>
        <w:t>противоречия</w:t>
      </w:r>
      <w:r w:rsidR="008125AA" w:rsidRPr="00522C60">
        <w:rPr>
          <w:lang w:val="ru-RU"/>
        </w:rPr>
        <w:t xml:space="preserve">, которые будут учитываться при оценке. В </w:t>
      </w:r>
      <w:r w:rsidR="008125AA" w:rsidRPr="00522C60">
        <w:rPr>
          <w:lang w:val="ru-RU"/>
        </w:rPr>
        <w:lastRenderedPageBreak/>
        <w:t>ней будут представлены практические знания и варианты политики, открывающие путь к устойчивому и справедливому будущему.</w:t>
      </w:r>
    </w:p>
    <w:p w14:paraId="7CCFEFD2" w14:textId="361CB22A" w:rsidR="008125AA" w:rsidRPr="00522C60" w:rsidRDefault="00733F54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Calibri"/>
          <w:lang w:val="ru-RU"/>
        </w:rPr>
      </w:pPr>
      <w:r w:rsidRPr="00F73A1C">
        <w:rPr>
          <w:lang w:val="ru-RU"/>
        </w:rPr>
        <w:t>24.</w:t>
      </w:r>
      <w:r w:rsidRPr="00F73A1C">
        <w:rPr>
          <w:lang w:val="ru-RU"/>
        </w:rPr>
        <w:tab/>
      </w:r>
      <w:r w:rsidR="008125AA" w:rsidRPr="003A07F7">
        <w:rPr>
          <w:b/>
          <w:bCs/>
          <w:lang w:val="ru-RU"/>
        </w:rPr>
        <w:t>Глава 1: Преобразовательные изменения и устойчивый мир</w:t>
      </w:r>
      <w:r w:rsidR="008125AA" w:rsidRPr="00522C60">
        <w:rPr>
          <w:lang w:val="ru-RU"/>
        </w:rPr>
        <w:t xml:space="preserve">. В Главе 1 будут представлены доказательства необходимости преобразовательных изменений, объяснено, что такое преобразовательные изменения, </w:t>
      </w:r>
      <w:r w:rsidR="009A325A">
        <w:rPr>
          <w:lang w:val="ru-RU"/>
        </w:rPr>
        <w:t xml:space="preserve">чем они </w:t>
      </w:r>
      <w:r w:rsidR="008125AA" w:rsidRPr="00522C60">
        <w:rPr>
          <w:lang w:val="ru-RU"/>
        </w:rPr>
        <w:t>отличаются от последовательных изменений</w:t>
      </w:r>
      <w:r w:rsidR="009A325A">
        <w:rPr>
          <w:lang w:val="ru-RU"/>
        </w:rPr>
        <w:t>,</w:t>
      </w:r>
      <w:r w:rsidR="008125AA" w:rsidRPr="00522C60">
        <w:rPr>
          <w:lang w:val="ru-RU"/>
        </w:rPr>
        <w:t xml:space="preserve"> если </w:t>
      </w:r>
      <w:r w:rsidR="009A325A">
        <w:rPr>
          <w:lang w:val="ru-RU"/>
        </w:rPr>
        <w:t>отличаются</w:t>
      </w:r>
      <w:r w:rsidR="008125AA" w:rsidRPr="00522C60">
        <w:rPr>
          <w:lang w:val="ru-RU"/>
        </w:rPr>
        <w:t xml:space="preserve">, а также какие виды преобразовательных изменений могут способствовать достижению целей в области устойчивого развития и Концепции в области биоразнообразия на период до 2050 года. В этой главе будут также рассмотрены последствия отсутствия преобразовательных изменений. В ней будет </w:t>
      </w:r>
      <w:r w:rsidR="008F3529">
        <w:rPr>
          <w:lang w:val="ru-RU"/>
        </w:rPr>
        <w:t>представлена</w:t>
      </w:r>
      <w:r w:rsidR="008F3529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постановка </w:t>
      </w:r>
      <w:r w:rsidR="008F3529">
        <w:rPr>
          <w:lang w:val="ru-RU"/>
        </w:rPr>
        <w:t>вопроса</w:t>
      </w:r>
      <w:r w:rsidR="008125AA" w:rsidRPr="00522C60">
        <w:rPr>
          <w:lang w:val="ru-RU"/>
        </w:rPr>
        <w:t xml:space="preserve">, основанная на фактических данных и </w:t>
      </w:r>
      <w:r w:rsidR="004652B0">
        <w:rPr>
          <w:lang w:val="ru-RU"/>
        </w:rPr>
        <w:t xml:space="preserve">выводах </w:t>
      </w:r>
      <w:r w:rsidR="008125AA" w:rsidRPr="00522C60">
        <w:rPr>
          <w:lang w:val="ru-RU"/>
        </w:rPr>
        <w:t>завершенных оценок МПБЭУ и соответствующих оценок и докладов других субъектов, в том числе в рамках многосторонних природоохранных соглашений. В этой главе будет изучен вопрос о том, как в контексте преобразовательных изменений следует рассматривать прямые и косвенные факторы утраты биоразнообразия и ухудшения состояния природы, включая изменение климата и развитие и экологическое неравенство, а также как можно обратить процесс утраты биоразнообразия и восстановить природу и обеспечиваемый ею вклад на благо человека. В главе будет рассмотрено воздействие производственных систем, использования и добычи ресурсов, торговых и финансовых потоков, загрязнения, наследия колониализма, а также динамики народонаселения и социальной практики, связанной с природой, и обусловленное этим распределение материальных и нематериальных благ, деградация и уязвимость в глобальных обществах и в различных масштабах. На основе поставленных задач в этой главе будет:</w:t>
      </w:r>
    </w:p>
    <w:p w14:paraId="50303EE7" w14:textId="7D8E011B" w:rsidR="008125AA" w:rsidRPr="00522C60" w:rsidRDefault="003A07F7" w:rsidP="003A07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a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3A07F7">
        <w:rPr>
          <w:b/>
          <w:bCs/>
          <w:lang w:val="ru-RU"/>
        </w:rPr>
        <w:t>проведен анализ</w:t>
      </w:r>
      <w:r w:rsidR="008125AA" w:rsidRPr="00522C60">
        <w:rPr>
          <w:lang w:val="ru-RU"/>
        </w:rPr>
        <w:t xml:space="preserve"> путем документального подтверждения различных потребностей, концепций и представлений международных политических форумов и групп стран, директивных органов в целом, научных кругов, частного сектора и гражданского общества, включая коренные народы и местные общины, молодежь, женщин и неправительственные организации, относительно преобразовательных </w:t>
      </w:r>
      <w:proofErr w:type="gramStart"/>
      <w:r w:rsidR="008125AA" w:rsidRPr="00522C60">
        <w:rPr>
          <w:lang w:val="ru-RU"/>
        </w:rPr>
        <w:t>изменений;</w:t>
      </w:r>
      <w:proofErr w:type="gramEnd"/>
    </w:p>
    <w:p w14:paraId="65EA083F" w14:textId="3F7D047A" w:rsidR="008125AA" w:rsidRPr="00522C60" w:rsidRDefault="003A07F7" w:rsidP="003A07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b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D2C94">
        <w:rPr>
          <w:b/>
          <w:bCs/>
          <w:lang w:val="ru-RU"/>
        </w:rPr>
        <w:t>представлено логическое обоснование оценки</w:t>
      </w:r>
      <w:r w:rsidR="008125AA" w:rsidRPr="00522C60">
        <w:rPr>
          <w:lang w:val="ru-RU"/>
        </w:rPr>
        <w:t xml:space="preserve"> посредством разъяснения ее методологического подхода и того, как она соотносится с такими вызовами, как сложный характер и внутренние неопределенности отношений между человеком и природой, плюрализм ценностей и систем знаний, а также пробелы в </w:t>
      </w:r>
      <w:proofErr w:type="gramStart"/>
      <w:r w:rsidR="008125AA" w:rsidRPr="00522C60">
        <w:rPr>
          <w:lang w:val="ru-RU"/>
        </w:rPr>
        <w:t>знаниях;</w:t>
      </w:r>
      <w:proofErr w:type="gramEnd"/>
    </w:p>
    <w:p w14:paraId="5E4B3B0B" w14:textId="28E1C552" w:rsidR="008125AA" w:rsidRPr="00522C60" w:rsidRDefault="008248CF" w:rsidP="003A07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c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8248CF">
        <w:rPr>
          <w:b/>
          <w:bCs/>
          <w:lang w:val="ru-RU"/>
        </w:rPr>
        <w:t>признаны компромиссы, связанные с различными потребностями в преобразовательных изменениях</w:t>
      </w:r>
      <w:r w:rsidR="008125AA" w:rsidRPr="00522C60">
        <w:rPr>
          <w:lang w:val="ru-RU"/>
        </w:rPr>
        <w:t xml:space="preserve">, и то, как учитываются ценности </w:t>
      </w:r>
      <w:proofErr w:type="spellStart"/>
      <w:r w:rsidR="008125AA" w:rsidRPr="00522C60">
        <w:rPr>
          <w:lang w:val="ru-RU"/>
        </w:rPr>
        <w:t>инклюзивности</w:t>
      </w:r>
      <w:proofErr w:type="spellEnd"/>
      <w:r w:rsidR="008125AA" w:rsidRPr="00522C60">
        <w:rPr>
          <w:lang w:val="ru-RU"/>
        </w:rPr>
        <w:t>, справедливости и равенства, включая аспекты пола, возраста и социально-экономического положения. В главе также рассматривается важность знаний коренного и местного населения для природо</w:t>
      </w:r>
      <w:r w:rsidR="00142442">
        <w:rPr>
          <w:lang w:val="ru-RU"/>
        </w:rPr>
        <w:t>пользования</w:t>
      </w:r>
      <w:r w:rsidR="008125AA" w:rsidRPr="00522C60">
        <w:rPr>
          <w:lang w:val="ru-RU"/>
        </w:rPr>
        <w:t xml:space="preserve"> и охраны </w:t>
      </w:r>
      <w:r w:rsidR="00142442">
        <w:rPr>
          <w:lang w:val="ru-RU"/>
        </w:rPr>
        <w:t xml:space="preserve">природы </w:t>
      </w:r>
      <w:r w:rsidR="008125AA" w:rsidRPr="00522C60">
        <w:rPr>
          <w:lang w:val="ru-RU"/>
        </w:rPr>
        <w:t xml:space="preserve">на местном и глобальном уровнях, изменения и их последствия, с которыми сталкиваются коренные народы и местные общины, и их вклад в понятие преобразовательных изменений. В этой главе будет также рассмотрена важность доступа к знаниям и технологиям, которые могут обеспечить инновационные решения для осуществления преобразовательных изменений; </w:t>
      </w:r>
    </w:p>
    <w:p w14:paraId="0724ECE4" w14:textId="5E8E51B9" w:rsidR="008125AA" w:rsidRPr="00522C60" w:rsidRDefault="008248CF" w:rsidP="003A07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d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8248CF">
        <w:rPr>
          <w:b/>
          <w:bCs/>
          <w:lang w:val="ru-RU"/>
        </w:rPr>
        <w:t xml:space="preserve">определено, каким образом пространственно-временные рамки, исторические условия и уровни организации людей создают </w:t>
      </w:r>
      <w:r w:rsidR="0079342A">
        <w:rPr>
          <w:b/>
          <w:bCs/>
          <w:lang w:val="ru-RU"/>
        </w:rPr>
        <w:t>трудности</w:t>
      </w:r>
      <w:r w:rsidR="0079342A" w:rsidRPr="008248CF">
        <w:rPr>
          <w:b/>
          <w:bCs/>
          <w:lang w:val="ru-RU"/>
        </w:rPr>
        <w:t xml:space="preserve"> </w:t>
      </w:r>
      <w:r w:rsidR="008125AA" w:rsidRPr="008248CF">
        <w:rPr>
          <w:b/>
          <w:bCs/>
          <w:lang w:val="ru-RU"/>
        </w:rPr>
        <w:t xml:space="preserve">и открывают возможности для преобразовательных изменений </w:t>
      </w:r>
      <w:r w:rsidR="008125AA" w:rsidRPr="00522C60">
        <w:rPr>
          <w:lang w:val="ru-RU"/>
        </w:rPr>
        <w:t xml:space="preserve">на местном и глобальном уровнях, а также то, как краткосрочные действия могут иметь </w:t>
      </w:r>
      <w:r w:rsidR="000F08DB">
        <w:rPr>
          <w:lang w:val="ru-RU"/>
        </w:rPr>
        <w:t>суммарные</w:t>
      </w:r>
      <w:r w:rsidR="000F08DB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и </w:t>
      </w:r>
      <w:r w:rsidR="00781B5E">
        <w:rPr>
          <w:lang w:val="ru-RU"/>
        </w:rPr>
        <w:t>новые</w:t>
      </w:r>
      <w:r w:rsidR="00781B5E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последствия, способствующие или препятствующие преобразовательным </w:t>
      </w:r>
      <w:proofErr w:type="gramStart"/>
      <w:r w:rsidR="008125AA" w:rsidRPr="00522C60">
        <w:rPr>
          <w:lang w:val="ru-RU"/>
        </w:rPr>
        <w:t>изменениям;</w:t>
      </w:r>
      <w:proofErr w:type="gramEnd"/>
    </w:p>
    <w:p w14:paraId="2EA09CC7" w14:textId="14E21853" w:rsidR="008125AA" w:rsidRPr="00522C60" w:rsidRDefault="008248CF" w:rsidP="003A07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e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8248CF">
        <w:rPr>
          <w:b/>
          <w:bCs/>
          <w:lang w:val="ru-RU"/>
        </w:rPr>
        <w:t xml:space="preserve">проанализированы </w:t>
      </w:r>
      <w:r w:rsidR="00B9317F">
        <w:rPr>
          <w:b/>
          <w:bCs/>
          <w:lang w:val="ru-RU"/>
        </w:rPr>
        <w:t>трудности</w:t>
      </w:r>
      <w:r w:rsidR="008125AA" w:rsidRPr="008248CF">
        <w:rPr>
          <w:b/>
          <w:bCs/>
          <w:lang w:val="ru-RU"/>
        </w:rPr>
        <w:t>, связанные с преобразовательными изменениями</w:t>
      </w:r>
      <w:r w:rsidR="008125AA" w:rsidRPr="00522C60">
        <w:rPr>
          <w:lang w:val="ru-RU"/>
        </w:rPr>
        <w:t>, на основе оценки компромиссов, внутренней связи с политическим представительством и легитимностью, социально-экономических аспектов уязвимости и власти, а также глубоко укоренившихся ценностей, мировоззрений, представлений и практики. В этой главе будут указаны возможные последствия преобразовательных изменений для различных групп стран и секторов общества и подчеркнуто, что они могут потребовать трудного выбора и столкнуться с противодействием и препятствиями. В главе будут также определены возможности и стимулы, которые могут открыться в результате преобразовательных изменений на различных уровнях;</w:t>
      </w:r>
    </w:p>
    <w:p w14:paraId="62AB4FBD" w14:textId="40CBF421" w:rsidR="008125AA" w:rsidRPr="00522C60" w:rsidRDefault="003C6F55" w:rsidP="003A07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f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наконец, в главе будут </w:t>
      </w:r>
      <w:r w:rsidR="008125AA" w:rsidRPr="003C6F55">
        <w:rPr>
          <w:b/>
          <w:bCs/>
          <w:lang w:val="ru-RU"/>
        </w:rPr>
        <w:t xml:space="preserve">представлены </w:t>
      </w:r>
      <w:r w:rsidR="00B9317F">
        <w:rPr>
          <w:b/>
          <w:bCs/>
          <w:lang w:val="ru-RU"/>
        </w:rPr>
        <w:t>структура</w:t>
      </w:r>
      <w:r w:rsidR="00B9317F" w:rsidRPr="003C6F55">
        <w:rPr>
          <w:b/>
          <w:bCs/>
          <w:lang w:val="ru-RU"/>
        </w:rPr>
        <w:t xml:space="preserve"> </w:t>
      </w:r>
      <w:r w:rsidR="008125AA" w:rsidRPr="003C6F55">
        <w:rPr>
          <w:b/>
          <w:bCs/>
          <w:lang w:val="ru-RU"/>
        </w:rPr>
        <w:t xml:space="preserve">и </w:t>
      </w:r>
      <w:r w:rsidRPr="00F73A1C">
        <w:rPr>
          <w:b/>
          <w:bCs/>
          <w:lang w:val="ru-RU"/>
        </w:rPr>
        <w:t>«</w:t>
      </w:r>
      <w:r w:rsidR="008125AA" w:rsidRPr="003C6F55">
        <w:rPr>
          <w:b/>
          <w:bCs/>
          <w:lang w:val="ru-RU"/>
        </w:rPr>
        <w:t>дорожная карта</w:t>
      </w:r>
      <w:r w:rsidRPr="00F73A1C">
        <w:rPr>
          <w:b/>
          <w:bCs/>
          <w:lang w:val="ru-RU"/>
        </w:rPr>
        <w:t>»</w:t>
      </w:r>
      <w:r w:rsidR="008125AA" w:rsidRPr="00522C60">
        <w:rPr>
          <w:lang w:val="ru-RU"/>
        </w:rPr>
        <w:t xml:space="preserve"> для проведения оценки. </w:t>
      </w:r>
    </w:p>
    <w:p w14:paraId="611EF082" w14:textId="6B6176DE" w:rsidR="008125AA" w:rsidRPr="00522C60" w:rsidRDefault="003C6F5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Calibri"/>
          <w:lang w:val="ru-RU"/>
        </w:rPr>
      </w:pPr>
      <w:r w:rsidRPr="00F73A1C">
        <w:rPr>
          <w:lang w:val="ru-RU"/>
        </w:rPr>
        <w:t>25.</w:t>
      </w:r>
      <w:r w:rsidRPr="00F73A1C">
        <w:rPr>
          <w:lang w:val="ru-RU"/>
        </w:rPr>
        <w:tab/>
      </w:r>
      <w:r w:rsidR="008125AA" w:rsidRPr="003C6F55">
        <w:rPr>
          <w:b/>
          <w:bCs/>
          <w:lang w:val="ru-RU"/>
        </w:rPr>
        <w:t xml:space="preserve">Глава 2: Концепция устойчивого мира </w:t>
      </w:r>
      <w:r w:rsidR="00185965">
        <w:rPr>
          <w:b/>
          <w:bCs/>
          <w:lang w:val="ru-RU"/>
        </w:rPr>
        <w:t>–</w:t>
      </w:r>
      <w:r w:rsidR="008125AA" w:rsidRPr="003C6F55">
        <w:rPr>
          <w:b/>
          <w:bCs/>
          <w:lang w:val="ru-RU"/>
        </w:rPr>
        <w:t xml:space="preserve"> в интересах природы и людей</w:t>
      </w:r>
      <w:r w:rsidR="008125AA" w:rsidRPr="00522C60">
        <w:rPr>
          <w:lang w:val="ru-RU"/>
        </w:rPr>
        <w:t xml:space="preserve">. В Главе 2 будет дана оценка того, как преобразовательные изменения в интересах природы и людей создают конкретные проблемы, поскольку они связаны с учетом научно обоснованных </w:t>
      </w:r>
      <w:r w:rsidR="008125AA" w:rsidRPr="00522C60">
        <w:rPr>
          <w:lang w:val="ru-RU"/>
        </w:rPr>
        <w:lastRenderedPageBreak/>
        <w:t xml:space="preserve">представлений о биоразнообразии и обеспечиваемом природой вкладе на благо человека наряду с нормативной этикой, различными мировоззрениями и коллективными ценностями, касающимися представлений об устойчивом будущем. В главе будет представлена оценка механизмов включения, обсуждения и сотрудничества для рассмотрения этих аспектов одновременно друг с другом. Она будет включать примеры передовой практики, применимых и доступных знаний и технологий, а также использовать представления, </w:t>
      </w:r>
      <w:r w:rsidR="00FE29E3">
        <w:rPr>
          <w:lang w:val="ru-RU"/>
        </w:rPr>
        <w:t>сюжеты</w:t>
      </w:r>
      <w:r w:rsidR="008125AA" w:rsidRPr="00522C60">
        <w:rPr>
          <w:lang w:val="ru-RU"/>
        </w:rPr>
        <w:t>, сценарии и динамические изображения в различных масштабах, иллюстрирующих видение устойчивого мира, что может обеспечить потенциальные сценарии и пути для преобразовательных изменений, основанных на различных мировоззрениях.</w:t>
      </w:r>
    </w:p>
    <w:p w14:paraId="7AFD85D0" w14:textId="3D007773" w:rsidR="008125AA" w:rsidRPr="00522C60" w:rsidRDefault="003C6F5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26.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В этой главе буд</w:t>
      </w:r>
      <w:r w:rsidR="00D06DDD">
        <w:rPr>
          <w:lang w:val="ru-RU"/>
        </w:rPr>
        <w:t>е</w:t>
      </w:r>
      <w:r w:rsidR="008125AA" w:rsidRPr="00522C60">
        <w:rPr>
          <w:lang w:val="ru-RU"/>
        </w:rPr>
        <w:t xml:space="preserve">т проведена оценка различных материальных ценностей, представлений и сценариев устойчивого мира в соответствии с Концепцией в области биоразнообразия на период до 2050 года и целями в области устойчивого развития, включая их связь с существующими сценариями (например, сценариями, разработанными для Межправительственной группы экспертов по изменению климата). Затем в главе будут рассмотрены последствия различных представлений о секторах, подсистемах (рыночных/экономических, политических, правовых/судебных, образовательных, коренных и местных систем и экосистем) и связей между ними в различных пространственных рамках. В главе будет также дана оценка путей реализации этих представлений, таких как признание и изменение межотраслевых потоков в рамках экономики, с учетом того, как различные субъекты объединяют действия для осуществления преобразовательных изменений в соответствии со своими предполагаемыми приоритетами, интересами, соотношением сил, культурными ценностями, благосостоянием и политикой, в том числе на гендерной основе. В этой главе будет проведена оценка состояния знаний о коллективных представлениях и сценариях будущего (с учетом соответствующей работы в рамках оценки взаимосвязи), а также о видах политических институтов, механизмов управления и процессов обсуждения (включая анализы концепций и сценариев), которые могут способствовать преобразовательным изменениям в различных условиях и в контексте различных ценностей на основе и в дополнение к оценке ценностей МПБЭУ после ее завершения. В главе будут использованы результаты анализа сценариев и путей, а также обзоры литературы для оценки осуществимости и общих составляющих признанных устойчивыми путей развития. Эти шаги могут помочь запустить процесс ретроспективной экстраполяции для того, чтобы понять необходимые условия, которые должны быть созданы на этапах до 2050 года, а также потенциально рассмотреть преобразовательный потенциал таких событий, как пандемия </w:t>
      </w:r>
      <w:proofErr w:type="spellStart"/>
      <w:r w:rsidR="0021454B" w:rsidRPr="00F338AF">
        <w:rPr>
          <w:rFonts w:eastAsia="MS Mincho"/>
        </w:rPr>
        <w:t>COVID</w:t>
      </w:r>
      <w:proofErr w:type="spellEnd"/>
      <w:r w:rsidR="008125AA" w:rsidRPr="00522C60">
        <w:rPr>
          <w:lang w:val="ru-RU"/>
        </w:rPr>
        <w:t>-19 или недавние движения гражданского общества. Используемая в глобальной оценк</w:t>
      </w:r>
      <w:r w:rsidR="001A4A76">
        <w:rPr>
          <w:lang w:val="ru-RU"/>
        </w:rPr>
        <w:t>е</w:t>
      </w:r>
      <w:r w:rsidR="008125AA" w:rsidRPr="00522C60">
        <w:rPr>
          <w:lang w:val="ru-RU"/>
        </w:rPr>
        <w:t xml:space="preserve"> М</w:t>
      </w:r>
      <w:r w:rsidR="001A4A76">
        <w:rPr>
          <w:lang w:val="ru-RU"/>
        </w:rPr>
        <w:t>П</w:t>
      </w:r>
      <w:r w:rsidR="008125AA" w:rsidRPr="00522C60">
        <w:rPr>
          <w:lang w:val="ru-RU"/>
        </w:rPr>
        <w:t xml:space="preserve">БЭУ модель </w:t>
      </w:r>
      <w:r w:rsidR="0021454B" w:rsidRPr="00F73A1C">
        <w:rPr>
          <w:lang w:val="ru-RU"/>
        </w:rPr>
        <w:t>«</w:t>
      </w:r>
      <w:r w:rsidR="008125AA" w:rsidRPr="00522C60">
        <w:rPr>
          <w:lang w:val="ru-RU"/>
        </w:rPr>
        <w:t>рычагов и воздействия</w:t>
      </w:r>
      <w:r w:rsidR="0021454B" w:rsidRPr="00F73A1C">
        <w:rPr>
          <w:lang w:val="ru-RU"/>
        </w:rPr>
        <w:t>»</w:t>
      </w:r>
      <w:r w:rsidR="008125AA" w:rsidRPr="00522C60">
        <w:rPr>
          <w:lang w:val="ru-RU"/>
        </w:rPr>
        <w:t xml:space="preserve"> служит отправной точкой для расширения и подключения к анализу путей динамичного осуществления изменений и определения направлений дополнительной работы.</w:t>
      </w:r>
    </w:p>
    <w:p w14:paraId="6B036D8D" w14:textId="151A1D89" w:rsidR="008125AA" w:rsidRPr="00522C60" w:rsidRDefault="0021454B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73A1C">
        <w:rPr>
          <w:lang w:val="ru-RU"/>
        </w:rPr>
        <w:t>27.</w:t>
      </w:r>
      <w:r w:rsidRPr="00F73A1C">
        <w:rPr>
          <w:lang w:val="ru-RU"/>
        </w:rPr>
        <w:tab/>
      </w:r>
      <w:r w:rsidR="008125AA" w:rsidRPr="0021454B">
        <w:rPr>
          <w:b/>
          <w:bCs/>
          <w:lang w:val="ru-RU"/>
        </w:rPr>
        <w:t>Глава 3: Как происходят преобразовательные изменения</w:t>
      </w:r>
      <w:r w:rsidR="008125AA" w:rsidRPr="00522C60">
        <w:rPr>
          <w:lang w:val="ru-RU"/>
        </w:rPr>
        <w:t xml:space="preserve">. В Главе 3 будет рассмотрено, как происходят преобразовательные изменения, с акцентом на те изменения, которые можно целенаправленно стимулировать, ускорять и масштабировать для формирования устойчивого мира, в котором может процветать биоразнообразие. В главе будет представлена оценка </w:t>
      </w:r>
      <w:r w:rsidR="005B6938">
        <w:rPr>
          <w:lang w:val="ru-RU"/>
        </w:rPr>
        <w:t>концепций и механизмов</w:t>
      </w:r>
      <w:r w:rsidR="008125AA" w:rsidRPr="00522C60">
        <w:rPr>
          <w:lang w:val="ru-RU"/>
        </w:rPr>
        <w:t xml:space="preserve"> для понимания целенаправленных или зарождающихся преобразовательных изменений, а также будут освещены условия и процессы реализации таких изменений и управления ими. Будет проведена оценка взаимосвязи между парадигмами, политикой и практикой с акцентом на то, как они способствуют реализации стратегий, которые улучшают, поддерживают или восстанавливают здоровые отношения с природой. Это может включать оценку технических аспектов и роли исследований и разработок в поиске инновационных решений для преобразовательных изменений в интересах формирования более устойчивого мира. В этой главе будут также рассмотрены подходы, позволяющие осуществлять преобразовательные изменения в различных масштабах, демонстрировать, как преобразовательные изменения могут оказывать позитивное воздействие на глобальное биоразнообразие, и оценивать соответствующие нормативные, этические и политические аспекты. Будут оценены исторические случаи и примеры преобразований, происшедших в различных местах и в разное время, включая те, которые оказали положительное или отрицательное воздействие на биоразнообразие. В главе будут приведены примеры, взятые из научной, политической и практической литературы, включая ссылки на системы знаний коренного и местного населения и важность действий на местном уровне. В этой главе будет сделан акцент на комплексных и целостных взглядах в отношении изложенных выше тем путем включения:</w:t>
      </w:r>
      <w:bookmarkStart w:id="3" w:name="_Hlk39569637"/>
    </w:p>
    <w:p w14:paraId="7D8EB720" w14:textId="61D85C36" w:rsidR="008125AA" w:rsidRPr="00522C60" w:rsidRDefault="0021454B" w:rsidP="0021454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a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сравнения, обобщения и оценки </w:t>
      </w:r>
      <w:r w:rsidR="00E358CC">
        <w:rPr>
          <w:lang w:val="ru-RU"/>
        </w:rPr>
        <w:t>концепций и механизмов</w:t>
      </w:r>
      <w:r w:rsidR="008125AA" w:rsidRPr="00522C60">
        <w:rPr>
          <w:lang w:val="ru-RU"/>
        </w:rPr>
        <w:t xml:space="preserve"> преобразовательных изменений и того, как они соотносятся с различными моделями, стратегиями, политикой и </w:t>
      </w:r>
      <w:r w:rsidR="008125AA" w:rsidRPr="00522C60">
        <w:rPr>
          <w:lang w:val="ru-RU"/>
        </w:rPr>
        <w:lastRenderedPageBreak/>
        <w:t>практикой. Это продемонстрирует различные теоретические взгляды на то, как в сложных системах происходят целенаправленные преобразовательные изменения;</w:t>
      </w:r>
    </w:p>
    <w:p w14:paraId="67143F08" w14:textId="44567788" w:rsidR="008125AA" w:rsidRPr="00522C60" w:rsidRDefault="0021454B" w:rsidP="0021454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b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оценки того, как социальные и культурные нормы, ценности, мировоззрения, убеждения и парадигмы влияют на стратегии и подходы к преобразовательным изменениям, с </w:t>
      </w:r>
      <w:r w:rsidR="00F42A08">
        <w:rPr>
          <w:lang w:val="ru-RU"/>
        </w:rPr>
        <w:t>акцентом</w:t>
      </w:r>
      <w:r w:rsidR="00F42A08" w:rsidRPr="00522C60">
        <w:rPr>
          <w:lang w:val="ru-RU"/>
        </w:rPr>
        <w:t xml:space="preserve"> </w:t>
      </w:r>
      <w:r w:rsidR="008125AA" w:rsidRPr="00522C60">
        <w:rPr>
          <w:lang w:val="ru-RU"/>
        </w:rPr>
        <w:t>на то, как они соотносятся с различными взглядами на отношения между человеком и природой; разных представлений о ролях и типах власти и факторов (например, индивидуальный фактор, коллективный фактор, политический фактор, нечеловеческий фактор); различных механизмов управления; и роли экологической этики и таких ценностей, как равенство и справедливость, в преобразовательных изменениях. В главе будет подчеркнуто, как субъективные факторы влияют на различные подходы к преобразовательным изменениям, а также на противодействие структурным изменениям;</w:t>
      </w:r>
    </w:p>
    <w:p w14:paraId="0EC31237" w14:textId="51B848FC" w:rsidR="008125AA" w:rsidRPr="00522C60" w:rsidRDefault="0021454B" w:rsidP="0021454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c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оценки возможностей интегрирования процессов преобразовательных изменений в концептуальные рамки МПБЭУ. Это будет включать оценку того, как подходы, основанные на равенстве, правах и обязанностях, гендерном факторе, возможностях и ценностях, могут способствовать установлению устойчивых взаимоотношений между людьми и природой;</w:t>
      </w:r>
      <w:bookmarkStart w:id="4" w:name="_Hlk66374632"/>
      <w:bookmarkEnd w:id="4"/>
    </w:p>
    <w:p w14:paraId="6C9E8891" w14:textId="0E3572A2" w:rsidR="008125AA" w:rsidRPr="00522C60" w:rsidRDefault="0021454B" w:rsidP="0021454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d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оценки ряда репрезентативных исторических примеров и тематических исследований, касающихся преобразовательных изменений, в которых подчеркиваются как возможности, так и вызовы, связанные с формированием устойчивого мира, включая роль и взаимодействие между многочисленными факторами стресса (например, изменение климата, крайнее неравенство, экономические кризисы, динамика народонаселения, пандемии). В примерах будут освещаться ключевые моменты обсуждения </w:t>
      </w:r>
      <w:r w:rsidR="00E358CC">
        <w:rPr>
          <w:lang w:val="ru-RU"/>
        </w:rPr>
        <w:t>концепций</w:t>
      </w:r>
      <w:r w:rsidR="00277837">
        <w:rPr>
          <w:lang w:val="ru-RU"/>
        </w:rPr>
        <w:t>, механизмов</w:t>
      </w:r>
      <w:r w:rsidR="008125AA" w:rsidRPr="00522C60">
        <w:rPr>
          <w:lang w:val="ru-RU"/>
        </w:rPr>
        <w:t xml:space="preserve">, убеждений, норм, ценностей, мировоззрений и парадигм, перечисленных в предыдущих разделах. Эти примеры </w:t>
      </w:r>
      <w:r w:rsidR="00A00607">
        <w:rPr>
          <w:lang w:val="ru-RU"/>
        </w:rPr>
        <w:t>покажут</w:t>
      </w:r>
      <w:r w:rsidR="00A00607" w:rsidRPr="004718AD">
        <w:rPr>
          <w:lang w:val="ru-RU"/>
        </w:rPr>
        <w:t xml:space="preserve"> </w:t>
      </w:r>
      <w:r w:rsidR="008125AA" w:rsidRPr="004718AD">
        <w:rPr>
          <w:lang w:val="ru-RU"/>
        </w:rPr>
        <w:t>с</w:t>
      </w:r>
      <w:r w:rsidR="008125AA" w:rsidRPr="00F73A1C">
        <w:rPr>
          <w:lang w:val="ru-RU"/>
        </w:rPr>
        <w:t>убъектов</w:t>
      </w:r>
      <w:r w:rsidR="008125AA" w:rsidRPr="00522C60">
        <w:rPr>
          <w:lang w:val="ru-RU"/>
        </w:rPr>
        <w:t>, условия, потенциал и политику, способствующи</w:t>
      </w:r>
      <w:r w:rsidR="003544F0">
        <w:rPr>
          <w:lang w:val="ru-RU"/>
        </w:rPr>
        <w:t>х</w:t>
      </w:r>
      <w:r w:rsidR="008125AA" w:rsidRPr="00522C60">
        <w:rPr>
          <w:lang w:val="ru-RU"/>
        </w:rPr>
        <w:t xml:space="preserve"> преобразовательным изменениям, включая, в частности, обучение и образование, здравоохранение, равенство и справедливость, творчество и инновации, факторы, расширение прав и возможностей, лидерство и соотношение сил. Это заложит основу для </w:t>
      </w:r>
      <w:r w:rsidR="00834AD6">
        <w:rPr>
          <w:lang w:val="ru-RU"/>
        </w:rPr>
        <w:t>акцентирования</w:t>
      </w:r>
      <w:r w:rsidR="00834AD6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внимания в </w:t>
      </w:r>
      <w:r w:rsidR="003544F0" w:rsidRPr="00522C60">
        <w:rPr>
          <w:lang w:val="ru-RU"/>
        </w:rPr>
        <w:t xml:space="preserve">Главе </w:t>
      </w:r>
      <w:r w:rsidR="008125AA" w:rsidRPr="00522C60">
        <w:rPr>
          <w:lang w:val="ru-RU"/>
        </w:rPr>
        <w:t>4 на преодолении вызовов и противодействи</w:t>
      </w:r>
      <w:r w:rsidR="00206A17">
        <w:rPr>
          <w:lang w:val="ru-RU"/>
        </w:rPr>
        <w:t>я</w:t>
      </w:r>
      <w:r w:rsidR="008125AA" w:rsidRPr="00522C60">
        <w:rPr>
          <w:lang w:val="ru-RU"/>
        </w:rPr>
        <w:t xml:space="preserve"> преобразовательным изменениям.</w:t>
      </w:r>
    </w:p>
    <w:bookmarkEnd w:id="3"/>
    <w:p w14:paraId="18EA128C" w14:textId="337B59C3" w:rsidR="008125AA" w:rsidRPr="00522C60" w:rsidRDefault="00E81B83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Calibri"/>
          <w:lang w:val="ru-RU"/>
        </w:rPr>
      </w:pPr>
      <w:r w:rsidRPr="00F73A1C">
        <w:rPr>
          <w:lang w:val="ru-RU"/>
        </w:rPr>
        <w:t>28.</w:t>
      </w:r>
      <w:r w:rsidRPr="00F73A1C">
        <w:rPr>
          <w:lang w:val="ru-RU"/>
        </w:rPr>
        <w:tab/>
      </w:r>
      <w:r w:rsidR="008125AA" w:rsidRPr="00E81B83">
        <w:rPr>
          <w:b/>
          <w:bCs/>
          <w:lang w:val="ru-RU"/>
        </w:rPr>
        <w:t>Глава 4: Преодоление вызовов, связанных с достижением преобразовательных изменений в интересах устойчивого мира</w:t>
      </w:r>
      <w:r w:rsidR="008125AA" w:rsidRPr="00522C60">
        <w:rPr>
          <w:lang w:val="ru-RU"/>
        </w:rPr>
        <w:t xml:space="preserve">. С учетом осознания того, что усилия по устранению коренных причин утраты биоразнообразия в основном оказались безуспешными, в Главе 4 будет проведена оценка широкого спектра проблем и препятствий, мешающих преобразовательным изменениям в интересах формирования устойчивого мира для природы и людей, с </w:t>
      </w:r>
      <w:r w:rsidR="009C2CC4">
        <w:rPr>
          <w:lang w:val="ru-RU"/>
        </w:rPr>
        <w:t>акцентом</w:t>
      </w:r>
      <w:r w:rsidR="009C2CC4" w:rsidRPr="00522C60">
        <w:rPr>
          <w:lang w:val="ru-RU"/>
        </w:rPr>
        <w:t xml:space="preserve"> </w:t>
      </w:r>
      <w:r w:rsidR="008125AA" w:rsidRPr="00522C60">
        <w:rPr>
          <w:lang w:val="ru-RU"/>
        </w:rPr>
        <w:t>на стратегии их преодоления в целях продвижения глобального, регионального и местного видения устойчивого мира на благо природы и людей.</w:t>
      </w:r>
    </w:p>
    <w:p w14:paraId="66D63FAD" w14:textId="16559C3C" w:rsidR="008125AA" w:rsidRPr="00522C60" w:rsidRDefault="00E81B83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29.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При анализе действий, привычек, основополагающих ценностей и интересов различных соответствующих субъектов и институтов в настоящей главе будут рассмотрены некоторые ограничения и вызовы, возникающие внутри и между политическими, правовыми, технологическими, физическими (например, инфраструктурой), экономическими</w:t>
      </w:r>
      <w:r w:rsidR="003A1E1B">
        <w:rPr>
          <w:lang w:val="ru-RU"/>
        </w:rPr>
        <w:t xml:space="preserve"> или </w:t>
      </w:r>
      <w:r w:rsidR="008125AA" w:rsidRPr="00522C60">
        <w:rPr>
          <w:lang w:val="ru-RU"/>
        </w:rPr>
        <w:t>финансовыми и другими социальными системами и функционированием экосистем, а также пути преодоления этих вызовов. К числу вызовов, которые будут рассмотрены в ходе оценки, относятся:</w:t>
      </w:r>
    </w:p>
    <w:p w14:paraId="4455C03D" w14:textId="088AD433" w:rsidR="008125AA" w:rsidRPr="00522C60" w:rsidRDefault="00E81B83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a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22C60">
        <w:rPr>
          <w:lang w:val="ru-RU"/>
        </w:rPr>
        <w:t xml:space="preserve">вызовы, связанные с разработкой, осуществлением и согласованием политики, включая представление и рассмотрение противоположных мировоззрений и представлений, увязку политических процессов и непредвиденные последствия для </w:t>
      </w:r>
      <w:proofErr w:type="gramStart"/>
      <w:r w:rsidR="008125AA" w:rsidRPr="00522C60">
        <w:rPr>
          <w:lang w:val="ru-RU"/>
        </w:rPr>
        <w:t>политики;</w:t>
      </w:r>
      <w:proofErr w:type="gramEnd"/>
      <w:r w:rsidR="008125AA" w:rsidRPr="00522C60">
        <w:rPr>
          <w:lang w:val="ru-RU"/>
        </w:rPr>
        <w:t xml:space="preserve"> </w:t>
      </w:r>
    </w:p>
    <w:p w14:paraId="28BCCFAF" w14:textId="3FC63D63" w:rsidR="008125AA" w:rsidRPr="00522C60" w:rsidRDefault="00E81B83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b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22C60">
        <w:rPr>
          <w:lang w:val="ru-RU"/>
        </w:rPr>
        <w:t xml:space="preserve">противодействие, обусловленное корыстными общественными и частными интересами, которому благоприятствуют слабые институты, не обеспечивающие соблюдение законов в силу недостаточного верховенства права, транспарентности и </w:t>
      </w:r>
      <w:proofErr w:type="gramStart"/>
      <w:r w:rsidR="008125AA" w:rsidRPr="00522C60">
        <w:rPr>
          <w:lang w:val="ru-RU"/>
        </w:rPr>
        <w:t>подотчетности;</w:t>
      </w:r>
      <w:proofErr w:type="gramEnd"/>
    </w:p>
    <w:p w14:paraId="6E783926" w14:textId="7230E13E" w:rsidR="008125AA" w:rsidRPr="00522C60" w:rsidRDefault="00E81B83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c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22C60">
        <w:rPr>
          <w:lang w:val="ru-RU"/>
        </w:rPr>
        <w:t xml:space="preserve">демографические </w:t>
      </w:r>
      <w:proofErr w:type="gramStart"/>
      <w:r w:rsidR="008125AA" w:rsidRPr="00522C60">
        <w:rPr>
          <w:lang w:val="ru-RU"/>
        </w:rPr>
        <w:t>изменения;</w:t>
      </w:r>
      <w:proofErr w:type="gramEnd"/>
    </w:p>
    <w:p w14:paraId="15355913" w14:textId="6D5773C0" w:rsidR="008125AA" w:rsidRPr="00522C60" w:rsidRDefault="00E81B83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d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22C60">
        <w:rPr>
          <w:lang w:val="ru-RU"/>
        </w:rPr>
        <w:t>инерция, в том числе личностная (привычки, менталитет), социальная</w:t>
      </w:r>
      <w:r w:rsidR="007868C1">
        <w:rPr>
          <w:lang w:val="ru-RU"/>
        </w:rPr>
        <w:t xml:space="preserve"> или </w:t>
      </w:r>
      <w:r w:rsidR="008125AA" w:rsidRPr="00522C60">
        <w:rPr>
          <w:lang w:val="ru-RU"/>
        </w:rPr>
        <w:t>культурная (нормы) и системная (рыночные сбои, связанные с существующими экономическими структурами); отсутствие или наличие устаревших правил и институтов, отсутствие глобального мониторинга и правоприменения</w:t>
      </w:r>
      <w:proofErr w:type="gramStart"/>
      <w:r w:rsidR="008125AA" w:rsidRPr="00522C60">
        <w:rPr>
          <w:lang w:val="ru-RU"/>
        </w:rPr>
        <w:t>);</w:t>
      </w:r>
      <w:proofErr w:type="gramEnd"/>
    </w:p>
    <w:p w14:paraId="3AA6E187" w14:textId="32A7CBA2" w:rsidR="008125AA" w:rsidRPr="00522C60" w:rsidRDefault="00E81B83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e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22C60">
        <w:rPr>
          <w:lang w:val="ru-RU"/>
        </w:rPr>
        <w:t>недостаточное изучение политики в связи с отсутствием достаточной информаци</w:t>
      </w:r>
      <w:r w:rsidR="00343BDE">
        <w:rPr>
          <w:lang w:val="ru-RU"/>
        </w:rPr>
        <w:t>и</w:t>
      </w:r>
      <w:r w:rsidR="008125AA" w:rsidRPr="00522C60">
        <w:rPr>
          <w:lang w:val="ru-RU"/>
        </w:rPr>
        <w:t xml:space="preserve"> или недостаточной оперативностью реагирования на </w:t>
      </w:r>
      <w:proofErr w:type="gramStart"/>
      <w:r w:rsidR="008125AA" w:rsidRPr="00522C60">
        <w:rPr>
          <w:lang w:val="ru-RU"/>
        </w:rPr>
        <w:t>информацию;</w:t>
      </w:r>
      <w:proofErr w:type="gramEnd"/>
    </w:p>
    <w:p w14:paraId="2F26D7A7" w14:textId="663A3789" w:rsidR="008125AA" w:rsidRPr="00522C60" w:rsidRDefault="00E81B83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f</w:t>
      </w:r>
      <w:r w:rsidRPr="002F02FB">
        <w:rPr>
          <w:lang w:val="ru-RU"/>
        </w:rPr>
        <w:t>)</w:t>
      </w:r>
      <w:r w:rsidRPr="002F02FB">
        <w:rPr>
          <w:lang w:val="ru-RU"/>
        </w:rPr>
        <w:tab/>
      </w:r>
      <w:r w:rsidR="008125AA" w:rsidRPr="00522C60">
        <w:rPr>
          <w:lang w:val="ru-RU"/>
        </w:rPr>
        <w:t xml:space="preserve">компромиссы между краткосрочными и долгосрочными затратами и выгодами; и связанное с этим неравенство в </w:t>
      </w:r>
      <w:proofErr w:type="gramStart"/>
      <w:r w:rsidR="008125AA" w:rsidRPr="00522C60">
        <w:rPr>
          <w:lang w:val="ru-RU"/>
        </w:rPr>
        <w:t>распределении;</w:t>
      </w:r>
      <w:proofErr w:type="gramEnd"/>
    </w:p>
    <w:p w14:paraId="002BF2D2" w14:textId="6DAB9323" w:rsidR="008125AA" w:rsidRPr="00522C60" w:rsidRDefault="00A721FC" w:rsidP="00E81B8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lastRenderedPageBreak/>
        <w:t>g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потенциал и финансирование в любых масштабах (включая нищету и сбои в системе образования).</w:t>
      </w:r>
    </w:p>
    <w:p w14:paraId="310F0AE7" w14:textId="1E2F6E6D" w:rsidR="008125AA" w:rsidRPr="00522C60" w:rsidRDefault="00A721FC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30.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Эта глава будет опираться на разнообразную литературу, в том числе касающуюся сценариев и моделей, а также тематические исследования, иллюстрирующие степень преодоления различных вызовов на пути преобразовательных изменений. Рассматриваемые случаи будут проиллюстрированы в различных масштабах и контекстах по разным социальным группам, секторам, регионам, уровням развития, физической географии, культурным условиям и т.д. В тематическом анализе будет также рассмотрен вопрос о том, как преобразовательные изменения </w:t>
      </w:r>
      <w:r w:rsidRPr="00F73A1C">
        <w:rPr>
          <w:lang w:val="ru-RU"/>
        </w:rPr>
        <w:t>–</w:t>
      </w:r>
      <w:r w:rsidR="008125AA" w:rsidRPr="00522C60">
        <w:rPr>
          <w:lang w:val="ru-RU"/>
        </w:rPr>
        <w:t xml:space="preserve"> даже дающие в целом благоприятные для многих результаты</w:t>
      </w:r>
      <w:r>
        <w:rPr>
          <w:lang w:val="en-GB"/>
        </w:rPr>
        <w:t> </w:t>
      </w:r>
      <w:r w:rsidRPr="00F73A1C">
        <w:rPr>
          <w:lang w:val="ru-RU"/>
        </w:rPr>
        <w:t>–</w:t>
      </w:r>
      <w:r w:rsidR="008125AA" w:rsidRPr="00522C60">
        <w:rPr>
          <w:lang w:val="ru-RU"/>
        </w:rPr>
        <w:t xml:space="preserve"> могут привести к потерям для некоторых групп, включая женщин, молодежь, престарелых и уязвимые слои населения. Рассматриваемые случаи будут включать целенаправленные усилия по устранению целого ряда косвенных факторов утраты биоразнообразия и деградации экосистемных услуг, включая разработку политики в области экономического развития и народонаселения, </w:t>
      </w:r>
      <w:proofErr w:type="spellStart"/>
      <w:r w:rsidR="008125AA" w:rsidRPr="00522C60">
        <w:rPr>
          <w:lang w:val="ru-RU"/>
        </w:rPr>
        <w:t>интернализацию</w:t>
      </w:r>
      <w:proofErr w:type="spellEnd"/>
      <w:r w:rsidR="008125AA" w:rsidRPr="00522C60">
        <w:rPr>
          <w:lang w:val="ru-RU"/>
        </w:rPr>
        <w:t xml:space="preserve"> экологических внешних факторов, реформирование субсидий, видоизменение показателей или единиц измерения экономического прогресса, подготовку конституционных поправок в интересах окружающей среды и изменение систем владения земельными и морскими ресурсами, прав на воду и ресурсы.</w:t>
      </w:r>
    </w:p>
    <w:p w14:paraId="292204A1" w14:textId="42246808" w:rsidR="008125AA" w:rsidRPr="00522C60" w:rsidRDefault="00A721FC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73A1C">
        <w:rPr>
          <w:lang w:val="ru-RU"/>
        </w:rPr>
        <w:t>31.</w:t>
      </w:r>
      <w:r w:rsidRPr="00F73A1C">
        <w:rPr>
          <w:lang w:val="ru-RU"/>
        </w:rPr>
        <w:tab/>
      </w:r>
      <w:r w:rsidR="008125AA" w:rsidRPr="00A721FC">
        <w:rPr>
          <w:b/>
          <w:bCs/>
          <w:lang w:val="ru-RU"/>
        </w:rPr>
        <w:t>Глава 5: Формирование устойчивого мира в интересах природы и людей: преобразовательные стратегии, действия и роли для всех</w:t>
      </w:r>
      <w:r w:rsidR="008125AA" w:rsidRPr="00522C60">
        <w:rPr>
          <w:lang w:val="ru-RU"/>
        </w:rPr>
        <w:t>. В свете необходимости преобразовательных изменений для реализации различных концепций устойчивого мира в настоящей главе будут проанализированы возможные варианты институтов, инструментов, оценок и путей реализации этих концепций:</w:t>
      </w:r>
    </w:p>
    <w:p w14:paraId="19186C02" w14:textId="589E3875" w:rsidR="008125AA" w:rsidRPr="00522C60" w:rsidRDefault="00560AF0" w:rsidP="00560A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a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60AF0">
        <w:rPr>
          <w:b/>
          <w:bCs/>
          <w:lang w:val="ru-RU"/>
        </w:rPr>
        <w:t>институты</w:t>
      </w:r>
      <w:r w:rsidR="008125AA" w:rsidRPr="00522C60">
        <w:rPr>
          <w:lang w:val="ru-RU"/>
        </w:rPr>
        <w:t>: оценка структуры, возникновения, эволюции и функционирования институтов на предмет соответствия постоянному, динамичному и непредсказуемому характеру преобразовательных изменений, в том числе посредством генерирования знаний, проведения экспериментов, обучения, координации, а также практики управления и руководства (например, такие механизмы, как совместная разработка, широкое участие, диалог). Все стратегии и действия (включая перечисленные ниже) будут оцениваться в контексте систем, институтов и ценностей, которые они формулируют, на глобальном, региональном, национальном и/или местном уровнях. Будут определены роли всех ключевых действующих лиц;</w:t>
      </w:r>
    </w:p>
    <w:p w14:paraId="58F44232" w14:textId="40A88713" w:rsidR="008125AA" w:rsidRPr="00522C60" w:rsidRDefault="00560AF0" w:rsidP="00560A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b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60AF0">
        <w:rPr>
          <w:b/>
          <w:bCs/>
          <w:lang w:val="ru-RU"/>
        </w:rPr>
        <w:t>инструменты</w:t>
      </w:r>
      <w:r w:rsidR="008125AA" w:rsidRPr="00522C60">
        <w:rPr>
          <w:lang w:val="ru-RU"/>
        </w:rPr>
        <w:t>: обобщение и оценка наборов мер политики, инструментов, методов, кампаний, рамок, финансовых инструментов, вариантов и действий, позволяющих и поощряющих преобразовательные изменения на всех уровнях в интересах устойчивого мира. Они будут включать в себя широкий спектр исторически применяемых и зарождающихся методов проведения преобразований, в том числе политические подходы и их сочетания, бизнес-модели, правовые и нормативные документы, стандарты, рамки управления, системы образования и знаний, подходы к сохранению и восстановлению, координацию, а также гражданские, политические и общинные действия. В ходе анализа будут рассмотрены вопросы взаимодействия между инструментами, необходимыми для обеспечения результативности преобразований;</w:t>
      </w:r>
    </w:p>
    <w:p w14:paraId="2D9C5E38" w14:textId="0E2BA4A7" w:rsidR="008125AA" w:rsidRPr="00522C60" w:rsidRDefault="00560AF0" w:rsidP="00560A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c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60AF0">
        <w:rPr>
          <w:b/>
          <w:bCs/>
          <w:lang w:val="ru-RU"/>
        </w:rPr>
        <w:t>оценка</w:t>
      </w:r>
      <w:r w:rsidR="008125AA" w:rsidRPr="00522C60">
        <w:rPr>
          <w:lang w:val="ru-RU"/>
        </w:rPr>
        <w:t xml:space="preserve">: анализ средств адаптивного мониторинга и оценки прогресса в деле преобразовательных изменений и в интересах формирования устойчивого мира, признающие непредсказуемость скользящих целевых показателей и того, что в существующих </w:t>
      </w:r>
      <w:r w:rsidR="007F594E">
        <w:rPr>
          <w:lang w:val="ru-RU"/>
        </w:rPr>
        <w:t>механизмах</w:t>
      </w:r>
      <w:r w:rsidR="007F594E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оценки могут быть </w:t>
      </w:r>
      <w:r w:rsidR="00A72247">
        <w:rPr>
          <w:lang w:val="ru-RU"/>
        </w:rPr>
        <w:t>у</w:t>
      </w:r>
      <w:r w:rsidR="00A72247" w:rsidRPr="00522C60">
        <w:rPr>
          <w:lang w:val="ru-RU"/>
        </w:rPr>
        <w:t xml:space="preserve">пущены </w:t>
      </w:r>
      <w:r w:rsidR="008125AA" w:rsidRPr="00522C60">
        <w:rPr>
          <w:lang w:val="ru-RU"/>
        </w:rPr>
        <w:t xml:space="preserve">из виду важнейшие основанные на процессах, принципе </w:t>
      </w:r>
      <w:proofErr w:type="spellStart"/>
      <w:r w:rsidR="008125AA" w:rsidRPr="00522C60">
        <w:rPr>
          <w:lang w:val="ru-RU"/>
        </w:rPr>
        <w:t>инклюзивности</w:t>
      </w:r>
      <w:proofErr w:type="spellEnd"/>
      <w:r w:rsidR="008125AA" w:rsidRPr="00522C60">
        <w:rPr>
          <w:lang w:val="ru-RU"/>
        </w:rPr>
        <w:t xml:space="preserve"> и широком участии меры по осуществлению общесистемных изменений, необходимые для согласованного достижения всех соответствующих целей;</w:t>
      </w:r>
    </w:p>
    <w:p w14:paraId="62D74CF4" w14:textId="179DE911" w:rsidR="008125AA" w:rsidRPr="00522C60" w:rsidRDefault="00560AF0" w:rsidP="00560AF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rFonts w:eastAsia="Calibri"/>
          <w:lang w:val="ru-RU"/>
        </w:rPr>
      </w:pPr>
      <w:r>
        <w:rPr>
          <w:lang w:val="en-GB"/>
        </w:rPr>
        <w:t>d</w:t>
      </w:r>
      <w:r w:rsidRPr="00F73A1C">
        <w:rPr>
          <w:lang w:val="ru-RU"/>
        </w:rPr>
        <w:t>)</w:t>
      </w:r>
      <w:r w:rsidRPr="00F73A1C">
        <w:rPr>
          <w:lang w:val="ru-RU"/>
        </w:rPr>
        <w:tab/>
      </w:r>
      <w:r w:rsidR="008125AA" w:rsidRPr="00560AF0">
        <w:rPr>
          <w:b/>
          <w:bCs/>
          <w:lang w:val="ru-RU"/>
        </w:rPr>
        <w:t>сценарии и обобщения</w:t>
      </w:r>
      <w:r w:rsidR="008125AA" w:rsidRPr="00522C60">
        <w:rPr>
          <w:lang w:val="ru-RU"/>
        </w:rPr>
        <w:t xml:space="preserve"> (объединяющие элементы, изложенные в пунктах а)-с) выше): оценка возможных желательных сценариев и переходных путей реализации вариантов и действий на ближайшую (до 10 лет), среднесрочную (10-20 лет) и долгосрочную (20-50 лет) перспективу. Пути будут включать </w:t>
      </w:r>
      <w:r w:rsidR="00521561">
        <w:rPr>
          <w:lang w:val="ru-RU"/>
        </w:rPr>
        <w:t>последовательность</w:t>
      </w:r>
      <w:r w:rsidR="00521561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действий, предпринимаемых различными субъектами, а также различные подходы по принципу </w:t>
      </w:r>
      <w:r w:rsidRPr="00F73A1C">
        <w:rPr>
          <w:lang w:val="ru-RU"/>
        </w:rPr>
        <w:t>«</w:t>
      </w:r>
      <w:r w:rsidR="008125AA" w:rsidRPr="00522C60">
        <w:rPr>
          <w:lang w:val="ru-RU"/>
        </w:rPr>
        <w:t>сверху вниз</w:t>
      </w:r>
      <w:r w:rsidRPr="00F73A1C">
        <w:rPr>
          <w:lang w:val="ru-RU"/>
        </w:rPr>
        <w:t>»</w:t>
      </w:r>
      <w:r w:rsidR="008125AA" w:rsidRPr="00522C60">
        <w:rPr>
          <w:lang w:val="ru-RU"/>
        </w:rPr>
        <w:t xml:space="preserve"> и </w:t>
      </w:r>
      <w:r w:rsidRPr="00F73A1C">
        <w:rPr>
          <w:lang w:val="ru-RU"/>
        </w:rPr>
        <w:t>«</w:t>
      </w:r>
      <w:r w:rsidR="008125AA" w:rsidRPr="00522C60">
        <w:rPr>
          <w:lang w:val="ru-RU"/>
        </w:rPr>
        <w:t>снизу вверх</w:t>
      </w:r>
      <w:r w:rsidRPr="00F73A1C">
        <w:rPr>
          <w:lang w:val="ru-RU"/>
        </w:rPr>
        <w:t>»</w:t>
      </w:r>
      <w:r w:rsidR="008125AA" w:rsidRPr="00522C60">
        <w:rPr>
          <w:lang w:val="ru-RU"/>
        </w:rPr>
        <w:t xml:space="preserve"> и их масштабирование. Такая оценка будет включать в себя оценку характеристик, имеющих ключевое значение для достижения успеха, включая действия, ресурсы и возможности, достижение конкретных критериев, средства масштабирования, а также комбинации и последовательность действий.</w:t>
      </w:r>
    </w:p>
    <w:p w14:paraId="78B018D5" w14:textId="2002DE49" w:rsidR="008125AA" w:rsidRPr="00522C60" w:rsidRDefault="00181F09" w:rsidP="00181F0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32.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Эти элементы должны быть продемонстрированы в контексте </w:t>
      </w:r>
      <w:r w:rsidR="00EC1FC6">
        <w:rPr>
          <w:lang w:val="ru-RU"/>
        </w:rPr>
        <w:t>системы понятий</w:t>
      </w:r>
      <w:r w:rsidR="008125AA" w:rsidRPr="00522C60">
        <w:rPr>
          <w:lang w:val="ru-RU"/>
        </w:rPr>
        <w:t xml:space="preserve"> МПБЭУ, упомянутых в </w:t>
      </w:r>
      <w:r w:rsidR="007316B2" w:rsidRPr="00522C60">
        <w:rPr>
          <w:lang w:val="ru-RU"/>
        </w:rPr>
        <w:t xml:space="preserve">Главе </w:t>
      </w:r>
      <w:r w:rsidR="008125AA" w:rsidRPr="00522C60">
        <w:rPr>
          <w:lang w:val="ru-RU"/>
        </w:rPr>
        <w:t xml:space="preserve">3, и вызовов, указанных в </w:t>
      </w:r>
      <w:r w:rsidR="007316B2" w:rsidRPr="00522C60">
        <w:rPr>
          <w:lang w:val="ru-RU"/>
        </w:rPr>
        <w:t xml:space="preserve">Главе </w:t>
      </w:r>
      <w:r w:rsidR="008125AA" w:rsidRPr="00522C60">
        <w:rPr>
          <w:lang w:val="ru-RU"/>
        </w:rPr>
        <w:t xml:space="preserve">4. Каждое потенциальное действие и путь будет также оцениваться на предмет эффективности, легитимности, </w:t>
      </w:r>
      <w:r w:rsidR="008125AA" w:rsidRPr="00522C60">
        <w:rPr>
          <w:lang w:val="ru-RU"/>
        </w:rPr>
        <w:lastRenderedPageBreak/>
        <w:t xml:space="preserve">сопутствующих выгод, пробелов, недостатков и сохраняющихся вызовов при одновременном обеспечении справедливости, равенства и главенства закона. Все вышеуказанное будет включать примеры, охватывающие вариации в различных временных рамках, масштабах, группах, секторах, регионах, уровне развития, географическом и культурном контексте, и акцентировать роль таких вариаций внутри рассматриваемых случаев и между ними. </w:t>
      </w:r>
    </w:p>
    <w:p w14:paraId="16B5AEAC" w14:textId="4842A6AF" w:rsidR="008125AA" w:rsidRPr="00181F09" w:rsidRDefault="00181F0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8125AA" w:rsidRPr="00181F09">
        <w:rPr>
          <w:b/>
          <w:bCs/>
          <w:sz w:val="28"/>
          <w:szCs w:val="28"/>
          <w:lang w:val="ru-RU"/>
        </w:rPr>
        <w:t>III.</w:t>
      </w:r>
      <w:r w:rsidR="008125AA" w:rsidRPr="00181F09">
        <w:rPr>
          <w:b/>
          <w:bCs/>
          <w:sz w:val="28"/>
          <w:szCs w:val="28"/>
          <w:lang w:val="ru-RU"/>
        </w:rPr>
        <w:tab/>
        <w:t>Данные и информация</w:t>
      </w:r>
    </w:p>
    <w:p w14:paraId="52FAC9BC" w14:textId="5921364A" w:rsidR="008125AA" w:rsidRPr="00522C60" w:rsidRDefault="00181F0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33.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Оценка будет опираться на данные и информацию, поступающие из различных систем знаний и на различных языках, включая научную литературу и знания коренного и местного населения, в отношении всех компонентов концептуальных рамок МПБЭУ с целью рассмотрения взаимосвязей между природой, обеспечиваемым природой вкладом на благо </w:t>
      </w:r>
      <w:r w:rsidR="008E5AD1">
        <w:rPr>
          <w:lang w:val="ru-RU"/>
        </w:rPr>
        <w:t>человека</w:t>
      </w:r>
      <w:r w:rsidR="008125AA" w:rsidRPr="00522C60">
        <w:rPr>
          <w:lang w:val="ru-RU"/>
        </w:rPr>
        <w:t xml:space="preserve">, движущими силами, институтами, управлением и </w:t>
      </w:r>
      <w:r w:rsidR="008B1F54">
        <w:rPr>
          <w:lang w:val="ru-RU"/>
        </w:rPr>
        <w:t>достойным</w:t>
      </w:r>
      <w:r w:rsidR="008B1F54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качеством жизни. </w:t>
      </w:r>
    </w:p>
    <w:p w14:paraId="7A1A158C" w14:textId="49A8A9AC" w:rsidR="008125AA" w:rsidRPr="00522C60" w:rsidRDefault="00181F09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34.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В соответствии с политикой Платформы по управлению данными и информацией внимание будет уделяться обеспечению доступа к метаданным и, при наличии возможности, соответствующим основным данным на основе принципов </w:t>
      </w:r>
      <w:proofErr w:type="spellStart"/>
      <w:r w:rsidR="008125AA" w:rsidRPr="004118FF">
        <w:rPr>
          <w:lang w:val="ru-RU"/>
        </w:rPr>
        <w:t>находимости</w:t>
      </w:r>
      <w:proofErr w:type="spellEnd"/>
      <w:r w:rsidR="008125AA" w:rsidRPr="00522C60">
        <w:rPr>
          <w:lang w:val="ru-RU"/>
        </w:rPr>
        <w:t xml:space="preserve">, доступности, взаимодополняемости и многократного повторного использования для обеспечения сопоставимости оценок. Кроме того, целевая группа по вопросам знаний и данных будет работать над обеспечением широкой доступности результатов (т.е. знаний) оценки преобразовательных изменений для будущих оценок Платформы и других видов применения. </w:t>
      </w:r>
    </w:p>
    <w:p w14:paraId="55B99D69" w14:textId="66821090" w:rsidR="008125AA" w:rsidRPr="00522C60" w:rsidRDefault="001623F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35.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В ходе глобальной оценки будут также определяться и изыскиваться пути получения доступа к глобальным и региональным источникам актуальных данных и информации, которые могут уже существовать или появляться. Такие источники включают глобальные, региональные и национальные учреждения и организации, научную литературу, знания коренного и местного населения. Потребности процесса оценки будут доводиться до широкого круга получателей с целью выявления возможностей и стимулирования обмена актуальными данными и информацией. </w:t>
      </w:r>
    </w:p>
    <w:p w14:paraId="4CD8A13B" w14:textId="197D0D87" w:rsidR="008125AA" w:rsidRPr="00522C60" w:rsidRDefault="001623F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36.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Целевая группа по вопросам знаний и данных будет поддерживать работу по обеспечению качества данных и информации, достоверности, основных переменных и показателей биоразнообразия, исходных данных и репрезентативности, по мере необходимости. При проведении оценки, в соответствующих случаях, будут использоваться существующие показатели, относящиеся к реализации системы глобальных мероприятий в сфере биоразнообразия на период после 2020 года и Повестки дня в области устойчивого развития на период до 2030 года. </w:t>
      </w:r>
    </w:p>
    <w:p w14:paraId="2DAE3757" w14:textId="5CF90ACF" w:rsidR="008125AA" w:rsidRPr="00522C60" w:rsidRDefault="001623F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37.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Целевая группа по вопросам сценариев и моделей будет оказывать поддержку работе, связанной со сценариями и моделями, путем консультирования по вопросам оценки и мобилизации вклада в разработку сценариев и моделей. В тех случаях, когда это будет полезно и целесообразно, оценка будет опираться на рамки и методологии разработки сценариев, сформулированные целевой группой по вопросам сценариев и моделей, для оценки концепций, путей и сценариев, имеющих отношение к ее главам. Продукты целевой группы по вопросам сценариев и моделей имеют особое значение для оценки, поскольку они направлены на содействие процессу формирования общего понимания и принятия обязательств по осуществлению преобразовательных изменений для реализации Концепции в области биоразнообразия на период до 2050 года. Для поддержки оценки понимания и определения воздействия таких сценариев на биоразнообразие и обеспечиваемый природой вклад на благо людей целевая группа </w:t>
      </w:r>
      <w:r w:rsidR="00716BB6">
        <w:rPr>
          <w:lang w:val="ru-RU"/>
        </w:rPr>
        <w:t>обеспечит</w:t>
      </w:r>
      <w:r w:rsidR="00716BB6" w:rsidRPr="00522C60">
        <w:rPr>
          <w:lang w:val="ru-RU"/>
        </w:rPr>
        <w:t xml:space="preserve"> </w:t>
      </w:r>
      <w:r w:rsidR="008125AA" w:rsidRPr="00522C60">
        <w:rPr>
          <w:lang w:val="ru-RU"/>
        </w:rPr>
        <w:t xml:space="preserve">соответствующие ресурсы и </w:t>
      </w:r>
      <w:r w:rsidR="00716BB6">
        <w:rPr>
          <w:lang w:val="ru-RU"/>
        </w:rPr>
        <w:t xml:space="preserve">предоставит для нужд </w:t>
      </w:r>
      <w:r w:rsidR="008125AA" w:rsidRPr="00522C60">
        <w:rPr>
          <w:lang w:val="ru-RU"/>
        </w:rPr>
        <w:t>оценк</w:t>
      </w:r>
      <w:r w:rsidR="00716BB6">
        <w:rPr>
          <w:lang w:val="ru-RU"/>
        </w:rPr>
        <w:t>и</w:t>
      </w:r>
      <w:r w:rsidR="008125AA" w:rsidRPr="00522C60">
        <w:rPr>
          <w:lang w:val="ru-RU"/>
        </w:rPr>
        <w:t xml:space="preserve"> последни</w:t>
      </w:r>
      <w:r w:rsidR="00716BB6">
        <w:rPr>
          <w:lang w:val="ru-RU"/>
        </w:rPr>
        <w:t>е</w:t>
      </w:r>
      <w:r w:rsidR="008125AA" w:rsidRPr="00522C60">
        <w:rPr>
          <w:lang w:val="ru-RU"/>
        </w:rPr>
        <w:t xml:space="preserve"> достижения в своей работе. </w:t>
      </w:r>
    </w:p>
    <w:p w14:paraId="0F8DD575" w14:textId="5AF80720" w:rsidR="008125AA" w:rsidRPr="00522C60" w:rsidRDefault="001623F5" w:rsidP="001623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38.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В ходе оценки буд</w:t>
      </w:r>
      <w:r w:rsidR="00D954C8">
        <w:rPr>
          <w:lang w:val="ru-RU"/>
        </w:rPr>
        <w:t>у</w:t>
      </w:r>
      <w:r w:rsidR="008125AA" w:rsidRPr="00522C60">
        <w:rPr>
          <w:lang w:val="ru-RU"/>
        </w:rPr>
        <w:t xml:space="preserve">т признаваться и </w:t>
      </w:r>
      <w:r w:rsidR="002B624F">
        <w:rPr>
          <w:lang w:val="ru-RU"/>
        </w:rPr>
        <w:t>приниматься в</w:t>
      </w:r>
      <w:r w:rsidR="002B624F" w:rsidRPr="00522C60">
        <w:rPr>
          <w:lang w:val="ru-RU"/>
        </w:rPr>
        <w:t xml:space="preserve"> </w:t>
      </w:r>
      <w:r w:rsidR="008125AA" w:rsidRPr="00522C60">
        <w:rPr>
          <w:lang w:val="ru-RU"/>
        </w:rPr>
        <w:t>работ</w:t>
      </w:r>
      <w:r w:rsidR="002B624F">
        <w:rPr>
          <w:lang w:val="ru-RU"/>
        </w:rPr>
        <w:t>у</w:t>
      </w:r>
      <w:r w:rsidR="008125AA" w:rsidRPr="00522C60">
        <w:rPr>
          <w:lang w:val="ru-RU"/>
        </w:rPr>
        <w:t xml:space="preserve"> знания коренного и местного населения в соответствии с подходом МПБЭУ, утвержденным Пленумом в решении</w:t>
      </w:r>
      <w:r w:rsidR="005D592A">
        <w:rPr>
          <w:lang w:val="en-GB"/>
        </w:rPr>
        <w:t> </w:t>
      </w:r>
      <w:r w:rsidR="008125AA" w:rsidRPr="00522C60">
        <w:rPr>
          <w:lang w:val="ru-RU"/>
        </w:rPr>
        <w:t>МПБЭУ</w:t>
      </w:r>
      <w:r w:rsidR="0026771C">
        <w:rPr>
          <w:lang w:val="ru-RU"/>
        </w:rPr>
        <w:noBreakHyphen/>
      </w:r>
      <w:r w:rsidR="008125AA" w:rsidRPr="00522C60">
        <w:rPr>
          <w:lang w:val="ru-RU"/>
        </w:rPr>
        <w:t xml:space="preserve">5/1, и соответствующими руководящими указаниями в отношении его осуществления, подготовленными целевой группой по вопросам знаний коренного и местного населения. </w:t>
      </w:r>
    </w:p>
    <w:p w14:paraId="4F429C9B" w14:textId="78362B37" w:rsidR="008125AA" w:rsidRPr="001623F5" w:rsidRDefault="001623F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8125AA" w:rsidRPr="001623F5">
        <w:rPr>
          <w:b/>
          <w:bCs/>
          <w:sz w:val="28"/>
          <w:szCs w:val="28"/>
          <w:lang w:val="ru-RU"/>
        </w:rPr>
        <w:t>IV.</w:t>
      </w:r>
      <w:r w:rsidR="008125AA" w:rsidRPr="001623F5">
        <w:rPr>
          <w:b/>
          <w:bCs/>
          <w:sz w:val="28"/>
          <w:szCs w:val="28"/>
          <w:lang w:val="ru-RU"/>
        </w:rPr>
        <w:tab/>
        <w:t xml:space="preserve">Создание и </w:t>
      </w:r>
      <w:r w:rsidR="00BB66AF">
        <w:rPr>
          <w:b/>
          <w:bCs/>
          <w:sz w:val="28"/>
          <w:szCs w:val="28"/>
          <w:lang w:val="ru-RU"/>
        </w:rPr>
        <w:t>развитие</w:t>
      </w:r>
      <w:r w:rsidR="00BB66AF" w:rsidRPr="001623F5">
        <w:rPr>
          <w:b/>
          <w:bCs/>
          <w:sz w:val="28"/>
          <w:szCs w:val="28"/>
          <w:lang w:val="ru-RU"/>
        </w:rPr>
        <w:t xml:space="preserve"> </w:t>
      </w:r>
      <w:r w:rsidR="008125AA" w:rsidRPr="001623F5">
        <w:rPr>
          <w:b/>
          <w:bCs/>
          <w:sz w:val="28"/>
          <w:szCs w:val="28"/>
          <w:lang w:val="ru-RU"/>
        </w:rPr>
        <w:t>потенциала</w:t>
      </w:r>
    </w:p>
    <w:p w14:paraId="497EBB80" w14:textId="31B9B784" w:rsidR="008125AA" w:rsidRPr="00522C60" w:rsidRDefault="001623F5" w:rsidP="001623F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39.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Мероприятия по созданию потенциала будут способствовать разработке и проведению оценки. Мероприятия будут разрабатываться в соответствии с целью 2 программы работы МПБЭУ на период до 2030 года, касающейся укрепления потенциала, и скользящим планом по созданию потенциала под руководством целевой группы по вопросам создания потенциала. При условии наличия ресурсов будут осуществляться следующие мероприятия: программа </w:t>
      </w:r>
      <w:r w:rsidR="008125AA" w:rsidRPr="00522C60">
        <w:rPr>
          <w:lang w:val="ru-RU"/>
        </w:rPr>
        <w:lastRenderedPageBreak/>
        <w:t>МПБЭУ</w:t>
      </w:r>
      <w:r w:rsidR="0020772F">
        <w:rPr>
          <w:lang w:val="ru-RU"/>
        </w:rPr>
        <w:t xml:space="preserve"> для научных сп</w:t>
      </w:r>
      <w:r w:rsidR="0026771C" w:rsidRPr="00522C60">
        <w:rPr>
          <w:lang w:val="ru-RU"/>
        </w:rPr>
        <w:t>е</w:t>
      </w:r>
      <w:r w:rsidR="0020772F">
        <w:rPr>
          <w:lang w:val="ru-RU"/>
        </w:rPr>
        <w:t>циалистов</w:t>
      </w:r>
      <w:r w:rsidR="008125AA" w:rsidRPr="00522C60">
        <w:rPr>
          <w:lang w:val="ru-RU"/>
        </w:rPr>
        <w:t>; программа обучения и ознакомления; научно</w:t>
      </w:r>
      <w:r w:rsidR="001756BA">
        <w:rPr>
          <w:lang w:val="ru-RU"/>
        </w:rPr>
        <w:noBreakHyphen/>
      </w:r>
      <w:r w:rsidR="008125AA" w:rsidRPr="00522C60">
        <w:rPr>
          <w:lang w:val="ru-RU"/>
        </w:rPr>
        <w:t>политические диалоги; и поддержка мероприятий, организуемых другими организациями, в поддержку внедрения и использования результатов оценки в различных секторах и укрепления взаимодействия между наукой и политикой на (</w:t>
      </w:r>
      <w:proofErr w:type="spellStart"/>
      <w:r w:rsidR="008125AA" w:rsidRPr="00522C60">
        <w:rPr>
          <w:lang w:val="ru-RU"/>
        </w:rPr>
        <w:t>суб</w:t>
      </w:r>
      <w:proofErr w:type="spellEnd"/>
      <w:r w:rsidR="008125AA" w:rsidRPr="00522C60">
        <w:rPr>
          <w:lang w:val="ru-RU"/>
        </w:rPr>
        <w:t>)региональном и национальном уровнях.</w:t>
      </w:r>
    </w:p>
    <w:p w14:paraId="1DEC0B7F" w14:textId="5FB46903" w:rsidR="008125AA" w:rsidRPr="001623F5" w:rsidRDefault="001623F5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8125AA" w:rsidRPr="001623F5">
        <w:rPr>
          <w:b/>
          <w:bCs/>
          <w:sz w:val="28"/>
          <w:szCs w:val="28"/>
          <w:lang w:val="ru-RU"/>
        </w:rPr>
        <w:t>V.</w:t>
      </w:r>
      <w:r w:rsidR="008125AA" w:rsidRPr="001623F5">
        <w:rPr>
          <w:b/>
          <w:bCs/>
          <w:sz w:val="28"/>
          <w:szCs w:val="28"/>
          <w:lang w:val="ru-RU"/>
        </w:rPr>
        <w:tab/>
        <w:t>Информационная и разъяснительная работа</w:t>
      </w:r>
    </w:p>
    <w:p w14:paraId="0381D37E" w14:textId="65C94984" w:rsidR="008125AA" w:rsidRPr="00522C60" w:rsidRDefault="00F35641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rFonts w:eastAsia="MS Mincho"/>
          <w:lang w:val="ru-RU"/>
        </w:rPr>
      </w:pPr>
      <w:r w:rsidRPr="00F73A1C">
        <w:rPr>
          <w:lang w:val="ru-RU"/>
        </w:rPr>
        <w:t>40.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Доклад об оценке процесса преобразовательных изменений и его резюме для директивных органов будут публиковаться в электронной форме, размещаться на веб-сайте Платформы и популяризироваться через социальные сети Платформы. Резюме для директивных органов будет </w:t>
      </w:r>
      <w:r w:rsidR="00650950">
        <w:rPr>
          <w:lang w:val="ru-RU"/>
        </w:rPr>
        <w:t>иметься</w:t>
      </w:r>
      <w:r w:rsidR="00650950" w:rsidRPr="00522C60">
        <w:rPr>
          <w:lang w:val="ru-RU"/>
        </w:rPr>
        <w:t xml:space="preserve"> </w:t>
      </w:r>
      <w:r w:rsidR="008125AA" w:rsidRPr="00522C60">
        <w:rPr>
          <w:lang w:val="ru-RU"/>
        </w:rPr>
        <w:t>на всех официальных языках Организации Объединенных Наций и по запросу будет изда</w:t>
      </w:r>
      <w:r w:rsidR="00BF0787">
        <w:rPr>
          <w:lang w:val="ru-RU"/>
        </w:rPr>
        <w:t>ваться</w:t>
      </w:r>
      <w:r w:rsidR="008125AA" w:rsidRPr="00522C60">
        <w:rPr>
          <w:lang w:val="ru-RU"/>
        </w:rPr>
        <w:t xml:space="preserve"> в печатном виде при наличии ресурсов. Разъяснительная работа среди </w:t>
      </w:r>
      <w:r w:rsidR="008125AA" w:rsidRPr="00F73A1C">
        <w:rPr>
          <w:lang w:val="ru-RU"/>
        </w:rPr>
        <w:t>широкого</w:t>
      </w:r>
      <w:r w:rsidR="008125AA" w:rsidRPr="00522C60">
        <w:rPr>
          <w:lang w:val="ru-RU"/>
        </w:rPr>
        <w:t xml:space="preserve"> круга заинтересованных сторон, включая</w:t>
      </w:r>
      <w:r w:rsidR="00C44801">
        <w:rPr>
          <w:lang w:val="ru-RU"/>
        </w:rPr>
        <w:t xml:space="preserve"> лиц, принимающих решения</w:t>
      </w:r>
      <w:r w:rsidR="008125AA" w:rsidRPr="00522C60">
        <w:rPr>
          <w:lang w:val="ru-RU"/>
        </w:rPr>
        <w:t xml:space="preserve">, будет основываться на стратегии </w:t>
      </w:r>
      <w:r w:rsidR="00BD779D">
        <w:rPr>
          <w:lang w:val="ru-RU"/>
        </w:rPr>
        <w:t xml:space="preserve">и </w:t>
      </w:r>
      <w:r w:rsidR="00BD779D" w:rsidRPr="00522C60">
        <w:rPr>
          <w:lang w:val="ru-RU"/>
        </w:rPr>
        <w:t xml:space="preserve">бюджете Платформы </w:t>
      </w:r>
      <w:r w:rsidR="008125AA" w:rsidRPr="00522C60">
        <w:rPr>
          <w:lang w:val="ru-RU"/>
        </w:rPr>
        <w:t xml:space="preserve">в области </w:t>
      </w:r>
      <w:r w:rsidR="00BD779D">
        <w:rPr>
          <w:lang w:val="ru-RU"/>
        </w:rPr>
        <w:t>информационной и разъяснительной работы</w:t>
      </w:r>
      <w:r w:rsidR="008125AA" w:rsidRPr="00522C60">
        <w:rPr>
          <w:lang w:val="ru-RU"/>
        </w:rPr>
        <w:t xml:space="preserve">. </w:t>
      </w:r>
    </w:p>
    <w:p w14:paraId="269B3FC6" w14:textId="37AB1B26" w:rsidR="008125AA" w:rsidRPr="00522C60" w:rsidRDefault="00F35641" w:rsidP="00F356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41.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>Информационная и разъяснительная работа будет развернута с самого начала оценки для установления контактов с широкими научными кругами, другими обладателями знаний и конечными пользователями оценки. Двустороннее взаимодействие с пользователями поможет определить вид и спектр информационных материалов и инструментов поддержки политики, которые будут разработаны в ходе оценки.</w:t>
      </w:r>
    </w:p>
    <w:p w14:paraId="2CEA4ED8" w14:textId="5CAA18D4" w:rsidR="008125AA" w:rsidRPr="00F35641" w:rsidRDefault="00F35641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8125AA" w:rsidRPr="00F35641">
        <w:rPr>
          <w:b/>
          <w:bCs/>
          <w:sz w:val="28"/>
          <w:szCs w:val="28"/>
          <w:lang w:val="ru-RU"/>
        </w:rPr>
        <w:t>VI.</w:t>
      </w:r>
      <w:r w:rsidR="008125AA" w:rsidRPr="00F35641">
        <w:rPr>
          <w:b/>
          <w:bCs/>
          <w:sz w:val="28"/>
          <w:szCs w:val="28"/>
          <w:lang w:val="ru-RU"/>
        </w:rPr>
        <w:tab/>
        <w:t>Техническая поддержка</w:t>
      </w:r>
    </w:p>
    <w:p w14:paraId="33DF8BFC" w14:textId="76163B52" w:rsidR="008125AA" w:rsidRPr="00522C60" w:rsidRDefault="00F35641" w:rsidP="00F3564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rFonts w:eastAsia="MS Mincho"/>
          <w:lang w:val="ru-RU"/>
        </w:rPr>
      </w:pPr>
      <w:r w:rsidRPr="00F73A1C">
        <w:rPr>
          <w:lang w:val="ru-RU"/>
        </w:rPr>
        <w:t>42.</w:t>
      </w:r>
      <w:r w:rsidRPr="00F73A1C">
        <w:rPr>
          <w:lang w:val="ru-RU"/>
        </w:rPr>
        <w:tab/>
      </w:r>
      <w:r w:rsidR="008125AA" w:rsidRPr="00522C60">
        <w:rPr>
          <w:lang w:val="ru-RU"/>
        </w:rPr>
        <w:t xml:space="preserve">Техническую поддержку в проведении оценки преобразовательных изменений будет оказывать </w:t>
      </w:r>
      <w:r w:rsidR="00643DD4">
        <w:rPr>
          <w:lang w:val="ru-RU"/>
        </w:rPr>
        <w:t>группа</w:t>
      </w:r>
      <w:r w:rsidR="00643DD4" w:rsidRPr="00522C60">
        <w:rPr>
          <w:lang w:val="ru-RU"/>
        </w:rPr>
        <w:t xml:space="preserve"> </w:t>
      </w:r>
      <w:r w:rsidR="008125AA" w:rsidRPr="00522C60">
        <w:rPr>
          <w:lang w:val="ru-RU"/>
        </w:rPr>
        <w:t>технической поддержки в составе нескольких штатных сотрудников категории специалистов и административных сотрудников. Это подразделение будет работать в тесном сотрудничестве с группами экспертов, проводящими оценки МПБЭУ, а также с целевыми группами МПБЭУ и их соответствующими подразделениями технической поддержки.</w:t>
      </w:r>
      <w:bookmarkStart w:id="5" w:name="_Hlk66092730"/>
      <w:bookmarkEnd w:id="5"/>
    </w:p>
    <w:p w14:paraId="220A2262" w14:textId="46771CA2" w:rsidR="008125AA" w:rsidRPr="00F35641" w:rsidRDefault="00F35641" w:rsidP="00522C60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8125AA" w:rsidRPr="00F35641">
        <w:rPr>
          <w:b/>
          <w:bCs/>
          <w:sz w:val="28"/>
          <w:szCs w:val="28"/>
          <w:lang w:val="ru-RU"/>
        </w:rPr>
        <w:t>VII.</w:t>
      </w:r>
      <w:r w:rsidR="008125AA" w:rsidRPr="00F35641">
        <w:rPr>
          <w:b/>
          <w:bCs/>
          <w:sz w:val="28"/>
          <w:szCs w:val="28"/>
          <w:lang w:val="ru-RU"/>
        </w:rPr>
        <w:tab/>
        <w:t>Процесс и сроки</w:t>
      </w:r>
    </w:p>
    <w:tbl>
      <w:tblPr>
        <w:tblW w:w="830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6836"/>
      </w:tblGrid>
      <w:tr w:rsidR="008125AA" w:rsidRPr="00F35641" w14:paraId="77FF31D4" w14:textId="77777777" w:rsidTr="00F35641">
        <w:trPr>
          <w:trHeight w:val="57"/>
          <w:tblHeader/>
          <w:jc w:val="right"/>
        </w:trPr>
        <w:tc>
          <w:tcPr>
            <w:tcW w:w="1434" w:type="dxa"/>
            <w:tcBorders>
              <w:top w:val="single" w:sz="4" w:space="0" w:color="auto"/>
              <w:bottom w:val="single" w:sz="12" w:space="0" w:color="auto"/>
            </w:tcBorders>
          </w:tcPr>
          <w:p w14:paraId="79D5C94A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F35641">
              <w:rPr>
                <w:i/>
                <w:i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12" w:space="0" w:color="auto"/>
            </w:tcBorders>
          </w:tcPr>
          <w:p w14:paraId="199804DC" w14:textId="4DEEA7FB" w:rsidR="008125AA" w:rsidRPr="00F35641" w:rsidRDefault="00937925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Мероприятия</w:t>
            </w:r>
            <w:r w:rsidRPr="00F35641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8125AA" w:rsidRPr="00F35641">
              <w:rPr>
                <w:i/>
                <w:iCs/>
                <w:sz w:val="18"/>
                <w:szCs w:val="18"/>
                <w:lang w:val="ru-RU"/>
              </w:rPr>
              <w:t>и институциональные механизмы</w:t>
            </w:r>
            <w:r w:rsidR="008125AA" w:rsidRPr="00F35641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8125AA" w:rsidRPr="00F35641" w14:paraId="4A164310" w14:textId="77777777" w:rsidTr="00F35641">
        <w:trPr>
          <w:trHeight w:val="57"/>
          <w:jc w:val="right"/>
        </w:trPr>
        <w:tc>
          <w:tcPr>
            <w:tcW w:w="81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277DEA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5641">
              <w:rPr>
                <w:b/>
                <w:bCs/>
                <w:sz w:val="18"/>
                <w:szCs w:val="18"/>
                <w:lang w:val="ru-RU"/>
              </w:rPr>
              <w:t>2021</w:t>
            </w:r>
            <w:r w:rsidRPr="00F35641">
              <w:rPr>
                <w:sz w:val="18"/>
                <w:szCs w:val="18"/>
                <w:lang w:val="ru-RU"/>
              </w:rPr>
              <w:t xml:space="preserve"> </w:t>
            </w:r>
            <w:r w:rsidRPr="00974C5F">
              <w:rPr>
                <w:b/>
                <w:bCs/>
                <w:sz w:val="18"/>
                <w:szCs w:val="18"/>
                <w:lang w:val="ru-RU"/>
              </w:rPr>
              <w:t>год</w:t>
            </w:r>
          </w:p>
        </w:tc>
      </w:tr>
      <w:tr w:rsidR="008125AA" w:rsidRPr="00F35641" w14:paraId="1F33396C" w14:textId="77777777" w:rsidTr="00F35641">
        <w:trPr>
          <w:trHeight w:val="57"/>
          <w:jc w:val="right"/>
        </w:trPr>
        <w:tc>
          <w:tcPr>
            <w:tcW w:w="14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179A79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Второй квартал</w:t>
            </w: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4B8DEFBE" w14:textId="0CF327CB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Пленуму на его восьмой сессии предлагается одобрить проведение оценки преобразовательных изменений и просить секретариат создать институциональные механизмы, необходимые для практического обеспечения технической поддержки, требуемой для проведения этой оценки</w:t>
            </w:r>
          </w:p>
        </w:tc>
      </w:tr>
      <w:tr w:rsidR="008125AA" w:rsidRPr="00F35641" w14:paraId="55B665D6" w14:textId="77777777" w:rsidTr="00F35641">
        <w:trPr>
          <w:trHeight w:val="57"/>
          <w:jc w:val="right"/>
        </w:trPr>
        <w:tc>
          <w:tcPr>
            <w:tcW w:w="1434" w:type="dxa"/>
            <w:vMerge/>
            <w:shd w:val="clear" w:color="auto" w:fill="auto"/>
          </w:tcPr>
          <w:p w14:paraId="0B2E9F35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6666" w:type="dxa"/>
            <w:shd w:val="clear" w:color="auto" w:fill="auto"/>
          </w:tcPr>
          <w:p w14:paraId="169E65DC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Многодисциплинарная группа экспертов через секретариат просит выдвигать кандидатуры экспертов от правительств и других заинтересованных сторон </w:t>
            </w:r>
          </w:p>
        </w:tc>
      </w:tr>
      <w:tr w:rsidR="008125AA" w:rsidRPr="00F35641" w14:paraId="0A8E3325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516DB66E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Третий квартал</w:t>
            </w:r>
          </w:p>
        </w:tc>
        <w:tc>
          <w:tcPr>
            <w:tcW w:w="6666" w:type="dxa"/>
            <w:shd w:val="clear" w:color="auto" w:fill="auto"/>
          </w:tcPr>
          <w:p w14:paraId="78FC852E" w14:textId="50F5ABD1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В соответствии с процедурами подготовки результатов деятельности МПБЭУ Многодисциплинарная группа экспертов выбирает сопредседателей, ведущих авторов</w:t>
            </w:r>
            <w:r w:rsidR="00357226">
              <w:rPr>
                <w:sz w:val="18"/>
                <w:szCs w:val="18"/>
                <w:lang w:val="ru-RU"/>
              </w:rPr>
              <w:noBreakHyphen/>
            </w:r>
            <w:r w:rsidRPr="00F35641">
              <w:rPr>
                <w:sz w:val="18"/>
                <w:szCs w:val="18"/>
                <w:lang w:val="ru-RU"/>
              </w:rPr>
              <w:t>координаторов, ведущих авторов и редакторов-рецензентов, в том числе путем осуществления процедуры заполнения пробелов в экспертных знаниях</w:t>
            </w:r>
          </w:p>
        </w:tc>
      </w:tr>
      <w:tr w:rsidR="008125AA" w:rsidRPr="00F35641" w14:paraId="6F765572" w14:textId="77777777" w:rsidTr="00F35641">
        <w:trPr>
          <w:trHeight w:val="57"/>
          <w:jc w:val="right"/>
        </w:trPr>
        <w:tc>
          <w:tcPr>
            <w:tcW w:w="1434" w:type="dxa"/>
            <w:vMerge w:val="restart"/>
            <w:shd w:val="clear" w:color="auto" w:fill="auto"/>
          </w:tcPr>
          <w:p w14:paraId="0C4CC89E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666" w:type="dxa"/>
            <w:shd w:val="clear" w:color="auto" w:fill="auto"/>
          </w:tcPr>
          <w:p w14:paraId="78B91562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До сведения кандидатов доводится решение относительно сделанного выбора</w:t>
            </w:r>
          </w:p>
        </w:tc>
      </w:tr>
      <w:tr w:rsidR="008125AA" w:rsidRPr="00F35641" w14:paraId="6F2C75F4" w14:textId="77777777" w:rsidTr="00F35641">
        <w:trPr>
          <w:trHeight w:val="57"/>
          <w:jc w:val="right"/>
        </w:trPr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B8F891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382499C9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Совещание комитета по вопросам управления (в составе сопредседателей и членов Бюро и Многодисциплинарной группы экспертов, которым эти органы поручили участвовать в оценке) для планирования первого совещания авторов</w:t>
            </w:r>
          </w:p>
        </w:tc>
      </w:tr>
      <w:tr w:rsidR="008125AA" w:rsidRPr="00F35641" w14:paraId="3DF16790" w14:textId="77777777" w:rsidTr="00F35641">
        <w:trPr>
          <w:trHeight w:val="57"/>
          <w:jc w:val="right"/>
        </w:trPr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60BDA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5641">
              <w:rPr>
                <w:b/>
                <w:bCs/>
                <w:sz w:val="18"/>
                <w:szCs w:val="18"/>
                <w:lang w:val="ru-RU"/>
              </w:rPr>
              <w:t>2022 год</w:t>
            </w:r>
          </w:p>
        </w:tc>
      </w:tr>
      <w:tr w:rsidR="008125AA" w:rsidRPr="00F35641" w14:paraId="152FCACD" w14:textId="77777777" w:rsidTr="00F35641">
        <w:trPr>
          <w:trHeight w:val="57"/>
          <w:jc w:val="right"/>
        </w:trPr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14:paraId="711ED015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4621AE7D" w14:textId="663D1B98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Первое авторское совещание с участием сопредседателей, ведущих авторов</w:t>
            </w:r>
            <w:r w:rsidR="00E605F2">
              <w:rPr>
                <w:sz w:val="18"/>
                <w:szCs w:val="18"/>
                <w:lang w:val="ru-RU"/>
              </w:rPr>
              <w:noBreakHyphen/>
            </w:r>
            <w:r w:rsidRPr="00F35641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комитета по вопросам управления оценкой</w:t>
            </w:r>
          </w:p>
        </w:tc>
      </w:tr>
      <w:tr w:rsidR="008125AA" w:rsidRPr="00F35641" w14:paraId="08DC52A3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6583E8B2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Первый-третий квартал</w:t>
            </w:r>
          </w:p>
        </w:tc>
        <w:tc>
          <w:tcPr>
            <w:tcW w:w="6666" w:type="dxa"/>
            <w:shd w:val="clear" w:color="auto" w:fill="auto"/>
          </w:tcPr>
          <w:p w14:paraId="1082E6C8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Подготовка проектов глав нулевого и первого порядка </w:t>
            </w:r>
          </w:p>
        </w:tc>
      </w:tr>
      <w:tr w:rsidR="008125AA" w:rsidRPr="00F35641" w14:paraId="48656092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075AF1BD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Четвертый квартал </w:t>
            </w:r>
          </w:p>
        </w:tc>
        <w:tc>
          <w:tcPr>
            <w:tcW w:w="6666" w:type="dxa"/>
            <w:shd w:val="clear" w:color="auto" w:fill="auto"/>
          </w:tcPr>
          <w:p w14:paraId="46F88DD1" w14:textId="10915229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Первый внешний обзор (6 недель) </w:t>
            </w:r>
            <w:r w:rsidR="00357226" w:rsidRPr="00F73A1C">
              <w:rPr>
                <w:sz w:val="18"/>
                <w:szCs w:val="18"/>
                <w:lang w:val="ru-RU"/>
              </w:rPr>
              <w:t>–</w:t>
            </w:r>
            <w:r w:rsidRPr="00F35641">
              <w:rPr>
                <w:sz w:val="18"/>
                <w:szCs w:val="18"/>
                <w:lang w:val="ru-RU"/>
              </w:rPr>
              <w:t xml:space="preserve"> проекты глав предоставляются на рассмотрение экспертов </w:t>
            </w:r>
          </w:p>
        </w:tc>
      </w:tr>
      <w:tr w:rsidR="008125AA" w:rsidRPr="00F35641" w14:paraId="6BAA34E3" w14:textId="77777777" w:rsidTr="00F35641">
        <w:trPr>
          <w:trHeight w:val="57"/>
          <w:jc w:val="right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68C1D" w14:textId="77777777" w:rsidR="008125AA" w:rsidRPr="00F35641" w:rsidRDefault="008125AA" w:rsidP="00F35641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5641">
              <w:rPr>
                <w:b/>
                <w:bCs/>
                <w:sz w:val="18"/>
                <w:szCs w:val="18"/>
                <w:lang w:val="ru-RU"/>
              </w:rPr>
              <w:lastRenderedPageBreak/>
              <w:t>2023 год</w:t>
            </w:r>
          </w:p>
        </w:tc>
      </w:tr>
      <w:tr w:rsidR="008125AA" w:rsidRPr="00F35641" w14:paraId="2E78B0C7" w14:textId="77777777" w:rsidTr="00F35641">
        <w:trPr>
          <w:trHeight w:val="57"/>
          <w:jc w:val="right"/>
        </w:trPr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14:paraId="7BBBC825" w14:textId="77777777" w:rsidR="008125AA" w:rsidRPr="00F35641" w:rsidRDefault="008125AA" w:rsidP="00F35641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Начало третьего квартала</w:t>
            </w: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6DFA31FE" w14:textId="61BC9E0F" w:rsidR="008125AA" w:rsidRPr="00F73A1C" w:rsidRDefault="008125AA" w:rsidP="00F35641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Второе авторское совещание с участием сопредседателей, ведущих авторов</w:t>
            </w:r>
            <w:r w:rsidR="006723F6">
              <w:rPr>
                <w:sz w:val="18"/>
                <w:szCs w:val="18"/>
                <w:lang w:val="ru-RU"/>
              </w:rPr>
              <w:noBreakHyphen/>
            </w:r>
            <w:r w:rsidRPr="00F35641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комитета по вопросам управления оценкой</w:t>
            </w:r>
          </w:p>
          <w:p w14:paraId="325CD589" w14:textId="44E65517" w:rsidR="008125AA" w:rsidRPr="00F73A1C" w:rsidRDefault="008125AA" w:rsidP="00F35641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Параллельно со вторым авторским совещанием: совещание по ускорению подготовки резюме для директивных органов с участием сопредседателей, ведущих авторов</w:t>
            </w:r>
            <w:r w:rsidR="005D592A">
              <w:rPr>
                <w:sz w:val="18"/>
                <w:szCs w:val="18"/>
                <w:lang w:val="ru-RU"/>
              </w:rPr>
              <w:noBreakHyphen/>
            </w:r>
            <w:r w:rsidRPr="00F35641">
              <w:rPr>
                <w:sz w:val="18"/>
                <w:szCs w:val="18"/>
                <w:lang w:val="ru-RU"/>
              </w:rPr>
              <w:t>координаторов, ведущих авторов и членов Бюро и Многодисциплинарной группы экспертов, входящих в состав комитета по вопросам управления оценкой</w:t>
            </w:r>
          </w:p>
        </w:tc>
      </w:tr>
      <w:tr w:rsidR="008125AA" w:rsidRPr="00F35641" w14:paraId="3C345864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67228B1F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Первый-третий квартал</w:t>
            </w:r>
          </w:p>
        </w:tc>
        <w:tc>
          <w:tcPr>
            <w:tcW w:w="6666" w:type="dxa"/>
            <w:shd w:val="clear" w:color="auto" w:fill="auto"/>
          </w:tcPr>
          <w:p w14:paraId="33401362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Подготовка проектов глав второго порядка и проекта резюме для директивных органов первого порядка</w:t>
            </w:r>
          </w:p>
        </w:tc>
      </w:tr>
      <w:tr w:rsidR="008125AA" w:rsidRPr="00F35641" w14:paraId="517E24B8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3F2FBA3D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Второй квартал </w:t>
            </w:r>
          </w:p>
        </w:tc>
        <w:tc>
          <w:tcPr>
            <w:tcW w:w="6666" w:type="dxa"/>
            <w:shd w:val="clear" w:color="auto" w:fill="auto"/>
          </w:tcPr>
          <w:p w14:paraId="25087BB2" w14:textId="230DD621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Рабочее совещание по ускорению подготовки резюме для директивных органов с участием сопредседателей, ведущих авторов-координаторов, ведущих авторов и членов Бюро и Многодисциплинарной группы экспертов, входящих в состав комитета по вопросам управления оценкой</w:t>
            </w:r>
          </w:p>
        </w:tc>
      </w:tr>
      <w:tr w:rsidR="008125AA" w:rsidRPr="00F35641" w14:paraId="49FDE1C6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6F538480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Конец третьего квартала </w:t>
            </w:r>
          </w:p>
        </w:tc>
        <w:tc>
          <w:tcPr>
            <w:tcW w:w="6666" w:type="dxa"/>
            <w:shd w:val="clear" w:color="auto" w:fill="auto"/>
          </w:tcPr>
          <w:p w14:paraId="720F24A6" w14:textId="3592F49A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Второй внешний обзор (8 недель) </w:t>
            </w:r>
            <w:r w:rsidR="00357226" w:rsidRPr="00F73A1C">
              <w:rPr>
                <w:sz w:val="18"/>
                <w:szCs w:val="18"/>
                <w:lang w:val="ru-RU"/>
              </w:rPr>
              <w:t>–</w:t>
            </w:r>
            <w:r w:rsidRPr="00F35641">
              <w:rPr>
                <w:sz w:val="18"/>
                <w:szCs w:val="18"/>
                <w:lang w:val="ru-RU"/>
              </w:rPr>
              <w:t xml:space="preserve"> проекты глав и проект резюме для директивных органов представляются на рассмотрение правительств и экспертов </w:t>
            </w:r>
          </w:p>
        </w:tc>
      </w:tr>
      <w:tr w:rsidR="008125AA" w:rsidRPr="00F35641" w14:paraId="418338C9" w14:textId="77777777" w:rsidTr="00F35641">
        <w:trPr>
          <w:trHeight w:val="57"/>
          <w:jc w:val="right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2BCB514E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31FAF826" w14:textId="69524652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Третье авторское совещание с участием сопредседателей, ведущих авторов</w:t>
            </w:r>
            <w:r w:rsidR="005D592A">
              <w:rPr>
                <w:sz w:val="18"/>
                <w:szCs w:val="18"/>
                <w:lang w:val="ru-RU"/>
              </w:rPr>
              <w:noBreakHyphen/>
            </w:r>
            <w:r w:rsidRPr="00F35641">
              <w:rPr>
                <w:sz w:val="18"/>
                <w:szCs w:val="18"/>
                <w:lang w:val="ru-RU"/>
              </w:rPr>
              <w:t>координаторов, ведущих авторов, редакторов-рецензентов и членов Бюро и Многодисциплинарной группы экспертов, входящих в состав комитета по вопросам управления оценкой</w:t>
            </w:r>
          </w:p>
          <w:p w14:paraId="040EA958" w14:textId="62E68BFD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Параллельно с третьим авторским совещанием: совещание по ускорению подготовки резюме для директивных органов с участием сопредседателей, ведущих авторов</w:t>
            </w:r>
            <w:r w:rsidR="00357226">
              <w:rPr>
                <w:sz w:val="18"/>
                <w:szCs w:val="18"/>
                <w:lang w:val="ru-RU"/>
              </w:rPr>
              <w:noBreakHyphen/>
            </w:r>
            <w:r w:rsidRPr="00F35641">
              <w:rPr>
                <w:sz w:val="18"/>
                <w:szCs w:val="18"/>
                <w:lang w:val="ru-RU"/>
              </w:rPr>
              <w:t>координаторов, ведущих авторов и членов Бюро и Многодисциплинарной группы экспертов, входящих в состав комитета по вопросам управления оценкой</w:t>
            </w:r>
          </w:p>
        </w:tc>
      </w:tr>
      <w:tr w:rsidR="008125AA" w:rsidRPr="00F35641" w14:paraId="71F6253B" w14:textId="77777777" w:rsidTr="00F35641">
        <w:trPr>
          <w:trHeight w:val="57"/>
          <w:jc w:val="right"/>
        </w:trPr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4A1D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5641">
              <w:rPr>
                <w:b/>
                <w:bCs/>
                <w:sz w:val="18"/>
                <w:szCs w:val="18"/>
                <w:lang w:val="ru-RU"/>
              </w:rPr>
              <w:t>2024 год</w:t>
            </w:r>
          </w:p>
        </w:tc>
      </w:tr>
      <w:tr w:rsidR="008125AA" w:rsidRPr="00F35641" w14:paraId="011BFEF9" w14:textId="77777777" w:rsidTr="00F35641">
        <w:trPr>
          <w:trHeight w:val="57"/>
          <w:jc w:val="right"/>
        </w:trPr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14:paraId="0AFF3B74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Первый квартал</w:t>
            </w:r>
          </w:p>
        </w:tc>
        <w:tc>
          <w:tcPr>
            <w:tcW w:w="6666" w:type="dxa"/>
            <w:tcBorders>
              <w:top w:val="single" w:sz="4" w:space="0" w:color="auto"/>
            </w:tcBorders>
            <w:shd w:val="clear" w:color="auto" w:fill="auto"/>
          </w:tcPr>
          <w:p w14:paraId="7C987DB8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Рабочее совещание в онлайн-режиме по подготовке резюме для директивных органов с участием сопредседателей, ведущих авторов-координаторов, ведущих авторов и членов Бюро и Многодисциплинарной группы экспертов, входящих в состав комитета по вопросам управления оценкой</w:t>
            </w:r>
          </w:p>
        </w:tc>
      </w:tr>
      <w:tr w:rsidR="008125AA" w:rsidRPr="00F35641" w14:paraId="63B39F06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2A114524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Третий квартал </w:t>
            </w:r>
          </w:p>
        </w:tc>
        <w:tc>
          <w:tcPr>
            <w:tcW w:w="6666" w:type="dxa"/>
            <w:shd w:val="clear" w:color="auto" w:fill="auto"/>
          </w:tcPr>
          <w:p w14:paraId="73962FC5" w14:textId="18BDF3F0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Заключительный обзор (6 недель) </w:t>
            </w:r>
            <w:r w:rsidR="00357226" w:rsidRPr="00F73A1C">
              <w:rPr>
                <w:sz w:val="18"/>
                <w:szCs w:val="18"/>
                <w:lang w:val="ru-RU"/>
              </w:rPr>
              <w:t>–</w:t>
            </w:r>
            <w:r w:rsidRPr="00F35641">
              <w:rPr>
                <w:sz w:val="18"/>
                <w:szCs w:val="18"/>
                <w:lang w:val="ru-RU"/>
              </w:rPr>
              <w:t xml:space="preserve"> окончательные проекты глав и проект резюме для директивных органов представляются на рассмотрение правительств </w:t>
            </w:r>
          </w:p>
        </w:tc>
      </w:tr>
      <w:tr w:rsidR="008125AA" w:rsidRPr="00F35641" w14:paraId="3735E737" w14:textId="77777777" w:rsidTr="00F35641">
        <w:trPr>
          <w:trHeight w:val="57"/>
          <w:jc w:val="right"/>
        </w:trPr>
        <w:tc>
          <w:tcPr>
            <w:tcW w:w="1434" w:type="dxa"/>
            <w:shd w:val="clear" w:color="auto" w:fill="auto"/>
          </w:tcPr>
          <w:p w14:paraId="7CE8948C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 xml:space="preserve">Начало четвертого квартала </w:t>
            </w:r>
          </w:p>
        </w:tc>
        <w:tc>
          <w:tcPr>
            <w:tcW w:w="6666" w:type="dxa"/>
            <w:shd w:val="clear" w:color="auto" w:fill="auto"/>
          </w:tcPr>
          <w:p w14:paraId="0197CA3B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Рассмотрение Пленумом на его одиннадцатой сессии резюме для директивных органов на предмет утверждения и глав на предмет принятия</w:t>
            </w:r>
          </w:p>
        </w:tc>
      </w:tr>
      <w:tr w:rsidR="008125AA" w:rsidRPr="00F35641" w14:paraId="426BE0F4" w14:textId="77777777" w:rsidTr="00F35641">
        <w:trPr>
          <w:trHeight w:val="57"/>
          <w:jc w:val="right"/>
        </w:trPr>
        <w:tc>
          <w:tcPr>
            <w:tcW w:w="1434" w:type="dxa"/>
            <w:tcBorders>
              <w:bottom w:val="single" w:sz="12" w:space="0" w:color="auto"/>
            </w:tcBorders>
            <w:shd w:val="clear" w:color="auto" w:fill="auto"/>
          </w:tcPr>
          <w:p w14:paraId="29F40226" w14:textId="77777777" w:rsidR="008125AA" w:rsidRPr="00F35641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</w:rPr>
            </w:pPr>
            <w:r w:rsidRPr="00F35641">
              <w:rPr>
                <w:sz w:val="18"/>
                <w:szCs w:val="18"/>
                <w:lang w:val="ru-RU"/>
              </w:rPr>
              <w:t>Четвертый квартал</w:t>
            </w:r>
          </w:p>
        </w:tc>
        <w:tc>
          <w:tcPr>
            <w:tcW w:w="6666" w:type="dxa"/>
            <w:tcBorders>
              <w:bottom w:val="single" w:sz="12" w:space="0" w:color="auto"/>
            </w:tcBorders>
            <w:shd w:val="clear" w:color="auto" w:fill="auto"/>
          </w:tcPr>
          <w:p w14:paraId="11033098" w14:textId="77777777" w:rsidR="008125AA" w:rsidRPr="00F73A1C" w:rsidRDefault="008125AA" w:rsidP="00F35641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F35641">
              <w:rPr>
                <w:sz w:val="18"/>
                <w:szCs w:val="18"/>
                <w:lang w:val="ru-RU"/>
              </w:rPr>
              <w:t>Мероприятия в области информационного обеспечения в связи с оценкой</w:t>
            </w:r>
          </w:p>
        </w:tc>
      </w:tr>
    </w:tbl>
    <w:p w14:paraId="23A3D53E" w14:textId="1EA60C60" w:rsidR="00C95B00" w:rsidRPr="00F338AF" w:rsidRDefault="00357226" w:rsidP="001E01E5">
      <w:pPr>
        <w:pStyle w:val="Normal-pool"/>
        <w:tabs>
          <w:tab w:val="clear" w:pos="624"/>
        </w:tabs>
        <w:spacing w:before="240"/>
        <w:jc w:val="center"/>
      </w:pPr>
      <w:r>
        <w:t>____________________</w:t>
      </w:r>
    </w:p>
    <w:sectPr w:rsidR="00C95B00" w:rsidRPr="00F338AF" w:rsidSect="00C61B30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08905" w14:textId="77777777" w:rsidR="003B289F" w:rsidRDefault="003B289F">
      <w:r>
        <w:separator/>
      </w:r>
    </w:p>
  </w:endnote>
  <w:endnote w:type="continuationSeparator" w:id="0">
    <w:p w14:paraId="57757372" w14:textId="77777777" w:rsidR="003B289F" w:rsidRDefault="003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316A" w14:textId="77777777" w:rsidR="00123699" w:rsidRPr="00DC5E14" w:rsidRDefault="00123699" w:rsidP="00891F79">
    <w:pPr>
      <w:pStyle w:val="Footer-pool"/>
      <w:tabs>
        <w:tab w:val="clear" w:pos="624"/>
        <w:tab w:val="clear" w:pos="4321"/>
        <w:tab w:val="clear" w:pos="8641"/>
      </w:tabs>
      <w:rPr>
        <w:b w:val="0"/>
        <w:bCs/>
      </w:rPr>
    </w:pPr>
    <w:r w:rsidRPr="00DC5E14">
      <w:rPr>
        <w:rStyle w:val="PageNumber"/>
        <w:b/>
        <w:bCs/>
      </w:rPr>
      <w:fldChar w:fldCharType="begin"/>
    </w:r>
    <w:r w:rsidRPr="00DC5E14">
      <w:rPr>
        <w:rStyle w:val="PageNumber"/>
        <w:b/>
        <w:bCs/>
      </w:rPr>
      <w:instrText xml:space="preserve"> PAGE </w:instrText>
    </w:r>
    <w:r w:rsidRPr="00DC5E14">
      <w:rPr>
        <w:rStyle w:val="PageNumber"/>
        <w:b/>
        <w:bCs/>
      </w:rPr>
      <w:fldChar w:fldCharType="separate"/>
    </w:r>
    <w:r w:rsidR="006E40D4">
      <w:rPr>
        <w:rStyle w:val="PageNumber"/>
        <w:b/>
        <w:bCs/>
        <w:noProof/>
      </w:rPr>
      <w:t>2</w:t>
    </w:r>
    <w:r w:rsidRPr="00DC5E14">
      <w:rPr>
        <w:rStyle w:val="PageNumber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833F" w14:textId="77777777" w:rsidR="00123699" w:rsidRPr="00DC5E14" w:rsidRDefault="00123699" w:rsidP="00891F79">
    <w:pPr>
      <w:pStyle w:val="Footer-pool"/>
      <w:tabs>
        <w:tab w:val="clear" w:pos="624"/>
        <w:tab w:val="clear" w:pos="4321"/>
        <w:tab w:val="clear" w:pos="8641"/>
      </w:tabs>
      <w:jc w:val="right"/>
    </w:pPr>
    <w:r w:rsidRPr="00DC5E14">
      <w:rPr>
        <w:rStyle w:val="PageNumber"/>
        <w:b/>
      </w:rPr>
      <w:fldChar w:fldCharType="begin"/>
    </w:r>
    <w:r w:rsidRPr="00DC5E14">
      <w:rPr>
        <w:rStyle w:val="PageNumber"/>
        <w:b/>
      </w:rPr>
      <w:instrText xml:space="preserve"> PAGE </w:instrText>
    </w:r>
    <w:r w:rsidRPr="00DC5E14">
      <w:rPr>
        <w:rStyle w:val="PageNumber"/>
        <w:b/>
      </w:rPr>
      <w:fldChar w:fldCharType="separate"/>
    </w:r>
    <w:r w:rsidR="006E40D4">
      <w:rPr>
        <w:rStyle w:val="PageNumber"/>
        <w:b/>
        <w:noProof/>
      </w:rPr>
      <w:t>3</w:t>
    </w:r>
    <w:r w:rsidRPr="00DC5E14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C1BD" w14:textId="4AB71649" w:rsidR="00C30DB4" w:rsidRPr="00C30DB4" w:rsidRDefault="00C30DB4" w:rsidP="00891F79">
    <w:pPr>
      <w:pStyle w:val="Footer-pool"/>
      <w:tabs>
        <w:tab w:val="clear" w:pos="624"/>
        <w:tab w:val="clear" w:pos="4321"/>
        <w:tab w:val="clear" w:pos="8641"/>
      </w:tabs>
      <w:rPr>
        <w:b w:val="0"/>
        <w:bCs/>
        <w:sz w:val="20"/>
      </w:rPr>
    </w:pPr>
    <w:proofErr w:type="spellStart"/>
    <w:r w:rsidRPr="00C30DB4">
      <w:rPr>
        <w:b w:val="0"/>
        <w:bCs/>
        <w:sz w:val="20"/>
      </w:rPr>
      <w:t>K2100</w:t>
    </w:r>
    <w:r w:rsidR="00F338AF">
      <w:rPr>
        <w:b w:val="0"/>
        <w:bCs/>
        <w:sz w:val="20"/>
      </w:rPr>
      <w:t>78</w:t>
    </w:r>
    <w:r w:rsidR="00891F79">
      <w:rPr>
        <w:b w:val="0"/>
        <w:bCs/>
        <w:sz w:val="20"/>
      </w:rPr>
      <w:t>5</w:t>
    </w:r>
    <w:proofErr w:type="spellEnd"/>
    <w:r w:rsidR="00891F79">
      <w:rPr>
        <w:b w:val="0"/>
        <w:bCs/>
        <w:sz w:val="20"/>
      </w:rPr>
      <w:t xml:space="preserve">      </w:t>
    </w:r>
    <w:r w:rsidR="00EE1F32">
      <w:rPr>
        <w:b w:val="0"/>
        <w:bCs/>
        <w:sz w:val="20"/>
      </w:rPr>
      <w:t>1204</w:t>
    </w:r>
    <w:r w:rsidRPr="00C30DB4">
      <w:rPr>
        <w:b w:val="0"/>
        <w:bCs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8FCC" w14:textId="77777777" w:rsidR="003B289F" w:rsidRPr="00DC5E14" w:rsidRDefault="003B289F" w:rsidP="00DC5E14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DC5E14">
        <w:rPr>
          <w:sz w:val="18"/>
          <w:szCs w:val="18"/>
        </w:rPr>
        <w:separator/>
      </w:r>
    </w:p>
  </w:footnote>
  <w:footnote w:type="continuationSeparator" w:id="0">
    <w:p w14:paraId="63EC63F6" w14:textId="77777777" w:rsidR="003B289F" w:rsidRDefault="003B289F">
      <w:r>
        <w:continuationSeparator/>
      </w:r>
    </w:p>
  </w:footnote>
  <w:footnote w:id="1">
    <w:p w14:paraId="49BEA7C9" w14:textId="40569C20" w:rsidR="00714F6B" w:rsidRPr="00C21CAC" w:rsidRDefault="00714F6B" w:rsidP="00E21E1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>
        <w:rPr>
          <w:lang w:val="ru-RU"/>
        </w:rPr>
        <w:t xml:space="preserve">* </w:t>
      </w:r>
      <w:r w:rsidR="00891F79">
        <w:rPr>
          <w:lang w:val="ru-RU"/>
        </w:rPr>
        <w:tab/>
      </w:r>
      <w:proofErr w:type="spellStart"/>
      <w:r>
        <w:rPr>
          <w:lang w:val="ru-RU"/>
        </w:rPr>
        <w:t>IPBES</w:t>
      </w:r>
      <w:proofErr w:type="spellEnd"/>
      <w:r>
        <w:rPr>
          <w:lang w:val="ru-RU"/>
        </w:rPr>
        <w:t>/8/1.</w:t>
      </w:r>
    </w:p>
  </w:footnote>
  <w:footnote w:id="2">
    <w:p w14:paraId="0499C58B" w14:textId="4657B63C" w:rsidR="00CA45C6" w:rsidRPr="00DF7DCD" w:rsidRDefault="00E21E1C" w:rsidP="00E21E1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Cs/>
          <w:szCs w:val="18"/>
        </w:rPr>
      </w:pPr>
      <w:r w:rsidRPr="00F73A1C">
        <w:rPr>
          <w:lang w:val="ru-RU"/>
        </w:rPr>
        <w:t>**</w:t>
      </w:r>
      <w:r w:rsidRPr="00F73A1C">
        <w:rPr>
          <w:lang w:val="ru-RU"/>
        </w:rPr>
        <w:tab/>
      </w:r>
      <w:r w:rsidR="00CA45C6">
        <w:rPr>
          <w:lang w:val="ru-RU"/>
        </w:rPr>
        <w:t>Настоящий документ издается без официального редактирования.</w:t>
      </w:r>
    </w:p>
  </w:footnote>
  <w:footnote w:id="3">
    <w:p w14:paraId="4227A517" w14:textId="6975CF3C" w:rsidR="0050025E" w:rsidRPr="00C21CAC" w:rsidRDefault="0050025E" w:rsidP="0050025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 xml:space="preserve">Мир, </w:t>
      </w:r>
      <w:r w:rsidRPr="00F73A1C">
        <w:rPr>
          <w:lang w:val="ru-RU"/>
        </w:rPr>
        <w:t>«</w:t>
      </w:r>
      <w:r>
        <w:rPr>
          <w:lang w:val="ru-RU"/>
        </w:rPr>
        <w:t>живущий в гармонии с природой</w:t>
      </w:r>
      <w:r w:rsidRPr="00F73A1C">
        <w:rPr>
          <w:lang w:val="ru-RU"/>
        </w:rPr>
        <w:t>»</w:t>
      </w:r>
      <w:r>
        <w:rPr>
          <w:lang w:val="ru-RU"/>
        </w:rPr>
        <w:t xml:space="preserve">, в котором </w:t>
      </w:r>
      <w:r w:rsidRPr="00F73A1C">
        <w:rPr>
          <w:lang w:val="ru-RU"/>
        </w:rPr>
        <w:t>«</w:t>
      </w:r>
      <w:r>
        <w:rPr>
          <w:lang w:val="ru-RU"/>
        </w:rPr>
        <w:t>к 2050 году биоразнообразие оценивалось бы по достоинству, сохранялось, восстанавливалось и разумно использовалось, поддерживая экосистемные услуги и здоровое состояние планеты и принося выгоды, необходимые для всех людей</w:t>
      </w:r>
      <w:r w:rsidRPr="00F73A1C">
        <w:rPr>
          <w:lang w:val="ru-RU"/>
        </w:rPr>
        <w:t>»</w:t>
      </w:r>
      <w:r>
        <w:rPr>
          <w:lang w:val="ru-RU"/>
        </w:rPr>
        <w:t xml:space="preserve">, решение X/2 Конференции </w:t>
      </w:r>
      <w:r w:rsidR="00B64B9F">
        <w:rPr>
          <w:lang w:val="ru-RU"/>
        </w:rPr>
        <w:t xml:space="preserve">Сторон </w:t>
      </w:r>
      <w:r>
        <w:rPr>
          <w:lang w:val="ru-RU"/>
        </w:rPr>
        <w:t>Конвенции о биологическом разнообразии, приложение.</w:t>
      </w:r>
    </w:p>
  </w:footnote>
  <w:footnote w:id="4">
    <w:p w14:paraId="4691E7B6" w14:textId="041BAC1D" w:rsidR="000B6A6E" w:rsidRPr="00C21CAC" w:rsidRDefault="000B6A6E" w:rsidP="000B6A6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 w:rsidR="00342C38">
        <w:rPr>
          <w:lang w:val="ru-RU"/>
        </w:rPr>
        <w:t>В</w:t>
      </w:r>
      <w:r>
        <w:rPr>
          <w:lang w:val="ru-RU"/>
        </w:rPr>
        <w:t xml:space="preserve"> аналитическом исследовании </w:t>
      </w:r>
      <w:r w:rsidR="006812A6">
        <w:rPr>
          <w:lang w:val="ru-RU"/>
        </w:rPr>
        <w:t>понятие «</w:t>
      </w:r>
      <w:r>
        <w:rPr>
          <w:lang w:val="ru-RU"/>
        </w:rPr>
        <w:t>преобразовательны</w:t>
      </w:r>
      <w:r w:rsidR="006812A6">
        <w:rPr>
          <w:lang w:val="ru-RU"/>
        </w:rPr>
        <w:t>е</w:t>
      </w:r>
      <w:r>
        <w:rPr>
          <w:lang w:val="ru-RU"/>
        </w:rPr>
        <w:t xml:space="preserve"> изменения</w:t>
      </w:r>
      <w:r w:rsidR="006812A6">
        <w:rPr>
          <w:lang w:val="ru-RU"/>
        </w:rPr>
        <w:t>» (на английском языке)</w:t>
      </w:r>
      <w:r>
        <w:rPr>
          <w:lang w:val="ru-RU"/>
        </w:rPr>
        <w:t xml:space="preserve"> </w:t>
      </w:r>
      <w:r w:rsidR="008D4A1D">
        <w:rPr>
          <w:lang w:val="ru-RU"/>
        </w:rPr>
        <w:t xml:space="preserve">используется </w:t>
      </w:r>
      <w:r>
        <w:rPr>
          <w:lang w:val="ru-RU"/>
        </w:rPr>
        <w:t xml:space="preserve">в единственном числе, </w:t>
      </w:r>
      <w:r w:rsidR="008D4A1D">
        <w:rPr>
          <w:lang w:val="ru-RU"/>
        </w:rPr>
        <w:t xml:space="preserve">но </w:t>
      </w:r>
      <w:r>
        <w:rPr>
          <w:lang w:val="ru-RU"/>
        </w:rPr>
        <w:t>включа</w:t>
      </w:r>
      <w:r w:rsidR="008D4A1D">
        <w:rPr>
          <w:lang w:val="ru-RU"/>
        </w:rPr>
        <w:t>е</w:t>
      </w:r>
      <w:r>
        <w:rPr>
          <w:lang w:val="ru-RU"/>
        </w:rPr>
        <w:t>т в себя многие виды изменений.</w:t>
      </w:r>
    </w:p>
  </w:footnote>
  <w:footnote w:id="5">
    <w:p w14:paraId="2E896A6C" w14:textId="7CDE44D2" w:rsidR="000B6A6E" w:rsidRPr="00C21CAC" w:rsidRDefault="000B6A6E" w:rsidP="000B6A6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>МПБЭУ (2019</w:t>
      </w:r>
      <w:r w:rsidR="005324C2">
        <w:rPr>
          <w:lang w:val="ru-RU"/>
        </w:rPr>
        <w:t xml:space="preserve"> год</w:t>
      </w:r>
      <w:r>
        <w:rPr>
          <w:lang w:val="ru-RU"/>
        </w:rPr>
        <w:t xml:space="preserve">): Резюме для директивных органов доклада о глобальной оценке биоразнообразия и экосистемных услуг Межправительственной научно-политической платформы по биоразнообразию и экосистемным услугам, С. </w:t>
      </w:r>
      <w:proofErr w:type="spellStart"/>
      <w:r>
        <w:rPr>
          <w:lang w:val="ru-RU"/>
        </w:rPr>
        <w:t>Диаз</w:t>
      </w:r>
      <w:proofErr w:type="spellEnd"/>
      <w:r>
        <w:rPr>
          <w:lang w:val="ru-RU"/>
        </w:rPr>
        <w:t xml:space="preserve">, Ж. </w:t>
      </w:r>
      <w:proofErr w:type="spellStart"/>
      <w:r>
        <w:rPr>
          <w:lang w:val="ru-RU"/>
        </w:rPr>
        <w:t>Сеттель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Е.С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Брондизио</w:t>
      </w:r>
      <w:proofErr w:type="spellEnd"/>
      <w:r>
        <w:rPr>
          <w:lang w:val="ru-RU"/>
        </w:rPr>
        <w:t xml:space="preserve"> и др. (ред.). Секретариат МПБЭУ, Бонн, Германия. 56 страниц.</w:t>
      </w:r>
    </w:p>
  </w:footnote>
  <w:footnote w:id="6">
    <w:p w14:paraId="44EEC2C4" w14:textId="77777777" w:rsidR="001D0D4A" w:rsidRPr="00F338AF" w:rsidRDefault="001D0D4A" w:rsidP="001D0D4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>Концептуальные рамки МПБЭУ, приложение к решению МПБЭУ-2/4.</w:t>
      </w:r>
    </w:p>
  </w:footnote>
  <w:footnote w:id="7">
    <w:p w14:paraId="07E5031D" w14:textId="77777777" w:rsidR="00F55D11" w:rsidRPr="00F338AF" w:rsidRDefault="00F55D11" w:rsidP="00F55D1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 w:val="19"/>
          <w:szCs w:val="19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>Как указано в резюме для директивных органов доклада о глобальной оценке биоразнообразия и экосистемных услуг.</w:t>
      </w:r>
    </w:p>
  </w:footnote>
  <w:footnote w:id="8">
    <w:p w14:paraId="3FE18BCF" w14:textId="77777777" w:rsidR="00DB2B40" w:rsidRPr="00F338AF" w:rsidRDefault="00DB2B40" w:rsidP="00DB2B4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 xml:space="preserve">Как представлено в разделе I дополнения II к документу </w:t>
      </w:r>
      <w:proofErr w:type="spellStart"/>
      <w:r>
        <w:rPr>
          <w:lang w:val="ru-RU"/>
        </w:rPr>
        <w:t>IPBES</w:t>
      </w:r>
      <w:proofErr w:type="spellEnd"/>
      <w:r>
        <w:rPr>
          <w:lang w:val="ru-RU"/>
        </w:rPr>
        <w:t>/7/6.</w:t>
      </w:r>
    </w:p>
  </w:footnote>
  <w:footnote w:id="9">
    <w:p w14:paraId="6B3FDEFA" w14:textId="77777777" w:rsidR="00DB2B40" w:rsidRPr="00F338AF" w:rsidRDefault="00DB2B40" w:rsidP="00DB2B40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703595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proofErr w:type="spellStart"/>
      <w:r>
        <w:rPr>
          <w:lang w:val="ru-RU"/>
        </w:rPr>
        <w:t>UNEP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IPBES.MI</w:t>
      </w:r>
      <w:proofErr w:type="spellEnd"/>
      <w:r>
        <w:rPr>
          <w:lang w:val="ru-RU"/>
        </w:rPr>
        <w:t>/2/9, приложение I, дополнение I, раздел I.</w:t>
      </w:r>
      <w:bookmarkStart w:id="1" w:name="_Hlk66367883"/>
      <w:bookmarkEnd w:id="1"/>
    </w:p>
  </w:footnote>
  <w:footnote w:id="10">
    <w:p w14:paraId="4AD5DF44" w14:textId="450578CE" w:rsidR="00733F54" w:rsidRPr="00F338AF" w:rsidRDefault="00733F54" w:rsidP="00733F5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38747C">
        <w:rPr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 xml:space="preserve">МПБЭУ (2016 год): Доклад о методологической оценке сценариев и моделей биоразнообразия и экосистемных услуг. С. </w:t>
      </w:r>
      <w:proofErr w:type="spellStart"/>
      <w:r>
        <w:rPr>
          <w:lang w:val="ru-RU"/>
        </w:rPr>
        <w:t>Феррье</w:t>
      </w:r>
      <w:proofErr w:type="spellEnd"/>
      <w:r>
        <w:rPr>
          <w:lang w:val="ru-RU"/>
        </w:rPr>
        <w:t xml:space="preserve">, К. Н. </w:t>
      </w:r>
      <w:proofErr w:type="spellStart"/>
      <w:r>
        <w:rPr>
          <w:lang w:val="ru-RU"/>
        </w:rPr>
        <w:t>Нинан</w:t>
      </w:r>
      <w:proofErr w:type="spellEnd"/>
      <w:r>
        <w:rPr>
          <w:lang w:val="ru-RU"/>
        </w:rPr>
        <w:t xml:space="preserve">, П. </w:t>
      </w:r>
      <w:proofErr w:type="spellStart"/>
      <w:r>
        <w:rPr>
          <w:lang w:val="ru-RU"/>
        </w:rPr>
        <w:t>Лидли</w:t>
      </w:r>
      <w:proofErr w:type="spellEnd"/>
      <w:r>
        <w:rPr>
          <w:lang w:val="ru-RU"/>
        </w:rPr>
        <w:t xml:space="preserve">, Р. </w:t>
      </w:r>
      <w:proofErr w:type="spellStart"/>
      <w:r>
        <w:rPr>
          <w:lang w:val="ru-RU"/>
        </w:rPr>
        <w:t>Алкемад</w:t>
      </w:r>
      <w:proofErr w:type="spellEnd"/>
      <w:r>
        <w:rPr>
          <w:lang w:val="ru-RU"/>
        </w:rPr>
        <w:t xml:space="preserve"> и др. (ред.). Секретариат </w:t>
      </w:r>
      <w:r w:rsidRPr="002B39F7">
        <w:rPr>
          <w:lang w:val="ru-RU"/>
        </w:rPr>
        <w:t>МПБЭУ</w:t>
      </w:r>
      <w:r>
        <w:rPr>
          <w:lang w:val="ru-RU"/>
        </w:rPr>
        <w:t>, Бонн, Германия. 348 страниц.</w:t>
      </w:r>
    </w:p>
  </w:footnote>
  <w:footnote w:id="11">
    <w:p w14:paraId="31EDB04E" w14:textId="6035C7BA" w:rsidR="00733F54" w:rsidRPr="00F338AF" w:rsidRDefault="00733F54" w:rsidP="00733F5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38747C">
        <w:rPr>
          <w:vertAlign w:val="superscript"/>
          <w:lang w:val="ru-RU"/>
        </w:rPr>
        <w:footnoteRef/>
      </w:r>
      <w:r>
        <w:rPr>
          <w:lang w:val="ru-RU"/>
        </w:rPr>
        <w:tab/>
      </w:r>
      <w:r>
        <w:rPr>
          <w:lang w:val="ru-RU"/>
        </w:rPr>
        <w:t xml:space="preserve">Изложено в приложении II к решению МПБЭУ-5/1.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E197" w14:textId="219239FD" w:rsidR="00123699" w:rsidRPr="00DC5E14" w:rsidRDefault="00DC5E14" w:rsidP="00891F79">
    <w:pPr>
      <w:pStyle w:val="Header-pool"/>
      <w:tabs>
        <w:tab w:val="clear" w:pos="624"/>
        <w:tab w:val="clear" w:pos="4536"/>
        <w:tab w:val="clear" w:pos="9072"/>
      </w:tabs>
    </w:pPr>
    <w:proofErr w:type="spellStart"/>
    <w:r w:rsidRPr="00C95B00">
      <w:t>IPBES</w:t>
    </w:r>
    <w:proofErr w:type="spellEnd"/>
    <w:r w:rsidRPr="00C95B00">
      <w:t>/8/</w:t>
    </w:r>
    <w:r w:rsidR="00F338AF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9860" w14:textId="5970BD74" w:rsidR="00123699" w:rsidRPr="00DC5E14" w:rsidRDefault="00DC5E14" w:rsidP="00891F79">
    <w:pPr>
      <w:pStyle w:val="Header-pool"/>
      <w:tabs>
        <w:tab w:val="clear" w:pos="624"/>
        <w:tab w:val="clear" w:pos="4536"/>
        <w:tab w:val="clear" w:pos="9072"/>
      </w:tabs>
      <w:jc w:val="right"/>
    </w:pPr>
    <w:proofErr w:type="spellStart"/>
    <w:r w:rsidRPr="00C95B00">
      <w:t>IPBES</w:t>
    </w:r>
    <w:proofErr w:type="spellEnd"/>
    <w:r w:rsidRPr="00C95B00">
      <w:t>/8/</w:t>
    </w:r>
    <w:r w:rsidR="00F338A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34F"/>
    <w:multiLevelType w:val="hybridMultilevel"/>
    <w:tmpl w:val="369C6424"/>
    <w:lvl w:ilvl="0" w:tplc="F71446F2">
      <w:start w:val="1"/>
      <w:numFmt w:val="decimal"/>
      <w:lvlText w:val="%1.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B776CA36">
      <w:start w:val="1"/>
      <w:numFmt w:val="lowerLetter"/>
      <w:lvlText w:val="%2)"/>
      <w:lvlJc w:val="left"/>
      <w:pPr>
        <w:ind w:left="2687" w:hanging="360"/>
      </w:pPr>
      <w:rPr>
        <w:rFonts w:hint="default"/>
      </w:rPr>
    </w:lvl>
    <w:lvl w:ilvl="2" w:tplc="B24C8A3C">
      <w:start w:val="1"/>
      <w:numFmt w:val="lowerLetter"/>
      <w:lvlText w:val="%3)"/>
      <w:lvlJc w:val="left"/>
      <w:pPr>
        <w:ind w:left="3587" w:hanging="36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>
      <w:start w:val="1"/>
      <w:numFmt w:val="lowerLetter"/>
      <w:lvlText w:val="%5."/>
      <w:lvlJc w:val="left"/>
      <w:pPr>
        <w:ind w:left="4847" w:hanging="360"/>
      </w:pPr>
    </w:lvl>
    <w:lvl w:ilvl="5" w:tplc="0809001B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>
      <w:start w:val="1"/>
      <w:numFmt w:val="lowerLetter"/>
      <w:lvlText w:val="%8."/>
      <w:lvlJc w:val="left"/>
      <w:pPr>
        <w:ind w:left="7007" w:hanging="360"/>
      </w:pPr>
    </w:lvl>
    <w:lvl w:ilvl="8" w:tplc="0809001B">
      <w:start w:val="1"/>
      <w:numFmt w:val="lowerRoman"/>
      <w:lvlText w:val="%9."/>
      <w:lvlJc w:val="right"/>
      <w:pPr>
        <w:ind w:left="7727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0B66EE"/>
    <w:multiLevelType w:val="hybridMultilevel"/>
    <w:tmpl w:val="12E436B0"/>
    <w:lvl w:ilvl="0" w:tplc="F71446F2">
      <w:start w:val="1"/>
      <w:numFmt w:val="decimal"/>
      <w:lvlText w:val="%1.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B776CA36">
      <w:start w:val="1"/>
      <w:numFmt w:val="lowerLetter"/>
      <w:lvlText w:val="%2)"/>
      <w:lvlJc w:val="left"/>
      <w:pPr>
        <w:ind w:left="2687" w:hanging="360"/>
      </w:pPr>
      <w:rPr>
        <w:rFonts w:hint="default"/>
      </w:rPr>
    </w:lvl>
    <w:lvl w:ilvl="2" w:tplc="B24C8A3C">
      <w:start w:val="1"/>
      <w:numFmt w:val="lowerLetter"/>
      <w:lvlText w:val="%3)"/>
      <w:lvlJc w:val="left"/>
      <w:pPr>
        <w:ind w:left="3587" w:hanging="36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>
      <w:start w:val="1"/>
      <w:numFmt w:val="lowerLetter"/>
      <w:lvlText w:val="%5."/>
      <w:lvlJc w:val="left"/>
      <w:pPr>
        <w:ind w:left="4847" w:hanging="360"/>
      </w:pPr>
    </w:lvl>
    <w:lvl w:ilvl="5" w:tplc="0809001B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>
      <w:start w:val="1"/>
      <w:numFmt w:val="lowerLetter"/>
      <w:lvlText w:val="%8."/>
      <w:lvlJc w:val="left"/>
      <w:pPr>
        <w:ind w:left="7007" w:hanging="360"/>
      </w:pPr>
    </w:lvl>
    <w:lvl w:ilvl="8" w:tplc="0809001B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52A66A9D"/>
    <w:multiLevelType w:val="multilevel"/>
    <w:tmpl w:val="81DEBE6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b w:val="0"/>
          <w:bCs w:val="0"/>
        </w:rPr>
      </w:lvl>
    </w:lvlOverride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0"/>
    <w:rsid w:val="000149E6"/>
    <w:rsid w:val="0002109D"/>
    <w:rsid w:val="000247B0"/>
    <w:rsid w:val="00026971"/>
    <w:rsid w:val="00026997"/>
    <w:rsid w:val="00033E0B"/>
    <w:rsid w:val="00035EDE"/>
    <w:rsid w:val="000509B4"/>
    <w:rsid w:val="00054854"/>
    <w:rsid w:val="0006035B"/>
    <w:rsid w:val="00062F7D"/>
    <w:rsid w:val="00071886"/>
    <w:rsid w:val="00073BBE"/>
    <w:rsid w:val="000742BC"/>
    <w:rsid w:val="00082339"/>
    <w:rsid w:val="00082A0C"/>
    <w:rsid w:val="00083504"/>
    <w:rsid w:val="0009640C"/>
    <w:rsid w:val="000B22A2"/>
    <w:rsid w:val="000B6A6E"/>
    <w:rsid w:val="000C2A52"/>
    <w:rsid w:val="000D073D"/>
    <w:rsid w:val="000D33C0"/>
    <w:rsid w:val="000D6941"/>
    <w:rsid w:val="000F08DB"/>
    <w:rsid w:val="00100ED6"/>
    <w:rsid w:val="001036CA"/>
    <w:rsid w:val="001202E3"/>
    <w:rsid w:val="00122272"/>
    <w:rsid w:val="00123699"/>
    <w:rsid w:val="0013059D"/>
    <w:rsid w:val="00131AC1"/>
    <w:rsid w:val="00141A55"/>
    <w:rsid w:val="00142442"/>
    <w:rsid w:val="001446A3"/>
    <w:rsid w:val="0014750B"/>
    <w:rsid w:val="00155395"/>
    <w:rsid w:val="0015736F"/>
    <w:rsid w:val="00160D74"/>
    <w:rsid w:val="001623F5"/>
    <w:rsid w:val="001659F2"/>
    <w:rsid w:val="00167D02"/>
    <w:rsid w:val="0017564A"/>
    <w:rsid w:val="001756BA"/>
    <w:rsid w:val="00181EC8"/>
    <w:rsid w:val="00181F09"/>
    <w:rsid w:val="00184349"/>
    <w:rsid w:val="00185965"/>
    <w:rsid w:val="00195F33"/>
    <w:rsid w:val="001A2350"/>
    <w:rsid w:val="001A2592"/>
    <w:rsid w:val="001A4A76"/>
    <w:rsid w:val="001B1617"/>
    <w:rsid w:val="001B504B"/>
    <w:rsid w:val="001B5744"/>
    <w:rsid w:val="001C0F51"/>
    <w:rsid w:val="001D0D4A"/>
    <w:rsid w:val="001D3874"/>
    <w:rsid w:val="001D7E75"/>
    <w:rsid w:val="001E01E5"/>
    <w:rsid w:val="001E56D2"/>
    <w:rsid w:val="001E7D56"/>
    <w:rsid w:val="001F75DE"/>
    <w:rsid w:val="00200D58"/>
    <w:rsid w:val="002013BE"/>
    <w:rsid w:val="002063A4"/>
    <w:rsid w:val="00206A17"/>
    <w:rsid w:val="0020772F"/>
    <w:rsid w:val="00210E5D"/>
    <w:rsid w:val="0021145B"/>
    <w:rsid w:val="0021454B"/>
    <w:rsid w:val="0023515A"/>
    <w:rsid w:val="00243D36"/>
    <w:rsid w:val="00247707"/>
    <w:rsid w:val="0026018E"/>
    <w:rsid w:val="0026368A"/>
    <w:rsid w:val="0026771C"/>
    <w:rsid w:val="00277837"/>
    <w:rsid w:val="00281784"/>
    <w:rsid w:val="00286740"/>
    <w:rsid w:val="002929D8"/>
    <w:rsid w:val="002A237D"/>
    <w:rsid w:val="002A2427"/>
    <w:rsid w:val="002A32CF"/>
    <w:rsid w:val="002A43EB"/>
    <w:rsid w:val="002A4C53"/>
    <w:rsid w:val="002B0672"/>
    <w:rsid w:val="002B247F"/>
    <w:rsid w:val="002B39F7"/>
    <w:rsid w:val="002B624F"/>
    <w:rsid w:val="002C082E"/>
    <w:rsid w:val="002C145D"/>
    <w:rsid w:val="002C2C3E"/>
    <w:rsid w:val="002C533E"/>
    <w:rsid w:val="002D027F"/>
    <w:rsid w:val="002D7A85"/>
    <w:rsid w:val="002D7B60"/>
    <w:rsid w:val="002E18FF"/>
    <w:rsid w:val="002F02FB"/>
    <w:rsid w:val="002F2B58"/>
    <w:rsid w:val="002F4761"/>
    <w:rsid w:val="002F5C79"/>
    <w:rsid w:val="003019E2"/>
    <w:rsid w:val="00311B98"/>
    <w:rsid w:val="0031413F"/>
    <w:rsid w:val="003148BB"/>
    <w:rsid w:val="00315F05"/>
    <w:rsid w:val="00317976"/>
    <w:rsid w:val="00342C38"/>
    <w:rsid w:val="00343BDE"/>
    <w:rsid w:val="003544F0"/>
    <w:rsid w:val="00355EA9"/>
    <w:rsid w:val="00357226"/>
    <w:rsid w:val="003578DE"/>
    <w:rsid w:val="00367AB7"/>
    <w:rsid w:val="0038747C"/>
    <w:rsid w:val="00387920"/>
    <w:rsid w:val="00396257"/>
    <w:rsid w:val="00397EB8"/>
    <w:rsid w:val="003A07F7"/>
    <w:rsid w:val="003A1E1B"/>
    <w:rsid w:val="003A4FD0"/>
    <w:rsid w:val="003A69D1"/>
    <w:rsid w:val="003A7705"/>
    <w:rsid w:val="003A77F1"/>
    <w:rsid w:val="003B1545"/>
    <w:rsid w:val="003B289F"/>
    <w:rsid w:val="003C409D"/>
    <w:rsid w:val="003C5BA6"/>
    <w:rsid w:val="003C6F55"/>
    <w:rsid w:val="003D45CB"/>
    <w:rsid w:val="003F0E85"/>
    <w:rsid w:val="003F4C99"/>
    <w:rsid w:val="003F539E"/>
    <w:rsid w:val="00410C55"/>
    <w:rsid w:val="004118FF"/>
    <w:rsid w:val="00416854"/>
    <w:rsid w:val="00417725"/>
    <w:rsid w:val="004246A7"/>
    <w:rsid w:val="00437F26"/>
    <w:rsid w:val="00441BDD"/>
    <w:rsid w:val="00444097"/>
    <w:rsid w:val="00445487"/>
    <w:rsid w:val="00454769"/>
    <w:rsid w:val="004652B0"/>
    <w:rsid w:val="00466991"/>
    <w:rsid w:val="004677A5"/>
    <w:rsid w:val="0047064C"/>
    <w:rsid w:val="004718AD"/>
    <w:rsid w:val="004815DB"/>
    <w:rsid w:val="00485AAD"/>
    <w:rsid w:val="004A42E1"/>
    <w:rsid w:val="004B162C"/>
    <w:rsid w:val="004B7F10"/>
    <w:rsid w:val="004C089E"/>
    <w:rsid w:val="004C3DBE"/>
    <w:rsid w:val="004C5C96"/>
    <w:rsid w:val="004D06A4"/>
    <w:rsid w:val="004F1A81"/>
    <w:rsid w:val="0050025E"/>
    <w:rsid w:val="00504DC7"/>
    <w:rsid w:val="00521561"/>
    <w:rsid w:val="005218D9"/>
    <w:rsid w:val="00522C60"/>
    <w:rsid w:val="0053149D"/>
    <w:rsid w:val="005324C2"/>
    <w:rsid w:val="00534B14"/>
    <w:rsid w:val="00536186"/>
    <w:rsid w:val="00541C12"/>
    <w:rsid w:val="00544CBB"/>
    <w:rsid w:val="00560AF0"/>
    <w:rsid w:val="0057315F"/>
    <w:rsid w:val="00576104"/>
    <w:rsid w:val="005831EF"/>
    <w:rsid w:val="00592D18"/>
    <w:rsid w:val="00594970"/>
    <w:rsid w:val="0059796D"/>
    <w:rsid w:val="005B6938"/>
    <w:rsid w:val="005C67C8"/>
    <w:rsid w:val="005D0249"/>
    <w:rsid w:val="005D2C94"/>
    <w:rsid w:val="005D592A"/>
    <w:rsid w:val="005D6E8C"/>
    <w:rsid w:val="005F100C"/>
    <w:rsid w:val="005F68DA"/>
    <w:rsid w:val="00601132"/>
    <w:rsid w:val="0060773B"/>
    <w:rsid w:val="00610AC9"/>
    <w:rsid w:val="00613F60"/>
    <w:rsid w:val="006157B5"/>
    <w:rsid w:val="00626FC6"/>
    <w:rsid w:val="006303B4"/>
    <w:rsid w:val="00633D3D"/>
    <w:rsid w:val="00641703"/>
    <w:rsid w:val="006431A6"/>
    <w:rsid w:val="00643DD4"/>
    <w:rsid w:val="006459F6"/>
    <w:rsid w:val="006501AD"/>
    <w:rsid w:val="00650950"/>
    <w:rsid w:val="00651BFA"/>
    <w:rsid w:val="00654475"/>
    <w:rsid w:val="00665A4B"/>
    <w:rsid w:val="00670FD5"/>
    <w:rsid w:val="006723F6"/>
    <w:rsid w:val="006812A6"/>
    <w:rsid w:val="00687DAD"/>
    <w:rsid w:val="00692E2A"/>
    <w:rsid w:val="00693108"/>
    <w:rsid w:val="006A17B1"/>
    <w:rsid w:val="006A453E"/>
    <w:rsid w:val="006A76F2"/>
    <w:rsid w:val="006D7EFB"/>
    <w:rsid w:val="006E3ACE"/>
    <w:rsid w:val="006E40D4"/>
    <w:rsid w:val="006E6672"/>
    <w:rsid w:val="006E6722"/>
    <w:rsid w:val="006F4E68"/>
    <w:rsid w:val="007027B9"/>
    <w:rsid w:val="00703595"/>
    <w:rsid w:val="00714F6B"/>
    <w:rsid w:val="00715E88"/>
    <w:rsid w:val="00716BB6"/>
    <w:rsid w:val="00720F4A"/>
    <w:rsid w:val="007316B2"/>
    <w:rsid w:val="00733F54"/>
    <w:rsid w:val="00734CAA"/>
    <w:rsid w:val="00737CEB"/>
    <w:rsid w:val="0075533C"/>
    <w:rsid w:val="00757581"/>
    <w:rsid w:val="007611A0"/>
    <w:rsid w:val="00774303"/>
    <w:rsid w:val="00781B5E"/>
    <w:rsid w:val="007868C1"/>
    <w:rsid w:val="00790C02"/>
    <w:rsid w:val="0079342A"/>
    <w:rsid w:val="00796D3F"/>
    <w:rsid w:val="007A1683"/>
    <w:rsid w:val="007A5C12"/>
    <w:rsid w:val="007A7CB0"/>
    <w:rsid w:val="007B68A3"/>
    <w:rsid w:val="007C2541"/>
    <w:rsid w:val="007C73B8"/>
    <w:rsid w:val="007D66A8"/>
    <w:rsid w:val="007D7CA4"/>
    <w:rsid w:val="007E003F"/>
    <w:rsid w:val="007F594E"/>
    <w:rsid w:val="008066B2"/>
    <w:rsid w:val="008125AA"/>
    <w:rsid w:val="008164F2"/>
    <w:rsid w:val="00821395"/>
    <w:rsid w:val="0082156A"/>
    <w:rsid w:val="008248CF"/>
    <w:rsid w:val="00830E26"/>
    <w:rsid w:val="00834AD6"/>
    <w:rsid w:val="00843576"/>
    <w:rsid w:val="00843B64"/>
    <w:rsid w:val="008478FC"/>
    <w:rsid w:val="0086162D"/>
    <w:rsid w:val="00863E8B"/>
    <w:rsid w:val="00863F84"/>
    <w:rsid w:val="008646BA"/>
    <w:rsid w:val="00866080"/>
    <w:rsid w:val="00867BFF"/>
    <w:rsid w:val="008737B4"/>
    <w:rsid w:val="008737FD"/>
    <w:rsid w:val="0088480A"/>
    <w:rsid w:val="0088757A"/>
    <w:rsid w:val="00890B86"/>
    <w:rsid w:val="00891F79"/>
    <w:rsid w:val="008957DD"/>
    <w:rsid w:val="00897D98"/>
    <w:rsid w:val="008A6DF2"/>
    <w:rsid w:val="008A77A8"/>
    <w:rsid w:val="008A7807"/>
    <w:rsid w:val="008B041A"/>
    <w:rsid w:val="008B0776"/>
    <w:rsid w:val="008B1F54"/>
    <w:rsid w:val="008B4429"/>
    <w:rsid w:val="008B4CC9"/>
    <w:rsid w:val="008D2AEF"/>
    <w:rsid w:val="008D4A1D"/>
    <w:rsid w:val="008D7C99"/>
    <w:rsid w:val="008E0FCB"/>
    <w:rsid w:val="008E5AD1"/>
    <w:rsid w:val="008F3529"/>
    <w:rsid w:val="008F7746"/>
    <w:rsid w:val="0091137A"/>
    <w:rsid w:val="0092178C"/>
    <w:rsid w:val="00930B88"/>
    <w:rsid w:val="0093708B"/>
    <w:rsid w:val="00937925"/>
    <w:rsid w:val="00940DCC"/>
    <w:rsid w:val="0094179A"/>
    <w:rsid w:val="009422CC"/>
    <w:rsid w:val="0094459E"/>
    <w:rsid w:val="00944DBC"/>
    <w:rsid w:val="00950977"/>
    <w:rsid w:val="009513F1"/>
    <w:rsid w:val="00951A7B"/>
    <w:rsid w:val="0095448F"/>
    <w:rsid w:val="009564A6"/>
    <w:rsid w:val="00957F33"/>
    <w:rsid w:val="0096071E"/>
    <w:rsid w:val="00967621"/>
    <w:rsid w:val="00967E6A"/>
    <w:rsid w:val="00970A16"/>
    <w:rsid w:val="00974C5F"/>
    <w:rsid w:val="009A325A"/>
    <w:rsid w:val="009A3B85"/>
    <w:rsid w:val="009B4A0F"/>
    <w:rsid w:val="009B6B1C"/>
    <w:rsid w:val="009C11D2"/>
    <w:rsid w:val="009C1E58"/>
    <w:rsid w:val="009C25B9"/>
    <w:rsid w:val="009C2CC4"/>
    <w:rsid w:val="009C5F48"/>
    <w:rsid w:val="009C6C70"/>
    <w:rsid w:val="009D0B63"/>
    <w:rsid w:val="009D36EE"/>
    <w:rsid w:val="009E307E"/>
    <w:rsid w:val="00A00607"/>
    <w:rsid w:val="00A07870"/>
    <w:rsid w:val="00A07F19"/>
    <w:rsid w:val="00A12260"/>
    <w:rsid w:val="00A12F09"/>
    <w:rsid w:val="00A1348D"/>
    <w:rsid w:val="00A22F5E"/>
    <w:rsid w:val="00A232EE"/>
    <w:rsid w:val="00A24150"/>
    <w:rsid w:val="00A328C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1FC"/>
    <w:rsid w:val="00A72247"/>
    <w:rsid w:val="00A72437"/>
    <w:rsid w:val="00A80611"/>
    <w:rsid w:val="00A914C2"/>
    <w:rsid w:val="00A94AB6"/>
    <w:rsid w:val="00AA13D0"/>
    <w:rsid w:val="00AA2D5B"/>
    <w:rsid w:val="00AB1BE1"/>
    <w:rsid w:val="00AB5340"/>
    <w:rsid w:val="00AC0A89"/>
    <w:rsid w:val="00AC7C96"/>
    <w:rsid w:val="00AE237D"/>
    <w:rsid w:val="00AE502A"/>
    <w:rsid w:val="00AF7C07"/>
    <w:rsid w:val="00B1674A"/>
    <w:rsid w:val="00B22C93"/>
    <w:rsid w:val="00B27589"/>
    <w:rsid w:val="00B405B7"/>
    <w:rsid w:val="00B44EFA"/>
    <w:rsid w:val="00B52222"/>
    <w:rsid w:val="00B54FE7"/>
    <w:rsid w:val="00B64B9F"/>
    <w:rsid w:val="00B66901"/>
    <w:rsid w:val="00B71E6D"/>
    <w:rsid w:val="00B72070"/>
    <w:rsid w:val="00B779E1"/>
    <w:rsid w:val="00B91EE1"/>
    <w:rsid w:val="00B9317F"/>
    <w:rsid w:val="00BA0090"/>
    <w:rsid w:val="00BA1A67"/>
    <w:rsid w:val="00BB66AF"/>
    <w:rsid w:val="00BD779D"/>
    <w:rsid w:val="00BE5B5F"/>
    <w:rsid w:val="00BF0787"/>
    <w:rsid w:val="00BF6FB4"/>
    <w:rsid w:val="00C00C30"/>
    <w:rsid w:val="00C01D25"/>
    <w:rsid w:val="00C13203"/>
    <w:rsid w:val="00C21CAC"/>
    <w:rsid w:val="00C26F55"/>
    <w:rsid w:val="00C3081F"/>
    <w:rsid w:val="00C30C63"/>
    <w:rsid w:val="00C30DB4"/>
    <w:rsid w:val="00C36B8B"/>
    <w:rsid w:val="00C376D9"/>
    <w:rsid w:val="00C415C1"/>
    <w:rsid w:val="00C44801"/>
    <w:rsid w:val="00C47DBF"/>
    <w:rsid w:val="00C552FF"/>
    <w:rsid w:val="00C558DA"/>
    <w:rsid w:val="00C55AF3"/>
    <w:rsid w:val="00C61B30"/>
    <w:rsid w:val="00C84759"/>
    <w:rsid w:val="00C95B00"/>
    <w:rsid w:val="00CA45C6"/>
    <w:rsid w:val="00CA6C7F"/>
    <w:rsid w:val="00CB1A96"/>
    <w:rsid w:val="00CB4901"/>
    <w:rsid w:val="00CB76C9"/>
    <w:rsid w:val="00CC0500"/>
    <w:rsid w:val="00CC10A6"/>
    <w:rsid w:val="00CC5885"/>
    <w:rsid w:val="00CD54D1"/>
    <w:rsid w:val="00CD5EB8"/>
    <w:rsid w:val="00CD7044"/>
    <w:rsid w:val="00CD7DB9"/>
    <w:rsid w:val="00CE08B9"/>
    <w:rsid w:val="00CE524C"/>
    <w:rsid w:val="00CF141F"/>
    <w:rsid w:val="00CF4777"/>
    <w:rsid w:val="00D00B7B"/>
    <w:rsid w:val="00D067BB"/>
    <w:rsid w:val="00D06DDD"/>
    <w:rsid w:val="00D1352A"/>
    <w:rsid w:val="00D1507B"/>
    <w:rsid w:val="00D15E53"/>
    <w:rsid w:val="00D169AF"/>
    <w:rsid w:val="00D25249"/>
    <w:rsid w:val="00D44172"/>
    <w:rsid w:val="00D4626C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954C8"/>
    <w:rsid w:val="00DA1BCA"/>
    <w:rsid w:val="00DB2B40"/>
    <w:rsid w:val="00DB6FC9"/>
    <w:rsid w:val="00DC3AB1"/>
    <w:rsid w:val="00DC46FF"/>
    <w:rsid w:val="00DC5254"/>
    <w:rsid w:val="00DC5E14"/>
    <w:rsid w:val="00DD1A4F"/>
    <w:rsid w:val="00DD3107"/>
    <w:rsid w:val="00DD7C2C"/>
    <w:rsid w:val="00DF1132"/>
    <w:rsid w:val="00E06797"/>
    <w:rsid w:val="00E069C2"/>
    <w:rsid w:val="00E1265B"/>
    <w:rsid w:val="00E13B48"/>
    <w:rsid w:val="00E1404F"/>
    <w:rsid w:val="00E21C83"/>
    <w:rsid w:val="00E21E1C"/>
    <w:rsid w:val="00E24ADA"/>
    <w:rsid w:val="00E32F59"/>
    <w:rsid w:val="00E358CC"/>
    <w:rsid w:val="00E43B07"/>
    <w:rsid w:val="00E46D9A"/>
    <w:rsid w:val="00E565FF"/>
    <w:rsid w:val="00E605F2"/>
    <w:rsid w:val="00E60AF8"/>
    <w:rsid w:val="00E65388"/>
    <w:rsid w:val="00E721F1"/>
    <w:rsid w:val="00E81B83"/>
    <w:rsid w:val="00E85B7D"/>
    <w:rsid w:val="00E9121B"/>
    <w:rsid w:val="00E953D0"/>
    <w:rsid w:val="00E97B38"/>
    <w:rsid w:val="00EA0AE2"/>
    <w:rsid w:val="00EA39E5"/>
    <w:rsid w:val="00EC1FC6"/>
    <w:rsid w:val="00EC5A46"/>
    <w:rsid w:val="00EC63E2"/>
    <w:rsid w:val="00ED7917"/>
    <w:rsid w:val="00EE1F32"/>
    <w:rsid w:val="00EF22B3"/>
    <w:rsid w:val="00EF57A9"/>
    <w:rsid w:val="00EF7090"/>
    <w:rsid w:val="00F0272A"/>
    <w:rsid w:val="00F03B69"/>
    <w:rsid w:val="00F07A50"/>
    <w:rsid w:val="00F113DA"/>
    <w:rsid w:val="00F11467"/>
    <w:rsid w:val="00F14E62"/>
    <w:rsid w:val="00F31E2D"/>
    <w:rsid w:val="00F338AF"/>
    <w:rsid w:val="00F35641"/>
    <w:rsid w:val="00F37DC8"/>
    <w:rsid w:val="00F42349"/>
    <w:rsid w:val="00F42A08"/>
    <w:rsid w:val="00F439B3"/>
    <w:rsid w:val="00F467F6"/>
    <w:rsid w:val="00F55D11"/>
    <w:rsid w:val="00F56711"/>
    <w:rsid w:val="00F650C3"/>
    <w:rsid w:val="00F65D85"/>
    <w:rsid w:val="00F72D0F"/>
    <w:rsid w:val="00F73A1C"/>
    <w:rsid w:val="00F76D61"/>
    <w:rsid w:val="00F8091E"/>
    <w:rsid w:val="00F8615C"/>
    <w:rsid w:val="00F969E5"/>
    <w:rsid w:val="00FA0880"/>
    <w:rsid w:val="00FA6BB0"/>
    <w:rsid w:val="00FB507A"/>
    <w:rsid w:val="00FB56DF"/>
    <w:rsid w:val="00FC2F0F"/>
    <w:rsid w:val="00FC514C"/>
    <w:rsid w:val="00FD47B9"/>
    <w:rsid w:val="00FD5860"/>
    <w:rsid w:val="00FE29E3"/>
    <w:rsid w:val="00FE352D"/>
    <w:rsid w:val="00FE40EB"/>
    <w:rsid w:val="00FE4D02"/>
    <w:rsid w:val="00FE7D62"/>
    <w:rsid w:val="00FF28D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49B7E"/>
  <w15:docId w15:val="{C7AD0B85-787E-414E-9BC9-E968B5A3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qFormat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C95B0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C95B0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C95B00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C95B00"/>
    <w:pPr>
      <w:tabs>
        <w:tab w:val="left" w:pos="624"/>
      </w:tabs>
    </w:pPr>
    <w:rPr>
      <w:lang w:eastAsia="en-US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pool"/>
    <w:link w:val="FootnoteTextChar"/>
    <w:uiPriority w:val="99"/>
    <w:qFormat/>
    <w:rsid w:val="000D6941"/>
    <w:pPr>
      <w:spacing w:before="20" w:after="40"/>
      <w:ind w:left="1247"/>
    </w:pPr>
    <w:rPr>
      <w:sz w:val="18"/>
    </w:rPr>
  </w:style>
  <w:style w:type="table" w:styleId="TableGrid">
    <w:name w:val="Table Grid"/>
    <w:basedOn w:val="TableNormal"/>
    <w:rsid w:val="00C95B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0D073D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qFormat/>
    <w:rsid w:val="00DC5E14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Normal-poolChar">
    <w:name w:val="Normal-pool Char"/>
    <w:link w:val="Normal-pool"/>
    <w:rsid w:val="00DC5E14"/>
    <w:rPr>
      <w:lang w:eastAsia="en-US"/>
    </w:rPr>
  </w:style>
  <w:style w:type="paragraph" w:styleId="BalloonText">
    <w:name w:val="Balloon Text"/>
    <w:basedOn w:val="Normal"/>
    <w:link w:val="BalloonTextChar"/>
    <w:rsid w:val="00DC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5E14"/>
    <w:rPr>
      <w:rFonts w:ascii="Segoe UI" w:hAnsi="Segoe UI" w:cs="Segoe UI"/>
      <w:sz w:val="18"/>
      <w:szCs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E953D0"/>
    <w:pPr>
      <w:ind w:left="720"/>
      <w:contextualSpacing/>
    </w:p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link w:val="FootnoteText"/>
    <w:uiPriority w:val="99"/>
    <w:rsid w:val="00714F6B"/>
    <w:rPr>
      <w:sz w:val="18"/>
      <w:lang w:val="fr-FR" w:eastAsia="en-US"/>
    </w:rPr>
  </w:style>
  <w:style w:type="character" w:customStyle="1" w:styleId="NormalnumberChar">
    <w:name w:val="Normal_number Char"/>
    <w:link w:val="Normalnumber"/>
    <w:rsid w:val="008125AA"/>
    <w:rPr>
      <w:lang w:eastAsia="en-US"/>
    </w:rPr>
  </w:style>
  <w:style w:type="character" w:customStyle="1" w:styleId="CH2Char">
    <w:name w:val="CH2 Char"/>
    <w:link w:val="CH2"/>
    <w:rsid w:val="008125AA"/>
    <w:rPr>
      <w:b/>
      <w:sz w:val="24"/>
      <w:szCs w:val="24"/>
      <w:lang w:eastAsia="en-US"/>
    </w:rPr>
  </w:style>
  <w:style w:type="character" w:styleId="CommentReference">
    <w:name w:val="annotation reference"/>
    <w:uiPriority w:val="99"/>
    <w:rsid w:val="008125AA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F57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57A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EF57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F57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2021-04-16T10:21:53Z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1D3E-9F64-49EA-83D7-03C8463AF2D1}"/>
</file>

<file path=customXml/itemProps2.xml><?xml version="1.0" encoding="utf-8"?>
<ds:datastoreItem xmlns:ds="http://schemas.openxmlformats.org/officeDocument/2006/customXml" ds:itemID="{F8908B8C-11F4-4804-BE5B-21582E21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AD601-5214-4AA2-AD31-06C322093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1438DA-58C9-4BD9-8E46-B6821DF8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6826</Words>
  <Characters>38914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Tamara Olago</cp:lastModifiedBy>
  <cp:revision>3</cp:revision>
  <cp:lastPrinted>2021-04-12T07:18:00Z</cp:lastPrinted>
  <dcterms:created xsi:type="dcterms:W3CDTF">2021-04-12T07:01:00Z</dcterms:created>
  <dcterms:modified xsi:type="dcterms:W3CDTF">2021-04-12T07:19:00Z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andrei.maslov</vt:lpwstr>
  </property>
  <property fmtid="{D5CDD505-2E9C-101B-9397-08002B2CF9AE}" pid="5" name="GeneratedDate">
    <vt:lpwstr>03/20/2021 09:57:10</vt:lpwstr>
  </property>
  <property fmtid="{D5CDD505-2E9C-101B-9397-08002B2CF9AE}" pid="6" name="OriginalDocID">
    <vt:lpwstr>3882418b-4f36-473b-a445-0aee1a73838b</vt:lpwstr>
  </property>
</Properties>
</file>