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1D175B" w:rsidRPr="00C5575D" w14:paraId="32F38719" w14:textId="77777777" w:rsidTr="00385FC3">
        <w:trPr>
          <w:cantSplit/>
          <w:trHeight w:val="57"/>
          <w:jc w:val="right"/>
        </w:trPr>
        <w:tc>
          <w:tcPr>
            <w:tcW w:w="1489" w:type="dxa"/>
          </w:tcPr>
          <w:p w14:paraId="3F822686" w14:textId="77777777" w:rsidR="001D175B" w:rsidRPr="003854ED" w:rsidRDefault="001D175B" w:rsidP="00BD2801">
            <w:pPr>
              <w:pStyle w:val="Normal-pool"/>
            </w:pPr>
            <w:r>
              <w:rPr>
                <w:rFonts w:ascii="Arial" w:hAnsi="Arial" w:cs="Arial"/>
                <w:b/>
                <w:sz w:val="27"/>
                <w:szCs w:val="27"/>
              </w:rPr>
              <w:t xml:space="preserve">NATIONS </w:t>
            </w:r>
            <w:r>
              <w:rPr>
                <w:rFonts w:ascii="Arial" w:hAnsi="Arial" w:cs="Arial"/>
                <w:b/>
                <w:sz w:val="27"/>
                <w:szCs w:val="27"/>
              </w:rPr>
              <w:br/>
              <w:t>UNIES</w:t>
            </w:r>
          </w:p>
        </w:tc>
        <w:tc>
          <w:tcPr>
            <w:tcW w:w="6449" w:type="dxa"/>
            <w:gridSpan w:val="3"/>
          </w:tcPr>
          <w:p w14:paraId="7F0CA776" w14:textId="77777777" w:rsidR="001D175B" w:rsidRPr="003854ED" w:rsidRDefault="001D175B" w:rsidP="00BD2801">
            <w:pPr>
              <w:pStyle w:val="Normal-pool"/>
              <w:spacing w:before="20"/>
              <w:ind w:left="-113"/>
            </w:pPr>
            <w:r>
              <w:rPr>
                <w:noProof/>
              </w:rPr>
              <w:drawing>
                <wp:inline distT="0" distB="0" distL="0" distR="0" wp14:anchorId="66981C05" wp14:editId="7477E1E7">
                  <wp:extent cx="3957955" cy="434975"/>
                  <wp:effectExtent l="0" t="0" r="444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UNEP-UNESCO-FAO-UNDP_F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7955" cy="434975"/>
                          </a:xfrm>
                          <a:prstGeom prst="rect">
                            <a:avLst/>
                          </a:prstGeom>
                        </pic:spPr>
                      </pic:pic>
                    </a:graphicData>
                  </a:graphic>
                </wp:inline>
              </w:drawing>
            </w:r>
          </w:p>
        </w:tc>
        <w:tc>
          <w:tcPr>
            <w:tcW w:w="1558" w:type="dxa"/>
          </w:tcPr>
          <w:p w14:paraId="23815055" w14:textId="77777777" w:rsidR="001D175B" w:rsidRPr="003854ED" w:rsidRDefault="001D175B" w:rsidP="00BD2801">
            <w:pPr>
              <w:pStyle w:val="Normal-pool"/>
              <w:spacing w:after="120"/>
              <w:jc w:val="right"/>
            </w:pPr>
            <w:r w:rsidRPr="00C5575D">
              <w:rPr>
                <w:rFonts w:ascii="Arial" w:hAnsi="Arial" w:cs="Arial"/>
                <w:b/>
                <w:sz w:val="64"/>
                <w:szCs w:val="64"/>
              </w:rPr>
              <w:t>BES</w:t>
            </w:r>
          </w:p>
        </w:tc>
      </w:tr>
      <w:tr w:rsidR="001D175B" w:rsidRPr="00C5575D" w14:paraId="47306D5A" w14:textId="77777777" w:rsidTr="006C11A6">
        <w:trPr>
          <w:cantSplit/>
          <w:trHeight w:val="57"/>
          <w:jc w:val="right"/>
        </w:trPr>
        <w:tc>
          <w:tcPr>
            <w:tcW w:w="1489" w:type="dxa"/>
            <w:tcBorders>
              <w:bottom w:val="single" w:sz="2" w:space="0" w:color="auto"/>
            </w:tcBorders>
          </w:tcPr>
          <w:p w14:paraId="4392A917" w14:textId="77777777" w:rsidR="001D175B" w:rsidRPr="00B24A20" w:rsidRDefault="001D175B" w:rsidP="00BD2801">
            <w:pPr>
              <w:pStyle w:val="Normal-pool"/>
            </w:pPr>
          </w:p>
        </w:tc>
        <w:tc>
          <w:tcPr>
            <w:tcW w:w="5822" w:type="dxa"/>
            <w:gridSpan w:val="2"/>
            <w:tcBorders>
              <w:bottom w:val="single" w:sz="2" w:space="0" w:color="auto"/>
            </w:tcBorders>
          </w:tcPr>
          <w:p w14:paraId="6C6DBD7B" w14:textId="77777777" w:rsidR="001D175B" w:rsidRPr="00B24A20" w:rsidRDefault="001D175B" w:rsidP="00BD2801">
            <w:pPr>
              <w:pStyle w:val="Normal-pool"/>
            </w:pPr>
          </w:p>
        </w:tc>
        <w:tc>
          <w:tcPr>
            <w:tcW w:w="2185" w:type="dxa"/>
            <w:gridSpan w:val="2"/>
            <w:tcBorders>
              <w:bottom w:val="single" w:sz="2" w:space="0" w:color="auto"/>
            </w:tcBorders>
          </w:tcPr>
          <w:p w14:paraId="490B07A0" w14:textId="32843D83" w:rsidR="001D175B" w:rsidRPr="00C5575D" w:rsidRDefault="001D175B" w:rsidP="00BD2801">
            <w:pPr>
              <w:pStyle w:val="Normal-pool"/>
              <w:rPr>
                <w:sz w:val="24"/>
                <w:szCs w:val="24"/>
              </w:rPr>
            </w:pPr>
            <w:r w:rsidRPr="00C5575D">
              <w:rPr>
                <w:b/>
                <w:sz w:val="24"/>
                <w:szCs w:val="24"/>
              </w:rPr>
              <w:t>IPBES</w:t>
            </w:r>
            <w:r w:rsidRPr="00C5575D">
              <w:t>/8/</w:t>
            </w:r>
            <w:r>
              <w:t>4</w:t>
            </w:r>
          </w:p>
        </w:tc>
      </w:tr>
      <w:tr w:rsidR="001D175B" w:rsidRPr="00C5575D" w14:paraId="5A7571B5" w14:textId="77777777" w:rsidTr="006C11A6">
        <w:trPr>
          <w:cantSplit/>
          <w:trHeight w:val="57"/>
          <w:jc w:val="right"/>
        </w:trPr>
        <w:tc>
          <w:tcPr>
            <w:tcW w:w="1963" w:type="dxa"/>
            <w:gridSpan w:val="2"/>
            <w:tcBorders>
              <w:top w:val="single" w:sz="2" w:space="0" w:color="auto"/>
              <w:bottom w:val="single" w:sz="18" w:space="0" w:color="auto"/>
            </w:tcBorders>
          </w:tcPr>
          <w:p w14:paraId="27DFE293" w14:textId="77777777" w:rsidR="001D175B" w:rsidRPr="00C5575D" w:rsidRDefault="001D175B" w:rsidP="00BD2801">
            <w:pPr>
              <w:pStyle w:val="Normal-pool"/>
              <w:spacing w:before="160" w:after="240"/>
              <w:rPr>
                <w:sz w:val="28"/>
                <w:szCs w:val="28"/>
              </w:rPr>
            </w:pPr>
            <w:bookmarkStart w:id="0" w:name="_GoBack"/>
            <w:r w:rsidRPr="00C5575D">
              <w:rPr>
                <w:noProof/>
                <w:sz w:val="28"/>
                <w:szCs w:val="28"/>
                <w:lang w:eastAsia="en-GB"/>
              </w:rPr>
              <w:drawing>
                <wp:inline distT="0" distB="0" distL="0" distR="0" wp14:anchorId="36223EF3" wp14:editId="5AD5B6A2">
                  <wp:extent cx="1112520" cy="51879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18" w:space="0" w:color="auto"/>
            </w:tcBorders>
          </w:tcPr>
          <w:p w14:paraId="5303E2D0" w14:textId="7CF591C2" w:rsidR="001D175B" w:rsidRPr="00C5575D" w:rsidRDefault="001D175B" w:rsidP="001D175B">
            <w:pPr>
              <w:pStyle w:val="Normal-pool"/>
              <w:spacing w:before="120" w:after="240"/>
              <w:rPr>
                <w:rFonts w:ascii="Arial" w:hAnsi="Arial" w:cs="Arial"/>
                <w:b/>
              </w:rPr>
            </w:pPr>
            <w:hyperlink r:id="rId13" w:tgtFrame="_blank" w:history="1">
              <w:r w:rsidRPr="00E046E7">
                <w:rPr>
                  <w:rStyle w:val="Hyperlink"/>
                  <w:rFonts w:ascii="Arial" w:hAnsi="Arial" w:cs="Arial"/>
                  <w:b/>
                  <w:sz w:val="28"/>
                  <w:szCs w:val="28"/>
                </w:rPr>
                <w:t>Plateforme intergouvernementale scientifique et politique sur la biodiversité et les services écosystémiques</w:t>
              </w:r>
            </w:hyperlink>
          </w:p>
        </w:tc>
        <w:tc>
          <w:tcPr>
            <w:tcW w:w="2185" w:type="dxa"/>
            <w:gridSpan w:val="2"/>
            <w:tcBorders>
              <w:top w:val="single" w:sz="2" w:space="0" w:color="auto"/>
              <w:bottom w:val="single" w:sz="18" w:space="0" w:color="auto"/>
            </w:tcBorders>
          </w:tcPr>
          <w:p w14:paraId="5721355B" w14:textId="7B057114" w:rsidR="001D175B" w:rsidRPr="00C5575D" w:rsidRDefault="001D175B" w:rsidP="00BD2801">
            <w:pPr>
              <w:pStyle w:val="Normal-pool"/>
              <w:spacing w:before="120"/>
            </w:pPr>
            <w:r w:rsidRPr="00C5575D">
              <w:t xml:space="preserve">Distr. </w:t>
            </w:r>
            <w:r>
              <w:t>gé</w:t>
            </w:r>
            <w:r w:rsidRPr="00C5575D">
              <w:t>n</w:t>
            </w:r>
            <w:r>
              <w:t>é</w:t>
            </w:r>
            <w:r w:rsidRPr="00C5575D">
              <w:t>ral</w:t>
            </w:r>
            <w:r>
              <w:t xml:space="preserve">e </w:t>
            </w:r>
            <w:r w:rsidRPr="00C5575D">
              <w:br/>
            </w:r>
            <w:r>
              <w:t>15 mars </w:t>
            </w:r>
            <w:r w:rsidRPr="008E340B">
              <w:t>2021</w:t>
            </w:r>
          </w:p>
          <w:p w14:paraId="611818A6" w14:textId="77777777" w:rsidR="001D175B" w:rsidRDefault="001D175B" w:rsidP="001D175B">
            <w:pPr>
              <w:pStyle w:val="Normal-pool"/>
              <w:spacing w:before="120"/>
            </w:pPr>
            <w:r>
              <w:t xml:space="preserve">Français </w:t>
            </w:r>
          </w:p>
          <w:p w14:paraId="3008BE33" w14:textId="211356A6" w:rsidR="001D175B" w:rsidRPr="00C5575D" w:rsidRDefault="001D175B" w:rsidP="001D175B">
            <w:pPr>
              <w:pStyle w:val="Normal-pool"/>
              <w:spacing w:after="240"/>
            </w:pPr>
            <w:r w:rsidRPr="00C5575D">
              <w:t>Original</w:t>
            </w:r>
            <w:r>
              <w:t> </w:t>
            </w:r>
            <w:r w:rsidRPr="00C5575D">
              <w:t xml:space="preserve">: </w:t>
            </w:r>
            <w:r>
              <w:t>anglais</w:t>
            </w:r>
          </w:p>
        </w:tc>
      </w:tr>
    </w:tbl>
    <w:bookmarkEnd w:id="0"/>
    <w:p w14:paraId="2CB9B462" w14:textId="3A219917" w:rsidR="00C95B00" w:rsidRPr="00E046E7" w:rsidRDefault="00180BB7" w:rsidP="001D175B">
      <w:pPr>
        <w:pStyle w:val="AATitle"/>
        <w:ind w:right="3967"/>
        <w:rPr>
          <w:lang w:val="fr-FR"/>
        </w:rPr>
      </w:pPr>
      <w:r w:rsidRPr="001D175B">
        <w:t>Plénière</w:t>
      </w:r>
      <w:r w:rsidRPr="00E046E7">
        <w:rPr>
          <w:lang w:val="fr-FR"/>
        </w:rPr>
        <w:t xml:space="preserve"> de la Plateforme intergouvernementale scientifique </w:t>
      </w:r>
      <w:r w:rsidR="001D175B">
        <w:rPr>
          <w:lang w:val="fr-FR"/>
        </w:rPr>
        <w:br/>
      </w:r>
      <w:r w:rsidRPr="00E046E7">
        <w:rPr>
          <w:lang w:val="fr-FR"/>
        </w:rPr>
        <w:t>et politique sur la biodiversité et les services écosystémiques</w:t>
      </w:r>
    </w:p>
    <w:p w14:paraId="6B49E6D8" w14:textId="37C8E1DF" w:rsidR="00C95B00" w:rsidRPr="00E046E7" w:rsidRDefault="00180BB7" w:rsidP="00DC5E14">
      <w:pPr>
        <w:pStyle w:val="AATitle"/>
        <w:rPr>
          <w:lang w:val="fr-FR"/>
        </w:rPr>
      </w:pPr>
      <w:r w:rsidRPr="00E046E7">
        <w:rPr>
          <w:lang w:val="fr-FR"/>
        </w:rPr>
        <w:t>Huitième </w:t>
      </w:r>
      <w:r w:rsidR="00C95B00" w:rsidRPr="00E046E7">
        <w:rPr>
          <w:lang w:val="fr-FR"/>
        </w:rPr>
        <w:t>session</w:t>
      </w:r>
    </w:p>
    <w:p w14:paraId="47E03A95" w14:textId="2BFDA3C7" w:rsidR="00DC5E14" w:rsidRPr="00E046E7" w:rsidRDefault="0040483F" w:rsidP="00DC5E14">
      <w:pPr>
        <w:pStyle w:val="AATitle"/>
        <w:rPr>
          <w:b w:val="0"/>
          <w:bCs/>
          <w:lang w:val="fr-FR"/>
        </w:rPr>
      </w:pPr>
      <w:r w:rsidRPr="00E046E7">
        <w:rPr>
          <w:b w:val="0"/>
          <w:bCs/>
          <w:lang w:val="fr-FR" w:eastAsia="ja-JP"/>
        </w:rPr>
        <w:t>En ligne</w:t>
      </w:r>
      <w:r w:rsidR="00DC5E14" w:rsidRPr="00E046E7">
        <w:rPr>
          <w:b w:val="0"/>
          <w:bCs/>
          <w:lang w:val="fr-FR" w:eastAsia="ja-JP"/>
        </w:rPr>
        <w:t>, 14–24</w:t>
      </w:r>
      <w:r w:rsidRPr="00E046E7">
        <w:rPr>
          <w:b w:val="0"/>
          <w:bCs/>
          <w:lang w:val="fr-FR" w:eastAsia="ja-JP"/>
        </w:rPr>
        <w:t> juin </w:t>
      </w:r>
      <w:r w:rsidR="00DC5E14" w:rsidRPr="00E046E7">
        <w:rPr>
          <w:b w:val="0"/>
          <w:bCs/>
          <w:lang w:val="fr-FR" w:eastAsia="ja-JP"/>
        </w:rPr>
        <w:t>2021</w:t>
      </w:r>
    </w:p>
    <w:p w14:paraId="00344F7B" w14:textId="014A6FAA" w:rsidR="00DC5E14" w:rsidRPr="00E046E7" w:rsidRDefault="0040483F" w:rsidP="00DC5E14">
      <w:pPr>
        <w:pStyle w:val="AATitle"/>
        <w:rPr>
          <w:b w:val="0"/>
          <w:bCs/>
          <w:lang w:val="fr-FR"/>
        </w:rPr>
      </w:pPr>
      <w:r w:rsidRPr="00E046E7">
        <w:rPr>
          <w:b w:val="0"/>
          <w:bCs/>
          <w:lang w:val="fr-FR"/>
        </w:rPr>
        <w:t>Point </w:t>
      </w:r>
      <w:r w:rsidR="00DC5E14" w:rsidRPr="00E046E7">
        <w:rPr>
          <w:b w:val="0"/>
          <w:bCs/>
          <w:lang w:val="fr-FR"/>
        </w:rPr>
        <w:t>7</w:t>
      </w:r>
      <w:r w:rsidRPr="00E046E7">
        <w:rPr>
          <w:b w:val="0"/>
          <w:bCs/>
          <w:lang w:val="fr-FR"/>
        </w:rPr>
        <w:t> </w:t>
      </w:r>
      <w:r w:rsidR="008B0776" w:rsidRPr="00E046E7">
        <w:rPr>
          <w:b w:val="0"/>
          <w:bCs/>
          <w:lang w:val="fr-FR"/>
        </w:rPr>
        <w:t>b</w:t>
      </w:r>
      <w:r w:rsidR="00DC5E14" w:rsidRPr="00E046E7">
        <w:rPr>
          <w:b w:val="0"/>
          <w:bCs/>
          <w:lang w:val="fr-FR"/>
        </w:rPr>
        <w:t xml:space="preserve">) </w:t>
      </w:r>
      <w:r w:rsidRPr="00E046E7">
        <w:rPr>
          <w:b w:val="0"/>
          <w:bCs/>
          <w:lang w:val="fr-FR"/>
        </w:rPr>
        <w:t>de l</w:t>
      </w:r>
      <w:r w:rsidR="00BD2801">
        <w:rPr>
          <w:b w:val="0"/>
          <w:bCs/>
          <w:lang w:val="fr-FR"/>
        </w:rPr>
        <w:t>’</w:t>
      </w:r>
      <w:r w:rsidRPr="00E046E7">
        <w:rPr>
          <w:b w:val="0"/>
          <w:bCs/>
          <w:lang w:val="fr-FR"/>
        </w:rPr>
        <w:t>ordre du jour provisoire</w:t>
      </w:r>
      <w:r w:rsidR="00714F6B" w:rsidRPr="00E046E7">
        <w:rPr>
          <w:b w:val="0"/>
          <w:bCs/>
          <w:lang w:val="fr-FR"/>
        </w:rPr>
        <w:footnoteReference w:customMarkFollows="1" w:id="1"/>
        <w:t>*</w:t>
      </w:r>
    </w:p>
    <w:p w14:paraId="71D9E3FE" w14:textId="6CF4B939" w:rsidR="00DC5E14" w:rsidRPr="00E046E7" w:rsidRDefault="0040483F" w:rsidP="001D175B">
      <w:pPr>
        <w:pStyle w:val="AATitle2"/>
        <w:ind w:right="4109"/>
        <w:rPr>
          <w:lang w:val="fr-FR"/>
        </w:rPr>
      </w:pPr>
      <w:bookmarkStart w:id="1" w:name="_Hlk66707816"/>
      <w:r w:rsidRPr="001D175B">
        <w:t>Rapport</w:t>
      </w:r>
      <w:r w:rsidRPr="00E046E7">
        <w:rPr>
          <w:lang w:val="fr-FR"/>
        </w:rPr>
        <w:t xml:space="preserve"> de cadrage pour une évaluation thématique des</w:t>
      </w:r>
      <w:r w:rsidR="001D175B">
        <w:rPr>
          <w:lang w:val="fr-FR"/>
        </w:rPr>
        <w:t> </w:t>
      </w:r>
      <w:r w:rsidRPr="00E046E7">
        <w:rPr>
          <w:lang w:val="fr-FR"/>
        </w:rPr>
        <w:t>causes profondes de l</w:t>
      </w:r>
      <w:r w:rsidR="00BD2801">
        <w:rPr>
          <w:lang w:val="fr-FR"/>
        </w:rPr>
        <w:t>’</w:t>
      </w:r>
      <w:r w:rsidRPr="00E046E7">
        <w:rPr>
          <w:lang w:val="fr-FR"/>
        </w:rPr>
        <w:t>érosion de</w:t>
      </w:r>
      <w:r w:rsidR="00E046E7">
        <w:rPr>
          <w:lang w:val="fr-FR"/>
        </w:rPr>
        <w:t xml:space="preserve"> </w:t>
      </w:r>
      <w:r w:rsidRPr="00E046E7">
        <w:rPr>
          <w:lang w:val="fr-FR"/>
        </w:rPr>
        <w:t>la biodiversité, des</w:t>
      </w:r>
      <w:r w:rsidR="001D175B">
        <w:rPr>
          <w:lang w:val="fr-FR"/>
        </w:rPr>
        <w:t> </w:t>
      </w:r>
      <w:r w:rsidRPr="00E046E7">
        <w:rPr>
          <w:lang w:val="fr-FR"/>
        </w:rPr>
        <w:t>déterminants des changements transformateurs et des</w:t>
      </w:r>
      <w:r w:rsidR="001D175B">
        <w:rPr>
          <w:lang w:val="fr-FR"/>
        </w:rPr>
        <w:t> </w:t>
      </w:r>
      <w:r w:rsidRPr="00E046E7">
        <w:rPr>
          <w:lang w:val="fr-FR"/>
        </w:rPr>
        <w:t>solutions pour réaliser la Vision</w:t>
      </w:r>
      <w:r w:rsidR="00E046E7">
        <w:rPr>
          <w:lang w:val="fr-FR"/>
        </w:rPr>
        <w:t> </w:t>
      </w:r>
      <w:r w:rsidRPr="00E046E7">
        <w:rPr>
          <w:lang w:val="fr-FR"/>
        </w:rPr>
        <w:t>2050 pour la</w:t>
      </w:r>
      <w:r w:rsidR="001D175B">
        <w:rPr>
          <w:lang w:val="fr-FR"/>
        </w:rPr>
        <w:t> </w:t>
      </w:r>
      <w:r w:rsidRPr="00E046E7">
        <w:rPr>
          <w:lang w:val="fr-FR"/>
        </w:rPr>
        <w:t>biodiversité</w:t>
      </w:r>
      <w:bookmarkEnd w:id="1"/>
    </w:p>
    <w:p w14:paraId="4D589017" w14:textId="6323BBE8" w:rsidR="008125AA" w:rsidRPr="00E046E7" w:rsidRDefault="0040483F" w:rsidP="001D175B">
      <w:pPr>
        <w:pStyle w:val="BBTitle"/>
        <w:rPr>
          <w:lang w:val="fr-FR"/>
        </w:rPr>
      </w:pPr>
      <w:r w:rsidRPr="00E046E7">
        <w:rPr>
          <w:lang w:val="fr-FR"/>
        </w:rPr>
        <w:t xml:space="preserve">Rapport de cadrage pour évaluer </w:t>
      </w:r>
      <w:r w:rsidRPr="001D175B">
        <w:t>les</w:t>
      </w:r>
      <w:r w:rsidRPr="00E046E7">
        <w:rPr>
          <w:lang w:val="fr-FR"/>
        </w:rPr>
        <w:t xml:space="preserve"> causes profondes de l</w:t>
      </w:r>
      <w:r w:rsidR="00BD2801">
        <w:rPr>
          <w:lang w:val="fr-FR"/>
        </w:rPr>
        <w:t>’</w:t>
      </w:r>
      <w:r w:rsidRPr="00E046E7">
        <w:rPr>
          <w:lang w:val="fr-FR"/>
        </w:rPr>
        <w:t>érosion de</w:t>
      </w:r>
      <w:r w:rsidR="00E046E7">
        <w:rPr>
          <w:lang w:val="fr-FR"/>
        </w:rPr>
        <w:t xml:space="preserve"> </w:t>
      </w:r>
      <w:r w:rsidRPr="00E046E7">
        <w:rPr>
          <w:lang w:val="fr-FR"/>
        </w:rPr>
        <w:t>la biodiversité et les déterminants des changements transformateurs (évaluation thématique) en vue de réaliser la</w:t>
      </w:r>
      <w:r w:rsidR="001D175B">
        <w:rPr>
          <w:lang w:val="fr-FR"/>
        </w:rPr>
        <w:t> </w:t>
      </w:r>
      <w:r w:rsidRPr="00E046E7">
        <w:rPr>
          <w:lang w:val="fr-FR"/>
        </w:rPr>
        <w:t>Vision</w:t>
      </w:r>
      <w:r w:rsidR="00E046E7">
        <w:rPr>
          <w:lang w:val="fr-FR"/>
        </w:rPr>
        <w:t> </w:t>
      </w:r>
      <w:r w:rsidRPr="00E046E7">
        <w:rPr>
          <w:lang w:val="fr-FR"/>
        </w:rPr>
        <w:t>2050</w:t>
      </w:r>
      <w:r w:rsidR="00E046E7">
        <w:rPr>
          <w:lang w:val="fr-FR"/>
        </w:rPr>
        <w:t xml:space="preserve"> </w:t>
      </w:r>
      <w:r w:rsidRPr="00E046E7">
        <w:rPr>
          <w:lang w:val="fr-FR"/>
        </w:rPr>
        <w:t>pour la biodiversité</w:t>
      </w:r>
      <w:r w:rsidR="00CA45C6" w:rsidRPr="00E046E7">
        <w:rPr>
          <w:szCs w:val="18"/>
          <w:lang w:val="fr-FR"/>
        </w:rPr>
        <w:footnoteReference w:customMarkFollows="1" w:id="2"/>
        <w:t>**</w:t>
      </w:r>
    </w:p>
    <w:p w14:paraId="599CB405" w14:textId="03D9E5E9" w:rsidR="008125AA" w:rsidRPr="00E046E7" w:rsidRDefault="008125AA" w:rsidP="00BD2801">
      <w:pPr>
        <w:pStyle w:val="CH2"/>
        <w:rPr>
          <w:lang w:val="fr-FR"/>
        </w:rPr>
      </w:pPr>
      <w:r w:rsidRPr="00E046E7">
        <w:rPr>
          <w:lang w:val="fr-FR"/>
        </w:rPr>
        <w:tab/>
      </w:r>
      <w:r w:rsidRPr="00E046E7">
        <w:rPr>
          <w:lang w:val="fr-FR"/>
        </w:rPr>
        <w:tab/>
        <w:t xml:space="preserve">Note </w:t>
      </w:r>
      <w:r w:rsidR="00E72B41" w:rsidRPr="00BD2801">
        <w:t>du</w:t>
      </w:r>
      <w:r w:rsidR="00E72B41" w:rsidRPr="00E046E7">
        <w:rPr>
          <w:lang w:val="fr-FR"/>
        </w:rPr>
        <w:t xml:space="preserve"> secrétariat</w:t>
      </w:r>
    </w:p>
    <w:p w14:paraId="6BB312B5" w14:textId="2C958B66" w:rsidR="008125AA" w:rsidRPr="00E046E7" w:rsidRDefault="0098033F" w:rsidP="00BD2801">
      <w:pPr>
        <w:pStyle w:val="Normalnumber"/>
        <w:rPr>
          <w:rFonts w:eastAsia="MS Mincho"/>
          <w:lang w:val="fr-FR"/>
        </w:rPr>
      </w:pPr>
      <w:r w:rsidRPr="00E046E7">
        <w:rPr>
          <w:rFonts w:eastAsia="MS Mincho"/>
          <w:lang w:val="fr-FR"/>
        </w:rPr>
        <w:t>À sa septième </w:t>
      </w:r>
      <w:r w:rsidR="008125AA" w:rsidRPr="00E046E7">
        <w:rPr>
          <w:rFonts w:eastAsia="MS Mincho"/>
          <w:lang w:val="fr-FR"/>
        </w:rPr>
        <w:t xml:space="preserve">session, </w:t>
      </w:r>
      <w:r w:rsidR="00C05641">
        <w:rPr>
          <w:rFonts w:eastAsia="MS Mincho"/>
          <w:lang w:val="fr-FR"/>
        </w:rPr>
        <w:t>au paragraphe</w:t>
      </w:r>
      <w:r w:rsidR="00703C43">
        <w:rPr>
          <w:rFonts w:eastAsia="MS Mincho"/>
          <w:lang w:val="fr-FR"/>
        </w:rPr>
        <w:t> </w:t>
      </w:r>
      <w:r w:rsidR="008125AA" w:rsidRPr="00E046E7">
        <w:rPr>
          <w:rFonts w:eastAsia="MS Mincho"/>
          <w:lang w:val="fr-FR"/>
        </w:rPr>
        <w:t>2</w:t>
      </w:r>
      <w:r w:rsidR="00703C43">
        <w:rPr>
          <w:rFonts w:eastAsia="MS Mincho"/>
          <w:lang w:val="fr-FR"/>
        </w:rPr>
        <w:t> </w:t>
      </w:r>
      <w:r w:rsidR="005E35B7">
        <w:rPr>
          <w:rFonts w:eastAsia="MS Mincho"/>
          <w:lang w:val="fr-FR"/>
        </w:rPr>
        <w:t>b)</w:t>
      </w:r>
      <w:r w:rsidRPr="00E046E7">
        <w:rPr>
          <w:rFonts w:eastAsia="MS Mincho"/>
          <w:lang w:val="fr-FR"/>
        </w:rPr>
        <w:t xml:space="preserve"> de la</w:t>
      </w:r>
      <w:r w:rsidR="008125AA" w:rsidRPr="00E046E7">
        <w:rPr>
          <w:rFonts w:eastAsia="MS Mincho"/>
          <w:lang w:val="fr-FR"/>
        </w:rPr>
        <w:t xml:space="preserve"> section</w:t>
      </w:r>
      <w:r w:rsidRPr="00E046E7">
        <w:rPr>
          <w:rFonts w:eastAsia="MS Mincho"/>
          <w:lang w:val="fr-FR"/>
        </w:rPr>
        <w:t> </w:t>
      </w:r>
      <w:r w:rsidR="008125AA" w:rsidRPr="00E046E7">
        <w:rPr>
          <w:rFonts w:eastAsia="MS Mincho"/>
          <w:lang w:val="fr-FR"/>
        </w:rPr>
        <w:t xml:space="preserve">II </w:t>
      </w:r>
      <w:r w:rsidRPr="00E046E7">
        <w:rPr>
          <w:rFonts w:eastAsia="MS Mincho"/>
          <w:lang w:val="fr-FR"/>
        </w:rPr>
        <w:t>de la décision </w:t>
      </w:r>
      <w:r w:rsidR="008125AA" w:rsidRPr="00E046E7">
        <w:rPr>
          <w:rFonts w:eastAsia="MS Mincho"/>
          <w:lang w:val="fr-FR"/>
        </w:rPr>
        <w:t xml:space="preserve">IPBES-7/1, </w:t>
      </w:r>
      <w:r w:rsidRPr="00E046E7">
        <w:rPr>
          <w:rFonts w:eastAsia="MS Mincho"/>
          <w:lang w:val="fr-FR"/>
        </w:rPr>
        <w:t xml:space="preserve">la Plénière a approuvé le </w:t>
      </w:r>
      <w:r w:rsidRPr="00BD2801">
        <w:rPr>
          <w:rFonts w:eastAsia="MS Mincho"/>
        </w:rPr>
        <w:t>processus</w:t>
      </w:r>
      <w:r w:rsidRPr="00E046E7">
        <w:rPr>
          <w:rFonts w:eastAsia="MS Mincho"/>
          <w:lang w:val="fr-FR"/>
        </w:rPr>
        <w:t xml:space="preserve"> de cadrage pour</w:t>
      </w:r>
      <w:r w:rsidR="008125AA" w:rsidRPr="00E046E7">
        <w:rPr>
          <w:rFonts w:eastAsia="MS Mincho"/>
          <w:lang w:val="fr-FR"/>
        </w:rPr>
        <w:t xml:space="preserve"> </w:t>
      </w:r>
      <w:r w:rsidRPr="00E046E7">
        <w:rPr>
          <w:rFonts w:eastAsia="MS Mincho"/>
          <w:lang w:val="fr-FR"/>
        </w:rPr>
        <w:t>une évaluation thématique des causes profondes de la perte de biodiversité et des moteurs de la transformation ainsi que des mesures pouvant être prises pour concrétiser la Vision 2050 pour la biodiversité</w:t>
      </w:r>
      <w:r w:rsidR="008125AA" w:rsidRPr="00E046E7">
        <w:rPr>
          <w:rFonts w:eastAsia="MS Mincho"/>
          <w:vertAlign w:val="superscript"/>
          <w:lang w:val="fr-FR"/>
        </w:rPr>
        <w:footnoteReference w:id="3"/>
      </w:r>
      <w:r w:rsidR="00256FBE">
        <w:rPr>
          <w:rFonts w:eastAsia="MS Mincho"/>
          <w:lang w:val="fr-FR"/>
        </w:rPr>
        <w:t>,</w:t>
      </w:r>
      <w:r w:rsidR="008125AA" w:rsidRPr="00E046E7">
        <w:rPr>
          <w:rFonts w:eastAsia="MS Mincho"/>
          <w:vertAlign w:val="superscript"/>
          <w:lang w:val="fr-FR"/>
        </w:rPr>
        <w:t xml:space="preserve"> </w:t>
      </w:r>
      <w:r w:rsidRPr="00E046E7">
        <w:rPr>
          <w:rFonts w:eastAsia="MS Mincho"/>
          <w:lang w:val="fr-FR"/>
        </w:rPr>
        <w:t>conformément aux procédures d</w:t>
      </w:r>
      <w:r w:rsidR="00BD2801">
        <w:rPr>
          <w:rFonts w:eastAsia="MS Mincho"/>
          <w:lang w:val="fr-FR"/>
        </w:rPr>
        <w:t>’</w:t>
      </w:r>
      <w:r w:rsidRPr="00E046E7">
        <w:rPr>
          <w:rFonts w:eastAsia="MS Mincho"/>
          <w:lang w:val="fr-FR"/>
        </w:rPr>
        <w:t>établissement des</w:t>
      </w:r>
      <w:r w:rsidR="00703C43">
        <w:rPr>
          <w:rFonts w:eastAsia="MS Mincho"/>
          <w:lang w:val="fr-FR"/>
        </w:rPr>
        <w:t> </w:t>
      </w:r>
      <w:r w:rsidRPr="00E046E7">
        <w:rPr>
          <w:rFonts w:eastAsia="MS Mincho"/>
          <w:lang w:val="fr-FR"/>
        </w:rPr>
        <w:t>produits de la Plateforme figurant à l</w:t>
      </w:r>
      <w:r w:rsidR="00BD2801">
        <w:rPr>
          <w:rFonts w:eastAsia="MS Mincho"/>
          <w:lang w:val="fr-FR"/>
        </w:rPr>
        <w:t>’</w:t>
      </w:r>
      <w:r w:rsidRPr="00E046E7">
        <w:rPr>
          <w:rFonts w:eastAsia="MS Mincho"/>
          <w:lang w:val="fr-FR"/>
        </w:rPr>
        <w:t>annexe I de la décision IPBES-3/3 et sur la base du rapport initial de cadrage de l</w:t>
      </w:r>
      <w:r w:rsidR="00BD2801">
        <w:rPr>
          <w:rFonts w:eastAsia="MS Mincho"/>
          <w:lang w:val="fr-FR"/>
        </w:rPr>
        <w:t>’</w:t>
      </w:r>
      <w:r w:rsidRPr="00E046E7">
        <w:rPr>
          <w:rFonts w:eastAsia="MS Mincho"/>
          <w:lang w:val="fr-FR"/>
        </w:rPr>
        <w:t>évaluation figurant à la section III de l</w:t>
      </w:r>
      <w:r w:rsidR="00BD2801">
        <w:rPr>
          <w:rFonts w:eastAsia="MS Mincho"/>
          <w:lang w:val="fr-FR"/>
        </w:rPr>
        <w:t>’</w:t>
      </w:r>
      <w:r w:rsidR="008125AA" w:rsidRPr="00E046E7">
        <w:rPr>
          <w:rFonts w:eastAsia="MS Mincho"/>
          <w:lang w:val="fr-FR"/>
        </w:rPr>
        <w:t>appendi</w:t>
      </w:r>
      <w:r w:rsidRPr="00E046E7">
        <w:rPr>
          <w:rFonts w:eastAsia="MS Mincho"/>
          <w:lang w:val="fr-FR"/>
        </w:rPr>
        <w:t>ce </w:t>
      </w:r>
      <w:r w:rsidR="008125AA" w:rsidRPr="00E046E7">
        <w:rPr>
          <w:rFonts w:eastAsia="MS Mincho"/>
          <w:lang w:val="fr-FR"/>
        </w:rPr>
        <w:t>II</w:t>
      </w:r>
      <w:r w:rsidRPr="00E046E7">
        <w:rPr>
          <w:rFonts w:eastAsia="MS Mincho"/>
          <w:lang w:val="fr-FR"/>
        </w:rPr>
        <w:t xml:space="preserve"> du</w:t>
      </w:r>
      <w:r w:rsidR="008125AA" w:rsidRPr="00E046E7">
        <w:rPr>
          <w:rFonts w:eastAsia="MS Mincho"/>
          <w:lang w:val="fr-FR"/>
        </w:rPr>
        <w:t xml:space="preserve"> document</w:t>
      </w:r>
      <w:r w:rsidR="00703C43">
        <w:rPr>
          <w:rFonts w:eastAsia="MS Mincho"/>
          <w:lang w:val="fr-FR"/>
        </w:rPr>
        <w:t> </w:t>
      </w:r>
      <w:r w:rsidR="008125AA" w:rsidRPr="00E046E7">
        <w:rPr>
          <w:rFonts w:eastAsia="MS Mincho"/>
          <w:lang w:val="fr-FR"/>
        </w:rPr>
        <w:t xml:space="preserve">IPBES/7/6. </w:t>
      </w:r>
    </w:p>
    <w:p w14:paraId="4FE1A35D" w14:textId="7C9A5F76" w:rsidR="008125AA" w:rsidRPr="00E046E7" w:rsidRDefault="00173012" w:rsidP="00BD2801">
      <w:pPr>
        <w:pStyle w:val="Normalnumber"/>
        <w:rPr>
          <w:rFonts w:eastAsia="MS Mincho"/>
          <w:lang w:val="fr-FR"/>
        </w:rPr>
      </w:pPr>
      <w:r w:rsidRPr="00E046E7">
        <w:rPr>
          <w:rFonts w:eastAsia="MS Mincho"/>
          <w:lang w:val="fr-FR"/>
        </w:rPr>
        <w:t xml:space="preserve">La présente note </w:t>
      </w:r>
      <w:r w:rsidR="00081E82" w:rsidRPr="00E046E7">
        <w:rPr>
          <w:rFonts w:eastAsia="MS Mincho"/>
          <w:lang w:val="fr-FR"/>
        </w:rPr>
        <w:t>contient le rapport de cadrage soumis à la Plénière par</w:t>
      </w:r>
      <w:r w:rsidR="008125AA" w:rsidRPr="00E046E7">
        <w:rPr>
          <w:rFonts w:eastAsia="MS Mincho"/>
          <w:lang w:val="fr-FR"/>
        </w:rPr>
        <w:t xml:space="preserve"> </w:t>
      </w:r>
      <w:r w:rsidR="00081E82" w:rsidRPr="00E046E7">
        <w:rPr>
          <w:rFonts w:eastAsia="MS Mincho"/>
          <w:lang w:val="fr-FR"/>
        </w:rPr>
        <w:t>le Groupe</w:t>
      </w:r>
      <w:r w:rsidR="00D97848" w:rsidRPr="00E046E7">
        <w:rPr>
          <w:rFonts w:eastAsia="MS Mincho"/>
          <w:lang w:val="fr-FR"/>
        </w:rPr>
        <w:t xml:space="preserve"> multidisciplinaire</w:t>
      </w:r>
      <w:r w:rsidR="00081E82" w:rsidRPr="00E046E7">
        <w:rPr>
          <w:rFonts w:eastAsia="MS Mincho"/>
          <w:lang w:val="fr-FR"/>
        </w:rPr>
        <w:t xml:space="preserve"> d</w:t>
      </w:r>
      <w:r w:rsidR="00BD2801">
        <w:rPr>
          <w:rFonts w:eastAsia="MS Mincho"/>
          <w:lang w:val="fr-FR"/>
        </w:rPr>
        <w:t>’</w:t>
      </w:r>
      <w:r w:rsidR="00081E82" w:rsidRPr="00E046E7">
        <w:rPr>
          <w:rFonts w:eastAsia="MS Mincho"/>
          <w:lang w:val="fr-FR"/>
        </w:rPr>
        <w:t>experts</w:t>
      </w:r>
      <w:r w:rsidR="008125AA" w:rsidRPr="00E046E7">
        <w:rPr>
          <w:rFonts w:eastAsia="MS Mincho"/>
          <w:lang w:val="fr-FR"/>
        </w:rPr>
        <w:t>.</w:t>
      </w:r>
      <w:r w:rsidR="00081E82" w:rsidRPr="00E046E7">
        <w:rPr>
          <w:rFonts w:eastAsia="MS Mincho"/>
          <w:lang w:val="fr-FR"/>
        </w:rPr>
        <w:t xml:space="preserve"> Des informations sur le processus de cadrage sont fournies dans le</w:t>
      </w:r>
      <w:r w:rsidR="00703C43">
        <w:rPr>
          <w:rFonts w:eastAsia="MS Mincho"/>
          <w:lang w:val="fr-FR"/>
        </w:rPr>
        <w:t> </w:t>
      </w:r>
      <w:r w:rsidR="00081E82" w:rsidRPr="00E046E7">
        <w:rPr>
          <w:rFonts w:eastAsia="MS Mincho"/>
          <w:lang w:val="fr-FR"/>
        </w:rPr>
        <w:t>document</w:t>
      </w:r>
      <w:r w:rsidR="00703C43">
        <w:rPr>
          <w:rFonts w:eastAsia="MS Mincho"/>
          <w:lang w:val="fr-FR"/>
        </w:rPr>
        <w:t> </w:t>
      </w:r>
      <w:r w:rsidR="008125AA" w:rsidRPr="00E046E7">
        <w:rPr>
          <w:rFonts w:eastAsia="MS Mincho"/>
          <w:lang w:val="fr-FR"/>
        </w:rPr>
        <w:t xml:space="preserve">IPBES/8/INF/6. </w:t>
      </w:r>
    </w:p>
    <w:p w14:paraId="1E44F922" w14:textId="494D3212" w:rsidR="008125AA" w:rsidRPr="00E046E7" w:rsidRDefault="008125AA" w:rsidP="00BD2801">
      <w:pPr>
        <w:pStyle w:val="CH1"/>
        <w:rPr>
          <w:lang w:val="fr-FR"/>
        </w:rPr>
      </w:pPr>
      <w:r w:rsidRPr="00E046E7">
        <w:rPr>
          <w:lang w:val="fr-FR"/>
        </w:rPr>
        <w:tab/>
        <w:t>I.</w:t>
      </w:r>
      <w:r w:rsidRPr="00E046E7">
        <w:rPr>
          <w:lang w:val="fr-FR"/>
        </w:rPr>
        <w:tab/>
      </w:r>
      <w:r w:rsidR="007B7DAD" w:rsidRPr="00E046E7">
        <w:rPr>
          <w:lang w:val="fr-FR"/>
        </w:rPr>
        <w:t>Portée</w:t>
      </w:r>
      <w:r w:rsidRPr="00E046E7">
        <w:rPr>
          <w:lang w:val="fr-FR"/>
        </w:rPr>
        <w:t xml:space="preserve">, </w:t>
      </w:r>
      <w:r w:rsidR="007B7DAD" w:rsidRPr="00E046E7">
        <w:rPr>
          <w:lang w:val="fr-FR"/>
        </w:rPr>
        <w:t>calendrier</w:t>
      </w:r>
      <w:r w:rsidRPr="00E046E7">
        <w:rPr>
          <w:lang w:val="fr-FR"/>
        </w:rPr>
        <w:t xml:space="preserve"> </w:t>
      </w:r>
      <w:r w:rsidR="00A40038" w:rsidRPr="00E046E7">
        <w:rPr>
          <w:lang w:val="fr-FR"/>
        </w:rPr>
        <w:t>et couverture géographique, c</w:t>
      </w:r>
      <w:r w:rsidR="00BD3560">
        <w:rPr>
          <w:lang w:val="fr-FR"/>
        </w:rPr>
        <w:t>adre d</w:t>
      </w:r>
      <w:r w:rsidR="00BD2801">
        <w:rPr>
          <w:lang w:val="fr-FR"/>
        </w:rPr>
        <w:t>’</w:t>
      </w:r>
      <w:r w:rsidR="00BD3560">
        <w:rPr>
          <w:lang w:val="fr-FR"/>
        </w:rPr>
        <w:t>action</w:t>
      </w:r>
      <w:r w:rsidR="00A40038" w:rsidRPr="00E046E7">
        <w:rPr>
          <w:lang w:val="fr-FR"/>
        </w:rPr>
        <w:t>,</w:t>
      </w:r>
      <w:r w:rsidRPr="00E046E7">
        <w:rPr>
          <w:lang w:val="fr-FR"/>
        </w:rPr>
        <w:t xml:space="preserve"> </w:t>
      </w:r>
      <w:r w:rsidR="003B2C5D" w:rsidRPr="00E046E7">
        <w:rPr>
          <w:lang w:val="fr-FR"/>
        </w:rPr>
        <w:t xml:space="preserve">questions </w:t>
      </w:r>
      <w:r w:rsidR="00BD3560">
        <w:rPr>
          <w:lang w:val="fr-FR"/>
        </w:rPr>
        <w:t>fondamentales e</w:t>
      </w:r>
      <w:r w:rsidR="003B2C5D" w:rsidRPr="00E046E7">
        <w:rPr>
          <w:lang w:val="fr-FR"/>
        </w:rPr>
        <w:t>t approche méthodologique</w:t>
      </w:r>
    </w:p>
    <w:p w14:paraId="571658BA" w14:textId="0268BF11" w:rsidR="008125AA" w:rsidRPr="00E046E7" w:rsidRDefault="008125AA" w:rsidP="00BD2801">
      <w:pPr>
        <w:pStyle w:val="CH2"/>
        <w:rPr>
          <w:lang w:val="fr-FR"/>
        </w:rPr>
      </w:pPr>
      <w:r w:rsidRPr="00E046E7">
        <w:rPr>
          <w:lang w:val="fr-FR"/>
        </w:rPr>
        <w:tab/>
        <w:t>A.</w:t>
      </w:r>
      <w:r w:rsidRPr="00E046E7">
        <w:rPr>
          <w:lang w:val="fr-FR"/>
        </w:rPr>
        <w:tab/>
      </w:r>
      <w:r w:rsidR="003B2C5D" w:rsidRPr="00BD2801">
        <w:t>Portée</w:t>
      </w:r>
    </w:p>
    <w:p w14:paraId="0F56CD70" w14:textId="040F042F" w:rsidR="008125AA" w:rsidRPr="00E046E7" w:rsidRDefault="003B2C5D" w:rsidP="00BD2801">
      <w:pPr>
        <w:pStyle w:val="Normalnumber"/>
        <w:rPr>
          <w:rFonts w:eastAsia="MS Mincho"/>
          <w:lang w:val="fr-FR"/>
        </w:rPr>
      </w:pPr>
      <w:r w:rsidRPr="00E046E7">
        <w:rPr>
          <w:rFonts w:eastAsia="MS Mincho"/>
          <w:lang w:val="fr-FR"/>
        </w:rPr>
        <w:t>Aux fins de l</w:t>
      </w:r>
      <w:r w:rsidR="00BD2801">
        <w:rPr>
          <w:rFonts w:eastAsia="MS Mincho"/>
          <w:lang w:val="fr-FR"/>
        </w:rPr>
        <w:t>’</w:t>
      </w:r>
      <w:r w:rsidRPr="00E046E7">
        <w:rPr>
          <w:rFonts w:eastAsia="MS Mincho"/>
          <w:lang w:val="fr-FR"/>
        </w:rPr>
        <w:t xml:space="preserve">évaluation et </w:t>
      </w:r>
      <w:r w:rsidR="00693155">
        <w:rPr>
          <w:rFonts w:eastAsia="MS Mincho"/>
          <w:lang w:val="fr-FR"/>
        </w:rPr>
        <w:t xml:space="preserve">dans </w:t>
      </w:r>
      <w:r w:rsidR="00877C53">
        <w:rPr>
          <w:rFonts w:eastAsia="MS Mincho"/>
          <w:lang w:val="fr-FR"/>
        </w:rPr>
        <w:t>la lignée d</w:t>
      </w:r>
      <w:r w:rsidRPr="00E046E7">
        <w:rPr>
          <w:rFonts w:eastAsia="MS Mincho"/>
          <w:lang w:val="fr-FR"/>
        </w:rPr>
        <w:t xml:space="preserve">es précédents travaux de la Plateforme approuvés par la Plénière de </w:t>
      </w:r>
      <w:r w:rsidRPr="00BD2801">
        <w:rPr>
          <w:rFonts w:eastAsia="MS Mincho"/>
        </w:rPr>
        <w:t>cette</w:t>
      </w:r>
      <w:r w:rsidRPr="00E046E7">
        <w:rPr>
          <w:rFonts w:eastAsia="MS Mincho"/>
          <w:lang w:val="fr-FR"/>
        </w:rPr>
        <w:t xml:space="preserve"> dernière, les changements transformateurs</w:t>
      </w:r>
      <w:r w:rsidR="00CC40FC">
        <w:rPr>
          <w:rStyle w:val="FootnoteReference"/>
          <w:rFonts w:eastAsia="MS Mincho"/>
          <w:lang w:val="fr-FR"/>
        </w:rPr>
        <w:footnoteReference w:id="4"/>
      </w:r>
      <w:r w:rsidR="004E5AA4" w:rsidRPr="00E046E7">
        <w:rPr>
          <w:rFonts w:eastAsia="MS Mincho"/>
          <w:vertAlign w:val="superscript"/>
          <w:lang w:val="fr-FR"/>
        </w:rPr>
        <w:t xml:space="preserve"> </w:t>
      </w:r>
      <w:r w:rsidR="00131329" w:rsidRPr="00E046E7">
        <w:rPr>
          <w:rFonts w:eastAsia="MS Mincho"/>
          <w:lang w:val="fr-FR"/>
        </w:rPr>
        <w:t xml:space="preserve">sont définis comme </w:t>
      </w:r>
      <w:r w:rsidR="009D37A6" w:rsidRPr="00E046E7">
        <w:rPr>
          <w:rFonts w:eastAsia="MS Mincho"/>
          <w:lang w:val="fr-FR"/>
        </w:rPr>
        <w:t>u</w:t>
      </w:r>
      <w:r w:rsidR="00131329" w:rsidRPr="00E046E7">
        <w:rPr>
          <w:rFonts w:eastAsia="MS Mincho"/>
          <w:lang w:val="fr-FR"/>
        </w:rPr>
        <w:t>ne</w:t>
      </w:r>
      <w:r w:rsidR="00703C43">
        <w:rPr>
          <w:rFonts w:eastAsia="MS Mincho"/>
          <w:lang w:val="fr-FR"/>
        </w:rPr>
        <w:t> </w:t>
      </w:r>
      <w:r w:rsidR="00131329" w:rsidRPr="00E046E7">
        <w:rPr>
          <w:rFonts w:eastAsia="MS Mincho"/>
          <w:lang w:val="fr-FR"/>
        </w:rPr>
        <w:t>réorganisation en profondeur à l</w:t>
      </w:r>
      <w:r w:rsidR="00BD2801">
        <w:rPr>
          <w:rFonts w:eastAsia="MS Mincho"/>
          <w:lang w:val="fr-FR"/>
        </w:rPr>
        <w:t>’</w:t>
      </w:r>
      <w:r w:rsidR="00131329" w:rsidRPr="00E046E7">
        <w:rPr>
          <w:rFonts w:eastAsia="MS Mincho"/>
          <w:lang w:val="fr-FR"/>
        </w:rPr>
        <w:t>échelle du système de l</w:t>
      </w:r>
      <w:r w:rsidR="00BD2801">
        <w:rPr>
          <w:rFonts w:eastAsia="MS Mincho"/>
          <w:lang w:val="fr-FR"/>
        </w:rPr>
        <w:t>’</w:t>
      </w:r>
      <w:r w:rsidR="00131329" w:rsidRPr="00E046E7">
        <w:rPr>
          <w:rFonts w:eastAsia="MS Mincho"/>
          <w:lang w:val="fr-FR"/>
        </w:rPr>
        <w:t>ensemble des facteurs technologiques, économiques et sociaux, y compris des paradigmes, des objectifs et des valeurs</w:t>
      </w:r>
      <w:r w:rsidR="008125AA" w:rsidRPr="00E046E7">
        <w:rPr>
          <w:rFonts w:eastAsia="MS Mincho"/>
          <w:vertAlign w:val="superscript"/>
          <w:lang w:val="fr-FR"/>
        </w:rPr>
        <w:footnoteReference w:id="5"/>
      </w:r>
      <w:r w:rsidR="008125AA" w:rsidRPr="00E046E7">
        <w:rPr>
          <w:rFonts w:eastAsia="MS Mincho"/>
          <w:lang w:val="fr-FR"/>
        </w:rPr>
        <w:t xml:space="preserve">. </w:t>
      </w:r>
      <w:r w:rsidR="004E5AA4" w:rsidRPr="00E046E7">
        <w:rPr>
          <w:rFonts w:eastAsia="MS Mincho"/>
          <w:lang w:val="fr-FR"/>
        </w:rPr>
        <w:t xml:space="preserve">La nécessité et </w:t>
      </w:r>
      <w:r w:rsidR="004E5AA4" w:rsidRPr="00E046E7">
        <w:rPr>
          <w:rFonts w:eastAsia="MS Mincho"/>
          <w:lang w:val="fr-FR"/>
        </w:rPr>
        <w:lastRenderedPageBreak/>
        <w:t>la</w:t>
      </w:r>
      <w:r w:rsidR="00703C43">
        <w:rPr>
          <w:rFonts w:eastAsia="MS Mincho"/>
          <w:lang w:val="fr-FR"/>
        </w:rPr>
        <w:t> </w:t>
      </w:r>
      <w:r w:rsidR="004E5AA4" w:rsidRPr="00E046E7">
        <w:rPr>
          <w:rFonts w:eastAsia="MS Mincho"/>
          <w:lang w:val="fr-FR"/>
        </w:rPr>
        <w:t>possibilité de changements transformateurs rapides sont devenues apparentes au cours de la</w:t>
      </w:r>
      <w:r w:rsidR="00703C43">
        <w:rPr>
          <w:rFonts w:eastAsia="MS Mincho"/>
          <w:lang w:val="fr-FR"/>
        </w:rPr>
        <w:t> </w:t>
      </w:r>
      <w:r w:rsidR="004E5AA4" w:rsidRPr="00E046E7">
        <w:rPr>
          <w:rFonts w:eastAsia="MS Mincho"/>
          <w:lang w:val="fr-FR"/>
        </w:rPr>
        <w:t xml:space="preserve">pandémie de </w:t>
      </w:r>
      <w:r w:rsidR="008125AA" w:rsidRPr="00E046E7">
        <w:rPr>
          <w:rFonts w:eastAsia="MS Mincho"/>
          <w:lang w:val="fr-FR"/>
        </w:rPr>
        <w:t>COVID-19.</w:t>
      </w:r>
    </w:p>
    <w:p w14:paraId="1013EA74" w14:textId="18B27CBA" w:rsidR="008125AA" w:rsidRPr="00E046E7" w:rsidRDefault="004E5AA4" w:rsidP="00BD2801">
      <w:pPr>
        <w:pStyle w:val="Normalnumber"/>
        <w:rPr>
          <w:rFonts w:eastAsia="MS Mincho"/>
          <w:lang w:val="fr-FR"/>
        </w:rPr>
      </w:pPr>
      <w:r w:rsidRPr="00E046E7">
        <w:rPr>
          <w:rFonts w:eastAsia="MS Mincho"/>
          <w:lang w:val="fr-FR"/>
        </w:rPr>
        <w:t>L</w:t>
      </w:r>
      <w:r w:rsidR="00BD2801">
        <w:rPr>
          <w:rFonts w:eastAsia="MS Mincho"/>
          <w:lang w:val="fr-FR"/>
        </w:rPr>
        <w:t>’</w:t>
      </w:r>
      <w:r w:rsidR="00377456">
        <w:rPr>
          <w:rFonts w:eastAsia="MS Mincho"/>
          <w:lang w:val="fr-FR"/>
        </w:rPr>
        <w:t>é</w:t>
      </w:r>
      <w:r w:rsidRPr="00E046E7">
        <w:rPr>
          <w:rFonts w:eastAsia="MS Mincho"/>
          <w:lang w:val="fr-FR"/>
        </w:rPr>
        <w:t xml:space="preserve">valuation mondiale de la biodiversité et des services écosystémiques de la Plateforme a conclu </w:t>
      </w:r>
      <w:r w:rsidRPr="00BD2801">
        <w:rPr>
          <w:rFonts w:eastAsia="MS Mincho"/>
        </w:rPr>
        <w:t>qu</w:t>
      </w:r>
      <w:r w:rsidR="00BD2801" w:rsidRPr="00BD2801">
        <w:rPr>
          <w:rFonts w:eastAsia="MS Mincho"/>
        </w:rPr>
        <w:t>’</w:t>
      </w:r>
      <w:r w:rsidRPr="00BD2801">
        <w:rPr>
          <w:rFonts w:eastAsia="MS Mincho"/>
        </w:rPr>
        <w:t>il</w:t>
      </w:r>
      <w:r w:rsidRPr="00E046E7">
        <w:rPr>
          <w:rFonts w:eastAsia="MS Mincho"/>
          <w:lang w:val="fr-FR"/>
        </w:rPr>
        <w:t xml:space="preserve"> existait des voies possibles pour concrétiser la Vision</w:t>
      </w:r>
      <w:r w:rsidR="00E046E7">
        <w:rPr>
          <w:rFonts w:eastAsia="MS Mincho"/>
          <w:lang w:val="fr-FR"/>
        </w:rPr>
        <w:t> </w:t>
      </w:r>
      <w:r w:rsidRPr="00E046E7">
        <w:rPr>
          <w:rFonts w:eastAsia="MS Mincho"/>
          <w:lang w:val="fr-FR"/>
        </w:rPr>
        <w:t>2050 pour la biodiversité parallèlement aux principaux objectifs de développement humain</w:t>
      </w:r>
      <w:r w:rsidR="008125AA" w:rsidRPr="00E046E7">
        <w:rPr>
          <w:rFonts w:eastAsia="MS Mincho"/>
          <w:lang w:val="fr-FR"/>
        </w:rPr>
        <w:t>.</w:t>
      </w:r>
      <w:r w:rsidR="0089376B" w:rsidRPr="00E046E7">
        <w:rPr>
          <w:rFonts w:eastAsia="MS Mincho"/>
          <w:lang w:val="fr-FR"/>
        </w:rPr>
        <w:t xml:space="preserve"> Toutefois, ces voies</w:t>
      </w:r>
      <w:r w:rsidR="008125AA" w:rsidRPr="00E046E7">
        <w:rPr>
          <w:rFonts w:eastAsia="MS Mincho"/>
          <w:lang w:val="fr-FR"/>
        </w:rPr>
        <w:t xml:space="preserve"> </w:t>
      </w:r>
      <w:r w:rsidR="0089376B" w:rsidRPr="00E046E7">
        <w:rPr>
          <w:rFonts w:eastAsia="MS Mincho"/>
          <w:lang w:val="fr-FR"/>
        </w:rPr>
        <w:t>exigent des</w:t>
      </w:r>
      <w:r w:rsidR="00703C43">
        <w:rPr>
          <w:rFonts w:eastAsia="MS Mincho"/>
          <w:lang w:val="fr-FR"/>
        </w:rPr>
        <w:t> </w:t>
      </w:r>
      <w:r w:rsidR="0089376B" w:rsidRPr="00E046E7">
        <w:rPr>
          <w:rFonts w:eastAsia="MS Mincho"/>
          <w:lang w:val="fr-FR"/>
        </w:rPr>
        <w:t xml:space="preserve">changements fondamentaux </w:t>
      </w:r>
      <w:r w:rsidR="00142404">
        <w:rPr>
          <w:rFonts w:eastAsia="MS Mincho"/>
          <w:lang w:val="fr-FR"/>
        </w:rPr>
        <w:t xml:space="preserve">au niveau </w:t>
      </w:r>
      <w:r w:rsidR="0089376B" w:rsidRPr="00E046E7">
        <w:rPr>
          <w:rFonts w:eastAsia="MS Mincho"/>
          <w:lang w:val="fr-FR"/>
        </w:rPr>
        <w:t xml:space="preserve">des paradigmes du développement et des dynamiques socio-écologiques, </w:t>
      </w:r>
      <w:r w:rsidR="00313E8A" w:rsidRPr="00E046E7">
        <w:rPr>
          <w:rFonts w:eastAsia="MS Mincho"/>
          <w:lang w:val="fr-FR"/>
        </w:rPr>
        <w:t>ce qui entraîne</w:t>
      </w:r>
      <w:r w:rsidR="0089376B" w:rsidRPr="00E046E7">
        <w:rPr>
          <w:rFonts w:eastAsia="MS Mincho"/>
          <w:lang w:val="fr-FR"/>
        </w:rPr>
        <w:t xml:space="preserve"> des transformations </w:t>
      </w:r>
      <w:r w:rsidR="00323A18">
        <w:rPr>
          <w:rFonts w:eastAsia="MS Mincho"/>
          <w:lang w:val="fr-FR"/>
        </w:rPr>
        <w:t>de la société</w:t>
      </w:r>
      <w:r w:rsidR="0089376B" w:rsidRPr="00E046E7">
        <w:rPr>
          <w:rFonts w:eastAsia="MS Mincho"/>
          <w:lang w:val="fr-FR"/>
        </w:rPr>
        <w:t xml:space="preserve">, </w:t>
      </w:r>
      <w:r w:rsidR="00142404">
        <w:rPr>
          <w:rFonts w:eastAsia="MS Mincho"/>
          <w:lang w:val="fr-FR"/>
        </w:rPr>
        <w:t>en prenant en compte</w:t>
      </w:r>
      <w:r w:rsidR="0089376B" w:rsidRPr="00E046E7">
        <w:rPr>
          <w:rFonts w:eastAsia="MS Mincho"/>
          <w:lang w:val="fr-FR"/>
        </w:rPr>
        <w:t xml:space="preserve"> </w:t>
      </w:r>
      <w:r w:rsidR="00142404">
        <w:rPr>
          <w:rFonts w:eastAsia="MS Mincho"/>
          <w:lang w:val="fr-FR"/>
        </w:rPr>
        <w:t>le</w:t>
      </w:r>
      <w:r w:rsidR="0089376B" w:rsidRPr="00E046E7">
        <w:rPr>
          <w:rFonts w:eastAsia="MS Mincho"/>
          <w:lang w:val="fr-FR"/>
        </w:rPr>
        <w:t>s</w:t>
      </w:r>
      <w:r w:rsidR="00703C43">
        <w:rPr>
          <w:rFonts w:eastAsia="MS Mincho"/>
          <w:lang w:val="fr-FR"/>
        </w:rPr>
        <w:t> </w:t>
      </w:r>
      <w:r w:rsidR="0089376B" w:rsidRPr="00E046E7">
        <w:rPr>
          <w:rFonts w:eastAsia="MS Mincho"/>
          <w:lang w:val="fr-FR"/>
        </w:rPr>
        <w:t>inégalités et la gouvernance</w:t>
      </w:r>
      <w:r w:rsidR="00142404">
        <w:rPr>
          <w:rFonts w:eastAsia="MS Mincho"/>
          <w:lang w:val="fr-FR"/>
        </w:rPr>
        <w:t>, en utilisant l</w:t>
      </w:r>
      <w:r w:rsidR="0089376B" w:rsidRPr="00E046E7">
        <w:rPr>
          <w:rFonts w:eastAsia="MS Mincho"/>
          <w:lang w:val="fr-FR"/>
        </w:rPr>
        <w:t>es terres, l</w:t>
      </w:r>
      <w:r w:rsidR="00BD2801">
        <w:rPr>
          <w:rFonts w:eastAsia="MS Mincho"/>
          <w:lang w:val="fr-FR"/>
        </w:rPr>
        <w:t>’</w:t>
      </w:r>
      <w:r w:rsidR="0089376B" w:rsidRPr="00E046E7">
        <w:rPr>
          <w:rFonts w:eastAsia="MS Mincho"/>
          <w:lang w:val="fr-FR"/>
        </w:rPr>
        <w:t>eau, l</w:t>
      </w:r>
      <w:r w:rsidR="00BD2801">
        <w:rPr>
          <w:rFonts w:eastAsia="MS Mincho"/>
          <w:lang w:val="fr-FR"/>
        </w:rPr>
        <w:t>’</w:t>
      </w:r>
      <w:r w:rsidR="0089376B" w:rsidRPr="00E046E7">
        <w:rPr>
          <w:rFonts w:eastAsia="MS Mincho"/>
          <w:lang w:val="fr-FR"/>
        </w:rPr>
        <w:t xml:space="preserve">énergie et </w:t>
      </w:r>
      <w:r w:rsidR="00142404">
        <w:rPr>
          <w:rFonts w:eastAsia="MS Mincho"/>
          <w:lang w:val="fr-FR"/>
        </w:rPr>
        <w:t>l</w:t>
      </w:r>
      <w:r w:rsidR="0089376B" w:rsidRPr="00E046E7">
        <w:rPr>
          <w:rFonts w:eastAsia="MS Mincho"/>
          <w:lang w:val="fr-FR"/>
        </w:rPr>
        <w:t>es matériaux</w:t>
      </w:r>
      <w:r w:rsidR="00142404">
        <w:rPr>
          <w:rFonts w:eastAsia="MS Mincho"/>
          <w:lang w:val="fr-FR"/>
        </w:rPr>
        <w:t xml:space="preserve"> de façon bien plus durable ainsi qu</w:t>
      </w:r>
      <w:r w:rsidR="00BD2801">
        <w:rPr>
          <w:rFonts w:eastAsia="MS Mincho"/>
          <w:lang w:val="fr-FR"/>
        </w:rPr>
        <w:t>’</w:t>
      </w:r>
      <w:r w:rsidR="0089376B" w:rsidRPr="00E046E7">
        <w:rPr>
          <w:rFonts w:eastAsia="MS Mincho"/>
          <w:lang w:val="fr-FR"/>
        </w:rPr>
        <w:t>en repensant</w:t>
      </w:r>
      <w:r w:rsidR="00313E8A" w:rsidRPr="00E046E7">
        <w:rPr>
          <w:rFonts w:eastAsia="MS Mincho"/>
          <w:lang w:val="fr-FR"/>
        </w:rPr>
        <w:t xml:space="preserve"> et modifiant de manière appropriée</w:t>
      </w:r>
      <w:r w:rsidR="0089376B" w:rsidRPr="00E046E7">
        <w:rPr>
          <w:rFonts w:eastAsia="MS Mincho"/>
          <w:lang w:val="fr-FR"/>
        </w:rPr>
        <w:t xml:space="preserve"> les habitudes de consommation</w:t>
      </w:r>
      <w:r w:rsidR="00313E8A" w:rsidRPr="00E046E7">
        <w:rPr>
          <w:rFonts w:eastAsia="MS Mincho"/>
          <w:lang w:val="fr-FR"/>
        </w:rPr>
        <w:t>,</w:t>
      </w:r>
      <w:r w:rsidR="0089376B" w:rsidRPr="00E046E7">
        <w:rPr>
          <w:rFonts w:eastAsia="MS Mincho"/>
          <w:lang w:val="fr-FR"/>
        </w:rPr>
        <w:t xml:space="preserve"> les systèmes alimentaires</w:t>
      </w:r>
      <w:r w:rsidR="00313E8A" w:rsidRPr="00E046E7">
        <w:rPr>
          <w:rFonts w:eastAsia="MS Mincho"/>
          <w:lang w:val="fr-FR"/>
        </w:rPr>
        <w:t xml:space="preserve"> et les chaînes de valeur mondiales</w:t>
      </w:r>
      <w:r w:rsidR="008125AA" w:rsidRPr="00E046E7">
        <w:rPr>
          <w:rFonts w:eastAsia="MS Mincho"/>
          <w:lang w:val="fr-FR"/>
        </w:rPr>
        <w:t xml:space="preserve">. </w:t>
      </w:r>
      <w:r w:rsidR="00313E8A" w:rsidRPr="00E046E7">
        <w:rPr>
          <w:rFonts w:eastAsia="MS Mincho"/>
          <w:lang w:val="fr-FR"/>
        </w:rPr>
        <w:t>L</w:t>
      </w:r>
      <w:r w:rsidR="00BD2801">
        <w:rPr>
          <w:rFonts w:eastAsia="MS Mincho"/>
          <w:lang w:val="fr-FR"/>
        </w:rPr>
        <w:t>’</w:t>
      </w:r>
      <w:r w:rsidR="00313E8A" w:rsidRPr="00E046E7">
        <w:rPr>
          <w:rFonts w:eastAsia="MS Mincho"/>
          <w:lang w:val="fr-FR"/>
        </w:rPr>
        <w:t xml:space="preserve">évaluation </w:t>
      </w:r>
      <w:r w:rsidR="00713B95">
        <w:rPr>
          <w:rFonts w:eastAsia="MS Mincho"/>
          <w:lang w:val="fr-FR"/>
        </w:rPr>
        <w:t xml:space="preserve">éclairera </w:t>
      </w:r>
      <w:r w:rsidR="00313E8A" w:rsidRPr="00E046E7">
        <w:rPr>
          <w:rFonts w:eastAsia="MS Mincho"/>
          <w:lang w:val="fr-FR"/>
        </w:rPr>
        <w:t xml:space="preserve">les décideurs </w:t>
      </w:r>
      <w:r w:rsidR="00713B95">
        <w:rPr>
          <w:rFonts w:eastAsia="MS Mincho"/>
          <w:lang w:val="fr-FR"/>
        </w:rPr>
        <w:t xml:space="preserve">sur les </w:t>
      </w:r>
      <w:r w:rsidR="00313E8A" w:rsidRPr="00E046E7">
        <w:rPr>
          <w:rFonts w:eastAsia="MS Mincho"/>
          <w:lang w:val="fr-FR"/>
        </w:rPr>
        <w:t>options pour mettre en œuvre des changements transformateurs en vue de réaliser la</w:t>
      </w:r>
      <w:r w:rsidR="008125AA" w:rsidRPr="00E046E7">
        <w:rPr>
          <w:rFonts w:eastAsia="MS Mincho"/>
          <w:lang w:val="fr-FR"/>
        </w:rPr>
        <w:t xml:space="preserve"> </w:t>
      </w:r>
      <w:r w:rsidR="00313E8A" w:rsidRPr="00E046E7">
        <w:rPr>
          <w:rFonts w:eastAsia="MS Mincho"/>
          <w:lang w:val="fr-FR"/>
        </w:rPr>
        <w:t>Vision</w:t>
      </w:r>
      <w:r w:rsidR="00E046E7">
        <w:rPr>
          <w:rFonts w:eastAsia="MS Mincho"/>
          <w:lang w:val="fr-FR"/>
        </w:rPr>
        <w:t> </w:t>
      </w:r>
      <w:r w:rsidR="00313E8A" w:rsidRPr="00E046E7">
        <w:rPr>
          <w:rFonts w:eastAsia="MS Mincho"/>
          <w:lang w:val="fr-FR"/>
        </w:rPr>
        <w:t>2050 pour la biodiversité et les objectifs de développement durable</w:t>
      </w:r>
      <w:r w:rsidR="008125AA" w:rsidRPr="00E046E7">
        <w:rPr>
          <w:rFonts w:eastAsia="MS Mincho"/>
          <w:lang w:val="fr-FR"/>
        </w:rPr>
        <w:t>.</w:t>
      </w:r>
    </w:p>
    <w:p w14:paraId="6716106C" w14:textId="3D75772C" w:rsidR="008125AA" w:rsidRPr="00E046E7" w:rsidRDefault="00B50343" w:rsidP="00BD2801">
      <w:pPr>
        <w:pStyle w:val="Normalnumber"/>
        <w:rPr>
          <w:rFonts w:eastAsia="MS Mincho"/>
          <w:lang w:val="fr-FR"/>
        </w:rPr>
      </w:pPr>
      <w:r w:rsidRPr="00E046E7">
        <w:rPr>
          <w:rFonts w:eastAsia="MS Mincho"/>
          <w:lang w:val="fr-FR"/>
        </w:rPr>
        <w:t>Le rapport d</w:t>
      </w:r>
      <w:r w:rsidR="00BD2801">
        <w:rPr>
          <w:rFonts w:eastAsia="MS Mincho"/>
          <w:lang w:val="fr-FR"/>
        </w:rPr>
        <w:t>’</w:t>
      </w:r>
      <w:r w:rsidRPr="00E046E7">
        <w:rPr>
          <w:rFonts w:eastAsia="MS Mincho"/>
          <w:lang w:val="fr-FR"/>
        </w:rPr>
        <w:t>évaluation examinera différents scénarios et visions en vue d</w:t>
      </w:r>
      <w:r w:rsidR="00BD2801">
        <w:rPr>
          <w:rFonts w:eastAsia="MS Mincho"/>
          <w:lang w:val="fr-FR"/>
        </w:rPr>
        <w:t>’</w:t>
      </w:r>
      <w:r w:rsidRPr="00E046E7">
        <w:rPr>
          <w:rFonts w:eastAsia="MS Mincho"/>
          <w:lang w:val="fr-FR"/>
        </w:rPr>
        <w:t>un monde durable pour la nature et les populations, conformément à la Vision</w:t>
      </w:r>
      <w:r w:rsidR="00E046E7">
        <w:rPr>
          <w:rFonts w:eastAsia="MS Mincho"/>
          <w:lang w:val="fr-FR"/>
        </w:rPr>
        <w:t> </w:t>
      </w:r>
      <w:r w:rsidRPr="00E046E7">
        <w:rPr>
          <w:rFonts w:eastAsia="MS Mincho"/>
          <w:lang w:val="fr-FR"/>
        </w:rPr>
        <w:t>2050 pour la biodiversité et dans le</w:t>
      </w:r>
      <w:r w:rsidR="00703C43">
        <w:rPr>
          <w:rFonts w:eastAsia="MS Mincho"/>
          <w:lang w:val="fr-FR"/>
        </w:rPr>
        <w:t> </w:t>
      </w:r>
      <w:r w:rsidRPr="00E046E7">
        <w:rPr>
          <w:rFonts w:eastAsia="MS Mincho"/>
          <w:lang w:val="fr-FR"/>
        </w:rPr>
        <w:t>contexte du</w:t>
      </w:r>
      <w:r w:rsidR="008125AA" w:rsidRPr="00E046E7">
        <w:rPr>
          <w:rFonts w:eastAsia="MS Mincho"/>
          <w:lang w:val="fr-FR"/>
        </w:rPr>
        <w:t xml:space="preserve"> </w:t>
      </w:r>
      <w:r w:rsidRPr="00E046E7">
        <w:rPr>
          <w:rFonts w:eastAsia="MS Mincho"/>
          <w:lang w:val="fr-FR"/>
        </w:rPr>
        <w:t>Programme </w:t>
      </w:r>
      <w:r w:rsidR="00225EFB">
        <w:rPr>
          <w:rFonts w:eastAsia="MS Mincho"/>
          <w:lang w:val="fr-FR"/>
        </w:rPr>
        <w:t>de développement durable à l</w:t>
      </w:r>
      <w:r w:rsidR="00BD2801">
        <w:rPr>
          <w:rFonts w:eastAsia="MS Mincho"/>
          <w:lang w:val="fr-FR"/>
        </w:rPr>
        <w:t>’</w:t>
      </w:r>
      <w:r w:rsidR="00225EFB">
        <w:rPr>
          <w:rFonts w:eastAsia="MS Mincho"/>
          <w:lang w:val="fr-FR"/>
        </w:rPr>
        <w:t xml:space="preserve">horizon </w:t>
      </w:r>
      <w:r w:rsidR="008125AA" w:rsidRPr="00E046E7">
        <w:rPr>
          <w:rFonts w:eastAsia="MS Mincho"/>
          <w:lang w:val="fr-FR"/>
        </w:rPr>
        <w:t xml:space="preserve">2030 </w:t>
      </w:r>
      <w:r w:rsidRPr="00E046E7">
        <w:rPr>
          <w:rFonts w:eastAsia="MS Mincho"/>
          <w:lang w:val="fr-FR"/>
        </w:rPr>
        <w:t>et de ses objectifs de développement durable</w:t>
      </w:r>
      <w:r w:rsidR="008125AA" w:rsidRPr="00E046E7">
        <w:rPr>
          <w:rFonts w:eastAsia="MS Mincho"/>
          <w:lang w:val="fr-FR"/>
        </w:rPr>
        <w:t>,</w:t>
      </w:r>
      <w:r w:rsidRPr="00E046E7">
        <w:rPr>
          <w:rFonts w:eastAsia="MS Mincho"/>
          <w:lang w:val="fr-FR"/>
        </w:rPr>
        <w:t xml:space="preserve"> y compris des visions de populations autochtones et de communautés locales</w:t>
      </w:r>
      <w:r w:rsidR="008125AA" w:rsidRPr="00E046E7">
        <w:rPr>
          <w:rFonts w:eastAsia="MS Mincho"/>
          <w:lang w:val="fr-FR"/>
        </w:rPr>
        <w:t>.</w:t>
      </w:r>
      <w:r w:rsidRPr="00E046E7">
        <w:rPr>
          <w:rFonts w:eastAsia="MS Mincho"/>
          <w:lang w:val="fr-FR"/>
        </w:rPr>
        <w:t xml:space="preserve"> De plus, le rapport évaluera les déterminants des changements transformateurs, la façon dont ils</w:t>
      </w:r>
      <w:r w:rsidR="00703C43">
        <w:rPr>
          <w:rFonts w:eastAsia="MS Mincho"/>
          <w:lang w:val="fr-FR"/>
        </w:rPr>
        <w:t> </w:t>
      </w:r>
      <w:r w:rsidRPr="00BD2801">
        <w:rPr>
          <w:rFonts w:eastAsia="MS Mincho"/>
        </w:rPr>
        <w:t>interviennent</w:t>
      </w:r>
      <w:r w:rsidRPr="00E046E7">
        <w:rPr>
          <w:rFonts w:eastAsia="MS Mincho"/>
          <w:lang w:val="fr-FR"/>
        </w:rPr>
        <w:t>, les obstacles qu</w:t>
      </w:r>
      <w:r w:rsidR="00BD2801">
        <w:rPr>
          <w:rFonts w:eastAsia="MS Mincho"/>
          <w:lang w:val="fr-FR"/>
        </w:rPr>
        <w:t>’</w:t>
      </w:r>
      <w:r w:rsidRPr="00E046E7">
        <w:rPr>
          <w:rFonts w:eastAsia="MS Mincho"/>
          <w:lang w:val="fr-FR"/>
        </w:rPr>
        <w:t>ils peuvent rencontrer et</w:t>
      </w:r>
      <w:r w:rsidR="008A392A" w:rsidRPr="00E046E7">
        <w:rPr>
          <w:rFonts w:eastAsia="MS Mincho"/>
          <w:lang w:val="fr-FR"/>
        </w:rPr>
        <w:t>, surtout,</w:t>
      </w:r>
      <w:r w:rsidRPr="00E046E7">
        <w:rPr>
          <w:rFonts w:eastAsia="MS Mincho"/>
          <w:lang w:val="fr-FR"/>
        </w:rPr>
        <w:t xml:space="preserve"> les </w:t>
      </w:r>
      <w:r w:rsidR="008A392A" w:rsidRPr="00E046E7">
        <w:rPr>
          <w:rFonts w:eastAsia="MS Mincho"/>
          <w:lang w:val="fr-FR"/>
        </w:rPr>
        <w:t>possibilités d</w:t>
      </w:r>
      <w:r w:rsidR="00BD2801">
        <w:rPr>
          <w:rFonts w:eastAsia="MS Mincho"/>
          <w:lang w:val="fr-FR"/>
        </w:rPr>
        <w:t>’</w:t>
      </w:r>
      <w:r w:rsidR="008A392A" w:rsidRPr="00E046E7">
        <w:rPr>
          <w:rFonts w:eastAsia="MS Mincho"/>
          <w:lang w:val="fr-FR"/>
        </w:rPr>
        <w:t>action</w:t>
      </w:r>
      <w:r w:rsidRPr="00E046E7">
        <w:rPr>
          <w:rFonts w:eastAsia="MS Mincho"/>
          <w:lang w:val="fr-FR"/>
        </w:rPr>
        <w:t xml:space="preserve"> qui existent pour</w:t>
      </w:r>
      <w:r w:rsidR="008A392A" w:rsidRPr="00E046E7">
        <w:rPr>
          <w:rFonts w:eastAsia="MS Mincho"/>
          <w:lang w:val="fr-FR"/>
        </w:rPr>
        <w:t xml:space="preserve"> favoriser et maintenir des changements transformateurs en vue des visions, scénarios et voies d</w:t>
      </w:r>
      <w:r w:rsidR="00BD2801">
        <w:rPr>
          <w:rFonts w:eastAsia="MS Mincho"/>
          <w:lang w:val="fr-FR"/>
        </w:rPr>
        <w:t>’</w:t>
      </w:r>
      <w:r w:rsidR="008A392A" w:rsidRPr="00E046E7">
        <w:rPr>
          <w:rFonts w:eastAsia="MS Mincho"/>
          <w:lang w:val="fr-FR"/>
        </w:rPr>
        <w:t>un monde durable</w:t>
      </w:r>
      <w:r w:rsidR="008125AA" w:rsidRPr="00E046E7">
        <w:rPr>
          <w:rFonts w:eastAsia="MS Mincho"/>
          <w:lang w:val="fr-FR"/>
        </w:rPr>
        <w:t>,</w:t>
      </w:r>
      <w:r w:rsidR="008A392A" w:rsidRPr="00E046E7">
        <w:rPr>
          <w:rFonts w:eastAsia="MS Mincho"/>
          <w:lang w:val="fr-FR"/>
        </w:rPr>
        <w:t xml:space="preserve"> les mesures nécessaires pour réaliser ces visions et la manière dont les</w:t>
      </w:r>
      <w:r w:rsidR="00703C43">
        <w:rPr>
          <w:rFonts w:eastAsia="MS Mincho"/>
          <w:lang w:val="fr-FR"/>
        </w:rPr>
        <w:t> </w:t>
      </w:r>
      <w:r w:rsidR="008A392A" w:rsidRPr="00E046E7">
        <w:rPr>
          <w:rFonts w:eastAsia="MS Mincho"/>
          <w:lang w:val="fr-FR"/>
        </w:rPr>
        <w:t>progrès sur la voie des changements transformateurs peuvent être mis en évidence et suivis</w:t>
      </w:r>
      <w:r w:rsidR="008125AA" w:rsidRPr="00E046E7">
        <w:rPr>
          <w:rFonts w:eastAsia="MS Mincho"/>
          <w:lang w:val="fr-FR"/>
        </w:rPr>
        <w:t>.</w:t>
      </w:r>
    </w:p>
    <w:p w14:paraId="5480E67C" w14:textId="11EB03E9" w:rsidR="008125AA" w:rsidRPr="00E046E7" w:rsidRDefault="002764EE"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 xml:space="preserve">évaluation vise à déterminer et comprendre les facteurs dans la société humaine, au niveau tant individuel que </w:t>
      </w:r>
      <w:r w:rsidRPr="00BD2801">
        <w:rPr>
          <w:rFonts w:eastAsia="MS Mincho"/>
        </w:rPr>
        <w:t>collectif</w:t>
      </w:r>
      <w:r w:rsidR="00F93BCB" w:rsidRPr="00E046E7">
        <w:rPr>
          <w:rFonts w:eastAsia="MS Mincho"/>
          <w:lang w:val="fr-FR"/>
        </w:rPr>
        <w:t xml:space="preserve"> et de l</w:t>
      </w:r>
      <w:r w:rsidR="00BD2801">
        <w:rPr>
          <w:rFonts w:eastAsia="MS Mincho"/>
          <w:lang w:val="fr-FR"/>
        </w:rPr>
        <w:t>’</w:t>
      </w:r>
      <w:r w:rsidR="00F93BCB" w:rsidRPr="00E046E7">
        <w:rPr>
          <w:rFonts w:eastAsia="MS Mincho"/>
          <w:lang w:val="fr-FR"/>
        </w:rPr>
        <w:t>échelle locale à l</w:t>
      </w:r>
      <w:r w:rsidR="00BD2801">
        <w:rPr>
          <w:rFonts w:eastAsia="MS Mincho"/>
          <w:lang w:val="fr-FR"/>
        </w:rPr>
        <w:t>’</w:t>
      </w:r>
      <w:r w:rsidR="00F93BCB" w:rsidRPr="00E046E7">
        <w:rPr>
          <w:rFonts w:eastAsia="MS Mincho"/>
          <w:lang w:val="fr-FR"/>
        </w:rPr>
        <w:t xml:space="preserve">échelle mondiale, qui peuvent être </w:t>
      </w:r>
      <w:r w:rsidR="00FB0A0C" w:rsidRPr="00E046E7">
        <w:rPr>
          <w:rFonts w:eastAsia="MS Mincho"/>
          <w:lang w:val="fr-FR"/>
        </w:rPr>
        <w:t>mobilisés</w:t>
      </w:r>
      <w:r w:rsidR="00F93BCB" w:rsidRPr="00E046E7">
        <w:rPr>
          <w:rFonts w:eastAsia="MS Mincho"/>
          <w:lang w:val="fr-FR"/>
        </w:rPr>
        <w:t xml:space="preserve"> pour </w:t>
      </w:r>
      <w:r w:rsidR="00FB0A0C" w:rsidRPr="00E046E7">
        <w:rPr>
          <w:rFonts w:eastAsia="MS Mincho"/>
          <w:lang w:val="fr-FR"/>
        </w:rPr>
        <w:t>amener</w:t>
      </w:r>
      <w:r w:rsidR="00F93BCB" w:rsidRPr="00E046E7">
        <w:rPr>
          <w:rFonts w:eastAsia="MS Mincho"/>
          <w:lang w:val="fr-FR"/>
        </w:rPr>
        <w:t xml:space="preserve"> des changements transformateurs afin d</w:t>
      </w:r>
      <w:r w:rsidR="00BD2801">
        <w:rPr>
          <w:rFonts w:eastAsia="MS Mincho"/>
          <w:lang w:val="fr-FR"/>
        </w:rPr>
        <w:t>’</w:t>
      </w:r>
      <w:r w:rsidR="00F93BCB" w:rsidRPr="00E046E7">
        <w:rPr>
          <w:rFonts w:eastAsia="MS Mincho"/>
          <w:lang w:val="fr-FR"/>
        </w:rPr>
        <w:t>aider à réaliser la Vision 2050 pour la biodiversité et les objectifs de développement durable</w:t>
      </w:r>
      <w:r w:rsidR="008125AA" w:rsidRPr="00E046E7">
        <w:rPr>
          <w:rFonts w:eastAsia="MS Mincho"/>
          <w:lang w:val="fr-FR"/>
        </w:rPr>
        <w:t>.</w:t>
      </w:r>
      <w:r w:rsidR="00F93BCB" w:rsidRPr="00E046E7">
        <w:rPr>
          <w:rFonts w:eastAsia="MS Mincho"/>
          <w:lang w:val="fr-FR"/>
        </w:rPr>
        <w:t xml:space="preserve"> Ces facteurs couvrent des dimensions psychologiques, comportementales, sociales, culturelles, économiques, politiques, de gouvernance, institutionnelles, démographiques, techniques et technologiques</w:t>
      </w:r>
      <w:r w:rsidR="008125AA" w:rsidRPr="00E046E7">
        <w:rPr>
          <w:rFonts w:eastAsia="MS Mincho"/>
          <w:lang w:val="fr-FR"/>
        </w:rPr>
        <w:t>,</w:t>
      </w:r>
      <w:r w:rsidR="00F93BCB" w:rsidRPr="00E046E7">
        <w:rPr>
          <w:rFonts w:eastAsia="MS Mincho"/>
          <w:lang w:val="fr-FR"/>
        </w:rPr>
        <w:t xml:space="preserve"> correspondant aux</w:t>
      </w:r>
      <w:r w:rsidR="0046635F" w:rsidRPr="00E046E7">
        <w:rPr>
          <w:rFonts w:eastAsia="MS Mincho"/>
          <w:lang w:val="fr-FR"/>
        </w:rPr>
        <w:t xml:space="preserve"> facteurs indirects de changement dans la biodiversité</w:t>
      </w:r>
      <w:r w:rsidR="008125AA" w:rsidRPr="00E046E7">
        <w:rPr>
          <w:rFonts w:eastAsia="MS Mincho"/>
          <w:lang w:val="fr-FR"/>
        </w:rPr>
        <w:t>,</w:t>
      </w:r>
      <w:r w:rsidR="0046635F" w:rsidRPr="00E046E7">
        <w:rPr>
          <w:rFonts w:eastAsia="MS Mincho"/>
          <w:lang w:val="fr-FR"/>
        </w:rPr>
        <w:t xml:space="preserve"> qui </w:t>
      </w:r>
      <w:r w:rsidR="00FB0A0C" w:rsidRPr="00E046E7">
        <w:rPr>
          <w:rFonts w:eastAsia="MS Mincho"/>
          <w:lang w:val="fr-FR"/>
        </w:rPr>
        <w:t>sont au cœur du</w:t>
      </w:r>
      <w:r w:rsidR="0046635F" w:rsidRPr="00E046E7">
        <w:rPr>
          <w:rFonts w:eastAsia="MS Mincho"/>
          <w:lang w:val="fr-FR"/>
        </w:rPr>
        <w:t xml:space="preserve"> cadre conceptuel </w:t>
      </w:r>
      <w:r w:rsidR="00C52EF6" w:rsidRPr="00E046E7">
        <w:rPr>
          <w:rFonts w:eastAsia="MS Mincho"/>
          <w:lang w:val="fr-FR"/>
        </w:rPr>
        <w:t>pour</w:t>
      </w:r>
      <w:r w:rsidR="0046635F" w:rsidRPr="00E046E7">
        <w:rPr>
          <w:rFonts w:eastAsia="MS Mincho"/>
          <w:lang w:val="fr-FR"/>
        </w:rPr>
        <w:t xml:space="preserve"> la Plateforme</w:t>
      </w:r>
      <w:r w:rsidR="008125AA" w:rsidRPr="00E046E7">
        <w:rPr>
          <w:rFonts w:eastAsia="MS Mincho"/>
          <w:vertAlign w:val="superscript"/>
          <w:lang w:val="fr-FR"/>
        </w:rPr>
        <w:footnoteReference w:id="6"/>
      </w:r>
      <w:r w:rsidR="008125AA" w:rsidRPr="00E046E7">
        <w:rPr>
          <w:rFonts w:eastAsia="MS Mincho"/>
          <w:lang w:val="fr-FR"/>
        </w:rPr>
        <w:t xml:space="preserve">. </w:t>
      </w:r>
      <w:r w:rsidR="0046635F" w:rsidRPr="00E046E7">
        <w:rPr>
          <w:rFonts w:eastAsia="MS Mincho"/>
          <w:lang w:val="fr-FR"/>
        </w:rPr>
        <w:t>Ils comprennent le rôle des institutions formelles et informelles ainsi que les incidences des modes de production, d</w:t>
      </w:r>
      <w:r w:rsidR="00BD2801">
        <w:rPr>
          <w:rFonts w:eastAsia="MS Mincho"/>
          <w:lang w:val="fr-FR"/>
        </w:rPr>
        <w:t>’</w:t>
      </w:r>
      <w:r w:rsidR="0046635F" w:rsidRPr="00E046E7">
        <w:rPr>
          <w:rFonts w:eastAsia="MS Mincho"/>
          <w:lang w:val="fr-FR"/>
        </w:rPr>
        <w:t>approvisionnement et de consommation</w:t>
      </w:r>
      <w:r w:rsidR="00457450" w:rsidRPr="00E046E7">
        <w:rPr>
          <w:rFonts w:eastAsia="MS Mincho"/>
          <w:lang w:val="fr-FR"/>
        </w:rPr>
        <w:t xml:space="preserve"> sur la nature</w:t>
      </w:r>
      <w:r w:rsidR="008125AA" w:rsidRPr="00E046E7">
        <w:rPr>
          <w:rFonts w:eastAsia="MS Mincho"/>
          <w:lang w:val="fr-FR"/>
        </w:rPr>
        <w:t>,</w:t>
      </w:r>
      <w:r w:rsidR="0046635F" w:rsidRPr="00E046E7">
        <w:rPr>
          <w:rFonts w:eastAsia="MS Mincho"/>
          <w:lang w:val="fr-FR"/>
        </w:rPr>
        <w:t xml:space="preserve"> les contributions de la nature</w:t>
      </w:r>
      <w:r w:rsidR="00457450" w:rsidRPr="00E046E7">
        <w:rPr>
          <w:rFonts w:eastAsia="MS Mincho"/>
          <w:lang w:val="fr-FR"/>
        </w:rPr>
        <w:t xml:space="preserve"> aux populations et la qualité de vie</w:t>
      </w:r>
      <w:r w:rsidR="008125AA" w:rsidRPr="00E046E7">
        <w:rPr>
          <w:rFonts w:eastAsia="MS Mincho"/>
          <w:lang w:val="fr-FR"/>
        </w:rPr>
        <w:t xml:space="preserve">. </w:t>
      </w:r>
      <w:r w:rsidR="00457450" w:rsidRPr="00E046E7">
        <w:rPr>
          <w:rFonts w:eastAsia="MS Mincho"/>
          <w:lang w:val="fr-FR"/>
        </w:rPr>
        <w:t>Une meilleure compréhension de la manière dont ces facteurs interdépendants peuvent être modifiés ou modulés peut éclairer l</w:t>
      </w:r>
      <w:r w:rsidR="00BD2801">
        <w:rPr>
          <w:rFonts w:eastAsia="MS Mincho"/>
          <w:lang w:val="fr-FR"/>
        </w:rPr>
        <w:t>’</w:t>
      </w:r>
      <w:r w:rsidR="00457450" w:rsidRPr="00E046E7">
        <w:rPr>
          <w:rFonts w:eastAsia="MS Mincho"/>
          <w:lang w:val="fr-FR"/>
        </w:rPr>
        <w:t>élaboration de politiques et de mesures pour</w:t>
      </w:r>
      <w:r w:rsidR="008125AA" w:rsidRPr="00E046E7">
        <w:rPr>
          <w:rFonts w:eastAsia="MS Mincho"/>
          <w:lang w:val="fr-FR"/>
        </w:rPr>
        <w:t xml:space="preserve"> </w:t>
      </w:r>
      <w:r w:rsidR="00457450" w:rsidRPr="00E046E7">
        <w:rPr>
          <w:rFonts w:eastAsia="MS Mincho"/>
          <w:lang w:val="fr-FR"/>
        </w:rPr>
        <w:t xml:space="preserve">provoquer des changements transformateurs </w:t>
      </w:r>
      <w:r w:rsidR="00E9271A" w:rsidRPr="00E046E7">
        <w:rPr>
          <w:rFonts w:eastAsia="MS Mincho"/>
          <w:lang w:val="fr-FR"/>
        </w:rPr>
        <w:t>afin</w:t>
      </w:r>
      <w:r w:rsidR="00457450" w:rsidRPr="00E046E7">
        <w:rPr>
          <w:rFonts w:eastAsia="MS Mincho"/>
          <w:lang w:val="fr-FR"/>
        </w:rPr>
        <w:t xml:space="preserve"> de maintenir et </w:t>
      </w:r>
      <w:r w:rsidR="00E9271A" w:rsidRPr="00E046E7">
        <w:rPr>
          <w:rFonts w:eastAsia="MS Mincho"/>
          <w:lang w:val="fr-FR"/>
        </w:rPr>
        <w:t xml:space="preserve">de </w:t>
      </w:r>
      <w:r w:rsidR="00457450" w:rsidRPr="00E046E7">
        <w:rPr>
          <w:rFonts w:eastAsia="MS Mincho"/>
          <w:lang w:val="fr-FR"/>
        </w:rPr>
        <w:t xml:space="preserve">promouvoir la biodiversité ainsi que les contributions de la nature aux populations et </w:t>
      </w:r>
      <w:r w:rsidR="00E9271A" w:rsidRPr="00E046E7">
        <w:rPr>
          <w:rFonts w:eastAsia="MS Mincho"/>
          <w:lang w:val="fr-FR"/>
        </w:rPr>
        <w:t>en vue de la durabilité et d</w:t>
      </w:r>
      <w:r w:rsidR="00BD2801">
        <w:rPr>
          <w:rFonts w:eastAsia="MS Mincho"/>
          <w:lang w:val="fr-FR"/>
        </w:rPr>
        <w:t>’</w:t>
      </w:r>
      <w:r w:rsidR="00E9271A" w:rsidRPr="00E046E7">
        <w:rPr>
          <w:rFonts w:eastAsia="MS Mincho"/>
          <w:lang w:val="fr-FR"/>
        </w:rPr>
        <w:t>une bonne qualité de vie à de nombreux niveaux</w:t>
      </w:r>
      <w:r w:rsidR="008125AA" w:rsidRPr="00E046E7">
        <w:rPr>
          <w:rFonts w:eastAsia="MS Mincho"/>
          <w:lang w:val="fr-FR"/>
        </w:rPr>
        <w:t>,</w:t>
      </w:r>
      <w:r w:rsidR="00E9271A" w:rsidRPr="00E046E7">
        <w:rPr>
          <w:rFonts w:eastAsia="MS Mincho"/>
          <w:lang w:val="fr-FR"/>
        </w:rPr>
        <w:t xml:space="preserve"> des individus à la société dans son ensemble, en passant par les</w:t>
      </w:r>
      <w:r w:rsidR="00703C43">
        <w:rPr>
          <w:rFonts w:eastAsia="MS Mincho"/>
          <w:lang w:val="fr-FR"/>
        </w:rPr>
        <w:t> </w:t>
      </w:r>
      <w:r w:rsidR="00E9271A" w:rsidRPr="00E046E7">
        <w:rPr>
          <w:rFonts w:eastAsia="MS Mincho"/>
          <w:lang w:val="fr-FR"/>
        </w:rPr>
        <w:t>communautés et les entreprises</w:t>
      </w:r>
      <w:r w:rsidR="008125AA" w:rsidRPr="00E046E7">
        <w:rPr>
          <w:rFonts w:eastAsia="MS Mincho"/>
          <w:lang w:val="fr-FR"/>
        </w:rPr>
        <w:t>,</w:t>
      </w:r>
      <w:r w:rsidR="00E9271A" w:rsidRPr="00E046E7">
        <w:rPr>
          <w:rFonts w:eastAsia="MS Mincho"/>
          <w:lang w:val="fr-FR"/>
        </w:rPr>
        <w:t xml:space="preserve"> conformément à la Vision </w:t>
      </w:r>
      <w:r w:rsidR="008125AA" w:rsidRPr="00E046E7">
        <w:rPr>
          <w:rFonts w:eastAsia="MS Mincho"/>
          <w:lang w:val="fr-FR"/>
        </w:rPr>
        <w:t xml:space="preserve">2050 </w:t>
      </w:r>
      <w:r w:rsidR="00E9271A" w:rsidRPr="00E046E7">
        <w:rPr>
          <w:rFonts w:eastAsia="MS Mincho"/>
          <w:lang w:val="fr-FR"/>
        </w:rPr>
        <w:t>pour la biodiversité et dans le</w:t>
      </w:r>
      <w:r w:rsidR="00703C43">
        <w:rPr>
          <w:rFonts w:eastAsia="MS Mincho"/>
          <w:lang w:val="fr-FR"/>
        </w:rPr>
        <w:t> </w:t>
      </w:r>
      <w:r w:rsidR="00E9271A" w:rsidRPr="00E046E7">
        <w:rPr>
          <w:rFonts w:eastAsia="MS Mincho"/>
          <w:lang w:val="fr-FR"/>
        </w:rPr>
        <w:t>contexte des objectifs de développement durable</w:t>
      </w:r>
      <w:r w:rsidR="008125AA" w:rsidRPr="00E046E7">
        <w:rPr>
          <w:rFonts w:eastAsia="MS Mincho"/>
          <w:lang w:val="fr-FR"/>
        </w:rPr>
        <w:t>.</w:t>
      </w:r>
    </w:p>
    <w:p w14:paraId="7017086C" w14:textId="4AA54960" w:rsidR="008125AA" w:rsidRPr="00E046E7" w:rsidRDefault="004E488C"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évaluation examinera l</w:t>
      </w:r>
      <w:r w:rsidR="00BD2801">
        <w:rPr>
          <w:rFonts w:eastAsia="MS Mincho"/>
          <w:lang w:val="fr-FR"/>
        </w:rPr>
        <w:t>’</w:t>
      </w:r>
      <w:r w:rsidRPr="00E046E7">
        <w:rPr>
          <w:rFonts w:eastAsia="MS Mincho"/>
          <w:lang w:val="fr-FR"/>
        </w:rPr>
        <w:t>importance des facteurs indirects mentionnés ci-dessus à la lumière de leur incidence sur les facteurs directs de changement les plus importants</w:t>
      </w:r>
      <w:r w:rsidR="008125AA" w:rsidRPr="00E046E7">
        <w:rPr>
          <w:rFonts w:eastAsia="MS Mincho"/>
          <w:vertAlign w:val="superscript"/>
          <w:lang w:val="fr-FR"/>
        </w:rPr>
        <w:footnoteReference w:id="7"/>
      </w:r>
      <w:r w:rsidR="008125AA" w:rsidRPr="00E046E7">
        <w:rPr>
          <w:rFonts w:eastAsia="MS Mincho"/>
          <w:lang w:val="fr-FR"/>
        </w:rPr>
        <w:t xml:space="preserve"> (</w:t>
      </w:r>
      <w:r w:rsidRPr="00E046E7">
        <w:rPr>
          <w:rFonts w:eastAsia="MS Mincho"/>
          <w:lang w:val="fr-FR"/>
        </w:rPr>
        <w:t>par exemple,</w:t>
      </w:r>
      <w:r w:rsidR="008125AA" w:rsidRPr="00E046E7">
        <w:rPr>
          <w:rFonts w:eastAsia="MS Mincho"/>
          <w:lang w:val="fr-FR"/>
        </w:rPr>
        <w:t xml:space="preserve"> </w:t>
      </w:r>
      <w:r w:rsidRPr="00BD2801">
        <w:rPr>
          <w:rFonts w:eastAsia="MS Mincho"/>
        </w:rPr>
        <w:t>changements</w:t>
      </w:r>
      <w:r w:rsidRPr="00E046E7">
        <w:rPr>
          <w:rFonts w:eastAsia="MS Mincho"/>
          <w:lang w:val="fr-FR"/>
        </w:rPr>
        <w:t xml:space="preserve"> d</w:t>
      </w:r>
      <w:r w:rsidR="00BD2801">
        <w:rPr>
          <w:rFonts w:eastAsia="MS Mincho"/>
          <w:lang w:val="fr-FR"/>
        </w:rPr>
        <w:t>’</w:t>
      </w:r>
      <w:r w:rsidRPr="00E046E7">
        <w:rPr>
          <w:rFonts w:eastAsia="MS Mincho"/>
          <w:lang w:val="fr-FR"/>
        </w:rPr>
        <w:t>utilisation des terres et des mers</w:t>
      </w:r>
      <w:r w:rsidR="008125AA" w:rsidRPr="00E046E7">
        <w:rPr>
          <w:rFonts w:eastAsia="MS Mincho"/>
          <w:lang w:val="fr-FR"/>
        </w:rPr>
        <w:t xml:space="preserve">, exploitation </w:t>
      </w:r>
      <w:r w:rsidRPr="00E046E7">
        <w:rPr>
          <w:rFonts w:eastAsia="MS Mincho"/>
          <w:lang w:val="fr-FR"/>
        </w:rPr>
        <w:t>directe des</w:t>
      </w:r>
      <w:r w:rsidR="008125AA" w:rsidRPr="00E046E7">
        <w:rPr>
          <w:rFonts w:eastAsia="MS Mincho"/>
          <w:lang w:val="fr-FR"/>
        </w:rPr>
        <w:t xml:space="preserve"> organism</w:t>
      </w:r>
      <w:r w:rsidRPr="00E046E7">
        <w:rPr>
          <w:rFonts w:eastAsia="MS Mincho"/>
          <w:lang w:val="fr-FR"/>
        </w:rPr>
        <w:t>e</w:t>
      </w:r>
      <w:r w:rsidR="008125AA" w:rsidRPr="00E046E7">
        <w:rPr>
          <w:rFonts w:eastAsia="MS Mincho"/>
          <w:lang w:val="fr-FR"/>
        </w:rPr>
        <w:t xml:space="preserve">s, </w:t>
      </w:r>
      <w:r w:rsidRPr="00E046E7">
        <w:rPr>
          <w:rFonts w:eastAsia="MS Mincho"/>
          <w:lang w:val="fr-FR"/>
        </w:rPr>
        <w:t>changements climatiques</w:t>
      </w:r>
      <w:r w:rsidR="008125AA" w:rsidRPr="00E046E7">
        <w:rPr>
          <w:rFonts w:eastAsia="MS Mincho"/>
          <w:lang w:val="fr-FR"/>
        </w:rPr>
        <w:t>, pollution</w:t>
      </w:r>
      <w:r w:rsidRPr="00E046E7">
        <w:rPr>
          <w:rFonts w:eastAsia="MS Mincho"/>
          <w:lang w:val="fr-FR"/>
        </w:rPr>
        <w:t xml:space="preserve"> et</w:t>
      </w:r>
      <w:r w:rsidR="008125AA" w:rsidRPr="00E046E7">
        <w:rPr>
          <w:rFonts w:eastAsia="MS Mincho"/>
          <w:lang w:val="fr-FR"/>
        </w:rPr>
        <w:t xml:space="preserve"> invasion </w:t>
      </w:r>
      <w:r w:rsidRPr="00E046E7">
        <w:rPr>
          <w:rFonts w:eastAsia="MS Mincho"/>
          <w:lang w:val="fr-FR"/>
        </w:rPr>
        <w:t>d</w:t>
      </w:r>
      <w:r w:rsidR="00BD2801">
        <w:rPr>
          <w:rFonts w:eastAsia="MS Mincho"/>
          <w:lang w:val="fr-FR"/>
        </w:rPr>
        <w:t>’</w:t>
      </w:r>
      <w:r w:rsidRPr="00E046E7">
        <w:rPr>
          <w:rFonts w:eastAsia="MS Mincho"/>
          <w:lang w:val="fr-FR"/>
        </w:rPr>
        <w:t>espèces exotiques</w:t>
      </w:r>
      <w:r w:rsidR="008125AA" w:rsidRPr="00E046E7">
        <w:rPr>
          <w:rFonts w:eastAsia="MS Mincho"/>
          <w:lang w:val="fr-FR"/>
        </w:rPr>
        <w:t xml:space="preserve">) </w:t>
      </w:r>
      <w:r w:rsidRPr="00E046E7">
        <w:rPr>
          <w:rFonts w:eastAsia="MS Mincho"/>
          <w:lang w:val="fr-FR"/>
        </w:rPr>
        <w:t>dans l</w:t>
      </w:r>
      <w:r w:rsidR="00BD2801">
        <w:rPr>
          <w:rFonts w:eastAsia="MS Mincho"/>
          <w:lang w:val="fr-FR"/>
        </w:rPr>
        <w:t>’</w:t>
      </w:r>
      <w:r w:rsidRPr="00E046E7">
        <w:rPr>
          <w:rFonts w:eastAsia="MS Mincho"/>
          <w:lang w:val="fr-FR"/>
        </w:rPr>
        <w:t>ensemble des biomes</w:t>
      </w:r>
      <w:r w:rsidR="008125AA" w:rsidRPr="00E046E7">
        <w:rPr>
          <w:rFonts w:eastAsia="MS Mincho"/>
          <w:lang w:val="fr-FR"/>
        </w:rPr>
        <w:t xml:space="preserve">. </w:t>
      </w:r>
    </w:p>
    <w:p w14:paraId="3EAB0E39" w14:textId="19C6F7F2" w:rsidR="008125AA" w:rsidRPr="00E046E7" w:rsidRDefault="000D6460"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évaluation tiendra compte de la diversité des valeurs</w:t>
      </w:r>
      <w:r w:rsidR="008125AA" w:rsidRPr="00E046E7">
        <w:rPr>
          <w:rFonts w:eastAsia="MS Mincho"/>
          <w:lang w:val="fr-FR"/>
        </w:rPr>
        <w:t xml:space="preserve"> </w:t>
      </w:r>
      <w:r w:rsidRPr="00E046E7">
        <w:rPr>
          <w:rFonts w:eastAsia="MS Mincho"/>
          <w:lang w:val="fr-FR"/>
        </w:rPr>
        <w:t>et comportements sociétaux qui sous</w:t>
      </w:r>
      <w:r w:rsidR="00703C43">
        <w:rPr>
          <w:rFonts w:eastAsia="MS Mincho"/>
          <w:lang w:val="fr-FR"/>
        </w:rPr>
        <w:noBreakHyphen/>
      </w:r>
      <w:r w:rsidRPr="00E046E7">
        <w:rPr>
          <w:rFonts w:eastAsia="MS Mincho"/>
          <w:lang w:val="fr-FR"/>
        </w:rPr>
        <w:t>tendent les facteurs indirects de changement</w:t>
      </w:r>
      <w:r w:rsidR="00683B9A">
        <w:rPr>
          <w:rFonts w:eastAsia="MS Mincho"/>
          <w:lang w:val="fr-FR"/>
        </w:rPr>
        <w:t xml:space="preserve"> et évoluent avec ces derniers</w:t>
      </w:r>
      <w:r w:rsidRPr="00E046E7">
        <w:rPr>
          <w:rFonts w:eastAsia="MS Mincho"/>
          <w:lang w:val="fr-FR"/>
        </w:rPr>
        <w:t>, c</w:t>
      </w:r>
      <w:r w:rsidR="00BD2801">
        <w:rPr>
          <w:rFonts w:eastAsia="MS Mincho"/>
          <w:lang w:val="fr-FR"/>
        </w:rPr>
        <w:t>’</w:t>
      </w:r>
      <w:r w:rsidRPr="00E046E7">
        <w:rPr>
          <w:rFonts w:eastAsia="MS Mincho"/>
          <w:lang w:val="fr-FR"/>
        </w:rPr>
        <w:t xml:space="preserve">est-à-dire </w:t>
      </w:r>
      <w:r w:rsidR="00053555" w:rsidRPr="00E046E7">
        <w:rPr>
          <w:rFonts w:eastAsia="MS Mincho"/>
          <w:lang w:val="fr-FR"/>
        </w:rPr>
        <w:t xml:space="preserve">les raisons des grands </w:t>
      </w:r>
      <w:r w:rsidR="00053555" w:rsidRPr="00BD2801">
        <w:rPr>
          <w:rFonts w:eastAsia="MS Mincho"/>
        </w:rPr>
        <w:t>changements</w:t>
      </w:r>
      <w:r w:rsidR="00683B9A">
        <w:rPr>
          <w:rFonts w:eastAsia="MS Mincho"/>
          <w:lang w:val="fr-FR"/>
        </w:rPr>
        <w:t xml:space="preserve"> et transitions</w:t>
      </w:r>
      <w:r w:rsidR="00053555" w:rsidRPr="00E046E7">
        <w:rPr>
          <w:rFonts w:eastAsia="MS Mincho"/>
          <w:lang w:val="fr-FR"/>
        </w:rPr>
        <w:t xml:space="preserve"> </w:t>
      </w:r>
      <w:r w:rsidR="00683B9A">
        <w:rPr>
          <w:rFonts w:eastAsia="MS Mincho"/>
          <w:lang w:val="fr-FR"/>
        </w:rPr>
        <w:t>sociétaux</w:t>
      </w:r>
      <w:r w:rsidR="008125AA" w:rsidRPr="00E046E7">
        <w:rPr>
          <w:rFonts w:eastAsia="MS Mincho"/>
          <w:lang w:val="fr-FR"/>
        </w:rPr>
        <w:t xml:space="preserve">, </w:t>
      </w:r>
      <w:r w:rsidR="00053555" w:rsidRPr="00E046E7">
        <w:rPr>
          <w:rFonts w:eastAsia="MS Mincho"/>
          <w:lang w:val="fr-FR"/>
        </w:rPr>
        <w:t>afin d</w:t>
      </w:r>
      <w:r w:rsidR="00BD2801">
        <w:rPr>
          <w:rFonts w:eastAsia="MS Mincho"/>
          <w:lang w:val="fr-FR"/>
        </w:rPr>
        <w:t>’</w:t>
      </w:r>
      <w:r w:rsidR="00053555" w:rsidRPr="00E046E7">
        <w:rPr>
          <w:rFonts w:eastAsia="MS Mincho"/>
          <w:lang w:val="fr-FR"/>
        </w:rPr>
        <w:t>éclairer la conception de politiques pertinentes, les campagnes de communication et</w:t>
      </w:r>
      <w:r w:rsidR="008125AA" w:rsidRPr="00E046E7">
        <w:rPr>
          <w:rFonts w:eastAsia="MS Mincho"/>
          <w:lang w:val="fr-FR"/>
        </w:rPr>
        <w:t xml:space="preserve"> </w:t>
      </w:r>
      <w:r w:rsidR="00053555" w:rsidRPr="00E046E7">
        <w:rPr>
          <w:rFonts w:eastAsia="MS Mincho"/>
          <w:lang w:val="fr-FR"/>
        </w:rPr>
        <w:t>de mobilisation et d</w:t>
      </w:r>
      <w:r w:rsidR="00BD2801">
        <w:rPr>
          <w:rFonts w:eastAsia="MS Mincho"/>
          <w:lang w:val="fr-FR"/>
        </w:rPr>
        <w:t>’</w:t>
      </w:r>
      <w:r w:rsidR="00053555" w:rsidRPr="00E046E7">
        <w:rPr>
          <w:rFonts w:eastAsia="MS Mincho"/>
          <w:lang w:val="fr-FR"/>
        </w:rPr>
        <w:t>autres mesures</w:t>
      </w:r>
      <w:r w:rsidR="008125AA" w:rsidRPr="00E046E7">
        <w:rPr>
          <w:rFonts w:eastAsia="MS Mincho"/>
          <w:lang w:val="fr-FR"/>
        </w:rPr>
        <w:t>.</w:t>
      </w:r>
      <w:r w:rsidR="00053555" w:rsidRPr="00E046E7">
        <w:rPr>
          <w:rFonts w:eastAsia="MS Mincho"/>
          <w:lang w:val="fr-FR"/>
        </w:rPr>
        <w:t xml:space="preserve"> En conséquence, elle prendra en compte, entre autres </w:t>
      </w:r>
      <w:r w:rsidR="008125AA" w:rsidRPr="00E046E7">
        <w:rPr>
          <w:rFonts w:eastAsia="MS Mincho"/>
          <w:lang w:val="fr-FR"/>
        </w:rPr>
        <w:t>: a)</w:t>
      </w:r>
      <w:r w:rsidR="00E046E7">
        <w:rPr>
          <w:rFonts w:eastAsia="MS Mincho"/>
          <w:lang w:val="fr-FR"/>
        </w:rPr>
        <w:t> </w:t>
      </w:r>
      <w:r w:rsidR="00053555" w:rsidRPr="00E046E7">
        <w:rPr>
          <w:rFonts w:eastAsia="MS Mincho"/>
          <w:lang w:val="fr-FR"/>
        </w:rPr>
        <w:t>les valeurs</w:t>
      </w:r>
      <w:r w:rsidR="008125AA" w:rsidRPr="00E046E7">
        <w:rPr>
          <w:rFonts w:eastAsia="MS Mincho"/>
          <w:lang w:val="fr-FR"/>
        </w:rPr>
        <w:t xml:space="preserve"> (</w:t>
      </w:r>
      <w:r w:rsidR="00053555" w:rsidRPr="00E046E7">
        <w:rPr>
          <w:rFonts w:eastAsia="MS Mincho"/>
          <w:lang w:val="fr-FR"/>
        </w:rPr>
        <w:t>relationnelles</w:t>
      </w:r>
      <w:r w:rsidR="008125AA" w:rsidRPr="00E046E7">
        <w:rPr>
          <w:rFonts w:eastAsia="MS Mincho"/>
          <w:lang w:val="fr-FR"/>
        </w:rPr>
        <w:t xml:space="preserve">, </w:t>
      </w:r>
      <w:r w:rsidR="00053555" w:rsidRPr="00E046E7">
        <w:rPr>
          <w:rFonts w:eastAsia="MS Mincho"/>
          <w:lang w:val="fr-FR"/>
        </w:rPr>
        <w:t>utilitaires</w:t>
      </w:r>
      <w:r w:rsidR="008125AA" w:rsidRPr="00E046E7">
        <w:rPr>
          <w:rFonts w:eastAsia="MS Mincho"/>
          <w:lang w:val="fr-FR"/>
        </w:rPr>
        <w:t xml:space="preserve">, etc.), </w:t>
      </w:r>
      <w:r w:rsidR="00053555" w:rsidRPr="00E046E7">
        <w:rPr>
          <w:rFonts w:eastAsia="MS Mincho"/>
          <w:lang w:val="fr-FR"/>
        </w:rPr>
        <w:t xml:space="preserve">la manière dont </w:t>
      </w:r>
      <w:r w:rsidR="00683B9A">
        <w:rPr>
          <w:rFonts w:eastAsia="MS Mincho"/>
          <w:lang w:val="fr-FR"/>
        </w:rPr>
        <w:t>celles-ci</w:t>
      </w:r>
      <w:r w:rsidR="00053555" w:rsidRPr="00E046E7">
        <w:rPr>
          <w:rFonts w:eastAsia="MS Mincho"/>
          <w:lang w:val="fr-FR"/>
        </w:rPr>
        <w:t xml:space="preserve"> influencent les comportements et la façon dont </w:t>
      </w:r>
      <w:r w:rsidR="003E7055" w:rsidRPr="00E046E7">
        <w:rPr>
          <w:rFonts w:eastAsia="MS Mincho"/>
          <w:lang w:val="fr-FR"/>
        </w:rPr>
        <w:t>la situation diffère entre les régions et les sous-régions et entre les niveaux de développement</w:t>
      </w:r>
      <w:r w:rsidR="008125AA" w:rsidRPr="00E046E7">
        <w:rPr>
          <w:rFonts w:eastAsia="MS Mincho"/>
          <w:lang w:val="fr-FR"/>
        </w:rPr>
        <w:t>,</w:t>
      </w:r>
      <w:r w:rsidR="003E7055" w:rsidRPr="00E046E7">
        <w:rPr>
          <w:rFonts w:eastAsia="MS Mincho"/>
          <w:lang w:val="fr-FR"/>
        </w:rPr>
        <w:t xml:space="preserve"> en s</w:t>
      </w:r>
      <w:r w:rsidR="00BD2801">
        <w:rPr>
          <w:rFonts w:eastAsia="MS Mincho"/>
          <w:lang w:val="fr-FR"/>
        </w:rPr>
        <w:t>’</w:t>
      </w:r>
      <w:r w:rsidR="003E7055" w:rsidRPr="00E046E7">
        <w:rPr>
          <w:rFonts w:eastAsia="MS Mincho"/>
          <w:lang w:val="fr-FR"/>
        </w:rPr>
        <w:t>appuyant sur l</w:t>
      </w:r>
      <w:r w:rsidR="00BD2801">
        <w:rPr>
          <w:rFonts w:eastAsia="MS Mincho"/>
          <w:lang w:val="fr-FR"/>
        </w:rPr>
        <w:t>’</w:t>
      </w:r>
      <w:r w:rsidR="003E7055" w:rsidRPr="00E046E7">
        <w:rPr>
          <w:rFonts w:eastAsia="MS Mincho"/>
          <w:lang w:val="fr-FR"/>
        </w:rPr>
        <w:t>évaluation des valeurs de la Plateforme et en complétant celle-ci, une fois finalisée</w:t>
      </w:r>
      <w:r w:rsidR="00E81181">
        <w:rPr>
          <w:rFonts w:eastAsia="MS Mincho"/>
          <w:lang w:val="fr-FR"/>
        </w:rPr>
        <w:t> ;</w:t>
      </w:r>
      <w:r w:rsidR="008125AA" w:rsidRPr="00E046E7">
        <w:rPr>
          <w:rFonts w:eastAsia="MS Mincho"/>
          <w:lang w:val="fr-FR"/>
        </w:rPr>
        <w:t xml:space="preserve"> b)</w:t>
      </w:r>
      <w:r w:rsidR="00E046E7">
        <w:rPr>
          <w:rFonts w:eastAsia="MS Mincho"/>
          <w:lang w:val="fr-FR"/>
        </w:rPr>
        <w:t> </w:t>
      </w:r>
      <w:r w:rsidR="003E7055" w:rsidRPr="00E046E7">
        <w:rPr>
          <w:rFonts w:eastAsia="MS Mincho"/>
          <w:lang w:val="fr-FR"/>
        </w:rPr>
        <w:t xml:space="preserve">les </w:t>
      </w:r>
      <w:r w:rsidR="008125AA" w:rsidRPr="00E046E7">
        <w:rPr>
          <w:rFonts w:eastAsia="MS Mincho"/>
          <w:lang w:val="fr-FR"/>
        </w:rPr>
        <w:t xml:space="preserve">notions </w:t>
      </w:r>
      <w:r w:rsidR="003E7055" w:rsidRPr="00E046E7">
        <w:rPr>
          <w:rFonts w:eastAsia="MS Mincho"/>
          <w:lang w:val="fr-FR"/>
        </w:rPr>
        <w:t>de bonne qualité de vie,</w:t>
      </w:r>
      <w:r w:rsidR="008125AA" w:rsidRPr="00E046E7">
        <w:rPr>
          <w:rFonts w:eastAsia="MS Mincho"/>
          <w:lang w:val="fr-FR"/>
        </w:rPr>
        <w:t xml:space="preserve"> </w:t>
      </w:r>
      <w:r w:rsidR="00683B9A">
        <w:rPr>
          <w:rFonts w:eastAsia="MS Mincho"/>
          <w:lang w:val="fr-FR"/>
        </w:rPr>
        <w:t>les</w:t>
      </w:r>
      <w:r w:rsidR="003E7055" w:rsidRPr="00E046E7">
        <w:rPr>
          <w:rFonts w:eastAsia="MS Mincho"/>
          <w:lang w:val="fr-FR"/>
        </w:rPr>
        <w:t xml:space="preserve"> visions du monde et </w:t>
      </w:r>
      <w:r w:rsidR="00683B9A">
        <w:rPr>
          <w:rFonts w:eastAsia="MS Mincho"/>
          <w:lang w:val="fr-FR"/>
        </w:rPr>
        <w:t>les</w:t>
      </w:r>
      <w:r w:rsidR="003E7055" w:rsidRPr="00E046E7">
        <w:rPr>
          <w:rFonts w:eastAsia="MS Mincho"/>
          <w:lang w:val="fr-FR"/>
        </w:rPr>
        <w:t xml:space="preserve"> cultures, </w:t>
      </w:r>
      <w:r w:rsidR="00683B9A">
        <w:rPr>
          <w:rFonts w:eastAsia="MS Mincho"/>
          <w:lang w:val="fr-FR"/>
        </w:rPr>
        <w:t>les</w:t>
      </w:r>
      <w:r w:rsidR="003E7055" w:rsidRPr="00E046E7">
        <w:rPr>
          <w:rFonts w:eastAsia="MS Mincho"/>
          <w:lang w:val="fr-FR"/>
        </w:rPr>
        <w:t xml:space="preserve"> modèles d</w:t>
      </w:r>
      <w:r w:rsidR="00BD2801">
        <w:rPr>
          <w:rFonts w:eastAsia="MS Mincho"/>
          <w:lang w:val="fr-FR"/>
        </w:rPr>
        <w:t>’</w:t>
      </w:r>
      <w:r w:rsidR="003E7055" w:rsidRPr="00E046E7">
        <w:rPr>
          <w:rFonts w:eastAsia="MS Mincho"/>
          <w:lang w:val="fr-FR"/>
        </w:rPr>
        <w:t>interaction</w:t>
      </w:r>
      <w:r w:rsidR="006C3A2C" w:rsidRPr="00E046E7">
        <w:rPr>
          <w:rFonts w:eastAsia="MS Mincho"/>
          <w:lang w:val="fr-FR"/>
        </w:rPr>
        <w:t>s</w:t>
      </w:r>
      <w:r w:rsidR="003E7055" w:rsidRPr="00E046E7">
        <w:rPr>
          <w:rFonts w:eastAsia="MS Mincho"/>
          <w:lang w:val="fr-FR"/>
        </w:rPr>
        <w:t xml:space="preserve"> entre les populations et la nature </w:t>
      </w:r>
      <w:r w:rsidR="00683B9A">
        <w:rPr>
          <w:rFonts w:eastAsia="MS Mincho"/>
          <w:lang w:val="fr-FR"/>
        </w:rPr>
        <w:t>ainsi que</w:t>
      </w:r>
      <w:r w:rsidR="003E7055" w:rsidRPr="00E046E7">
        <w:rPr>
          <w:rFonts w:eastAsia="MS Mincho"/>
          <w:lang w:val="fr-FR"/>
        </w:rPr>
        <w:t xml:space="preserve"> </w:t>
      </w:r>
      <w:r w:rsidR="00683B9A">
        <w:rPr>
          <w:rFonts w:eastAsia="MS Mincho"/>
          <w:lang w:val="fr-FR"/>
        </w:rPr>
        <w:t>les</w:t>
      </w:r>
      <w:r w:rsidR="003E7055" w:rsidRPr="00E046E7">
        <w:rPr>
          <w:rFonts w:eastAsia="MS Mincho"/>
          <w:lang w:val="fr-FR"/>
        </w:rPr>
        <w:t xml:space="preserve"> </w:t>
      </w:r>
      <w:r w:rsidR="00AA27F7" w:rsidRPr="00E046E7">
        <w:rPr>
          <w:rFonts w:eastAsia="MS Mincho"/>
          <w:lang w:val="fr-FR"/>
        </w:rPr>
        <w:t>récits</w:t>
      </w:r>
      <w:r w:rsidR="003E7055" w:rsidRPr="00E046E7">
        <w:rPr>
          <w:rFonts w:eastAsia="MS Mincho"/>
          <w:lang w:val="fr-FR"/>
        </w:rPr>
        <w:t xml:space="preserve"> sociaux</w:t>
      </w:r>
      <w:r w:rsidR="00F519E2">
        <w:rPr>
          <w:rFonts w:eastAsia="MS Mincho"/>
          <w:lang w:val="fr-FR"/>
        </w:rPr>
        <w:t> ;</w:t>
      </w:r>
      <w:r w:rsidR="008125AA" w:rsidRPr="00E046E7">
        <w:rPr>
          <w:rFonts w:eastAsia="MS Mincho"/>
          <w:lang w:val="fr-FR"/>
        </w:rPr>
        <w:t xml:space="preserve"> c)</w:t>
      </w:r>
      <w:r w:rsidR="00E046E7">
        <w:rPr>
          <w:rFonts w:eastAsia="MS Mincho"/>
          <w:lang w:val="fr-FR"/>
        </w:rPr>
        <w:t> </w:t>
      </w:r>
      <w:r w:rsidR="006C3A2C" w:rsidRPr="00E046E7">
        <w:rPr>
          <w:rFonts w:eastAsia="MS Mincho"/>
          <w:lang w:val="fr-FR"/>
        </w:rPr>
        <w:t>le rôle des systèmes de gouvernance, des normes et des</w:t>
      </w:r>
      <w:r w:rsidR="008125AA" w:rsidRPr="00E046E7">
        <w:rPr>
          <w:rFonts w:eastAsia="MS Mincho"/>
          <w:lang w:val="fr-FR"/>
        </w:rPr>
        <w:t xml:space="preserve"> </w:t>
      </w:r>
      <w:r w:rsidR="006C3A2C" w:rsidRPr="00E046E7">
        <w:rPr>
          <w:rFonts w:eastAsia="MS Mincho"/>
          <w:lang w:val="fr-FR"/>
        </w:rPr>
        <w:t>réglementations, de l</w:t>
      </w:r>
      <w:r w:rsidR="00BD2801">
        <w:rPr>
          <w:rFonts w:eastAsia="MS Mincho"/>
          <w:lang w:val="fr-FR"/>
        </w:rPr>
        <w:t>’</w:t>
      </w:r>
      <w:r w:rsidR="006C3A2C" w:rsidRPr="00E046E7">
        <w:rPr>
          <w:rFonts w:eastAsia="MS Mincho"/>
          <w:lang w:val="fr-FR"/>
        </w:rPr>
        <w:t>éducation et de la</w:t>
      </w:r>
      <w:r w:rsidR="00703C43">
        <w:rPr>
          <w:rFonts w:eastAsia="MS Mincho"/>
          <w:lang w:val="fr-FR"/>
        </w:rPr>
        <w:t> </w:t>
      </w:r>
      <w:r w:rsidR="006C3A2C" w:rsidRPr="00E046E7">
        <w:rPr>
          <w:rFonts w:eastAsia="MS Mincho"/>
          <w:lang w:val="fr-FR"/>
        </w:rPr>
        <w:t>communication</w:t>
      </w:r>
      <w:r w:rsidR="008125AA" w:rsidRPr="00E046E7">
        <w:rPr>
          <w:rFonts w:eastAsia="MS Mincho"/>
          <w:lang w:val="fr-FR"/>
        </w:rPr>
        <w:t xml:space="preserve">, </w:t>
      </w:r>
      <w:r w:rsidR="006C3A2C" w:rsidRPr="00E046E7">
        <w:rPr>
          <w:rFonts w:eastAsia="MS Mincho"/>
          <w:lang w:val="fr-FR"/>
        </w:rPr>
        <w:t xml:space="preserve">des incitations économiques ainsi que des institutions financières et autres pour susciter des changements comportementaux </w:t>
      </w:r>
      <w:r w:rsidR="00FB0A0C" w:rsidRPr="00E046E7">
        <w:rPr>
          <w:rFonts w:eastAsia="MS Mincho"/>
          <w:lang w:val="fr-FR"/>
        </w:rPr>
        <w:t>chez le</w:t>
      </w:r>
      <w:r w:rsidR="006C3A2C" w:rsidRPr="00E046E7">
        <w:rPr>
          <w:rFonts w:eastAsia="MS Mincho"/>
          <w:lang w:val="fr-FR"/>
        </w:rPr>
        <w:t xml:space="preserve">s individus, </w:t>
      </w:r>
      <w:r w:rsidR="00FB0A0C" w:rsidRPr="00E046E7">
        <w:rPr>
          <w:rFonts w:eastAsia="MS Mincho"/>
          <w:lang w:val="fr-FR"/>
        </w:rPr>
        <w:t>les</w:t>
      </w:r>
      <w:r w:rsidR="006C3A2C" w:rsidRPr="00E046E7">
        <w:rPr>
          <w:rFonts w:eastAsia="MS Mincho"/>
          <w:lang w:val="fr-FR"/>
        </w:rPr>
        <w:t xml:space="preserve"> entreprises, </w:t>
      </w:r>
      <w:r w:rsidR="00FB0A0C" w:rsidRPr="00E046E7">
        <w:rPr>
          <w:rFonts w:eastAsia="MS Mincho"/>
          <w:lang w:val="fr-FR"/>
        </w:rPr>
        <w:t>les</w:t>
      </w:r>
      <w:r w:rsidR="006C3A2C" w:rsidRPr="00E046E7">
        <w:rPr>
          <w:rFonts w:eastAsia="MS Mincho"/>
          <w:lang w:val="fr-FR"/>
        </w:rPr>
        <w:t xml:space="preserve"> communautés et </w:t>
      </w:r>
      <w:r w:rsidR="00FB0A0C" w:rsidRPr="00E046E7">
        <w:rPr>
          <w:rFonts w:eastAsia="MS Mincho"/>
          <w:lang w:val="fr-FR"/>
        </w:rPr>
        <w:t>les</w:t>
      </w:r>
      <w:r w:rsidR="00703C43">
        <w:rPr>
          <w:rFonts w:eastAsia="MS Mincho"/>
          <w:lang w:val="fr-FR"/>
        </w:rPr>
        <w:t> </w:t>
      </w:r>
      <w:r w:rsidR="006C3A2C" w:rsidRPr="00E046E7">
        <w:rPr>
          <w:rFonts w:eastAsia="MS Mincho"/>
          <w:lang w:val="fr-FR"/>
        </w:rPr>
        <w:t>sociétés</w:t>
      </w:r>
      <w:r w:rsidR="0049276C">
        <w:rPr>
          <w:rFonts w:eastAsia="MS Mincho"/>
          <w:lang w:val="fr-FR"/>
        </w:rPr>
        <w:t> ;</w:t>
      </w:r>
      <w:r w:rsidR="006C3A2C" w:rsidRPr="00E046E7">
        <w:rPr>
          <w:rFonts w:eastAsia="MS Mincho"/>
          <w:lang w:val="fr-FR"/>
        </w:rPr>
        <w:t xml:space="preserve"> </w:t>
      </w:r>
      <w:r w:rsidR="008125AA" w:rsidRPr="00E046E7">
        <w:rPr>
          <w:rFonts w:eastAsia="MS Mincho"/>
          <w:lang w:val="fr-FR"/>
        </w:rPr>
        <w:t>d)</w:t>
      </w:r>
      <w:r w:rsidR="00534B14" w:rsidRPr="00E046E7">
        <w:rPr>
          <w:rFonts w:eastAsia="MS Mincho"/>
          <w:lang w:val="fr-FR"/>
        </w:rPr>
        <w:t> </w:t>
      </w:r>
      <w:r w:rsidR="006C3A2C" w:rsidRPr="00E046E7">
        <w:rPr>
          <w:rFonts w:eastAsia="MS Mincho"/>
          <w:lang w:val="fr-FR"/>
        </w:rPr>
        <w:t>le rôle des technologies et de l</w:t>
      </w:r>
      <w:r w:rsidR="00BD2801">
        <w:rPr>
          <w:rFonts w:eastAsia="MS Mincho"/>
          <w:lang w:val="fr-FR"/>
        </w:rPr>
        <w:t>’</w:t>
      </w:r>
      <w:r w:rsidR="006C3A2C" w:rsidRPr="00E046E7">
        <w:rPr>
          <w:rFonts w:eastAsia="MS Mincho"/>
          <w:lang w:val="fr-FR"/>
        </w:rPr>
        <w:t>évaluation des technologies</w:t>
      </w:r>
      <w:r w:rsidR="0049276C">
        <w:rPr>
          <w:rFonts w:eastAsia="MS Mincho"/>
          <w:lang w:val="fr-FR"/>
        </w:rPr>
        <w:t> ;</w:t>
      </w:r>
      <w:r w:rsidR="006C3A2C" w:rsidRPr="00E046E7">
        <w:rPr>
          <w:rFonts w:eastAsia="MS Mincho"/>
          <w:lang w:val="fr-FR"/>
        </w:rPr>
        <w:t xml:space="preserve"> </w:t>
      </w:r>
      <w:r w:rsidR="008125AA" w:rsidRPr="00E046E7">
        <w:rPr>
          <w:rFonts w:eastAsia="MS Mincho"/>
          <w:lang w:val="fr-FR"/>
        </w:rPr>
        <w:t>e)</w:t>
      </w:r>
      <w:r w:rsidR="00E046E7">
        <w:rPr>
          <w:rFonts w:eastAsia="MS Mincho"/>
          <w:lang w:val="fr-FR"/>
        </w:rPr>
        <w:t> </w:t>
      </w:r>
      <w:r w:rsidR="006C3A2C" w:rsidRPr="00E046E7">
        <w:rPr>
          <w:rFonts w:eastAsia="MS Mincho"/>
          <w:lang w:val="fr-FR"/>
        </w:rPr>
        <w:t>le rôle de l</w:t>
      </w:r>
      <w:r w:rsidR="00BD2801">
        <w:rPr>
          <w:rFonts w:eastAsia="MS Mincho"/>
          <w:lang w:val="fr-FR"/>
        </w:rPr>
        <w:t>’</w:t>
      </w:r>
      <w:r w:rsidR="006C3A2C" w:rsidRPr="00E046E7">
        <w:rPr>
          <w:rFonts w:eastAsia="MS Mincho"/>
          <w:lang w:val="fr-FR"/>
        </w:rPr>
        <w:t xml:space="preserve">action </w:t>
      </w:r>
      <w:r w:rsidR="006C3A2C" w:rsidRPr="00E046E7">
        <w:rPr>
          <w:rFonts w:eastAsia="MS Mincho"/>
          <w:lang w:val="fr-FR"/>
        </w:rPr>
        <w:lastRenderedPageBreak/>
        <w:t>individuelles et collective</w:t>
      </w:r>
      <w:r w:rsidR="002A207C">
        <w:rPr>
          <w:rFonts w:eastAsia="MS Mincho"/>
          <w:lang w:val="fr-FR"/>
        </w:rPr>
        <w:t> ;</w:t>
      </w:r>
      <w:r w:rsidR="006C3A2C" w:rsidRPr="00E046E7">
        <w:rPr>
          <w:rFonts w:eastAsia="MS Mincho"/>
          <w:lang w:val="fr-FR"/>
        </w:rPr>
        <w:t xml:space="preserve"> </w:t>
      </w:r>
      <w:r w:rsidR="008125AA" w:rsidRPr="00E046E7">
        <w:rPr>
          <w:rFonts w:eastAsia="MS Mincho"/>
          <w:lang w:val="fr-FR"/>
        </w:rPr>
        <w:t>f)</w:t>
      </w:r>
      <w:r w:rsidR="00E046E7">
        <w:rPr>
          <w:rFonts w:eastAsia="MS Mincho"/>
          <w:lang w:val="fr-FR"/>
        </w:rPr>
        <w:t> </w:t>
      </w:r>
      <w:r w:rsidR="006C3A2C" w:rsidRPr="00E046E7">
        <w:rPr>
          <w:rFonts w:eastAsia="MS Mincho"/>
          <w:lang w:val="fr-FR"/>
        </w:rPr>
        <w:t>le rôle des systèmes complexes et de la théorie</w:t>
      </w:r>
      <w:r w:rsidR="00C52EF6" w:rsidRPr="00E046E7">
        <w:rPr>
          <w:rFonts w:eastAsia="MS Mincho"/>
          <w:lang w:val="fr-FR"/>
        </w:rPr>
        <w:t xml:space="preserve"> de la transformation et des transitions</w:t>
      </w:r>
      <w:r w:rsidR="002A207C">
        <w:rPr>
          <w:rFonts w:eastAsia="MS Mincho"/>
          <w:lang w:val="fr-FR"/>
        </w:rPr>
        <w:t> ;</w:t>
      </w:r>
      <w:r w:rsidR="008125AA" w:rsidRPr="00E046E7">
        <w:rPr>
          <w:rFonts w:eastAsia="MS Mincho"/>
          <w:lang w:val="fr-FR"/>
        </w:rPr>
        <w:t xml:space="preserve"> g) </w:t>
      </w:r>
      <w:r w:rsidR="00C52EF6" w:rsidRPr="00E046E7">
        <w:rPr>
          <w:rFonts w:eastAsia="MS Mincho"/>
          <w:lang w:val="fr-FR"/>
        </w:rPr>
        <w:t xml:space="preserve">les </w:t>
      </w:r>
      <w:r w:rsidR="008125AA" w:rsidRPr="00E046E7">
        <w:rPr>
          <w:rFonts w:eastAsia="MS Mincho"/>
          <w:lang w:val="fr-FR"/>
        </w:rPr>
        <w:t xml:space="preserve">obstacles </w:t>
      </w:r>
      <w:r w:rsidR="00C52EF6" w:rsidRPr="00E046E7">
        <w:rPr>
          <w:rFonts w:eastAsia="MS Mincho"/>
          <w:lang w:val="fr-FR"/>
        </w:rPr>
        <w:t>pour parvenir à des changements transformateurs</w:t>
      </w:r>
      <w:r w:rsidR="002A207C">
        <w:rPr>
          <w:rFonts w:eastAsia="MS Mincho"/>
          <w:lang w:val="fr-FR"/>
        </w:rPr>
        <w:t> ;</w:t>
      </w:r>
      <w:r w:rsidR="00C52EF6" w:rsidRPr="00E046E7">
        <w:rPr>
          <w:rFonts w:eastAsia="MS Mincho"/>
          <w:lang w:val="fr-FR"/>
        </w:rPr>
        <w:t xml:space="preserve"> </w:t>
      </w:r>
      <w:r w:rsidR="008125AA" w:rsidRPr="00E046E7">
        <w:rPr>
          <w:rFonts w:eastAsia="MS Mincho"/>
          <w:lang w:val="fr-FR"/>
        </w:rPr>
        <w:t>h)</w:t>
      </w:r>
      <w:r w:rsidR="00E046E7">
        <w:rPr>
          <w:rFonts w:eastAsia="MS Mincho"/>
          <w:lang w:val="fr-FR"/>
        </w:rPr>
        <w:t> </w:t>
      </w:r>
      <w:r w:rsidR="00C52EF6" w:rsidRPr="00E046E7">
        <w:rPr>
          <w:rFonts w:eastAsia="MS Mincho"/>
          <w:lang w:val="fr-FR"/>
        </w:rPr>
        <w:t>l</w:t>
      </w:r>
      <w:r w:rsidR="00BD2801">
        <w:rPr>
          <w:rFonts w:eastAsia="MS Mincho"/>
          <w:lang w:val="fr-FR"/>
        </w:rPr>
        <w:t>’</w:t>
      </w:r>
      <w:r w:rsidR="00C52EF6" w:rsidRPr="00E046E7">
        <w:rPr>
          <w:rFonts w:eastAsia="MS Mincho"/>
          <w:lang w:val="fr-FR"/>
        </w:rPr>
        <w:t>équité et la</w:t>
      </w:r>
      <w:r w:rsidR="00703C43">
        <w:rPr>
          <w:rFonts w:eastAsia="MS Mincho"/>
          <w:lang w:val="fr-FR"/>
        </w:rPr>
        <w:t> </w:t>
      </w:r>
      <w:r w:rsidR="00C52EF6" w:rsidRPr="00E046E7">
        <w:rPr>
          <w:rFonts w:eastAsia="MS Mincho"/>
          <w:lang w:val="fr-FR"/>
        </w:rPr>
        <w:t>nécessité de « transitions justes », en intégrant des aspects concernant l</w:t>
      </w:r>
      <w:r w:rsidR="00BD2801">
        <w:rPr>
          <w:rFonts w:eastAsia="MS Mincho"/>
          <w:lang w:val="fr-FR"/>
        </w:rPr>
        <w:t>’</w:t>
      </w:r>
      <w:r w:rsidR="00C52EF6" w:rsidRPr="00E046E7">
        <w:rPr>
          <w:rFonts w:eastAsia="MS Mincho"/>
          <w:lang w:val="fr-FR"/>
        </w:rPr>
        <w:t>égalité des sexes</w:t>
      </w:r>
      <w:r w:rsidR="0013705E">
        <w:rPr>
          <w:rFonts w:eastAsia="MS Mincho"/>
          <w:lang w:val="fr-FR"/>
        </w:rPr>
        <w:t> ;</w:t>
      </w:r>
      <w:r w:rsidR="00C52EF6" w:rsidRPr="00E046E7">
        <w:rPr>
          <w:rFonts w:eastAsia="MS Mincho"/>
          <w:lang w:val="fr-FR"/>
        </w:rPr>
        <w:t xml:space="preserve"> et </w:t>
      </w:r>
      <w:r w:rsidR="008125AA" w:rsidRPr="00E046E7">
        <w:rPr>
          <w:rFonts w:eastAsia="MS Mincho"/>
          <w:lang w:val="fr-FR"/>
        </w:rPr>
        <w:t>i) </w:t>
      </w:r>
      <w:r w:rsidR="00C52EF6" w:rsidRPr="00E046E7">
        <w:rPr>
          <w:rFonts w:eastAsia="MS Mincho"/>
          <w:lang w:val="fr-FR"/>
        </w:rPr>
        <w:t>les</w:t>
      </w:r>
      <w:r w:rsidR="00703C43">
        <w:rPr>
          <w:rFonts w:eastAsia="MS Mincho"/>
          <w:lang w:val="fr-FR"/>
        </w:rPr>
        <w:t> </w:t>
      </w:r>
      <w:r w:rsidR="00C52EF6" w:rsidRPr="00E046E7">
        <w:rPr>
          <w:rFonts w:eastAsia="MS Mincho"/>
          <w:lang w:val="fr-FR"/>
        </w:rPr>
        <w:t>enseignements tirés de transitions, crises et transformations précédentes</w:t>
      </w:r>
      <w:r w:rsidR="008125AA" w:rsidRPr="00E046E7">
        <w:rPr>
          <w:rFonts w:eastAsia="MS Mincho"/>
          <w:vertAlign w:val="superscript"/>
          <w:lang w:val="fr-FR"/>
        </w:rPr>
        <w:footnoteReference w:id="8"/>
      </w:r>
      <w:r w:rsidR="00C52EF6" w:rsidRPr="00E046E7">
        <w:rPr>
          <w:rFonts w:eastAsia="MS Mincho"/>
          <w:lang w:val="fr-FR"/>
        </w:rPr>
        <w:t>.</w:t>
      </w:r>
    </w:p>
    <w:p w14:paraId="434D6544" w14:textId="2F86656F" w:rsidR="008125AA" w:rsidRPr="00E046E7" w:rsidRDefault="00C52EF6" w:rsidP="00BD2801">
      <w:pPr>
        <w:pStyle w:val="Normalnumber"/>
        <w:rPr>
          <w:rFonts w:eastAsia="MS Mincho"/>
          <w:lang w:val="fr-FR"/>
        </w:rPr>
      </w:pPr>
      <w:r w:rsidRPr="00E046E7">
        <w:rPr>
          <w:rFonts w:eastAsia="MS Mincho"/>
          <w:lang w:val="fr-FR"/>
        </w:rPr>
        <w:t>Le processus d</w:t>
      </w:r>
      <w:r w:rsidR="00BD2801">
        <w:rPr>
          <w:rFonts w:eastAsia="MS Mincho"/>
          <w:lang w:val="fr-FR"/>
        </w:rPr>
        <w:t>’</w:t>
      </w:r>
      <w:r w:rsidRPr="00E046E7">
        <w:rPr>
          <w:rFonts w:eastAsia="MS Mincho"/>
          <w:lang w:val="fr-FR"/>
        </w:rPr>
        <w:t>évaluation et ses produits seront appuyés par les quatre fonctions de la</w:t>
      </w:r>
      <w:r w:rsidR="00703C43">
        <w:rPr>
          <w:rFonts w:eastAsia="MS Mincho"/>
          <w:lang w:val="fr-FR"/>
        </w:rPr>
        <w:t> </w:t>
      </w:r>
      <w:r w:rsidRPr="00E046E7">
        <w:rPr>
          <w:rFonts w:eastAsia="MS Mincho"/>
          <w:lang w:val="fr-FR"/>
        </w:rPr>
        <w:t xml:space="preserve">Plateforme et </w:t>
      </w:r>
      <w:r w:rsidR="00C10AD4">
        <w:rPr>
          <w:rFonts w:eastAsia="MS Mincho"/>
          <w:lang w:val="fr-FR"/>
        </w:rPr>
        <w:t xml:space="preserve">y </w:t>
      </w:r>
      <w:r w:rsidRPr="00E046E7">
        <w:rPr>
          <w:rFonts w:eastAsia="MS Mincho"/>
          <w:lang w:val="fr-FR"/>
        </w:rPr>
        <w:t>contribueront</w:t>
      </w:r>
      <w:r w:rsidR="008125AA" w:rsidRPr="00E046E7">
        <w:rPr>
          <w:rFonts w:eastAsia="MS Mincho"/>
          <w:vertAlign w:val="superscript"/>
          <w:lang w:val="fr-FR"/>
        </w:rPr>
        <w:footnoteReference w:id="9"/>
      </w:r>
      <w:r w:rsidRPr="00E046E7">
        <w:rPr>
          <w:rFonts w:eastAsia="MS Mincho"/>
          <w:lang w:val="fr-FR"/>
        </w:rPr>
        <w:t>.</w:t>
      </w:r>
    </w:p>
    <w:p w14:paraId="0B32C343" w14:textId="69B873E3" w:rsidR="008125AA" w:rsidRPr="00E046E7" w:rsidRDefault="008125AA" w:rsidP="00BD2801">
      <w:pPr>
        <w:pStyle w:val="CH2"/>
        <w:rPr>
          <w:lang w:val="fr-FR"/>
        </w:rPr>
      </w:pPr>
      <w:r w:rsidRPr="00E046E7">
        <w:rPr>
          <w:lang w:val="fr-FR"/>
        </w:rPr>
        <w:tab/>
        <w:t>B.</w:t>
      </w:r>
      <w:r w:rsidRPr="00E046E7">
        <w:rPr>
          <w:lang w:val="fr-FR"/>
        </w:rPr>
        <w:tab/>
      </w:r>
      <w:r w:rsidR="00C52EF6" w:rsidRPr="00BD2801">
        <w:t>Calendrier</w:t>
      </w:r>
      <w:r w:rsidR="00C52EF6" w:rsidRPr="00E046E7">
        <w:rPr>
          <w:lang w:val="fr-FR"/>
        </w:rPr>
        <w:t xml:space="preserve"> et couverture géographique</w:t>
      </w:r>
    </w:p>
    <w:p w14:paraId="3579A7D9" w14:textId="51230C2E" w:rsidR="008125AA" w:rsidRPr="00E046E7" w:rsidRDefault="00436B12" w:rsidP="00BD2801">
      <w:pPr>
        <w:pStyle w:val="Normalnumber"/>
        <w:rPr>
          <w:rFonts w:eastAsia="MS Mincho"/>
          <w:lang w:val="fr-FR"/>
        </w:rPr>
      </w:pPr>
      <w:r>
        <w:rPr>
          <w:rFonts w:eastAsia="MS Mincho"/>
          <w:lang w:val="fr-FR"/>
        </w:rPr>
        <w:t>La présente é</w:t>
      </w:r>
      <w:r w:rsidR="0026425A" w:rsidRPr="00E046E7">
        <w:rPr>
          <w:rFonts w:eastAsia="MS Mincho"/>
          <w:lang w:val="fr-FR"/>
        </w:rPr>
        <w:t>valuation</w:t>
      </w:r>
      <w:r w:rsidR="008125AA" w:rsidRPr="00E046E7">
        <w:rPr>
          <w:rFonts w:eastAsia="MS Mincho"/>
          <w:lang w:val="fr-FR"/>
        </w:rPr>
        <w:t xml:space="preserve"> </w:t>
      </w:r>
      <w:r w:rsidR="00D95D8B">
        <w:rPr>
          <w:rFonts w:eastAsia="MS Mincho"/>
          <w:lang w:val="fr-FR"/>
        </w:rPr>
        <w:t xml:space="preserve">aura une </w:t>
      </w:r>
      <w:r w:rsidR="0086727A" w:rsidRPr="00E046E7">
        <w:rPr>
          <w:rFonts w:eastAsia="MS Mincho"/>
          <w:lang w:val="fr-FR"/>
        </w:rPr>
        <w:t>portée mondiale</w:t>
      </w:r>
      <w:r w:rsidR="008125AA" w:rsidRPr="00E046E7">
        <w:rPr>
          <w:rFonts w:eastAsia="MS Mincho"/>
          <w:lang w:val="fr-FR"/>
        </w:rPr>
        <w:t>.</w:t>
      </w:r>
      <w:r w:rsidR="0086727A" w:rsidRPr="00E046E7">
        <w:rPr>
          <w:rFonts w:eastAsia="MS Mincho"/>
          <w:lang w:val="fr-FR"/>
        </w:rPr>
        <w:t xml:space="preserve"> Elle mettra également en lumière les</w:t>
      </w:r>
      <w:r w:rsidR="001F242E">
        <w:rPr>
          <w:rFonts w:eastAsia="MS Mincho"/>
          <w:lang w:val="fr-FR"/>
        </w:rPr>
        <w:t> </w:t>
      </w:r>
      <w:r w:rsidR="0086727A" w:rsidRPr="00E046E7">
        <w:rPr>
          <w:rFonts w:eastAsia="MS Mincho"/>
          <w:lang w:val="fr-FR"/>
        </w:rPr>
        <w:t xml:space="preserve">similarités </w:t>
      </w:r>
      <w:r w:rsidR="0086727A" w:rsidRPr="00BD2801">
        <w:rPr>
          <w:rFonts w:eastAsia="MS Mincho"/>
        </w:rPr>
        <w:t>et</w:t>
      </w:r>
      <w:r w:rsidR="0086727A" w:rsidRPr="00E046E7">
        <w:rPr>
          <w:rFonts w:eastAsia="MS Mincho"/>
          <w:lang w:val="fr-FR"/>
        </w:rPr>
        <w:t xml:space="preserve"> les différences entre les régions et les sous-régions et entre les pays à différents stades de développement et comprendra des exemples locaux ainsi que des questions</w:t>
      </w:r>
      <w:r w:rsidR="008125AA" w:rsidRPr="00E046E7">
        <w:rPr>
          <w:rFonts w:eastAsia="MS Mincho"/>
          <w:lang w:val="fr-FR"/>
        </w:rPr>
        <w:t xml:space="preserve"> </w:t>
      </w:r>
      <w:r w:rsidR="0086727A" w:rsidRPr="00E046E7">
        <w:rPr>
          <w:rFonts w:eastAsia="MS Mincho"/>
          <w:lang w:val="fr-FR"/>
        </w:rPr>
        <w:t>trans</w:t>
      </w:r>
      <w:r w:rsidR="009576C2">
        <w:rPr>
          <w:rFonts w:eastAsia="MS Mincho"/>
          <w:lang w:val="fr-FR"/>
        </w:rPr>
        <w:t>-</w:t>
      </w:r>
      <w:r w:rsidR="0086727A" w:rsidRPr="00E046E7">
        <w:rPr>
          <w:rFonts w:eastAsia="MS Mincho"/>
          <w:lang w:val="fr-FR"/>
        </w:rPr>
        <w:t>sectorielles</w:t>
      </w:r>
      <w:r w:rsidR="008125AA" w:rsidRPr="00E046E7">
        <w:rPr>
          <w:rFonts w:eastAsia="MS Mincho"/>
          <w:lang w:val="fr-FR"/>
        </w:rPr>
        <w:t>.</w:t>
      </w:r>
      <w:r w:rsidR="0086727A" w:rsidRPr="00E046E7">
        <w:rPr>
          <w:rFonts w:eastAsia="MS Mincho"/>
          <w:lang w:val="fr-FR"/>
        </w:rPr>
        <w:t xml:space="preserve"> Elle</w:t>
      </w:r>
      <w:r w:rsidR="001F242E">
        <w:rPr>
          <w:rFonts w:eastAsia="MS Mincho"/>
          <w:lang w:val="fr-FR"/>
        </w:rPr>
        <w:t> </w:t>
      </w:r>
      <w:r w:rsidR="0086727A" w:rsidRPr="00E046E7">
        <w:rPr>
          <w:rFonts w:eastAsia="MS Mincho"/>
          <w:lang w:val="fr-FR"/>
        </w:rPr>
        <w:t>couvrira des périodes passées et futures ainsi que</w:t>
      </w:r>
      <w:r w:rsidR="00977CEA" w:rsidRPr="00E046E7">
        <w:rPr>
          <w:rFonts w:eastAsia="MS Mincho"/>
          <w:lang w:val="fr-FR"/>
        </w:rPr>
        <w:t xml:space="preserve"> des étapes de changement transformateur, selon</w:t>
      </w:r>
      <w:r w:rsidR="001F242E">
        <w:rPr>
          <w:rFonts w:eastAsia="MS Mincho"/>
          <w:lang w:val="fr-FR"/>
        </w:rPr>
        <w:t> </w:t>
      </w:r>
      <w:r w:rsidR="00E4251A">
        <w:rPr>
          <w:rFonts w:eastAsia="MS Mincho"/>
          <w:lang w:val="fr-FR"/>
        </w:rPr>
        <w:t>que de besoin</w:t>
      </w:r>
      <w:r w:rsidR="008125AA" w:rsidRPr="00E046E7">
        <w:rPr>
          <w:rFonts w:eastAsia="MS Mincho"/>
          <w:lang w:val="fr-FR"/>
        </w:rPr>
        <w:t>.</w:t>
      </w:r>
    </w:p>
    <w:p w14:paraId="172906C0" w14:textId="48971860" w:rsidR="008125AA" w:rsidRPr="00E046E7" w:rsidRDefault="00977CEA"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 xml:space="preserve">évaluation sera menée sur trois ans, ce qui la </w:t>
      </w:r>
      <w:r w:rsidR="00DA7AB0">
        <w:rPr>
          <w:rFonts w:eastAsia="MS Mincho"/>
          <w:lang w:val="fr-FR"/>
        </w:rPr>
        <w:t xml:space="preserve">place </w:t>
      </w:r>
      <w:r w:rsidRPr="00E046E7">
        <w:rPr>
          <w:rFonts w:eastAsia="MS Mincho"/>
          <w:lang w:val="fr-FR"/>
        </w:rPr>
        <w:t xml:space="preserve">en bonne position pour éclairer et faciliter </w:t>
      </w:r>
      <w:r w:rsidR="002D46FC" w:rsidRPr="00BD2801">
        <w:rPr>
          <w:rFonts w:eastAsia="MS Mincho"/>
        </w:rPr>
        <w:t>l</w:t>
      </w:r>
      <w:r w:rsidR="00BD2801" w:rsidRPr="00BD2801">
        <w:rPr>
          <w:rFonts w:eastAsia="MS Mincho"/>
        </w:rPr>
        <w:t>’</w:t>
      </w:r>
      <w:r w:rsidRPr="00BD2801">
        <w:rPr>
          <w:rFonts w:eastAsia="MS Mincho"/>
        </w:rPr>
        <w:t>examen</w:t>
      </w:r>
      <w:r w:rsidRPr="00E046E7">
        <w:rPr>
          <w:rFonts w:eastAsia="MS Mincho"/>
          <w:lang w:val="fr-FR"/>
        </w:rPr>
        <w:t xml:space="preserve"> des progrès accomplis </w:t>
      </w:r>
      <w:r w:rsidR="002D46FC">
        <w:rPr>
          <w:rFonts w:eastAsia="MS Mincho"/>
          <w:lang w:val="fr-FR"/>
        </w:rPr>
        <w:t>en vue de l</w:t>
      </w:r>
      <w:r w:rsidRPr="00E046E7">
        <w:rPr>
          <w:rFonts w:eastAsia="MS Mincho"/>
          <w:lang w:val="fr-FR"/>
        </w:rPr>
        <w:t>a mise en œuvre du</w:t>
      </w:r>
      <w:r w:rsidR="008125AA" w:rsidRPr="00E046E7">
        <w:rPr>
          <w:rFonts w:eastAsia="MS Mincho"/>
          <w:lang w:val="fr-FR"/>
        </w:rPr>
        <w:t xml:space="preserve"> </w:t>
      </w:r>
      <w:r w:rsidRPr="00E046E7">
        <w:rPr>
          <w:rFonts w:eastAsia="MS Mincho"/>
          <w:lang w:val="fr-FR"/>
        </w:rPr>
        <w:t>cadre mondial de la biodiversité pour l</w:t>
      </w:r>
      <w:r w:rsidR="00BD2801">
        <w:rPr>
          <w:rFonts w:eastAsia="MS Mincho"/>
          <w:lang w:val="fr-FR"/>
        </w:rPr>
        <w:t>’</w:t>
      </w:r>
      <w:r w:rsidRPr="00E046E7">
        <w:rPr>
          <w:rFonts w:eastAsia="MS Mincho"/>
          <w:lang w:val="fr-FR"/>
        </w:rPr>
        <w:t>après-2020</w:t>
      </w:r>
      <w:r w:rsidR="008125AA" w:rsidRPr="00E046E7">
        <w:rPr>
          <w:rFonts w:eastAsia="MS Mincho"/>
          <w:lang w:val="fr-FR"/>
        </w:rPr>
        <w:t xml:space="preserve">, </w:t>
      </w:r>
      <w:r w:rsidRPr="00E046E7">
        <w:rPr>
          <w:rFonts w:eastAsia="MS Mincho"/>
          <w:lang w:val="fr-FR"/>
        </w:rPr>
        <w:t>du Programme de développement durable à l</w:t>
      </w:r>
      <w:r w:rsidR="00BD2801">
        <w:rPr>
          <w:rFonts w:eastAsia="MS Mincho"/>
          <w:lang w:val="fr-FR"/>
        </w:rPr>
        <w:t>’</w:t>
      </w:r>
      <w:r w:rsidRPr="00E046E7">
        <w:rPr>
          <w:rFonts w:eastAsia="MS Mincho"/>
          <w:lang w:val="fr-FR"/>
        </w:rPr>
        <w:t>horizon 2030 et</w:t>
      </w:r>
      <w:r w:rsidR="007E01DE" w:rsidRPr="00E046E7">
        <w:rPr>
          <w:rFonts w:eastAsia="MS Mincho"/>
          <w:lang w:val="fr-FR"/>
        </w:rPr>
        <w:t xml:space="preserve"> de</w:t>
      </w:r>
      <w:r w:rsidR="008125AA" w:rsidRPr="00E046E7">
        <w:rPr>
          <w:rFonts w:eastAsia="MS Mincho"/>
          <w:lang w:val="fr-FR"/>
        </w:rPr>
        <w:t xml:space="preserve"> </w:t>
      </w:r>
      <w:r w:rsidRPr="00E046E7">
        <w:rPr>
          <w:rFonts w:eastAsia="MS Mincho"/>
          <w:lang w:val="fr-FR"/>
        </w:rPr>
        <w:t>l</w:t>
      </w:r>
      <w:r w:rsidR="00BD2801">
        <w:rPr>
          <w:rFonts w:eastAsia="MS Mincho"/>
          <w:lang w:val="fr-FR"/>
        </w:rPr>
        <w:t>’</w:t>
      </w:r>
      <w:r w:rsidRPr="00E046E7">
        <w:rPr>
          <w:rFonts w:eastAsia="MS Mincho"/>
          <w:lang w:val="fr-FR"/>
        </w:rPr>
        <w:t>Accord de Paris sur les changements climatiques</w:t>
      </w:r>
      <w:r w:rsidR="008125AA" w:rsidRPr="00E046E7">
        <w:rPr>
          <w:rFonts w:eastAsia="MS Mincho"/>
          <w:lang w:val="fr-FR"/>
        </w:rPr>
        <w:t>.</w:t>
      </w:r>
    </w:p>
    <w:p w14:paraId="1BF4C234" w14:textId="678F08A5" w:rsidR="008125AA" w:rsidRPr="00E046E7" w:rsidRDefault="008125AA" w:rsidP="008125AA">
      <w:pPr>
        <w:pStyle w:val="CH2"/>
        <w:ind w:left="0" w:firstLine="0"/>
        <w:rPr>
          <w:lang w:val="fr-FR"/>
        </w:rPr>
      </w:pPr>
      <w:r w:rsidRPr="00E046E7">
        <w:rPr>
          <w:lang w:val="fr-FR"/>
        </w:rPr>
        <w:tab/>
        <w:t>C.</w:t>
      </w:r>
      <w:r w:rsidRPr="00E046E7">
        <w:rPr>
          <w:lang w:val="fr-FR"/>
        </w:rPr>
        <w:tab/>
      </w:r>
      <w:r w:rsidR="007E01DE" w:rsidRPr="00E046E7">
        <w:rPr>
          <w:lang w:val="fr-FR"/>
        </w:rPr>
        <w:t>C</w:t>
      </w:r>
      <w:r w:rsidR="00B72C94">
        <w:rPr>
          <w:lang w:val="fr-FR"/>
        </w:rPr>
        <w:t>adre d</w:t>
      </w:r>
      <w:r w:rsidR="00BD2801">
        <w:rPr>
          <w:lang w:val="fr-FR"/>
        </w:rPr>
        <w:t>’</w:t>
      </w:r>
      <w:r w:rsidR="00B72C94">
        <w:rPr>
          <w:lang w:val="fr-FR"/>
        </w:rPr>
        <w:t>action</w:t>
      </w:r>
    </w:p>
    <w:p w14:paraId="17CAFF30" w14:textId="3A705038" w:rsidR="008125AA" w:rsidRPr="00E046E7" w:rsidRDefault="00E16112" w:rsidP="00BD2801">
      <w:pPr>
        <w:pStyle w:val="Normalnumber"/>
        <w:rPr>
          <w:rFonts w:eastAsia="MS Mincho"/>
          <w:lang w:val="fr-FR"/>
        </w:rPr>
      </w:pPr>
      <w:r>
        <w:rPr>
          <w:rFonts w:eastAsia="MS Mincho"/>
          <w:lang w:val="fr-FR"/>
        </w:rPr>
        <w:t xml:space="preserve">Les </w:t>
      </w:r>
      <w:r w:rsidR="007E01DE" w:rsidRPr="00E046E7">
        <w:rPr>
          <w:rFonts w:eastAsia="MS Mincho"/>
          <w:lang w:val="fr-FR"/>
        </w:rPr>
        <w:t>utilisateurs</w:t>
      </w:r>
      <w:r w:rsidR="00E4251A">
        <w:rPr>
          <w:rFonts w:eastAsia="MS Mincho"/>
          <w:lang w:val="fr-FR"/>
        </w:rPr>
        <w:t xml:space="preserve"> </w:t>
      </w:r>
      <w:r w:rsidR="007E01DE" w:rsidRPr="00E046E7">
        <w:rPr>
          <w:rFonts w:eastAsia="MS Mincho"/>
          <w:lang w:val="fr-FR"/>
        </w:rPr>
        <w:t>visés</w:t>
      </w:r>
      <w:r w:rsidR="00E4251A">
        <w:rPr>
          <w:rFonts w:eastAsia="MS Mincho"/>
          <w:lang w:val="fr-FR"/>
        </w:rPr>
        <w:t xml:space="preserve"> par l</w:t>
      </w:r>
      <w:r w:rsidR="00BD2801">
        <w:rPr>
          <w:rFonts w:eastAsia="MS Mincho"/>
          <w:lang w:val="fr-FR"/>
        </w:rPr>
        <w:t>’</w:t>
      </w:r>
      <w:r w:rsidR="00E4251A">
        <w:rPr>
          <w:rFonts w:eastAsia="MS Mincho"/>
          <w:lang w:val="fr-FR"/>
        </w:rPr>
        <w:t>évaluation</w:t>
      </w:r>
      <w:r w:rsidR="007E01DE" w:rsidRPr="00E046E7">
        <w:rPr>
          <w:rFonts w:eastAsia="MS Mincho"/>
          <w:lang w:val="fr-FR"/>
        </w:rPr>
        <w:t xml:space="preserve"> </w:t>
      </w:r>
      <w:r>
        <w:rPr>
          <w:rFonts w:eastAsia="MS Mincho"/>
          <w:lang w:val="fr-FR"/>
        </w:rPr>
        <w:t xml:space="preserve">sont </w:t>
      </w:r>
      <w:r w:rsidR="007E01DE" w:rsidRPr="00E046E7">
        <w:rPr>
          <w:rFonts w:eastAsia="MS Mincho"/>
          <w:lang w:val="fr-FR"/>
        </w:rPr>
        <w:t>notamment</w:t>
      </w:r>
      <w:r w:rsidR="00D70521">
        <w:rPr>
          <w:rFonts w:eastAsia="MS Mincho"/>
          <w:lang w:val="fr-FR"/>
        </w:rPr>
        <w:t> :</w:t>
      </w:r>
      <w:r w:rsidR="008125AA" w:rsidRPr="00E046E7">
        <w:rPr>
          <w:rFonts w:eastAsia="MS Mincho"/>
          <w:lang w:val="fr-FR"/>
        </w:rPr>
        <w:t xml:space="preserve"> </w:t>
      </w:r>
      <w:r>
        <w:rPr>
          <w:rFonts w:eastAsia="MS Mincho"/>
          <w:lang w:val="fr-FR"/>
        </w:rPr>
        <w:t xml:space="preserve">les </w:t>
      </w:r>
      <w:r w:rsidR="007E01DE" w:rsidRPr="00E046E7">
        <w:rPr>
          <w:rFonts w:eastAsia="MS Mincho"/>
          <w:lang w:val="fr-FR"/>
        </w:rPr>
        <w:t>gouvernements</w:t>
      </w:r>
      <w:r w:rsidR="00924A0E">
        <w:rPr>
          <w:rFonts w:eastAsia="MS Mincho"/>
          <w:lang w:val="fr-FR"/>
        </w:rPr>
        <w:t> ;</w:t>
      </w:r>
      <w:r w:rsidR="00E4251A">
        <w:rPr>
          <w:rFonts w:eastAsia="MS Mincho"/>
          <w:lang w:val="fr-FR"/>
        </w:rPr>
        <w:t xml:space="preserve"> </w:t>
      </w:r>
      <w:r w:rsidR="00720D60">
        <w:rPr>
          <w:rFonts w:eastAsia="MS Mincho"/>
          <w:lang w:val="fr-FR"/>
        </w:rPr>
        <w:t xml:space="preserve">les </w:t>
      </w:r>
      <w:r w:rsidR="007E01DE" w:rsidRPr="00E046E7">
        <w:rPr>
          <w:rFonts w:eastAsia="MS Mincho"/>
          <w:lang w:val="fr-FR"/>
        </w:rPr>
        <w:t xml:space="preserve">organes directeurs </w:t>
      </w:r>
      <w:r w:rsidR="007E01DE" w:rsidRPr="00BD2801">
        <w:rPr>
          <w:rFonts w:eastAsia="MS Mincho"/>
        </w:rPr>
        <w:t>d</w:t>
      </w:r>
      <w:r w:rsidR="00BD2801" w:rsidRPr="00BD2801">
        <w:rPr>
          <w:rFonts w:eastAsia="MS Mincho"/>
        </w:rPr>
        <w:t>’</w:t>
      </w:r>
      <w:r w:rsidR="007E01DE" w:rsidRPr="00BD2801">
        <w:rPr>
          <w:rFonts w:eastAsia="MS Mincho"/>
        </w:rPr>
        <w:t>accords</w:t>
      </w:r>
      <w:r w:rsidR="007E01DE" w:rsidRPr="00E046E7">
        <w:rPr>
          <w:rFonts w:eastAsia="MS Mincho"/>
          <w:lang w:val="fr-FR"/>
        </w:rPr>
        <w:t xml:space="preserve"> multilatéraux sur l</w:t>
      </w:r>
      <w:r w:rsidR="00BD2801">
        <w:rPr>
          <w:rFonts w:eastAsia="MS Mincho"/>
          <w:lang w:val="fr-FR"/>
        </w:rPr>
        <w:t>’</w:t>
      </w:r>
      <w:r w:rsidR="007E01DE" w:rsidRPr="00E046E7">
        <w:rPr>
          <w:rFonts w:eastAsia="MS Mincho"/>
          <w:lang w:val="fr-FR"/>
        </w:rPr>
        <w:t>environnement</w:t>
      </w:r>
      <w:r w:rsidR="00924A0E">
        <w:rPr>
          <w:rFonts w:eastAsia="MS Mincho"/>
          <w:lang w:val="fr-FR"/>
        </w:rPr>
        <w:t> ;</w:t>
      </w:r>
      <w:r w:rsidR="00CB22B1">
        <w:rPr>
          <w:rFonts w:eastAsia="MS Mincho"/>
          <w:lang w:val="fr-FR"/>
        </w:rPr>
        <w:t xml:space="preserve"> les </w:t>
      </w:r>
      <w:r w:rsidR="007E01DE" w:rsidRPr="00E046E7">
        <w:rPr>
          <w:rFonts w:eastAsia="MS Mincho"/>
          <w:lang w:val="fr-FR"/>
        </w:rPr>
        <w:t xml:space="preserve">décideurs </w:t>
      </w:r>
      <w:r w:rsidR="001672C5">
        <w:rPr>
          <w:rFonts w:eastAsia="MS Mincho"/>
          <w:lang w:val="fr-FR"/>
        </w:rPr>
        <w:t xml:space="preserve">au sein des </w:t>
      </w:r>
      <w:r w:rsidR="007E01DE" w:rsidRPr="00E046E7">
        <w:rPr>
          <w:rFonts w:eastAsia="MS Mincho"/>
          <w:lang w:val="fr-FR"/>
        </w:rPr>
        <w:t>cadres politiques mondiaux</w:t>
      </w:r>
      <w:r w:rsidR="008125AA" w:rsidRPr="00E046E7">
        <w:rPr>
          <w:rFonts w:eastAsia="MS Mincho"/>
          <w:lang w:val="fr-FR"/>
        </w:rPr>
        <w:t xml:space="preserve">, </w:t>
      </w:r>
      <w:r w:rsidR="00E44F8D">
        <w:rPr>
          <w:rFonts w:eastAsia="MS Mincho"/>
          <w:lang w:val="fr-FR"/>
        </w:rPr>
        <w:t xml:space="preserve">les </w:t>
      </w:r>
      <w:r w:rsidR="007E01DE" w:rsidRPr="00E046E7">
        <w:rPr>
          <w:rFonts w:eastAsia="MS Mincho"/>
          <w:lang w:val="fr-FR"/>
        </w:rPr>
        <w:t xml:space="preserve">gouvernements infranationaux et </w:t>
      </w:r>
      <w:r w:rsidR="00E44F8D">
        <w:rPr>
          <w:rFonts w:eastAsia="MS Mincho"/>
          <w:lang w:val="fr-FR"/>
        </w:rPr>
        <w:t xml:space="preserve">les </w:t>
      </w:r>
      <w:r w:rsidR="007E01DE" w:rsidRPr="00E046E7">
        <w:rPr>
          <w:rFonts w:eastAsia="MS Mincho"/>
          <w:lang w:val="fr-FR"/>
        </w:rPr>
        <w:t>autorités locales</w:t>
      </w:r>
      <w:r w:rsidR="009B5F96">
        <w:rPr>
          <w:rFonts w:eastAsia="MS Mincho"/>
          <w:lang w:val="fr-FR"/>
        </w:rPr>
        <w:t> ;</w:t>
      </w:r>
      <w:r w:rsidR="00E4251A">
        <w:rPr>
          <w:rFonts w:eastAsia="MS Mincho"/>
          <w:lang w:val="fr-FR"/>
        </w:rPr>
        <w:t xml:space="preserve"> </w:t>
      </w:r>
      <w:r w:rsidR="00E44F8D">
        <w:rPr>
          <w:rFonts w:eastAsia="MS Mincho"/>
          <w:lang w:val="fr-FR"/>
        </w:rPr>
        <w:t>les</w:t>
      </w:r>
      <w:r w:rsidR="00974E30">
        <w:rPr>
          <w:rFonts w:eastAsia="MS Mincho"/>
          <w:lang w:val="fr-FR"/>
        </w:rPr>
        <w:t xml:space="preserve"> </w:t>
      </w:r>
      <w:r w:rsidR="008125AA" w:rsidRPr="00E046E7">
        <w:rPr>
          <w:rFonts w:eastAsia="MS Mincho"/>
          <w:lang w:val="fr-FR"/>
        </w:rPr>
        <w:t>scienti</w:t>
      </w:r>
      <w:r w:rsidR="007E01DE" w:rsidRPr="00E046E7">
        <w:rPr>
          <w:rFonts w:eastAsia="MS Mincho"/>
          <w:lang w:val="fr-FR"/>
        </w:rPr>
        <w:t>fiques</w:t>
      </w:r>
      <w:r w:rsidR="009B5F96">
        <w:rPr>
          <w:rFonts w:eastAsia="MS Mincho"/>
          <w:lang w:val="fr-FR"/>
        </w:rPr>
        <w:t> ;</w:t>
      </w:r>
      <w:r w:rsidR="00E4251A">
        <w:rPr>
          <w:rFonts w:eastAsia="MS Mincho"/>
          <w:lang w:val="fr-FR"/>
        </w:rPr>
        <w:t xml:space="preserve"> </w:t>
      </w:r>
      <w:r w:rsidR="00974E30">
        <w:rPr>
          <w:rFonts w:eastAsia="MS Mincho"/>
          <w:lang w:val="fr-FR"/>
        </w:rPr>
        <w:t xml:space="preserve">les </w:t>
      </w:r>
      <w:r w:rsidR="007E01DE" w:rsidRPr="00E046E7">
        <w:rPr>
          <w:rFonts w:eastAsia="MS Mincho"/>
          <w:lang w:val="fr-FR"/>
        </w:rPr>
        <w:t>systèmes d</w:t>
      </w:r>
      <w:r w:rsidR="00BD2801">
        <w:rPr>
          <w:rFonts w:eastAsia="MS Mincho"/>
          <w:lang w:val="fr-FR"/>
        </w:rPr>
        <w:t>’</w:t>
      </w:r>
      <w:r w:rsidR="007E01DE" w:rsidRPr="00E046E7">
        <w:rPr>
          <w:rFonts w:eastAsia="MS Mincho"/>
          <w:lang w:val="fr-FR"/>
        </w:rPr>
        <w:t xml:space="preserve">éducation et </w:t>
      </w:r>
      <w:r w:rsidR="00974E30">
        <w:rPr>
          <w:rFonts w:eastAsia="MS Mincho"/>
          <w:lang w:val="fr-FR"/>
        </w:rPr>
        <w:t xml:space="preserve">les </w:t>
      </w:r>
      <w:r w:rsidR="007E01DE" w:rsidRPr="00E046E7">
        <w:rPr>
          <w:rFonts w:eastAsia="MS Mincho"/>
          <w:lang w:val="fr-FR"/>
        </w:rPr>
        <w:t>médias</w:t>
      </w:r>
      <w:r w:rsidR="009B5F96">
        <w:rPr>
          <w:rFonts w:eastAsia="MS Mincho"/>
          <w:lang w:val="fr-FR"/>
        </w:rPr>
        <w:t> ;</w:t>
      </w:r>
      <w:r w:rsidR="00E4251A">
        <w:rPr>
          <w:rFonts w:eastAsia="MS Mincho"/>
          <w:lang w:val="fr-FR"/>
        </w:rPr>
        <w:t xml:space="preserve"> </w:t>
      </w:r>
      <w:r w:rsidR="00974E30">
        <w:rPr>
          <w:rFonts w:eastAsia="MS Mincho"/>
          <w:lang w:val="fr-FR"/>
        </w:rPr>
        <w:t xml:space="preserve">le </w:t>
      </w:r>
      <w:r w:rsidR="007E01DE" w:rsidRPr="00E046E7">
        <w:rPr>
          <w:rFonts w:eastAsia="MS Mincho"/>
          <w:lang w:val="fr-FR"/>
        </w:rPr>
        <w:t xml:space="preserve">secteur privé et </w:t>
      </w:r>
      <w:r w:rsidR="00974E30">
        <w:rPr>
          <w:rFonts w:eastAsia="MS Mincho"/>
          <w:lang w:val="fr-FR"/>
        </w:rPr>
        <w:t xml:space="preserve">la </w:t>
      </w:r>
      <w:r w:rsidR="007E01DE" w:rsidRPr="00E046E7">
        <w:rPr>
          <w:rFonts w:eastAsia="MS Mincho"/>
          <w:lang w:val="fr-FR"/>
        </w:rPr>
        <w:t>société civile</w:t>
      </w:r>
      <w:r w:rsidR="008125AA" w:rsidRPr="00E046E7">
        <w:rPr>
          <w:rFonts w:eastAsia="MS Mincho"/>
          <w:lang w:val="fr-FR"/>
        </w:rPr>
        <w:t>,</w:t>
      </w:r>
      <w:r w:rsidR="007E01DE" w:rsidRPr="00E046E7">
        <w:rPr>
          <w:rFonts w:eastAsia="MS Mincho"/>
          <w:lang w:val="fr-FR"/>
        </w:rPr>
        <w:t xml:space="preserve"> y compris les populations autochtones et les communautés locales, les jeunes, les femmes et les organisations non gouvernementales</w:t>
      </w:r>
      <w:r w:rsidR="008125AA" w:rsidRPr="00E046E7">
        <w:rPr>
          <w:rFonts w:eastAsia="MS Mincho"/>
          <w:lang w:val="fr-FR"/>
        </w:rPr>
        <w:t>.</w:t>
      </w:r>
    </w:p>
    <w:p w14:paraId="61AC940D" w14:textId="6C70D279" w:rsidR="008125AA" w:rsidRPr="00E046E7" w:rsidRDefault="0083587D" w:rsidP="00BD2801">
      <w:pPr>
        <w:pStyle w:val="Normalnumber"/>
        <w:rPr>
          <w:rFonts w:eastAsia="MS Mincho"/>
          <w:lang w:val="fr-FR"/>
        </w:rPr>
      </w:pPr>
      <w:r w:rsidRPr="00E046E7">
        <w:rPr>
          <w:rFonts w:eastAsia="MS Mincho"/>
          <w:lang w:val="fr-FR"/>
        </w:rPr>
        <w:t xml:space="preserve">Cette évaluation renforcera la base de connaissances pour </w:t>
      </w:r>
      <w:r w:rsidR="00715FA8">
        <w:rPr>
          <w:rFonts w:eastAsia="MS Mincho"/>
          <w:lang w:val="fr-FR"/>
        </w:rPr>
        <w:t xml:space="preserve">prendre des </w:t>
      </w:r>
      <w:r w:rsidRPr="00E046E7">
        <w:rPr>
          <w:rFonts w:eastAsia="MS Mincho"/>
          <w:lang w:val="fr-FR"/>
        </w:rPr>
        <w:t>décisions</w:t>
      </w:r>
      <w:r w:rsidR="00826080" w:rsidRPr="00E046E7">
        <w:rPr>
          <w:rFonts w:eastAsia="MS Mincho"/>
          <w:lang w:val="fr-FR"/>
        </w:rPr>
        <w:t xml:space="preserve"> étayées et fondées sur des données factuelles</w:t>
      </w:r>
      <w:r w:rsidR="008125AA" w:rsidRPr="00E046E7">
        <w:rPr>
          <w:rFonts w:eastAsia="MS Mincho"/>
          <w:lang w:val="fr-FR"/>
        </w:rPr>
        <w:t>,</w:t>
      </w:r>
      <w:r w:rsidR="00826080" w:rsidRPr="00E046E7">
        <w:rPr>
          <w:rFonts w:eastAsia="MS Mincho"/>
          <w:lang w:val="fr-FR"/>
        </w:rPr>
        <w:t xml:space="preserve"> dans le contexte du cadre mondial de la biodiversité pour l</w:t>
      </w:r>
      <w:r w:rsidR="00BD2801">
        <w:rPr>
          <w:rFonts w:eastAsia="MS Mincho"/>
          <w:lang w:val="fr-FR"/>
        </w:rPr>
        <w:t>’</w:t>
      </w:r>
      <w:r w:rsidR="00826080" w:rsidRPr="00E046E7">
        <w:rPr>
          <w:rFonts w:eastAsia="MS Mincho"/>
          <w:lang w:val="fr-FR"/>
        </w:rPr>
        <w:t>après</w:t>
      </w:r>
      <w:r w:rsidR="001F242E">
        <w:rPr>
          <w:rFonts w:eastAsia="MS Mincho"/>
          <w:lang w:val="fr-FR"/>
        </w:rPr>
        <w:noBreakHyphen/>
      </w:r>
      <w:r w:rsidR="00826080" w:rsidRPr="00E046E7">
        <w:rPr>
          <w:rFonts w:eastAsia="MS Mincho"/>
          <w:lang w:val="fr-FR"/>
        </w:rPr>
        <w:t>2020 ainsi que de la Vision</w:t>
      </w:r>
      <w:r w:rsidR="00E046E7">
        <w:rPr>
          <w:rFonts w:eastAsia="MS Mincho"/>
          <w:lang w:val="fr-FR"/>
        </w:rPr>
        <w:t> </w:t>
      </w:r>
      <w:r w:rsidR="00826080" w:rsidRPr="00E046E7">
        <w:rPr>
          <w:rFonts w:eastAsia="MS Mincho"/>
          <w:lang w:val="fr-FR"/>
        </w:rPr>
        <w:t>2050 pour la biodiversité, du Programme de développement durable à l</w:t>
      </w:r>
      <w:r w:rsidR="00BD2801">
        <w:rPr>
          <w:rFonts w:eastAsia="MS Mincho"/>
          <w:lang w:val="fr-FR"/>
        </w:rPr>
        <w:t>’</w:t>
      </w:r>
      <w:r w:rsidR="00826080" w:rsidRPr="00E046E7">
        <w:rPr>
          <w:rFonts w:eastAsia="MS Mincho"/>
          <w:lang w:val="fr-FR"/>
        </w:rPr>
        <w:t>horizon 2030 et de l</w:t>
      </w:r>
      <w:r w:rsidR="00BD2801">
        <w:rPr>
          <w:rFonts w:eastAsia="MS Mincho"/>
          <w:lang w:val="fr-FR"/>
        </w:rPr>
        <w:t>’</w:t>
      </w:r>
      <w:r w:rsidR="00826080" w:rsidRPr="00E046E7">
        <w:rPr>
          <w:rFonts w:eastAsia="MS Mincho"/>
          <w:lang w:val="fr-FR"/>
        </w:rPr>
        <w:t>Accord de Paris</w:t>
      </w:r>
      <w:r w:rsidR="008125AA" w:rsidRPr="00E046E7">
        <w:rPr>
          <w:rFonts w:eastAsia="MS Mincho"/>
          <w:lang w:val="fr-FR"/>
        </w:rPr>
        <w:t>.</w:t>
      </w:r>
      <w:r w:rsidR="00826080" w:rsidRPr="00E046E7">
        <w:rPr>
          <w:rFonts w:eastAsia="MS Mincho"/>
          <w:lang w:val="fr-FR"/>
        </w:rPr>
        <w:t xml:space="preserve"> L</w:t>
      </w:r>
      <w:r w:rsidR="00BD2801">
        <w:rPr>
          <w:rFonts w:eastAsia="MS Mincho"/>
          <w:lang w:val="fr-FR"/>
        </w:rPr>
        <w:t>’</w:t>
      </w:r>
      <w:r w:rsidR="00826080" w:rsidRPr="00E046E7">
        <w:rPr>
          <w:rFonts w:eastAsia="MS Mincho"/>
          <w:lang w:val="fr-FR"/>
        </w:rPr>
        <w:t>évaluation vise également à éclairer d</w:t>
      </w:r>
      <w:r w:rsidR="00BD2801">
        <w:rPr>
          <w:rFonts w:eastAsia="MS Mincho"/>
          <w:lang w:val="fr-FR"/>
        </w:rPr>
        <w:t>’</w:t>
      </w:r>
      <w:r w:rsidR="00826080" w:rsidRPr="00E046E7">
        <w:rPr>
          <w:rFonts w:eastAsia="MS Mincho"/>
          <w:lang w:val="fr-FR"/>
        </w:rPr>
        <w:t>autres processus pertinents dans le cadre d</w:t>
      </w:r>
      <w:r w:rsidR="00BD2801">
        <w:rPr>
          <w:rFonts w:eastAsia="MS Mincho"/>
          <w:lang w:val="fr-FR"/>
        </w:rPr>
        <w:t>’</w:t>
      </w:r>
      <w:r w:rsidR="00826080" w:rsidRPr="00E046E7">
        <w:rPr>
          <w:rFonts w:eastAsia="MS Mincho"/>
          <w:lang w:val="fr-FR"/>
        </w:rPr>
        <w:t>accords multilatéraux sur l</w:t>
      </w:r>
      <w:r w:rsidR="00BD2801">
        <w:rPr>
          <w:rFonts w:eastAsia="MS Mincho"/>
          <w:lang w:val="fr-FR"/>
        </w:rPr>
        <w:t>’</w:t>
      </w:r>
      <w:r w:rsidR="00826080" w:rsidRPr="00E046E7">
        <w:rPr>
          <w:rFonts w:eastAsia="MS Mincho"/>
          <w:lang w:val="fr-FR"/>
        </w:rPr>
        <w:t>environnement, d</w:t>
      </w:r>
      <w:r w:rsidR="00BD2801">
        <w:rPr>
          <w:rFonts w:eastAsia="MS Mincho"/>
          <w:lang w:val="fr-FR"/>
        </w:rPr>
        <w:t>’</w:t>
      </w:r>
      <w:r w:rsidR="00826080" w:rsidRPr="00E046E7">
        <w:rPr>
          <w:rFonts w:eastAsia="MS Mincho"/>
          <w:lang w:val="fr-FR"/>
        </w:rPr>
        <w:t>autres</w:t>
      </w:r>
      <w:r w:rsidR="008125AA" w:rsidRPr="00E046E7">
        <w:rPr>
          <w:rFonts w:eastAsia="MS Mincho"/>
          <w:lang w:val="fr-FR"/>
        </w:rPr>
        <w:t xml:space="preserve"> conventions, </w:t>
      </w:r>
      <w:r w:rsidR="00826080" w:rsidRPr="00E046E7">
        <w:rPr>
          <w:rFonts w:eastAsia="MS Mincho"/>
          <w:lang w:val="fr-FR"/>
        </w:rPr>
        <w:t>accords et organisations s</w:t>
      </w:r>
      <w:r w:rsidR="00BD2801">
        <w:rPr>
          <w:rFonts w:eastAsia="MS Mincho"/>
          <w:lang w:val="fr-FR"/>
        </w:rPr>
        <w:t>’</w:t>
      </w:r>
      <w:r w:rsidR="00826080" w:rsidRPr="00E046E7">
        <w:rPr>
          <w:rFonts w:eastAsia="MS Mincho"/>
          <w:lang w:val="fr-FR"/>
        </w:rPr>
        <w:t xml:space="preserve">intéressant </w:t>
      </w:r>
      <w:r w:rsidR="00987ECE" w:rsidRPr="00E046E7">
        <w:rPr>
          <w:rFonts w:eastAsia="MS Mincho"/>
          <w:lang w:val="fr-FR"/>
        </w:rPr>
        <w:t xml:space="preserve">à la biodiversité et </w:t>
      </w:r>
      <w:r w:rsidR="00826080" w:rsidRPr="00E046E7">
        <w:rPr>
          <w:rFonts w:eastAsia="MS Mincho"/>
          <w:lang w:val="fr-FR"/>
        </w:rPr>
        <w:t>aux questions</w:t>
      </w:r>
      <w:r w:rsidR="00987ECE" w:rsidRPr="00E046E7">
        <w:rPr>
          <w:rFonts w:eastAsia="MS Mincho"/>
          <w:lang w:val="fr-FR"/>
        </w:rPr>
        <w:t xml:space="preserve"> environnementales</w:t>
      </w:r>
      <w:r w:rsidR="00FB0A0C" w:rsidRPr="00E046E7">
        <w:rPr>
          <w:rFonts w:eastAsia="MS Mincho"/>
          <w:lang w:val="fr-FR"/>
        </w:rPr>
        <w:t xml:space="preserve"> ainsi que des accords et processus multilatéraux </w:t>
      </w:r>
      <w:r w:rsidR="00792BD8" w:rsidRPr="00E046E7">
        <w:rPr>
          <w:rFonts w:eastAsia="MS Mincho"/>
          <w:lang w:val="fr-FR"/>
        </w:rPr>
        <w:t xml:space="preserve">sectoriels et régionaux pertinents </w:t>
      </w:r>
      <w:r w:rsidR="00134E13">
        <w:rPr>
          <w:rFonts w:eastAsia="MS Mincho"/>
          <w:lang w:val="fr-FR"/>
        </w:rPr>
        <w:t>relatifs à</w:t>
      </w:r>
      <w:r w:rsidR="00792BD8" w:rsidRPr="00E046E7">
        <w:rPr>
          <w:rFonts w:eastAsia="MS Mincho"/>
          <w:lang w:val="fr-FR"/>
        </w:rPr>
        <w:t xml:space="preserve"> l</w:t>
      </w:r>
      <w:r w:rsidR="00BD2801">
        <w:rPr>
          <w:rFonts w:eastAsia="MS Mincho"/>
          <w:lang w:val="fr-FR"/>
        </w:rPr>
        <w:t>’</w:t>
      </w:r>
      <w:r w:rsidR="00792BD8" w:rsidRPr="00E046E7">
        <w:rPr>
          <w:rFonts w:eastAsia="MS Mincho"/>
          <w:lang w:val="fr-FR"/>
        </w:rPr>
        <w:t>environnement</w:t>
      </w:r>
      <w:r w:rsidR="008125AA" w:rsidRPr="00E046E7">
        <w:rPr>
          <w:rFonts w:eastAsia="MS Mincho"/>
          <w:lang w:val="fr-FR"/>
        </w:rPr>
        <w:t>.</w:t>
      </w:r>
    </w:p>
    <w:p w14:paraId="34B898BB" w14:textId="2E026133" w:rsidR="008125AA" w:rsidRPr="00E046E7" w:rsidRDefault="00792BD8" w:rsidP="00BD2801">
      <w:pPr>
        <w:pStyle w:val="Normalnumber"/>
        <w:rPr>
          <w:rFonts w:eastAsia="MS Mincho"/>
          <w:lang w:val="fr-FR"/>
        </w:rPr>
      </w:pPr>
      <w:r w:rsidRPr="00BD2801">
        <w:rPr>
          <w:rFonts w:eastAsia="MS Mincho"/>
        </w:rPr>
        <w:t>L</w:t>
      </w:r>
      <w:r w:rsidR="00BD2801" w:rsidRPr="00BD2801">
        <w:rPr>
          <w:rFonts w:eastAsia="MS Mincho"/>
        </w:rPr>
        <w:t>’</w:t>
      </w:r>
      <w:r w:rsidRPr="00BD2801">
        <w:rPr>
          <w:rFonts w:eastAsia="MS Mincho"/>
        </w:rPr>
        <w:t>évaluation</w:t>
      </w:r>
      <w:r w:rsidRPr="00E046E7">
        <w:rPr>
          <w:rFonts w:eastAsia="MS Mincho"/>
          <w:lang w:val="fr-FR"/>
        </w:rPr>
        <w:t xml:space="preserve"> devrait également éclairer des politiques infranationales, nationales, régionales et mondiales concernant la </w:t>
      </w:r>
      <w:r w:rsidR="001D5A98">
        <w:rPr>
          <w:rFonts w:eastAsia="MS Mincho"/>
          <w:lang w:val="fr-FR"/>
        </w:rPr>
        <w:t xml:space="preserve">préservation </w:t>
      </w:r>
      <w:r w:rsidRPr="00E046E7">
        <w:rPr>
          <w:rFonts w:eastAsia="MS Mincho"/>
          <w:lang w:val="fr-FR"/>
        </w:rPr>
        <w:t>et l</w:t>
      </w:r>
      <w:r w:rsidR="00BD2801">
        <w:rPr>
          <w:rFonts w:eastAsia="MS Mincho"/>
          <w:lang w:val="fr-FR"/>
        </w:rPr>
        <w:t>’</w:t>
      </w:r>
      <w:r w:rsidRPr="00E046E7">
        <w:rPr>
          <w:rFonts w:eastAsia="MS Mincho"/>
          <w:lang w:val="fr-FR"/>
        </w:rPr>
        <w:t>utilisation durable de la biodiversité et des écosystèmes, des</w:t>
      </w:r>
      <w:r w:rsidR="001F242E">
        <w:rPr>
          <w:rFonts w:eastAsia="MS Mincho"/>
          <w:lang w:val="fr-FR"/>
        </w:rPr>
        <w:t> </w:t>
      </w:r>
      <w:r w:rsidRPr="00E046E7">
        <w:rPr>
          <w:rFonts w:eastAsia="MS Mincho"/>
          <w:lang w:val="fr-FR"/>
        </w:rPr>
        <w:t>ressources naturelles et des contributions de la nature aux populations</w:t>
      </w:r>
      <w:r w:rsidR="008125AA" w:rsidRPr="00E046E7">
        <w:rPr>
          <w:rFonts w:eastAsia="MS Mincho"/>
          <w:lang w:val="fr-FR"/>
        </w:rPr>
        <w:t>.</w:t>
      </w:r>
    </w:p>
    <w:p w14:paraId="28C807E4" w14:textId="3BD3014C" w:rsidR="008125AA" w:rsidRPr="00E046E7" w:rsidRDefault="008125AA" w:rsidP="008125AA">
      <w:pPr>
        <w:pStyle w:val="CH2"/>
        <w:ind w:left="0" w:firstLine="0"/>
        <w:rPr>
          <w:lang w:val="fr-FR"/>
        </w:rPr>
      </w:pPr>
      <w:r w:rsidRPr="00E046E7">
        <w:rPr>
          <w:lang w:val="fr-FR"/>
        </w:rPr>
        <w:tab/>
        <w:t>D.</w:t>
      </w:r>
      <w:r w:rsidRPr="00E046E7">
        <w:rPr>
          <w:lang w:val="fr-FR"/>
        </w:rPr>
        <w:tab/>
      </w:r>
      <w:r w:rsidR="00792BD8" w:rsidRPr="00E046E7">
        <w:rPr>
          <w:lang w:val="fr-FR"/>
        </w:rPr>
        <w:t xml:space="preserve">Questions </w:t>
      </w:r>
      <w:r w:rsidR="00917325">
        <w:rPr>
          <w:lang w:val="fr-FR"/>
        </w:rPr>
        <w:t>fondamentales</w:t>
      </w:r>
    </w:p>
    <w:p w14:paraId="1CE37405" w14:textId="27B6479C" w:rsidR="008125AA" w:rsidRPr="00E046E7" w:rsidRDefault="00792BD8"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 xml:space="preserve">évaluation </w:t>
      </w:r>
      <w:r w:rsidR="00AB5976">
        <w:rPr>
          <w:rFonts w:eastAsia="MS Mincho"/>
          <w:lang w:val="fr-FR"/>
        </w:rPr>
        <w:t>visera à répondre aux questions</w:t>
      </w:r>
      <w:r w:rsidR="006A6471">
        <w:rPr>
          <w:rFonts w:eastAsia="MS Mincho"/>
          <w:lang w:val="fr-FR"/>
        </w:rPr>
        <w:t xml:space="preserve"> suivantes qui sont </w:t>
      </w:r>
      <w:r w:rsidR="001C3539">
        <w:rPr>
          <w:rFonts w:eastAsia="MS Mincho"/>
          <w:lang w:val="fr-FR"/>
        </w:rPr>
        <w:t xml:space="preserve">importantes </w:t>
      </w:r>
      <w:r w:rsidR="006A6471">
        <w:rPr>
          <w:rFonts w:eastAsia="MS Mincho"/>
          <w:lang w:val="fr-FR"/>
        </w:rPr>
        <w:t xml:space="preserve">pour les </w:t>
      </w:r>
      <w:r w:rsidRPr="00E046E7">
        <w:rPr>
          <w:rFonts w:eastAsia="MS Mincho"/>
          <w:lang w:val="fr-FR"/>
        </w:rPr>
        <w:t>décideurs et d</w:t>
      </w:r>
      <w:r w:rsidR="00BD2801">
        <w:rPr>
          <w:rFonts w:eastAsia="MS Mincho"/>
          <w:lang w:val="fr-FR"/>
        </w:rPr>
        <w:t>’</w:t>
      </w:r>
      <w:r w:rsidRPr="00E046E7">
        <w:rPr>
          <w:rFonts w:eastAsia="MS Mincho"/>
          <w:lang w:val="fr-FR"/>
        </w:rPr>
        <w:t>autres parties prenantes traitant de</w:t>
      </w:r>
      <w:r w:rsidR="003F071B">
        <w:rPr>
          <w:rFonts w:eastAsia="MS Mincho"/>
          <w:lang w:val="fr-FR"/>
        </w:rPr>
        <w:t xml:space="preserve"> problématiques </w:t>
      </w:r>
      <w:r w:rsidR="00C37022">
        <w:rPr>
          <w:rFonts w:eastAsia="MS Mincho"/>
          <w:lang w:val="fr-FR"/>
        </w:rPr>
        <w:t xml:space="preserve">liées </w:t>
      </w:r>
      <w:r w:rsidRPr="00E046E7">
        <w:rPr>
          <w:rFonts w:eastAsia="MS Mincho"/>
          <w:lang w:val="fr-FR"/>
        </w:rPr>
        <w:t xml:space="preserve">aux changements transformateurs en vue de réaliser la </w:t>
      </w:r>
      <w:r w:rsidRPr="00BD2801">
        <w:rPr>
          <w:rFonts w:eastAsia="MS Mincho"/>
        </w:rPr>
        <w:t>Vision</w:t>
      </w:r>
      <w:r w:rsidRPr="00E046E7">
        <w:rPr>
          <w:rFonts w:eastAsia="MS Mincho"/>
          <w:lang w:val="fr-FR"/>
        </w:rPr>
        <w:t> 2050 pour la biodiversité et les objectifs de développement durable du Programme 2030 ainsi que de mettre en œuvre le</w:t>
      </w:r>
      <w:r w:rsidR="008125AA" w:rsidRPr="00E046E7">
        <w:rPr>
          <w:rFonts w:eastAsia="MS Mincho"/>
          <w:lang w:val="fr-FR"/>
        </w:rPr>
        <w:t xml:space="preserve"> </w:t>
      </w:r>
      <w:r w:rsidRPr="00E046E7">
        <w:rPr>
          <w:rFonts w:eastAsia="MS Mincho"/>
          <w:lang w:val="fr-FR"/>
        </w:rPr>
        <w:t>cadre mondial de la biodiversité pour l</w:t>
      </w:r>
      <w:r w:rsidR="00BD2801">
        <w:rPr>
          <w:rFonts w:eastAsia="MS Mincho"/>
          <w:lang w:val="fr-FR"/>
        </w:rPr>
        <w:t>’</w:t>
      </w:r>
      <w:r w:rsidRPr="00E046E7">
        <w:rPr>
          <w:rFonts w:eastAsia="MS Mincho"/>
          <w:lang w:val="fr-FR"/>
        </w:rPr>
        <w:t>après-2020 et</w:t>
      </w:r>
      <w:r w:rsidR="001F242E">
        <w:rPr>
          <w:rFonts w:eastAsia="MS Mincho"/>
          <w:lang w:val="fr-FR"/>
        </w:rPr>
        <w:t> </w:t>
      </w:r>
      <w:r w:rsidRPr="00E046E7">
        <w:rPr>
          <w:rFonts w:eastAsia="MS Mincho"/>
          <w:lang w:val="fr-FR"/>
        </w:rPr>
        <w:t>l</w:t>
      </w:r>
      <w:r w:rsidR="00BD2801">
        <w:rPr>
          <w:rFonts w:eastAsia="MS Mincho"/>
          <w:lang w:val="fr-FR"/>
        </w:rPr>
        <w:t>’</w:t>
      </w:r>
      <w:r w:rsidRPr="00E046E7">
        <w:rPr>
          <w:rFonts w:eastAsia="MS Mincho"/>
          <w:lang w:val="fr-FR"/>
        </w:rPr>
        <w:t xml:space="preserve">Accord de </w:t>
      </w:r>
      <w:r w:rsidR="005676D3" w:rsidRPr="00E046E7">
        <w:rPr>
          <w:rFonts w:eastAsia="MS Mincho"/>
          <w:lang w:val="fr-FR"/>
        </w:rPr>
        <w:t xml:space="preserve">Paris </w:t>
      </w:r>
      <w:r w:rsidR="008125AA" w:rsidRPr="00E046E7">
        <w:rPr>
          <w:rFonts w:eastAsia="MS Mincho"/>
          <w:lang w:val="fr-FR"/>
        </w:rPr>
        <w:t>(</w:t>
      </w:r>
      <w:r w:rsidR="005676D3" w:rsidRPr="00E046E7">
        <w:rPr>
          <w:rFonts w:eastAsia="MS Mincho"/>
          <w:lang w:val="fr-FR"/>
        </w:rPr>
        <w:t>ci-après appelés les « objectifs mondiaux » afin d</w:t>
      </w:r>
      <w:r w:rsidR="00BD2801">
        <w:rPr>
          <w:rFonts w:eastAsia="MS Mincho"/>
          <w:lang w:val="fr-FR"/>
        </w:rPr>
        <w:t>’</w:t>
      </w:r>
      <w:r w:rsidR="005676D3" w:rsidRPr="00E046E7">
        <w:rPr>
          <w:rFonts w:eastAsia="MS Mincho"/>
          <w:lang w:val="fr-FR"/>
        </w:rPr>
        <w:t>éviter les répétitions</w:t>
      </w:r>
      <w:r w:rsidR="008125AA" w:rsidRPr="00E046E7">
        <w:rPr>
          <w:rFonts w:eastAsia="MS Mincho"/>
          <w:lang w:val="fr-FR"/>
        </w:rPr>
        <w:t>)</w:t>
      </w:r>
      <w:r w:rsidR="001F242E">
        <w:rPr>
          <w:rFonts w:eastAsia="MS Mincho"/>
          <w:lang w:val="fr-FR"/>
        </w:rPr>
        <w:t> </w:t>
      </w:r>
      <w:r w:rsidR="008125AA" w:rsidRPr="00E046E7">
        <w:rPr>
          <w:rFonts w:eastAsia="MS Mincho"/>
          <w:lang w:val="fr-FR"/>
        </w:rPr>
        <w:t>:</w:t>
      </w:r>
    </w:p>
    <w:p w14:paraId="5CE6B483" w14:textId="5BC403E8" w:rsidR="008125AA" w:rsidRPr="00E046E7" w:rsidRDefault="005676D3" w:rsidP="0038694E">
      <w:pPr>
        <w:pStyle w:val="Normalnumber"/>
        <w:numPr>
          <w:ilvl w:val="1"/>
          <w:numId w:val="4"/>
        </w:numPr>
        <w:rPr>
          <w:rFonts w:eastAsia="MS Mincho"/>
          <w:lang w:val="fr-FR"/>
        </w:rPr>
      </w:pPr>
      <w:r w:rsidRPr="00E046E7">
        <w:rPr>
          <w:rFonts w:eastAsia="MS Mincho"/>
          <w:lang w:val="fr-FR"/>
        </w:rPr>
        <w:t>Que sont des changements transformateurs et quels sont leurs liens avec les approches actuelles en matière de gestion de la biodiversité et des services écosystémiques </w:t>
      </w:r>
      <w:r w:rsidR="008125AA" w:rsidRPr="00E046E7">
        <w:rPr>
          <w:rFonts w:eastAsia="MS Mincho"/>
          <w:lang w:val="fr-FR"/>
        </w:rPr>
        <w:t xml:space="preserve">? </w:t>
      </w:r>
    </w:p>
    <w:p w14:paraId="19A7F77C" w14:textId="1A20ABD9" w:rsidR="008125AA" w:rsidRPr="00E046E7" w:rsidRDefault="004F2339" w:rsidP="0038694E">
      <w:pPr>
        <w:pStyle w:val="Normalnumber"/>
        <w:numPr>
          <w:ilvl w:val="1"/>
          <w:numId w:val="4"/>
        </w:numPr>
        <w:rPr>
          <w:rFonts w:eastAsia="MS Mincho"/>
          <w:lang w:val="fr-FR"/>
        </w:rPr>
      </w:pPr>
      <w:r w:rsidRPr="00E046E7">
        <w:rPr>
          <w:rFonts w:eastAsia="MS Mincho"/>
          <w:lang w:val="fr-FR"/>
        </w:rPr>
        <w:t xml:space="preserve">Comment des changements transformateurs intentionnels et </w:t>
      </w:r>
      <w:r w:rsidR="00D70521">
        <w:rPr>
          <w:rFonts w:eastAsia="MS Mincho"/>
          <w:lang w:val="fr-FR"/>
        </w:rPr>
        <w:t>émergents</w:t>
      </w:r>
      <w:r w:rsidRPr="00E046E7">
        <w:rPr>
          <w:rFonts w:eastAsia="MS Mincho"/>
          <w:lang w:val="fr-FR"/>
        </w:rPr>
        <w:t xml:space="preserve"> peuvent être utilisés </w:t>
      </w:r>
      <w:r w:rsidR="00DE78D7" w:rsidRPr="00E046E7">
        <w:rPr>
          <w:rFonts w:eastAsia="MS Mincho"/>
          <w:lang w:val="fr-FR"/>
        </w:rPr>
        <w:t>pour réaliser les objectifs mondiaux susmentionnés </w:t>
      </w:r>
      <w:r w:rsidR="008125AA" w:rsidRPr="00E046E7">
        <w:rPr>
          <w:rFonts w:eastAsia="MS Mincho"/>
          <w:lang w:val="fr-FR"/>
        </w:rPr>
        <w:t>?</w:t>
      </w:r>
    </w:p>
    <w:p w14:paraId="5BCE071E" w14:textId="0D01B738" w:rsidR="008125AA" w:rsidRPr="00E046E7" w:rsidRDefault="00DE78D7" w:rsidP="0038694E">
      <w:pPr>
        <w:pStyle w:val="Normalnumber"/>
        <w:numPr>
          <w:ilvl w:val="1"/>
          <w:numId w:val="4"/>
        </w:numPr>
        <w:rPr>
          <w:rFonts w:eastAsia="MS Mincho"/>
          <w:lang w:val="fr-FR"/>
        </w:rPr>
      </w:pPr>
      <w:r w:rsidRPr="00E046E7">
        <w:rPr>
          <w:rFonts w:eastAsia="MS Mincho"/>
          <w:lang w:val="fr-FR"/>
        </w:rPr>
        <w:t>Comment différents groupes conçoivent-ils un monde durable où la Vision 2050 pour la</w:t>
      </w:r>
      <w:r w:rsidR="001F242E">
        <w:rPr>
          <w:rFonts w:eastAsia="MS Mincho"/>
          <w:lang w:val="fr-FR"/>
        </w:rPr>
        <w:t> </w:t>
      </w:r>
      <w:r w:rsidRPr="00E046E7">
        <w:rPr>
          <w:rFonts w:eastAsia="MS Mincho"/>
          <w:lang w:val="fr-FR"/>
        </w:rPr>
        <w:t>biodiversité a été réalisée dans le contexte des objectifs de développement durable </w:t>
      </w:r>
      <w:r w:rsidR="008125AA" w:rsidRPr="00E046E7">
        <w:rPr>
          <w:rFonts w:eastAsia="MS Mincho"/>
          <w:lang w:val="fr-FR"/>
        </w:rPr>
        <w:t>?</w:t>
      </w:r>
      <w:r w:rsidRPr="00E046E7">
        <w:rPr>
          <w:rFonts w:eastAsia="MS Mincho"/>
          <w:lang w:val="fr-FR"/>
        </w:rPr>
        <w:t xml:space="preserve"> Qu</w:t>
      </w:r>
      <w:r w:rsidR="00BD2801">
        <w:rPr>
          <w:rFonts w:eastAsia="MS Mincho"/>
          <w:lang w:val="fr-FR"/>
        </w:rPr>
        <w:t>’</w:t>
      </w:r>
      <w:r w:rsidRPr="00E046E7">
        <w:rPr>
          <w:rFonts w:eastAsia="MS Mincho"/>
          <w:lang w:val="fr-FR"/>
        </w:rPr>
        <w:t>impliquent ces visions et les valeurs qui les sous-tendent pour les changements transformateurs dans l</w:t>
      </w:r>
      <w:r w:rsidR="00BD2801">
        <w:rPr>
          <w:rFonts w:eastAsia="MS Mincho"/>
          <w:lang w:val="fr-FR"/>
        </w:rPr>
        <w:t>’</w:t>
      </w:r>
      <w:r w:rsidRPr="00E046E7">
        <w:rPr>
          <w:rFonts w:eastAsia="MS Mincho"/>
          <w:lang w:val="fr-FR"/>
        </w:rPr>
        <w:t>ensemble des secteurs et des systèmes </w:t>
      </w:r>
      <w:r w:rsidR="008125AA" w:rsidRPr="00E046E7">
        <w:rPr>
          <w:rFonts w:eastAsia="MS Mincho"/>
          <w:lang w:val="fr-FR"/>
        </w:rPr>
        <w:t xml:space="preserve">? </w:t>
      </w:r>
    </w:p>
    <w:p w14:paraId="09F3F726" w14:textId="519B6A3E" w:rsidR="008125AA" w:rsidRPr="00E046E7" w:rsidRDefault="00137345" w:rsidP="0038694E">
      <w:pPr>
        <w:pStyle w:val="Normalnumber"/>
        <w:numPr>
          <w:ilvl w:val="1"/>
          <w:numId w:val="4"/>
        </w:numPr>
        <w:rPr>
          <w:rFonts w:eastAsia="MS Mincho"/>
          <w:lang w:val="fr-FR"/>
        </w:rPr>
      </w:pPr>
      <w:r w:rsidRPr="00E046E7">
        <w:rPr>
          <w:rFonts w:eastAsia="MS Mincho"/>
          <w:lang w:val="fr-FR"/>
        </w:rPr>
        <w:t xml:space="preserve">Quels scénarios et voies </w:t>
      </w:r>
      <w:r w:rsidR="00D70521" w:rsidRPr="00D70521">
        <w:rPr>
          <w:rFonts w:eastAsia="MS Mincho"/>
          <w:lang w:val="fr-FR"/>
        </w:rPr>
        <w:t xml:space="preserve">futurs </w:t>
      </w:r>
      <w:r w:rsidRPr="00E046E7">
        <w:rPr>
          <w:rFonts w:eastAsia="MS Mincho"/>
          <w:lang w:val="fr-FR"/>
        </w:rPr>
        <w:t>pourraient mener aux transformations nécessaires pour réaliser les objectifs mondiaux susmentionnés ? Quels moyens d</w:t>
      </w:r>
      <w:r w:rsidR="00BD2801">
        <w:rPr>
          <w:rFonts w:eastAsia="MS Mincho"/>
          <w:lang w:val="fr-FR"/>
        </w:rPr>
        <w:t>’</w:t>
      </w:r>
      <w:r w:rsidRPr="00E046E7">
        <w:rPr>
          <w:rFonts w:eastAsia="MS Mincho"/>
          <w:lang w:val="fr-FR"/>
        </w:rPr>
        <w:t xml:space="preserve">action et politiques sont </w:t>
      </w:r>
      <w:r w:rsidR="00DC400C">
        <w:rPr>
          <w:rFonts w:eastAsia="MS Mincho"/>
          <w:lang w:val="fr-FR"/>
        </w:rPr>
        <w:t xml:space="preserve">essentiels </w:t>
      </w:r>
      <w:r w:rsidR="00D67E1D">
        <w:rPr>
          <w:rFonts w:eastAsia="MS Mincho"/>
          <w:lang w:val="fr-FR"/>
        </w:rPr>
        <w:t>d</w:t>
      </w:r>
      <w:r w:rsidRPr="00E046E7">
        <w:rPr>
          <w:rFonts w:eastAsia="MS Mincho"/>
          <w:lang w:val="fr-FR"/>
        </w:rPr>
        <w:t>ans ces scénarios et voies pour permettre les transformations nécessaires </w:t>
      </w:r>
      <w:r w:rsidR="008125AA" w:rsidRPr="00E046E7">
        <w:rPr>
          <w:rFonts w:eastAsia="MS Mincho"/>
          <w:lang w:val="fr-FR"/>
        </w:rPr>
        <w:t>?</w:t>
      </w:r>
      <w:r w:rsidR="00C61B30" w:rsidRPr="00E046E7">
        <w:rPr>
          <w:rFonts w:eastAsia="MS Mincho"/>
          <w:lang w:val="fr-FR"/>
        </w:rPr>
        <w:t xml:space="preserve"> </w:t>
      </w:r>
    </w:p>
    <w:p w14:paraId="6F5D19D6" w14:textId="6DE0FAF9" w:rsidR="008125AA" w:rsidRPr="00E046E7" w:rsidRDefault="003B611A" w:rsidP="0038694E">
      <w:pPr>
        <w:pStyle w:val="Normalnumber"/>
        <w:numPr>
          <w:ilvl w:val="1"/>
          <w:numId w:val="4"/>
        </w:numPr>
        <w:rPr>
          <w:rFonts w:eastAsia="MS Mincho"/>
          <w:lang w:val="fr-FR"/>
        </w:rPr>
      </w:pPr>
      <w:r w:rsidRPr="00E046E7">
        <w:rPr>
          <w:rFonts w:eastAsia="MS Mincho"/>
          <w:lang w:val="fr-FR"/>
        </w:rPr>
        <w:lastRenderedPageBreak/>
        <w:t>Quels éléments permettent et accélèrent les changements transformateurs et que peuvent faire les responsables politiques, les décideurs, les</w:t>
      </w:r>
      <w:r w:rsidR="000156AE" w:rsidRPr="00E046E7">
        <w:rPr>
          <w:rFonts w:eastAsia="MS Mincho"/>
          <w:lang w:val="fr-FR"/>
        </w:rPr>
        <w:t xml:space="preserve"> </w:t>
      </w:r>
      <w:r w:rsidR="00D13083">
        <w:rPr>
          <w:rFonts w:eastAsia="MS Mincho"/>
          <w:lang w:val="fr-FR"/>
        </w:rPr>
        <w:t>gestionnaires</w:t>
      </w:r>
      <w:r w:rsidR="000156AE" w:rsidRPr="00E046E7">
        <w:rPr>
          <w:rFonts w:eastAsia="MS Mincho"/>
          <w:lang w:val="fr-FR"/>
        </w:rPr>
        <w:t xml:space="preserve">, les parties prenantes, les citoyens ainsi que les entreprises et les organisations </w:t>
      </w:r>
      <w:r w:rsidR="00CE1874" w:rsidRPr="00E046E7">
        <w:rPr>
          <w:rFonts w:eastAsia="MS Mincho"/>
          <w:lang w:val="fr-FR"/>
        </w:rPr>
        <w:t>pour utiliser et renforcer les changements transformateurs afin d</w:t>
      </w:r>
      <w:r w:rsidR="00BD2801">
        <w:rPr>
          <w:rFonts w:eastAsia="MS Mincho"/>
          <w:lang w:val="fr-FR"/>
        </w:rPr>
        <w:t>’</w:t>
      </w:r>
      <w:r w:rsidR="00CE1874" w:rsidRPr="00E046E7">
        <w:rPr>
          <w:rFonts w:eastAsia="MS Mincho"/>
          <w:lang w:val="fr-FR"/>
        </w:rPr>
        <w:t xml:space="preserve">atteindre </w:t>
      </w:r>
      <w:r w:rsidR="00200CA0" w:rsidRPr="00E046E7">
        <w:rPr>
          <w:rFonts w:eastAsia="MS Mincho"/>
          <w:lang w:val="fr-FR"/>
        </w:rPr>
        <w:t xml:space="preserve">les objectifs </w:t>
      </w:r>
      <w:r w:rsidR="00D74B59">
        <w:rPr>
          <w:rFonts w:eastAsia="MS Mincho"/>
          <w:lang w:val="fr-FR"/>
        </w:rPr>
        <w:t xml:space="preserve">pertinents fixés aux niveaux </w:t>
      </w:r>
      <w:r w:rsidR="00200CA0" w:rsidRPr="00E046E7">
        <w:rPr>
          <w:rFonts w:eastAsia="MS Mincho"/>
          <w:lang w:val="fr-FR"/>
        </w:rPr>
        <w:t>loca</w:t>
      </w:r>
      <w:r w:rsidR="00D74B59">
        <w:rPr>
          <w:rFonts w:eastAsia="MS Mincho"/>
          <w:lang w:val="fr-FR"/>
        </w:rPr>
        <w:t>l</w:t>
      </w:r>
      <w:r w:rsidR="00200CA0" w:rsidRPr="00E046E7">
        <w:rPr>
          <w:rFonts w:eastAsia="MS Mincho"/>
          <w:lang w:val="fr-FR"/>
        </w:rPr>
        <w:t>, nationa</w:t>
      </w:r>
      <w:r w:rsidR="00D74B59">
        <w:rPr>
          <w:rFonts w:eastAsia="MS Mincho"/>
          <w:lang w:val="fr-FR"/>
        </w:rPr>
        <w:t>l</w:t>
      </w:r>
      <w:r w:rsidR="00200CA0" w:rsidRPr="00E046E7">
        <w:rPr>
          <w:rFonts w:eastAsia="MS Mincho"/>
          <w:lang w:val="fr-FR"/>
        </w:rPr>
        <w:t xml:space="preserve"> et internationa</w:t>
      </w:r>
      <w:r w:rsidR="00D74B59">
        <w:rPr>
          <w:rFonts w:eastAsia="MS Mincho"/>
          <w:lang w:val="fr-FR"/>
        </w:rPr>
        <w:t>l</w:t>
      </w:r>
      <w:r w:rsidR="00200CA0" w:rsidRPr="00E046E7">
        <w:rPr>
          <w:rFonts w:eastAsia="MS Mincho"/>
          <w:lang w:val="fr-FR"/>
        </w:rPr>
        <w:t xml:space="preserve"> d</w:t>
      </w:r>
      <w:r w:rsidR="00BD2801">
        <w:rPr>
          <w:rFonts w:eastAsia="MS Mincho"/>
          <w:lang w:val="fr-FR"/>
        </w:rPr>
        <w:t>’</w:t>
      </w:r>
      <w:r w:rsidR="00200CA0" w:rsidRPr="00E046E7">
        <w:rPr>
          <w:rFonts w:eastAsia="MS Mincho"/>
          <w:lang w:val="fr-FR"/>
        </w:rPr>
        <w:t>une manière équitable, juste et participative</w:t>
      </w:r>
      <w:r w:rsidR="008125AA" w:rsidRPr="00E046E7">
        <w:rPr>
          <w:rFonts w:eastAsia="MS Mincho"/>
          <w:lang w:val="fr-FR"/>
        </w:rPr>
        <w:t xml:space="preserve"> </w:t>
      </w:r>
      <w:r w:rsidR="00200CA0" w:rsidRPr="00E046E7">
        <w:rPr>
          <w:rFonts w:eastAsia="MS Mincho"/>
          <w:lang w:val="fr-FR"/>
        </w:rPr>
        <w:t>en ne laissant personne de côté </w:t>
      </w:r>
      <w:r w:rsidR="008125AA" w:rsidRPr="00E046E7">
        <w:rPr>
          <w:rFonts w:eastAsia="MS Mincho"/>
          <w:lang w:val="fr-FR"/>
        </w:rPr>
        <w:t xml:space="preserve">? </w:t>
      </w:r>
    </w:p>
    <w:p w14:paraId="61B506F3" w14:textId="0EB7E4BB" w:rsidR="008125AA" w:rsidRPr="00E046E7" w:rsidRDefault="006421FE" w:rsidP="0038694E">
      <w:pPr>
        <w:pStyle w:val="Normalnumber"/>
        <w:numPr>
          <w:ilvl w:val="1"/>
          <w:numId w:val="4"/>
        </w:numPr>
        <w:rPr>
          <w:rFonts w:eastAsia="MS Mincho"/>
          <w:lang w:val="fr-FR"/>
        </w:rPr>
      </w:pPr>
      <w:bookmarkStart w:id="3" w:name="_Hlk43300554"/>
      <w:r w:rsidRPr="00E046E7">
        <w:rPr>
          <w:rFonts w:eastAsia="MS Mincho"/>
          <w:lang w:val="fr-FR"/>
        </w:rPr>
        <w:t>Quels obstacles et défis entravent des changements transformateurs en vue d</w:t>
      </w:r>
      <w:r w:rsidR="00BD2801">
        <w:rPr>
          <w:rFonts w:eastAsia="MS Mincho"/>
          <w:lang w:val="fr-FR"/>
        </w:rPr>
        <w:t>’</w:t>
      </w:r>
      <w:r w:rsidRPr="00E046E7">
        <w:rPr>
          <w:rFonts w:eastAsia="MS Mincho"/>
          <w:lang w:val="fr-FR"/>
        </w:rPr>
        <w:t>un monde durable</w:t>
      </w:r>
      <w:r w:rsidR="008125AA" w:rsidRPr="00E046E7">
        <w:rPr>
          <w:rFonts w:eastAsia="MS Mincho"/>
          <w:lang w:val="fr-FR"/>
        </w:rPr>
        <w:t>,</w:t>
      </w:r>
      <w:r w:rsidRPr="00E046E7">
        <w:rPr>
          <w:rFonts w:eastAsia="MS Mincho"/>
          <w:lang w:val="fr-FR"/>
        </w:rPr>
        <w:t xml:space="preserve"> comment </w:t>
      </w:r>
      <w:r w:rsidR="00D70521">
        <w:rPr>
          <w:rFonts w:eastAsia="MS Mincho"/>
          <w:lang w:val="fr-FR"/>
        </w:rPr>
        <w:t>pourraient</w:t>
      </w:r>
      <w:r w:rsidRPr="00E046E7">
        <w:rPr>
          <w:rFonts w:eastAsia="MS Mincho"/>
          <w:lang w:val="fr-FR"/>
        </w:rPr>
        <w:t xml:space="preserve">-ils évoluer au fil du temps et en fonction </w:t>
      </w:r>
      <w:r w:rsidR="00134E13">
        <w:rPr>
          <w:rFonts w:eastAsia="MS Mincho"/>
          <w:lang w:val="fr-FR"/>
        </w:rPr>
        <w:t>de l</w:t>
      </w:r>
      <w:r w:rsidR="00BD2801">
        <w:rPr>
          <w:rFonts w:eastAsia="MS Mincho"/>
          <w:lang w:val="fr-FR"/>
        </w:rPr>
        <w:t>’</w:t>
      </w:r>
      <w:r w:rsidR="00134E13">
        <w:rPr>
          <w:rFonts w:eastAsia="MS Mincho"/>
          <w:lang w:val="fr-FR"/>
        </w:rPr>
        <w:t xml:space="preserve">échelle et </w:t>
      </w:r>
      <w:r w:rsidRPr="00E046E7">
        <w:rPr>
          <w:rFonts w:eastAsia="MS Mincho"/>
          <w:lang w:val="fr-FR"/>
        </w:rPr>
        <w:t>du contexte</w:t>
      </w:r>
      <w:r w:rsidR="00134E13">
        <w:rPr>
          <w:rFonts w:eastAsia="MS Mincho"/>
          <w:lang w:val="fr-FR"/>
        </w:rPr>
        <w:t xml:space="preserve"> </w:t>
      </w:r>
      <w:r w:rsidRPr="00E046E7">
        <w:rPr>
          <w:rFonts w:eastAsia="MS Mincho"/>
          <w:lang w:val="fr-FR"/>
        </w:rPr>
        <w:t>et comment peuvent-ils être surmontés </w:t>
      </w:r>
      <w:bookmarkEnd w:id="3"/>
      <w:r w:rsidR="008125AA" w:rsidRPr="00E046E7">
        <w:rPr>
          <w:rFonts w:eastAsia="MS Mincho"/>
          <w:lang w:val="fr-FR"/>
        </w:rPr>
        <w:t xml:space="preserve">? </w:t>
      </w:r>
    </w:p>
    <w:p w14:paraId="78D87ACE" w14:textId="1FE3452F" w:rsidR="008125AA" w:rsidRPr="00E046E7" w:rsidRDefault="006421FE" w:rsidP="0038694E">
      <w:pPr>
        <w:pStyle w:val="Normalnumber"/>
        <w:numPr>
          <w:ilvl w:val="1"/>
          <w:numId w:val="4"/>
        </w:numPr>
        <w:rPr>
          <w:rFonts w:eastAsia="MS Mincho"/>
          <w:lang w:val="fr-FR"/>
        </w:rPr>
      </w:pPr>
      <w:r w:rsidRPr="00E046E7">
        <w:rPr>
          <w:rFonts w:eastAsia="MS Mincho"/>
          <w:lang w:val="fr-FR"/>
        </w:rPr>
        <w:t>Quel</w:t>
      </w:r>
      <w:r w:rsidR="00D70521">
        <w:rPr>
          <w:rFonts w:eastAsia="MS Mincho"/>
          <w:lang w:val="fr-FR"/>
        </w:rPr>
        <w:t>le</w:t>
      </w:r>
      <w:r w:rsidRPr="00E046E7">
        <w:rPr>
          <w:rFonts w:eastAsia="MS Mincho"/>
          <w:lang w:val="fr-FR"/>
        </w:rPr>
        <w:t xml:space="preserve">s options </w:t>
      </w:r>
      <w:r w:rsidR="00D70521">
        <w:rPr>
          <w:rFonts w:eastAsia="MS Mincho"/>
          <w:lang w:val="fr-FR"/>
        </w:rPr>
        <w:t xml:space="preserve">ont </w:t>
      </w:r>
      <w:r w:rsidRPr="00E046E7">
        <w:rPr>
          <w:rFonts w:eastAsia="MS Mincho"/>
          <w:lang w:val="fr-FR"/>
        </w:rPr>
        <w:t xml:space="preserve">les responsables politiques, les décideurs, les </w:t>
      </w:r>
      <w:r w:rsidR="00D13083">
        <w:rPr>
          <w:rFonts w:eastAsia="MS Mincho"/>
          <w:lang w:val="fr-FR"/>
        </w:rPr>
        <w:t>gestionnaires</w:t>
      </w:r>
      <w:r w:rsidR="00012B89" w:rsidRPr="00E046E7">
        <w:rPr>
          <w:rFonts w:eastAsia="MS Mincho"/>
          <w:lang w:val="fr-FR"/>
        </w:rPr>
        <w:t>, les</w:t>
      </w:r>
      <w:r w:rsidR="001F242E">
        <w:rPr>
          <w:rFonts w:eastAsia="MS Mincho"/>
          <w:lang w:val="fr-FR"/>
        </w:rPr>
        <w:t> </w:t>
      </w:r>
      <w:r w:rsidR="00012B89" w:rsidRPr="00E046E7">
        <w:rPr>
          <w:rFonts w:eastAsia="MS Mincho"/>
          <w:lang w:val="fr-FR"/>
        </w:rPr>
        <w:t xml:space="preserve">parties </w:t>
      </w:r>
      <w:r w:rsidR="00012B89" w:rsidRPr="00BD2801">
        <w:rPr>
          <w:rFonts w:eastAsia="MS Mincho"/>
        </w:rPr>
        <w:t>prenantes</w:t>
      </w:r>
      <w:r w:rsidR="00012B89" w:rsidRPr="00E046E7">
        <w:rPr>
          <w:rFonts w:eastAsia="MS Mincho"/>
          <w:lang w:val="fr-FR"/>
        </w:rPr>
        <w:t xml:space="preserve">, les citoyens ainsi que les entreprises et les organisations </w:t>
      </w:r>
      <w:r w:rsidR="00D70521">
        <w:rPr>
          <w:rFonts w:eastAsia="MS Mincho"/>
          <w:lang w:val="fr-FR"/>
        </w:rPr>
        <w:t>et quel rôle peuvent-ils jouer</w:t>
      </w:r>
      <w:r w:rsidR="00012B89" w:rsidRPr="00E046E7">
        <w:rPr>
          <w:rFonts w:eastAsia="MS Mincho"/>
          <w:lang w:val="fr-FR"/>
        </w:rPr>
        <w:t xml:space="preserve"> pour favoriser des changements en vue de la réalisation des objectifs mondiaux susmentionnés et</w:t>
      </w:r>
      <w:r w:rsidR="001F242E">
        <w:rPr>
          <w:rFonts w:eastAsia="MS Mincho"/>
          <w:lang w:val="fr-FR"/>
        </w:rPr>
        <w:t> </w:t>
      </w:r>
      <w:r w:rsidR="00012B89" w:rsidRPr="00E046E7">
        <w:rPr>
          <w:rFonts w:eastAsia="MS Mincho"/>
          <w:lang w:val="fr-FR"/>
        </w:rPr>
        <w:t>comment ces options et rôles peuvent-ils évoluer au fil du temps et en fonction du contexte </w:t>
      </w:r>
      <w:r w:rsidR="008125AA" w:rsidRPr="00E046E7">
        <w:rPr>
          <w:rFonts w:eastAsia="MS Mincho"/>
          <w:lang w:val="fr-FR"/>
        </w:rPr>
        <w:t>?</w:t>
      </w:r>
    </w:p>
    <w:p w14:paraId="23EC2B92" w14:textId="31EC1778" w:rsidR="008125AA" w:rsidRPr="00E046E7" w:rsidRDefault="00012B89" w:rsidP="0038694E">
      <w:pPr>
        <w:pStyle w:val="Normalnumber"/>
        <w:numPr>
          <w:ilvl w:val="1"/>
          <w:numId w:val="4"/>
        </w:numPr>
        <w:rPr>
          <w:rFonts w:eastAsia="MS Mincho"/>
          <w:lang w:val="fr-FR"/>
        </w:rPr>
      </w:pPr>
      <w:r w:rsidRPr="00E046E7">
        <w:rPr>
          <w:rFonts w:eastAsia="MS Mincho"/>
          <w:lang w:val="fr-FR"/>
        </w:rPr>
        <w:t>Comment des options peuvent-elles être combinées pour permettre la réalisation des</w:t>
      </w:r>
      <w:r w:rsidR="001F242E">
        <w:rPr>
          <w:rFonts w:eastAsia="MS Mincho"/>
          <w:lang w:val="fr-FR"/>
        </w:rPr>
        <w:t> </w:t>
      </w:r>
      <w:r w:rsidRPr="00E046E7">
        <w:rPr>
          <w:rFonts w:eastAsia="MS Mincho"/>
          <w:lang w:val="fr-FR"/>
        </w:rPr>
        <w:t>objectifs mondiaux susmentionnés </w:t>
      </w:r>
      <w:r w:rsidR="008125AA" w:rsidRPr="00E046E7">
        <w:rPr>
          <w:rFonts w:eastAsia="MS Mincho"/>
          <w:lang w:val="fr-FR"/>
        </w:rPr>
        <w:t>?</w:t>
      </w:r>
    </w:p>
    <w:p w14:paraId="365047E5" w14:textId="685ECA27" w:rsidR="008125AA" w:rsidRPr="00E046E7" w:rsidRDefault="00012B89" w:rsidP="0038694E">
      <w:pPr>
        <w:pStyle w:val="Normalnumber"/>
        <w:numPr>
          <w:ilvl w:val="1"/>
          <w:numId w:val="4"/>
        </w:numPr>
        <w:rPr>
          <w:rFonts w:eastAsia="MS Mincho"/>
          <w:lang w:val="fr-FR"/>
        </w:rPr>
      </w:pPr>
      <w:r w:rsidRPr="00E046E7">
        <w:rPr>
          <w:rFonts w:eastAsia="MS Mincho"/>
          <w:lang w:val="fr-FR"/>
        </w:rPr>
        <w:t>Quelles sont les lacunes les plus importantes</w:t>
      </w:r>
      <w:r w:rsidR="00E64AAA" w:rsidRPr="00E046E7">
        <w:rPr>
          <w:rFonts w:eastAsia="MS Mincho"/>
          <w:lang w:val="fr-FR"/>
        </w:rPr>
        <w:t xml:space="preserve"> qu</w:t>
      </w:r>
      <w:r w:rsidR="00BD2801">
        <w:rPr>
          <w:rFonts w:eastAsia="MS Mincho"/>
          <w:lang w:val="fr-FR"/>
        </w:rPr>
        <w:t>’</w:t>
      </w:r>
      <w:r w:rsidR="00E64AAA" w:rsidRPr="00E046E7">
        <w:rPr>
          <w:rFonts w:eastAsia="MS Mincho"/>
          <w:lang w:val="fr-FR"/>
        </w:rPr>
        <w:t>il conviendrait de combler</w:t>
      </w:r>
      <w:r w:rsidRPr="00E046E7">
        <w:rPr>
          <w:rFonts w:eastAsia="MS Mincho"/>
          <w:lang w:val="fr-FR"/>
        </w:rPr>
        <w:t xml:space="preserve"> en matière de</w:t>
      </w:r>
      <w:r w:rsidR="001F242E">
        <w:rPr>
          <w:rFonts w:eastAsia="MS Mincho"/>
          <w:lang w:val="fr-FR"/>
        </w:rPr>
        <w:t> </w:t>
      </w:r>
      <w:r w:rsidRPr="00E046E7">
        <w:rPr>
          <w:rFonts w:eastAsia="MS Mincho"/>
          <w:lang w:val="fr-FR"/>
        </w:rPr>
        <w:t xml:space="preserve">connaissances </w:t>
      </w:r>
      <w:r w:rsidR="00E64AAA" w:rsidRPr="00E046E7">
        <w:rPr>
          <w:rFonts w:eastAsia="MS Mincho"/>
          <w:lang w:val="fr-FR"/>
        </w:rPr>
        <w:t>concernant</w:t>
      </w:r>
      <w:r w:rsidRPr="00E046E7">
        <w:rPr>
          <w:rFonts w:eastAsia="MS Mincho"/>
          <w:lang w:val="fr-FR"/>
        </w:rPr>
        <w:t xml:space="preserve"> les causes profondes de l</w:t>
      </w:r>
      <w:r w:rsidR="00BD2801">
        <w:rPr>
          <w:rFonts w:eastAsia="MS Mincho"/>
          <w:lang w:val="fr-FR"/>
        </w:rPr>
        <w:t>’</w:t>
      </w:r>
      <w:r w:rsidRPr="00E046E7">
        <w:rPr>
          <w:rFonts w:eastAsia="MS Mincho"/>
          <w:lang w:val="fr-FR"/>
        </w:rPr>
        <w:t>érosion de la biodiversité</w:t>
      </w:r>
      <w:r w:rsidR="008125AA" w:rsidRPr="00E046E7">
        <w:rPr>
          <w:rFonts w:eastAsia="MS Mincho"/>
          <w:lang w:val="fr-FR"/>
        </w:rPr>
        <w:t xml:space="preserve"> </w:t>
      </w:r>
      <w:r w:rsidR="00E64AAA" w:rsidRPr="00E046E7">
        <w:rPr>
          <w:rFonts w:eastAsia="MS Mincho"/>
          <w:lang w:val="fr-FR"/>
        </w:rPr>
        <w:t>afin de réaliser les</w:t>
      </w:r>
      <w:r w:rsidR="001F242E">
        <w:rPr>
          <w:rFonts w:eastAsia="MS Mincho"/>
          <w:lang w:val="fr-FR"/>
        </w:rPr>
        <w:t> </w:t>
      </w:r>
      <w:r w:rsidR="00E64AAA" w:rsidRPr="00E046E7">
        <w:rPr>
          <w:rFonts w:eastAsia="MS Mincho"/>
          <w:lang w:val="fr-FR"/>
        </w:rPr>
        <w:t>changements transformateurs et les objectifs mondiaux susmentionnés et comment ces lacunes peuvent-elles être comblées </w:t>
      </w:r>
      <w:r w:rsidR="008125AA" w:rsidRPr="00E046E7">
        <w:rPr>
          <w:rFonts w:eastAsia="MS Mincho"/>
          <w:lang w:val="fr-FR"/>
        </w:rPr>
        <w:t>?</w:t>
      </w:r>
    </w:p>
    <w:p w14:paraId="40E2FD73" w14:textId="5E647945" w:rsidR="008125AA" w:rsidRPr="00E046E7" w:rsidRDefault="00E64AAA" w:rsidP="0038694E">
      <w:pPr>
        <w:pStyle w:val="Normalnumber"/>
        <w:numPr>
          <w:ilvl w:val="1"/>
          <w:numId w:val="4"/>
        </w:numPr>
        <w:rPr>
          <w:rFonts w:eastAsia="MS Mincho"/>
          <w:lang w:val="fr-FR"/>
        </w:rPr>
      </w:pPr>
      <w:r w:rsidRPr="00E046E7">
        <w:rPr>
          <w:rFonts w:eastAsia="MS Mincho"/>
          <w:lang w:val="fr-FR"/>
        </w:rPr>
        <w:t>Quelles stratégies de</w:t>
      </w:r>
      <w:r w:rsidR="008125AA" w:rsidRPr="00E046E7">
        <w:rPr>
          <w:rFonts w:eastAsia="MS Mincho"/>
          <w:lang w:val="fr-FR"/>
        </w:rPr>
        <w:t xml:space="preserve"> communication, </w:t>
      </w:r>
      <w:r w:rsidRPr="00E046E7">
        <w:rPr>
          <w:rFonts w:eastAsia="MS Mincho"/>
          <w:lang w:val="fr-FR"/>
        </w:rPr>
        <w:t>d</w:t>
      </w:r>
      <w:r w:rsidR="00BD2801">
        <w:rPr>
          <w:rFonts w:eastAsia="MS Mincho"/>
          <w:lang w:val="fr-FR"/>
        </w:rPr>
        <w:t>’</w:t>
      </w:r>
      <w:r w:rsidRPr="00E046E7">
        <w:rPr>
          <w:rFonts w:eastAsia="MS Mincho"/>
          <w:lang w:val="fr-FR"/>
        </w:rPr>
        <w:t>é</w:t>
      </w:r>
      <w:r w:rsidR="008125AA" w:rsidRPr="00E046E7">
        <w:rPr>
          <w:rFonts w:eastAsia="MS Mincho"/>
          <w:lang w:val="fr-FR"/>
        </w:rPr>
        <w:t xml:space="preserve">ducation </w:t>
      </w:r>
      <w:r w:rsidRPr="00E046E7">
        <w:rPr>
          <w:rFonts w:eastAsia="MS Mincho"/>
          <w:lang w:val="fr-FR"/>
        </w:rPr>
        <w:t>et autres peuvent être utilisées afin d</w:t>
      </w:r>
      <w:r w:rsidR="00BD2801">
        <w:rPr>
          <w:rFonts w:eastAsia="MS Mincho"/>
          <w:lang w:val="fr-FR"/>
        </w:rPr>
        <w:t>’</w:t>
      </w:r>
      <w:r w:rsidRPr="00E046E7">
        <w:rPr>
          <w:rFonts w:eastAsia="MS Mincho"/>
          <w:lang w:val="fr-FR"/>
        </w:rPr>
        <w:t>éduquer les utilisateurs visés</w:t>
      </w:r>
      <w:r w:rsidR="008125AA" w:rsidRPr="00E046E7">
        <w:rPr>
          <w:rFonts w:eastAsia="MS Mincho"/>
          <w:lang w:val="fr-FR"/>
        </w:rPr>
        <w:t xml:space="preserve"> </w:t>
      </w:r>
      <w:r w:rsidRPr="00E046E7">
        <w:rPr>
          <w:rFonts w:eastAsia="MS Mincho"/>
          <w:lang w:val="fr-FR"/>
        </w:rPr>
        <w:t>par l</w:t>
      </w:r>
      <w:r w:rsidR="00BD2801">
        <w:rPr>
          <w:rFonts w:eastAsia="MS Mincho"/>
          <w:lang w:val="fr-FR"/>
        </w:rPr>
        <w:t>’</w:t>
      </w:r>
      <w:r w:rsidRPr="00E046E7">
        <w:rPr>
          <w:rFonts w:eastAsia="MS Mincho"/>
          <w:lang w:val="fr-FR"/>
        </w:rPr>
        <w:t xml:space="preserve">évaluation </w:t>
      </w:r>
      <w:r w:rsidR="00D70521">
        <w:rPr>
          <w:rFonts w:eastAsia="MS Mincho"/>
          <w:lang w:val="fr-FR"/>
        </w:rPr>
        <w:t>sur les</w:t>
      </w:r>
      <w:r w:rsidRPr="00E046E7">
        <w:rPr>
          <w:rFonts w:eastAsia="MS Mincho"/>
          <w:lang w:val="fr-FR"/>
        </w:rPr>
        <w:t xml:space="preserve"> changements transformateurs en vue d</w:t>
      </w:r>
      <w:r w:rsidR="00BD2801">
        <w:rPr>
          <w:rFonts w:eastAsia="MS Mincho"/>
          <w:lang w:val="fr-FR"/>
        </w:rPr>
        <w:t>’</w:t>
      </w:r>
      <w:r w:rsidRPr="00E046E7">
        <w:rPr>
          <w:rFonts w:eastAsia="MS Mincho"/>
          <w:lang w:val="fr-FR"/>
        </w:rPr>
        <w:t>un</w:t>
      </w:r>
      <w:r w:rsidR="001F242E">
        <w:rPr>
          <w:rFonts w:eastAsia="MS Mincho"/>
          <w:lang w:val="fr-FR"/>
        </w:rPr>
        <w:t> </w:t>
      </w:r>
      <w:r w:rsidRPr="00E046E7">
        <w:rPr>
          <w:rFonts w:eastAsia="MS Mincho"/>
          <w:lang w:val="fr-FR"/>
        </w:rPr>
        <w:t>monde durable </w:t>
      </w:r>
      <w:r w:rsidR="008125AA" w:rsidRPr="00E046E7">
        <w:rPr>
          <w:rFonts w:eastAsia="MS Mincho"/>
          <w:lang w:val="fr-FR"/>
        </w:rPr>
        <w:t>?</w:t>
      </w:r>
    </w:p>
    <w:p w14:paraId="5F21F5C6" w14:textId="038EA891" w:rsidR="008125AA" w:rsidRPr="00E046E7" w:rsidRDefault="008125AA" w:rsidP="008125AA">
      <w:pPr>
        <w:pStyle w:val="CH2"/>
        <w:ind w:left="0" w:firstLine="0"/>
        <w:rPr>
          <w:lang w:val="fr-FR"/>
        </w:rPr>
      </w:pPr>
      <w:r w:rsidRPr="00E046E7">
        <w:rPr>
          <w:lang w:val="fr-FR"/>
        </w:rPr>
        <w:tab/>
        <w:t>E.</w:t>
      </w:r>
      <w:r w:rsidRPr="00E046E7">
        <w:rPr>
          <w:lang w:val="fr-FR"/>
        </w:rPr>
        <w:tab/>
      </w:r>
      <w:r w:rsidR="00D236A0" w:rsidRPr="00E046E7">
        <w:rPr>
          <w:lang w:val="fr-FR"/>
        </w:rPr>
        <w:t>Approche méthodologique</w:t>
      </w:r>
    </w:p>
    <w:p w14:paraId="34DE9455" w14:textId="019C3D3D" w:rsidR="008125AA" w:rsidRPr="00E046E7" w:rsidRDefault="00D236A0"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 xml:space="preserve">évaluation sera </w:t>
      </w:r>
      <w:r w:rsidR="00D70521">
        <w:rPr>
          <w:rFonts w:eastAsia="MS Mincho"/>
          <w:lang w:val="fr-FR"/>
        </w:rPr>
        <w:t>conduite</w:t>
      </w:r>
      <w:r w:rsidRPr="00E046E7">
        <w:rPr>
          <w:rFonts w:eastAsia="MS Mincho"/>
          <w:lang w:val="fr-FR"/>
        </w:rPr>
        <w:t xml:space="preserve"> par un groupe d</w:t>
      </w:r>
      <w:r w:rsidR="00BD2801">
        <w:rPr>
          <w:rFonts w:eastAsia="MS Mincho"/>
          <w:lang w:val="fr-FR"/>
        </w:rPr>
        <w:t>’</w:t>
      </w:r>
      <w:r w:rsidRPr="00E046E7">
        <w:rPr>
          <w:rFonts w:eastAsia="MS Mincho"/>
          <w:lang w:val="fr-FR"/>
        </w:rPr>
        <w:t>experts conformément aux procédures</w:t>
      </w:r>
      <w:r w:rsidR="008125AA" w:rsidRPr="00E046E7">
        <w:rPr>
          <w:rFonts w:eastAsia="MS Mincho"/>
          <w:lang w:val="fr-FR"/>
        </w:rPr>
        <w:t xml:space="preserve"> </w:t>
      </w:r>
      <w:r w:rsidRPr="00E046E7">
        <w:rPr>
          <w:rFonts w:eastAsia="MS Mincho"/>
          <w:lang w:val="fr-FR"/>
        </w:rPr>
        <w:t>d</w:t>
      </w:r>
      <w:r w:rsidR="00BD2801">
        <w:rPr>
          <w:rFonts w:eastAsia="MS Mincho"/>
          <w:lang w:val="fr-FR"/>
        </w:rPr>
        <w:t>’</w:t>
      </w:r>
      <w:r w:rsidRPr="00E046E7">
        <w:rPr>
          <w:rFonts w:eastAsia="MS Mincho"/>
          <w:lang w:val="fr-FR"/>
        </w:rPr>
        <w:t>établissement des produits de la Plateforme</w:t>
      </w:r>
      <w:r w:rsidR="008125AA" w:rsidRPr="00E046E7">
        <w:rPr>
          <w:rFonts w:eastAsia="MS Mincho"/>
          <w:lang w:val="fr-FR"/>
        </w:rPr>
        <w:t>.</w:t>
      </w:r>
      <w:r w:rsidRPr="00E046E7">
        <w:rPr>
          <w:rFonts w:eastAsia="MS Mincho"/>
          <w:lang w:val="fr-FR"/>
        </w:rPr>
        <w:t xml:space="preserve"> Elle comprendra un résumé à l</w:t>
      </w:r>
      <w:r w:rsidR="00BD2801">
        <w:rPr>
          <w:rFonts w:eastAsia="MS Mincho"/>
          <w:lang w:val="fr-FR"/>
        </w:rPr>
        <w:t>’</w:t>
      </w:r>
      <w:r w:rsidRPr="00E046E7">
        <w:rPr>
          <w:rFonts w:eastAsia="MS Mincho"/>
          <w:lang w:val="fr-FR"/>
        </w:rPr>
        <w:t xml:space="preserve">intention des décideurs </w:t>
      </w:r>
      <w:r w:rsidR="006C3CA3">
        <w:rPr>
          <w:rFonts w:eastAsia="MS Mincho"/>
          <w:lang w:val="fr-FR"/>
        </w:rPr>
        <w:t xml:space="preserve">que la </w:t>
      </w:r>
      <w:r w:rsidRPr="00E046E7">
        <w:rPr>
          <w:rFonts w:eastAsia="MS Mincho"/>
          <w:lang w:val="fr-FR"/>
        </w:rPr>
        <w:t xml:space="preserve">Plénière </w:t>
      </w:r>
      <w:r w:rsidR="006C3CA3">
        <w:rPr>
          <w:rFonts w:eastAsia="MS Mincho"/>
          <w:lang w:val="fr-FR"/>
        </w:rPr>
        <w:t>devra approuver</w:t>
      </w:r>
      <w:r w:rsidR="00B336B0">
        <w:rPr>
          <w:rFonts w:eastAsia="MS Mincho"/>
          <w:lang w:val="fr-FR"/>
        </w:rPr>
        <w:t xml:space="preserve"> et plusieurs chapitres qu</w:t>
      </w:r>
      <w:r w:rsidR="00BD2801">
        <w:rPr>
          <w:rFonts w:eastAsia="MS Mincho"/>
          <w:lang w:val="fr-FR"/>
        </w:rPr>
        <w:t>’</w:t>
      </w:r>
      <w:r w:rsidR="00B336B0">
        <w:rPr>
          <w:rFonts w:eastAsia="MS Mincho"/>
          <w:lang w:val="fr-FR"/>
        </w:rPr>
        <w:t xml:space="preserve">elle devra accepter. </w:t>
      </w:r>
    </w:p>
    <w:p w14:paraId="59ED4DD4" w14:textId="79B6D01E" w:rsidR="008125AA" w:rsidRPr="00E046E7" w:rsidRDefault="00DD5E44"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 xml:space="preserve">évaluation </w:t>
      </w:r>
      <w:r w:rsidR="00B336B0">
        <w:rPr>
          <w:rFonts w:eastAsia="MS Mincho"/>
          <w:lang w:val="fr-FR"/>
        </w:rPr>
        <w:t>se</w:t>
      </w:r>
      <w:r w:rsidR="00C425A5">
        <w:rPr>
          <w:rFonts w:eastAsia="MS Mincho"/>
          <w:lang w:val="fr-FR"/>
        </w:rPr>
        <w:t xml:space="preserve"> voudra </w:t>
      </w:r>
      <w:r w:rsidRPr="00E046E7">
        <w:rPr>
          <w:rFonts w:eastAsia="MS Mincho"/>
          <w:lang w:val="fr-FR"/>
        </w:rPr>
        <w:t>crédible</w:t>
      </w:r>
      <w:r w:rsidR="00C425A5">
        <w:rPr>
          <w:rFonts w:eastAsia="MS Mincho"/>
          <w:lang w:val="fr-FR"/>
        </w:rPr>
        <w:t xml:space="preserve">, </w:t>
      </w:r>
      <w:r w:rsidRPr="00E046E7">
        <w:rPr>
          <w:rFonts w:eastAsia="MS Mincho"/>
          <w:lang w:val="fr-FR"/>
        </w:rPr>
        <w:t xml:space="preserve">légitime et </w:t>
      </w:r>
      <w:r w:rsidR="00C425A5">
        <w:rPr>
          <w:rFonts w:eastAsia="MS Mincho"/>
          <w:lang w:val="fr-FR"/>
        </w:rPr>
        <w:t xml:space="preserve">fondée sur </w:t>
      </w:r>
      <w:r w:rsidR="008D25F0">
        <w:rPr>
          <w:rFonts w:eastAsia="MS Mincho"/>
          <w:lang w:val="fr-FR"/>
        </w:rPr>
        <w:t xml:space="preserve">de nombreuses preuves. </w:t>
      </w:r>
      <w:r w:rsidRPr="00E046E7">
        <w:rPr>
          <w:rFonts w:eastAsia="MS Mincho"/>
          <w:lang w:val="fr-FR"/>
        </w:rPr>
        <w:t>Le résumé à l</w:t>
      </w:r>
      <w:r w:rsidR="00BD2801">
        <w:rPr>
          <w:rFonts w:eastAsia="MS Mincho"/>
          <w:lang w:val="fr-FR"/>
        </w:rPr>
        <w:t>’</w:t>
      </w:r>
      <w:r w:rsidRPr="00E046E7">
        <w:rPr>
          <w:rFonts w:eastAsia="MS Mincho"/>
          <w:lang w:val="fr-FR"/>
        </w:rPr>
        <w:t xml:space="preserve">intention des décideurs mettra en évidence les principaux résultats </w:t>
      </w:r>
      <w:r w:rsidR="008D25F0">
        <w:rPr>
          <w:rFonts w:eastAsia="MS Mincho"/>
          <w:lang w:val="fr-FR"/>
        </w:rPr>
        <w:t xml:space="preserve">utiles </w:t>
      </w:r>
      <w:r w:rsidRPr="00E046E7">
        <w:rPr>
          <w:rFonts w:eastAsia="MS Mincho"/>
          <w:lang w:val="fr-FR"/>
        </w:rPr>
        <w:t>pour l</w:t>
      </w:r>
      <w:r w:rsidR="00BD2801">
        <w:rPr>
          <w:rFonts w:eastAsia="MS Mincho"/>
          <w:lang w:val="fr-FR"/>
        </w:rPr>
        <w:t>’</w:t>
      </w:r>
      <w:r w:rsidRPr="00E046E7">
        <w:rPr>
          <w:rFonts w:eastAsia="MS Mincho"/>
          <w:lang w:val="fr-FR"/>
        </w:rPr>
        <w:t>élaboration des</w:t>
      </w:r>
      <w:r w:rsidR="001F242E">
        <w:rPr>
          <w:rFonts w:eastAsia="MS Mincho"/>
          <w:lang w:val="fr-FR"/>
        </w:rPr>
        <w:t> </w:t>
      </w:r>
      <w:r w:rsidRPr="00E046E7">
        <w:rPr>
          <w:rFonts w:eastAsia="MS Mincho"/>
          <w:lang w:val="fr-FR"/>
        </w:rPr>
        <w:t xml:space="preserve">politiques et </w:t>
      </w:r>
      <w:r w:rsidR="001321F4" w:rsidRPr="00BD2801">
        <w:rPr>
          <w:rFonts w:eastAsia="MS Mincho"/>
        </w:rPr>
        <w:t>des</w:t>
      </w:r>
      <w:r w:rsidR="001321F4">
        <w:rPr>
          <w:rFonts w:eastAsia="MS Mincho"/>
          <w:lang w:val="fr-FR"/>
        </w:rPr>
        <w:t xml:space="preserve"> possibilités d</w:t>
      </w:r>
      <w:r w:rsidR="00BD2801">
        <w:rPr>
          <w:rFonts w:eastAsia="MS Mincho"/>
          <w:lang w:val="fr-FR"/>
        </w:rPr>
        <w:t>’</w:t>
      </w:r>
      <w:r w:rsidR="001321F4">
        <w:rPr>
          <w:rFonts w:eastAsia="MS Mincho"/>
          <w:lang w:val="fr-FR"/>
        </w:rPr>
        <w:t xml:space="preserve">action </w:t>
      </w:r>
      <w:r w:rsidRPr="00E046E7">
        <w:rPr>
          <w:rFonts w:eastAsia="MS Mincho"/>
          <w:lang w:val="fr-FR"/>
        </w:rPr>
        <w:t>non contraignantes pour un</w:t>
      </w:r>
      <w:r w:rsidR="007613C9" w:rsidRPr="00E046E7">
        <w:rPr>
          <w:rFonts w:eastAsia="MS Mincho"/>
          <w:lang w:val="fr-FR"/>
        </w:rPr>
        <w:t xml:space="preserve"> large éventail d</w:t>
      </w:r>
      <w:r w:rsidR="00BD2801">
        <w:rPr>
          <w:rFonts w:eastAsia="MS Mincho"/>
          <w:lang w:val="fr-FR"/>
        </w:rPr>
        <w:t>’</w:t>
      </w:r>
      <w:r w:rsidR="007613C9" w:rsidRPr="00E046E7">
        <w:rPr>
          <w:rFonts w:eastAsia="MS Mincho"/>
          <w:lang w:val="fr-FR"/>
        </w:rPr>
        <w:t>utilisateurs</w:t>
      </w:r>
      <w:r w:rsidR="00DD6214">
        <w:rPr>
          <w:rFonts w:eastAsia="MS Mincho"/>
          <w:lang w:val="fr-FR"/>
        </w:rPr>
        <w:t xml:space="preserve"> finaux</w:t>
      </w:r>
      <w:r w:rsidR="007613C9" w:rsidRPr="00E046E7">
        <w:rPr>
          <w:rFonts w:eastAsia="MS Mincho"/>
          <w:lang w:val="fr-FR"/>
        </w:rPr>
        <w:t>, dont certains sont mentionnés ci-dessus</w:t>
      </w:r>
      <w:r w:rsidR="008125AA" w:rsidRPr="00E046E7">
        <w:rPr>
          <w:rFonts w:eastAsia="MS Mincho"/>
          <w:lang w:val="fr-FR"/>
        </w:rPr>
        <w:t xml:space="preserve">, </w:t>
      </w:r>
      <w:r w:rsidR="007613C9" w:rsidRPr="00E046E7">
        <w:rPr>
          <w:rFonts w:eastAsia="MS Mincho"/>
          <w:lang w:val="fr-FR"/>
        </w:rPr>
        <w:t xml:space="preserve">et </w:t>
      </w:r>
      <w:r w:rsidR="00DD6214">
        <w:rPr>
          <w:rFonts w:eastAsia="MS Mincho"/>
          <w:lang w:val="fr-FR"/>
        </w:rPr>
        <w:t>tiendra</w:t>
      </w:r>
      <w:r w:rsidR="007613C9" w:rsidRPr="00E046E7">
        <w:rPr>
          <w:rFonts w:eastAsia="MS Mincho"/>
          <w:lang w:val="fr-FR"/>
        </w:rPr>
        <w:t xml:space="preserve"> compte de l</w:t>
      </w:r>
      <w:r w:rsidR="00BD2801">
        <w:rPr>
          <w:rFonts w:eastAsia="MS Mincho"/>
          <w:lang w:val="fr-FR"/>
        </w:rPr>
        <w:t>’</w:t>
      </w:r>
      <w:r w:rsidR="007613C9" w:rsidRPr="00E046E7">
        <w:rPr>
          <w:rFonts w:eastAsia="MS Mincho"/>
          <w:lang w:val="fr-FR"/>
        </w:rPr>
        <w:t xml:space="preserve">analyse </w:t>
      </w:r>
      <w:r w:rsidR="00FE43F2">
        <w:rPr>
          <w:rFonts w:eastAsia="MS Mincho"/>
          <w:lang w:val="fr-FR"/>
        </w:rPr>
        <w:t xml:space="preserve">complète </w:t>
      </w:r>
      <w:r w:rsidR="007613C9" w:rsidRPr="00E046E7">
        <w:rPr>
          <w:rFonts w:eastAsia="MS Mincho"/>
          <w:lang w:val="fr-FR"/>
        </w:rPr>
        <w:t>de l</w:t>
      </w:r>
      <w:r w:rsidR="00BD2801">
        <w:rPr>
          <w:rFonts w:eastAsia="MS Mincho"/>
          <w:lang w:val="fr-FR"/>
        </w:rPr>
        <w:t>’</w:t>
      </w:r>
      <w:r w:rsidR="007613C9" w:rsidRPr="00E046E7">
        <w:rPr>
          <w:rFonts w:eastAsia="MS Mincho"/>
          <w:lang w:val="fr-FR"/>
        </w:rPr>
        <w:t xml:space="preserve">état actuel des connaissances scientifiques et autres systèmes de connaissances </w:t>
      </w:r>
      <w:r w:rsidR="008125AA" w:rsidRPr="00E046E7">
        <w:rPr>
          <w:rFonts w:eastAsia="MS Mincho"/>
          <w:lang w:val="fr-FR"/>
        </w:rPr>
        <w:t>(</w:t>
      </w:r>
      <w:r w:rsidR="007613C9" w:rsidRPr="00E046E7">
        <w:rPr>
          <w:rFonts w:eastAsia="MS Mincho"/>
          <w:lang w:val="fr-FR"/>
        </w:rPr>
        <w:t xml:space="preserve">notamment les </w:t>
      </w:r>
      <w:r w:rsidR="00584F9F" w:rsidRPr="00E046E7">
        <w:rPr>
          <w:rFonts w:eastAsia="MS Mincho"/>
          <w:lang w:val="fr-FR"/>
        </w:rPr>
        <w:t>savoirs</w:t>
      </w:r>
      <w:r w:rsidR="007613C9" w:rsidRPr="00E046E7">
        <w:rPr>
          <w:rFonts w:eastAsia="MS Mincho"/>
          <w:lang w:val="fr-FR"/>
        </w:rPr>
        <w:t xml:space="preserve"> autochtones et loca</w:t>
      </w:r>
      <w:r w:rsidR="00584F9F" w:rsidRPr="00E046E7">
        <w:rPr>
          <w:rFonts w:eastAsia="MS Mincho"/>
          <w:lang w:val="fr-FR"/>
        </w:rPr>
        <w:t>ux</w:t>
      </w:r>
      <w:r w:rsidR="008125AA" w:rsidRPr="00E046E7">
        <w:rPr>
          <w:rFonts w:eastAsia="MS Mincho"/>
          <w:lang w:val="fr-FR"/>
        </w:rPr>
        <w:t xml:space="preserve">) </w:t>
      </w:r>
      <w:r w:rsidR="006677C8">
        <w:rPr>
          <w:rFonts w:eastAsia="MS Mincho"/>
          <w:lang w:val="fr-FR"/>
        </w:rPr>
        <w:t xml:space="preserve">livrée au fil des </w:t>
      </w:r>
      <w:r w:rsidR="007613C9" w:rsidRPr="00E046E7">
        <w:rPr>
          <w:rFonts w:eastAsia="MS Mincho"/>
          <w:lang w:val="fr-FR"/>
        </w:rPr>
        <w:t>chapitres.</w:t>
      </w:r>
    </w:p>
    <w:p w14:paraId="7FCFACC2" w14:textId="48382D81" w:rsidR="008125AA" w:rsidRPr="00E046E7" w:rsidRDefault="007613C9"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 xml:space="preserve">évaluation sera fondée sur </w:t>
      </w:r>
      <w:r w:rsidR="006677C8">
        <w:rPr>
          <w:rFonts w:eastAsia="MS Mincho"/>
          <w:lang w:val="fr-FR"/>
        </w:rPr>
        <w:t xml:space="preserve">les preuves </w:t>
      </w:r>
      <w:r w:rsidRPr="00E046E7">
        <w:rPr>
          <w:rFonts w:eastAsia="MS Mincho"/>
          <w:lang w:val="fr-FR"/>
        </w:rPr>
        <w:t>existant</w:t>
      </w:r>
      <w:r w:rsidR="006677C8">
        <w:rPr>
          <w:rFonts w:eastAsia="MS Mincho"/>
          <w:lang w:val="fr-FR"/>
        </w:rPr>
        <w:t>e</w:t>
      </w:r>
      <w:r w:rsidRPr="00E046E7">
        <w:rPr>
          <w:rFonts w:eastAsia="MS Mincho"/>
          <w:lang w:val="fr-FR"/>
        </w:rPr>
        <w:t>s, à savoir des données (</w:t>
      </w:r>
      <w:r w:rsidR="006677C8">
        <w:rPr>
          <w:rFonts w:eastAsia="MS Mincho"/>
          <w:lang w:val="fr-FR"/>
        </w:rPr>
        <w:t xml:space="preserve">notamment </w:t>
      </w:r>
      <w:r w:rsidRPr="00E046E7">
        <w:rPr>
          <w:rFonts w:eastAsia="MS Mincho"/>
          <w:lang w:val="fr-FR"/>
        </w:rPr>
        <w:t xml:space="preserve">nationales, </w:t>
      </w:r>
      <w:r w:rsidR="00F97477">
        <w:rPr>
          <w:rFonts w:eastAsia="MS Mincho"/>
          <w:lang w:val="fr-FR"/>
        </w:rPr>
        <w:t>le cas échéant</w:t>
      </w:r>
      <w:r w:rsidRPr="00E046E7">
        <w:rPr>
          <w:rFonts w:eastAsia="MS Mincho"/>
          <w:lang w:val="fr-FR"/>
        </w:rPr>
        <w:t>)</w:t>
      </w:r>
      <w:r w:rsidR="008125AA" w:rsidRPr="00E046E7">
        <w:rPr>
          <w:rFonts w:eastAsia="MS Mincho"/>
          <w:lang w:val="fr-FR"/>
        </w:rPr>
        <w:t>,</w:t>
      </w:r>
      <w:r w:rsidRPr="00E046E7">
        <w:rPr>
          <w:rFonts w:eastAsia="MS Mincho"/>
          <w:lang w:val="fr-FR"/>
        </w:rPr>
        <w:t xml:space="preserve"> la littérature scientifique et grise ainsi que d</w:t>
      </w:r>
      <w:r w:rsidR="00BD2801">
        <w:rPr>
          <w:rFonts w:eastAsia="MS Mincho"/>
          <w:lang w:val="fr-FR"/>
        </w:rPr>
        <w:t>’</w:t>
      </w:r>
      <w:r w:rsidRPr="00E046E7">
        <w:rPr>
          <w:rFonts w:eastAsia="MS Mincho"/>
          <w:lang w:val="fr-FR"/>
        </w:rPr>
        <w:t xml:space="preserve">autres formes de connaissances et </w:t>
      </w:r>
      <w:r w:rsidR="00D718AB">
        <w:rPr>
          <w:rFonts w:eastAsia="MS Mincho"/>
          <w:lang w:val="fr-FR"/>
        </w:rPr>
        <w:t>documents dans d</w:t>
      </w:r>
      <w:r w:rsidR="00BD2801">
        <w:rPr>
          <w:rFonts w:eastAsia="MS Mincho"/>
          <w:lang w:val="fr-FR"/>
        </w:rPr>
        <w:t>’</w:t>
      </w:r>
      <w:r w:rsidR="00D718AB">
        <w:rPr>
          <w:rFonts w:eastAsia="MS Mincho"/>
          <w:lang w:val="fr-FR"/>
        </w:rPr>
        <w:t>autres langues</w:t>
      </w:r>
      <w:r w:rsidRPr="00E046E7">
        <w:rPr>
          <w:rFonts w:eastAsia="MS Mincho"/>
          <w:lang w:val="fr-FR"/>
        </w:rPr>
        <w:t xml:space="preserve"> </w:t>
      </w:r>
      <w:r w:rsidR="008125AA" w:rsidRPr="00E046E7">
        <w:rPr>
          <w:rFonts w:eastAsia="MS Mincho"/>
          <w:lang w:val="fr-FR"/>
        </w:rPr>
        <w:t>(</w:t>
      </w:r>
      <w:r w:rsidRPr="00E046E7">
        <w:rPr>
          <w:rFonts w:eastAsia="MS Mincho"/>
          <w:lang w:val="fr-FR"/>
        </w:rPr>
        <w:t>dans la mesure du possible</w:t>
      </w:r>
      <w:r w:rsidR="008125AA" w:rsidRPr="00E046E7">
        <w:rPr>
          <w:rFonts w:eastAsia="MS Mincho"/>
          <w:lang w:val="fr-FR"/>
        </w:rPr>
        <w:t xml:space="preserve">), </w:t>
      </w:r>
      <w:r w:rsidRPr="00E046E7">
        <w:rPr>
          <w:rFonts w:eastAsia="MS Mincho"/>
          <w:lang w:val="fr-FR"/>
        </w:rPr>
        <w:t>conformément aux</w:t>
      </w:r>
      <w:r w:rsidR="001F242E">
        <w:rPr>
          <w:rFonts w:eastAsia="MS Mincho"/>
          <w:lang w:val="fr-FR"/>
        </w:rPr>
        <w:t> </w:t>
      </w:r>
      <w:r w:rsidRPr="00E046E7">
        <w:rPr>
          <w:rFonts w:eastAsia="MS Mincho"/>
          <w:lang w:val="fr-FR"/>
        </w:rPr>
        <w:t xml:space="preserve">procédures </w:t>
      </w:r>
      <w:r w:rsidR="00CE2984">
        <w:rPr>
          <w:rFonts w:eastAsia="MS Mincho"/>
          <w:lang w:val="fr-FR"/>
        </w:rPr>
        <w:t xml:space="preserve">applicables </w:t>
      </w:r>
      <w:r w:rsidRPr="00E046E7">
        <w:rPr>
          <w:rFonts w:eastAsia="MS Mincho"/>
          <w:lang w:val="fr-FR"/>
        </w:rPr>
        <w:t>de la Plateforme</w:t>
      </w:r>
      <w:r w:rsidR="008125AA" w:rsidRPr="00E046E7">
        <w:rPr>
          <w:rFonts w:eastAsia="MS Mincho"/>
          <w:lang w:val="fr-FR"/>
        </w:rPr>
        <w:t>.</w:t>
      </w:r>
    </w:p>
    <w:p w14:paraId="5D237A26" w14:textId="61FFBA9B" w:rsidR="008125AA" w:rsidRPr="00E046E7" w:rsidRDefault="00B64EE1"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 xml:space="preserve">évaluation </w:t>
      </w:r>
      <w:r w:rsidR="00CE2984">
        <w:rPr>
          <w:rFonts w:eastAsia="MS Mincho"/>
          <w:lang w:val="fr-FR"/>
        </w:rPr>
        <w:t xml:space="preserve">mettra à profit et compètera </w:t>
      </w:r>
      <w:r w:rsidRPr="00E046E7">
        <w:rPr>
          <w:rFonts w:eastAsia="MS Mincho"/>
          <w:lang w:val="fr-FR"/>
        </w:rPr>
        <w:t xml:space="preserve">des travaux </w:t>
      </w:r>
      <w:r w:rsidR="00461A76" w:rsidRPr="00E046E7">
        <w:rPr>
          <w:rFonts w:eastAsia="MS Mincho"/>
          <w:lang w:val="fr-FR"/>
        </w:rPr>
        <w:t xml:space="preserve">antérieurs et en cours de la Plateforme, notamment </w:t>
      </w:r>
      <w:r w:rsidR="003B788D">
        <w:rPr>
          <w:rFonts w:eastAsia="MS Mincho"/>
          <w:lang w:val="fr-FR"/>
        </w:rPr>
        <w:t>ses</w:t>
      </w:r>
      <w:r w:rsidR="00461A76" w:rsidRPr="00E046E7">
        <w:rPr>
          <w:rFonts w:eastAsia="MS Mincho"/>
          <w:lang w:val="fr-FR"/>
        </w:rPr>
        <w:t xml:space="preserve"> évaluations </w:t>
      </w:r>
      <w:r w:rsidR="008125AA" w:rsidRPr="00E046E7">
        <w:rPr>
          <w:rFonts w:eastAsia="MS Mincho"/>
          <w:lang w:val="fr-FR"/>
        </w:rPr>
        <w:t>(</w:t>
      </w:r>
      <w:r w:rsidR="00BE63EE" w:rsidRPr="00E046E7">
        <w:rPr>
          <w:rFonts w:eastAsia="MS Mincho"/>
          <w:lang w:val="fr-FR"/>
        </w:rPr>
        <w:t>méthodologiques</w:t>
      </w:r>
      <w:r w:rsidR="008125AA" w:rsidRPr="00E046E7">
        <w:rPr>
          <w:rFonts w:eastAsia="MS Mincho"/>
          <w:lang w:val="fr-FR"/>
        </w:rPr>
        <w:t xml:space="preserve">, </w:t>
      </w:r>
      <w:r w:rsidR="00BE63EE" w:rsidRPr="00E046E7">
        <w:rPr>
          <w:rFonts w:eastAsia="MS Mincho"/>
          <w:lang w:val="fr-FR"/>
        </w:rPr>
        <w:t>thématiques</w:t>
      </w:r>
      <w:r w:rsidR="008125AA" w:rsidRPr="00E046E7">
        <w:rPr>
          <w:rFonts w:eastAsia="MS Mincho"/>
          <w:lang w:val="fr-FR"/>
        </w:rPr>
        <w:t xml:space="preserve">, </w:t>
      </w:r>
      <w:r w:rsidR="00BE63EE" w:rsidRPr="00E046E7">
        <w:rPr>
          <w:rFonts w:eastAsia="MS Mincho"/>
          <w:lang w:val="fr-FR"/>
        </w:rPr>
        <w:t>régionales et mondiales</w:t>
      </w:r>
      <w:r w:rsidR="008125AA" w:rsidRPr="00E046E7">
        <w:rPr>
          <w:rFonts w:eastAsia="MS Mincho"/>
          <w:lang w:val="fr-FR"/>
        </w:rPr>
        <w:t xml:space="preserve">). </w:t>
      </w:r>
      <w:r w:rsidR="00BE63EE" w:rsidRPr="00E046E7">
        <w:rPr>
          <w:rFonts w:eastAsia="MS Mincho"/>
          <w:lang w:val="fr-FR"/>
        </w:rPr>
        <w:t>L</w:t>
      </w:r>
      <w:r w:rsidR="00BD2801">
        <w:rPr>
          <w:rFonts w:eastAsia="MS Mincho"/>
          <w:lang w:val="fr-FR"/>
        </w:rPr>
        <w:t>’</w:t>
      </w:r>
      <w:r w:rsidR="00BE63EE" w:rsidRPr="00E046E7">
        <w:rPr>
          <w:rFonts w:eastAsia="MS Mincho"/>
          <w:lang w:val="fr-FR"/>
        </w:rPr>
        <w:t xml:space="preserve">évaluation </w:t>
      </w:r>
      <w:r w:rsidR="00A5314D">
        <w:rPr>
          <w:rFonts w:eastAsia="MS Mincho"/>
          <w:lang w:val="fr-FR"/>
        </w:rPr>
        <w:t>s</w:t>
      </w:r>
      <w:r w:rsidR="00BD2801">
        <w:rPr>
          <w:rFonts w:eastAsia="MS Mincho"/>
          <w:lang w:val="fr-FR"/>
        </w:rPr>
        <w:t>’</w:t>
      </w:r>
      <w:r w:rsidR="00A5314D">
        <w:rPr>
          <w:rFonts w:eastAsia="MS Mincho"/>
          <w:lang w:val="fr-FR"/>
        </w:rPr>
        <w:t xml:space="preserve">appuiera </w:t>
      </w:r>
      <w:r w:rsidR="00BE63EE" w:rsidRPr="00BD2801">
        <w:rPr>
          <w:rFonts w:eastAsia="MS Mincho"/>
        </w:rPr>
        <w:t>également</w:t>
      </w:r>
      <w:r w:rsidR="00BE63EE" w:rsidRPr="00E046E7">
        <w:rPr>
          <w:rFonts w:eastAsia="MS Mincho"/>
          <w:lang w:val="fr-FR"/>
        </w:rPr>
        <w:t xml:space="preserve"> </w:t>
      </w:r>
      <w:r w:rsidR="00A5314D">
        <w:rPr>
          <w:rFonts w:eastAsia="MS Mincho"/>
          <w:lang w:val="fr-FR"/>
        </w:rPr>
        <w:t xml:space="preserve">sur </w:t>
      </w:r>
      <w:r w:rsidR="00BE63EE" w:rsidRPr="00E046E7">
        <w:rPr>
          <w:rFonts w:eastAsia="MS Mincho"/>
          <w:lang w:val="fr-FR"/>
        </w:rPr>
        <w:t xml:space="preserve">des données et des informations </w:t>
      </w:r>
      <w:r w:rsidR="00C05FD3">
        <w:rPr>
          <w:rFonts w:eastAsia="MS Mincho"/>
          <w:lang w:val="fr-FR"/>
        </w:rPr>
        <w:t xml:space="preserve">dont disposent les </w:t>
      </w:r>
      <w:r w:rsidR="00BE63EE" w:rsidRPr="00E046E7">
        <w:rPr>
          <w:rFonts w:eastAsia="MS Mincho"/>
          <w:lang w:val="fr-FR"/>
        </w:rPr>
        <w:t xml:space="preserve">institutions mondiales, régionales, sous-régionales et nationales, </w:t>
      </w:r>
      <w:r w:rsidR="00CB3DC7">
        <w:rPr>
          <w:rFonts w:eastAsia="MS Mincho"/>
          <w:lang w:val="fr-FR"/>
        </w:rPr>
        <w:t xml:space="preserve">y compris mais pas uniquement, </w:t>
      </w:r>
      <w:r w:rsidR="00BE63EE" w:rsidRPr="00E046E7">
        <w:rPr>
          <w:rFonts w:eastAsia="MS Mincho"/>
          <w:lang w:val="fr-FR"/>
        </w:rPr>
        <w:t>les accords multilatéraux sur l</w:t>
      </w:r>
      <w:r w:rsidR="00BD2801">
        <w:rPr>
          <w:rFonts w:eastAsia="MS Mincho"/>
          <w:lang w:val="fr-FR"/>
        </w:rPr>
        <w:t>’</w:t>
      </w:r>
      <w:r w:rsidR="00BE63EE" w:rsidRPr="00E046E7">
        <w:rPr>
          <w:rFonts w:eastAsia="MS Mincho"/>
          <w:lang w:val="fr-FR"/>
        </w:rPr>
        <w:t>environnement et les organisations intergouvernementales concernés</w:t>
      </w:r>
      <w:r w:rsidR="008125AA" w:rsidRPr="00E046E7">
        <w:rPr>
          <w:rFonts w:eastAsia="MS Mincho"/>
          <w:lang w:val="fr-FR"/>
        </w:rPr>
        <w:t xml:space="preserve">. </w:t>
      </w:r>
      <w:r w:rsidR="00D20D41" w:rsidRPr="00E046E7">
        <w:rPr>
          <w:rFonts w:eastAsia="MS Mincho"/>
          <w:lang w:val="fr-FR"/>
        </w:rPr>
        <w:t>L</w:t>
      </w:r>
      <w:r w:rsidR="00BD2801">
        <w:rPr>
          <w:rFonts w:eastAsia="MS Mincho"/>
          <w:lang w:val="fr-FR"/>
        </w:rPr>
        <w:t>’</w:t>
      </w:r>
      <w:r w:rsidR="00D20D41" w:rsidRPr="00E046E7">
        <w:rPr>
          <w:rFonts w:eastAsia="MS Mincho"/>
          <w:lang w:val="fr-FR"/>
        </w:rPr>
        <w:t xml:space="preserve">évaluation </w:t>
      </w:r>
      <w:r w:rsidR="00414903">
        <w:rPr>
          <w:rFonts w:eastAsia="MS Mincho"/>
          <w:lang w:val="fr-FR"/>
        </w:rPr>
        <w:t>exploitera les</w:t>
      </w:r>
      <w:r w:rsidR="001F242E">
        <w:rPr>
          <w:rFonts w:eastAsia="MS Mincho"/>
          <w:lang w:val="fr-FR"/>
        </w:rPr>
        <w:t> </w:t>
      </w:r>
      <w:r w:rsidR="00D20D41" w:rsidRPr="00E046E7">
        <w:rPr>
          <w:rFonts w:eastAsia="MS Mincho"/>
          <w:lang w:val="fr-FR"/>
        </w:rPr>
        <w:t>scénarios et modèles existants ainsi qu</w:t>
      </w:r>
      <w:r w:rsidR="00414903">
        <w:rPr>
          <w:rFonts w:eastAsia="MS Mincho"/>
          <w:lang w:val="fr-FR"/>
        </w:rPr>
        <w:t xml:space="preserve">e les </w:t>
      </w:r>
      <w:r w:rsidR="00D20D41" w:rsidRPr="00E046E7">
        <w:rPr>
          <w:rFonts w:eastAsia="MS Mincho"/>
          <w:lang w:val="fr-FR"/>
        </w:rPr>
        <w:t>nouveaux scénarios et modèles dont la production peut</w:t>
      </w:r>
      <w:r w:rsidR="001F242E">
        <w:rPr>
          <w:rFonts w:eastAsia="MS Mincho"/>
          <w:lang w:val="fr-FR"/>
        </w:rPr>
        <w:t> </w:t>
      </w:r>
      <w:r w:rsidR="00D20D41" w:rsidRPr="00E046E7">
        <w:rPr>
          <w:rFonts w:eastAsia="MS Mincho"/>
          <w:lang w:val="fr-FR"/>
        </w:rPr>
        <w:t>être</w:t>
      </w:r>
      <w:r w:rsidR="00155E97" w:rsidRPr="00E046E7">
        <w:rPr>
          <w:rFonts w:eastAsia="MS Mincho"/>
          <w:lang w:val="fr-FR"/>
        </w:rPr>
        <w:t xml:space="preserve"> </w:t>
      </w:r>
      <w:r w:rsidR="00414903">
        <w:rPr>
          <w:rFonts w:eastAsia="MS Mincho"/>
          <w:lang w:val="fr-FR"/>
        </w:rPr>
        <w:t xml:space="preserve">favorisée </w:t>
      </w:r>
      <w:r w:rsidR="00155E97" w:rsidRPr="00E046E7">
        <w:rPr>
          <w:rFonts w:eastAsia="MS Mincho"/>
          <w:lang w:val="fr-FR"/>
        </w:rPr>
        <w:t>dans le cadre du suivi</w:t>
      </w:r>
      <w:r w:rsidR="008125AA" w:rsidRPr="00E046E7">
        <w:rPr>
          <w:rFonts w:eastAsia="MS Mincho"/>
          <w:lang w:val="fr-FR"/>
        </w:rPr>
        <w:t xml:space="preserve"> </w:t>
      </w:r>
      <w:r w:rsidR="00155E97" w:rsidRPr="00E046E7">
        <w:rPr>
          <w:rFonts w:eastAsia="MS Mincho"/>
          <w:lang w:val="fr-FR"/>
        </w:rPr>
        <w:t>de l</w:t>
      </w:r>
      <w:r w:rsidR="00BD2801">
        <w:rPr>
          <w:rFonts w:eastAsia="MS Mincho"/>
          <w:lang w:val="fr-FR"/>
        </w:rPr>
        <w:t>’</w:t>
      </w:r>
      <w:r w:rsidR="006F4E47">
        <w:rPr>
          <w:rFonts w:eastAsia="MS Mincho"/>
          <w:lang w:val="fr-FR"/>
        </w:rPr>
        <w:t>é</w:t>
      </w:r>
      <w:r w:rsidR="00155E97" w:rsidRPr="00E046E7">
        <w:rPr>
          <w:rFonts w:eastAsia="MS Mincho"/>
          <w:lang w:val="fr-FR"/>
        </w:rPr>
        <w:t xml:space="preserve">valuation </w:t>
      </w:r>
      <w:r w:rsidR="00400417">
        <w:rPr>
          <w:rFonts w:eastAsia="MS Mincho"/>
          <w:lang w:val="fr-FR"/>
        </w:rPr>
        <w:t xml:space="preserve">de la Plateforme concernant les </w:t>
      </w:r>
      <w:r w:rsidR="00155E97" w:rsidRPr="00E046E7">
        <w:rPr>
          <w:rFonts w:eastAsia="MS Mincho"/>
          <w:lang w:val="fr-FR"/>
        </w:rPr>
        <w:t>scénarios et</w:t>
      </w:r>
      <w:r w:rsidR="001F242E">
        <w:rPr>
          <w:rFonts w:eastAsia="MS Mincho"/>
          <w:lang w:val="fr-FR"/>
        </w:rPr>
        <w:t> </w:t>
      </w:r>
      <w:r w:rsidR="00155E97" w:rsidRPr="00E046E7">
        <w:rPr>
          <w:rFonts w:eastAsia="MS Mincho"/>
          <w:lang w:val="fr-FR"/>
        </w:rPr>
        <w:t xml:space="preserve">modèles </w:t>
      </w:r>
      <w:r w:rsidR="00400417">
        <w:rPr>
          <w:rFonts w:eastAsia="MS Mincho"/>
          <w:lang w:val="fr-FR"/>
        </w:rPr>
        <w:t xml:space="preserve">relatifs à la </w:t>
      </w:r>
      <w:r w:rsidR="00155E97" w:rsidRPr="00E046E7">
        <w:rPr>
          <w:rFonts w:eastAsia="MS Mincho"/>
          <w:lang w:val="fr-FR"/>
        </w:rPr>
        <w:t>biodiversité et</w:t>
      </w:r>
      <w:r w:rsidR="00400417">
        <w:rPr>
          <w:rFonts w:eastAsia="MS Mincho"/>
          <w:lang w:val="fr-FR"/>
        </w:rPr>
        <w:t xml:space="preserve"> aux </w:t>
      </w:r>
      <w:r w:rsidR="00155E97" w:rsidRPr="00E046E7">
        <w:rPr>
          <w:rFonts w:eastAsia="MS Mincho"/>
          <w:lang w:val="fr-FR"/>
        </w:rPr>
        <w:t>services écosystémiques</w:t>
      </w:r>
      <w:r w:rsidR="008125AA" w:rsidRPr="00E046E7">
        <w:rPr>
          <w:rFonts w:eastAsia="MS Mincho"/>
          <w:vertAlign w:val="superscript"/>
          <w:lang w:val="fr-FR"/>
        </w:rPr>
        <w:footnoteReference w:id="10"/>
      </w:r>
      <w:r w:rsidR="008125AA" w:rsidRPr="00E046E7">
        <w:rPr>
          <w:rFonts w:eastAsia="MS Mincho"/>
          <w:lang w:val="fr-FR"/>
        </w:rPr>
        <w:t>.</w:t>
      </w:r>
    </w:p>
    <w:p w14:paraId="3511DE65" w14:textId="0D0D6447" w:rsidR="008125AA" w:rsidRPr="00E046E7" w:rsidRDefault="00584F9F"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 xml:space="preserve">évaluation déterminera les principales lacunes en matière </w:t>
      </w:r>
      <w:r w:rsidR="00D70521">
        <w:rPr>
          <w:rFonts w:eastAsia="MS Mincho"/>
          <w:lang w:val="fr-FR"/>
        </w:rPr>
        <w:t>d</w:t>
      </w:r>
      <w:r w:rsidR="00BD2801">
        <w:rPr>
          <w:rFonts w:eastAsia="MS Mincho"/>
          <w:lang w:val="fr-FR"/>
        </w:rPr>
        <w:t>’</w:t>
      </w:r>
      <w:r w:rsidR="00D70521">
        <w:rPr>
          <w:rFonts w:eastAsia="MS Mincho"/>
          <w:lang w:val="fr-FR"/>
        </w:rPr>
        <w:t xml:space="preserve">informations et </w:t>
      </w:r>
      <w:r w:rsidRPr="00E046E7">
        <w:rPr>
          <w:rFonts w:eastAsia="MS Mincho"/>
          <w:lang w:val="fr-FR"/>
        </w:rPr>
        <w:t>de connaissances</w:t>
      </w:r>
      <w:r w:rsidR="008125AA" w:rsidRPr="00E046E7">
        <w:rPr>
          <w:rFonts w:eastAsia="MS Mincho"/>
          <w:lang w:val="fr-FR"/>
        </w:rPr>
        <w:t xml:space="preserve"> </w:t>
      </w:r>
      <w:r w:rsidRPr="00E046E7">
        <w:rPr>
          <w:rFonts w:eastAsia="MS Mincho"/>
          <w:lang w:val="fr-FR"/>
        </w:rPr>
        <w:t xml:space="preserve">ainsi que les </w:t>
      </w:r>
      <w:r w:rsidRPr="00BD2801">
        <w:rPr>
          <w:rFonts w:eastAsia="MS Mincho"/>
        </w:rPr>
        <w:t>domaines</w:t>
      </w:r>
      <w:r w:rsidRPr="00E046E7">
        <w:rPr>
          <w:rFonts w:eastAsia="MS Mincho"/>
          <w:lang w:val="fr-FR"/>
        </w:rPr>
        <w:t xml:space="preserve"> dans lesquels un renforcement des capacités et l</w:t>
      </w:r>
      <w:r w:rsidR="00BD2801">
        <w:rPr>
          <w:rFonts w:eastAsia="MS Mincho"/>
          <w:lang w:val="fr-FR"/>
        </w:rPr>
        <w:t>’</w:t>
      </w:r>
      <w:r w:rsidRPr="00E046E7">
        <w:rPr>
          <w:rFonts w:eastAsia="MS Mincho"/>
          <w:lang w:val="fr-FR"/>
        </w:rPr>
        <w:t>élaboration de politiques et d</w:t>
      </w:r>
      <w:r w:rsidR="00BD2801">
        <w:rPr>
          <w:rFonts w:eastAsia="MS Mincho"/>
          <w:lang w:val="fr-FR"/>
        </w:rPr>
        <w:t>’</w:t>
      </w:r>
      <w:r w:rsidRPr="00E046E7">
        <w:rPr>
          <w:rFonts w:eastAsia="MS Mincho"/>
          <w:lang w:val="fr-FR"/>
        </w:rPr>
        <w:t>outils politiques pourrai</w:t>
      </w:r>
      <w:r w:rsidR="005B7756">
        <w:rPr>
          <w:rFonts w:eastAsia="MS Mincho"/>
          <w:lang w:val="fr-FR"/>
        </w:rPr>
        <w:t>en</w:t>
      </w:r>
      <w:r w:rsidRPr="00E046E7">
        <w:rPr>
          <w:rFonts w:eastAsia="MS Mincho"/>
          <w:lang w:val="fr-FR"/>
        </w:rPr>
        <w:t>t faciliter la mise en œuvre d</w:t>
      </w:r>
      <w:r w:rsidR="005B7756">
        <w:rPr>
          <w:rFonts w:eastAsia="MS Mincho"/>
          <w:lang w:val="fr-FR"/>
        </w:rPr>
        <w:t xml:space="preserve">es </w:t>
      </w:r>
      <w:r w:rsidR="006B751E">
        <w:rPr>
          <w:rFonts w:eastAsia="MS Mincho"/>
          <w:lang w:val="fr-FR"/>
        </w:rPr>
        <w:t>possibilités d</w:t>
      </w:r>
      <w:r w:rsidR="00BD2801">
        <w:rPr>
          <w:rFonts w:eastAsia="MS Mincho"/>
          <w:lang w:val="fr-FR"/>
        </w:rPr>
        <w:t>’</w:t>
      </w:r>
      <w:r w:rsidR="006B751E">
        <w:rPr>
          <w:rFonts w:eastAsia="MS Mincho"/>
          <w:lang w:val="fr-FR"/>
        </w:rPr>
        <w:t>action</w:t>
      </w:r>
      <w:r w:rsidRPr="00E046E7">
        <w:rPr>
          <w:rFonts w:eastAsia="MS Mincho"/>
          <w:lang w:val="fr-FR"/>
        </w:rPr>
        <w:t xml:space="preserve"> présentées dans</w:t>
      </w:r>
      <w:r w:rsidR="001F242E">
        <w:rPr>
          <w:rFonts w:eastAsia="MS Mincho"/>
          <w:lang w:val="fr-FR"/>
        </w:rPr>
        <w:t> </w:t>
      </w:r>
      <w:r w:rsidRPr="00E046E7">
        <w:rPr>
          <w:rFonts w:eastAsia="MS Mincho"/>
          <w:lang w:val="fr-FR"/>
        </w:rPr>
        <w:t>l</w:t>
      </w:r>
      <w:r w:rsidR="00BD2801">
        <w:rPr>
          <w:rFonts w:eastAsia="MS Mincho"/>
          <w:lang w:val="fr-FR"/>
        </w:rPr>
        <w:t>’</w:t>
      </w:r>
      <w:r w:rsidRPr="00E046E7">
        <w:rPr>
          <w:rFonts w:eastAsia="MS Mincho"/>
          <w:lang w:val="fr-FR"/>
        </w:rPr>
        <w:t>évaluation</w:t>
      </w:r>
      <w:r w:rsidR="008125AA" w:rsidRPr="00E046E7">
        <w:rPr>
          <w:rFonts w:eastAsia="MS Mincho"/>
          <w:lang w:val="fr-FR"/>
        </w:rPr>
        <w:t>.</w:t>
      </w:r>
      <w:r w:rsidRPr="00E046E7">
        <w:rPr>
          <w:rFonts w:eastAsia="MS Mincho"/>
          <w:lang w:val="fr-FR"/>
        </w:rPr>
        <w:t xml:space="preserve"> L</w:t>
      </w:r>
      <w:r w:rsidR="00BD2801">
        <w:rPr>
          <w:rFonts w:eastAsia="MS Mincho"/>
          <w:lang w:val="fr-FR"/>
        </w:rPr>
        <w:t>’</w:t>
      </w:r>
      <w:r w:rsidRPr="00E046E7">
        <w:rPr>
          <w:rFonts w:eastAsia="MS Mincho"/>
          <w:lang w:val="fr-FR"/>
        </w:rPr>
        <w:t>évaluation fournirait des options et des solutions pour combler ces lacunes aux</w:t>
      </w:r>
      <w:r w:rsidR="001F242E">
        <w:rPr>
          <w:rFonts w:eastAsia="MS Mincho"/>
          <w:lang w:val="fr-FR"/>
        </w:rPr>
        <w:t> n</w:t>
      </w:r>
      <w:r w:rsidRPr="00E046E7">
        <w:rPr>
          <w:rFonts w:eastAsia="MS Mincho"/>
          <w:lang w:val="fr-FR"/>
        </w:rPr>
        <w:t>iveaux pertinents</w:t>
      </w:r>
      <w:r w:rsidR="008125AA" w:rsidRPr="00E046E7">
        <w:rPr>
          <w:rFonts w:eastAsia="MS Mincho"/>
          <w:lang w:val="fr-FR"/>
        </w:rPr>
        <w:t>.</w:t>
      </w:r>
    </w:p>
    <w:p w14:paraId="098D9353" w14:textId="357871FD" w:rsidR="008125AA" w:rsidRPr="00E046E7" w:rsidRDefault="00584F9F"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équipe spéciale sur les savoirs autochtones et locaux appuie</w:t>
      </w:r>
      <w:r w:rsidR="005B7756">
        <w:rPr>
          <w:rFonts w:eastAsia="MS Mincho"/>
          <w:lang w:val="fr-FR"/>
        </w:rPr>
        <w:t>ra</w:t>
      </w:r>
      <w:r w:rsidRPr="00E046E7">
        <w:rPr>
          <w:rFonts w:eastAsia="MS Mincho"/>
          <w:lang w:val="fr-FR"/>
        </w:rPr>
        <w:t xml:space="preserve"> la mise en œuvre de l</w:t>
      </w:r>
      <w:r w:rsidR="00BD2801">
        <w:rPr>
          <w:rFonts w:eastAsia="MS Mincho"/>
          <w:lang w:val="fr-FR"/>
        </w:rPr>
        <w:t>’</w:t>
      </w:r>
      <w:r w:rsidRPr="00E046E7">
        <w:rPr>
          <w:rFonts w:eastAsia="MS Mincho"/>
          <w:lang w:val="fr-FR"/>
        </w:rPr>
        <w:t xml:space="preserve">approche </w:t>
      </w:r>
      <w:r w:rsidR="00E768BE">
        <w:rPr>
          <w:rFonts w:eastAsia="MS Mincho"/>
          <w:lang w:val="fr-FR"/>
        </w:rPr>
        <w:t xml:space="preserve">visant à </w:t>
      </w:r>
      <w:r w:rsidR="00E768BE" w:rsidRPr="00BD2801">
        <w:rPr>
          <w:rFonts w:eastAsia="MS Mincho"/>
        </w:rPr>
        <w:t>reconnaî</w:t>
      </w:r>
      <w:r w:rsidR="001B4554" w:rsidRPr="00BD2801">
        <w:rPr>
          <w:rFonts w:eastAsia="MS Mincho"/>
        </w:rPr>
        <w:t>tre</w:t>
      </w:r>
      <w:r w:rsidR="001B4554">
        <w:rPr>
          <w:rFonts w:eastAsia="MS Mincho"/>
          <w:lang w:val="fr-FR"/>
        </w:rPr>
        <w:t xml:space="preserve"> et à utiliser les </w:t>
      </w:r>
      <w:r w:rsidRPr="00E046E7">
        <w:rPr>
          <w:rFonts w:eastAsia="MS Mincho"/>
          <w:lang w:val="fr-FR"/>
        </w:rPr>
        <w:t xml:space="preserve">savoirs autochtones et locaux </w:t>
      </w:r>
      <w:r w:rsidR="0068548C">
        <w:rPr>
          <w:rFonts w:eastAsia="MS Mincho"/>
          <w:lang w:val="fr-FR"/>
        </w:rPr>
        <w:t xml:space="preserve">au sein </w:t>
      </w:r>
      <w:r w:rsidRPr="00E046E7">
        <w:rPr>
          <w:rFonts w:eastAsia="MS Mincho"/>
          <w:lang w:val="fr-FR"/>
        </w:rPr>
        <w:t>de la Plateforme</w:t>
      </w:r>
      <w:r w:rsidR="008125AA" w:rsidRPr="00E046E7">
        <w:rPr>
          <w:rFonts w:eastAsia="MS Mincho"/>
          <w:vertAlign w:val="superscript"/>
          <w:lang w:val="fr-FR"/>
        </w:rPr>
        <w:footnoteReference w:id="11"/>
      </w:r>
      <w:r w:rsidR="008125AA" w:rsidRPr="00E046E7">
        <w:rPr>
          <w:rFonts w:eastAsia="MS Mincho"/>
          <w:lang w:val="fr-FR"/>
        </w:rPr>
        <w:t xml:space="preserve"> </w:t>
      </w:r>
      <w:r w:rsidRPr="00E046E7">
        <w:rPr>
          <w:rFonts w:eastAsia="MS Mincho"/>
          <w:lang w:val="fr-FR"/>
        </w:rPr>
        <w:t>dans le</w:t>
      </w:r>
      <w:r w:rsidR="001F242E">
        <w:rPr>
          <w:rFonts w:eastAsia="MS Mincho"/>
          <w:lang w:val="fr-FR"/>
        </w:rPr>
        <w:t> </w:t>
      </w:r>
      <w:r w:rsidRPr="00E046E7">
        <w:rPr>
          <w:rFonts w:eastAsia="MS Mincho"/>
          <w:lang w:val="fr-FR"/>
        </w:rPr>
        <w:t>cadre de l</w:t>
      </w:r>
      <w:r w:rsidR="00BD2801">
        <w:rPr>
          <w:rFonts w:eastAsia="MS Mincho"/>
          <w:lang w:val="fr-FR"/>
        </w:rPr>
        <w:t>’</w:t>
      </w:r>
      <w:r w:rsidRPr="00E046E7">
        <w:rPr>
          <w:rFonts w:eastAsia="MS Mincho"/>
          <w:lang w:val="fr-FR"/>
        </w:rPr>
        <w:t>évaluation</w:t>
      </w:r>
      <w:r w:rsidR="008125AA" w:rsidRPr="00E046E7">
        <w:rPr>
          <w:rFonts w:eastAsia="MS Mincho"/>
          <w:lang w:val="fr-FR"/>
        </w:rPr>
        <w:t>.</w:t>
      </w:r>
      <w:r w:rsidRPr="00E046E7">
        <w:rPr>
          <w:rFonts w:eastAsia="MS Mincho"/>
          <w:lang w:val="fr-FR"/>
        </w:rPr>
        <w:t xml:space="preserve"> L</w:t>
      </w:r>
      <w:r w:rsidR="00BD2801">
        <w:rPr>
          <w:rFonts w:eastAsia="MS Mincho"/>
          <w:lang w:val="fr-FR"/>
        </w:rPr>
        <w:t>’</w:t>
      </w:r>
      <w:r w:rsidRPr="00E046E7">
        <w:rPr>
          <w:rFonts w:eastAsia="MS Mincho"/>
          <w:lang w:val="fr-FR"/>
        </w:rPr>
        <w:t xml:space="preserve">équipe spéciale sur les connaissances et les données </w:t>
      </w:r>
      <w:r w:rsidR="005B7756">
        <w:rPr>
          <w:rFonts w:eastAsia="MS Mincho"/>
          <w:lang w:val="fr-FR"/>
        </w:rPr>
        <w:t xml:space="preserve">apportera un appui </w:t>
      </w:r>
      <w:r w:rsidR="005B7756">
        <w:rPr>
          <w:rFonts w:eastAsia="MS Mincho"/>
          <w:lang w:val="fr-FR"/>
        </w:rPr>
        <w:lastRenderedPageBreak/>
        <w:t>aux</w:t>
      </w:r>
      <w:r w:rsidR="001F242E">
        <w:rPr>
          <w:rFonts w:eastAsia="MS Mincho"/>
          <w:lang w:val="fr-FR"/>
        </w:rPr>
        <w:t> </w:t>
      </w:r>
      <w:r w:rsidRPr="00E046E7">
        <w:rPr>
          <w:rFonts w:eastAsia="MS Mincho"/>
          <w:lang w:val="fr-FR"/>
        </w:rPr>
        <w:t>travaux</w:t>
      </w:r>
      <w:r w:rsidR="00D84700" w:rsidRPr="00E046E7">
        <w:rPr>
          <w:rFonts w:eastAsia="MS Mincho"/>
          <w:lang w:val="fr-FR"/>
        </w:rPr>
        <w:t xml:space="preserve"> liés aux données et aux connaissances</w:t>
      </w:r>
      <w:r w:rsidR="008125AA" w:rsidRPr="00E046E7">
        <w:rPr>
          <w:rFonts w:eastAsia="MS Mincho"/>
          <w:lang w:val="fr-FR"/>
        </w:rPr>
        <w:t>,</w:t>
      </w:r>
      <w:r w:rsidR="00D84700" w:rsidRPr="00E046E7">
        <w:rPr>
          <w:rFonts w:eastAsia="MS Mincho"/>
          <w:lang w:val="fr-FR"/>
        </w:rPr>
        <w:t xml:space="preserve"> comme spécifié dans la</w:t>
      </w:r>
      <w:r w:rsidR="008125AA" w:rsidRPr="00E046E7">
        <w:rPr>
          <w:rFonts w:eastAsia="MS Mincho"/>
          <w:lang w:val="fr-FR"/>
        </w:rPr>
        <w:t xml:space="preserve"> section</w:t>
      </w:r>
      <w:r w:rsidR="00D84700" w:rsidRPr="00E046E7">
        <w:rPr>
          <w:rFonts w:eastAsia="MS Mincho"/>
          <w:lang w:val="fr-FR"/>
        </w:rPr>
        <w:t> </w:t>
      </w:r>
      <w:r w:rsidR="008125AA" w:rsidRPr="00E046E7">
        <w:rPr>
          <w:rFonts w:eastAsia="MS Mincho"/>
          <w:lang w:val="fr-FR"/>
        </w:rPr>
        <w:t xml:space="preserve">III </w:t>
      </w:r>
      <w:r w:rsidR="00D84700" w:rsidRPr="00E046E7">
        <w:rPr>
          <w:rFonts w:eastAsia="MS Mincho"/>
          <w:lang w:val="fr-FR"/>
        </w:rPr>
        <w:t>ci-après</w:t>
      </w:r>
      <w:r w:rsidR="008125AA" w:rsidRPr="00E046E7">
        <w:rPr>
          <w:rFonts w:eastAsia="MS Mincho"/>
          <w:lang w:val="fr-FR"/>
        </w:rPr>
        <w:t xml:space="preserve">. </w:t>
      </w:r>
      <w:r w:rsidR="00D84700" w:rsidRPr="00E046E7">
        <w:rPr>
          <w:rFonts w:eastAsia="MS Mincho"/>
          <w:lang w:val="fr-FR"/>
        </w:rPr>
        <w:t>L</w:t>
      </w:r>
      <w:r w:rsidR="00BD2801">
        <w:rPr>
          <w:rFonts w:eastAsia="MS Mincho"/>
          <w:lang w:val="fr-FR"/>
        </w:rPr>
        <w:t>’</w:t>
      </w:r>
      <w:r w:rsidR="00D84700" w:rsidRPr="00E046E7">
        <w:rPr>
          <w:rFonts w:eastAsia="MS Mincho"/>
          <w:lang w:val="fr-FR"/>
        </w:rPr>
        <w:t>équipe spéciale sur les outils et méthodes d</w:t>
      </w:r>
      <w:r w:rsidR="00BD2801">
        <w:rPr>
          <w:rFonts w:eastAsia="MS Mincho"/>
          <w:lang w:val="fr-FR"/>
        </w:rPr>
        <w:t>’</w:t>
      </w:r>
      <w:r w:rsidR="00D84700" w:rsidRPr="00E046E7">
        <w:rPr>
          <w:rFonts w:eastAsia="MS Mincho"/>
          <w:lang w:val="fr-FR"/>
        </w:rPr>
        <w:t>élaboration des politiques</w:t>
      </w:r>
      <w:r w:rsidR="008125AA" w:rsidRPr="00E046E7">
        <w:rPr>
          <w:rFonts w:eastAsia="MS Mincho"/>
          <w:lang w:val="fr-FR"/>
        </w:rPr>
        <w:t xml:space="preserve"> </w:t>
      </w:r>
      <w:r w:rsidR="00D84700" w:rsidRPr="00E046E7">
        <w:rPr>
          <w:rFonts w:eastAsia="MS Mincho"/>
          <w:lang w:val="fr-FR"/>
        </w:rPr>
        <w:t xml:space="preserve">effectuera des travaux visant à </w:t>
      </w:r>
      <w:r w:rsidR="00082A05" w:rsidRPr="00E046E7">
        <w:rPr>
          <w:rFonts w:eastAsia="MS Mincho"/>
          <w:lang w:val="fr-FR"/>
        </w:rPr>
        <w:t>améliorer la pertinence de l</w:t>
      </w:r>
      <w:r w:rsidR="00BD2801">
        <w:rPr>
          <w:rFonts w:eastAsia="MS Mincho"/>
          <w:lang w:val="fr-FR"/>
        </w:rPr>
        <w:t>’</w:t>
      </w:r>
      <w:r w:rsidR="00082A05" w:rsidRPr="00E046E7">
        <w:rPr>
          <w:rFonts w:eastAsia="MS Mincho"/>
          <w:lang w:val="fr-FR"/>
        </w:rPr>
        <w:t>évaluation en vue de l</w:t>
      </w:r>
      <w:r w:rsidR="00BD2801">
        <w:rPr>
          <w:rFonts w:eastAsia="MS Mincho"/>
          <w:lang w:val="fr-FR"/>
        </w:rPr>
        <w:t>’</w:t>
      </w:r>
      <w:r w:rsidR="00082A05" w:rsidRPr="00E046E7">
        <w:rPr>
          <w:rFonts w:eastAsia="MS Mincho"/>
          <w:lang w:val="fr-FR"/>
        </w:rPr>
        <w:t xml:space="preserve">élaboration de politiques ainsi que son utilisation </w:t>
      </w:r>
      <w:r w:rsidR="00362990">
        <w:rPr>
          <w:rFonts w:eastAsia="MS Mincho"/>
          <w:lang w:val="fr-FR"/>
        </w:rPr>
        <w:t xml:space="preserve">dans la </w:t>
      </w:r>
      <w:r w:rsidR="00082A05" w:rsidRPr="00E046E7">
        <w:rPr>
          <w:rFonts w:eastAsia="MS Mincho"/>
          <w:lang w:val="fr-FR"/>
        </w:rPr>
        <w:t>prise de décisions</w:t>
      </w:r>
      <w:r w:rsidR="008125AA" w:rsidRPr="00E046E7">
        <w:rPr>
          <w:rFonts w:eastAsia="MS Mincho"/>
          <w:lang w:val="fr-FR"/>
        </w:rPr>
        <w:t>,</w:t>
      </w:r>
      <w:r w:rsidR="00082A05" w:rsidRPr="00E046E7">
        <w:rPr>
          <w:rFonts w:eastAsia="MS Mincho"/>
          <w:lang w:val="fr-FR"/>
        </w:rPr>
        <w:t xml:space="preserve"> une fois approuvée</w:t>
      </w:r>
      <w:r w:rsidR="008125AA" w:rsidRPr="00E046E7">
        <w:rPr>
          <w:rFonts w:eastAsia="MS Mincho"/>
          <w:lang w:val="fr-FR"/>
        </w:rPr>
        <w:t xml:space="preserve">. </w:t>
      </w:r>
      <w:r w:rsidR="00082A05" w:rsidRPr="00E046E7">
        <w:rPr>
          <w:rFonts w:eastAsia="MS Mincho"/>
          <w:lang w:val="fr-FR"/>
        </w:rPr>
        <w:t>L</w:t>
      </w:r>
      <w:r w:rsidR="00BD2801">
        <w:rPr>
          <w:rFonts w:eastAsia="MS Mincho"/>
          <w:lang w:val="fr-FR"/>
        </w:rPr>
        <w:t>’</w:t>
      </w:r>
      <w:r w:rsidR="00082A05" w:rsidRPr="00E046E7">
        <w:rPr>
          <w:rFonts w:eastAsia="MS Mincho"/>
          <w:lang w:val="fr-FR"/>
        </w:rPr>
        <w:t xml:space="preserve">équipe spéciale sur les scénarios et les modèles appuiera </w:t>
      </w:r>
      <w:r w:rsidR="005B7756">
        <w:rPr>
          <w:rFonts w:eastAsia="MS Mincho"/>
          <w:lang w:val="fr-FR"/>
        </w:rPr>
        <w:t>l</w:t>
      </w:r>
      <w:r w:rsidR="00082A05" w:rsidRPr="00E046E7">
        <w:rPr>
          <w:rFonts w:eastAsia="MS Mincho"/>
          <w:lang w:val="fr-FR"/>
        </w:rPr>
        <w:t>es travaux liés aux scénarios et aux modèles</w:t>
      </w:r>
      <w:r w:rsidR="008125AA" w:rsidRPr="00E046E7">
        <w:rPr>
          <w:rFonts w:eastAsia="MS Mincho"/>
          <w:lang w:val="fr-FR"/>
        </w:rPr>
        <w:t xml:space="preserve">, </w:t>
      </w:r>
      <w:r w:rsidR="00082A05" w:rsidRPr="00E046E7">
        <w:rPr>
          <w:rFonts w:eastAsia="MS Mincho"/>
          <w:lang w:val="fr-FR"/>
        </w:rPr>
        <w:t>comme décrit dans la section </w:t>
      </w:r>
      <w:r w:rsidR="008125AA" w:rsidRPr="00E046E7">
        <w:rPr>
          <w:rFonts w:eastAsia="MS Mincho"/>
          <w:lang w:val="fr-FR"/>
        </w:rPr>
        <w:t xml:space="preserve">III. </w:t>
      </w:r>
      <w:r w:rsidR="00082A05" w:rsidRPr="00E046E7">
        <w:rPr>
          <w:rFonts w:eastAsia="MS Mincho"/>
          <w:lang w:val="fr-FR"/>
        </w:rPr>
        <w:t>Enfin</w:t>
      </w:r>
      <w:r w:rsidR="008125AA" w:rsidRPr="00E046E7">
        <w:rPr>
          <w:rFonts w:eastAsia="MS Mincho"/>
          <w:lang w:val="fr-FR"/>
        </w:rPr>
        <w:t xml:space="preserve">, </w:t>
      </w:r>
      <w:r w:rsidR="002C514F" w:rsidRPr="00E046E7">
        <w:rPr>
          <w:rFonts w:eastAsia="MS Mincho"/>
          <w:lang w:val="fr-FR"/>
        </w:rPr>
        <w:t>l</w:t>
      </w:r>
      <w:r w:rsidR="00BD2801">
        <w:rPr>
          <w:rFonts w:eastAsia="MS Mincho"/>
          <w:lang w:val="fr-FR"/>
        </w:rPr>
        <w:t>’</w:t>
      </w:r>
      <w:r w:rsidR="002C514F" w:rsidRPr="00E046E7">
        <w:rPr>
          <w:rFonts w:eastAsia="MS Mincho"/>
          <w:lang w:val="fr-FR"/>
        </w:rPr>
        <w:t xml:space="preserve">équipe spéciale sur le renforcement des capacités supervisera la mise en œuvre des activités de renforcement des capacités définies dans la </w:t>
      </w:r>
      <w:r w:rsidR="008125AA" w:rsidRPr="00E046E7">
        <w:rPr>
          <w:rFonts w:eastAsia="MS Mincho"/>
          <w:lang w:val="fr-FR"/>
        </w:rPr>
        <w:t>section</w:t>
      </w:r>
      <w:r w:rsidR="002C514F" w:rsidRPr="00E046E7">
        <w:rPr>
          <w:rFonts w:eastAsia="MS Mincho"/>
          <w:lang w:val="fr-FR"/>
        </w:rPr>
        <w:t> </w:t>
      </w:r>
      <w:r w:rsidR="008125AA" w:rsidRPr="00E046E7">
        <w:rPr>
          <w:rFonts w:eastAsia="MS Mincho"/>
          <w:lang w:val="fr-FR"/>
        </w:rPr>
        <w:t xml:space="preserve">IV. </w:t>
      </w:r>
      <w:r w:rsidR="002C514F" w:rsidRPr="00E046E7">
        <w:rPr>
          <w:rFonts w:eastAsia="MS Mincho"/>
          <w:lang w:val="fr-FR"/>
        </w:rPr>
        <w:t>L</w:t>
      </w:r>
      <w:r w:rsidR="00BD2801">
        <w:rPr>
          <w:rFonts w:eastAsia="MS Mincho"/>
          <w:lang w:val="fr-FR"/>
        </w:rPr>
        <w:t>’</w:t>
      </w:r>
      <w:r w:rsidR="002C514F" w:rsidRPr="00E046E7">
        <w:rPr>
          <w:rFonts w:eastAsia="MS Mincho"/>
          <w:lang w:val="fr-FR"/>
        </w:rPr>
        <w:t>ensemble des équipes spéciales de la</w:t>
      </w:r>
      <w:r w:rsidR="001F242E">
        <w:rPr>
          <w:rFonts w:eastAsia="MS Mincho"/>
          <w:lang w:val="fr-FR"/>
        </w:rPr>
        <w:t> </w:t>
      </w:r>
      <w:r w:rsidR="002C514F" w:rsidRPr="00E046E7">
        <w:rPr>
          <w:rFonts w:eastAsia="MS Mincho"/>
          <w:lang w:val="fr-FR"/>
        </w:rPr>
        <w:t>Plateforme apporteront leur appui à l</w:t>
      </w:r>
      <w:r w:rsidR="00BD2801">
        <w:rPr>
          <w:rFonts w:eastAsia="MS Mincho"/>
          <w:lang w:val="fr-FR"/>
        </w:rPr>
        <w:t>’</w:t>
      </w:r>
      <w:r w:rsidR="002C514F" w:rsidRPr="00E046E7">
        <w:rPr>
          <w:rFonts w:eastAsia="MS Mincho"/>
          <w:lang w:val="fr-FR"/>
        </w:rPr>
        <w:t>évaluation conformément à leurs mandats respectifs</w:t>
      </w:r>
      <w:r w:rsidR="008125AA" w:rsidRPr="00E046E7">
        <w:rPr>
          <w:rFonts w:eastAsia="MS Mincho"/>
          <w:lang w:val="fr-FR"/>
        </w:rPr>
        <w:t xml:space="preserve">. </w:t>
      </w:r>
    </w:p>
    <w:p w14:paraId="17598756" w14:textId="3F75348B" w:rsidR="008125AA" w:rsidRPr="00E046E7" w:rsidRDefault="003C0959" w:rsidP="00BD2801">
      <w:pPr>
        <w:pStyle w:val="Normalnumber"/>
        <w:rPr>
          <w:rFonts w:eastAsia="MS Mincho"/>
          <w:lang w:val="fr-FR"/>
        </w:rPr>
      </w:pPr>
      <w:r w:rsidRPr="00E046E7">
        <w:rPr>
          <w:rFonts w:eastAsia="MS Mincho"/>
          <w:lang w:val="fr-FR"/>
        </w:rPr>
        <w:t xml:space="preserve">Compte tenu des liens </w:t>
      </w:r>
      <w:r w:rsidR="007B6737">
        <w:rPr>
          <w:rFonts w:eastAsia="MS Mincho"/>
          <w:lang w:val="fr-FR"/>
        </w:rPr>
        <w:t>d</w:t>
      </w:r>
      <w:r w:rsidR="00BD2801">
        <w:rPr>
          <w:rFonts w:eastAsia="MS Mincho"/>
          <w:lang w:val="fr-FR"/>
        </w:rPr>
        <w:t>’</w:t>
      </w:r>
      <w:r w:rsidR="007B6737">
        <w:rPr>
          <w:rFonts w:eastAsia="MS Mincho"/>
          <w:lang w:val="fr-FR"/>
        </w:rPr>
        <w:t xml:space="preserve">interdépendance </w:t>
      </w:r>
      <w:r w:rsidRPr="00E046E7">
        <w:rPr>
          <w:rFonts w:eastAsia="MS Mincho"/>
          <w:lang w:val="fr-FR"/>
        </w:rPr>
        <w:t>potentiellement étroits entre l</w:t>
      </w:r>
      <w:r w:rsidR="00BD2801">
        <w:rPr>
          <w:rFonts w:eastAsia="MS Mincho"/>
          <w:lang w:val="fr-FR"/>
        </w:rPr>
        <w:t>’</w:t>
      </w:r>
      <w:r w:rsidRPr="00E046E7">
        <w:rPr>
          <w:rFonts w:eastAsia="MS Mincho"/>
          <w:lang w:val="fr-FR"/>
        </w:rPr>
        <w:t>évaluation des changements transformateurs prévue par la Plateforme et l</w:t>
      </w:r>
      <w:r w:rsidR="00BD2801">
        <w:rPr>
          <w:rFonts w:eastAsia="MS Mincho"/>
          <w:lang w:val="fr-FR"/>
        </w:rPr>
        <w:t>’</w:t>
      </w:r>
      <w:r w:rsidRPr="00E046E7">
        <w:rPr>
          <w:rFonts w:eastAsia="MS Mincho"/>
          <w:lang w:val="fr-FR"/>
        </w:rPr>
        <w:t>évaluation</w:t>
      </w:r>
      <w:r w:rsidR="008125AA" w:rsidRPr="00E046E7">
        <w:rPr>
          <w:rFonts w:eastAsia="MS Mincho"/>
          <w:lang w:val="fr-FR"/>
        </w:rPr>
        <w:t xml:space="preserve"> </w:t>
      </w:r>
      <w:r w:rsidRPr="00E046E7">
        <w:rPr>
          <w:rFonts w:eastAsia="MS Mincho"/>
          <w:lang w:val="fr-FR"/>
        </w:rPr>
        <w:t xml:space="preserve">des </w:t>
      </w:r>
      <w:r w:rsidR="00B76952">
        <w:rPr>
          <w:rFonts w:eastAsia="MS Mincho"/>
          <w:lang w:val="fr-FR"/>
        </w:rPr>
        <w:t xml:space="preserve">interactions </w:t>
      </w:r>
      <w:r w:rsidR="00587042" w:rsidRPr="00E046E7">
        <w:rPr>
          <w:rFonts w:eastAsia="MS Mincho"/>
          <w:lang w:val="fr-FR"/>
        </w:rPr>
        <w:t>(l</w:t>
      </w:r>
      <w:r w:rsidR="00BD2801">
        <w:rPr>
          <w:rFonts w:eastAsia="MS Mincho"/>
          <w:lang w:val="fr-FR"/>
        </w:rPr>
        <w:t>’</w:t>
      </w:r>
      <w:r w:rsidR="00587042" w:rsidRPr="00E046E7">
        <w:rPr>
          <w:rFonts w:eastAsia="MS Mincho"/>
          <w:lang w:val="fr-FR"/>
        </w:rPr>
        <w:t xml:space="preserve">évaluation thématique </w:t>
      </w:r>
      <w:r w:rsidR="00587042" w:rsidRPr="00BD2801">
        <w:rPr>
          <w:rFonts w:eastAsia="MS Mincho"/>
        </w:rPr>
        <w:t>des</w:t>
      </w:r>
      <w:r w:rsidR="00587042" w:rsidRPr="00E046E7">
        <w:rPr>
          <w:rFonts w:eastAsia="MS Mincho"/>
          <w:lang w:val="fr-FR"/>
        </w:rPr>
        <w:t xml:space="preserve"> liens d</w:t>
      </w:r>
      <w:r w:rsidR="00BD2801">
        <w:rPr>
          <w:rFonts w:eastAsia="MS Mincho"/>
          <w:lang w:val="fr-FR"/>
        </w:rPr>
        <w:t>’</w:t>
      </w:r>
      <w:r w:rsidR="00587042" w:rsidRPr="00E046E7">
        <w:rPr>
          <w:rFonts w:eastAsia="MS Mincho"/>
          <w:lang w:val="fr-FR"/>
        </w:rPr>
        <w:t>interdépendance entre la biodiversité, l</w:t>
      </w:r>
      <w:r w:rsidR="00BD2801">
        <w:rPr>
          <w:rFonts w:eastAsia="MS Mincho"/>
          <w:lang w:val="fr-FR"/>
        </w:rPr>
        <w:t>’</w:t>
      </w:r>
      <w:r w:rsidR="00587042" w:rsidRPr="00E046E7">
        <w:rPr>
          <w:rFonts w:eastAsia="MS Mincho"/>
          <w:lang w:val="fr-FR"/>
        </w:rPr>
        <w:t>eau, l</w:t>
      </w:r>
      <w:r w:rsidR="00BD2801">
        <w:rPr>
          <w:rFonts w:eastAsia="MS Mincho"/>
          <w:lang w:val="fr-FR"/>
        </w:rPr>
        <w:t>’</w:t>
      </w:r>
      <w:r w:rsidR="00587042" w:rsidRPr="00E046E7">
        <w:rPr>
          <w:rFonts w:eastAsia="MS Mincho"/>
          <w:lang w:val="fr-FR"/>
        </w:rPr>
        <w:t>alimentation et la santé dans le</w:t>
      </w:r>
      <w:r w:rsidR="001F242E">
        <w:rPr>
          <w:rFonts w:eastAsia="MS Mincho"/>
          <w:lang w:val="fr-FR"/>
        </w:rPr>
        <w:t> </w:t>
      </w:r>
      <w:r w:rsidR="00587042" w:rsidRPr="00E046E7">
        <w:rPr>
          <w:rFonts w:eastAsia="MS Mincho"/>
          <w:lang w:val="fr-FR"/>
        </w:rPr>
        <w:t>contexte des changements climatiques</w:t>
      </w:r>
      <w:r w:rsidR="005B7756">
        <w:rPr>
          <w:rFonts w:eastAsia="MS Mincho"/>
          <w:lang w:val="fr-FR"/>
        </w:rPr>
        <w:t>,</w:t>
      </w:r>
      <w:r w:rsidR="008125AA" w:rsidRPr="00E046E7">
        <w:rPr>
          <w:lang w:val="fr-FR"/>
        </w:rPr>
        <w:t xml:space="preserve"> IPBES/8/3), </w:t>
      </w:r>
      <w:r w:rsidR="00587042" w:rsidRPr="00E046E7">
        <w:rPr>
          <w:lang w:val="fr-FR"/>
        </w:rPr>
        <w:t>une</w:t>
      </w:r>
      <w:r w:rsidR="008125AA" w:rsidRPr="00E046E7">
        <w:rPr>
          <w:lang w:val="fr-FR"/>
        </w:rPr>
        <w:t xml:space="preserve"> coordination</w:t>
      </w:r>
      <w:r w:rsidR="00587042" w:rsidRPr="00E046E7">
        <w:rPr>
          <w:lang w:val="fr-FR"/>
        </w:rPr>
        <w:t xml:space="preserve"> étroite et </w:t>
      </w:r>
      <w:r w:rsidR="00972F58">
        <w:rPr>
          <w:lang w:val="fr-FR"/>
        </w:rPr>
        <w:t>facilitée</w:t>
      </w:r>
      <w:r w:rsidR="000401D4">
        <w:rPr>
          <w:lang w:val="fr-FR"/>
        </w:rPr>
        <w:t xml:space="preserve"> </w:t>
      </w:r>
      <w:r w:rsidR="00587042" w:rsidRPr="00E046E7">
        <w:rPr>
          <w:lang w:val="fr-FR"/>
        </w:rPr>
        <w:t>entre les</w:t>
      </w:r>
      <w:r w:rsidR="001F242E">
        <w:rPr>
          <w:lang w:val="fr-FR"/>
        </w:rPr>
        <w:t> </w:t>
      </w:r>
      <w:r w:rsidR="00587042" w:rsidRPr="00E046E7">
        <w:rPr>
          <w:lang w:val="fr-FR"/>
        </w:rPr>
        <w:t>deux processus d</w:t>
      </w:r>
      <w:r w:rsidR="00BD2801">
        <w:rPr>
          <w:lang w:val="fr-FR"/>
        </w:rPr>
        <w:t>’</w:t>
      </w:r>
      <w:r w:rsidR="00587042" w:rsidRPr="00E046E7">
        <w:rPr>
          <w:lang w:val="fr-FR"/>
        </w:rPr>
        <w:t>évaluation ser</w:t>
      </w:r>
      <w:r w:rsidR="000401D4">
        <w:rPr>
          <w:lang w:val="fr-FR"/>
        </w:rPr>
        <w:t>a</w:t>
      </w:r>
      <w:r w:rsidR="00587042" w:rsidRPr="00E046E7">
        <w:rPr>
          <w:lang w:val="fr-FR"/>
        </w:rPr>
        <w:t xml:space="preserve"> assurée afin de permettre des synergies et une complémentarité </w:t>
      </w:r>
      <w:r w:rsidR="00547CBF">
        <w:rPr>
          <w:lang w:val="fr-FR"/>
        </w:rPr>
        <w:t>et</w:t>
      </w:r>
      <w:r w:rsidR="001F242E">
        <w:rPr>
          <w:lang w:val="fr-FR"/>
        </w:rPr>
        <w:t> </w:t>
      </w:r>
      <w:r w:rsidR="00587042" w:rsidRPr="00E046E7">
        <w:rPr>
          <w:lang w:val="fr-FR"/>
        </w:rPr>
        <w:t>d</w:t>
      </w:r>
      <w:r w:rsidR="00BD2801">
        <w:rPr>
          <w:lang w:val="fr-FR"/>
        </w:rPr>
        <w:t>’</w:t>
      </w:r>
      <w:r w:rsidR="00587042" w:rsidRPr="00E046E7">
        <w:rPr>
          <w:lang w:val="fr-FR"/>
        </w:rPr>
        <w:t>éviter les doubles emplois au niveau de la portée et des travaux</w:t>
      </w:r>
      <w:r w:rsidR="008125AA" w:rsidRPr="00E046E7">
        <w:rPr>
          <w:lang w:val="fr-FR"/>
        </w:rPr>
        <w:t>.</w:t>
      </w:r>
      <w:r w:rsidR="00587042" w:rsidRPr="00E046E7">
        <w:rPr>
          <w:lang w:val="fr-FR"/>
        </w:rPr>
        <w:t xml:space="preserve"> Les deux évaluations seront complémentaires, l</w:t>
      </w:r>
      <w:r w:rsidR="00BD2801">
        <w:rPr>
          <w:lang w:val="fr-FR"/>
        </w:rPr>
        <w:t>’</w:t>
      </w:r>
      <w:r w:rsidR="00587042" w:rsidRPr="00E046E7">
        <w:rPr>
          <w:lang w:val="fr-FR"/>
        </w:rPr>
        <w:t xml:space="preserve">évaluation des changements transformateurs </w:t>
      </w:r>
      <w:r w:rsidR="00DE4878">
        <w:rPr>
          <w:lang w:val="fr-FR"/>
        </w:rPr>
        <w:t xml:space="preserve">étant axée sur </w:t>
      </w:r>
      <w:r w:rsidR="00587042" w:rsidRPr="00E046E7">
        <w:rPr>
          <w:lang w:val="fr-FR"/>
        </w:rPr>
        <w:t>les déterminants des</w:t>
      </w:r>
      <w:r w:rsidR="001F242E">
        <w:rPr>
          <w:lang w:val="fr-FR"/>
        </w:rPr>
        <w:t> </w:t>
      </w:r>
      <w:r w:rsidR="00587042" w:rsidRPr="00E046E7">
        <w:rPr>
          <w:lang w:val="fr-FR"/>
        </w:rPr>
        <w:t>changements transformateurs</w:t>
      </w:r>
      <w:r w:rsidR="00EA3EFF" w:rsidRPr="00E046E7">
        <w:rPr>
          <w:lang w:val="fr-FR"/>
        </w:rPr>
        <w:t xml:space="preserve"> et l</w:t>
      </w:r>
      <w:r w:rsidR="00BD2801">
        <w:rPr>
          <w:lang w:val="fr-FR"/>
        </w:rPr>
        <w:t>’</w:t>
      </w:r>
      <w:r w:rsidR="00EA3EFF" w:rsidRPr="00E046E7">
        <w:rPr>
          <w:lang w:val="fr-FR"/>
        </w:rPr>
        <w:t xml:space="preserve">évaluation des </w:t>
      </w:r>
      <w:r w:rsidR="00843C5F">
        <w:rPr>
          <w:lang w:val="fr-FR"/>
        </w:rPr>
        <w:t xml:space="preserve">interactions </w:t>
      </w:r>
      <w:r w:rsidR="000C1C3A">
        <w:rPr>
          <w:lang w:val="fr-FR"/>
        </w:rPr>
        <w:t xml:space="preserve">étant axée </w:t>
      </w:r>
      <w:r w:rsidR="00EA3EFF" w:rsidRPr="00E046E7">
        <w:rPr>
          <w:lang w:val="fr-FR"/>
        </w:rPr>
        <w:t>sur les options pour résoudre les arbitrages et permettre des synergies entre la biodiversité, l</w:t>
      </w:r>
      <w:r w:rsidR="00BD2801">
        <w:rPr>
          <w:lang w:val="fr-FR"/>
        </w:rPr>
        <w:t>’</w:t>
      </w:r>
      <w:r w:rsidR="00EA3EFF" w:rsidRPr="00E046E7">
        <w:rPr>
          <w:lang w:val="fr-FR"/>
        </w:rPr>
        <w:t>eau, l</w:t>
      </w:r>
      <w:r w:rsidR="00BD2801">
        <w:rPr>
          <w:lang w:val="fr-FR"/>
        </w:rPr>
        <w:t>’</w:t>
      </w:r>
      <w:r w:rsidR="00EA3EFF" w:rsidRPr="00E046E7">
        <w:rPr>
          <w:lang w:val="fr-FR"/>
        </w:rPr>
        <w:t>alimentation, le climat, l</w:t>
      </w:r>
      <w:r w:rsidR="00BD2801">
        <w:rPr>
          <w:lang w:val="fr-FR"/>
        </w:rPr>
        <w:t>’</w:t>
      </w:r>
      <w:r w:rsidR="00EA3EFF" w:rsidRPr="00E046E7">
        <w:rPr>
          <w:lang w:val="fr-FR"/>
        </w:rPr>
        <w:t>énergie et la santé</w:t>
      </w:r>
      <w:r w:rsidR="008125AA" w:rsidRPr="00E046E7">
        <w:rPr>
          <w:rFonts w:eastAsia="MS Mincho"/>
          <w:lang w:val="fr-FR"/>
        </w:rPr>
        <w:t>.</w:t>
      </w:r>
    </w:p>
    <w:p w14:paraId="60A999D9" w14:textId="48AB76F1" w:rsidR="008125AA" w:rsidRPr="00E046E7" w:rsidRDefault="008125AA" w:rsidP="00BD2801">
      <w:pPr>
        <w:pStyle w:val="CH1"/>
        <w:rPr>
          <w:lang w:val="fr-FR"/>
        </w:rPr>
      </w:pPr>
      <w:r w:rsidRPr="00E046E7">
        <w:rPr>
          <w:lang w:val="fr-FR"/>
        </w:rPr>
        <w:tab/>
        <w:t>II.</w:t>
      </w:r>
      <w:r w:rsidRPr="00E046E7">
        <w:rPr>
          <w:lang w:val="fr-FR"/>
        </w:rPr>
        <w:tab/>
      </w:r>
      <w:r w:rsidR="00C34755" w:rsidRPr="00E046E7">
        <w:rPr>
          <w:lang w:val="fr-FR"/>
        </w:rPr>
        <w:t>Aperçu des chapitres</w:t>
      </w:r>
    </w:p>
    <w:p w14:paraId="65800F18" w14:textId="576133B2" w:rsidR="008125AA" w:rsidRPr="00E046E7" w:rsidRDefault="00C34755" w:rsidP="00BD2801">
      <w:pPr>
        <w:pStyle w:val="Normalnumber"/>
        <w:rPr>
          <w:rFonts w:eastAsia="MS Mincho"/>
          <w:lang w:val="fr-FR"/>
        </w:rPr>
      </w:pPr>
      <w:r w:rsidRPr="00E046E7">
        <w:rPr>
          <w:rFonts w:eastAsia="MS Mincho"/>
          <w:lang w:val="fr-FR"/>
        </w:rPr>
        <w:t>Dans ses chapitres</w:t>
      </w:r>
      <w:r w:rsidR="008125AA" w:rsidRPr="00E046E7">
        <w:rPr>
          <w:rFonts w:eastAsia="MS Mincho"/>
          <w:lang w:val="fr-FR"/>
        </w:rPr>
        <w:t>,</w:t>
      </w:r>
      <w:r w:rsidRPr="00E046E7">
        <w:rPr>
          <w:rFonts w:eastAsia="MS Mincho"/>
          <w:lang w:val="fr-FR"/>
        </w:rPr>
        <w:t xml:space="preserve"> l</w:t>
      </w:r>
      <w:r w:rsidR="00BD2801">
        <w:rPr>
          <w:rFonts w:eastAsia="MS Mincho"/>
          <w:lang w:val="fr-FR"/>
        </w:rPr>
        <w:t>’</w:t>
      </w:r>
      <w:r w:rsidRPr="00E046E7">
        <w:rPr>
          <w:rFonts w:eastAsia="MS Mincho"/>
          <w:lang w:val="fr-FR"/>
        </w:rPr>
        <w:t>évaluation mettra en lumière</w:t>
      </w:r>
      <w:r w:rsidR="008125AA" w:rsidRPr="00E046E7">
        <w:rPr>
          <w:rFonts w:eastAsia="MS Mincho"/>
          <w:lang w:val="fr-FR"/>
        </w:rPr>
        <w:t xml:space="preserve"> </w:t>
      </w:r>
      <w:r w:rsidRPr="00E046E7">
        <w:rPr>
          <w:rFonts w:eastAsia="MS Mincho"/>
          <w:lang w:val="fr-FR"/>
        </w:rPr>
        <w:t>la nature même des changements transformateurs ainsi que les multiples valeurs, systèmes de connaissances, institutions et choix</w:t>
      </w:r>
      <w:r w:rsidR="008125AA" w:rsidRPr="00E046E7">
        <w:rPr>
          <w:rFonts w:eastAsia="MS Mincho"/>
          <w:lang w:val="fr-FR"/>
        </w:rPr>
        <w:t xml:space="preserve"> </w:t>
      </w:r>
      <w:r w:rsidRPr="00E046E7">
        <w:rPr>
          <w:rFonts w:eastAsia="MS Mincho"/>
          <w:lang w:val="fr-FR"/>
        </w:rPr>
        <w:t>en cause</w:t>
      </w:r>
      <w:r w:rsidR="008125AA" w:rsidRPr="00E046E7">
        <w:rPr>
          <w:rFonts w:eastAsia="MS Mincho"/>
          <w:lang w:val="fr-FR"/>
        </w:rPr>
        <w:t>.</w:t>
      </w:r>
      <w:r w:rsidRPr="00E046E7">
        <w:rPr>
          <w:rFonts w:eastAsia="MS Mincho"/>
          <w:lang w:val="fr-FR"/>
        </w:rPr>
        <w:t xml:space="preserve"> </w:t>
      </w:r>
      <w:r w:rsidR="00AF6FA9">
        <w:rPr>
          <w:rFonts w:eastAsia="MS Mincho"/>
          <w:lang w:val="fr-FR"/>
        </w:rPr>
        <w:t>Dans la mesure où l</w:t>
      </w:r>
      <w:r w:rsidR="00BD2801">
        <w:rPr>
          <w:rFonts w:eastAsia="MS Mincho"/>
          <w:lang w:val="fr-FR"/>
        </w:rPr>
        <w:t>’</w:t>
      </w:r>
      <w:r w:rsidRPr="00E046E7">
        <w:rPr>
          <w:rFonts w:eastAsia="MS Mincho"/>
          <w:lang w:val="fr-FR"/>
        </w:rPr>
        <w:t xml:space="preserve">évaluation </w:t>
      </w:r>
      <w:r w:rsidR="00AF6FA9">
        <w:rPr>
          <w:rFonts w:eastAsia="MS Mincho"/>
          <w:lang w:val="fr-FR"/>
        </w:rPr>
        <w:t xml:space="preserve">est </w:t>
      </w:r>
      <w:r w:rsidR="000074EA" w:rsidRPr="00E046E7">
        <w:rPr>
          <w:rFonts w:eastAsia="MS Mincho"/>
          <w:lang w:val="fr-FR"/>
        </w:rPr>
        <w:t>destinée à un public large et varié et reconnai</w:t>
      </w:r>
      <w:r w:rsidR="00660B3B">
        <w:rPr>
          <w:rFonts w:eastAsia="MS Mincho"/>
          <w:lang w:val="fr-FR"/>
        </w:rPr>
        <w:t xml:space="preserve">t </w:t>
      </w:r>
      <w:r w:rsidR="000074EA" w:rsidRPr="00E046E7">
        <w:rPr>
          <w:rFonts w:eastAsia="MS Mincho"/>
          <w:lang w:val="fr-FR"/>
        </w:rPr>
        <w:t>la nécessité de</w:t>
      </w:r>
      <w:r w:rsidR="001F242E">
        <w:rPr>
          <w:rFonts w:eastAsia="MS Mincho"/>
          <w:lang w:val="fr-FR"/>
        </w:rPr>
        <w:t> </w:t>
      </w:r>
      <w:r w:rsidR="000074EA" w:rsidRPr="00E046E7">
        <w:rPr>
          <w:rFonts w:eastAsia="MS Mincho"/>
          <w:lang w:val="fr-FR"/>
        </w:rPr>
        <w:t>faire participer un large éventail d</w:t>
      </w:r>
      <w:r w:rsidR="00BD2801">
        <w:rPr>
          <w:rFonts w:eastAsia="MS Mincho"/>
          <w:lang w:val="fr-FR"/>
        </w:rPr>
        <w:t>’</w:t>
      </w:r>
      <w:r w:rsidR="000074EA" w:rsidRPr="00E046E7">
        <w:rPr>
          <w:rFonts w:eastAsia="MS Mincho"/>
          <w:lang w:val="fr-FR"/>
        </w:rPr>
        <w:t>acteurs et de communautés aux changements transformateurs</w:t>
      </w:r>
      <w:r w:rsidR="008125AA" w:rsidRPr="00E046E7">
        <w:rPr>
          <w:rFonts w:eastAsia="MS Mincho"/>
          <w:lang w:val="fr-FR"/>
        </w:rPr>
        <w:t>,</w:t>
      </w:r>
      <w:r w:rsidR="000074EA" w:rsidRPr="00E046E7">
        <w:rPr>
          <w:rFonts w:eastAsia="MS Mincho"/>
          <w:lang w:val="fr-FR"/>
        </w:rPr>
        <w:t xml:space="preserve"> chaque chapitre comprendra une évaluation d</w:t>
      </w:r>
      <w:r w:rsidR="00BD2801">
        <w:rPr>
          <w:rFonts w:eastAsia="MS Mincho"/>
          <w:lang w:val="fr-FR"/>
        </w:rPr>
        <w:t>’</w:t>
      </w:r>
      <w:r w:rsidR="00560E7D">
        <w:rPr>
          <w:rFonts w:eastAsia="MS Mincho"/>
          <w:lang w:val="fr-FR"/>
        </w:rPr>
        <w:t xml:space="preserve">un grand nombre de </w:t>
      </w:r>
      <w:r w:rsidR="000074EA" w:rsidRPr="00E046E7">
        <w:rPr>
          <w:rFonts w:eastAsia="MS Mincho"/>
          <w:lang w:val="fr-FR"/>
        </w:rPr>
        <w:t>valeurs</w:t>
      </w:r>
      <w:r w:rsidR="008125AA" w:rsidRPr="00E046E7">
        <w:rPr>
          <w:rFonts w:eastAsia="MS Mincho"/>
          <w:lang w:val="fr-FR"/>
        </w:rPr>
        <w:t xml:space="preserve">, </w:t>
      </w:r>
      <w:r w:rsidR="000074EA" w:rsidRPr="00E046E7">
        <w:rPr>
          <w:rFonts w:eastAsia="MS Mincho"/>
          <w:lang w:val="fr-FR"/>
        </w:rPr>
        <w:t>des perspectives disciplinaires pertinentes, des systèmes de connaissances, de</w:t>
      </w:r>
      <w:r w:rsidR="00AE5418">
        <w:rPr>
          <w:rFonts w:eastAsia="MS Mincho"/>
          <w:lang w:val="fr-FR"/>
        </w:rPr>
        <w:t>s</w:t>
      </w:r>
      <w:r w:rsidR="000074EA" w:rsidRPr="00E046E7">
        <w:rPr>
          <w:rFonts w:eastAsia="MS Mincho"/>
          <w:lang w:val="fr-FR"/>
        </w:rPr>
        <w:t xml:space="preserve"> voies de développement et des rôles des</w:t>
      </w:r>
      <w:r w:rsidR="001F242E">
        <w:rPr>
          <w:rFonts w:eastAsia="MS Mincho"/>
          <w:lang w:val="fr-FR"/>
        </w:rPr>
        <w:t> </w:t>
      </w:r>
      <w:r w:rsidR="000074EA" w:rsidRPr="00E046E7">
        <w:rPr>
          <w:rFonts w:eastAsia="MS Mincho"/>
          <w:lang w:val="fr-FR"/>
        </w:rPr>
        <w:t xml:space="preserve">différents </w:t>
      </w:r>
      <w:r w:rsidR="000074EA" w:rsidRPr="00BD2801">
        <w:rPr>
          <w:rFonts w:eastAsia="MS Mincho"/>
        </w:rPr>
        <w:t>acteurs</w:t>
      </w:r>
      <w:r w:rsidR="008125AA" w:rsidRPr="00E046E7">
        <w:rPr>
          <w:rFonts w:eastAsia="MS Mincho"/>
          <w:lang w:val="fr-FR"/>
        </w:rPr>
        <w:t>.</w:t>
      </w:r>
      <w:r w:rsidR="000074EA" w:rsidRPr="00E046E7">
        <w:rPr>
          <w:rFonts w:eastAsia="MS Mincho"/>
          <w:lang w:val="fr-FR"/>
        </w:rPr>
        <w:t xml:space="preserve"> Les changements transformateurs </w:t>
      </w:r>
      <w:r w:rsidR="008F0DD8" w:rsidRPr="00E046E7">
        <w:rPr>
          <w:rFonts w:eastAsia="MS Mincho"/>
          <w:lang w:val="fr-FR"/>
        </w:rPr>
        <w:t>impliquent également des arbitrages, des</w:t>
      </w:r>
      <w:r w:rsidR="001F242E">
        <w:rPr>
          <w:rFonts w:eastAsia="MS Mincho"/>
          <w:lang w:val="fr-FR"/>
        </w:rPr>
        <w:t> </w:t>
      </w:r>
      <w:r w:rsidR="008F0DD8" w:rsidRPr="00E046E7">
        <w:rPr>
          <w:rFonts w:eastAsia="MS Mincho"/>
          <w:lang w:val="fr-FR"/>
        </w:rPr>
        <w:t>choix, des synergies, des incidences sur l</w:t>
      </w:r>
      <w:r w:rsidR="00BD2801">
        <w:rPr>
          <w:rFonts w:eastAsia="MS Mincho"/>
          <w:lang w:val="fr-FR"/>
        </w:rPr>
        <w:t>’</w:t>
      </w:r>
      <w:r w:rsidR="008F0DD8" w:rsidRPr="00E046E7">
        <w:rPr>
          <w:rFonts w:eastAsia="MS Mincho"/>
          <w:lang w:val="fr-FR"/>
        </w:rPr>
        <w:t>équité et des</w:t>
      </w:r>
      <w:r w:rsidR="008125AA" w:rsidRPr="00E046E7">
        <w:rPr>
          <w:rFonts w:eastAsia="MS Mincho"/>
          <w:lang w:val="fr-FR"/>
        </w:rPr>
        <w:t xml:space="preserve"> tensions</w:t>
      </w:r>
      <w:r w:rsidR="00734B6D">
        <w:rPr>
          <w:rFonts w:eastAsia="MS Mincho"/>
          <w:lang w:val="fr-FR"/>
        </w:rPr>
        <w:t xml:space="preserve">, </w:t>
      </w:r>
      <w:r w:rsidR="00561003">
        <w:rPr>
          <w:rFonts w:eastAsia="MS Mincho"/>
          <w:lang w:val="fr-FR"/>
        </w:rPr>
        <w:t>dont l</w:t>
      </w:r>
      <w:r w:rsidR="00BD2801">
        <w:rPr>
          <w:rFonts w:eastAsia="MS Mincho"/>
          <w:lang w:val="fr-FR"/>
        </w:rPr>
        <w:t>’</w:t>
      </w:r>
      <w:r w:rsidR="008F0DD8" w:rsidRPr="00E046E7">
        <w:rPr>
          <w:rFonts w:eastAsia="MS Mincho"/>
          <w:lang w:val="fr-FR"/>
        </w:rPr>
        <w:t>évaluation traitera</w:t>
      </w:r>
      <w:r w:rsidR="008125AA" w:rsidRPr="00E046E7">
        <w:rPr>
          <w:rFonts w:eastAsia="MS Mincho"/>
          <w:lang w:val="fr-FR"/>
        </w:rPr>
        <w:t xml:space="preserve">. </w:t>
      </w:r>
      <w:r w:rsidR="008F0DD8" w:rsidRPr="00E046E7">
        <w:rPr>
          <w:rFonts w:eastAsia="MS Mincho"/>
          <w:lang w:val="fr-FR"/>
        </w:rPr>
        <w:t>Elle</w:t>
      </w:r>
      <w:r w:rsidR="001F242E">
        <w:rPr>
          <w:rFonts w:eastAsia="MS Mincho"/>
          <w:lang w:val="fr-FR"/>
        </w:rPr>
        <w:t> </w:t>
      </w:r>
      <w:r w:rsidR="008F0DD8" w:rsidRPr="00E046E7">
        <w:rPr>
          <w:rFonts w:eastAsia="MS Mincho"/>
          <w:lang w:val="fr-FR"/>
        </w:rPr>
        <w:t xml:space="preserve">présentera des connaissances utiles dans la pratique et des </w:t>
      </w:r>
      <w:r w:rsidR="009C4FDA">
        <w:rPr>
          <w:rFonts w:eastAsia="MS Mincho"/>
          <w:lang w:val="fr-FR"/>
        </w:rPr>
        <w:t>possibilités d</w:t>
      </w:r>
      <w:r w:rsidR="00BD2801">
        <w:rPr>
          <w:rFonts w:eastAsia="MS Mincho"/>
          <w:lang w:val="fr-FR"/>
        </w:rPr>
        <w:t>’</w:t>
      </w:r>
      <w:r w:rsidR="009C4FDA">
        <w:rPr>
          <w:rFonts w:eastAsia="MS Mincho"/>
          <w:lang w:val="fr-FR"/>
        </w:rPr>
        <w:t xml:space="preserve">action </w:t>
      </w:r>
      <w:r w:rsidR="008F0DD8" w:rsidRPr="00E046E7">
        <w:rPr>
          <w:rFonts w:eastAsia="MS Mincho"/>
          <w:lang w:val="fr-FR"/>
        </w:rPr>
        <w:t>qui ouvrent des</w:t>
      </w:r>
      <w:r w:rsidR="001F242E">
        <w:rPr>
          <w:rFonts w:eastAsia="MS Mincho"/>
          <w:lang w:val="fr-FR"/>
        </w:rPr>
        <w:t> </w:t>
      </w:r>
      <w:r w:rsidR="008F0DD8" w:rsidRPr="00E046E7">
        <w:rPr>
          <w:rFonts w:eastAsia="MS Mincho"/>
          <w:lang w:val="fr-FR"/>
        </w:rPr>
        <w:t>voies vers un avenir durable et équitable</w:t>
      </w:r>
      <w:r w:rsidR="008125AA" w:rsidRPr="00E046E7">
        <w:rPr>
          <w:rFonts w:eastAsia="MS Mincho"/>
          <w:lang w:val="fr-FR"/>
        </w:rPr>
        <w:t>.</w:t>
      </w:r>
    </w:p>
    <w:p w14:paraId="7CCFEFD2" w14:textId="0E2CE1E3" w:rsidR="008125AA" w:rsidRPr="00E046E7" w:rsidRDefault="008125AA" w:rsidP="00BD2801">
      <w:pPr>
        <w:pStyle w:val="Normalnumber"/>
        <w:rPr>
          <w:rFonts w:eastAsia="Calibri"/>
          <w:color w:val="000000"/>
          <w:lang w:val="fr-FR"/>
        </w:rPr>
      </w:pPr>
      <w:r w:rsidRPr="00E046E7">
        <w:rPr>
          <w:b/>
          <w:bCs/>
          <w:lang w:val="fr-FR"/>
        </w:rPr>
        <w:t>Chap</w:t>
      </w:r>
      <w:r w:rsidR="008F0DD8" w:rsidRPr="00E046E7">
        <w:rPr>
          <w:b/>
          <w:bCs/>
          <w:lang w:val="fr-FR"/>
        </w:rPr>
        <w:t>itre </w:t>
      </w:r>
      <w:r w:rsidRPr="00E046E7">
        <w:rPr>
          <w:b/>
          <w:bCs/>
          <w:lang w:val="fr-FR"/>
        </w:rPr>
        <w:t>1</w:t>
      </w:r>
      <w:r w:rsidR="008F0DD8" w:rsidRPr="00E046E7">
        <w:rPr>
          <w:b/>
          <w:bCs/>
          <w:lang w:val="fr-FR"/>
        </w:rPr>
        <w:t> </w:t>
      </w:r>
      <w:r w:rsidRPr="00E046E7">
        <w:rPr>
          <w:b/>
          <w:bCs/>
          <w:lang w:val="fr-FR"/>
        </w:rPr>
        <w:t xml:space="preserve">: </w:t>
      </w:r>
      <w:r w:rsidR="001037AE" w:rsidRPr="00E046E7">
        <w:rPr>
          <w:rFonts w:eastAsia="Calibri"/>
          <w:b/>
          <w:bCs/>
          <w:color w:val="000000"/>
          <w:lang w:val="fr-FR"/>
        </w:rPr>
        <w:t>C</w:t>
      </w:r>
      <w:r w:rsidR="008F0DD8" w:rsidRPr="00E046E7">
        <w:rPr>
          <w:rFonts w:eastAsia="Calibri"/>
          <w:b/>
          <w:bCs/>
          <w:color w:val="000000"/>
          <w:lang w:val="fr-FR"/>
        </w:rPr>
        <w:t xml:space="preserve">hangements transformateurs et </w:t>
      </w:r>
      <w:r w:rsidR="00AE5418">
        <w:rPr>
          <w:rFonts w:eastAsia="Calibri"/>
          <w:b/>
          <w:bCs/>
          <w:color w:val="000000"/>
          <w:lang w:val="fr-FR"/>
        </w:rPr>
        <w:t xml:space="preserve">un </w:t>
      </w:r>
      <w:r w:rsidR="008F0DD8" w:rsidRPr="00E046E7">
        <w:rPr>
          <w:rFonts w:eastAsia="Calibri"/>
          <w:b/>
          <w:bCs/>
          <w:color w:val="000000"/>
          <w:lang w:val="fr-FR"/>
        </w:rPr>
        <w:t>monde durable</w:t>
      </w:r>
      <w:r w:rsidRPr="00E046E7">
        <w:rPr>
          <w:rFonts w:eastAsia="Calibri"/>
          <w:b/>
          <w:bCs/>
          <w:color w:val="000000"/>
          <w:lang w:val="fr-FR"/>
        </w:rPr>
        <w:t>.</w:t>
      </w:r>
      <w:r w:rsidRPr="001F242E">
        <w:rPr>
          <w:rFonts w:eastAsia="Calibri"/>
          <w:color w:val="000000"/>
          <w:lang w:val="fr-FR"/>
        </w:rPr>
        <w:t xml:space="preserve"> </w:t>
      </w:r>
      <w:r w:rsidR="008F0DD8" w:rsidRPr="00E046E7">
        <w:rPr>
          <w:rFonts w:eastAsia="Calibri"/>
          <w:color w:val="000000"/>
          <w:lang w:val="fr-FR"/>
        </w:rPr>
        <w:t>Le chapitre </w:t>
      </w:r>
      <w:r w:rsidRPr="00E046E7">
        <w:rPr>
          <w:rFonts w:eastAsia="Calibri"/>
          <w:color w:val="000000"/>
          <w:lang w:val="fr-FR"/>
        </w:rPr>
        <w:t xml:space="preserve">1 </w:t>
      </w:r>
      <w:r w:rsidR="008F0DD8" w:rsidRPr="00E046E7">
        <w:rPr>
          <w:rFonts w:eastAsia="Calibri"/>
          <w:color w:val="000000"/>
          <w:lang w:val="fr-FR"/>
        </w:rPr>
        <w:t xml:space="preserve">présentera des données factuelles concernant la nécessité des changements transformateurs, expliquera </w:t>
      </w:r>
      <w:r w:rsidR="006F5F0C" w:rsidRPr="00E046E7">
        <w:rPr>
          <w:rFonts w:eastAsia="Calibri"/>
          <w:color w:val="000000"/>
          <w:lang w:val="fr-FR"/>
        </w:rPr>
        <w:t xml:space="preserve">ce </w:t>
      </w:r>
      <w:r w:rsidR="00AE5418">
        <w:rPr>
          <w:rFonts w:eastAsia="Calibri"/>
          <w:color w:val="000000"/>
          <w:lang w:val="fr-FR"/>
        </w:rPr>
        <w:t>qu</w:t>
      </w:r>
      <w:r w:rsidR="00BD2801">
        <w:rPr>
          <w:rFonts w:eastAsia="Calibri"/>
          <w:color w:val="000000"/>
          <w:lang w:val="fr-FR"/>
        </w:rPr>
        <w:t>’</w:t>
      </w:r>
      <w:r w:rsidR="00AE5418">
        <w:rPr>
          <w:rFonts w:eastAsia="Calibri"/>
          <w:color w:val="000000"/>
          <w:lang w:val="fr-FR"/>
        </w:rPr>
        <w:t>on</w:t>
      </w:r>
      <w:r w:rsidR="001F242E">
        <w:rPr>
          <w:rFonts w:eastAsia="Calibri"/>
          <w:color w:val="000000"/>
          <w:lang w:val="fr-FR"/>
        </w:rPr>
        <w:t> </w:t>
      </w:r>
      <w:r w:rsidR="00AE5418">
        <w:rPr>
          <w:rFonts w:eastAsia="Calibri"/>
          <w:color w:val="000000"/>
          <w:lang w:val="fr-FR"/>
        </w:rPr>
        <w:t xml:space="preserve">entend par </w:t>
      </w:r>
      <w:r w:rsidR="006F5F0C" w:rsidRPr="00E046E7">
        <w:rPr>
          <w:rFonts w:eastAsia="Calibri"/>
          <w:color w:val="000000"/>
          <w:lang w:val="fr-FR"/>
        </w:rPr>
        <w:t xml:space="preserve">changements transformateurs, si et de quelle manière ils diffèrent des changements graduels </w:t>
      </w:r>
      <w:r w:rsidR="006F5F0C" w:rsidRPr="00BD2801">
        <w:rPr>
          <w:rFonts w:eastAsia="MS Mincho"/>
        </w:rPr>
        <w:t>et</w:t>
      </w:r>
      <w:r w:rsidR="006F5F0C" w:rsidRPr="00E046E7">
        <w:rPr>
          <w:rFonts w:eastAsia="Calibri"/>
          <w:color w:val="000000"/>
          <w:lang w:val="fr-FR"/>
        </w:rPr>
        <w:t xml:space="preserve"> quels types de changements transformateurs pourraient</w:t>
      </w:r>
      <w:r w:rsidRPr="00E046E7">
        <w:rPr>
          <w:color w:val="000000"/>
          <w:lang w:val="fr-FR" w:eastAsia="de-DE"/>
        </w:rPr>
        <w:t xml:space="preserve"> </w:t>
      </w:r>
      <w:r w:rsidR="006F5F0C" w:rsidRPr="00E046E7">
        <w:rPr>
          <w:color w:val="000000"/>
          <w:lang w:val="fr-FR" w:eastAsia="de-DE"/>
        </w:rPr>
        <w:t>favoriser la réalisation des objectifs de développement durable et de la Vision </w:t>
      </w:r>
      <w:r w:rsidRPr="00E046E7">
        <w:rPr>
          <w:color w:val="000000"/>
          <w:lang w:val="fr-FR" w:eastAsia="de-DE"/>
        </w:rPr>
        <w:t xml:space="preserve">2050 </w:t>
      </w:r>
      <w:r w:rsidR="006F5F0C" w:rsidRPr="00E046E7">
        <w:rPr>
          <w:color w:val="000000"/>
          <w:lang w:val="fr-FR" w:eastAsia="de-DE"/>
        </w:rPr>
        <w:t>pour la biodiversité</w:t>
      </w:r>
      <w:r w:rsidRPr="00E046E7">
        <w:rPr>
          <w:color w:val="000000"/>
          <w:lang w:val="fr-FR" w:eastAsia="de-DE"/>
        </w:rPr>
        <w:t>.</w:t>
      </w:r>
      <w:r w:rsidR="006F5F0C" w:rsidRPr="00E046E7">
        <w:rPr>
          <w:color w:val="000000"/>
          <w:lang w:val="fr-FR" w:eastAsia="de-DE"/>
        </w:rPr>
        <w:t xml:space="preserve"> Le chapitre examinera également les conséquences de l</w:t>
      </w:r>
      <w:r w:rsidR="00BD2801">
        <w:rPr>
          <w:color w:val="000000"/>
          <w:lang w:val="fr-FR" w:eastAsia="de-DE"/>
        </w:rPr>
        <w:t>’</w:t>
      </w:r>
      <w:r w:rsidR="006F5F0C" w:rsidRPr="00E046E7">
        <w:rPr>
          <w:color w:val="000000"/>
          <w:lang w:val="fr-FR" w:eastAsia="de-DE"/>
        </w:rPr>
        <w:t>absence de changements transformateurs</w:t>
      </w:r>
      <w:r w:rsidRPr="00E046E7">
        <w:rPr>
          <w:color w:val="000000"/>
          <w:lang w:val="fr-FR" w:eastAsia="de-DE"/>
        </w:rPr>
        <w:t>.</w:t>
      </w:r>
      <w:r w:rsidR="006F5F0C" w:rsidRPr="00E046E7">
        <w:rPr>
          <w:color w:val="000000"/>
          <w:lang w:val="fr-FR" w:eastAsia="de-DE"/>
        </w:rPr>
        <w:t xml:space="preserve"> Il contiendra un énoncé du problème fondé sur des données factuelles </w:t>
      </w:r>
      <w:r w:rsidR="00FD369E">
        <w:rPr>
          <w:color w:val="000000"/>
          <w:lang w:val="fr-FR" w:eastAsia="de-DE"/>
        </w:rPr>
        <w:t>ainsi que</w:t>
      </w:r>
      <w:r w:rsidR="006F5F0C" w:rsidRPr="00E046E7">
        <w:rPr>
          <w:color w:val="000000"/>
          <w:lang w:val="fr-FR" w:eastAsia="de-DE"/>
        </w:rPr>
        <w:t xml:space="preserve"> des appels </w:t>
      </w:r>
      <w:r w:rsidR="00FD369E">
        <w:rPr>
          <w:color w:val="000000"/>
          <w:lang w:val="fr-FR" w:eastAsia="de-DE"/>
        </w:rPr>
        <w:t>provenant d</w:t>
      </w:r>
      <w:r w:rsidR="00BD2801">
        <w:rPr>
          <w:color w:val="000000"/>
          <w:lang w:val="fr-FR" w:eastAsia="de-DE"/>
        </w:rPr>
        <w:t>’</w:t>
      </w:r>
      <w:r w:rsidR="00A81FDE" w:rsidRPr="00E046E7">
        <w:rPr>
          <w:color w:val="000000"/>
          <w:lang w:val="fr-FR" w:eastAsia="de-DE"/>
        </w:rPr>
        <w:t>évaluations</w:t>
      </w:r>
      <w:r w:rsidR="00AE5418">
        <w:rPr>
          <w:color w:val="000000"/>
          <w:lang w:val="fr-FR" w:eastAsia="de-DE"/>
        </w:rPr>
        <w:t xml:space="preserve"> déjà</w:t>
      </w:r>
      <w:r w:rsidR="00A81FDE" w:rsidRPr="00E046E7">
        <w:rPr>
          <w:color w:val="000000"/>
          <w:lang w:val="fr-FR" w:eastAsia="de-DE"/>
        </w:rPr>
        <w:t xml:space="preserve"> réalisées par la</w:t>
      </w:r>
      <w:r w:rsidR="001F242E">
        <w:rPr>
          <w:color w:val="000000"/>
          <w:lang w:val="fr-FR" w:eastAsia="de-DE"/>
        </w:rPr>
        <w:t> </w:t>
      </w:r>
      <w:r w:rsidR="00A81FDE" w:rsidRPr="00E046E7">
        <w:rPr>
          <w:color w:val="000000"/>
          <w:lang w:val="fr-FR" w:eastAsia="de-DE"/>
        </w:rPr>
        <w:t xml:space="preserve">Plateforme </w:t>
      </w:r>
      <w:r w:rsidR="00FD369E">
        <w:rPr>
          <w:color w:val="000000"/>
          <w:lang w:val="fr-FR" w:eastAsia="de-DE"/>
        </w:rPr>
        <w:t>et</w:t>
      </w:r>
      <w:r w:rsidR="00A81FDE" w:rsidRPr="00E046E7">
        <w:rPr>
          <w:color w:val="000000"/>
          <w:lang w:val="fr-FR" w:eastAsia="de-DE"/>
        </w:rPr>
        <w:t xml:space="preserve"> d</w:t>
      </w:r>
      <w:r w:rsidR="00BD2801">
        <w:rPr>
          <w:color w:val="000000"/>
          <w:lang w:val="fr-FR" w:eastAsia="de-DE"/>
        </w:rPr>
        <w:t>’</w:t>
      </w:r>
      <w:r w:rsidR="00A81FDE" w:rsidRPr="00E046E7">
        <w:rPr>
          <w:color w:val="000000"/>
          <w:lang w:val="fr-FR" w:eastAsia="de-DE"/>
        </w:rPr>
        <w:t xml:space="preserve">évaluations et </w:t>
      </w:r>
      <w:r w:rsidR="00FD369E">
        <w:rPr>
          <w:color w:val="000000"/>
          <w:lang w:val="fr-FR" w:eastAsia="de-DE"/>
        </w:rPr>
        <w:t xml:space="preserve">de </w:t>
      </w:r>
      <w:r w:rsidR="00A81FDE" w:rsidRPr="00E046E7">
        <w:rPr>
          <w:color w:val="000000"/>
          <w:lang w:val="fr-FR" w:eastAsia="de-DE"/>
        </w:rPr>
        <w:t>rapports pertinents élaborés par d</w:t>
      </w:r>
      <w:r w:rsidR="00BD2801">
        <w:rPr>
          <w:color w:val="000000"/>
          <w:lang w:val="fr-FR" w:eastAsia="de-DE"/>
        </w:rPr>
        <w:t>’</w:t>
      </w:r>
      <w:r w:rsidR="00A81FDE" w:rsidRPr="00E046E7">
        <w:rPr>
          <w:color w:val="000000"/>
          <w:lang w:val="fr-FR" w:eastAsia="de-DE"/>
        </w:rPr>
        <w:t>autres, notamment dans le cadre d</w:t>
      </w:r>
      <w:r w:rsidR="00BD2801">
        <w:rPr>
          <w:color w:val="000000"/>
          <w:lang w:val="fr-FR" w:eastAsia="de-DE"/>
        </w:rPr>
        <w:t>’</w:t>
      </w:r>
      <w:r w:rsidR="00A81FDE" w:rsidRPr="00E046E7">
        <w:rPr>
          <w:color w:val="000000"/>
          <w:lang w:val="fr-FR" w:eastAsia="de-DE"/>
        </w:rPr>
        <w:t>accords multilatéraux sur l</w:t>
      </w:r>
      <w:r w:rsidR="00BD2801">
        <w:rPr>
          <w:color w:val="000000"/>
          <w:lang w:val="fr-FR" w:eastAsia="de-DE"/>
        </w:rPr>
        <w:t>’</w:t>
      </w:r>
      <w:r w:rsidR="00A81FDE" w:rsidRPr="00E046E7">
        <w:rPr>
          <w:color w:val="000000"/>
          <w:lang w:val="fr-FR" w:eastAsia="de-DE"/>
        </w:rPr>
        <w:t>environnement</w:t>
      </w:r>
      <w:r w:rsidRPr="00E046E7">
        <w:rPr>
          <w:rFonts w:eastAsia="Calibri"/>
          <w:color w:val="000000"/>
          <w:lang w:val="fr-FR"/>
        </w:rPr>
        <w:t>.</w:t>
      </w:r>
      <w:r w:rsidR="00A81FDE" w:rsidRPr="00E046E7">
        <w:rPr>
          <w:rFonts w:eastAsia="Calibri"/>
          <w:color w:val="000000"/>
          <w:lang w:val="fr-FR"/>
        </w:rPr>
        <w:t xml:space="preserve"> Le chapitre étudiera la manière dont il convient de traiter, dans le contexte des changements transformateurs, les facteurs directs et indirects de l</w:t>
      </w:r>
      <w:r w:rsidR="00BD2801">
        <w:rPr>
          <w:rFonts w:eastAsia="Calibri"/>
          <w:color w:val="000000"/>
          <w:lang w:val="fr-FR"/>
        </w:rPr>
        <w:t>’</w:t>
      </w:r>
      <w:r w:rsidR="00A81FDE" w:rsidRPr="00E046E7">
        <w:rPr>
          <w:rFonts w:eastAsia="Calibri"/>
          <w:color w:val="000000"/>
          <w:lang w:val="fr-FR"/>
        </w:rPr>
        <w:t>érosion de la biodiversité et de la détérioration de la nature</w:t>
      </w:r>
      <w:r w:rsidRPr="00E046E7">
        <w:rPr>
          <w:rFonts w:eastAsia="Calibri"/>
          <w:color w:val="000000"/>
          <w:lang w:val="fr-FR"/>
        </w:rPr>
        <w:t>,</w:t>
      </w:r>
      <w:r w:rsidR="00A81FDE" w:rsidRPr="00E046E7">
        <w:rPr>
          <w:rFonts w:eastAsia="Calibri"/>
          <w:color w:val="000000"/>
          <w:lang w:val="fr-FR"/>
        </w:rPr>
        <w:t xml:space="preserve"> y compris les changements climatiques ainsi que les inégalités en matière de développement et d</w:t>
      </w:r>
      <w:r w:rsidR="00BD2801">
        <w:rPr>
          <w:rFonts w:eastAsia="Calibri"/>
          <w:color w:val="000000"/>
          <w:lang w:val="fr-FR"/>
        </w:rPr>
        <w:t>’</w:t>
      </w:r>
      <w:r w:rsidR="00A81FDE" w:rsidRPr="00E046E7">
        <w:rPr>
          <w:rFonts w:eastAsia="Calibri"/>
          <w:color w:val="000000"/>
          <w:lang w:val="fr-FR"/>
        </w:rPr>
        <w:t>environnement, et d</w:t>
      </w:r>
      <w:r w:rsidR="00BD2801">
        <w:rPr>
          <w:rFonts w:eastAsia="Calibri"/>
          <w:color w:val="000000"/>
          <w:lang w:val="fr-FR"/>
        </w:rPr>
        <w:t>’</w:t>
      </w:r>
      <w:r w:rsidR="00A81FDE" w:rsidRPr="00E046E7">
        <w:rPr>
          <w:rFonts w:eastAsia="Calibri"/>
          <w:color w:val="000000"/>
          <w:lang w:val="fr-FR"/>
        </w:rPr>
        <w:t>inverser l</w:t>
      </w:r>
      <w:r w:rsidR="00BD2801">
        <w:rPr>
          <w:rFonts w:eastAsia="Calibri"/>
          <w:color w:val="000000"/>
          <w:lang w:val="fr-FR"/>
        </w:rPr>
        <w:t>’</w:t>
      </w:r>
      <w:r w:rsidR="00A81FDE" w:rsidRPr="00E046E7">
        <w:rPr>
          <w:rFonts w:eastAsia="Calibri"/>
          <w:color w:val="000000"/>
          <w:lang w:val="fr-FR"/>
        </w:rPr>
        <w:t>érosion de la</w:t>
      </w:r>
      <w:r w:rsidR="001F242E">
        <w:rPr>
          <w:rFonts w:eastAsia="Calibri"/>
          <w:color w:val="000000"/>
          <w:lang w:val="fr-FR"/>
        </w:rPr>
        <w:t> </w:t>
      </w:r>
      <w:r w:rsidR="00A81FDE" w:rsidRPr="00E046E7">
        <w:rPr>
          <w:rFonts w:eastAsia="Calibri"/>
          <w:color w:val="000000"/>
          <w:lang w:val="fr-FR"/>
        </w:rPr>
        <w:t>biodiversité et de restaurer la</w:t>
      </w:r>
      <w:r w:rsidRPr="00E046E7">
        <w:rPr>
          <w:rFonts w:eastAsia="Calibri"/>
          <w:color w:val="000000"/>
          <w:lang w:val="fr-FR"/>
        </w:rPr>
        <w:t xml:space="preserve"> nature </w:t>
      </w:r>
      <w:r w:rsidR="00FD369E">
        <w:rPr>
          <w:rFonts w:eastAsia="Calibri"/>
          <w:color w:val="000000"/>
          <w:lang w:val="fr-FR"/>
        </w:rPr>
        <w:t>ainsi que</w:t>
      </w:r>
      <w:r w:rsidR="00A81FDE" w:rsidRPr="00E046E7">
        <w:rPr>
          <w:rFonts w:eastAsia="Calibri"/>
          <w:color w:val="000000"/>
          <w:lang w:val="fr-FR"/>
        </w:rPr>
        <w:t xml:space="preserve"> ses </w:t>
      </w:r>
      <w:r w:rsidRPr="00E046E7">
        <w:rPr>
          <w:rFonts w:eastAsia="Calibri"/>
          <w:color w:val="000000"/>
          <w:lang w:val="fr-FR"/>
        </w:rPr>
        <w:t xml:space="preserve">contributions </w:t>
      </w:r>
      <w:r w:rsidR="00A81FDE" w:rsidRPr="00E046E7">
        <w:rPr>
          <w:rFonts w:eastAsia="Calibri"/>
          <w:color w:val="000000"/>
          <w:lang w:val="fr-FR"/>
        </w:rPr>
        <w:t>aux populations</w:t>
      </w:r>
      <w:r w:rsidRPr="00E046E7">
        <w:rPr>
          <w:rFonts w:eastAsia="Calibri"/>
          <w:color w:val="000000"/>
          <w:lang w:val="fr-FR"/>
        </w:rPr>
        <w:t>.</w:t>
      </w:r>
      <w:r w:rsidR="00A81FDE" w:rsidRPr="00E046E7">
        <w:rPr>
          <w:rFonts w:eastAsia="Calibri"/>
          <w:color w:val="000000"/>
          <w:lang w:val="fr-FR"/>
        </w:rPr>
        <w:t xml:space="preserve"> Le chapitre examinera les incidences des systèmes de production, de l</w:t>
      </w:r>
      <w:r w:rsidR="00BD2801">
        <w:rPr>
          <w:rFonts w:eastAsia="Calibri"/>
          <w:color w:val="000000"/>
          <w:lang w:val="fr-FR"/>
        </w:rPr>
        <w:t>’</w:t>
      </w:r>
      <w:r w:rsidR="00A81FDE" w:rsidRPr="00E046E7">
        <w:rPr>
          <w:rFonts w:eastAsia="Calibri"/>
          <w:color w:val="000000"/>
          <w:lang w:val="fr-FR"/>
        </w:rPr>
        <w:t>utilisation et de l</w:t>
      </w:r>
      <w:r w:rsidR="00BD2801">
        <w:rPr>
          <w:rFonts w:eastAsia="Calibri"/>
          <w:color w:val="000000"/>
          <w:lang w:val="fr-FR"/>
        </w:rPr>
        <w:t>’</w:t>
      </w:r>
      <w:r w:rsidR="00A81FDE" w:rsidRPr="00E046E7">
        <w:rPr>
          <w:rFonts w:eastAsia="Calibri"/>
          <w:color w:val="000000"/>
          <w:lang w:val="fr-FR"/>
        </w:rPr>
        <w:t>extraction des ressources, des flux commerciaux et financiers, de la pollution, de l</w:t>
      </w:r>
      <w:r w:rsidR="00BD2801">
        <w:rPr>
          <w:rFonts w:eastAsia="Calibri"/>
          <w:color w:val="000000"/>
          <w:lang w:val="fr-FR"/>
        </w:rPr>
        <w:t>’</w:t>
      </w:r>
      <w:r w:rsidR="00A81FDE" w:rsidRPr="00E046E7">
        <w:rPr>
          <w:rFonts w:eastAsia="Calibri"/>
          <w:color w:val="000000"/>
          <w:lang w:val="fr-FR"/>
        </w:rPr>
        <w:t>héritage colonial</w:t>
      </w:r>
      <w:r w:rsidR="000C5CF8" w:rsidRPr="00E046E7">
        <w:rPr>
          <w:rFonts w:eastAsia="Calibri"/>
          <w:color w:val="000000"/>
          <w:lang w:val="fr-FR"/>
        </w:rPr>
        <w:t>,</w:t>
      </w:r>
      <w:r w:rsidR="00A81FDE" w:rsidRPr="00E046E7">
        <w:rPr>
          <w:rFonts w:eastAsia="Calibri"/>
          <w:color w:val="000000"/>
          <w:lang w:val="fr-FR"/>
        </w:rPr>
        <w:t xml:space="preserve"> de la dynamique démographique</w:t>
      </w:r>
      <w:r w:rsidR="000C5CF8" w:rsidRPr="00E046E7">
        <w:rPr>
          <w:rFonts w:eastAsia="Calibri"/>
          <w:color w:val="000000"/>
          <w:lang w:val="fr-FR"/>
        </w:rPr>
        <w:t xml:space="preserve"> et des pratiques sociales liées à la nature ainsi que la répartition des avantages matériels et non matériels, </w:t>
      </w:r>
      <w:r w:rsidR="00AE5418">
        <w:rPr>
          <w:rFonts w:eastAsia="Calibri"/>
          <w:color w:val="000000"/>
          <w:lang w:val="fr-FR"/>
        </w:rPr>
        <w:t xml:space="preserve">de </w:t>
      </w:r>
      <w:r w:rsidR="000C5CF8" w:rsidRPr="00E046E7">
        <w:rPr>
          <w:rFonts w:eastAsia="Calibri"/>
          <w:color w:val="000000"/>
          <w:lang w:val="fr-FR"/>
        </w:rPr>
        <w:t xml:space="preserve">la dégradation et </w:t>
      </w:r>
      <w:r w:rsidR="00AE5418">
        <w:rPr>
          <w:rFonts w:eastAsia="Calibri"/>
          <w:color w:val="000000"/>
          <w:lang w:val="fr-FR"/>
        </w:rPr>
        <w:t>d</w:t>
      </w:r>
      <w:r w:rsidR="000C5CF8" w:rsidRPr="00E046E7">
        <w:rPr>
          <w:rFonts w:eastAsia="Calibri"/>
          <w:color w:val="000000"/>
          <w:lang w:val="fr-FR"/>
        </w:rPr>
        <w:t>es vulnérabilités des sociétés du monde entier aux</w:t>
      </w:r>
      <w:r w:rsidR="001F242E">
        <w:rPr>
          <w:rFonts w:eastAsia="Calibri"/>
          <w:color w:val="000000"/>
          <w:lang w:val="fr-FR"/>
        </w:rPr>
        <w:t> </w:t>
      </w:r>
      <w:r w:rsidR="000C5CF8" w:rsidRPr="00E046E7">
        <w:rPr>
          <w:rFonts w:eastAsia="Calibri"/>
          <w:color w:val="000000"/>
          <w:lang w:val="fr-FR"/>
        </w:rPr>
        <w:t>différentes échelles</w:t>
      </w:r>
      <w:r w:rsidRPr="00E046E7">
        <w:rPr>
          <w:rFonts w:eastAsia="Calibri"/>
          <w:color w:val="000000"/>
          <w:lang w:val="fr-FR"/>
        </w:rPr>
        <w:t>.</w:t>
      </w:r>
      <w:r w:rsidR="000C5CF8" w:rsidRPr="00E046E7">
        <w:rPr>
          <w:rFonts w:eastAsia="Calibri"/>
          <w:color w:val="000000"/>
          <w:lang w:val="fr-FR"/>
        </w:rPr>
        <w:t xml:space="preserve"> À partir de cet énoncé du problème, le chapitre </w:t>
      </w:r>
      <w:r w:rsidRPr="00E046E7">
        <w:rPr>
          <w:rFonts w:eastAsia="Calibri"/>
          <w:color w:val="000000"/>
          <w:lang w:val="fr-FR"/>
        </w:rPr>
        <w:t>:</w:t>
      </w:r>
    </w:p>
    <w:p w14:paraId="50303EE7" w14:textId="3C2AEFDF" w:rsidR="008125AA" w:rsidRPr="00E046E7" w:rsidRDefault="002376EE" w:rsidP="0038694E">
      <w:pPr>
        <w:pStyle w:val="Normalnumber"/>
        <w:numPr>
          <w:ilvl w:val="1"/>
          <w:numId w:val="4"/>
        </w:numPr>
        <w:rPr>
          <w:rFonts w:eastAsia="Calibri"/>
          <w:color w:val="000000"/>
          <w:lang w:val="fr-FR"/>
        </w:rPr>
      </w:pPr>
      <w:r>
        <w:rPr>
          <w:rFonts w:eastAsia="Calibri"/>
          <w:b/>
          <w:bCs/>
          <w:color w:val="000000"/>
          <w:lang w:val="fr-FR"/>
        </w:rPr>
        <w:t>Dressera un état des lieux</w:t>
      </w:r>
      <w:r w:rsidR="008125AA" w:rsidRPr="00E046E7">
        <w:rPr>
          <w:rFonts w:eastAsia="Calibri"/>
          <w:color w:val="000000"/>
          <w:lang w:val="fr-FR"/>
        </w:rPr>
        <w:t xml:space="preserve"> </w:t>
      </w:r>
      <w:r w:rsidR="009A783C" w:rsidRPr="00E046E7">
        <w:rPr>
          <w:rFonts w:eastAsia="Calibri"/>
          <w:color w:val="000000"/>
          <w:lang w:val="fr-FR"/>
        </w:rPr>
        <w:t xml:space="preserve">en présentant des informations sur les différentes demandes, conceptualisations et conceptions concernant les changements transformateurs </w:t>
      </w:r>
      <w:r w:rsidR="00AE5418">
        <w:rPr>
          <w:rFonts w:eastAsia="Calibri"/>
          <w:color w:val="000000"/>
          <w:lang w:val="fr-FR"/>
        </w:rPr>
        <w:t xml:space="preserve">émanant </w:t>
      </w:r>
      <w:r w:rsidR="009A783C" w:rsidRPr="00E046E7">
        <w:rPr>
          <w:rFonts w:eastAsia="Calibri"/>
          <w:color w:val="000000"/>
          <w:lang w:val="fr-FR"/>
        </w:rPr>
        <w:t>des forums politiques internationaux et groupes de pays, des décideurs en général, des communautés scientifiques, du secteur privé</w:t>
      </w:r>
      <w:r w:rsidR="008118D9" w:rsidRPr="00E046E7">
        <w:rPr>
          <w:rFonts w:eastAsia="Calibri"/>
          <w:color w:val="000000"/>
          <w:lang w:val="fr-FR"/>
        </w:rPr>
        <w:t xml:space="preserve"> et de la société civile</w:t>
      </w:r>
      <w:r w:rsidR="008125AA" w:rsidRPr="00E046E7">
        <w:rPr>
          <w:lang w:val="fr-FR"/>
        </w:rPr>
        <w:t>,</w:t>
      </w:r>
      <w:r w:rsidR="008118D9" w:rsidRPr="00E046E7">
        <w:rPr>
          <w:lang w:val="fr-FR"/>
        </w:rPr>
        <w:t xml:space="preserve"> y compris les populations autochtones et les communautés locales, les jeunes, les femmes et les organisations non gouvernementales </w:t>
      </w:r>
      <w:r w:rsidR="008125AA" w:rsidRPr="00E046E7">
        <w:rPr>
          <w:rFonts w:eastAsia="Calibri"/>
          <w:color w:val="000000"/>
          <w:lang w:val="fr-FR"/>
        </w:rPr>
        <w:t>;</w:t>
      </w:r>
    </w:p>
    <w:p w14:paraId="65EA083F" w14:textId="4FDB4194" w:rsidR="008125AA" w:rsidRPr="00E046E7" w:rsidRDefault="008125AA" w:rsidP="0038694E">
      <w:pPr>
        <w:pStyle w:val="Normalnumber"/>
        <w:numPr>
          <w:ilvl w:val="1"/>
          <w:numId w:val="4"/>
        </w:numPr>
        <w:rPr>
          <w:rFonts w:eastAsia="Calibri"/>
          <w:color w:val="000000"/>
          <w:lang w:val="fr-FR"/>
        </w:rPr>
      </w:pPr>
      <w:r w:rsidRPr="00E046E7">
        <w:rPr>
          <w:rFonts w:eastAsia="Calibri"/>
          <w:b/>
          <w:bCs/>
          <w:color w:val="000000"/>
          <w:lang w:val="fr-FR"/>
        </w:rPr>
        <w:t>Expl</w:t>
      </w:r>
      <w:r w:rsidR="008118D9" w:rsidRPr="00E046E7">
        <w:rPr>
          <w:rFonts w:eastAsia="Calibri"/>
          <w:b/>
          <w:bCs/>
          <w:color w:val="000000"/>
          <w:lang w:val="fr-FR"/>
        </w:rPr>
        <w:t>iquera les fondements de l</w:t>
      </w:r>
      <w:r w:rsidR="00BD2801">
        <w:rPr>
          <w:rFonts w:eastAsia="Calibri"/>
          <w:b/>
          <w:bCs/>
          <w:color w:val="000000"/>
          <w:lang w:val="fr-FR"/>
        </w:rPr>
        <w:t>’</w:t>
      </w:r>
      <w:r w:rsidR="008118D9" w:rsidRPr="00E046E7">
        <w:rPr>
          <w:rFonts w:eastAsia="Calibri"/>
          <w:b/>
          <w:bCs/>
          <w:color w:val="000000"/>
          <w:lang w:val="fr-FR"/>
        </w:rPr>
        <w:t>évaluation</w:t>
      </w:r>
      <w:r w:rsidRPr="00E046E7">
        <w:rPr>
          <w:rFonts w:eastAsia="Calibri"/>
          <w:color w:val="000000"/>
          <w:lang w:val="fr-FR"/>
        </w:rPr>
        <w:t xml:space="preserve"> </w:t>
      </w:r>
      <w:r w:rsidR="008118D9" w:rsidRPr="00E046E7">
        <w:rPr>
          <w:rFonts w:eastAsia="Calibri"/>
          <w:color w:val="000000"/>
          <w:lang w:val="fr-FR"/>
        </w:rPr>
        <w:t>en présentant son approche méthodologique et la façon dont elle aborde les défis tels que la nature complexe et les incertitudes intrinsèques des relations entre la nature et les populations, la pluralité des valeurs et des systèmes de connaissances ainsi que les lacunes en matière de connaissances </w:t>
      </w:r>
      <w:r w:rsidRPr="00E046E7">
        <w:rPr>
          <w:rFonts w:eastAsia="Calibri"/>
          <w:color w:val="000000"/>
          <w:lang w:val="fr-FR"/>
        </w:rPr>
        <w:t>;</w:t>
      </w:r>
    </w:p>
    <w:p w14:paraId="5E4B3B0B" w14:textId="746F91F7" w:rsidR="008125AA" w:rsidRPr="00E046E7" w:rsidRDefault="008118D9" w:rsidP="0038694E">
      <w:pPr>
        <w:pStyle w:val="Normalnumber"/>
        <w:keepLines/>
        <w:numPr>
          <w:ilvl w:val="1"/>
          <w:numId w:val="4"/>
        </w:numPr>
        <w:rPr>
          <w:rFonts w:eastAsia="Calibri"/>
          <w:color w:val="000000"/>
          <w:lang w:val="fr-FR"/>
        </w:rPr>
      </w:pPr>
      <w:r w:rsidRPr="00E046E7">
        <w:rPr>
          <w:rFonts w:eastAsia="Calibri"/>
          <w:b/>
          <w:bCs/>
          <w:color w:val="000000"/>
          <w:lang w:val="fr-FR"/>
        </w:rPr>
        <w:lastRenderedPageBreak/>
        <w:t>Reconnaîtra les arbitrages associés aux différentes demandes</w:t>
      </w:r>
      <w:r w:rsidR="00A32CD2" w:rsidRPr="00E046E7">
        <w:rPr>
          <w:rFonts w:eastAsia="Calibri"/>
          <w:b/>
          <w:bCs/>
          <w:color w:val="000000"/>
          <w:lang w:val="fr-FR"/>
        </w:rPr>
        <w:t xml:space="preserve"> de changements transformateurs </w:t>
      </w:r>
      <w:r w:rsidR="00A32CD2" w:rsidRPr="00E046E7">
        <w:rPr>
          <w:rFonts w:eastAsia="Calibri"/>
          <w:color w:val="000000"/>
          <w:lang w:val="fr-FR"/>
        </w:rPr>
        <w:t>et la façon dont les valeurs d</w:t>
      </w:r>
      <w:r w:rsidR="00BD2801">
        <w:rPr>
          <w:rFonts w:eastAsia="Calibri"/>
          <w:color w:val="000000"/>
          <w:lang w:val="fr-FR"/>
        </w:rPr>
        <w:t>’</w:t>
      </w:r>
      <w:r w:rsidR="00A32CD2" w:rsidRPr="00E046E7">
        <w:rPr>
          <w:rFonts w:eastAsia="Calibri"/>
          <w:color w:val="000000"/>
          <w:lang w:val="fr-FR"/>
        </w:rPr>
        <w:t>inclusi</w:t>
      </w:r>
      <w:r w:rsidR="00DD2550">
        <w:rPr>
          <w:rFonts w:eastAsia="Calibri"/>
          <w:color w:val="000000"/>
          <w:lang w:val="fr-FR"/>
        </w:rPr>
        <w:t xml:space="preserve">on, </w:t>
      </w:r>
      <w:r w:rsidR="00A32CD2" w:rsidRPr="00E046E7">
        <w:rPr>
          <w:rFonts w:eastAsia="Calibri"/>
          <w:color w:val="000000"/>
          <w:lang w:val="fr-FR"/>
        </w:rPr>
        <w:t>de justice et d</w:t>
      </w:r>
      <w:r w:rsidR="00BD2801">
        <w:rPr>
          <w:rFonts w:eastAsia="Calibri"/>
          <w:color w:val="000000"/>
          <w:lang w:val="fr-FR"/>
        </w:rPr>
        <w:t>’</w:t>
      </w:r>
      <w:r w:rsidR="00A32CD2" w:rsidRPr="00E046E7">
        <w:rPr>
          <w:rFonts w:eastAsia="Calibri"/>
          <w:color w:val="000000"/>
          <w:lang w:val="fr-FR"/>
        </w:rPr>
        <w:t>équité sont prise</w:t>
      </w:r>
      <w:r w:rsidR="000E3F3E">
        <w:rPr>
          <w:rFonts w:eastAsia="Calibri"/>
          <w:color w:val="000000"/>
          <w:lang w:val="fr-FR"/>
        </w:rPr>
        <w:t>s</w:t>
      </w:r>
      <w:r w:rsidR="00A32CD2" w:rsidRPr="00E046E7">
        <w:rPr>
          <w:rFonts w:eastAsia="Calibri"/>
          <w:color w:val="000000"/>
          <w:lang w:val="fr-FR"/>
        </w:rPr>
        <w:t xml:space="preserve"> en compte, notamment des aspects liés à l</w:t>
      </w:r>
      <w:r w:rsidR="00BD2801">
        <w:rPr>
          <w:rFonts w:eastAsia="Calibri"/>
          <w:color w:val="000000"/>
          <w:lang w:val="fr-FR"/>
        </w:rPr>
        <w:t>’</w:t>
      </w:r>
      <w:r w:rsidR="00A32CD2" w:rsidRPr="00E046E7">
        <w:rPr>
          <w:rFonts w:eastAsia="Calibri"/>
          <w:color w:val="000000"/>
          <w:lang w:val="fr-FR"/>
        </w:rPr>
        <w:t>égalité des sexes, à l</w:t>
      </w:r>
      <w:r w:rsidR="00BD2801">
        <w:rPr>
          <w:rFonts w:eastAsia="Calibri"/>
          <w:color w:val="000000"/>
          <w:lang w:val="fr-FR"/>
        </w:rPr>
        <w:t>’</w:t>
      </w:r>
      <w:r w:rsidR="00A32CD2" w:rsidRPr="00E046E7">
        <w:rPr>
          <w:rFonts w:eastAsia="Calibri"/>
          <w:color w:val="000000"/>
          <w:lang w:val="fr-FR"/>
        </w:rPr>
        <w:t>âge et au statu</w:t>
      </w:r>
      <w:r w:rsidR="00FD369E">
        <w:rPr>
          <w:rFonts w:eastAsia="Calibri"/>
          <w:color w:val="000000"/>
          <w:lang w:val="fr-FR"/>
        </w:rPr>
        <w:t>t</w:t>
      </w:r>
      <w:r w:rsidR="00A32CD2" w:rsidRPr="00E046E7">
        <w:rPr>
          <w:rFonts w:eastAsia="Calibri"/>
          <w:color w:val="000000"/>
          <w:lang w:val="fr-FR"/>
        </w:rPr>
        <w:t xml:space="preserve"> socioéconomique</w:t>
      </w:r>
      <w:r w:rsidR="008125AA" w:rsidRPr="00E046E7">
        <w:rPr>
          <w:rFonts w:eastAsia="Calibri"/>
          <w:color w:val="000000"/>
          <w:lang w:val="fr-FR"/>
        </w:rPr>
        <w:t>.</w:t>
      </w:r>
      <w:r w:rsidR="00A32CD2" w:rsidRPr="00E046E7">
        <w:rPr>
          <w:rFonts w:eastAsia="Calibri"/>
          <w:color w:val="000000"/>
          <w:lang w:val="fr-FR"/>
        </w:rPr>
        <w:t xml:space="preserve"> Le chapitre étudie</w:t>
      </w:r>
      <w:r w:rsidR="00387CF7" w:rsidRPr="00E046E7">
        <w:rPr>
          <w:rFonts w:eastAsia="Calibri"/>
          <w:color w:val="000000"/>
          <w:lang w:val="fr-FR"/>
        </w:rPr>
        <w:t>ra</w:t>
      </w:r>
      <w:r w:rsidR="00A32CD2" w:rsidRPr="00E046E7">
        <w:rPr>
          <w:rFonts w:eastAsia="Calibri"/>
          <w:color w:val="000000"/>
          <w:lang w:val="fr-FR"/>
        </w:rPr>
        <w:t xml:space="preserve"> également l</w:t>
      </w:r>
      <w:r w:rsidR="00BD2801">
        <w:rPr>
          <w:rFonts w:eastAsia="Calibri"/>
          <w:color w:val="000000"/>
          <w:lang w:val="fr-FR"/>
        </w:rPr>
        <w:t>’</w:t>
      </w:r>
      <w:r w:rsidR="00A32CD2" w:rsidRPr="00E046E7">
        <w:rPr>
          <w:rFonts w:eastAsia="Calibri"/>
          <w:color w:val="000000"/>
          <w:lang w:val="fr-FR"/>
        </w:rPr>
        <w:t xml:space="preserve">importance des </w:t>
      </w:r>
      <w:r w:rsidR="00FD369E">
        <w:rPr>
          <w:rFonts w:eastAsia="Calibri"/>
          <w:color w:val="000000"/>
          <w:lang w:val="fr-FR"/>
        </w:rPr>
        <w:t>savoirs</w:t>
      </w:r>
      <w:r w:rsidR="00A32CD2" w:rsidRPr="00E046E7">
        <w:rPr>
          <w:rFonts w:eastAsia="Calibri"/>
          <w:color w:val="000000"/>
          <w:lang w:val="fr-FR"/>
        </w:rPr>
        <w:t xml:space="preserve"> autochtones et loca</w:t>
      </w:r>
      <w:r w:rsidR="00FD369E">
        <w:rPr>
          <w:rFonts w:eastAsia="Calibri"/>
          <w:color w:val="000000"/>
          <w:lang w:val="fr-FR"/>
        </w:rPr>
        <w:t>ux</w:t>
      </w:r>
      <w:r w:rsidR="00A32CD2" w:rsidRPr="00E046E7">
        <w:rPr>
          <w:rFonts w:eastAsia="Calibri"/>
          <w:color w:val="000000"/>
          <w:lang w:val="fr-FR"/>
        </w:rPr>
        <w:t xml:space="preserve"> pour gérer et préserver la nature </w:t>
      </w:r>
      <w:r w:rsidR="00387CF7" w:rsidRPr="00E046E7">
        <w:rPr>
          <w:rFonts w:eastAsia="Calibri"/>
          <w:color w:val="000000"/>
          <w:lang w:val="fr-FR"/>
        </w:rPr>
        <w:t>du niveau local au niveau mondial</w:t>
      </w:r>
      <w:r w:rsidR="008125AA" w:rsidRPr="00E046E7">
        <w:rPr>
          <w:rFonts w:eastAsia="Calibri"/>
          <w:color w:val="000000"/>
          <w:lang w:val="fr-FR"/>
        </w:rPr>
        <w:t>,</w:t>
      </w:r>
      <w:r w:rsidR="00387CF7" w:rsidRPr="00E046E7">
        <w:rPr>
          <w:rFonts w:eastAsia="Calibri"/>
          <w:color w:val="000000"/>
          <w:lang w:val="fr-FR"/>
        </w:rPr>
        <w:t xml:space="preserve"> les changements et leurs implications que les populations autochtones et les communautés locales ont connu ainsi que leurs contributions aux</w:t>
      </w:r>
      <w:r w:rsidR="008125AA" w:rsidRPr="00E046E7">
        <w:rPr>
          <w:rFonts w:eastAsia="Calibri"/>
          <w:color w:val="000000"/>
          <w:lang w:val="fr-FR"/>
        </w:rPr>
        <w:t xml:space="preserve"> </w:t>
      </w:r>
      <w:r w:rsidR="00387CF7" w:rsidRPr="00E046E7">
        <w:rPr>
          <w:rFonts w:eastAsia="Calibri"/>
          <w:color w:val="000000"/>
          <w:lang w:val="fr-FR"/>
        </w:rPr>
        <w:t>réflexions concernant les</w:t>
      </w:r>
      <w:r w:rsidR="001F242E">
        <w:rPr>
          <w:rFonts w:eastAsia="Calibri"/>
          <w:color w:val="000000"/>
          <w:lang w:val="fr-FR"/>
        </w:rPr>
        <w:t> </w:t>
      </w:r>
      <w:r w:rsidR="00387CF7" w:rsidRPr="00E046E7">
        <w:rPr>
          <w:rFonts w:eastAsia="Calibri"/>
          <w:color w:val="000000"/>
          <w:lang w:val="fr-FR"/>
        </w:rPr>
        <w:t>changements transformateurs</w:t>
      </w:r>
      <w:r w:rsidR="008125AA" w:rsidRPr="00E046E7">
        <w:rPr>
          <w:rFonts w:eastAsia="Calibri"/>
          <w:color w:val="000000"/>
          <w:lang w:val="fr-FR"/>
        </w:rPr>
        <w:t>.</w:t>
      </w:r>
      <w:r w:rsidR="00387CF7" w:rsidRPr="00E046E7">
        <w:rPr>
          <w:rFonts w:eastAsia="Calibri"/>
          <w:color w:val="000000"/>
          <w:lang w:val="fr-FR"/>
        </w:rPr>
        <w:t xml:space="preserve"> Le chapitre examinera également l</w:t>
      </w:r>
      <w:r w:rsidR="00BD2801">
        <w:rPr>
          <w:rFonts w:eastAsia="Calibri"/>
          <w:color w:val="000000"/>
          <w:lang w:val="fr-FR"/>
        </w:rPr>
        <w:t>’</w:t>
      </w:r>
      <w:r w:rsidR="00387CF7" w:rsidRPr="00E046E7">
        <w:rPr>
          <w:rFonts w:eastAsia="Calibri"/>
          <w:color w:val="000000"/>
          <w:lang w:val="fr-FR"/>
        </w:rPr>
        <w:t>importance de l</w:t>
      </w:r>
      <w:r w:rsidR="00BD2801">
        <w:rPr>
          <w:rFonts w:eastAsia="Calibri"/>
          <w:color w:val="000000"/>
          <w:lang w:val="fr-FR"/>
        </w:rPr>
        <w:t>’</w:t>
      </w:r>
      <w:r w:rsidR="00387CF7" w:rsidRPr="00E046E7">
        <w:rPr>
          <w:rFonts w:eastAsia="Calibri"/>
          <w:color w:val="000000"/>
          <w:lang w:val="fr-FR"/>
        </w:rPr>
        <w:t>accès aux</w:t>
      </w:r>
      <w:r w:rsidR="001F242E">
        <w:rPr>
          <w:rFonts w:eastAsia="Calibri"/>
          <w:color w:val="000000"/>
          <w:lang w:val="fr-FR"/>
        </w:rPr>
        <w:t> </w:t>
      </w:r>
      <w:r w:rsidR="00387CF7" w:rsidRPr="00E046E7">
        <w:rPr>
          <w:rFonts w:eastAsia="Calibri"/>
          <w:color w:val="000000"/>
          <w:lang w:val="fr-FR"/>
        </w:rPr>
        <w:t>connaissances et aux technologies qui pourraient permettre des solutions novatrices aux fins de</w:t>
      </w:r>
      <w:r w:rsidR="001F242E">
        <w:rPr>
          <w:rFonts w:eastAsia="Calibri"/>
          <w:color w:val="000000"/>
          <w:lang w:val="fr-FR"/>
        </w:rPr>
        <w:t> </w:t>
      </w:r>
      <w:r w:rsidR="00387CF7" w:rsidRPr="00E046E7">
        <w:rPr>
          <w:rFonts w:eastAsia="Calibri"/>
          <w:color w:val="000000"/>
          <w:lang w:val="fr-FR"/>
        </w:rPr>
        <w:t>changements transformateurs </w:t>
      </w:r>
      <w:r w:rsidR="008125AA" w:rsidRPr="00E046E7">
        <w:rPr>
          <w:rFonts w:eastAsia="Calibri"/>
          <w:color w:val="000000"/>
          <w:lang w:val="fr-FR"/>
        </w:rPr>
        <w:t xml:space="preserve">; </w:t>
      </w:r>
    </w:p>
    <w:p w14:paraId="0724ECE4" w14:textId="609EDC24" w:rsidR="008125AA" w:rsidRPr="00E046E7" w:rsidRDefault="008125AA" w:rsidP="0038694E">
      <w:pPr>
        <w:pStyle w:val="Normalnumber"/>
        <w:numPr>
          <w:ilvl w:val="1"/>
          <w:numId w:val="4"/>
        </w:numPr>
        <w:rPr>
          <w:rFonts w:eastAsia="Calibri"/>
          <w:color w:val="000000"/>
          <w:lang w:val="fr-FR"/>
        </w:rPr>
      </w:pPr>
      <w:r w:rsidRPr="00E046E7">
        <w:rPr>
          <w:rFonts w:eastAsia="Calibri"/>
          <w:b/>
          <w:color w:val="000000"/>
          <w:lang w:val="fr-FR"/>
        </w:rPr>
        <w:t>Identif</w:t>
      </w:r>
      <w:r w:rsidR="00387CF7" w:rsidRPr="00E046E7">
        <w:rPr>
          <w:rFonts w:eastAsia="Calibri"/>
          <w:b/>
          <w:color w:val="000000"/>
          <w:lang w:val="fr-FR"/>
        </w:rPr>
        <w:t>iera la manière dont les échelles spatiales et temporelles, les conditions historiques et les niveaux d</w:t>
      </w:r>
      <w:r w:rsidR="00BD2801">
        <w:rPr>
          <w:rFonts w:eastAsia="Calibri"/>
          <w:b/>
          <w:color w:val="000000"/>
          <w:lang w:val="fr-FR"/>
        </w:rPr>
        <w:t>’</w:t>
      </w:r>
      <w:r w:rsidR="00387CF7" w:rsidRPr="00E046E7">
        <w:rPr>
          <w:rFonts w:eastAsia="Calibri"/>
          <w:b/>
          <w:color w:val="000000"/>
          <w:lang w:val="fr-FR"/>
        </w:rPr>
        <w:t>organisation humaine représentent des défis</w:t>
      </w:r>
      <w:r w:rsidRPr="00E046E7">
        <w:rPr>
          <w:rFonts w:eastAsia="Calibri"/>
          <w:b/>
          <w:color w:val="000000"/>
          <w:lang w:val="fr-FR"/>
        </w:rPr>
        <w:t xml:space="preserve"> </w:t>
      </w:r>
      <w:r w:rsidR="00387CF7" w:rsidRPr="00E046E7">
        <w:rPr>
          <w:rFonts w:eastAsia="Calibri"/>
          <w:b/>
          <w:color w:val="000000"/>
          <w:lang w:val="fr-FR"/>
        </w:rPr>
        <w:t>et</w:t>
      </w:r>
      <w:r w:rsidRPr="00E046E7">
        <w:rPr>
          <w:rFonts w:eastAsia="Calibri"/>
          <w:b/>
          <w:color w:val="000000"/>
          <w:lang w:val="fr-FR"/>
        </w:rPr>
        <w:t xml:space="preserve"> </w:t>
      </w:r>
      <w:r w:rsidR="00780D82" w:rsidRPr="00E046E7">
        <w:rPr>
          <w:rFonts w:eastAsia="Calibri"/>
          <w:b/>
          <w:color w:val="000000"/>
          <w:lang w:val="fr-FR"/>
        </w:rPr>
        <w:t>offrent des</w:t>
      </w:r>
      <w:r w:rsidR="001F242E">
        <w:rPr>
          <w:rFonts w:eastAsia="Calibri"/>
          <w:b/>
          <w:color w:val="000000"/>
          <w:lang w:val="fr-FR"/>
        </w:rPr>
        <w:t> </w:t>
      </w:r>
      <w:r w:rsidR="00780D82" w:rsidRPr="00E046E7">
        <w:rPr>
          <w:rFonts w:eastAsia="Calibri"/>
          <w:b/>
          <w:color w:val="000000"/>
          <w:lang w:val="fr-FR"/>
        </w:rPr>
        <w:t xml:space="preserve">possibilités en termes de changements transformateurs </w:t>
      </w:r>
      <w:r w:rsidR="00780D82" w:rsidRPr="00E046E7">
        <w:rPr>
          <w:rFonts w:eastAsia="Calibri"/>
          <w:color w:val="000000"/>
          <w:lang w:val="fr-FR"/>
        </w:rPr>
        <w:t>de l</w:t>
      </w:r>
      <w:r w:rsidR="00BD2801">
        <w:rPr>
          <w:rFonts w:eastAsia="Calibri"/>
          <w:color w:val="000000"/>
          <w:lang w:val="fr-FR"/>
        </w:rPr>
        <w:t>’</w:t>
      </w:r>
      <w:r w:rsidR="00780D82" w:rsidRPr="00E046E7">
        <w:rPr>
          <w:rFonts w:eastAsia="Calibri"/>
          <w:color w:val="000000"/>
          <w:lang w:val="fr-FR"/>
        </w:rPr>
        <w:t xml:space="preserve">échelle locale </w:t>
      </w:r>
      <w:r w:rsidR="00AE5418">
        <w:rPr>
          <w:rFonts w:eastAsia="Calibri"/>
          <w:color w:val="000000"/>
          <w:lang w:val="fr-FR"/>
        </w:rPr>
        <w:t>à</w:t>
      </w:r>
      <w:r w:rsidR="00780D82" w:rsidRPr="00E046E7">
        <w:rPr>
          <w:rFonts w:eastAsia="Calibri"/>
          <w:color w:val="000000"/>
          <w:lang w:val="fr-FR"/>
        </w:rPr>
        <w:t xml:space="preserve"> l</w:t>
      </w:r>
      <w:r w:rsidR="00BD2801">
        <w:rPr>
          <w:rFonts w:eastAsia="Calibri"/>
          <w:color w:val="000000"/>
          <w:lang w:val="fr-FR"/>
        </w:rPr>
        <w:t>’</w:t>
      </w:r>
      <w:r w:rsidR="00780D82" w:rsidRPr="00E046E7">
        <w:rPr>
          <w:rFonts w:eastAsia="Calibri"/>
          <w:color w:val="000000"/>
          <w:lang w:val="fr-FR"/>
        </w:rPr>
        <w:t>échelle mondiale ainsi que la façon dont des mesures à court terme peuvent avoir des effets cumulatifs et nouveaux facilitant ou entravant les changements transformateurs </w:t>
      </w:r>
      <w:r w:rsidRPr="00E046E7">
        <w:rPr>
          <w:rFonts w:eastAsia="Calibri"/>
          <w:color w:val="000000"/>
          <w:lang w:val="fr-FR"/>
        </w:rPr>
        <w:t>;</w:t>
      </w:r>
    </w:p>
    <w:p w14:paraId="2EA09CC7" w14:textId="4A4EF049" w:rsidR="008125AA" w:rsidRPr="00E046E7" w:rsidRDefault="00AA27F7" w:rsidP="0038694E">
      <w:pPr>
        <w:pStyle w:val="Normalnumber"/>
        <w:numPr>
          <w:ilvl w:val="1"/>
          <w:numId w:val="4"/>
        </w:numPr>
        <w:rPr>
          <w:rFonts w:eastAsia="Calibri"/>
          <w:color w:val="000000"/>
          <w:lang w:val="fr-FR"/>
        </w:rPr>
      </w:pPr>
      <w:r w:rsidRPr="00E046E7">
        <w:rPr>
          <w:rFonts w:eastAsia="Calibri"/>
          <w:b/>
          <w:bCs/>
          <w:iCs/>
          <w:color w:val="000000"/>
          <w:lang w:val="fr-FR"/>
        </w:rPr>
        <w:t>Se penchera sur les défis liés aux changements transformateurs</w:t>
      </w:r>
      <w:r w:rsidR="008125AA" w:rsidRPr="00E046E7">
        <w:rPr>
          <w:rFonts w:eastAsia="Calibri"/>
          <w:color w:val="000000"/>
          <w:lang w:val="fr-FR"/>
        </w:rPr>
        <w:t xml:space="preserve"> </w:t>
      </w:r>
      <w:r w:rsidRPr="00E046E7">
        <w:rPr>
          <w:rFonts w:eastAsia="Calibri"/>
          <w:color w:val="000000"/>
          <w:lang w:val="fr-FR"/>
        </w:rPr>
        <w:t>en évaluant les</w:t>
      </w:r>
      <w:r w:rsidR="001F242E">
        <w:rPr>
          <w:rFonts w:eastAsia="Calibri"/>
          <w:color w:val="000000"/>
          <w:lang w:val="fr-FR"/>
        </w:rPr>
        <w:t> </w:t>
      </w:r>
      <w:r w:rsidRPr="00E046E7">
        <w:rPr>
          <w:rFonts w:eastAsia="Calibri"/>
          <w:color w:val="000000"/>
          <w:lang w:val="fr-FR"/>
        </w:rPr>
        <w:t>arbitrages, la relation intrinsèque avec la représentation et la légitimité politiques, les dimensions socioéconomiques de la vulnérabilité et du pouvoir ainsi que les valeurs profondément ancrées, les</w:t>
      </w:r>
      <w:r w:rsidR="001F242E">
        <w:rPr>
          <w:rFonts w:eastAsia="Calibri"/>
          <w:color w:val="000000"/>
          <w:lang w:val="fr-FR"/>
        </w:rPr>
        <w:t> </w:t>
      </w:r>
      <w:r w:rsidRPr="00E046E7">
        <w:rPr>
          <w:rFonts w:eastAsia="Calibri"/>
          <w:color w:val="000000"/>
          <w:lang w:val="fr-FR"/>
        </w:rPr>
        <w:t>visions du monde, les récits et les pratiques</w:t>
      </w:r>
      <w:r w:rsidR="008125AA" w:rsidRPr="00E046E7">
        <w:rPr>
          <w:rFonts w:eastAsia="Calibri"/>
          <w:color w:val="000000"/>
          <w:lang w:val="fr-FR"/>
        </w:rPr>
        <w:t>.</w:t>
      </w:r>
      <w:r w:rsidRPr="00E046E7">
        <w:rPr>
          <w:rFonts w:eastAsia="Calibri"/>
          <w:color w:val="000000"/>
          <w:lang w:val="fr-FR"/>
        </w:rPr>
        <w:t xml:space="preserve"> Le chapitre reconnaîtra les implications éventuelles des changements transformateurs pour différents groupes de pays et secteurs de la société, en</w:t>
      </w:r>
      <w:r w:rsidR="001F242E">
        <w:rPr>
          <w:rFonts w:eastAsia="Calibri"/>
          <w:color w:val="000000"/>
          <w:lang w:val="fr-FR"/>
        </w:rPr>
        <w:t> </w:t>
      </w:r>
      <w:r w:rsidRPr="00E046E7">
        <w:rPr>
          <w:rFonts w:eastAsia="Calibri"/>
          <w:color w:val="000000"/>
          <w:lang w:val="fr-FR"/>
        </w:rPr>
        <w:t>soulignant qu</w:t>
      </w:r>
      <w:r w:rsidR="00BD2801">
        <w:rPr>
          <w:rFonts w:eastAsia="Calibri"/>
          <w:color w:val="000000"/>
          <w:lang w:val="fr-FR"/>
        </w:rPr>
        <w:t>’</w:t>
      </w:r>
      <w:r w:rsidRPr="00E046E7">
        <w:rPr>
          <w:rFonts w:eastAsia="Calibri"/>
          <w:color w:val="000000"/>
          <w:lang w:val="fr-FR"/>
        </w:rPr>
        <w:t>il pourrait être nécessaire de faire des choix difficiles</w:t>
      </w:r>
      <w:r w:rsidR="001037AE" w:rsidRPr="00E046E7">
        <w:rPr>
          <w:rFonts w:eastAsia="Calibri"/>
          <w:color w:val="000000"/>
          <w:lang w:val="fr-FR"/>
        </w:rPr>
        <w:t xml:space="preserve"> et de surmonter des résistances et des obstacles</w:t>
      </w:r>
      <w:r w:rsidR="008125AA" w:rsidRPr="00E046E7">
        <w:rPr>
          <w:rFonts w:eastAsia="Calibri"/>
          <w:color w:val="000000"/>
          <w:lang w:val="fr-FR"/>
        </w:rPr>
        <w:t>.</w:t>
      </w:r>
      <w:r w:rsidR="001037AE" w:rsidRPr="00E046E7">
        <w:rPr>
          <w:rFonts w:eastAsia="Calibri"/>
          <w:color w:val="000000"/>
          <w:lang w:val="fr-FR"/>
        </w:rPr>
        <w:t xml:space="preserve"> Le chapitre mettra également en évidence des possibilités et des incitations que des</w:t>
      </w:r>
      <w:r w:rsidR="001F242E">
        <w:rPr>
          <w:rFonts w:eastAsia="Calibri"/>
          <w:color w:val="000000"/>
          <w:lang w:val="fr-FR"/>
        </w:rPr>
        <w:t> </w:t>
      </w:r>
      <w:r w:rsidR="001037AE" w:rsidRPr="00E046E7">
        <w:rPr>
          <w:rFonts w:eastAsia="Calibri"/>
          <w:color w:val="000000"/>
          <w:lang w:val="fr-FR"/>
        </w:rPr>
        <w:t xml:space="preserve">changements transformateurs peuvent </w:t>
      </w:r>
      <w:r w:rsidR="00AE5418">
        <w:rPr>
          <w:rFonts w:eastAsia="Calibri"/>
          <w:color w:val="000000"/>
          <w:lang w:val="fr-FR"/>
        </w:rPr>
        <w:t>créer</w:t>
      </w:r>
      <w:r w:rsidR="001037AE" w:rsidRPr="00E046E7">
        <w:rPr>
          <w:rFonts w:eastAsia="Calibri"/>
          <w:color w:val="000000"/>
          <w:lang w:val="fr-FR"/>
        </w:rPr>
        <w:t xml:space="preserve"> à différents niveaux </w:t>
      </w:r>
      <w:r w:rsidR="008125AA" w:rsidRPr="00E046E7">
        <w:rPr>
          <w:rFonts w:eastAsia="Calibri"/>
          <w:color w:val="000000"/>
          <w:lang w:val="fr-FR"/>
        </w:rPr>
        <w:t>;</w:t>
      </w:r>
    </w:p>
    <w:p w14:paraId="62AB4FBD" w14:textId="3923626B" w:rsidR="008125AA" w:rsidRPr="00E046E7" w:rsidRDefault="001037AE" w:rsidP="0038694E">
      <w:pPr>
        <w:pStyle w:val="Normalnumber"/>
        <w:numPr>
          <w:ilvl w:val="1"/>
          <w:numId w:val="4"/>
        </w:numPr>
        <w:rPr>
          <w:rFonts w:eastAsia="Calibri"/>
          <w:color w:val="000000"/>
          <w:lang w:val="fr-FR"/>
        </w:rPr>
      </w:pPr>
      <w:r w:rsidRPr="00E046E7">
        <w:rPr>
          <w:rFonts w:eastAsia="Calibri"/>
          <w:color w:val="000000"/>
          <w:lang w:val="fr-FR"/>
        </w:rPr>
        <w:t>Enfin</w:t>
      </w:r>
      <w:r w:rsidR="008125AA" w:rsidRPr="00E046E7">
        <w:rPr>
          <w:rFonts w:eastAsia="Calibri"/>
          <w:color w:val="000000"/>
          <w:lang w:val="fr-FR"/>
        </w:rPr>
        <w:t xml:space="preserve">, </w:t>
      </w:r>
      <w:r w:rsidRPr="00E046E7">
        <w:rPr>
          <w:rFonts w:eastAsia="Calibri"/>
          <w:color w:val="000000"/>
          <w:lang w:val="fr-FR"/>
        </w:rPr>
        <w:t xml:space="preserve">le chapitre fournira </w:t>
      </w:r>
      <w:r w:rsidRPr="00E046E7">
        <w:rPr>
          <w:rFonts w:eastAsia="Calibri"/>
          <w:b/>
          <w:bCs/>
          <w:color w:val="000000"/>
          <w:lang w:val="fr-FR"/>
        </w:rPr>
        <w:t>un cadre et une feuille de route</w:t>
      </w:r>
      <w:r w:rsidRPr="00E046E7">
        <w:rPr>
          <w:rFonts w:eastAsia="Calibri"/>
          <w:color w:val="000000"/>
          <w:lang w:val="fr-FR"/>
        </w:rPr>
        <w:t xml:space="preserve"> pour l</w:t>
      </w:r>
      <w:r w:rsidR="00BD2801">
        <w:rPr>
          <w:rFonts w:eastAsia="Calibri"/>
          <w:color w:val="000000"/>
          <w:lang w:val="fr-FR"/>
        </w:rPr>
        <w:t>’</w:t>
      </w:r>
      <w:r w:rsidRPr="00E046E7">
        <w:rPr>
          <w:rFonts w:eastAsia="Calibri"/>
          <w:color w:val="000000"/>
          <w:lang w:val="fr-FR"/>
        </w:rPr>
        <w:t>évaluation</w:t>
      </w:r>
      <w:r w:rsidR="008125AA" w:rsidRPr="00E046E7">
        <w:rPr>
          <w:rFonts w:eastAsia="Calibri"/>
          <w:color w:val="000000"/>
          <w:lang w:val="fr-FR"/>
        </w:rPr>
        <w:t xml:space="preserve">. </w:t>
      </w:r>
    </w:p>
    <w:p w14:paraId="611EF082" w14:textId="7C9DDFC8" w:rsidR="008125AA" w:rsidRPr="00E046E7" w:rsidRDefault="008125AA" w:rsidP="00BD2801">
      <w:pPr>
        <w:pStyle w:val="Normalnumber"/>
        <w:rPr>
          <w:rFonts w:eastAsia="Calibri"/>
          <w:u w:val="single"/>
          <w:lang w:val="fr-FR"/>
        </w:rPr>
      </w:pPr>
      <w:r w:rsidRPr="00E046E7">
        <w:rPr>
          <w:b/>
          <w:bCs/>
          <w:lang w:val="fr-FR"/>
        </w:rPr>
        <w:t>Chap</w:t>
      </w:r>
      <w:r w:rsidR="001037AE" w:rsidRPr="00E046E7">
        <w:rPr>
          <w:b/>
          <w:bCs/>
          <w:lang w:val="fr-FR"/>
        </w:rPr>
        <w:t>itre </w:t>
      </w:r>
      <w:r w:rsidRPr="00E046E7">
        <w:rPr>
          <w:b/>
          <w:bCs/>
          <w:lang w:val="fr-FR"/>
        </w:rPr>
        <w:t>2</w:t>
      </w:r>
      <w:r w:rsidR="001037AE" w:rsidRPr="00E046E7">
        <w:rPr>
          <w:b/>
          <w:bCs/>
          <w:lang w:val="fr-FR"/>
        </w:rPr>
        <w:t> </w:t>
      </w:r>
      <w:r w:rsidRPr="00E046E7">
        <w:rPr>
          <w:b/>
          <w:bCs/>
          <w:lang w:val="fr-FR"/>
        </w:rPr>
        <w:t xml:space="preserve">: </w:t>
      </w:r>
      <w:r w:rsidR="001037AE" w:rsidRPr="00E046E7">
        <w:rPr>
          <w:rFonts w:eastAsia="Calibri"/>
          <w:b/>
          <w:bCs/>
          <w:lang w:val="fr-FR"/>
        </w:rPr>
        <w:t>V</w:t>
      </w:r>
      <w:r w:rsidRPr="00E046E7">
        <w:rPr>
          <w:rFonts w:eastAsia="Calibri"/>
          <w:b/>
          <w:bCs/>
          <w:lang w:val="fr-FR"/>
        </w:rPr>
        <w:t xml:space="preserve">isions </w:t>
      </w:r>
      <w:r w:rsidR="00B77214" w:rsidRPr="00E046E7">
        <w:rPr>
          <w:rFonts w:eastAsia="Calibri"/>
          <w:b/>
          <w:bCs/>
          <w:lang w:val="fr-FR"/>
        </w:rPr>
        <w:t>d</w:t>
      </w:r>
      <w:r w:rsidR="00BD2801">
        <w:rPr>
          <w:rFonts w:eastAsia="Calibri"/>
          <w:b/>
          <w:bCs/>
          <w:lang w:val="fr-FR"/>
        </w:rPr>
        <w:t>’</w:t>
      </w:r>
      <w:r w:rsidR="00B77214" w:rsidRPr="00E046E7">
        <w:rPr>
          <w:rFonts w:eastAsia="Calibri"/>
          <w:b/>
          <w:bCs/>
          <w:lang w:val="fr-FR"/>
        </w:rPr>
        <w:t>un monde durable pour la nature et les populations</w:t>
      </w:r>
      <w:r w:rsidRPr="00E046E7">
        <w:rPr>
          <w:rFonts w:eastAsia="Calibri"/>
          <w:lang w:val="fr-FR"/>
        </w:rPr>
        <w:t xml:space="preserve">. </w:t>
      </w:r>
      <w:r w:rsidR="007C3A7C" w:rsidRPr="00E046E7">
        <w:rPr>
          <w:rFonts w:eastAsia="Calibri"/>
          <w:lang w:val="fr-FR"/>
        </w:rPr>
        <w:t>Le chapitre </w:t>
      </w:r>
      <w:r w:rsidRPr="00E046E7">
        <w:rPr>
          <w:rFonts w:eastAsia="Calibri"/>
          <w:lang w:val="fr-FR"/>
        </w:rPr>
        <w:t xml:space="preserve">2 </w:t>
      </w:r>
      <w:r w:rsidR="007C3A7C" w:rsidRPr="00E046E7">
        <w:rPr>
          <w:rFonts w:eastAsia="Calibri"/>
          <w:lang w:val="fr-FR"/>
        </w:rPr>
        <w:t>évaluera la manière dont les changements transformateurs pour la nature et les populations présentent des défis spécifiques, impliquant la prise en compte de connaissances fondées sur la science concernant la biodiversité et les contributions de la nature aux populations ainsi que de l</w:t>
      </w:r>
      <w:r w:rsidR="00BD2801">
        <w:rPr>
          <w:rFonts w:eastAsia="Calibri"/>
          <w:lang w:val="fr-FR"/>
        </w:rPr>
        <w:t>’</w:t>
      </w:r>
      <w:r w:rsidR="007C3A7C" w:rsidRPr="00E046E7">
        <w:rPr>
          <w:rFonts w:eastAsia="Calibri"/>
          <w:lang w:val="fr-FR"/>
        </w:rPr>
        <w:t>éthique normative, de différentes visions du monde et de valeurs collectives concernant les visions d</w:t>
      </w:r>
      <w:r w:rsidR="00BD2801">
        <w:rPr>
          <w:rFonts w:eastAsia="Calibri"/>
          <w:lang w:val="fr-FR"/>
        </w:rPr>
        <w:t>’</w:t>
      </w:r>
      <w:r w:rsidR="007C3A7C" w:rsidRPr="00E046E7">
        <w:rPr>
          <w:rFonts w:eastAsia="Calibri"/>
          <w:lang w:val="fr-FR"/>
        </w:rPr>
        <w:t xml:space="preserve">un </w:t>
      </w:r>
      <w:r w:rsidR="00056917">
        <w:rPr>
          <w:rFonts w:eastAsia="Calibri"/>
          <w:lang w:val="fr-FR"/>
        </w:rPr>
        <w:t>avenir</w:t>
      </w:r>
      <w:r w:rsidR="007C3A7C" w:rsidRPr="00E046E7">
        <w:rPr>
          <w:rFonts w:eastAsia="Calibri"/>
          <w:lang w:val="fr-FR"/>
        </w:rPr>
        <w:t xml:space="preserve"> durable</w:t>
      </w:r>
      <w:r w:rsidRPr="00E046E7">
        <w:rPr>
          <w:rFonts w:eastAsia="Calibri"/>
          <w:lang w:val="fr-FR"/>
        </w:rPr>
        <w:t>.</w:t>
      </w:r>
      <w:r w:rsidR="007C3A7C" w:rsidRPr="00E046E7">
        <w:rPr>
          <w:rFonts w:eastAsia="Calibri"/>
          <w:lang w:val="fr-FR"/>
        </w:rPr>
        <w:t xml:space="preserve"> Le chapitre étudiera des mécanismes d</w:t>
      </w:r>
      <w:r w:rsidR="00BD2801">
        <w:rPr>
          <w:rFonts w:eastAsia="Calibri"/>
          <w:lang w:val="fr-FR"/>
        </w:rPr>
        <w:t>’</w:t>
      </w:r>
      <w:r w:rsidR="007C3A7C" w:rsidRPr="00E046E7">
        <w:rPr>
          <w:rFonts w:eastAsia="Calibri"/>
          <w:lang w:val="fr-FR"/>
        </w:rPr>
        <w:t xml:space="preserve">inclusion, de délibération et de collaboration afin </w:t>
      </w:r>
      <w:r w:rsidR="00A62A2C">
        <w:rPr>
          <w:rFonts w:eastAsia="Calibri"/>
          <w:lang w:val="fr-FR"/>
        </w:rPr>
        <w:t>de</w:t>
      </w:r>
      <w:r w:rsidR="002A1CFB">
        <w:rPr>
          <w:rFonts w:eastAsia="Calibri"/>
          <w:lang w:val="fr-FR"/>
        </w:rPr>
        <w:t xml:space="preserve"> </w:t>
      </w:r>
      <w:r w:rsidR="007C3A7C" w:rsidRPr="00E046E7">
        <w:rPr>
          <w:rFonts w:eastAsia="Calibri"/>
          <w:lang w:val="fr-FR"/>
        </w:rPr>
        <w:t>prendre ces aspects en considération de façon simultanée</w:t>
      </w:r>
      <w:r w:rsidRPr="00E046E7">
        <w:rPr>
          <w:rFonts w:eastAsia="Calibri"/>
          <w:lang w:val="fr-FR"/>
        </w:rPr>
        <w:t>.</w:t>
      </w:r>
      <w:r w:rsidR="007C3A7C" w:rsidRPr="00E046E7">
        <w:rPr>
          <w:rFonts w:eastAsia="Calibri"/>
          <w:lang w:val="fr-FR"/>
        </w:rPr>
        <w:t xml:space="preserve"> Il contiendra des exemples de bonnes pratiques</w:t>
      </w:r>
      <w:r w:rsidR="001F37B7" w:rsidRPr="00E046E7">
        <w:rPr>
          <w:rFonts w:eastAsia="Calibri"/>
          <w:lang w:val="fr-FR"/>
        </w:rPr>
        <w:t>,</w:t>
      </w:r>
      <w:r w:rsidR="007C3A7C" w:rsidRPr="00E046E7">
        <w:rPr>
          <w:rFonts w:eastAsia="Calibri"/>
          <w:lang w:val="fr-FR"/>
        </w:rPr>
        <w:t xml:space="preserve"> de technologies </w:t>
      </w:r>
      <w:r w:rsidR="001F37B7" w:rsidRPr="00E046E7">
        <w:rPr>
          <w:rFonts w:eastAsia="Calibri"/>
          <w:lang w:val="fr-FR"/>
        </w:rPr>
        <w:t xml:space="preserve">et de connaissances </w:t>
      </w:r>
      <w:r w:rsidR="007C3A7C" w:rsidRPr="00E046E7">
        <w:rPr>
          <w:rFonts w:eastAsia="Calibri"/>
          <w:lang w:val="fr-FR"/>
        </w:rPr>
        <w:t xml:space="preserve">applicables et abordables </w:t>
      </w:r>
      <w:r w:rsidR="001F37B7" w:rsidRPr="00E046E7">
        <w:rPr>
          <w:rFonts w:eastAsia="Calibri"/>
          <w:lang w:val="fr-FR"/>
        </w:rPr>
        <w:t>ainsi que des récits, des</w:t>
      </w:r>
      <w:r w:rsidR="001F242E">
        <w:rPr>
          <w:rFonts w:eastAsia="Calibri"/>
          <w:lang w:val="fr-FR"/>
        </w:rPr>
        <w:t> </w:t>
      </w:r>
      <w:r w:rsidR="001F37B7" w:rsidRPr="00E046E7">
        <w:rPr>
          <w:rFonts w:eastAsia="Calibri"/>
          <w:lang w:val="fr-FR"/>
        </w:rPr>
        <w:t>histoires, des scénarios et des visualisations</w:t>
      </w:r>
      <w:r w:rsidRPr="00E046E7">
        <w:rPr>
          <w:rFonts w:eastAsia="Calibri"/>
          <w:lang w:val="fr-FR"/>
        </w:rPr>
        <w:t xml:space="preserve"> </w:t>
      </w:r>
      <w:r w:rsidR="001F37B7" w:rsidRPr="00E046E7">
        <w:rPr>
          <w:rFonts w:eastAsia="Calibri"/>
          <w:lang w:val="fr-FR"/>
        </w:rPr>
        <w:t>à différentes échelles</w:t>
      </w:r>
      <w:r w:rsidRPr="00E046E7">
        <w:rPr>
          <w:rFonts w:eastAsia="Calibri"/>
          <w:lang w:val="fr-FR"/>
        </w:rPr>
        <w:t xml:space="preserve"> </w:t>
      </w:r>
      <w:r w:rsidR="001F37B7" w:rsidRPr="00E046E7">
        <w:rPr>
          <w:rFonts w:eastAsia="Calibri"/>
          <w:lang w:val="fr-FR"/>
        </w:rPr>
        <w:t>qui illustrent les visions d</w:t>
      </w:r>
      <w:r w:rsidR="00BD2801">
        <w:rPr>
          <w:rFonts w:eastAsia="Calibri"/>
          <w:lang w:val="fr-FR"/>
        </w:rPr>
        <w:t>’</w:t>
      </w:r>
      <w:r w:rsidR="001F37B7" w:rsidRPr="00E046E7">
        <w:rPr>
          <w:rFonts w:eastAsia="Calibri"/>
          <w:lang w:val="fr-FR"/>
        </w:rPr>
        <w:t>un</w:t>
      </w:r>
      <w:r w:rsidR="001F242E">
        <w:rPr>
          <w:rFonts w:eastAsia="Calibri"/>
          <w:lang w:val="fr-FR"/>
        </w:rPr>
        <w:t> </w:t>
      </w:r>
      <w:r w:rsidR="001F37B7" w:rsidRPr="00E046E7">
        <w:rPr>
          <w:rFonts w:eastAsia="Calibri"/>
          <w:lang w:val="fr-FR"/>
        </w:rPr>
        <w:t>monde durable, pouvant fournir des scénarios et des voies potentiels pour les changements transformateurs fondés sur différentes visions du monde</w:t>
      </w:r>
      <w:r w:rsidRPr="00E046E7">
        <w:rPr>
          <w:rFonts w:eastAsia="Calibri"/>
          <w:lang w:val="fr-FR"/>
        </w:rPr>
        <w:t>.</w:t>
      </w:r>
    </w:p>
    <w:p w14:paraId="7AFD85D0" w14:textId="74D73039" w:rsidR="008125AA" w:rsidRPr="00E046E7" w:rsidRDefault="00882FD3" w:rsidP="00BD2801">
      <w:pPr>
        <w:pStyle w:val="Normalnumber"/>
        <w:rPr>
          <w:rFonts w:eastAsia="MS Mincho"/>
          <w:lang w:val="fr-FR"/>
        </w:rPr>
      </w:pPr>
      <w:r w:rsidRPr="00E046E7">
        <w:rPr>
          <w:rFonts w:eastAsia="MS Mincho"/>
          <w:lang w:val="fr-FR"/>
        </w:rPr>
        <w:t>Le chapitre évaluera différents</w:t>
      </w:r>
      <w:r w:rsidR="00190375" w:rsidRPr="00E046E7">
        <w:rPr>
          <w:rFonts w:eastAsia="MS Mincho"/>
          <w:lang w:val="fr-FR"/>
        </w:rPr>
        <w:t xml:space="preserve"> </w:t>
      </w:r>
      <w:r w:rsidRPr="00E046E7">
        <w:rPr>
          <w:rFonts w:eastAsia="MS Mincho"/>
          <w:lang w:val="fr-FR"/>
        </w:rPr>
        <w:t>valeurs</w:t>
      </w:r>
      <w:r w:rsidR="00190375" w:rsidRPr="00E046E7">
        <w:rPr>
          <w:rFonts w:eastAsia="MS Mincho"/>
          <w:lang w:val="fr-FR"/>
        </w:rPr>
        <w:t xml:space="preserve">, visions et scénarios </w:t>
      </w:r>
      <w:r w:rsidR="00AE5418">
        <w:rPr>
          <w:rFonts w:eastAsia="MS Mincho"/>
          <w:lang w:val="fr-FR"/>
        </w:rPr>
        <w:t>réalisables</w:t>
      </w:r>
      <w:r w:rsidR="00190375" w:rsidRPr="00E046E7">
        <w:rPr>
          <w:rFonts w:eastAsia="MS Mincho"/>
          <w:lang w:val="fr-FR"/>
        </w:rPr>
        <w:t xml:space="preserve"> pour un monde durable, en cohérence avec la Vision</w:t>
      </w:r>
      <w:r w:rsidR="00E046E7">
        <w:rPr>
          <w:rFonts w:eastAsia="MS Mincho"/>
          <w:lang w:val="fr-FR"/>
        </w:rPr>
        <w:t> </w:t>
      </w:r>
      <w:r w:rsidR="00190375" w:rsidRPr="00E046E7">
        <w:rPr>
          <w:rFonts w:eastAsia="MS Mincho"/>
          <w:lang w:val="fr-FR"/>
        </w:rPr>
        <w:t>2050 pour la biodiversité et les objectifs de développement durable, y</w:t>
      </w:r>
      <w:r w:rsidR="001F242E">
        <w:rPr>
          <w:rFonts w:eastAsia="MS Mincho"/>
          <w:lang w:val="fr-FR"/>
        </w:rPr>
        <w:t> </w:t>
      </w:r>
      <w:r w:rsidR="00190375" w:rsidRPr="00E046E7">
        <w:rPr>
          <w:rFonts w:eastAsia="MS Mincho"/>
          <w:lang w:val="fr-FR"/>
        </w:rPr>
        <w:t xml:space="preserve">compris leurs liens avec des scénarios existants </w:t>
      </w:r>
      <w:r w:rsidR="008125AA" w:rsidRPr="00E046E7">
        <w:rPr>
          <w:rFonts w:eastAsia="MS Mincho"/>
          <w:lang w:val="fr-FR"/>
        </w:rPr>
        <w:t>(</w:t>
      </w:r>
      <w:r w:rsidR="00190375" w:rsidRPr="00E046E7">
        <w:rPr>
          <w:rFonts w:eastAsia="MS Mincho"/>
          <w:lang w:val="fr-FR"/>
        </w:rPr>
        <w:t>par exemple</w:t>
      </w:r>
      <w:r w:rsidR="008125AA" w:rsidRPr="00E046E7">
        <w:rPr>
          <w:rFonts w:eastAsia="MS Mincho"/>
          <w:lang w:val="fr-FR"/>
        </w:rPr>
        <w:t>,</w:t>
      </w:r>
      <w:r w:rsidR="00190375" w:rsidRPr="00E046E7">
        <w:rPr>
          <w:rFonts w:eastAsia="MS Mincho"/>
          <w:lang w:val="fr-FR"/>
        </w:rPr>
        <w:t xml:space="preserve"> scénarios élaborés pour</w:t>
      </w:r>
      <w:r w:rsidR="008125AA" w:rsidRPr="00E046E7">
        <w:rPr>
          <w:rFonts w:eastAsia="MS Mincho"/>
          <w:lang w:val="fr-FR"/>
        </w:rPr>
        <w:t xml:space="preserve"> </w:t>
      </w:r>
      <w:r w:rsidR="00190375" w:rsidRPr="00E046E7">
        <w:rPr>
          <w:rFonts w:eastAsia="MS Mincho"/>
          <w:lang w:val="fr-FR"/>
        </w:rPr>
        <w:t>le</w:t>
      </w:r>
      <w:r w:rsidR="008125AA" w:rsidRPr="00E046E7">
        <w:rPr>
          <w:rFonts w:eastAsia="MS Mincho"/>
          <w:lang w:val="fr-FR"/>
        </w:rPr>
        <w:t xml:space="preserve"> </w:t>
      </w:r>
      <w:r w:rsidR="00190375" w:rsidRPr="00E046E7">
        <w:rPr>
          <w:rFonts w:eastAsia="MS Mincho"/>
          <w:lang w:val="fr-FR"/>
        </w:rPr>
        <w:t>Groupe d</w:t>
      </w:r>
      <w:r w:rsidR="00BD2801">
        <w:rPr>
          <w:rFonts w:eastAsia="MS Mincho"/>
          <w:lang w:val="fr-FR"/>
        </w:rPr>
        <w:t>’</w:t>
      </w:r>
      <w:r w:rsidR="00190375" w:rsidRPr="00E046E7">
        <w:rPr>
          <w:rFonts w:eastAsia="MS Mincho"/>
          <w:lang w:val="fr-FR"/>
        </w:rPr>
        <w:t>experts intergouvernemental sur l</w:t>
      </w:r>
      <w:r w:rsidR="00BD2801">
        <w:rPr>
          <w:rFonts w:eastAsia="MS Mincho"/>
          <w:lang w:val="fr-FR"/>
        </w:rPr>
        <w:t>’</w:t>
      </w:r>
      <w:r w:rsidR="00190375" w:rsidRPr="00E046E7">
        <w:rPr>
          <w:rFonts w:eastAsia="MS Mincho"/>
          <w:lang w:val="fr-FR"/>
        </w:rPr>
        <w:t>évolution du climat</w:t>
      </w:r>
      <w:r w:rsidR="008125AA" w:rsidRPr="00E046E7">
        <w:rPr>
          <w:rFonts w:eastAsia="MS Mincho"/>
          <w:lang w:val="fr-FR"/>
        </w:rPr>
        <w:t xml:space="preserve">). </w:t>
      </w:r>
      <w:r w:rsidR="00190375" w:rsidRPr="00E046E7">
        <w:rPr>
          <w:rFonts w:eastAsia="MS Mincho"/>
          <w:lang w:val="fr-FR"/>
        </w:rPr>
        <w:t>Le chapitre examinera ensuite les</w:t>
      </w:r>
      <w:r w:rsidR="001F242E">
        <w:rPr>
          <w:rFonts w:eastAsia="MS Mincho"/>
          <w:lang w:val="fr-FR"/>
        </w:rPr>
        <w:t> </w:t>
      </w:r>
      <w:r w:rsidR="00190375" w:rsidRPr="00E046E7">
        <w:rPr>
          <w:rFonts w:eastAsia="MS Mincho"/>
          <w:lang w:val="fr-FR"/>
        </w:rPr>
        <w:t xml:space="preserve">implications des différentes visions pour les secteurs et les sous-systèmes </w:t>
      </w:r>
      <w:r w:rsidR="008125AA" w:rsidRPr="00E046E7">
        <w:rPr>
          <w:rFonts w:eastAsia="MS Mincho"/>
          <w:lang w:val="fr-FR"/>
        </w:rPr>
        <w:t>(</w:t>
      </w:r>
      <w:r w:rsidR="00190375" w:rsidRPr="00E046E7">
        <w:rPr>
          <w:rFonts w:eastAsia="MS Mincho"/>
          <w:lang w:val="fr-FR"/>
        </w:rPr>
        <w:t>marché</w:t>
      </w:r>
      <w:r w:rsidR="008125AA" w:rsidRPr="00E046E7">
        <w:rPr>
          <w:rFonts w:eastAsia="MS Mincho"/>
          <w:lang w:val="fr-FR"/>
        </w:rPr>
        <w:t>/</w:t>
      </w:r>
      <w:r w:rsidR="00190375" w:rsidRPr="00E046E7">
        <w:rPr>
          <w:rFonts w:eastAsia="MS Mincho"/>
          <w:lang w:val="fr-FR"/>
        </w:rPr>
        <w:t>économique</w:t>
      </w:r>
      <w:r w:rsidR="008125AA" w:rsidRPr="00E046E7">
        <w:rPr>
          <w:rFonts w:eastAsia="MS Mincho"/>
          <w:lang w:val="fr-FR"/>
        </w:rPr>
        <w:t>, politi</w:t>
      </w:r>
      <w:r w:rsidR="00190375" w:rsidRPr="00E046E7">
        <w:rPr>
          <w:rFonts w:eastAsia="MS Mincho"/>
          <w:lang w:val="fr-FR"/>
        </w:rPr>
        <w:t>que</w:t>
      </w:r>
      <w:r w:rsidR="008125AA" w:rsidRPr="00E046E7">
        <w:rPr>
          <w:rFonts w:eastAsia="MS Mincho"/>
          <w:lang w:val="fr-FR"/>
        </w:rPr>
        <w:t xml:space="preserve">, </w:t>
      </w:r>
      <w:r w:rsidR="00190375" w:rsidRPr="00E046E7">
        <w:rPr>
          <w:rFonts w:eastAsia="MS Mincho"/>
          <w:lang w:val="fr-FR"/>
        </w:rPr>
        <w:t>juridique</w:t>
      </w:r>
      <w:r w:rsidR="008125AA" w:rsidRPr="00E046E7">
        <w:rPr>
          <w:rFonts w:eastAsia="MS Mincho"/>
          <w:lang w:val="fr-FR"/>
        </w:rPr>
        <w:t>/</w:t>
      </w:r>
      <w:r w:rsidR="00190375" w:rsidRPr="00E046E7">
        <w:rPr>
          <w:rFonts w:eastAsia="MS Mincho"/>
          <w:lang w:val="fr-FR"/>
        </w:rPr>
        <w:t>judiciaire</w:t>
      </w:r>
      <w:r w:rsidR="008125AA" w:rsidRPr="00E046E7">
        <w:rPr>
          <w:rFonts w:eastAsia="MS Mincho"/>
          <w:lang w:val="fr-FR"/>
        </w:rPr>
        <w:t xml:space="preserve">, </w:t>
      </w:r>
      <w:r w:rsidR="00190375" w:rsidRPr="00E046E7">
        <w:rPr>
          <w:rFonts w:eastAsia="MS Mincho"/>
          <w:lang w:val="fr-FR"/>
        </w:rPr>
        <w:t>éducation</w:t>
      </w:r>
      <w:r w:rsidR="008125AA" w:rsidRPr="00E046E7">
        <w:rPr>
          <w:rFonts w:eastAsia="MS Mincho"/>
          <w:lang w:val="fr-FR"/>
        </w:rPr>
        <w:t xml:space="preserve">, </w:t>
      </w:r>
      <w:r w:rsidR="00190375" w:rsidRPr="00E046E7">
        <w:rPr>
          <w:rFonts w:eastAsia="MS Mincho"/>
          <w:lang w:val="fr-FR"/>
        </w:rPr>
        <w:t>systèmes autochtones et locaux</w:t>
      </w:r>
      <w:r w:rsidR="008125AA" w:rsidRPr="00E046E7">
        <w:rPr>
          <w:rFonts w:eastAsia="MS Mincho"/>
          <w:lang w:val="fr-FR"/>
        </w:rPr>
        <w:t xml:space="preserve"> </w:t>
      </w:r>
      <w:r w:rsidR="00190375" w:rsidRPr="00E046E7">
        <w:rPr>
          <w:rFonts w:eastAsia="MS Mincho"/>
          <w:lang w:val="fr-FR"/>
        </w:rPr>
        <w:t>et écosystèmes</w:t>
      </w:r>
      <w:r w:rsidR="008125AA" w:rsidRPr="00E046E7">
        <w:rPr>
          <w:rFonts w:eastAsia="MS Mincho"/>
          <w:lang w:val="fr-FR"/>
        </w:rPr>
        <w:t xml:space="preserve">) </w:t>
      </w:r>
      <w:r w:rsidR="00190375" w:rsidRPr="00E046E7">
        <w:rPr>
          <w:rFonts w:eastAsia="MS Mincho"/>
          <w:lang w:val="fr-FR"/>
        </w:rPr>
        <w:t>ainsi que les</w:t>
      </w:r>
      <w:r w:rsidR="001F242E">
        <w:rPr>
          <w:rFonts w:eastAsia="MS Mincho"/>
          <w:lang w:val="fr-FR"/>
        </w:rPr>
        <w:t> </w:t>
      </w:r>
      <w:r w:rsidR="00190375" w:rsidRPr="00E046E7">
        <w:rPr>
          <w:rFonts w:eastAsia="MS Mincho"/>
          <w:lang w:val="fr-FR"/>
        </w:rPr>
        <w:t>interactions entre ce</w:t>
      </w:r>
      <w:r w:rsidR="00A34C76">
        <w:rPr>
          <w:rFonts w:eastAsia="MS Mincho"/>
          <w:lang w:val="fr-FR"/>
        </w:rPr>
        <w:t>lles</w:t>
      </w:r>
      <w:r w:rsidR="00190375" w:rsidRPr="00E046E7">
        <w:rPr>
          <w:rFonts w:eastAsia="MS Mincho"/>
          <w:lang w:val="fr-FR"/>
        </w:rPr>
        <w:t>-ci</w:t>
      </w:r>
      <w:r w:rsidR="008125AA" w:rsidRPr="00E046E7">
        <w:rPr>
          <w:rFonts w:eastAsia="MS Mincho"/>
          <w:lang w:val="fr-FR"/>
        </w:rPr>
        <w:t xml:space="preserve">, </w:t>
      </w:r>
      <w:r w:rsidR="00190375" w:rsidRPr="00E046E7">
        <w:rPr>
          <w:rFonts w:eastAsia="MS Mincho"/>
          <w:lang w:val="fr-FR"/>
        </w:rPr>
        <w:t>à diverses échelles spatiales et entre ces dernières</w:t>
      </w:r>
      <w:r w:rsidR="008125AA" w:rsidRPr="00E046E7">
        <w:rPr>
          <w:rFonts w:eastAsia="MS Mincho"/>
          <w:lang w:val="fr-FR"/>
        </w:rPr>
        <w:t>.</w:t>
      </w:r>
      <w:r w:rsidR="00190375" w:rsidRPr="00E046E7">
        <w:rPr>
          <w:rFonts w:eastAsia="MS Mincho"/>
          <w:lang w:val="fr-FR"/>
        </w:rPr>
        <w:t xml:space="preserve"> Le chapitre </w:t>
      </w:r>
      <w:r w:rsidR="007F128F" w:rsidRPr="00E046E7">
        <w:rPr>
          <w:rFonts w:eastAsia="MS Mincho"/>
          <w:lang w:val="fr-FR"/>
        </w:rPr>
        <w:t xml:space="preserve">étudiera </w:t>
      </w:r>
      <w:r w:rsidR="00190375" w:rsidRPr="00E046E7">
        <w:rPr>
          <w:rFonts w:eastAsia="MS Mincho"/>
          <w:lang w:val="fr-FR"/>
        </w:rPr>
        <w:t>les voies</w:t>
      </w:r>
      <w:r w:rsidR="003334CF" w:rsidRPr="00E046E7">
        <w:rPr>
          <w:rFonts w:eastAsia="MS Mincho"/>
          <w:lang w:val="fr-FR"/>
        </w:rPr>
        <w:t xml:space="preserve"> permettant de réaliser ces visions, notamment par la reconnaissance et </w:t>
      </w:r>
      <w:r w:rsidR="000C2B9E" w:rsidRPr="00E046E7">
        <w:rPr>
          <w:rFonts w:eastAsia="MS Mincho"/>
          <w:lang w:val="fr-FR"/>
        </w:rPr>
        <w:t>la</w:t>
      </w:r>
      <w:r w:rsidR="003334CF" w:rsidRPr="00E046E7">
        <w:rPr>
          <w:rFonts w:eastAsia="MS Mincho"/>
          <w:lang w:val="fr-FR"/>
        </w:rPr>
        <w:t xml:space="preserve"> modification des</w:t>
      </w:r>
      <w:r w:rsidR="001F242E">
        <w:rPr>
          <w:rFonts w:eastAsia="MS Mincho"/>
          <w:lang w:val="fr-FR"/>
        </w:rPr>
        <w:t> </w:t>
      </w:r>
      <w:r w:rsidR="003334CF" w:rsidRPr="00E046E7">
        <w:rPr>
          <w:rFonts w:eastAsia="MS Mincho"/>
          <w:lang w:val="fr-FR"/>
        </w:rPr>
        <w:t>flux intersectoriels au sein d</w:t>
      </w:r>
      <w:r w:rsidR="00BD2801">
        <w:rPr>
          <w:rFonts w:eastAsia="MS Mincho"/>
          <w:lang w:val="fr-FR"/>
        </w:rPr>
        <w:t>’</w:t>
      </w:r>
      <w:r w:rsidR="003334CF" w:rsidRPr="00E046E7">
        <w:rPr>
          <w:rFonts w:eastAsia="MS Mincho"/>
          <w:lang w:val="fr-FR"/>
        </w:rPr>
        <w:t xml:space="preserve">une économie, en tenant compte des façons dont les divers acteurs intègrent </w:t>
      </w:r>
      <w:r w:rsidR="000C2B9E" w:rsidRPr="00E046E7">
        <w:rPr>
          <w:rFonts w:eastAsia="MS Mincho"/>
          <w:lang w:val="fr-FR"/>
        </w:rPr>
        <w:t>les mesures visant des changements transformateurs selon leurs priorités perçues, intérêts, relations de pouvoir, valeurs culturelles, bien-être et politique</w:t>
      </w:r>
      <w:r w:rsidR="00AE5418">
        <w:rPr>
          <w:rFonts w:eastAsia="MS Mincho"/>
          <w:lang w:val="fr-FR"/>
        </w:rPr>
        <w:t>s</w:t>
      </w:r>
      <w:r w:rsidR="000C2B9E" w:rsidRPr="00E046E7">
        <w:rPr>
          <w:rFonts w:eastAsia="MS Mincho"/>
          <w:lang w:val="fr-FR"/>
        </w:rPr>
        <w:t xml:space="preserve">, </w:t>
      </w:r>
      <w:r w:rsidR="007F128F" w:rsidRPr="00E046E7">
        <w:rPr>
          <w:rFonts w:eastAsia="MS Mincho"/>
          <w:lang w:val="fr-FR"/>
        </w:rPr>
        <w:t>y compris</w:t>
      </w:r>
      <w:r w:rsidR="000C2B9E" w:rsidRPr="00E046E7">
        <w:rPr>
          <w:rFonts w:eastAsia="MS Mincho"/>
          <w:lang w:val="fr-FR"/>
        </w:rPr>
        <w:t xml:space="preserve"> au travers du prisme du genre</w:t>
      </w:r>
      <w:r w:rsidR="008125AA" w:rsidRPr="00E046E7">
        <w:rPr>
          <w:rFonts w:eastAsia="MS Mincho"/>
          <w:lang w:val="fr-FR"/>
        </w:rPr>
        <w:t xml:space="preserve">. </w:t>
      </w:r>
      <w:r w:rsidR="00A34C76">
        <w:rPr>
          <w:rFonts w:eastAsia="MS Mincho"/>
          <w:lang w:val="fr-FR"/>
        </w:rPr>
        <w:t>Le chapitre</w:t>
      </w:r>
      <w:r w:rsidR="007F128F" w:rsidRPr="00E046E7">
        <w:rPr>
          <w:rFonts w:eastAsia="MS Mincho"/>
          <w:lang w:val="fr-FR"/>
        </w:rPr>
        <w:t xml:space="preserve"> évaluera l</w:t>
      </w:r>
      <w:r w:rsidR="00BD2801">
        <w:rPr>
          <w:rFonts w:eastAsia="MS Mincho"/>
          <w:lang w:val="fr-FR"/>
        </w:rPr>
        <w:t>’</w:t>
      </w:r>
      <w:r w:rsidR="007F128F" w:rsidRPr="00E046E7">
        <w:rPr>
          <w:rFonts w:eastAsia="MS Mincho"/>
          <w:lang w:val="fr-FR"/>
        </w:rPr>
        <w:t xml:space="preserve">état des connaissances concernant les visions collectives et les scénarios pour </w:t>
      </w:r>
      <w:r w:rsidR="00A34C76">
        <w:rPr>
          <w:rFonts w:eastAsia="MS Mincho"/>
          <w:lang w:val="fr-FR"/>
        </w:rPr>
        <w:t>l</w:t>
      </w:r>
      <w:r w:rsidR="00BD2801">
        <w:rPr>
          <w:rFonts w:eastAsia="MS Mincho"/>
          <w:lang w:val="fr-FR"/>
        </w:rPr>
        <w:t>’</w:t>
      </w:r>
      <w:r w:rsidR="00A34C76">
        <w:rPr>
          <w:rFonts w:eastAsia="MS Mincho"/>
          <w:lang w:val="fr-FR"/>
        </w:rPr>
        <w:t>avenir</w:t>
      </w:r>
      <w:r w:rsidR="007F128F" w:rsidRPr="00E046E7">
        <w:rPr>
          <w:rFonts w:eastAsia="MS Mincho"/>
          <w:lang w:val="fr-FR"/>
        </w:rPr>
        <w:t xml:space="preserve"> </w:t>
      </w:r>
      <w:r w:rsidR="008125AA" w:rsidRPr="00E046E7">
        <w:rPr>
          <w:rFonts w:eastAsia="MS Mincho"/>
          <w:lang w:val="fr-FR"/>
        </w:rPr>
        <w:t>(</w:t>
      </w:r>
      <w:r w:rsidR="007F128F" w:rsidRPr="00E046E7">
        <w:rPr>
          <w:rFonts w:eastAsia="MS Mincho"/>
          <w:lang w:val="fr-FR"/>
        </w:rPr>
        <w:t>en tenant compte des travaux pertinents réalisés dans le cadre de l</w:t>
      </w:r>
      <w:r w:rsidR="00BD2801">
        <w:rPr>
          <w:rFonts w:eastAsia="MS Mincho"/>
          <w:lang w:val="fr-FR"/>
        </w:rPr>
        <w:t>’</w:t>
      </w:r>
      <w:r w:rsidR="007F128F" w:rsidRPr="00E046E7">
        <w:rPr>
          <w:rFonts w:eastAsia="MS Mincho"/>
          <w:lang w:val="fr-FR"/>
        </w:rPr>
        <w:t>évaluation des</w:t>
      </w:r>
      <w:r w:rsidR="001F242E">
        <w:rPr>
          <w:rFonts w:eastAsia="MS Mincho"/>
          <w:lang w:val="fr-FR"/>
        </w:rPr>
        <w:t> </w:t>
      </w:r>
      <w:r w:rsidR="003157E5">
        <w:rPr>
          <w:rFonts w:eastAsia="MS Mincho"/>
          <w:lang w:val="fr-FR"/>
        </w:rPr>
        <w:t>interactions</w:t>
      </w:r>
      <w:r w:rsidR="00D00F16">
        <w:rPr>
          <w:rFonts w:eastAsia="MS Mincho"/>
          <w:lang w:val="fr-FR"/>
        </w:rPr>
        <w:t>)</w:t>
      </w:r>
      <w:r w:rsidR="007F128F" w:rsidRPr="00E046E7">
        <w:rPr>
          <w:rFonts w:eastAsia="MS Mincho"/>
          <w:lang w:val="fr-FR"/>
        </w:rPr>
        <w:t xml:space="preserve"> et les types d</w:t>
      </w:r>
      <w:r w:rsidR="00BD2801">
        <w:rPr>
          <w:rFonts w:eastAsia="MS Mincho"/>
          <w:lang w:val="fr-FR"/>
        </w:rPr>
        <w:t>’</w:t>
      </w:r>
      <w:r w:rsidR="007F128F" w:rsidRPr="00E046E7">
        <w:rPr>
          <w:rFonts w:eastAsia="MS Mincho"/>
          <w:lang w:val="fr-FR"/>
        </w:rPr>
        <w:t>institutions politiques, de mécanismes de gouvernance et de processus</w:t>
      </w:r>
      <w:r w:rsidR="008125AA" w:rsidRPr="00E046E7">
        <w:rPr>
          <w:rFonts w:eastAsia="MS Mincho"/>
          <w:lang w:val="fr-FR"/>
        </w:rPr>
        <w:t xml:space="preserve"> </w:t>
      </w:r>
      <w:r w:rsidR="007F128F" w:rsidRPr="00E046E7">
        <w:rPr>
          <w:rFonts w:eastAsia="MS Mincho"/>
          <w:lang w:val="fr-FR"/>
        </w:rPr>
        <w:t xml:space="preserve">de délibération </w:t>
      </w:r>
      <w:r w:rsidR="008125AA" w:rsidRPr="00E046E7">
        <w:rPr>
          <w:rFonts w:eastAsia="MS Mincho"/>
          <w:lang w:val="fr-FR"/>
        </w:rPr>
        <w:t>(</w:t>
      </w:r>
      <w:r w:rsidR="00567A91" w:rsidRPr="00E046E7">
        <w:rPr>
          <w:rFonts w:eastAsia="MS Mincho"/>
          <w:lang w:val="fr-FR"/>
        </w:rPr>
        <w:t>visualisations et analyses de scénarios, notamment</w:t>
      </w:r>
      <w:r w:rsidR="008125AA" w:rsidRPr="00E046E7">
        <w:rPr>
          <w:rFonts w:eastAsia="MS Mincho"/>
          <w:lang w:val="fr-FR"/>
        </w:rPr>
        <w:t xml:space="preserve">) </w:t>
      </w:r>
      <w:r w:rsidR="00567A91" w:rsidRPr="00E046E7">
        <w:rPr>
          <w:rFonts w:eastAsia="MS Mincho"/>
          <w:lang w:val="fr-FR"/>
        </w:rPr>
        <w:t>qui peuvent faciliter des</w:t>
      </w:r>
      <w:r w:rsidR="001F242E">
        <w:rPr>
          <w:rFonts w:eastAsia="MS Mincho"/>
          <w:lang w:val="fr-FR"/>
        </w:rPr>
        <w:t> </w:t>
      </w:r>
      <w:r w:rsidR="00567A91" w:rsidRPr="00E046E7">
        <w:rPr>
          <w:rFonts w:eastAsia="MS Mincho"/>
          <w:lang w:val="fr-FR"/>
        </w:rPr>
        <w:t>changements transformateurs</w:t>
      </w:r>
      <w:r w:rsidR="008125AA" w:rsidRPr="00E046E7">
        <w:rPr>
          <w:rFonts w:eastAsia="MS Mincho"/>
          <w:lang w:val="fr-FR"/>
        </w:rPr>
        <w:t xml:space="preserve"> </w:t>
      </w:r>
      <w:r w:rsidR="00567A91" w:rsidRPr="00E046E7">
        <w:rPr>
          <w:rFonts w:eastAsia="MS Mincho"/>
          <w:lang w:val="fr-FR"/>
        </w:rPr>
        <w:t>dans différents contextes et face à diverses valeurs, en s</w:t>
      </w:r>
      <w:r w:rsidR="00BD2801">
        <w:rPr>
          <w:rFonts w:eastAsia="MS Mincho"/>
          <w:lang w:val="fr-FR"/>
        </w:rPr>
        <w:t>’</w:t>
      </w:r>
      <w:r w:rsidR="00567A91" w:rsidRPr="00E046E7">
        <w:rPr>
          <w:rFonts w:eastAsia="MS Mincho"/>
          <w:lang w:val="fr-FR"/>
        </w:rPr>
        <w:t>appuyant sur l</w:t>
      </w:r>
      <w:r w:rsidR="00BD2801">
        <w:rPr>
          <w:rFonts w:eastAsia="MS Mincho"/>
          <w:lang w:val="fr-FR"/>
        </w:rPr>
        <w:t>’</w:t>
      </w:r>
      <w:r w:rsidR="00567A91" w:rsidRPr="00E046E7">
        <w:rPr>
          <w:rFonts w:eastAsia="MS Mincho"/>
          <w:lang w:val="fr-FR"/>
        </w:rPr>
        <w:t xml:space="preserve">évaluation de la Plateforme </w:t>
      </w:r>
      <w:r w:rsidR="002D741F">
        <w:rPr>
          <w:rFonts w:eastAsia="MS Mincho"/>
          <w:lang w:val="fr-FR"/>
        </w:rPr>
        <w:t xml:space="preserve">sur les valeurs </w:t>
      </w:r>
      <w:r w:rsidR="00567A91" w:rsidRPr="00E046E7">
        <w:rPr>
          <w:rFonts w:eastAsia="MS Mincho"/>
          <w:lang w:val="fr-FR"/>
        </w:rPr>
        <w:t>et en complétant celle-ci, une fois finalisée</w:t>
      </w:r>
      <w:r w:rsidR="008125AA" w:rsidRPr="00E046E7">
        <w:rPr>
          <w:rFonts w:eastAsia="MS Mincho"/>
          <w:lang w:val="fr-FR"/>
        </w:rPr>
        <w:t>.</w:t>
      </w:r>
      <w:r w:rsidR="00567A91" w:rsidRPr="00E046E7">
        <w:rPr>
          <w:rFonts w:eastAsia="MS Mincho"/>
          <w:lang w:val="fr-FR"/>
        </w:rPr>
        <w:t xml:space="preserve"> Le</w:t>
      </w:r>
      <w:r w:rsidR="001F242E">
        <w:rPr>
          <w:rFonts w:eastAsia="MS Mincho"/>
          <w:lang w:val="fr-FR"/>
        </w:rPr>
        <w:t> </w:t>
      </w:r>
      <w:r w:rsidR="00567A91" w:rsidRPr="00E046E7">
        <w:rPr>
          <w:rFonts w:eastAsia="MS Mincho"/>
          <w:lang w:val="fr-FR"/>
        </w:rPr>
        <w:t xml:space="preserve">chapitre </w:t>
      </w:r>
      <w:r w:rsidR="006E2771">
        <w:rPr>
          <w:rFonts w:eastAsia="MS Mincho"/>
          <w:lang w:val="fr-FR"/>
        </w:rPr>
        <w:t>fera fond</w:t>
      </w:r>
      <w:r w:rsidR="0067229B">
        <w:rPr>
          <w:rFonts w:eastAsia="MS Mincho"/>
          <w:lang w:val="fr-FR"/>
        </w:rPr>
        <w:t xml:space="preserve"> sur</w:t>
      </w:r>
      <w:r w:rsidR="006E2771">
        <w:rPr>
          <w:rFonts w:eastAsia="MS Mincho"/>
          <w:lang w:val="fr-FR"/>
        </w:rPr>
        <w:t xml:space="preserve"> </w:t>
      </w:r>
      <w:r w:rsidR="00567A91" w:rsidRPr="00E046E7">
        <w:rPr>
          <w:rFonts w:eastAsia="MS Mincho"/>
          <w:lang w:val="fr-FR"/>
        </w:rPr>
        <w:t>des analyses de scénarios et de voies ainsi que sur des</w:t>
      </w:r>
      <w:r w:rsidR="008125AA" w:rsidRPr="00E046E7">
        <w:rPr>
          <w:rFonts w:eastAsia="MS Mincho"/>
          <w:lang w:val="fr-FR"/>
        </w:rPr>
        <w:t xml:space="preserve"> </w:t>
      </w:r>
      <w:r w:rsidR="00567A91" w:rsidRPr="00E046E7">
        <w:rPr>
          <w:rFonts w:eastAsia="MS Mincho"/>
          <w:lang w:val="fr-FR"/>
        </w:rPr>
        <w:t xml:space="preserve">études documentaires pour évaluer la faisabilité </w:t>
      </w:r>
      <w:r w:rsidR="00235D38" w:rsidRPr="00E046E7">
        <w:rPr>
          <w:rFonts w:eastAsia="MS Mincho"/>
          <w:lang w:val="fr-FR"/>
        </w:rPr>
        <w:t>et</w:t>
      </w:r>
      <w:r w:rsidR="008125AA" w:rsidRPr="00E046E7">
        <w:rPr>
          <w:rFonts w:eastAsia="MS Mincho"/>
          <w:lang w:val="fr-FR"/>
        </w:rPr>
        <w:t xml:space="preserve"> </w:t>
      </w:r>
      <w:r w:rsidR="00235D38" w:rsidRPr="00E046E7">
        <w:rPr>
          <w:rFonts w:eastAsia="MS Mincho"/>
          <w:lang w:val="fr-FR"/>
        </w:rPr>
        <w:t>les éléments communs des voies durables</w:t>
      </w:r>
      <w:r w:rsidR="008125AA" w:rsidRPr="00E046E7">
        <w:rPr>
          <w:rFonts w:eastAsia="MS Mincho"/>
          <w:lang w:val="fr-FR"/>
        </w:rPr>
        <w:t xml:space="preserve"> </w:t>
      </w:r>
      <w:r w:rsidR="00235D38" w:rsidRPr="00E046E7">
        <w:rPr>
          <w:rFonts w:eastAsia="MS Mincho"/>
          <w:lang w:val="fr-FR"/>
        </w:rPr>
        <w:t>envisagées</w:t>
      </w:r>
      <w:r w:rsidR="008125AA" w:rsidRPr="00E046E7">
        <w:rPr>
          <w:rFonts w:eastAsia="MS Mincho"/>
          <w:lang w:val="fr-FR"/>
        </w:rPr>
        <w:t>.</w:t>
      </w:r>
      <w:r w:rsidR="00235D38" w:rsidRPr="00E046E7">
        <w:rPr>
          <w:rFonts w:eastAsia="MS Mincho"/>
          <w:lang w:val="fr-FR"/>
        </w:rPr>
        <w:t xml:space="preserve"> Ces démarches peuvent permettre un processus rétrospectif pour comprendre les conditions nécessaires devant être en</w:t>
      </w:r>
      <w:r w:rsidR="001F242E">
        <w:rPr>
          <w:rFonts w:eastAsia="MS Mincho"/>
          <w:lang w:val="fr-FR"/>
        </w:rPr>
        <w:t> </w:t>
      </w:r>
      <w:r w:rsidR="00235D38" w:rsidRPr="00E046E7">
        <w:rPr>
          <w:rFonts w:eastAsia="MS Mincho"/>
          <w:lang w:val="fr-FR"/>
        </w:rPr>
        <w:t xml:space="preserve">place à différentes étapes avant </w:t>
      </w:r>
      <w:r w:rsidR="008125AA" w:rsidRPr="00E046E7">
        <w:rPr>
          <w:rFonts w:eastAsia="MS Mincho"/>
          <w:lang w:val="fr-FR"/>
        </w:rPr>
        <w:t>2050</w:t>
      </w:r>
      <w:r w:rsidR="00235D38" w:rsidRPr="00E046E7">
        <w:rPr>
          <w:rFonts w:eastAsia="MS Mincho"/>
          <w:lang w:val="fr-FR"/>
        </w:rPr>
        <w:t xml:space="preserve"> et éventuellement </w:t>
      </w:r>
      <w:r w:rsidR="001C1216" w:rsidRPr="00E046E7">
        <w:rPr>
          <w:rFonts w:eastAsia="MS Mincho"/>
          <w:lang w:val="fr-FR"/>
        </w:rPr>
        <w:t>examiner le</w:t>
      </w:r>
      <w:r w:rsidR="00235D38" w:rsidRPr="00E046E7">
        <w:rPr>
          <w:rFonts w:eastAsia="MS Mincho"/>
          <w:lang w:val="fr-FR"/>
        </w:rPr>
        <w:t xml:space="preserve"> potentiel transformateur d</w:t>
      </w:r>
      <w:r w:rsidR="00BD2801">
        <w:rPr>
          <w:rFonts w:eastAsia="MS Mincho"/>
          <w:lang w:val="fr-FR"/>
        </w:rPr>
        <w:t>’</w:t>
      </w:r>
      <w:r w:rsidR="00353092">
        <w:rPr>
          <w:rFonts w:eastAsia="MS Mincho"/>
          <w:lang w:val="fr-FR"/>
        </w:rPr>
        <w:t xml:space="preserve">occurrences </w:t>
      </w:r>
      <w:r w:rsidR="00235D38" w:rsidRPr="00E046E7">
        <w:rPr>
          <w:rFonts w:eastAsia="MS Mincho"/>
          <w:lang w:val="fr-FR"/>
        </w:rPr>
        <w:t>telles que la pandémie de</w:t>
      </w:r>
      <w:r w:rsidR="001C1216" w:rsidRPr="00E046E7">
        <w:rPr>
          <w:rFonts w:eastAsia="MS Mincho"/>
          <w:lang w:val="fr-FR"/>
        </w:rPr>
        <w:t xml:space="preserve"> </w:t>
      </w:r>
      <w:r w:rsidR="008125AA" w:rsidRPr="00E046E7">
        <w:rPr>
          <w:rFonts w:eastAsia="MS Mincho"/>
          <w:lang w:val="fr-FR"/>
        </w:rPr>
        <w:t xml:space="preserve">COVID-19 </w:t>
      </w:r>
      <w:r w:rsidR="001C1216" w:rsidRPr="00E046E7">
        <w:rPr>
          <w:rFonts w:eastAsia="MS Mincho"/>
          <w:lang w:val="fr-FR"/>
        </w:rPr>
        <w:t>ou des mouvements récents de la société civile</w:t>
      </w:r>
      <w:r w:rsidR="008125AA" w:rsidRPr="00E046E7">
        <w:rPr>
          <w:rFonts w:eastAsia="MS Mincho"/>
          <w:lang w:val="fr-FR"/>
        </w:rPr>
        <w:t>.</w:t>
      </w:r>
      <w:r w:rsidR="001C1216" w:rsidRPr="00E046E7">
        <w:rPr>
          <w:rFonts w:eastAsia="MS Mincho"/>
          <w:lang w:val="fr-FR"/>
        </w:rPr>
        <w:t xml:space="preserve"> Le</w:t>
      </w:r>
      <w:r w:rsidR="001F242E">
        <w:rPr>
          <w:rFonts w:eastAsia="MS Mincho"/>
          <w:lang w:val="fr-FR"/>
        </w:rPr>
        <w:t> </w:t>
      </w:r>
      <w:r w:rsidR="001C1216" w:rsidRPr="00E046E7">
        <w:rPr>
          <w:rFonts w:eastAsia="MS Mincho"/>
          <w:lang w:val="fr-FR"/>
        </w:rPr>
        <w:t>modèle « leviers et points d</w:t>
      </w:r>
      <w:r w:rsidR="00BD2801">
        <w:rPr>
          <w:rFonts w:eastAsia="MS Mincho"/>
          <w:lang w:val="fr-FR"/>
        </w:rPr>
        <w:t>’</w:t>
      </w:r>
      <w:r w:rsidR="001C1216" w:rsidRPr="00E046E7">
        <w:rPr>
          <w:rFonts w:eastAsia="MS Mincho"/>
          <w:lang w:val="fr-FR"/>
        </w:rPr>
        <w:t>application » de</w:t>
      </w:r>
      <w:r w:rsidR="008125AA" w:rsidRPr="00E046E7">
        <w:rPr>
          <w:rFonts w:eastAsia="MS Mincho"/>
          <w:lang w:val="fr-FR"/>
        </w:rPr>
        <w:t xml:space="preserve"> </w:t>
      </w:r>
      <w:r w:rsidR="001C1216" w:rsidRPr="00E046E7">
        <w:rPr>
          <w:rFonts w:eastAsia="MS Mincho"/>
          <w:lang w:val="fr-FR"/>
        </w:rPr>
        <w:t>l</w:t>
      </w:r>
      <w:r w:rsidR="00BD2801">
        <w:rPr>
          <w:rFonts w:eastAsia="MS Mincho"/>
          <w:lang w:val="fr-FR"/>
        </w:rPr>
        <w:t>’</w:t>
      </w:r>
      <w:r w:rsidR="001C1216" w:rsidRPr="00E046E7">
        <w:rPr>
          <w:rFonts w:eastAsia="MS Mincho"/>
          <w:lang w:val="fr-FR"/>
        </w:rPr>
        <w:t>évaluation mondiale de la Plateforme fournit un</w:t>
      </w:r>
      <w:r w:rsidR="001F242E">
        <w:rPr>
          <w:rFonts w:eastAsia="MS Mincho"/>
          <w:lang w:val="fr-FR"/>
        </w:rPr>
        <w:t> </w:t>
      </w:r>
      <w:r w:rsidR="001C1216" w:rsidRPr="00E046E7">
        <w:rPr>
          <w:rFonts w:eastAsia="MS Mincho"/>
          <w:lang w:val="fr-FR"/>
        </w:rPr>
        <w:t xml:space="preserve">point de départ pour </w:t>
      </w:r>
      <w:r w:rsidR="009C38A5" w:rsidRPr="00E046E7">
        <w:rPr>
          <w:rFonts w:eastAsia="MS Mincho"/>
          <w:lang w:val="fr-FR"/>
        </w:rPr>
        <w:t>développer et relier les analyses des façons dont les changements interviennent d</w:t>
      </w:r>
      <w:r w:rsidR="00BD2801">
        <w:rPr>
          <w:rFonts w:eastAsia="MS Mincho"/>
          <w:lang w:val="fr-FR"/>
        </w:rPr>
        <w:t>’</w:t>
      </w:r>
      <w:r w:rsidR="009C38A5" w:rsidRPr="00E046E7">
        <w:rPr>
          <w:rFonts w:eastAsia="MS Mincho"/>
          <w:lang w:val="fr-FR"/>
        </w:rPr>
        <w:t>un point de vue dynamique</w:t>
      </w:r>
      <w:r w:rsidR="008125AA" w:rsidRPr="00E046E7">
        <w:rPr>
          <w:rFonts w:eastAsia="MS Mincho"/>
          <w:lang w:val="fr-FR"/>
        </w:rPr>
        <w:t xml:space="preserve"> </w:t>
      </w:r>
      <w:r w:rsidR="009C38A5" w:rsidRPr="00E046E7">
        <w:rPr>
          <w:rFonts w:eastAsia="MS Mincho"/>
          <w:lang w:val="fr-FR"/>
        </w:rPr>
        <w:t>mais également pour déterminer les travaux supplémentaires à effectuer</w:t>
      </w:r>
      <w:r w:rsidR="008125AA" w:rsidRPr="00E046E7">
        <w:rPr>
          <w:rFonts w:eastAsia="MS Mincho"/>
          <w:lang w:val="fr-FR"/>
        </w:rPr>
        <w:t>.</w:t>
      </w:r>
    </w:p>
    <w:p w14:paraId="6B036D8D" w14:textId="5B524266" w:rsidR="008125AA" w:rsidRPr="00E046E7" w:rsidRDefault="008125AA" w:rsidP="00BD2801">
      <w:pPr>
        <w:pStyle w:val="Normalnumber"/>
        <w:rPr>
          <w:lang w:val="fr-FR"/>
        </w:rPr>
      </w:pPr>
      <w:r w:rsidRPr="00E046E7">
        <w:rPr>
          <w:b/>
          <w:bCs/>
          <w:lang w:val="fr-FR"/>
        </w:rPr>
        <w:lastRenderedPageBreak/>
        <w:t>Chap</w:t>
      </w:r>
      <w:r w:rsidR="00AB736A" w:rsidRPr="00E046E7">
        <w:rPr>
          <w:b/>
          <w:bCs/>
          <w:lang w:val="fr-FR"/>
        </w:rPr>
        <w:t>itre </w:t>
      </w:r>
      <w:r w:rsidRPr="00E046E7">
        <w:rPr>
          <w:b/>
          <w:bCs/>
          <w:lang w:val="fr-FR"/>
        </w:rPr>
        <w:t>3</w:t>
      </w:r>
      <w:r w:rsidR="00AB736A" w:rsidRPr="00E046E7">
        <w:rPr>
          <w:b/>
          <w:bCs/>
          <w:lang w:val="fr-FR"/>
        </w:rPr>
        <w:t> </w:t>
      </w:r>
      <w:r w:rsidRPr="00E046E7">
        <w:rPr>
          <w:b/>
          <w:bCs/>
          <w:lang w:val="fr-FR"/>
        </w:rPr>
        <w:t xml:space="preserve">: </w:t>
      </w:r>
      <w:bookmarkStart w:id="4" w:name="_Hlk39569637"/>
      <w:r w:rsidR="004D316B" w:rsidRPr="00E046E7">
        <w:rPr>
          <w:b/>
          <w:bCs/>
          <w:lang w:val="fr-FR"/>
        </w:rPr>
        <w:t xml:space="preserve">Comment </w:t>
      </w:r>
      <w:r w:rsidR="00A34C76" w:rsidRPr="00A34C76">
        <w:rPr>
          <w:b/>
          <w:bCs/>
          <w:lang w:val="fr-FR"/>
        </w:rPr>
        <w:t xml:space="preserve">interviennent </w:t>
      </w:r>
      <w:r w:rsidR="004D316B" w:rsidRPr="00E046E7">
        <w:rPr>
          <w:b/>
          <w:bCs/>
          <w:lang w:val="fr-FR"/>
        </w:rPr>
        <w:t>les changements transformateurs</w:t>
      </w:r>
      <w:r w:rsidRPr="00E046E7">
        <w:rPr>
          <w:b/>
          <w:bCs/>
          <w:lang w:val="fr-FR"/>
        </w:rPr>
        <w:t>.</w:t>
      </w:r>
      <w:r w:rsidRPr="001F242E">
        <w:rPr>
          <w:lang w:val="fr-FR"/>
        </w:rPr>
        <w:t xml:space="preserve"> </w:t>
      </w:r>
      <w:r w:rsidR="002D4543" w:rsidRPr="00E046E7">
        <w:rPr>
          <w:lang w:val="fr-FR"/>
        </w:rPr>
        <w:t>Le chapitre </w:t>
      </w:r>
      <w:r w:rsidRPr="00E046E7">
        <w:rPr>
          <w:lang w:val="fr-FR"/>
        </w:rPr>
        <w:t xml:space="preserve">3 </w:t>
      </w:r>
      <w:r w:rsidR="002D4543" w:rsidRPr="00E046E7">
        <w:rPr>
          <w:lang w:val="fr-FR"/>
        </w:rPr>
        <w:t>examinera la manière dont les changements transformateurs interviennent</w:t>
      </w:r>
      <w:r w:rsidRPr="00E046E7">
        <w:rPr>
          <w:lang w:val="fr-FR"/>
        </w:rPr>
        <w:t>,</w:t>
      </w:r>
      <w:r w:rsidR="002D4543" w:rsidRPr="00E046E7">
        <w:rPr>
          <w:lang w:val="fr-FR"/>
        </w:rPr>
        <w:t xml:space="preserve"> en </w:t>
      </w:r>
      <w:r w:rsidR="00704CAF" w:rsidRPr="00E046E7">
        <w:rPr>
          <w:lang w:val="fr-FR"/>
        </w:rPr>
        <w:t>accordant</w:t>
      </w:r>
      <w:r w:rsidR="002D4543" w:rsidRPr="00E046E7">
        <w:rPr>
          <w:lang w:val="fr-FR"/>
        </w:rPr>
        <w:t xml:space="preserve"> une attention particulière aux changements </w:t>
      </w:r>
      <w:r w:rsidR="003362B0" w:rsidRPr="00E046E7">
        <w:rPr>
          <w:lang w:val="fr-FR"/>
        </w:rPr>
        <w:t xml:space="preserve">qui peuvent être </w:t>
      </w:r>
      <w:r w:rsidR="00704CAF" w:rsidRPr="00E046E7">
        <w:rPr>
          <w:lang w:val="fr-FR"/>
        </w:rPr>
        <w:t xml:space="preserve">intentionnellement </w:t>
      </w:r>
      <w:r w:rsidR="003362B0" w:rsidRPr="00E046E7">
        <w:rPr>
          <w:lang w:val="fr-FR"/>
        </w:rPr>
        <w:t>favorisés, accélérés et</w:t>
      </w:r>
      <w:r w:rsidR="00704CAF" w:rsidRPr="00E046E7">
        <w:rPr>
          <w:lang w:val="fr-FR"/>
        </w:rPr>
        <w:t xml:space="preserve"> calibrés afin de parvenir à un monde durable</w:t>
      </w:r>
      <w:r w:rsidRPr="00E046E7">
        <w:rPr>
          <w:lang w:val="fr-FR"/>
        </w:rPr>
        <w:t xml:space="preserve"> </w:t>
      </w:r>
      <w:r w:rsidR="00704CAF" w:rsidRPr="00E046E7">
        <w:rPr>
          <w:lang w:val="fr-FR"/>
        </w:rPr>
        <w:t>dans lequel la biodiversité peut</w:t>
      </w:r>
      <w:r w:rsidRPr="00E046E7">
        <w:rPr>
          <w:lang w:val="fr-FR"/>
        </w:rPr>
        <w:t xml:space="preserve"> </w:t>
      </w:r>
      <w:r w:rsidR="00704CAF" w:rsidRPr="00E046E7">
        <w:rPr>
          <w:lang w:val="fr-FR"/>
        </w:rPr>
        <w:t>s</w:t>
      </w:r>
      <w:r w:rsidR="00BD2801">
        <w:rPr>
          <w:lang w:val="fr-FR"/>
        </w:rPr>
        <w:t>’</w:t>
      </w:r>
      <w:r w:rsidR="00704CAF" w:rsidRPr="00E046E7">
        <w:rPr>
          <w:lang w:val="fr-FR"/>
        </w:rPr>
        <w:t>épanouir</w:t>
      </w:r>
      <w:r w:rsidRPr="00E046E7">
        <w:rPr>
          <w:lang w:val="fr-FR"/>
        </w:rPr>
        <w:t>.</w:t>
      </w:r>
      <w:r w:rsidR="00704CAF" w:rsidRPr="00E046E7">
        <w:rPr>
          <w:lang w:val="fr-FR"/>
        </w:rPr>
        <w:t xml:space="preserve"> Le chapitre </w:t>
      </w:r>
      <w:r w:rsidR="002E73F8" w:rsidRPr="00E046E7">
        <w:rPr>
          <w:lang w:val="fr-FR"/>
        </w:rPr>
        <w:t>étudiera</w:t>
      </w:r>
      <w:r w:rsidR="00704CAF" w:rsidRPr="00E046E7">
        <w:rPr>
          <w:lang w:val="fr-FR"/>
        </w:rPr>
        <w:t xml:space="preserve"> des</w:t>
      </w:r>
      <w:r w:rsidR="001A0E34">
        <w:rPr>
          <w:lang w:val="fr-FR"/>
        </w:rPr>
        <w:t> </w:t>
      </w:r>
      <w:r w:rsidR="00704CAF" w:rsidRPr="00E046E7">
        <w:rPr>
          <w:lang w:val="fr-FR"/>
        </w:rPr>
        <w:t>théories et des cadres</w:t>
      </w:r>
      <w:r w:rsidRPr="00E046E7">
        <w:rPr>
          <w:lang w:val="fr-FR"/>
        </w:rPr>
        <w:t xml:space="preserve"> </w:t>
      </w:r>
      <w:r w:rsidR="00704CAF" w:rsidRPr="00E046E7">
        <w:rPr>
          <w:lang w:val="fr-FR"/>
        </w:rPr>
        <w:t xml:space="preserve">pour comprendre les changements transformateurs délibérés ou </w:t>
      </w:r>
      <w:r w:rsidR="00AE5418">
        <w:rPr>
          <w:lang w:val="fr-FR"/>
        </w:rPr>
        <w:t>émergents</w:t>
      </w:r>
      <w:r w:rsidR="00704CAF" w:rsidRPr="00E046E7">
        <w:rPr>
          <w:lang w:val="fr-FR"/>
        </w:rPr>
        <w:t xml:space="preserve"> et</w:t>
      </w:r>
      <w:r w:rsidR="001A0E34">
        <w:rPr>
          <w:lang w:val="fr-FR"/>
        </w:rPr>
        <w:t> </w:t>
      </w:r>
      <w:r w:rsidR="00704CAF" w:rsidRPr="00E046E7">
        <w:rPr>
          <w:lang w:val="fr-FR"/>
        </w:rPr>
        <w:t xml:space="preserve">mettra en lumière les conditions et les processus </w:t>
      </w:r>
      <w:r w:rsidR="002E73F8" w:rsidRPr="00E046E7">
        <w:rPr>
          <w:lang w:val="fr-FR"/>
        </w:rPr>
        <w:t>permettant de générer et d</w:t>
      </w:r>
      <w:r w:rsidR="00BD2801">
        <w:rPr>
          <w:lang w:val="fr-FR"/>
        </w:rPr>
        <w:t>’</w:t>
      </w:r>
      <w:r w:rsidR="002E73F8" w:rsidRPr="00E046E7">
        <w:rPr>
          <w:lang w:val="fr-FR"/>
        </w:rPr>
        <w:t>orienter de tels</w:t>
      </w:r>
      <w:r w:rsidR="001A0E34">
        <w:rPr>
          <w:lang w:val="fr-FR"/>
        </w:rPr>
        <w:t> </w:t>
      </w:r>
      <w:r w:rsidR="002E73F8" w:rsidRPr="00E046E7">
        <w:rPr>
          <w:lang w:val="fr-FR"/>
        </w:rPr>
        <w:t>changements</w:t>
      </w:r>
      <w:r w:rsidRPr="00E046E7">
        <w:rPr>
          <w:rFonts w:eastAsia="Calibri"/>
          <w:bCs/>
          <w:lang w:val="fr-FR"/>
        </w:rPr>
        <w:t>.</w:t>
      </w:r>
      <w:r w:rsidR="002E73F8" w:rsidRPr="00E046E7">
        <w:rPr>
          <w:rFonts w:eastAsia="Calibri"/>
          <w:bCs/>
          <w:lang w:val="fr-FR"/>
        </w:rPr>
        <w:t xml:space="preserve"> La relation entre paradigmes, politiques et pratiques sera évaluée, en mettant l</w:t>
      </w:r>
      <w:r w:rsidR="00BD2801">
        <w:rPr>
          <w:rFonts w:eastAsia="Calibri"/>
          <w:bCs/>
          <w:lang w:val="fr-FR"/>
        </w:rPr>
        <w:t>’</w:t>
      </w:r>
      <w:r w:rsidR="002E73F8" w:rsidRPr="00E046E7">
        <w:rPr>
          <w:rFonts w:eastAsia="Calibri"/>
          <w:bCs/>
          <w:lang w:val="fr-FR"/>
        </w:rPr>
        <w:t>accent sur la manière dont ces éléments contribuent aux stratégies qui améliorent, maintiennent ou restaurent</w:t>
      </w:r>
      <w:r w:rsidRPr="00E046E7">
        <w:rPr>
          <w:rFonts w:eastAsia="Calibri"/>
          <w:lang w:val="fr-FR"/>
        </w:rPr>
        <w:t xml:space="preserve"> </w:t>
      </w:r>
      <w:r w:rsidR="002E73F8" w:rsidRPr="00E046E7">
        <w:rPr>
          <w:rFonts w:eastAsia="Calibri"/>
          <w:lang w:val="fr-FR"/>
        </w:rPr>
        <w:t>des relations saines avec la nature</w:t>
      </w:r>
      <w:r w:rsidRPr="00E046E7">
        <w:rPr>
          <w:rFonts w:eastAsia="Calibri"/>
          <w:lang w:val="fr-FR"/>
        </w:rPr>
        <w:t>.</w:t>
      </w:r>
      <w:r w:rsidR="002E73F8" w:rsidRPr="00E046E7">
        <w:rPr>
          <w:rFonts w:eastAsia="Calibri"/>
          <w:lang w:val="fr-FR"/>
        </w:rPr>
        <w:t xml:space="preserve"> Il peut s</w:t>
      </w:r>
      <w:r w:rsidR="00BD2801">
        <w:rPr>
          <w:rFonts w:eastAsia="Calibri"/>
          <w:lang w:val="fr-FR"/>
        </w:rPr>
        <w:t>’</w:t>
      </w:r>
      <w:r w:rsidR="002E73F8" w:rsidRPr="00E046E7">
        <w:rPr>
          <w:rFonts w:eastAsia="Calibri"/>
          <w:lang w:val="fr-FR"/>
        </w:rPr>
        <w:t>agir d</w:t>
      </w:r>
      <w:r w:rsidR="00BD2801">
        <w:rPr>
          <w:rFonts w:eastAsia="Calibri"/>
          <w:lang w:val="fr-FR"/>
        </w:rPr>
        <w:t>’</w:t>
      </w:r>
      <w:r w:rsidR="002E73F8" w:rsidRPr="00E046E7">
        <w:rPr>
          <w:rFonts w:eastAsia="Calibri"/>
          <w:lang w:val="fr-FR"/>
        </w:rPr>
        <w:t xml:space="preserve">une évaluation des dimensions techniques et du rôle des activités de recherche et de développement pour trouver des solutions novatrices </w:t>
      </w:r>
      <w:r w:rsidR="00C851FF" w:rsidRPr="00E046E7">
        <w:rPr>
          <w:rFonts w:eastAsia="Calibri"/>
          <w:lang w:val="fr-FR"/>
        </w:rPr>
        <w:t>aux</w:t>
      </w:r>
      <w:r w:rsidR="001A0E34">
        <w:rPr>
          <w:rFonts w:eastAsia="Calibri"/>
          <w:lang w:val="fr-FR"/>
        </w:rPr>
        <w:t> </w:t>
      </w:r>
      <w:r w:rsidR="00C851FF" w:rsidRPr="00E046E7">
        <w:rPr>
          <w:rFonts w:eastAsia="Calibri"/>
          <w:lang w:val="fr-FR"/>
        </w:rPr>
        <w:t>fins de</w:t>
      </w:r>
      <w:r w:rsidR="002E73F8" w:rsidRPr="00E046E7">
        <w:rPr>
          <w:rFonts w:eastAsia="Calibri"/>
          <w:lang w:val="fr-FR"/>
        </w:rPr>
        <w:t xml:space="preserve"> changements</w:t>
      </w:r>
      <w:r w:rsidRPr="00E046E7">
        <w:rPr>
          <w:rFonts w:eastAsia="Calibri"/>
          <w:lang w:val="fr-FR"/>
        </w:rPr>
        <w:t xml:space="preserve"> </w:t>
      </w:r>
      <w:r w:rsidR="002E73F8" w:rsidRPr="00E046E7">
        <w:rPr>
          <w:rFonts w:eastAsia="Calibri"/>
          <w:lang w:val="fr-FR"/>
        </w:rPr>
        <w:t>transformateurs en vue d</w:t>
      </w:r>
      <w:r w:rsidR="00BD2801">
        <w:rPr>
          <w:rFonts w:eastAsia="Calibri"/>
          <w:lang w:val="fr-FR"/>
        </w:rPr>
        <w:t>’</w:t>
      </w:r>
      <w:r w:rsidR="002E73F8" w:rsidRPr="00E046E7">
        <w:rPr>
          <w:rFonts w:eastAsia="Calibri"/>
          <w:lang w:val="fr-FR"/>
        </w:rPr>
        <w:t>un monde plus durable</w:t>
      </w:r>
      <w:r w:rsidRPr="00E046E7">
        <w:rPr>
          <w:rFonts w:eastAsia="Calibri"/>
          <w:lang w:val="fr-FR"/>
        </w:rPr>
        <w:t>.</w:t>
      </w:r>
      <w:r w:rsidR="00C851FF" w:rsidRPr="00E046E7">
        <w:rPr>
          <w:rFonts w:eastAsia="Calibri"/>
          <w:lang w:val="fr-FR"/>
        </w:rPr>
        <w:t xml:space="preserve"> Le chapitre examinera également des approches </w:t>
      </w:r>
      <w:r w:rsidR="00370D38" w:rsidRPr="00E046E7">
        <w:rPr>
          <w:rFonts w:eastAsia="Calibri"/>
          <w:lang w:val="fr-FR"/>
        </w:rPr>
        <w:t>pour permettre</w:t>
      </w:r>
      <w:r w:rsidR="00C851FF" w:rsidRPr="00E046E7">
        <w:rPr>
          <w:rFonts w:eastAsia="Calibri"/>
          <w:lang w:val="fr-FR"/>
        </w:rPr>
        <w:t xml:space="preserve"> des changements transformateurs à différentes échelles, </w:t>
      </w:r>
      <w:r w:rsidR="00370D38" w:rsidRPr="00E046E7">
        <w:rPr>
          <w:rFonts w:eastAsia="Calibri"/>
          <w:lang w:val="fr-FR"/>
        </w:rPr>
        <w:t>fournir</w:t>
      </w:r>
      <w:r w:rsidR="00C851FF" w:rsidRPr="00E046E7">
        <w:rPr>
          <w:rFonts w:eastAsia="Calibri"/>
          <w:lang w:val="fr-FR"/>
        </w:rPr>
        <w:t xml:space="preserve"> des informations sur la manière dont </w:t>
      </w:r>
      <w:r w:rsidR="00370D38" w:rsidRPr="00E046E7">
        <w:rPr>
          <w:rFonts w:eastAsia="Calibri"/>
          <w:lang w:val="fr-FR"/>
        </w:rPr>
        <w:t>d</w:t>
      </w:r>
      <w:r w:rsidR="00C851FF" w:rsidRPr="00E046E7">
        <w:rPr>
          <w:rFonts w:eastAsia="Calibri"/>
          <w:lang w:val="fr-FR"/>
        </w:rPr>
        <w:t>es changements transformateurs peuvent avoir un impact positif sur la biodiversité mondiale</w:t>
      </w:r>
      <w:r w:rsidR="00370D38" w:rsidRPr="00E046E7">
        <w:rPr>
          <w:rFonts w:eastAsia="Calibri"/>
          <w:lang w:val="fr-FR"/>
        </w:rPr>
        <w:t xml:space="preserve"> et évaluer les dimensions normatives, éthiques et politiques pertinentes</w:t>
      </w:r>
      <w:r w:rsidRPr="00E046E7">
        <w:rPr>
          <w:rFonts w:eastAsia="Calibri"/>
          <w:lang w:val="fr-FR"/>
        </w:rPr>
        <w:t xml:space="preserve">. </w:t>
      </w:r>
      <w:r w:rsidR="008A48AF" w:rsidRPr="00E046E7">
        <w:rPr>
          <w:rFonts w:eastAsia="Calibri"/>
          <w:lang w:val="fr-FR"/>
        </w:rPr>
        <w:t>Des cas passés et des exemples de transformations qui sont intervenues à différents endroits et moments, y compris ceux qui ont eu un impact positif ou négatif sur la biodiversité, seront évalués</w:t>
      </w:r>
      <w:r w:rsidRPr="00E046E7">
        <w:rPr>
          <w:rFonts w:eastAsia="Calibri"/>
          <w:lang w:val="fr-FR"/>
        </w:rPr>
        <w:t xml:space="preserve">. </w:t>
      </w:r>
      <w:r w:rsidR="008A48AF" w:rsidRPr="00E046E7">
        <w:rPr>
          <w:rFonts w:eastAsia="Calibri"/>
          <w:lang w:val="fr-FR"/>
        </w:rPr>
        <w:t>Le chapitre fournira des exemples issus de la littérature universitaire, politique et pratique</w:t>
      </w:r>
      <w:r w:rsidRPr="00E046E7">
        <w:rPr>
          <w:rFonts w:eastAsia="Calibri"/>
          <w:lang w:val="fr-FR"/>
        </w:rPr>
        <w:t>,</w:t>
      </w:r>
      <w:r w:rsidR="008A48AF" w:rsidRPr="00E046E7">
        <w:rPr>
          <w:rFonts w:eastAsia="Calibri"/>
          <w:lang w:val="fr-FR"/>
        </w:rPr>
        <w:t xml:space="preserve"> notamment des références aux </w:t>
      </w:r>
      <w:r w:rsidR="00E846CA" w:rsidRPr="00E046E7">
        <w:rPr>
          <w:rFonts w:eastAsia="Calibri"/>
          <w:lang w:val="fr-FR"/>
        </w:rPr>
        <w:t>systèmes de savoir</w:t>
      </w:r>
      <w:r w:rsidR="00475C7E">
        <w:rPr>
          <w:rFonts w:eastAsia="Calibri"/>
          <w:lang w:val="fr-FR"/>
        </w:rPr>
        <w:t>s</w:t>
      </w:r>
      <w:r w:rsidR="00E846CA" w:rsidRPr="00E046E7">
        <w:rPr>
          <w:rFonts w:eastAsia="Calibri"/>
          <w:lang w:val="fr-FR"/>
        </w:rPr>
        <w:t xml:space="preserve"> autochtones et locaux </w:t>
      </w:r>
      <w:r w:rsidR="00475C7E">
        <w:rPr>
          <w:rFonts w:eastAsia="Calibri"/>
          <w:lang w:val="fr-FR"/>
        </w:rPr>
        <w:t>ainsi que</w:t>
      </w:r>
      <w:r w:rsidR="00E846CA" w:rsidRPr="00E046E7">
        <w:rPr>
          <w:rFonts w:eastAsia="Calibri"/>
          <w:lang w:val="fr-FR"/>
        </w:rPr>
        <w:t xml:space="preserve"> des mesures locales revêtant une importance particulière</w:t>
      </w:r>
      <w:r w:rsidRPr="00E046E7">
        <w:rPr>
          <w:rFonts w:eastAsia="Calibri"/>
          <w:lang w:val="fr-FR"/>
        </w:rPr>
        <w:t xml:space="preserve">. </w:t>
      </w:r>
      <w:r w:rsidR="00E846CA" w:rsidRPr="00E046E7">
        <w:rPr>
          <w:rFonts w:eastAsia="Calibri"/>
          <w:lang w:val="fr-FR"/>
        </w:rPr>
        <w:t>Le chapitre mettra en évidence des perspectives intégrées et globales concernant les sujets décrits ci-dessus en comprenant </w:t>
      </w:r>
      <w:r w:rsidRPr="00E046E7">
        <w:rPr>
          <w:rFonts w:eastAsia="Calibri"/>
          <w:lang w:val="fr-FR"/>
        </w:rPr>
        <w:t>:</w:t>
      </w:r>
    </w:p>
    <w:p w14:paraId="7D8EB720" w14:textId="40F85372" w:rsidR="008125AA" w:rsidRPr="00E046E7" w:rsidRDefault="00E846CA" w:rsidP="0038694E">
      <w:pPr>
        <w:pStyle w:val="Normalnumber"/>
        <w:numPr>
          <w:ilvl w:val="1"/>
          <w:numId w:val="4"/>
        </w:numPr>
        <w:rPr>
          <w:rFonts w:eastAsia="Calibri"/>
          <w:bCs/>
          <w:lang w:val="fr-FR"/>
        </w:rPr>
      </w:pPr>
      <w:r w:rsidRPr="00E046E7">
        <w:rPr>
          <w:rFonts w:eastAsia="Calibri"/>
          <w:bCs/>
          <w:lang w:val="fr-FR"/>
        </w:rPr>
        <w:t>Une comparaison, une synthèse et une évaluation des théories et des cadres des</w:t>
      </w:r>
      <w:r w:rsidR="001A0E34">
        <w:rPr>
          <w:rFonts w:eastAsia="Calibri"/>
          <w:bCs/>
          <w:lang w:val="fr-FR"/>
        </w:rPr>
        <w:t> </w:t>
      </w:r>
      <w:r w:rsidRPr="00E046E7">
        <w:rPr>
          <w:rFonts w:eastAsia="Calibri"/>
          <w:bCs/>
          <w:lang w:val="fr-FR"/>
        </w:rPr>
        <w:t>changements transformateurs et la manière dont ceux-ci sont liés à différents modèles, stratégies, politiques et pratiques</w:t>
      </w:r>
      <w:r w:rsidR="008125AA" w:rsidRPr="00E046E7">
        <w:rPr>
          <w:rFonts w:eastAsia="Calibri"/>
          <w:bCs/>
          <w:lang w:val="fr-FR"/>
        </w:rPr>
        <w:t xml:space="preserve">. </w:t>
      </w:r>
      <w:r w:rsidR="00924326" w:rsidRPr="00E046E7">
        <w:rPr>
          <w:rFonts w:eastAsia="Calibri"/>
          <w:bCs/>
          <w:lang w:val="fr-FR"/>
        </w:rPr>
        <w:t>Cela mettra en lumière les multiples perspectives théoriques concernant la</w:t>
      </w:r>
      <w:r w:rsidR="001A0E34">
        <w:rPr>
          <w:rFonts w:eastAsia="Calibri"/>
          <w:bCs/>
          <w:lang w:val="fr-FR"/>
        </w:rPr>
        <w:t> </w:t>
      </w:r>
      <w:r w:rsidR="00924326" w:rsidRPr="00E046E7">
        <w:rPr>
          <w:rFonts w:eastAsia="Calibri"/>
          <w:bCs/>
          <w:lang w:val="fr-FR"/>
        </w:rPr>
        <w:t>manière dont les changements transformateurs intentionnels interviennent au sein de systèmes complexes </w:t>
      </w:r>
      <w:r w:rsidR="008125AA" w:rsidRPr="00E046E7">
        <w:rPr>
          <w:rFonts w:eastAsia="Calibri"/>
          <w:bCs/>
          <w:lang w:val="fr-FR"/>
        </w:rPr>
        <w:t>;</w:t>
      </w:r>
    </w:p>
    <w:p w14:paraId="67143F08" w14:textId="00EF4484" w:rsidR="008125AA" w:rsidRPr="00E046E7" w:rsidRDefault="00EE4845" w:rsidP="0038694E">
      <w:pPr>
        <w:pStyle w:val="Normalnumber"/>
        <w:numPr>
          <w:ilvl w:val="1"/>
          <w:numId w:val="4"/>
        </w:numPr>
        <w:rPr>
          <w:rFonts w:eastAsia="Calibri"/>
          <w:bCs/>
          <w:lang w:val="fr-FR"/>
        </w:rPr>
      </w:pPr>
      <w:r w:rsidRPr="00E046E7">
        <w:rPr>
          <w:rFonts w:eastAsia="Calibri"/>
          <w:bCs/>
          <w:lang w:val="fr-FR"/>
        </w:rPr>
        <w:t xml:space="preserve">Une évaluation des façons dont les normes sociales et culturelles, les valeurs, les visions du monde, les croyances et les paradigmes influencent les stratégies et les approches </w:t>
      </w:r>
      <w:r w:rsidR="001C4A06" w:rsidRPr="00E046E7">
        <w:rPr>
          <w:rFonts w:eastAsia="Calibri"/>
          <w:bCs/>
          <w:lang w:val="fr-FR"/>
        </w:rPr>
        <w:t xml:space="preserve">en matière </w:t>
      </w:r>
      <w:r w:rsidRPr="00E046E7">
        <w:rPr>
          <w:rFonts w:eastAsia="Calibri"/>
          <w:bCs/>
          <w:lang w:val="fr-FR"/>
        </w:rPr>
        <w:t>de changements transformateurs</w:t>
      </w:r>
      <w:r w:rsidR="008125AA" w:rsidRPr="00E046E7">
        <w:rPr>
          <w:rFonts w:eastAsia="Calibri"/>
          <w:bCs/>
          <w:lang w:val="fr-FR"/>
        </w:rPr>
        <w:t>,</w:t>
      </w:r>
      <w:r w:rsidR="001C4A06" w:rsidRPr="00E046E7">
        <w:rPr>
          <w:rFonts w:eastAsia="Calibri"/>
          <w:bCs/>
          <w:lang w:val="fr-FR"/>
        </w:rPr>
        <w:t xml:space="preserve"> en mettant l</w:t>
      </w:r>
      <w:r w:rsidR="00BD2801">
        <w:rPr>
          <w:rFonts w:eastAsia="Calibri"/>
          <w:bCs/>
          <w:lang w:val="fr-FR"/>
        </w:rPr>
        <w:t>’</w:t>
      </w:r>
      <w:r w:rsidR="001C4A06" w:rsidRPr="00E046E7">
        <w:rPr>
          <w:rFonts w:eastAsia="Calibri"/>
          <w:bCs/>
          <w:lang w:val="fr-FR"/>
        </w:rPr>
        <w:t>accent sur la manière dont ceux-ci sont liés à des vues divergentes concernant les relations entre les êtres humains et la nature </w:t>
      </w:r>
      <w:r w:rsidR="008125AA" w:rsidRPr="00E046E7">
        <w:rPr>
          <w:rFonts w:eastAsia="Calibri"/>
          <w:bCs/>
          <w:lang w:val="fr-FR"/>
        </w:rPr>
        <w:t xml:space="preserve">; </w:t>
      </w:r>
      <w:r w:rsidR="001C4A06" w:rsidRPr="00E046E7">
        <w:rPr>
          <w:rFonts w:eastAsia="Calibri"/>
          <w:bCs/>
          <w:lang w:val="fr-FR"/>
        </w:rPr>
        <w:t>des diverses compréhensions concernant les rôles et les types de pouvoirs et d</w:t>
      </w:r>
      <w:r w:rsidR="00BD2801">
        <w:rPr>
          <w:rFonts w:eastAsia="Calibri"/>
          <w:bCs/>
          <w:lang w:val="fr-FR"/>
        </w:rPr>
        <w:t>’</w:t>
      </w:r>
      <w:r w:rsidR="001C4A06" w:rsidRPr="00E046E7">
        <w:rPr>
          <w:rFonts w:eastAsia="Calibri"/>
          <w:bCs/>
          <w:lang w:val="fr-FR"/>
        </w:rPr>
        <w:t>actions</w:t>
      </w:r>
      <w:r w:rsidR="008125AA" w:rsidRPr="00E046E7">
        <w:rPr>
          <w:rFonts w:eastAsia="Calibri"/>
          <w:bCs/>
          <w:lang w:val="fr-FR"/>
        </w:rPr>
        <w:t xml:space="preserve"> (</w:t>
      </w:r>
      <w:r w:rsidR="001C4A06" w:rsidRPr="00E046E7">
        <w:rPr>
          <w:rFonts w:eastAsia="Calibri"/>
          <w:bCs/>
          <w:lang w:val="fr-FR"/>
        </w:rPr>
        <w:t>par exemple,</w:t>
      </w:r>
      <w:r w:rsidR="008125AA" w:rsidRPr="00E046E7">
        <w:rPr>
          <w:rFonts w:eastAsia="Calibri"/>
          <w:bCs/>
          <w:lang w:val="fr-FR"/>
        </w:rPr>
        <w:t xml:space="preserve"> </w:t>
      </w:r>
      <w:r w:rsidR="001C4A06" w:rsidRPr="00E046E7">
        <w:rPr>
          <w:rFonts w:eastAsia="Calibri"/>
          <w:bCs/>
          <w:lang w:val="fr-FR"/>
        </w:rPr>
        <w:t>action individuelle</w:t>
      </w:r>
      <w:r w:rsidR="008125AA" w:rsidRPr="00E046E7">
        <w:rPr>
          <w:rFonts w:eastAsia="Calibri"/>
          <w:bCs/>
          <w:lang w:val="fr-FR"/>
        </w:rPr>
        <w:t xml:space="preserve">, </w:t>
      </w:r>
      <w:r w:rsidR="001C4A06" w:rsidRPr="00E046E7">
        <w:rPr>
          <w:rFonts w:eastAsia="Calibri"/>
          <w:bCs/>
          <w:lang w:val="fr-FR"/>
        </w:rPr>
        <w:t xml:space="preserve">action </w:t>
      </w:r>
      <w:r w:rsidR="008125AA" w:rsidRPr="00E046E7">
        <w:rPr>
          <w:rFonts w:eastAsia="Calibri"/>
          <w:bCs/>
          <w:lang w:val="fr-FR"/>
        </w:rPr>
        <w:t xml:space="preserve">collective, </w:t>
      </w:r>
      <w:r w:rsidR="001C4A06" w:rsidRPr="00E046E7">
        <w:rPr>
          <w:rFonts w:eastAsia="Calibri"/>
          <w:bCs/>
          <w:lang w:val="fr-FR"/>
        </w:rPr>
        <w:t>action politique</w:t>
      </w:r>
      <w:r w:rsidR="008125AA" w:rsidRPr="00E046E7">
        <w:rPr>
          <w:rFonts w:eastAsia="Calibri"/>
          <w:bCs/>
          <w:lang w:val="fr-FR"/>
        </w:rPr>
        <w:t xml:space="preserve">, </w:t>
      </w:r>
      <w:r w:rsidR="001C4A06" w:rsidRPr="00E046E7">
        <w:rPr>
          <w:rFonts w:eastAsia="Calibri"/>
          <w:bCs/>
          <w:lang w:val="fr-FR"/>
        </w:rPr>
        <w:t>action non humaine</w:t>
      </w:r>
      <w:r w:rsidR="008125AA" w:rsidRPr="00E046E7">
        <w:rPr>
          <w:rFonts w:eastAsia="Calibri"/>
          <w:bCs/>
          <w:lang w:val="fr-FR"/>
        </w:rPr>
        <w:t>)</w:t>
      </w:r>
      <w:r w:rsidR="001C4A06" w:rsidRPr="00E046E7">
        <w:rPr>
          <w:rFonts w:eastAsia="Calibri"/>
          <w:bCs/>
          <w:lang w:val="fr-FR"/>
        </w:rPr>
        <w:t> </w:t>
      </w:r>
      <w:r w:rsidR="008125AA" w:rsidRPr="00E046E7">
        <w:rPr>
          <w:rFonts w:eastAsia="Calibri"/>
          <w:bCs/>
          <w:lang w:val="fr-FR"/>
        </w:rPr>
        <w:t xml:space="preserve">; </w:t>
      </w:r>
      <w:r w:rsidR="001C4A06" w:rsidRPr="00E046E7">
        <w:rPr>
          <w:rFonts w:eastAsia="Calibri"/>
          <w:bCs/>
          <w:lang w:val="fr-FR"/>
        </w:rPr>
        <w:t>des différents arrangements en matière de gouvernance </w:t>
      </w:r>
      <w:r w:rsidR="008125AA" w:rsidRPr="00E046E7">
        <w:rPr>
          <w:rFonts w:eastAsia="Calibri"/>
          <w:bCs/>
          <w:lang w:val="fr-FR"/>
        </w:rPr>
        <w:t xml:space="preserve">; </w:t>
      </w:r>
      <w:r w:rsidR="001C4A06" w:rsidRPr="00E046E7">
        <w:rPr>
          <w:rFonts w:eastAsia="Calibri"/>
          <w:bCs/>
          <w:lang w:val="fr-FR"/>
        </w:rPr>
        <w:t>et du rôle</w:t>
      </w:r>
      <w:r w:rsidR="008125AA" w:rsidRPr="00E046E7">
        <w:rPr>
          <w:rFonts w:eastAsia="Calibri"/>
          <w:bCs/>
          <w:lang w:val="fr-FR"/>
        </w:rPr>
        <w:t xml:space="preserve"> </w:t>
      </w:r>
      <w:r w:rsidR="001C4A06" w:rsidRPr="00E046E7">
        <w:rPr>
          <w:rFonts w:eastAsia="Calibri"/>
          <w:bCs/>
          <w:lang w:val="fr-FR"/>
        </w:rPr>
        <w:t>de l</w:t>
      </w:r>
      <w:r w:rsidR="00BD2801">
        <w:rPr>
          <w:rFonts w:eastAsia="Calibri"/>
          <w:bCs/>
          <w:lang w:val="fr-FR"/>
        </w:rPr>
        <w:t>’</w:t>
      </w:r>
      <w:r w:rsidR="001C4A06" w:rsidRPr="00E046E7">
        <w:rPr>
          <w:rFonts w:eastAsia="Calibri"/>
          <w:bCs/>
          <w:lang w:val="fr-FR"/>
        </w:rPr>
        <w:t>éthique et des valeurs</w:t>
      </w:r>
      <w:r w:rsidR="00AE5418">
        <w:rPr>
          <w:rFonts w:eastAsia="Calibri"/>
          <w:bCs/>
          <w:lang w:val="fr-FR"/>
        </w:rPr>
        <w:t xml:space="preserve"> environnementales</w:t>
      </w:r>
      <w:r w:rsidR="008C3AEF" w:rsidRPr="00E046E7">
        <w:rPr>
          <w:rFonts w:eastAsia="Calibri"/>
          <w:bCs/>
          <w:lang w:val="fr-FR"/>
        </w:rPr>
        <w:t>, comme l</w:t>
      </w:r>
      <w:r w:rsidR="00BD2801">
        <w:rPr>
          <w:rFonts w:eastAsia="Calibri"/>
          <w:bCs/>
          <w:lang w:val="fr-FR"/>
        </w:rPr>
        <w:t>’</w:t>
      </w:r>
      <w:r w:rsidR="008C3AEF" w:rsidRPr="00E046E7">
        <w:rPr>
          <w:rFonts w:eastAsia="Calibri"/>
          <w:bCs/>
          <w:lang w:val="fr-FR"/>
        </w:rPr>
        <w:t>équité et la justice</w:t>
      </w:r>
      <w:r w:rsidR="008125AA" w:rsidRPr="00E046E7">
        <w:rPr>
          <w:rFonts w:eastAsia="Calibri"/>
          <w:bCs/>
          <w:lang w:val="fr-FR"/>
        </w:rPr>
        <w:t>,</w:t>
      </w:r>
      <w:r w:rsidR="008C3AEF" w:rsidRPr="00E046E7">
        <w:rPr>
          <w:rFonts w:eastAsia="Calibri"/>
          <w:bCs/>
          <w:lang w:val="fr-FR"/>
        </w:rPr>
        <w:t xml:space="preserve"> dans les changements transformateurs</w:t>
      </w:r>
      <w:r w:rsidR="008125AA" w:rsidRPr="00E046E7">
        <w:rPr>
          <w:rFonts w:eastAsia="Calibri"/>
          <w:bCs/>
          <w:lang w:val="fr-FR"/>
        </w:rPr>
        <w:t>.</w:t>
      </w:r>
      <w:r w:rsidR="008C3AEF" w:rsidRPr="00E046E7">
        <w:rPr>
          <w:rFonts w:eastAsia="Calibri"/>
          <w:bCs/>
          <w:lang w:val="fr-FR"/>
        </w:rPr>
        <w:t xml:space="preserve"> Le chapitre mettra en évidence la façon dont les subjectivités influencent différentes approches en matière de changements transformateurs ainsi que la résistance aux changements structurels </w:t>
      </w:r>
      <w:r w:rsidR="008125AA" w:rsidRPr="00E046E7">
        <w:rPr>
          <w:rFonts w:eastAsia="Calibri"/>
          <w:bCs/>
          <w:lang w:val="fr-FR"/>
        </w:rPr>
        <w:t>;</w:t>
      </w:r>
    </w:p>
    <w:p w14:paraId="0EC31237" w14:textId="719D5C93" w:rsidR="008125AA" w:rsidRPr="00E046E7" w:rsidRDefault="008C3AEF" w:rsidP="0038694E">
      <w:pPr>
        <w:pStyle w:val="Normalnumber"/>
        <w:numPr>
          <w:ilvl w:val="1"/>
          <w:numId w:val="4"/>
        </w:numPr>
        <w:rPr>
          <w:rFonts w:eastAsia="Calibri"/>
          <w:bCs/>
          <w:lang w:val="fr-FR"/>
        </w:rPr>
      </w:pPr>
      <w:r w:rsidRPr="00E046E7">
        <w:rPr>
          <w:rFonts w:eastAsia="Calibri"/>
          <w:bCs/>
          <w:lang w:val="fr-FR"/>
        </w:rPr>
        <w:t>Une évaluation des possibilités d</w:t>
      </w:r>
      <w:r w:rsidR="00BD2801">
        <w:rPr>
          <w:rFonts w:eastAsia="Calibri"/>
          <w:bCs/>
          <w:lang w:val="fr-FR"/>
        </w:rPr>
        <w:t>’</w:t>
      </w:r>
      <w:r w:rsidRPr="00E046E7">
        <w:rPr>
          <w:rFonts w:eastAsia="Calibri"/>
          <w:bCs/>
          <w:lang w:val="fr-FR"/>
        </w:rPr>
        <w:t>intégration des processus de changements transformateurs au sein du cadre conceptuel de la Plateforme</w:t>
      </w:r>
      <w:r w:rsidR="008125AA" w:rsidRPr="00E046E7">
        <w:rPr>
          <w:rFonts w:eastAsia="Calibri"/>
          <w:bCs/>
          <w:lang w:val="fr-FR"/>
        </w:rPr>
        <w:t>.</w:t>
      </w:r>
      <w:r w:rsidRPr="00E046E7">
        <w:rPr>
          <w:rFonts w:eastAsia="Calibri"/>
          <w:bCs/>
          <w:lang w:val="fr-FR"/>
        </w:rPr>
        <w:t xml:space="preserve"> Il s</w:t>
      </w:r>
      <w:r w:rsidR="00BD2801">
        <w:rPr>
          <w:rFonts w:eastAsia="Calibri"/>
          <w:bCs/>
          <w:lang w:val="fr-FR"/>
        </w:rPr>
        <w:t>’</w:t>
      </w:r>
      <w:r w:rsidRPr="00E046E7">
        <w:rPr>
          <w:rFonts w:eastAsia="Calibri"/>
          <w:bCs/>
          <w:lang w:val="fr-FR"/>
        </w:rPr>
        <w:t>agira notamment d</w:t>
      </w:r>
      <w:r w:rsidR="00BD2801">
        <w:rPr>
          <w:rFonts w:eastAsia="Calibri"/>
          <w:bCs/>
          <w:lang w:val="fr-FR"/>
        </w:rPr>
        <w:t>’</w:t>
      </w:r>
      <w:r w:rsidRPr="00E046E7">
        <w:rPr>
          <w:rFonts w:eastAsia="Calibri"/>
          <w:bCs/>
          <w:lang w:val="fr-FR"/>
        </w:rPr>
        <w:t>évaluer la</w:t>
      </w:r>
      <w:r w:rsidR="001A0E34">
        <w:rPr>
          <w:rFonts w:eastAsia="Calibri"/>
          <w:bCs/>
          <w:lang w:val="fr-FR"/>
        </w:rPr>
        <w:t> </w:t>
      </w:r>
      <w:r w:rsidRPr="00E046E7">
        <w:rPr>
          <w:rFonts w:eastAsia="Calibri"/>
          <w:bCs/>
          <w:lang w:val="fr-FR"/>
        </w:rPr>
        <w:t>manière dont les approches fondées sur l</w:t>
      </w:r>
      <w:r w:rsidR="00BD2801">
        <w:rPr>
          <w:rFonts w:eastAsia="Calibri"/>
          <w:bCs/>
          <w:lang w:val="fr-FR"/>
        </w:rPr>
        <w:t>’</w:t>
      </w:r>
      <w:r w:rsidRPr="00E046E7">
        <w:rPr>
          <w:rFonts w:eastAsia="Calibri"/>
          <w:bCs/>
          <w:lang w:val="fr-FR"/>
        </w:rPr>
        <w:t>équité, les droits et les responsabilités, le genre, les</w:t>
      </w:r>
      <w:r w:rsidR="001A0E34">
        <w:rPr>
          <w:rFonts w:eastAsia="Calibri"/>
          <w:bCs/>
          <w:lang w:val="fr-FR"/>
        </w:rPr>
        <w:t> </w:t>
      </w:r>
      <w:r w:rsidRPr="00E046E7">
        <w:rPr>
          <w:rFonts w:eastAsia="Calibri"/>
          <w:bCs/>
          <w:lang w:val="fr-FR"/>
        </w:rPr>
        <w:t>capacités et les valeurs peuvent contribuer à des relations durables entre les populations et la</w:t>
      </w:r>
      <w:r w:rsidR="001A0E34">
        <w:rPr>
          <w:rFonts w:eastAsia="Calibri"/>
          <w:bCs/>
          <w:lang w:val="fr-FR"/>
        </w:rPr>
        <w:t> </w:t>
      </w:r>
      <w:r w:rsidRPr="00E046E7">
        <w:rPr>
          <w:rFonts w:eastAsia="Calibri"/>
          <w:bCs/>
          <w:lang w:val="fr-FR"/>
        </w:rPr>
        <w:t>nature</w:t>
      </w:r>
      <w:bookmarkStart w:id="5" w:name="_Hlk66374632"/>
      <w:r w:rsidRPr="00E046E7">
        <w:rPr>
          <w:rFonts w:eastAsia="Calibri"/>
          <w:bCs/>
          <w:lang w:val="fr-FR"/>
        </w:rPr>
        <w:t> </w:t>
      </w:r>
      <w:r w:rsidR="008125AA" w:rsidRPr="00E046E7">
        <w:rPr>
          <w:rFonts w:eastAsia="Calibri"/>
          <w:bCs/>
          <w:lang w:val="fr-FR"/>
        </w:rPr>
        <w:t>;</w:t>
      </w:r>
      <w:bookmarkEnd w:id="5"/>
    </w:p>
    <w:p w14:paraId="6C9E8891" w14:textId="7C4BEFC2" w:rsidR="008125AA" w:rsidRPr="00E046E7" w:rsidRDefault="008B1F0B" w:rsidP="0038694E">
      <w:pPr>
        <w:pStyle w:val="Normalnumber"/>
        <w:numPr>
          <w:ilvl w:val="1"/>
          <w:numId w:val="4"/>
        </w:numPr>
        <w:rPr>
          <w:rFonts w:eastAsia="Calibri"/>
          <w:bCs/>
          <w:lang w:val="fr-FR"/>
        </w:rPr>
      </w:pPr>
      <w:r w:rsidRPr="00E046E7">
        <w:rPr>
          <w:rFonts w:eastAsia="Calibri"/>
          <w:bCs/>
          <w:lang w:val="fr-FR"/>
        </w:rPr>
        <w:t>Une évaluation d</w:t>
      </w:r>
      <w:r w:rsidR="00BD2801">
        <w:rPr>
          <w:rFonts w:eastAsia="Calibri"/>
          <w:bCs/>
          <w:lang w:val="fr-FR"/>
        </w:rPr>
        <w:t>’</w:t>
      </w:r>
      <w:r w:rsidRPr="00E046E7">
        <w:rPr>
          <w:rFonts w:eastAsia="Calibri"/>
          <w:bCs/>
          <w:lang w:val="fr-FR"/>
        </w:rPr>
        <w:t>une sélection d</w:t>
      </w:r>
      <w:r w:rsidR="00BD2801">
        <w:rPr>
          <w:rFonts w:eastAsia="Calibri"/>
          <w:bCs/>
          <w:lang w:val="fr-FR"/>
        </w:rPr>
        <w:t>’</w:t>
      </w:r>
      <w:r w:rsidRPr="00E046E7">
        <w:rPr>
          <w:rFonts w:eastAsia="Calibri"/>
          <w:bCs/>
          <w:lang w:val="fr-FR"/>
        </w:rPr>
        <w:t>exemples passés représentatifs et d</w:t>
      </w:r>
      <w:r w:rsidR="00BD2801">
        <w:rPr>
          <w:rFonts w:eastAsia="Calibri"/>
          <w:bCs/>
          <w:lang w:val="fr-FR"/>
        </w:rPr>
        <w:t>’</w:t>
      </w:r>
      <w:r w:rsidRPr="00E046E7">
        <w:rPr>
          <w:rFonts w:eastAsia="Calibri"/>
          <w:bCs/>
          <w:lang w:val="fr-FR"/>
        </w:rPr>
        <w:t>études de cas de changements transformateurs qui mettent en évidence les possibilités ainsi que les défis liés à la</w:t>
      </w:r>
      <w:r w:rsidR="001A0E34">
        <w:rPr>
          <w:rFonts w:eastAsia="Calibri"/>
          <w:bCs/>
          <w:lang w:val="fr-FR"/>
        </w:rPr>
        <w:t> </w:t>
      </w:r>
      <w:r w:rsidRPr="00E046E7">
        <w:rPr>
          <w:rFonts w:eastAsia="Calibri"/>
          <w:bCs/>
          <w:lang w:val="fr-FR"/>
        </w:rPr>
        <w:t>réalisation d</w:t>
      </w:r>
      <w:r w:rsidR="00BD2801">
        <w:rPr>
          <w:rFonts w:eastAsia="Calibri"/>
          <w:bCs/>
          <w:lang w:val="fr-FR"/>
        </w:rPr>
        <w:t>’</w:t>
      </w:r>
      <w:r w:rsidRPr="00E046E7">
        <w:rPr>
          <w:rFonts w:eastAsia="Calibri"/>
          <w:bCs/>
          <w:lang w:val="fr-FR"/>
        </w:rPr>
        <w:t>un monde durable</w:t>
      </w:r>
      <w:r w:rsidR="008125AA" w:rsidRPr="00E046E7">
        <w:rPr>
          <w:rFonts w:eastAsia="Calibri"/>
          <w:bCs/>
          <w:lang w:val="fr-FR"/>
        </w:rPr>
        <w:t>,</w:t>
      </w:r>
      <w:r w:rsidRPr="00E046E7">
        <w:rPr>
          <w:rFonts w:eastAsia="Calibri"/>
          <w:bCs/>
          <w:lang w:val="fr-FR"/>
        </w:rPr>
        <w:t xml:space="preserve"> y compris le rôle de multiples facteurs de stress et les interactions entre </w:t>
      </w:r>
      <w:r w:rsidR="00F60C56" w:rsidRPr="00E046E7">
        <w:rPr>
          <w:rFonts w:eastAsia="Calibri"/>
          <w:bCs/>
          <w:lang w:val="fr-FR"/>
        </w:rPr>
        <w:t>ces derniers</w:t>
      </w:r>
      <w:r w:rsidR="008125AA" w:rsidRPr="00E046E7">
        <w:rPr>
          <w:rFonts w:eastAsia="Calibri"/>
          <w:bCs/>
          <w:lang w:val="fr-FR"/>
        </w:rPr>
        <w:t xml:space="preserve"> (</w:t>
      </w:r>
      <w:r w:rsidR="00A50F68" w:rsidRPr="00E046E7">
        <w:rPr>
          <w:rFonts w:eastAsia="Calibri"/>
          <w:bCs/>
          <w:lang w:val="fr-FR"/>
        </w:rPr>
        <w:t>par exemple</w:t>
      </w:r>
      <w:r w:rsidR="008125AA" w:rsidRPr="00E046E7">
        <w:rPr>
          <w:rFonts w:eastAsia="Calibri"/>
          <w:bCs/>
          <w:lang w:val="fr-FR"/>
        </w:rPr>
        <w:t>,</w:t>
      </w:r>
      <w:r w:rsidR="00A50F68" w:rsidRPr="00E046E7">
        <w:rPr>
          <w:rFonts w:eastAsia="Calibri"/>
          <w:bCs/>
          <w:lang w:val="fr-FR"/>
        </w:rPr>
        <w:t xml:space="preserve"> changements climatiques</w:t>
      </w:r>
      <w:r w:rsidR="008125AA" w:rsidRPr="00E046E7">
        <w:rPr>
          <w:rFonts w:eastAsia="Calibri"/>
          <w:bCs/>
          <w:lang w:val="fr-FR"/>
        </w:rPr>
        <w:t xml:space="preserve">, </w:t>
      </w:r>
      <w:r w:rsidR="00A50F68" w:rsidRPr="00E046E7">
        <w:rPr>
          <w:rFonts w:eastAsia="Calibri"/>
          <w:bCs/>
          <w:lang w:val="fr-FR"/>
        </w:rPr>
        <w:t>extrême inégalité</w:t>
      </w:r>
      <w:r w:rsidR="008125AA" w:rsidRPr="00E046E7">
        <w:rPr>
          <w:rFonts w:eastAsia="Calibri"/>
          <w:bCs/>
          <w:lang w:val="fr-FR"/>
        </w:rPr>
        <w:t>, crises</w:t>
      </w:r>
      <w:r w:rsidR="00A50F68" w:rsidRPr="00E046E7">
        <w:rPr>
          <w:rFonts w:eastAsia="Calibri"/>
          <w:bCs/>
          <w:lang w:val="fr-FR"/>
        </w:rPr>
        <w:t xml:space="preserve"> économiques</w:t>
      </w:r>
      <w:r w:rsidR="008125AA" w:rsidRPr="00E046E7">
        <w:rPr>
          <w:rFonts w:eastAsia="Calibri"/>
          <w:bCs/>
          <w:lang w:val="fr-FR"/>
        </w:rPr>
        <w:t xml:space="preserve">, </w:t>
      </w:r>
      <w:r w:rsidR="00A50F68" w:rsidRPr="00E046E7">
        <w:rPr>
          <w:rFonts w:eastAsia="Calibri"/>
          <w:bCs/>
          <w:lang w:val="fr-FR"/>
        </w:rPr>
        <w:t>dynamique démographique</w:t>
      </w:r>
      <w:r w:rsidR="008125AA" w:rsidRPr="00E046E7">
        <w:rPr>
          <w:rFonts w:eastAsia="Calibri"/>
          <w:bCs/>
          <w:lang w:val="fr-FR"/>
        </w:rPr>
        <w:t xml:space="preserve">, </w:t>
      </w:r>
      <w:r w:rsidR="00A50F68" w:rsidRPr="00E046E7">
        <w:rPr>
          <w:rFonts w:eastAsia="Calibri"/>
          <w:bCs/>
          <w:lang w:val="fr-FR"/>
        </w:rPr>
        <w:t>pandémie</w:t>
      </w:r>
      <w:r w:rsidR="00475C7E">
        <w:rPr>
          <w:rFonts w:eastAsia="Calibri"/>
          <w:bCs/>
          <w:lang w:val="fr-FR"/>
        </w:rPr>
        <w:t>s</w:t>
      </w:r>
      <w:r w:rsidR="008125AA" w:rsidRPr="00E046E7">
        <w:rPr>
          <w:rFonts w:eastAsia="Calibri"/>
          <w:bCs/>
          <w:lang w:val="fr-FR"/>
        </w:rPr>
        <w:t>).</w:t>
      </w:r>
      <w:r w:rsidR="00A50F68" w:rsidRPr="00E046E7">
        <w:rPr>
          <w:rFonts w:eastAsia="Calibri"/>
          <w:bCs/>
          <w:lang w:val="fr-FR"/>
        </w:rPr>
        <w:t xml:space="preserve"> Des points clés des débats concernant les théories, les cadres, les croyances, les normes, les valeurs, les visions du monde et les paradigmes dans les sections précédentes seront mis </w:t>
      </w:r>
      <w:r w:rsidR="00475C7E">
        <w:rPr>
          <w:rFonts w:eastAsia="Calibri"/>
          <w:bCs/>
          <w:lang w:val="fr-FR"/>
        </w:rPr>
        <w:t>en lumière</w:t>
      </w:r>
      <w:r w:rsidR="00A50F68" w:rsidRPr="00E046E7">
        <w:rPr>
          <w:rFonts w:eastAsia="Calibri"/>
          <w:bCs/>
          <w:lang w:val="fr-FR"/>
        </w:rPr>
        <w:t xml:space="preserve"> dans des exemples</w:t>
      </w:r>
      <w:r w:rsidR="008125AA" w:rsidRPr="00E046E7">
        <w:rPr>
          <w:rFonts w:eastAsia="Calibri"/>
          <w:bCs/>
          <w:lang w:val="fr-FR"/>
        </w:rPr>
        <w:t xml:space="preserve">. </w:t>
      </w:r>
      <w:r w:rsidR="00A50F68" w:rsidRPr="00E046E7">
        <w:rPr>
          <w:rFonts w:eastAsia="Calibri"/>
          <w:bCs/>
          <w:lang w:val="fr-FR"/>
        </w:rPr>
        <w:t>Les exemples illustreront des acteurs, des</w:t>
      </w:r>
      <w:r w:rsidR="001A0E34">
        <w:rPr>
          <w:rFonts w:eastAsia="Calibri"/>
          <w:bCs/>
          <w:lang w:val="fr-FR"/>
        </w:rPr>
        <w:t> </w:t>
      </w:r>
      <w:r w:rsidR="00A50F68" w:rsidRPr="00E046E7">
        <w:rPr>
          <w:rFonts w:eastAsia="Calibri"/>
          <w:bCs/>
          <w:lang w:val="fr-FR"/>
        </w:rPr>
        <w:t>conditions, des capacités et des politiques qui contribuent à des changements transformateurs, notamment l</w:t>
      </w:r>
      <w:r w:rsidR="00BD2801">
        <w:rPr>
          <w:rFonts w:eastAsia="Calibri"/>
          <w:bCs/>
          <w:lang w:val="fr-FR"/>
        </w:rPr>
        <w:t>’</w:t>
      </w:r>
      <w:r w:rsidR="00A50F68" w:rsidRPr="00E046E7">
        <w:rPr>
          <w:rFonts w:eastAsia="Calibri"/>
          <w:bCs/>
          <w:lang w:val="fr-FR"/>
        </w:rPr>
        <w:t>apprentissage et l</w:t>
      </w:r>
      <w:r w:rsidR="00BD2801">
        <w:rPr>
          <w:rFonts w:eastAsia="Calibri"/>
          <w:bCs/>
          <w:lang w:val="fr-FR"/>
        </w:rPr>
        <w:t>’</w:t>
      </w:r>
      <w:r w:rsidR="00A50F68" w:rsidRPr="00E046E7">
        <w:rPr>
          <w:rFonts w:eastAsia="Calibri"/>
          <w:bCs/>
          <w:lang w:val="fr-FR"/>
        </w:rPr>
        <w:t>éducation, la santé, l</w:t>
      </w:r>
      <w:r w:rsidR="00BD2801">
        <w:rPr>
          <w:rFonts w:eastAsia="Calibri"/>
          <w:bCs/>
          <w:lang w:val="fr-FR"/>
        </w:rPr>
        <w:t>’</w:t>
      </w:r>
      <w:r w:rsidR="00A50F68" w:rsidRPr="00E046E7">
        <w:rPr>
          <w:rFonts w:eastAsia="Calibri"/>
          <w:bCs/>
          <w:lang w:val="fr-FR"/>
        </w:rPr>
        <w:t>équité et la justice, la créativité et l</w:t>
      </w:r>
      <w:r w:rsidR="00BD2801">
        <w:rPr>
          <w:rFonts w:eastAsia="Calibri"/>
          <w:bCs/>
          <w:lang w:val="fr-FR"/>
        </w:rPr>
        <w:t>’</w:t>
      </w:r>
      <w:r w:rsidR="00A50F68" w:rsidRPr="00E046E7">
        <w:rPr>
          <w:rFonts w:eastAsia="Calibri"/>
          <w:bCs/>
          <w:lang w:val="fr-FR"/>
        </w:rPr>
        <w:t xml:space="preserve">innovation, les </w:t>
      </w:r>
      <w:r w:rsidR="0057756E" w:rsidRPr="00E046E7">
        <w:rPr>
          <w:rFonts w:eastAsia="Calibri"/>
          <w:bCs/>
          <w:lang w:val="fr-FR"/>
        </w:rPr>
        <w:t>actions</w:t>
      </w:r>
      <w:r w:rsidR="00A50F68" w:rsidRPr="00E046E7">
        <w:rPr>
          <w:rFonts w:eastAsia="Calibri"/>
          <w:bCs/>
          <w:lang w:val="fr-FR"/>
        </w:rPr>
        <w:t>, l</w:t>
      </w:r>
      <w:r w:rsidR="00BD2801">
        <w:rPr>
          <w:rFonts w:eastAsia="Calibri"/>
          <w:bCs/>
          <w:lang w:val="fr-FR"/>
        </w:rPr>
        <w:t>’</w:t>
      </w:r>
      <w:r w:rsidR="00A50F68" w:rsidRPr="00E046E7">
        <w:rPr>
          <w:rFonts w:eastAsia="Calibri"/>
          <w:bCs/>
          <w:lang w:val="fr-FR"/>
        </w:rPr>
        <w:t xml:space="preserve">autonomisation, </w:t>
      </w:r>
      <w:r w:rsidR="00255495">
        <w:rPr>
          <w:rFonts w:eastAsia="Calibri"/>
          <w:bCs/>
          <w:lang w:val="fr-FR"/>
        </w:rPr>
        <w:t>le leadership</w:t>
      </w:r>
      <w:r w:rsidR="0057756E" w:rsidRPr="00E046E7">
        <w:rPr>
          <w:rFonts w:eastAsia="Calibri"/>
          <w:bCs/>
          <w:lang w:val="fr-FR"/>
        </w:rPr>
        <w:t xml:space="preserve"> et les relations de pouvoir</w:t>
      </w:r>
      <w:r w:rsidR="008125AA" w:rsidRPr="00E046E7">
        <w:rPr>
          <w:rFonts w:eastAsia="Calibri"/>
          <w:bCs/>
          <w:lang w:val="fr-FR"/>
        </w:rPr>
        <w:t>.</w:t>
      </w:r>
      <w:r w:rsidR="0057756E" w:rsidRPr="00E046E7">
        <w:rPr>
          <w:rFonts w:eastAsia="Calibri"/>
          <w:bCs/>
          <w:lang w:val="fr-FR"/>
        </w:rPr>
        <w:t xml:space="preserve"> Cela</w:t>
      </w:r>
      <w:r w:rsidR="008125AA" w:rsidRPr="00E046E7">
        <w:rPr>
          <w:rFonts w:eastAsia="Calibri"/>
          <w:bCs/>
          <w:lang w:val="fr-FR"/>
        </w:rPr>
        <w:t xml:space="preserve"> </w:t>
      </w:r>
      <w:r w:rsidR="0057756E" w:rsidRPr="00E046E7">
        <w:rPr>
          <w:rFonts w:eastAsia="Calibri"/>
          <w:bCs/>
          <w:lang w:val="fr-FR"/>
        </w:rPr>
        <w:t>jettera les bases pour le</w:t>
      </w:r>
      <w:r w:rsidR="001A0E34">
        <w:rPr>
          <w:rFonts w:eastAsia="Calibri"/>
          <w:bCs/>
          <w:lang w:val="fr-FR"/>
        </w:rPr>
        <w:t> </w:t>
      </w:r>
      <w:r w:rsidR="0057756E" w:rsidRPr="00E046E7">
        <w:rPr>
          <w:rFonts w:eastAsia="Calibri"/>
          <w:bCs/>
          <w:lang w:val="fr-FR"/>
        </w:rPr>
        <w:t>chapitre 4 portant sur</w:t>
      </w:r>
      <w:r w:rsidR="00D658A2" w:rsidRPr="00E046E7">
        <w:rPr>
          <w:rFonts w:eastAsia="Calibri"/>
          <w:bCs/>
          <w:lang w:val="fr-FR"/>
        </w:rPr>
        <w:t xml:space="preserve"> la manière dont il convient de surmonter</w:t>
      </w:r>
      <w:r w:rsidR="0057756E" w:rsidRPr="00E046E7">
        <w:rPr>
          <w:rFonts w:eastAsia="Calibri"/>
          <w:bCs/>
          <w:lang w:val="fr-FR"/>
        </w:rPr>
        <w:t xml:space="preserve"> les défis</w:t>
      </w:r>
      <w:r w:rsidR="00D658A2" w:rsidRPr="00E046E7">
        <w:rPr>
          <w:rFonts w:eastAsia="Calibri"/>
          <w:bCs/>
          <w:lang w:val="fr-FR"/>
        </w:rPr>
        <w:t xml:space="preserve"> liés aux changements transformateurs</w:t>
      </w:r>
      <w:r w:rsidR="0057756E" w:rsidRPr="00E046E7">
        <w:rPr>
          <w:rFonts w:eastAsia="Calibri"/>
          <w:bCs/>
          <w:lang w:val="fr-FR"/>
        </w:rPr>
        <w:t xml:space="preserve"> et</w:t>
      </w:r>
      <w:r w:rsidR="008125AA" w:rsidRPr="00E046E7">
        <w:rPr>
          <w:rFonts w:eastAsia="Calibri"/>
          <w:bCs/>
          <w:lang w:val="fr-FR"/>
        </w:rPr>
        <w:t xml:space="preserve"> </w:t>
      </w:r>
      <w:r w:rsidR="0057756E" w:rsidRPr="00E046E7">
        <w:rPr>
          <w:rFonts w:eastAsia="Calibri"/>
          <w:bCs/>
          <w:lang w:val="fr-FR"/>
        </w:rPr>
        <w:t xml:space="preserve">les résistances à </w:t>
      </w:r>
      <w:r w:rsidR="00D658A2" w:rsidRPr="00E046E7">
        <w:rPr>
          <w:rFonts w:eastAsia="Calibri"/>
          <w:bCs/>
          <w:lang w:val="fr-FR"/>
        </w:rPr>
        <w:t>ceux-ci</w:t>
      </w:r>
      <w:r w:rsidR="008125AA" w:rsidRPr="00E046E7">
        <w:rPr>
          <w:rFonts w:eastAsia="Calibri"/>
          <w:bCs/>
          <w:lang w:val="fr-FR"/>
        </w:rPr>
        <w:t>.</w:t>
      </w:r>
    </w:p>
    <w:bookmarkEnd w:id="4"/>
    <w:p w14:paraId="18EA128C" w14:textId="5C119013" w:rsidR="008125AA" w:rsidRPr="00BD2801" w:rsidRDefault="00D658A2" w:rsidP="00BD2801">
      <w:pPr>
        <w:pStyle w:val="Normalnumber"/>
        <w:rPr>
          <w:rFonts w:eastAsia="Calibri"/>
          <w:u w:val="single"/>
          <w:lang w:val="fr-FR"/>
        </w:rPr>
      </w:pPr>
      <w:r w:rsidRPr="00E046E7">
        <w:rPr>
          <w:b/>
          <w:bCs/>
          <w:lang w:val="fr-FR"/>
        </w:rPr>
        <w:t>Chapitre </w:t>
      </w:r>
      <w:r w:rsidR="008125AA" w:rsidRPr="00E046E7">
        <w:rPr>
          <w:b/>
          <w:bCs/>
          <w:lang w:val="fr-FR"/>
        </w:rPr>
        <w:t>4</w:t>
      </w:r>
      <w:r w:rsidRPr="00E046E7">
        <w:rPr>
          <w:b/>
          <w:bCs/>
          <w:lang w:val="fr-FR"/>
        </w:rPr>
        <w:t> </w:t>
      </w:r>
      <w:r w:rsidR="008125AA" w:rsidRPr="00E046E7">
        <w:rPr>
          <w:b/>
          <w:bCs/>
          <w:lang w:val="fr-FR"/>
        </w:rPr>
        <w:t xml:space="preserve">: </w:t>
      </w:r>
      <w:r w:rsidRPr="00E046E7">
        <w:rPr>
          <w:rFonts w:eastAsia="Calibri"/>
          <w:b/>
          <w:bCs/>
          <w:lang w:val="fr-FR"/>
        </w:rPr>
        <w:t>Surmonter les défis liés aux changements transformateurs en vue d</w:t>
      </w:r>
      <w:r w:rsidR="00BD2801">
        <w:rPr>
          <w:rFonts w:eastAsia="Calibri"/>
          <w:b/>
          <w:bCs/>
          <w:lang w:val="fr-FR"/>
        </w:rPr>
        <w:t>’</w:t>
      </w:r>
      <w:r w:rsidRPr="00E046E7">
        <w:rPr>
          <w:rFonts w:eastAsia="Calibri"/>
          <w:b/>
          <w:bCs/>
          <w:lang w:val="fr-FR"/>
        </w:rPr>
        <w:t>un</w:t>
      </w:r>
      <w:r w:rsidR="001A0E34">
        <w:rPr>
          <w:rFonts w:eastAsia="Calibri"/>
          <w:b/>
          <w:bCs/>
          <w:lang w:val="fr-FR"/>
        </w:rPr>
        <w:t> </w:t>
      </w:r>
      <w:r w:rsidRPr="00E046E7">
        <w:rPr>
          <w:rFonts w:eastAsia="Calibri"/>
          <w:b/>
          <w:bCs/>
          <w:lang w:val="fr-FR"/>
        </w:rPr>
        <w:t>monde durable</w:t>
      </w:r>
      <w:r w:rsidR="008125AA" w:rsidRPr="00E046E7">
        <w:rPr>
          <w:rFonts w:eastAsia="Calibri"/>
          <w:b/>
          <w:bCs/>
          <w:lang w:val="fr-FR"/>
        </w:rPr>
        <w:t>.</w:t>
      </w:r>
      <w:r w:rsidR="008125AA" w:rsidRPr="001A0E34">
        <w:rPr>
          <w:rFonts w:eastAsia="Calibri"/>
          <w:lang w:val="fr-FR"/>
        </w:rPr>
        <w:t xml:space="preserve"> </w:t>
      </w:r>
      <w:r w:rsidRPr="00E046E7">
        <w:rPr>
          <w:rFonts w:eastAsia="Calibri"/>
          <w:lang w:val="fr-FR"/>
        </w:rPr>
        <w:t>Reconnaissant que les efforts visant à traiter les causes profondes de l</w:t>
      </w:r>
      <w:r w:rsidR="00BD2801">
        <w:rPr>
          <w:rFonts w:eastAsia="Calibri"/>
          <w:lang w:val="fr-FR"/>
        </w:rPr>
        <w:t>’</w:t>
      </w:r>
      <w:r w:rsidRPr="00E046E7">
        <w:rPr>
          <w:rFonts w:eastAsia="Calibri"/>
          <w:lang w:val="fr-FR"/>
        </w:rPr>
        <w:t>érosion de la biodiversité n</w:t>
      </w:r>
      <w:r w:rsidR="00BD2801">
        <w:rPr>
          <w:rFonts w:eastAsia="Calibri"/>
          <w:lang w:val="fr-FR"/>
        </w:rPr>
        <w:t>’</w:t>
      </w:r>
      <w:r w:rsidRPr="00E046E7">
        <w:rPr>
          <w:rFonts w:eastAsia="Calibri"/>
          <w:lang w:val="fr-FR"/>
        </w:rPr>
        <w:t>ont, pour la plupart, pas porté leurs fruits, le chapitre 4 évaluera un large éventail de défis et d</w:t>
      </w:r>
      <w:r w:rsidR="00BD2801">
        <w:rPr>
          <w:rFonts w:eastAsia="Calibri"/>
          <w:lang w:val="fr-FR"/>
        </w:rPr>
        <w:t>’</w:t>
      </w:r>
      <w:r w:rsidRPr="00E046E7">
        <w:rPr>
          <w:rFonts w:eastAsia="Calibri"/>
          <w:lang w:val="fr-FR"/>
        </w:rPr>
        <w:t>obstacles qui entravent les changements transformateurs en vue d</w:t>
      </w:r>
      <w:r w:rsidR="00BD2801">
        <w:rPr>
          <w:rFonts w:eastAsia="Calibri"/>
          <w:lang w:val="fr-FR"/>
        </w:rPr>
        <w:t>’</w:t>
      </w:r>
      <w:r w:rsidRPr="00E046E7">
        <w:rPr>
          <w:rFonts w:eastAsia="Calibri"/>
          <w:lang w:val="fr-FR"/>
        </w:rPr>
        <w:t>un monde durable pour la nature et les populations</w:t>
      </w:r>
      <w:r w:rsidR="008125AA" w:rsidRPr="00E046E7">
        <w:rPr>
          <w:rFonts w:eastAsia="Calibri"/>
          <w:lang w:val="fr-FR"/>
        </w:rPr>
        <w:t>,</w:t>
      </w:r>
      <w:r w:rsidRPr="00E046E7">
        <w:rPr>
          <w:rFonts w:eastAsia="Calibri"/>
          <w:lang w:val="fr-FR"/>
        </w:rPr>
        <w:t xml:space="preserve"> en accordant une attention particulière aux stratégies visant à surmonter </w:t>
      </w:r>
      <w:r w:rsidR="00365BDB" w:rsidRPr="00E046E7">
        <w:rPr>
          <w:rFonts w:eastAsia="Calibri"/>
          <w:lang w:val="fr-FR"/>
        </w:rPr>
        <w:t>ceux-ci afin de promouvoir les visions mondiales, régionales et locales d</w:t>
      </w:r>
      <w:r w:rsidR="00BD2801">
        <w:rPr>
          <w:rFonts w:eastAsia="Calibri"/>
          <w:lang w:val="fr-FR"/>
        </w:rPr>
        <w:t>’</w:t>
      </w:r>
      <w:r w:rsidR="00365BDB" w:rsidRPr="00E046E7">
        <w:rPr>
          <w:rFonts w:eastAsia="Calibri"/>
          <w:lang w:val="fr-FR"/>
        </w:rPr>
        <w:t>un monde durable pour la</w:t>
      </w:r>
      <w:r w:rsidR="001A0E34">
        <w:rPr>
          <w:rFonts w:eastAsia="Calibri"/>
          <w:lang w:val="fr-FR"/>
        </w:rPr>
        <w:t> </w:t>
      </w:r>
      <w:r w:rsidR="00365BDB" w:rsidRPr="00E046E7">
        <w:rPr>
          <w:rFonts w:eastAsia="Calibri"/>
          <w:lang w:val="fr-FR"/>
        </w:rPr>
        <w:t xml:space="preserve">nature et les </w:t>
      </w:r>
      <w:r w:rsidR="00365BDB" w:rsidRPr="00BD2801">
        <w:rPr>
          <w:rFonts w:eastAsia="Calibri"/>
          <w:lang w:val="fr-FR"/>
        </w:rPr>
        <w:t>populations</w:t>
      </w:r>
      <w:r w:rsidR="008125AA" w:rsidRPr="00BD2801">
        <w:rPr>
          <w:rFonts w:eastAsia="Calibri"/>
          <w:lang w:val="fr-FR"/>
        </w:rPr>
        <w:t>.</w:t>
      </w:r>
    </w:p>
    <w:p w14:paraId="66D63FAD" w14:textId="3650FF87" w:rsidR="008125AA" w:rsidRPr="00E046E7" w:rsidRDefault="00365BDB" w:rsidP="00BD2801">
      <w:pPr>
        <w:pStyle w:val="Normalnumber"/>
        <w:rPr>
          <w:rFonts w:eastAsia="MS Mincho"/>
          <w:lang w:val="fr-FR"/>
        </w:rPr>
      </w:pPr>
      <w:r w:rsidRPr="00E046E7">
        <w:rPr>
          <w:rFonts w:eastAsia="MS Mincho"/>
          <w:lang w:val="fr-FR"/>
        </w:rPr>
        <w:lastRenderedPageBreak/>
        <w:t>Compte tenu des actions, des habitudes, des valeurs sous-jacentes et des intérêts des divers acteurs et institutions concernés, ce chapitre traitera une série de contraintes et de défis qui se</w:t>
      </w:r>
      <w:r w:rsidR="001A0E34">
        <w:rPr>
          <w:rFonts w:eastAsia="MS Mincho"/>
          <w:lang w:val="fr-FR"/>
        </w:rPr>
        <w:t> </w:t>
      </w:r>
      <w:r w:rsidRPr="00E046E7">
        <w:rPr>
          <w:rFonts w:eastAsia="MS Mincho"/>
          <w:lang w:val="fr-FR"/>
        </w:rPr>
        <w:t xml:space="preserve">présentent dans et entre des systèmes politiques, juridiques, technologiques, physiques </w:t>
      </w:r>
      <w:r w:rsidR="008125AA" w:rsidRPr="00E046E7">
        <w:rPr>
          <w:rFonts w:eastAsia="MS Mincho"/>
          <w:lang w:val="fr-FR"/>
        </w:rPr>
        <w:t>(</w:t>
      </w:r>
      <w:r w:rsidRPr="00E046E7">
        <w:rPr>
          <w:rFonts w:eastAsia="MS Mincho"/>
          <w:lang w:val="fr-FR"/>
        </w:rPr>
        <w:t>par</w:t>
      </w:r>
      <w:r w:rsidR="001A0E34">
        <w:rPr>
          <w:rFonts w:eastAsia="MS Mincho"/>
          <w:lang w:val="fr-FR"/>
        </w:rPr>
        <w:t> </w:t>
      </w:r>
      <w:r w:rsidRPr="00E046E7">
        <w:rPr>
          <w:rFonts w:eastAsia="MS Mincho"/>
          <w:lang w:val="fr-FR"/>
        </w:rPr>
        <w:t>exemple,</w:t>
      </w:r>
      <w:r w:rsidR="008125AA" w:rsidRPr="00E046E7">
        <w:rPr>
          <w:rFonts w:eastAsia="MS Mincho"/>
          <w:lang w:val="fr-FR"/>
        </w:rPr>
        <w:t xml:space="preserve"> infrastructure</w:t>
      </w:r>
      <w:r w:rsidRPr="00E046E7">
        <w:rPr>
          <w:rFonts w:eastAsia="MS Mincho"/>
          <w:lang w:val="fr-FR"/>
        </w:rPr>
        <w:t>s</w:t>
      </w:r>
      <w:r w:rsidR="008125AA" w:rsidRPr="00E046E7">
        <w:rPr>
          <w:rFonts w:eastAsia="MS Mincho"/>
          <w:lang w:val="fr-FR"/>
        </w:rPr>
        <w:t xml:space="preserve">), </w:t>
      </w:r>
      <w:r w:rsidRPr="00E046E7">
        <w:rPr>
          <w:rFonts w:eastAsia="MS Mincho"/>
          <w:lang w:val="fr-FR"/>
        </w:rPr>
        <w:t>économiques</w:t>
      </w:r>
      <w:r w:rsidR="008125AA" w:rsidRPr="00E046E7">
        <w:rPr>
          <w:rFonts w:eastAsia="MS Mincho"/>
          <w:lang w:val="fr-FR"/>
        </w:rPr>
        <w:t>/financi</w:t>
      </w:r>
      <w:r w:rsidRPr="00E046E7">
        <w:rPr>
          <w:rFonts w:eastAsia="MS Mincho"/>
          <w:lang w:val="fr-FR"/>
        </w:rPr>
        <w:t>er</w:t>
      </w:r>
      <w:r w:rsidR="00255495">
        <w:rPr>
          <w:rFonts w:eastAsia="MS Mincho"/>
          <w:lang w:val="fr-FR"/>
        </w:rPr>
        <w:t>s</w:t>
      </w:r>
      <w:r w:rsidR="008125AA" w:rsidRPr="00E046E7">
        <w:rPr>
          <w:rFonts w:eastAsia="MS Mincho"/>
          <w:lang w:val="fr-FR"/>
        </w:rPr>
        <w:t xml:space="preserve"> </w:t>
      </w:r>
      <w:r w:rsidRPr="00E046E7">
        <w:rPr>
          <w:rFonts w:eastAsia="MS Mincho"/>
          <w:lang w:val="fr-FR"/>
        </w:rPr>
        <w:t xml:space="preserve">et autres systèmes sociaux et le fonctionnement des écosystèmes, </w:t>
      </w:r>
      <w:r w:rsidR="00BC29F8">
        <w:rPr>
          <w:rFonts w:eastAsia="MS Mincho"/>
          <w:lang w:val="fr-FR"/>
        </w:rPr>
        <w:t>ainsi que</w:t>
      </w:r>
      <w:r w:rsidRPr="00E046E7">
        <w:rPr>
          <w:rFonts w:eastAsia="MS Mincho"/>
          <w:lang w:val="fr-FR"/>
        </w:rPr>
        <w:t xml:space="preserve"> la façon dont ces défis pourraient être surmontés</w:t>
      </w:r>
      <w:r w:rsidR="008125AA" w:rsidRPr="00E046E7">
        <w:rPr>
          <w:rFonts w:eastAsia="MS Mincho"/>
          <w:lang w:val="fr-FR"/>
        </w:rPr>
        <w:t>.</w:t>
      </w:r>
      <w:r w:rsidRPr="00E046E7">
        <w:rPr>
          <w:rFonts w:eastAsia="MS Mincho"/>
          <w:lang w:val="fr-FR"/>
        </w:rPr>
        <w:t xml:space="preserve"> Parmi les défis que l</w:t>
      </w:r>
      <w:r w:rsidR="00BD2801">
        <w:rPr>
          <w:rFonts w:eastAsia="MS Mincho"/>
          <w:lang w:val="fr-FR"/>
        </w:rPr>
        <w:t>’</w:t>
      </w:r>
      <w:r w:rsidRPr="00E046E7">
        <w:rPr>
          <w:rFonts w:eastAsia="MS Mincho"/>
          <w:lang w:val="fr-FR"/>
        </w:rPr>
        <w:t>évaluation traitera figurent </w:t>
      </w:r>
      <w:r w:rsidR="008125AA" w:rsidRPr="00E046E7">
        <w:rPr>
          <w:rFonts w:eastAsia="MS Mincho"/>
          <w:lang w:val="fr-FR"/>
        </w:rPr>
        <w:t>:</w:t>
      </w:r>
    </w:p>
    <w:p w14:paraId="4455C03D" w14:textId="129BA40D" w:rsidR="008125AA" w:rsidRPr="00E046E7" w:rsidRDefault="00665B3D" w:rsidP="0038694E">
      <w:pPr>
        <w:pStyle w:val="Normalnumber"/>
        <w:numPr>
          <w:ilvl w:val="1"/>
          <w:numId w:val="4"/>
        </w:numPr>
        <w:rPr>
          <w:rFonts w:eastAsia="Calibri"/>
          <w:lang w:val="fr-FR"/>
        </w:rPr>
      </w:pPr>
      <w:r w:rsidRPr="00E046E7">
        <w:rPr>
          <w:rFonts w:eastAsia="Calibri"/>
          <w:lang w:val="fr-FR"/>
        </w:rPr>
        <w:t>Ceux associés à l</w:t>
      </w:r>
      <w:r w:rsidR="00BD2801">
        <w:rPr>
          <w:rFonts w:eastAsia="Calibri"/>
          <w:lang w:val="fr-FR"/>
        </w:rPr>
        <w:t>’</w:t>
      </w:r>
      <w:r w:rsidRPr="00E046E7">
        <w:rPr>
          <w:rFonts w:eastAsia="Calibri"/>
          <w:lang w:val="fr-FR"/>
        </w:rPr>
        <w:t>élaboration, la mise en œuvre et la</w:t>
      </w:r>
      <w:r w:rsidR="00D24226" w:rsidRPr="00E046E7">
        <w:rPr>
          <w:rFonts w:eastAsia="Calibri"/>
          <w:lang w:val="fr-FR"/>
        </w:rPr>
        <w:t xml:space="preserve"> cohérence</w:t>
      </w:r>
      <w:r w:rsidRPr="00E046E7">
        <w:rPr>
          <w:rFonts w:eastAsia="Calibri"/>
          <w:lang w:val="fr-FR"/>
        </w:rPr>
        <w:t xml:space="preserve"> des politiques</w:t>
      </w:r>
      <w:r w:rsidR="00D24226" w:rsidRPr="00E046E7">
        <w:rPr>
          <w:rFonts w:eastAsia="Calibri"/>
          <w:lang w:val="fr-FR"/>
        </w:rPr>
        <w:t>, notamment la représentation et la prise en compte des visions du monde et des vues divergentes</w:t>
      </w:r>
      <w:r w:rsidR="008125AA" w:rsidRPr="00E046E7">
        <w:rPr>
          <w:rFonts w:eastAsia="Calibri"/>
          <w:lang w:val="fr-FR"/>
        </w:rPr>
        <w:t xml:space="preserve">, </w:t>
      </w:r>
      <w:r w:rsidR="00D24226" w:rsidRPr="00E046E7">
        <w:rPr>
          <w:rFonts w:eastAsia="Calibri"/>
          <w:lang w:val="fr-FR"/>
        </w:rPr>
        <w:t>le</w:t>
      </w:r>
      <w:r w:rsidR="001A0E34">
        <w:rPr>
          <w:rFonts w:eastAsia="Calibri"/>
          <w:lang w:val="fr-FR"/>
        </w:rPr>
        <w:t> </w:t>
      </w:r>
      <w:r w:rsidR="00D24226" w:rsidRPr="00E046E7">
        <w:rPr>
          <w:rFonts w:eastAsia="Calibri"/>
          <w:lang w:val="fr-FR"/>
        </w:rPr>
        <w:t>couplage des processus politiques et les conséquences politiques imprévues </w:t>
      </w:r>
      <w:r w:rsidR="008125AA" w:rsidRPr="00E046E7">
        <w:rPr>
          <w:rFonts w:eastAsia="Calibri"/>
          <w:lang w:val="fr-FR"/>
        </w:rPr>
        <w:t xml:space="preserve">; </w:t>
      </w:r>
    </w:p>
    <w:p w14:paraId="28BCCFAF" w14:textId="7EA2AD8E" w:rsidR="008125AA" w:rsidRPr="00E046E7" w:rsidRDefault="00D24226" w:rsidP="0038694E">
      <w:pPr>
        <w:pStyle w:val="Normalnumber"/>
        <w:numPr>
          <w:ilvl w:val="1"/>
          <w:numId w:val="4"/>
        </w:numPr>
        <w:rPr>
          <w:rFonts w:eastAsia="Calibri"/>
          <w:lang w:val="fr-FR"/>
        </w:rPr>
      </w:pPr>
      <w:r w:rsidRPr="00E046E7">
        <w:rPr>
          <w:rFonts w:eastAsia="Calibri"/>
          <w:lang w:val="fr-FR"/>
        </w:rPr>
        <w:t>L</w:t>
      </w:r>
      <w:r w:rsidR="00BD2801">
        <w:rPr>
          <w:rFonts w:eastAsia="Calibri"/>
          <w:lang w:val="fr-FR"/>
        </w:rPr>
        <w:t>’</w:t>
      </w:r>
      <w:r w:rsidRPr="00E046E7">
        <w:rPr>
          <w:rFonts w:eastAsia="Calibri"/>
          <w:lang w:val="fr-FR"/>
        </w:rPr>
        <w:t>o</w:t>
      </w:r>
      <w:r w:rsidR="008125AA" w:rsidRPr="00E046E7">
        <w:rPr>
          <w:rFonts w:eastAsia="Calibri"/>
          <w:lang w:val="fr-FR"/>
        </w:rPr>
        <w:t xml:space="preserve">pposition </w:t>
      </w:r>
      <w:r w:rsidR="00173F0B" w:rsidRPr="00E046E7">
        <w:rPr>
          <w:rFonts w:eastAsia="Calibri"/>
          <w:lang w:val="fr-FR"/>
        </w:rPr>
        <w:t>découlant</w:t>
      </w:r>
      <w:r w:rsidRPr="00E046E7">
        <w:rPr>
          <w:rFonts w:eastAsia="Calibri"/>
          <w:lang w:val="fr-FR"/>
        </w:rPr>
        <w:t xml:space="preserve"> d</w:t>
      </w:r>
      <w:r w:rsidR="00BD2801">
        <w:rPr>
          <w:rFonts w:eastAsia="Calibri"/>
          <w:lang w:val="fr-FR"/>
        </w:rPr>
        <w:t>’</w:t>
      </w:r>
      <w:r w:rsidRPr="00E046E7">
        <w:rPr>
          <w:rFonts w:eastAsia="Calibri"/>
          <w:lang w:val="fr-FR"/>
        </w:rPr>
        <w:t>intérêts publics et privés, facilité</w:t>
      </w:r>
      <w:r w:rsidR="00173F0B" w:rsidRPr="00E046E7">
        <w:rPr>
          <w:rFonts w:eastAsia="Calibri"/>
          <w:lang w:val="fr-FR"/>
        </w:rPr>
        <w:t>e</w:t>
      </w:r>
      <w:r w:rsidRPr="00E046E7">
        <w:rPr>
          <w:rFonts w:eastAsia="Calibri"/>
          <w:lang w:val="fr-FR"/>
        </w:rPr>
        <w:t xml:space="preserve"> par des institutions faibles</w:t>
      </w:r>
      <w:r w:rsidR="00173F0B" w:rsidRPr="00E046E7">
        <w:rPr>
          <w:rFonts w:eastAsia="Calibri"/>
          <w:lang w:val="fr-FR"/>
        </w:rPr>
        <w:t xml:space="preserve"> manquant de capacités d</w:t>
      </w:r>
      <w:r w:rsidR="00BD2801">
        <w:rPr>
          <w:rFonts w:eastAsia="Calibri"/>
          <w:lang w:val="fr-FR"/>
        </w:rPr>
        <w:t>’</w:t>
      </w:r>
      <w:r w:rsidR="00173F0B" w:rsidRPr="00E046E7">
        <w:rPr>
          <w:rFonts w:eastAsia="Calibri"/>
          <w:lang w:val="fr-FR"/>
        </w:rPr>
        <w:t>application en raison d</w:t>
      </w:r>
      <w:r w:rsidR="00BD2801">
        <w:rPr>
          <w:rFonts w:eastAsia="Calibri"/>
          <w:lang w:val="fr-FR"/>
        </w:rPr>
        <w:t>’</w:t>
      </w:r>
      <w:r w:rsidR="00173F0B" w:rsidRPr="00E046E7">
        <w:rPr>
          <w:rFonts w:eastAsia="Calibri"/>
          <w:lang w:val="fr-FR"/>
        </w:rPr>
        <w:t>un état de droit, d</w:t>
      </w:r>
      <w:r w:rsidR="00BD2801">
        <w:rPr>
          <w:rFonts w:eastAsia="Calibri"/>
          <w:lang w:val="fr-FR"/>
        </w:rPr>
        <w:t>’</w:t>
      </w:r>
      <w:r w:rsidR="00173F0B" w:rsidRPr="00E046E7">
        <w:rPr>
          <w:rFonts w:eastAsia="Calibri"/>
          <w:lang w:val="fr-FR"/>
        </w:rPr>
        <w:t>une transparence et d</w:t>
      </w:r>
      <w:r w:rsidR="00BD2801">
        <w:rPr>
          <w:rFonts w:eastAsia="Calibri"/>
          <w:lang w:val="fr-FR"/>
        </w:rPr>
        <w:t>’</w:t>
      </w:r>
      <w:r w:rsidR="00173F0B" w:rsidRPr="00E046E7">
        <w:rPr>
          <w:rFonts w:eastAsia="Calibri"/>
          <w:lang w:val="fr-FR"/>
        </w:rPr>
        <w:t>une</w:t>
      </w:r>
      <w:r w:rsidR="001A0E34">
        <w:rPr>
          <w:rFonts w:eastAsia="Calibri"/>
          <w:lang w:val="fr-FR"/>
        </w:rPr>
        <w:t> </w:t>
      </w:r>
      <w:r w:rsidR="00173F0B" w:rsidRPr="00E046E7">
        <w:rPr>
          <w:rFonts w:eastAsia="Calibri"/>
          <w:lang w:val="fr-FR"/>
        </w:rPr>
        <w:t>responsabilisation insuffisants </w:t>
      </w:r>
      <w:r w:rsidR="008125AA" w:rsidRPr="00E046E7">
        <w:rPr>
          <w:rFonts w:eastAsia="Calibri"/>
          <w:lang w:val="fr-FR"/>
        </w:rPr>
        <w:t>;</w:t>
      </w:r>
    </w:p>
    <w:p w14:paraId="6E783926" w14:textId="359A1BD2" w:rsidR="008125AA" w:rsidRPr="00E046E7" w:rsidRDefault="00173F0B" w:rsidP="0038694E">
      <w:pPr>
        <w:pStyle w:val="Normalnumber"/>
        <w:numPr>
          <w:ilvl w:val="1"/>
          <w:numId w:val="4"/>
        </w:numPr>
        <w:rPr>
          <w:rFonts w:eastAsia="Calibri"/>
          <w:lang w:val="fr-FR"/>
        </w:rPr>
      </w:pPr>
      <w:r w:rsidRPr="00E046E7">
        <w:rPr>
          <w:rFonts w:eastAsia="Calibri"/>
          <w:lang w:val="fr-FR"/>
        </w:rPr>
        <w:t>Les changements démographiques </w:t>
      </w:r>
      <w:r w:rsidR="008125AA" w:rsidRPr="00E046E7">
        <w:rPr>
          <w:rFonts w:eastAsia="Calibri"/>
          <w:lang w:val="fr-FR"/>
        </w:rPr>
        <w:t>;</w:t>
      </w:r>
    </w:p>
    <w:p w14:paraId="15355913" w14:textId="0829242F" w:rsidR="008125AA" w:rsidRPr="00E046E7" w:rsidRDefault="00173F0B" w:rsidP="0038694E">
      <w:pPr>
        <w:pStyle w:val="Normalnumber"/>
        <w:numPr>
          <w:ilvl w:val="1"/>
          <w:numId w:val="4"/>
        </w:numPr>
        <w:rPr>
          <w:rFonts w:eastAsia="Calibri"/>
          <w:lang w:val="fr-FR"/>
        </w:rPr>
      </w:pPr>
      <w:r w:rsidRPr="00E046E7">
        <w:rPr>
          <w:rFonts w:eastAsia="Calibri"/>
          <w:lang w:val="fr-FR"/>
        </w:rPr>
        <w:t>L</w:t>
      </w:r>
      <w:r w:rsidR="00BD2801">
        <w:rPr>
          <w:rFonts w:eastAsia="Calibri"/>
          <w:lang w:val="fr-FR"/>
        </w:rPr>
        <w:t>’</w:t>
      </w:r>
      <w:r w:rsidRPr="00E046E7">
        <w:rPr>
          <w:rFonts w:eastAsia="Calibri"/>
          <w:lang w:val="fr-FR"/>
        </w:rPr>
        <w:t>inertie</w:t>
      </w:r>
      <w:r w:rsidR="008125AA" w:rsidRPr="00E046E7">
        <w:rPr>
          <w:rFonts w:eastAsia="Calibri"/>
          <w:lang w:val="fr-FR"/>
        </w:rPr>
        <w:t xml:space="preserve">, </w:t>
      </w:r>
      <w:r w:rsidRPr="00E046E7">
        <w:rPr>
          <w:rFonts w:eastAsia="Calibri"/>
          <w:lang w:val="fr-FR"/>
        </w:rPr>
        <w:t>notamment au niveau personnel</w:t>
      </w:r>
      <w:r w:rsidR="008125AA" w:rsidRPr="00E046E7">
        <w:rPr>
          <w:rFonts w:eastAsia="Calibri"/>
          <w:lang w:val="fr-FR"/>
        </w:rPr>
        <w:t xml:space="preserve"> (habit</w:t>
      </w:r>
      <w:r w:rsidRPr="00E046E7">
        <w:rPr>
          <w:rFonts w:eastAsia="Calibri"/>
          <w:lang w:val="fr-FR"/>
        </w:rPr>
        <w:t>ude</w:t>
      </w:r>
      <w:r w:rsidR="008125AA" w:rsidRPr="00E046E7">
        <w:rPr>
          <w:rFonts w:eastAsia="Calibri"/>
          <w:lang w:val="fr-FR"/>
        </w:rPr>
        <w:t xml:space="preserve">s, </w:t>
      </w:r>
      <w:r w:rsidRPr="00E046E7">
        <w:rPr>
          <w:rFonts w:eastAsia="Calibri"/>
          <w:lang w:val="fr-FR"/>
        </w:rPr>
        <w:t>mentalités</w:t>
      </w:r>
      <w:r w:rsidR="008125AA" w:rsidRPr="00E046E7">
        <w:rPr>
          <w:rFonts w:eastAsia="Calibri"/>
          <w:lang w:val="fr-FR"/>
        </w:rPr>
        <w:t>), social/cultur</w:t>
      </w:r>
      <w:r w:rsidRPr="00E046E7">
        <w:rPr>
          <w:rFonts w:eastAsia="Calibri"/>
          <w:lang w:val="fr-FR"/>
        </w:rPr>
        <w:t>e</w:t>
      </w:r>
      <w:r w:rsidR="008125AA" w:rsidRPr="00E046E7">
        <w:rPr>
          <w:rFonts w:eastAsia="Calibri"/>
          <w:lang w:val="fr-FR"/>
        </w:rPr>
        <w:t>l (norm</w:t>
      </w:r>
      <w:r w:rsidRPr="00E046E7">
        <w:rPr>
          <w:rFonts w:eastAsia="Calibri"/>
          <w:lang w:val="fr-FR"/>
        </w:rPr>
        <w:t>e</w:t>
      </w:r>
      <w:r w:rsidR="008125AA" w:rsidRPr="00E046E7">
        <w:rPr>
          <w:rFonts w:eastAsia="Calibri"/>
          <w:lang w:val="fr-FR"/>
        </w:rPr>
        <w:t>s)</w:t>
      </w:r>
      <w:r w:rsidRPr="00E046E7">
        <w:rPr>
          <w:rFonts w:eastAsia="Calibri"/>
          <w:lang w:val="fr-FR"/>
        </w:rPr>
        <w:t xml:space="preserve"> et systémique</w:t>
      </w:r>
      <w:r w:rsidR="008125AA" w:rsidRPr="00E046E7">
        <w:rPr>
          <w:rFonts w:eastAsia="Calibri"/>
          <w:lang w:val="fr-FR"/>
        </w:rPr>
        <w:t xml:space="preserve"> (</w:t>
      </w:r>
      <w:r w:rsidRPr="00E046E7">
        <w:rPr>
          <w:rFonts w:eastAsia="Calibri"/>
          <w:lang w:val="fr-FR"/>
        </w:rPr>
        <w:t>défaillances de marché liées aux structures économiques actuelles, règles et institutions insuffisantes ou</w:t>
      </w:r>
      <w:r w:rsidR="008125AA" w:rsidRPr="00E046E7">
        <w:rPr>
          <w:rFonts w:eastAsia="Calibri"/>
          <w:lang w:val="fr-FR"/>
        </w:rPr>
        <w:t xml:space="preserve"> </w:t>
      </w:r>
      <w:r w:rsidRPr="00E046E7">
        <w:rPr>
          <w:rFonts w:eastAsia="Calibri"/>
          <w:lang w:val="fr-FR"/>
        </w:rPr>
        <w:t>dépassées</w:t>
      </w:r>
      <w:r w:rsidR="008125AA" w:rsidRPr="00E046E7">
        <w:rPr>
          <w:rFonts w:eastAsia="Calibri"/>
          <w:lang w:val="fr-FR"/>
        </w:rPr>
        <w:t xml:space="preserve">, </w:t>
      </w:r>
      <w:r w:rsidRPr="00E046E7">
        <w:rPr>
          <w:rFonts w:eastAsia="Calibri"/>
          <w:lang w:val="fr-FR"/>
        </w:rPr>
        <w:t>manque de capacités de surveillance et d</w:t>
      </w:r>
      <w:r w:rsidR="00BD2801">
        <w:rPr>
          <w:rFonts w:eastAsia="Calibri"/>
          <w:lang w:val="fr-FR"/>
        </w:rPr>
        <w:t>’</w:t>
      </w:r>
      <w:r w:rsidRPr="00E046E7">
        <w:rPr>
          <w:rFonts w:eastAsia="Calibri"/>
          <w:lang w:val="fr-FR"/>
        </w:rPr>
        <w:t>application au niveau mondial</w:t>
      </w:r>
      <w:r w:rsidR="008125AA" w:rsidRPr="00E046E7">
        <w:rPr>
          <w:rFonts w:eastAsia="Calibri"/>
          <w:lang w:val="fr-FR"/>
        </w:rPr>
        <w:t>)</w:t>
      </w:r>
      <w:r w:rsidR="001E222D" w:rsidRPr="00E046E7">
        <w:rPr>
          <w:rFonts w:eastAsia="Calibri"/>
          <w:lang w:val="fr-FR"/>
        </w:rPr>
        <w:t> </w:t>
      </w:r>
      <w:r w:rsidR="008125AA" w:rsidRPr="00E046E7">
        <w:rPr>
          <w:rFonts w:eastAsia="Calibri"/>
          <w:lang w:val="fr-FR"/>
        </w:rPr>
        <w:t>;</w:t>
      </w:r>
    </w:p>
    <w:p w14:paraId="3AA6E187" w14:textId="4353CCF3" w:rsidR="008125AA" w:rsidRPr="00E046E7" w:rsidRDefault="001E222D" w:rsidP="0038694E">
      <w:pPr>
        <w:pStyle w:val="Normalnumber"/>
        <w:numPr>
          <w:ilvl w:val="1"/>
          <w:numId w:val="4"/>
        </w:numPr>
        <w:rPr>
          <w:rFonts w:eastAsia="Calibri"/>
          <w:lang w:val="fr-FR"/>
        </w:rPr>
      </w:pPr>
      <w:r w:rsidRPr="00E046E7">
        <w:rPr>
          <w:rFonts w:eastAsia="Calibri"/>
          <w:lang w:val="fr-FR"/>
        </w:rPr>
        <w:t>Un manque</w:t>
      </w:r>
      <w:r w:rsidR="00A716F3" w:rsidRPr="00E046E7">
        <w:rPr>
          <w:rFonts w:eastAsia="Calibri"/>
          <w:lang w:val="fr-FR"/>
        </w:rPr>
        <w:t xml:space="preserve"> d</w:t>
      </w:r>
      <w:r w:rsidR="00BD2801">
        <w:rPr>
          <w:rFonts w:eastAsia="Calibri"/>
          <w:lang w:val="fr-FR"/>
        </w:rPr>
        <w:t>’</w:t>
      </w:r>
      <w:r w:rsidR="00A716F3" w:rsidRPr="00E046E7">
        <w:rPr>
          <w:rFonts w:eastAsia="Calibri"/>
          <w:lang w:val="fr-FR"/>
        </w:rPr>
        <w:t xml:space="preserve">enseignements en matière de politique en raison </w:t>
      </w:r>
      <w:r w:rsidR="006525D0">
        <w:rPr>
          <w:rFonts w:eastAsia="Calibri"/>
          <w:lang w:val="fr-FR"/>
        </w:rPr>
        <w:t>d</w:t>
      </w:r>
      <w:r w:rsidR="00BD2801">
        <w:rPr>
          <w:rFonts w:eastAsia="Calibri"/>
          <w:lang w:val="fr-FR"/>
        </w:rPr>
        <w:t>’</w:t>
      </w:r>
      <w:r w:rsidR="006525D0">
        <w:rPr>
          <w:rFonts w:eastAsia="Calibri"/>
          <w:lang w:val="fr-FR"/>
        </w:rPr>
        <w:t xml:space="preserve">un manque </w:t>
      </w:r>
      <w:r w:rsidR="00A716F3" w:rsidRPr="00E046E7">
        <w:rPr>
          <w:rFonts w:eastAsia="Calibri"/>
          <w:lang w:val="fr-FR"/>
        </w:rPr>
        <w:t>d</w:t>
      </w:r>
      <w:r w:rsidR="00BD2801">
        <w:rPr>
          <w:rFonts w:eastAsia="Calibri"/>
          <w:lang w:val="fr-FR"/>
        </w:rPr>
        <w:t>’</w:t>
      </w:r>
      <w:r w:rsidR="00A716F3" w:rsidRPr="00E046E7">
        <w:rPr>
          <w:rFonts w:eastAsia="Calibri"/>
          <w:lang w:val="fr-FR"/>
        </w:rPr>
        <w:t xml:space="preserve">informations ou </w:t>
      </w:r>
      <w:r w:rsidR="00583897" w:rsidRPr="00E046E7">
        <w:rPr>
          <w:rFonts w:eastAsia="Calibri"/>
          <w:lang w:val="fr-FR"/>
        </w:rPr>
        <w:t>d</w:t>
      </w:r>
      <w:r w:rsidR="00BD2801">
        <w:rPr>
          <w:rFonts w:eastAsia="Calibri"/>
          <w:lang w:val="fr-FR"/>
        </w:rPr>
        <w:t>’</w:t>
      </w:r>
      <w:r w:rsidR="00583897" w:rsidRPr="00E046E7">
        <w:rPr>
          <w:rFonts w:eastAsia="Calibri"/>
          <w:lang w:val="fr-FR"/>
        </w:rPr>
        <w:t>une réactivité insuffisante aux informations </w:t>
      </w:r>
      <w:r w:rsidR="008125AA" w:rsidRPr="00E046E7">
        <w:rPr>
          <w:rFonts w:eastAsia="Calibri"/>
          <w:lang w:val="fr-FR"/>
        </w:rPr>
        <w:t>;</w:t>
      </w:r>
    </w:p>
    <w:p w14:paraId="2F26D7A7" w14:textId="26CCC071" w:rsidR="008125AA" w:rsidRPr="00E046E7" w:rsidRDefault="00583897" w:rsidP="0038694E">
      <w:pPr>
        <w:pStyle w:val="Normalnumber"/>
        <w:numPr>
          <w:ilvl w:val="1"/>
          <w:numId w:val="4"/>
        </w:numPr>
        <w:rPr>
          <w:rFonts w:eastAsia="Calibri"/>
          <w:lang w:val="fr-FR"/>
        </w:rPr>
      </w:pPr>
      <w:r w:rsidRPr="00E046E7">
        <w:rPr>
          <w:rFonts w:eastAsia="Calibri"/>
          <w:lang w:val="fr-FR"/>
        </w:rPr>
        <w:t>Les arbitrages entre les coûts et les avantages à court et à long terme ainsi que la</w:t>
      </w:r>
      <w:r w:rsidR="001A0E34">
        <w:rPr>
          <w:rFonts w:eastAsia="Calibri"/>
          <w:lang w:val="fr-FR"/>
        </w:rPr>
        <w:t> </w:t>
      </w:r>
      <w:r w:rsidRPr="00E046E7">
        <w:rPr>
          <w:rFonts w:eastAsia="Calibri"/>
          <w:lang w:val="fr-FR"/>
        </w:rPr>
        <w:t xml:space="preserve">répartition </w:t>
      </w:r>
      <w:r w:rsidRPr="00BD2801">
        <w:rPr>
          <w:rFonts w:eastAsia="MS Mincho"/>
        </w:rPr>
        <w:t>connexe</w:t>
      </w:r>
      <w:r w:rsidRPr="00E046E7">
        <w:rPr>
          <w:rFonts w:eastAsia="Calibri"/>
          <w:lang w:val="fr-FR"/>
        </w:rPr>
        <w:t xml:space="preserve"> des inégalités </w:t>
      </w:r>
      <w:r w:rsidR="008125AA" w:rsidRPr="00E046E7">
        <w:rPr>
          <w:rFonts w:eastAsia="Calibri"/>
          <w:lang w:val="fr-FR"/>
        </w:rPr>
        <w:t>;</w:t>
      </w:r>
    </w:p>
    <w:p w14:paraId="002BF2D2" w14:textId="40A68AD6" w:rsidR="008125AA" w:rsidRPr="00E046E7" w:rsidRDefault="00583897" w:rsidP="0038694E">
      <w:pPr>
        <w:pStyle w:val="Normalnumber"/>
        <w:numPr>
          <w:ilvl w:val="1"/>
          <w:numId w:val="4"/>
        </w:numPr>
        <w:rPr>
          <w:rFonts w:eastAsia="Calibri"/>
          <w:lang w:val="fr-FR"/>
        </w:rPr>
      </w:pPr>
      <w:r w:rsidRPr="00E046E7">
        <w:rPr>
          <w:rFonts w:eastAsia="Calibri"/>
          <w:lang w:val="fr-FR"/>
        </w:rPr>
        <w:t>Les capacités et le financement, à toutes les échelles</w:t>
      </w:r>
      <w:r w:rsidR="008125AA" w:rsidRPr="00E046E7">
        <w:rPr>
          <w:rFonts w:eastAsia="Calibri"/>
          <w:lang w:val="fr-FR"/>
        </w:rPr>
        <w:t xml:space="preserve"> (</w:t>
      </w:r>
      <w:r w:rsidRPr="00E046E7">
        <w:rPr>
          <w:rFonts w:eastAsia="Calibri"/>
          <w:lang w:val="fr-FR"/>
        </w:rPr>
        <w:t>y compris la pauvreté et</w:t>
      </w:r>
      <w:r w:rsidR="008125AA" w:rsidRPr="00E046E7">
        <w:rPr>
          <w:rFonts w:eastAsia="Calibri"/>
          <w:lang w:val="fr-FR"/>
        </w:rPr>
        <w:t xml:space="preserve"> </w:t>
      </w:r>
      <w:r w:rsidRPr="00E046E7">
        <w:rPr>
          <w:rFonts w:eastAsia="Calibri"/>
          <w:lang w:val="fr-FR"/>
        </w:rPr>
        <w:t>les</w:t>
      </w:r>
      <w:r w:rsidR="001A0E34">
        <w:rPr>
          <w:rFonts w:eastAsia="Calibri"/>
          <w:lang w:val="fr-FR"/>
        </w:rPr>
        <w:t> </w:t>
      </w:r>
      <w:r w:rsidRPr="00E046E7">
        <w:rPr>
          <w:rFonts w:eastAsia="Calibri"/>
          <w:lang w:val="fr-FR"/>
        </w:rPr>
        <w:t>défaillances en matière d</w:t>
      </w:r>
      <w:r w:rsidR="00BD2801">
        <w:rPr>
          <w:rFonts w:eastAsia="Calibri"/>
          <w:lang w:val="fr-FR"/>
        </w:rPr>
        <w:t>’</w:t>
      </w:r>
      <w:r w:rsidRPr="00E046E7">
        <w:rPr>
          <w:rFonts w:eastAsia="Calibri"/>
          <w:lang w:val="fr-FR"/>
        </w:rPr>
        <w:t>éducation</w:t>
      </w:r>
      <w:r w:rsidR="008125AA" w:rsidRPr="00E046E7">
        <w:rPr>
          <w:rFonts w:eastAsia="Calibri"/>
          <w:lang w:val="fr-FR"/>
        </w:rPr>
        <w:t>).</w:t>
      </w:r>
    </w:p>
    <w:p w14:paraId="310F0AE7" w14:textId="4524AAE0" w:rsidR="008125AA" w:rsidRPr="00E046E7" w:rsidRDefault="00583897" w:rsidP="00BD2801">
      <w:pPr>
        <w:pStyle w:val="Normalnumber"/>
        <w:rPr>
          <w:rFonts w:eastAsia="MS Mincho"/>
          <w:lang w:val="fr-FR"/>
        </w:rPr>
      </w:pPr>
      <w:r w:rsidRPr="00E046E7">
        <w:rPr>
          <w:rFonts w:eastAsia="MS Mincho"/>
          <w:lang w:val="fr-FR"/>
        </w:rPr>
        <w:t>Le chapitre s</w:t>
      </w:r>
      <w:r w:rsidR="00BD2801">
        <w:rPr>
          <w:rFonts w:eastAsia="MS Mincho"/>
          <w:lang w:val="fr-FR"/>
        </w:rPr>
        <w:t>’</w:t>
      </w:r>
      <w:r w:rsidRPr="00E046E7">
        <w:rPr>
          <w:rFonts w:eastAsia="MS Mincho"/>
          <w:lang w:val="fr-FR"/>
        </w:rPr>
        <w:t>appuiera sur une vaste littérature, notamment des scénarios et des modèles</w:t>
      </w:r>
      <w:r w:rsidR="007744D9" w:rsidRPr="00E046E7">
        <w:rPr>
          <w:rFonts w:eastAsia="MS Mincho"/>
          <w:lang w:val="fr-FR"/>
        </w:rPr>
        <w:t xml:space="preserve"> ainsi que des études de cas illustrant la mesure dans laquelle différents défis liés aux changements transformateurs ont été surmontés. Les cas étudiés couvriront une grande variété d</w:t>
      </w:r>
      <w:r w:rsidR="00BD2801">
        <w:rPr>
          <w:rFonts w:eastAsia="MS Mincho"/>
          <w:lang w:val="fr-FR"/>
        </w:rPr>
        <w:t>’</w:t>
      </w:r>
      <w:r w:rsidR="007744D9" w:rsidRPr="00E046E7">
        <w:rPr>
          <w:rFonts w:eastAsia="MS Mincho"/>
          <w:lang w:val="fr-FR"/>
        </w:rPr>
        <w:t>échelles et de contextes dans différents groupes sociaux, secteurs, régions, niveaux de développement, géographies physiques, contextes culturels et autres</w:t>
      </w:r>
      <w:r w:rsidR="008125AA" w:rsidRPr="00E046E7">
        <w:rPr>
          <w:rFonts w:eastAsia="MS Mincho"/>
          <w:lang w:val="fr-FR"/>
        </w:rPr>
        <w:t>.</w:t>
      </w:r>
      <w:r w:rsidR="007744D9" w:rsidRPr="00E046E7">
        <w:rPr>
          <w:rFonts w:eastAsia="MS Mincho"/>
          <w:lang w:val="fr-FR"/>
        </w:rPr>
        <w:t xml:space="preserve"> L</w:t>
      </w:r>
      <w:r w:rsidR="00BD2801">
        <w:rPr>
          <w:rFonts w:eastAsia="MS Mincho"/>
          <w:lang w:val="fr-FR"/>
        </w:rPr>
        <w:t>’</w:t>
      </w:r>
      <w:r w:rsidR="007744D9" w:rsidRPr="00E046E7">
        <w:rPr>
          <w:rFonts w:eastAsia="MS Mincho"/>
          <w:lang w:val="fr-FR"/>
        </w:rPr>
        <w:t>analyse des cas examinera également la manière dont les</w:t>
      </w:r>
      <w:r w:rsidR="001A0E34">
        <w:rPr>
          <w:rFonts w:eastAsia="MS Mincho"/>
          <w:lang w:val="fr-FR"/>
        </w:rPr>
        <w:t> </w:t>
      </w:r>
      <w:r w:rsidR="007744D9" w:rsidRPr="00E046E7">
        <w:rPr>
          <w:rFonts w:eastAsia="MS Mincho"/>
          <w:lang w:val="fr-FR"/>
        </w:rPr>
        <w:t xml:space="preserve">changements transformateurs </w:t>
      </w:r>
      <w:r w:rsidR="004815DB" w:rsidRPr="00E046E7">
        <w:rPr>
          <w:rFonts w:eastAsia="MS Mincho"/>
          <w:lang w:val="fr-FR"/>
        </w:rPr>
        <w:t xml:space="preserve">– </w:t>
      </w:r>
      <w:r w:rsidR="007744D9" w:rsidRPr="00E046E7">
        <w:rPr>
          <w:rFonts w:eastAsia="MS Mincho"/>
          <w:lang w:val="fr-FR"/>
        </w:rPr>
        <w:t>même</w:t>
      </w:r>
      <w:r w:rsidR="001A0E34">
        <w:rPr>
          <w:rFonts w:eastAsia="MS Mincho"/>
          <w:lang w:val="fr-FR"/>
        </w:rPr>
        <w:t xml:space="preserve"> </w:t>
      </w:r>
      <w:r w:rsidR="007744D9" w:rsidRPr="00E046E7">
        <w:rPr>
          <w:rFonts w:eastAsia="MS Mincho"/>
          <w:lang w:val="fr-FR"/>
        </w:rPr>
        <w:t>ceux qui</w:t>
      </w:r>
      <w:r w:rsidR="008125AA" w:rsidRPr="00E046E7">
        <w:rPr>
          <w:rFonts w:eastAsia="MS Mincho"/>
          <w:lang w:val="fr-FR"/>
        </w:rPr>
        <w:t xml:space="preserve"> </w:t>
      </w:r>
      <w:r w:rsidR="007744D9" w:rsidRPr="00E046E7">
        <w:rPr>
          <w:rFonts w:eastAsia="MS Mincho"/>
          <w:lang w:val="fr-FR"/>
        </w:rPr>
        <w:t>produisent des résultats largement positifs pour beaucoup</w:t>
      </w:r>
      <w:r w:rsidR="004815DB" w:rsidRPr="00E046E7">
        <w:rPr>
          <w:rFonts w:eastAsia="MS Mincho"/>
          <w:lang w:val="fr-FR"/>
        </w:rPr>
        <w:t xml:space="preserve"> – </w:t>
      </w:r>
      <w:r w:rsidR="00C20BD2" w:rsidRPr="00E046E7">
        <w:rPr>
          <w:rFonts w:eastAsia="MS Mincho"/>
          <w:lang w:val="fr-FR"/>
        </w:rPr>
        <w:t>peuvent</w:t>
      </w:r>
      <w:r w:rsidR="001A0E34">
        <w:rPr>
          <w:rFonts w:eastAsia="MS Mincho"/>
          <w:lang w:val="fr-FR"/>
        </w:rPr>
        <w:t xml:space="preserve"> </w:t>
      </w:r>
      <w:r w:rsidR="00C20BD2" w:rsidRPr="00E046E7">
        <w:rPr>
          <w:rFonts w:eastAsia="MS Mincho"/>
          <w:lang w:val="fr-FR"/>
        </w:rPr>
        <w:t>générer des pertes pour certains groupes</w:t>
      </w:r>
      <w:r w:rsidR="008125AA" w:rsidRPr="00E046E7">
        <w:rPr>
          <w:rFonts w:eastAsia="MS Mincho"/>
          <w:lang w:val="fr-FR"/>
        </w:rPr>
        <w:t>,</w:t>
      </w:r>
      <w:r w:rsidR="00C20BD2" w:rsidRPr="00E046E7">
        <w:rPr>
          <w:rFonts w:eastAsia="MS Mincho"/>
          <w:lang w:val="fr-FR"/>
        </w:rPr>
        <w:t xml:space="preserve"> notamment les femmes, les jeunes ainsi que les</w:t>
      </w:r>
      <w:r w:rsidR="008125AA" w:rsidRPr="00E046E7">
        <w:rPr>
          <w:rFonts w:eastAsia="MS Mincho"/>
          <w:lang w:val="fr-FR"/>
        </w:rPr>
        <w:t xml:space="preserve"> </w:t>
      </w:r>
      <w:r w:rsidR="00C20BD2" w:rsidRPr="00E046E7">
        <w:rPr>
          <w:rFonts w:eastAsia="MS Mincho"/>
          <w:lang w:val="fr-FR"/>
        </w:rPr>
        <w:t>personnes âgées et vulnérables</w:t>
      </w:r>
      <w:r w:rsidR="008125AA" w:rsidRPr="00E046E7">
        <w:rPr>
          <w:rFonts w:eastAsia="MS Mincho"/>
          <w:lang w:val="fr-FR"/>
        </w:rPr>
        <w:t>.</w:t>
      </w:r>
      <w:r w:rsidR="00C20BD2" w:rsidRPr="00E046E7">
        <w:rPr>
          <w:rFonts w:eastAsia="MS Mincho"/>
          <w:lang w:val="fr-FR"/>
        </w:rPr>
        <w:t xml:space="preserve"> Les cas examinés comprendront des efforts intentionnels visant à traiter une série de facteurs indirects de l</w:t>
      </w:r>
      <w:r w:rsidR="00BD2801">
        <w:rPr>
          <w:rFonts w:eastAsia="MS Mincho"/>
          <w:lang w:val="fr-FR"/>
        </w:rPr>
        <w:t>’</w:t>
      </w:r>
      <w:r w:rsidR="00C20BD2" w:rsidRPr="00E046E7">
        <w:rPr>
          <w:rFonts w:eastAsia="MS Mincho"/>
          <w:lang w:val="fr-FR"/>
        </w:rPr>
        <w:t>érosion de la biodiversité et de la dégradation des services écosystémiques</w:t>
      </w:r>
      <w:r w:rsidR="008125AA" w:rsidRPr="00E046E7">
        <w:rPr>
          <w:rFonts w:eastAsia="MS Mincho"/>
          <w:lang w:val="fr-FR"/>
        </w:rPr>
        <w:t>,</w:t>
      </w:r>
      <w:r w:rsidR="00C20BD2" w:rsidRPr="00E046E7">
        <w:rPr>
          <w:rFonts w:eastAsia="MS Mincho"/>
          <w:lang w:val="fr-FR"/>
        </w:rPr>
        <w:t xml:space="preserve"> notamment en élaborant des politiques concernant le développement économique et la population humaine, en internalisant les externalités environnementales, en réformant les subventions, en modifiant les indicateurs ou les mesures de progrès économique, en produisant des amendements constitutionnels</w:t>
      </w:r>
      <w:r w:rsidR="00EE3E92" w:rsidRPr="00E046E7">
        <w:rPr>
          <w:rFonts w:eastAsia="MS Mincho"/>
          <w:lang w:val="fr-FR"/>
        </w:rPr>
        <w:t xml:space="preserve"> pour l</w:t>
      </w:r>
      <w:r w:rsidR="00BD2801">
        <w:rPr>
          <w:rFonts w:eastAsia="MS Mincho"/>
          <w:lang w:val="fr-FR"/>
        </w:rPr>
        <w:t>’</w:t>
      </w:r>
      <w:r w:rsidR="00EE3E92" w:rsidRPr="00E046E7">
        <w:rPr>
          <w:rFonts w:eastAsia="MS Mincho"/>
          <w:lang w:val="fr-FR"/>
        </w:rPr>
        <w:t>environnement et en changeant les régimes d</w:t>
      </w:r>
      <w:r w:rsidR="00BD2801">
        <w:rPr>
          <w:rFonts w:eastAsia="MS Mincho"/>
          <w:lang w:val="fr-FR"/>
        </w:rPr>
        <w:t>’</w:t>
      </w:r>
      <w:r w:rsidR="00EE3E92" w:rsidRPr="00E046E7">
        <w:rPr>
          <w:rFonts w:eastAsia="MS Mincho"/>
          <w:lang w:val="fr-FR"/>
        </w:rPr>
        <w:t>exploitation des terres et des mers</w:t>
      </w:r>
      <w:r w:rsidR="008125AA" w:rsidRPr="00E046E7">
        <w:rPr>
          <w:rFonts w:eastAsia="MS Mincho"/>
          <w:lang w:val="fr-FR"/>
        </w:rPr>
        <w:t>,</w:t>
      </w:r>
      <w:r w:rsidR="00EE3E92" w:rsidRPr="00E046E7">
        <w:rPr>
          <w:rFonts w:eastAsia="MS Mincho"/>
          <w:lang w:val="fr-FR"/>
        </w:rPr>
        <w:t xml:space="preserve"> les systèmes d</w:t>
      </w:r>
      <w:r w:rsidR="00BD2801">
        <w:rPr>
          <w:rFonts w:eastAsia="MS Mincho"/>
          <w:lang w:val="fr-FR"/>
        </w:rPr>
        <w:t>’</w:t>
      </w:r>
      <w:r w:rsidR="00EE3E92" w:rsidRPr="00E046E7">
        <w:rPr>
          <w:rFonts w:eastAsia="MS Mincho"/>
          <w:lang w:val="fr-FR"/>
        </w:rPr>
        <w:t>approvisionnement en eau et les droits</w:t>
      </w:r>
      <w:r w:rsidR="008125AA" w:rsidRPr="00E046E7">
        <w:rPr>
          <w:rFonts w:eastAsia="MS Mincho"/>
          <w:lang w:val="fr-FR"/>
        </w:rPr>
        <w:t xml:space="preserve"> </w:t>
      </w:r>
      <w:r w:rsidR="00EE3E92" w:rsidRPr="00E046E7">
        <w:rPr>
          <w:rFonts w:eastAsia="MS Mincho"/>
          <w:lang w:val="fr-FR"/>
        </w:rPr>
        <w:t>relatifs aux ressources</w:t>
      </w:r>
      <w:r w:rsidR="008125AA" w:rsidRPr="00E046E7">
        <w:rPr>
          <w:rFonts w:eastAsia="MS Mincho"/>
          <w:lang w:val="fr-FR"/>
        </w:rPr>
        <w:t>.</w:t>
      </w:r>
    </w:p>
    <w:p w14:paraId="292204A1" w14:textId="5A0DA2C6" w:rsidR="008125AA" w:rsidRPr="00BD2801" w:rsidRDefault="008125AA" w:rsidP="00BD2801">
      <w:pPr>
        <w:pStyle w:val="Normalnumber"/>
        <w:rPr>
          <w:lang w:val="fr-FR"/>
        </w:rPr>
      </w:pPr>
      <w:r w:rsidRPr="00E046E7">
        <w:rPr>
          <w:b/>
          <w:bCs/>
          <w:lang w:val="fr-FR"/>
        </w:rPr>
        <w:t>Chap</w:t>
      </w:r>
      <w:r w:rsidR="006E5DE4" w:rsidRPr="00E046E7">
        <w:rPr>
          <w:b/>
          <w:bCs/>
          <w:lang w:val="fr-FR"/>
        </w:rPr>
        <w:t>itre </w:t>
      </w:r>
      <w:r w:rsidRPr="00E046E7">
        <w:rPr>
          <w:b/>
          <w:bCs/>
          <w:lang w:val="fr-FR"/>
        </w:rPr>
        <w:t>5</w:t>
      </w:r>
      <w:r w:rsidR="006E5DE4" w:rsidRPr="00E046E7">
        <w:rPr>
          <w:b/>
          <w:bCs/>
          <w:lang w:val="fr-FR"/>
        </w:rPr>
        <w:t> </w:t>
      </w:r>
      <w:r w:rsidRPr="00E046E7">
        <w:rPr>
          <w:b/>
          <w:bCs/>
          <w:lang w:val="fr-FR"/>
        </w:rPr>
        <w:t xml:space="preserve">: </w:t>
      </w:r>
      <w:r w:rsidRPr="00E046E7">
        <w:rPr>
          <w:rFonts w:eastAsia="Calibri"/>
          <w:b/>
          <w:bCs/>
          <w:lang w:val="fr-FR"/>
        </w:rPr>
        <w:t>R</w:t>
      </w:r>
      <w:r w:rsidR="006E5DE4" w:rsidRPr="00E046E7">
        <w:rPr>
          <w:rFonts w:eastAsia="Calibri"/>
          <w:b/>
          <w:bCs/>
          <w:lang w:val="fr-FR"/>
        </w:rPr>
        <w:t>éaliser un monde durable pour la nature et les populations </w:t>
      </w:r>
      <w:r w:rsidRPr="00E046E7">
        <w:rPr>
          <w:rFonts w:eastAsia="Calibri"/>
          <w:b/>
          <w:bCs/>
          <w:lang w:val="fr-FR"/>
        </w:rPr>
        <w:t xml:space="preserve">: </w:t>
      </w:r>
      <w:r w:rsidR="006E5DE4" w:rsidRPr="00E046E7">
        <w:rPr>
          <w:rFonts w:eastAsia="Calibri"/>
          <w:b/>
          <w:bCs/>
          <w:lang w:val="fr-FR"/>
        </w:rPr>
        <w:t xml:space="preserve">stratégies transformatrices, mesures et </w:t>
      </w:r>
      <w:r w:rsidR="005F0F76" w:rsidRPr="00E046E7">
        <w:rPr>
          <w:rFonts w:eastAsia="Calibri"/>
          <w:b/>
          <w:bCs/>
          <w:lang w:val="fr-FR"/>
        </w:rPr>
        <w:t>rôle de chacun</w:t>
      </w:r>
      <w:r w:rsidRPr="00E046E7">
        <w:rPr>
          <w:rFonts w:eastAsia="Calibri"/>
          <w:b/>
          <w:bCs/>
          <w:lang w:val="fr-FR"/>
        </w:rPr>
        <w:t>.</w:t>
      </w:r>
      <w:r w:rsidRPr="00E41E0B">
        <w:rPr>
          <w:rFonts w:eastAsia="Calibri"/>
          <w:lang w:val="fr-FR"/>
        </w:rPr>
        <w:t xml:space="preserve"> </w:t>
      </w:r>
      <w:r w:rsidR="005F0F76" w:rsidRPr="00E046E7">
        <w:rPr>
          <w:rFonts w:eastAsia="Calibri"/>
          <w:lang w:val="fr-FR"/>
        </w:rPr>
        <w:t xml:space="preserve">Compte tenu de la nécessité de changements transformateurs permettant différentes visions pour un monde durable, ce chapitre évaluera des options concernant les </w:t>
      </w:r>
      <w:r w:rsidRPr="00E046E7">
        <w:rPr>
          <w:rFonts w:eastAsia="Calibri"/>
          <w:lang w:val="fr-FR"/>
        </w:rPr>
        <w:t xml:space="preserve">institutions, </w:t>
      </w:r>
      <w:r w:rsidR="005F0F76" w:rsidRPr="00E046E7">
        <w:rPr>
          <w:rFonts w:eastAsia="Calibri"/>
          <w:lang w:val="fr-FR"/>
        </w:rPr>
        <w:t xml:space="preserve">les </w:t>
      </w:r>
      <w:r w:rsidRPr="00E046E7">
        <w:rPr>
          <w:rFonts w:eastAsia="Calibri"/>
          <w:lang w:val="fr-FR"/>
        </w:rPr>
        <w:t xml:space="preserve">instruments, </w:t>
      </w:r>
      <w:r w:rsidR="005F0F76" w:rsidRPr="00E046E7">
        <w:rPr>
          <w:rFonts w:eastAsia="Calibri"/>
          <w:lang w:val="fr-FR"/>
        </w:rPr>
        <w:t>l</w:t>
      </w:r>
      <w:r w:rsidR="00BD2801">
        <w:rPr>
          <w:rFonts w:eastAsia="Calibri"/>
          <w:lang w:val="fr-FR"/>
        </w:rPr>
        <w:t>’</w:t>
      </w:r>
      <w:r w:rsidR="005F0F76" w:rsidRPr="00E046E7">
        <w:rPr>
          <w:rFonts w:eastAsia="Calibri"/>
          <w:lang w:val="fr-FR"/>
        </w:rPr>
        <w:t>é</w:t>
      </w:r>
      <w:r w:rsidRPr="00E046E7">
        <w:rPr>
          <w:rFonts w:eastAsia="Calibri"/>
          <w:lang w:val="fr-FR"/>
        </w:rPr>
        <w:t xml:space="preserve">valuation </w:t>
      </w:r>
      <w:r w:rsidR="005F0F76" w:rsidRPr="00E046E7">
        <w:rPr>
          <w:rFonts w:eastAsia="Calibri"/>
          <w:lang w:val="fr-FR"/>
        </w:rPr>
        <w:t xml:space="preserve">et les voies </w:t>
      </w:r>
      <w:r w:rsidR="006525D0">
        <w:rPr>
          <w:rFonts w:eastAsia="Calibri"/>
          <w:lang w:val="fr-FR"/>
        </w:rPr>
        <w:t>pour</w:t>
      </w:r>
      <w:r w:rsidR="005F0F76" w:rsidRPr="00E046E7">
        <w:rPr>
          <w:rFonts w:eastAsia="Calibri"/>
          <w:lang w:val="fr-FR"/>
        </w:rPr>
        <w:t xml:space="preserve"> réaliser ces </w:t>
      </w:r>
      <w:r w:rsidR="005F0F76" w:rsidRPr="00BD2801">
        <w:rPr>
          <w:rFonts w:eastAsia="Calibri"/>
          <w:lang w:val="fr-FR"/>
        </w:rPr>
        <w:t>visions </w:t>
      </w:r>
      <w:r w:rsidRPr="00BD2801">
        <w:rPr>
          <w:rFonts w:eastAsia="Calibri"/>
          <w:lang w:val="fr-FR"/>
        </w:rPr>
        <w:t>:</w:t>
      </w:r>
    </w:p>
    <w:p w14:paraId="19186C02" w14:textId="102C7E17" w:rsidR="008125AA" w:rsidRPr="00E046E7" w:rsidRDefault="008125AA" w:rsidP="0038694E">
      <w:pPr>
        <w:pStyle w:val="Normalnumber"/>
        <w:numPr>
          <w:ilvl w:val="1"/>
          <w:numId w:val="4"/>
        </w:numPr>
        <w:rPr>
          <w:rFonts w:eastAsia="Calibri"/>
          <w:lang w:val="fr-FR"/>
        </w:rPr>
      </w:pPr>
      <w:r w:rsidRPr="00E046E7">
        <w:rPr>
          <w:rFonts w:eastAsia="Calibri"/>
          <w:b/>
          <w:bCs/>
          <w:lang w:val="fr-FR"/>
        </w:rPr>
        <w:t>Institutions</w:t>
      </w:r>
      <w:r w:rsidR="005A54C0" w:rsidRPr="00E046E7">
        <w:rPr>
          <w:rFonts w:eastAsia="Calibri"/>
          <w:b/>
          <w:bCs/>
          <w:lang w:val="fr-FR"/>
        </w:rPr>
        <w:t> </w:t>
      </w:r>
      <w:r w:rsidRPr="00E046E7">
        <w:rPr>
          <w:rFonts w:eastAsia="Calibri"/>
          <w:b/>
          <w:bCs/>
          <w:lang w:val="fr-FR"/>
        </w:rPr>
        <w:t>:</w:t>
      </w:r>
      <w:r w:rsidRPr="00E046E7">
        <w:rPr>
          <w:rFonts w:eastAsia="Calibri"/>
          <w:lang w:val="fr-FR"/>
        </w:rPr>
        <w:t xml:space="preserve"> </w:t>
      </w:r>
      <w:r w:rsidR="005A54C0" w:rsidRPr="00E046E7">
        <w:rPr>
          <w:rFonts w:eastAsia="Calibri"/>
          <w:lang w:val="fr-FR"/>
        </w:rPr>
        <w:t>une évaluation de la conception, de l</w:t>
      </w:r>
      <w:r w:rsidR="00BD2801">
        <w:rPr>
          <w:rFonts w:eastAsia="Calibri"/>
          <w:lang w:val="fr-FR"/>
        </w:rPr>
        <w:t>’</w:t>
      </w:r>
      <w:r w:rsidR="005A54C0" w:rsidRPr="00E046E7">
        <w:rPr>
          <w:rFonts w:eastAsia="Calibri"/>
          <w:lang w:val="fr-FR"/>
        </w:rPr>
        <w:t>émergence, de l</w:t>
      </w:r>
      <w:r w:rsidR="00BD2801">
        <w:rPr>
          <w:rFonts w:eastAsia="Calibri"/>
          <w:lang w:val="fr-FR"/>
        </w:rPr>
        <w:t>’</w:t>
      </w:r>
      <w:r w:rsidR="005A54C0" w:rsidRPr="00E046E7">
        <w:rPr>
          <w:rFonts w:eastAsia="Calibri"/>
          <w:lang w:val="fr-FR"/>
        </w:rPr>
        <w:t>évolution et du</w:t>
      </w:r>
      <w:r w:rsidR="00E41E0B">
        <w:rPr>
          <w:rFonts w:eastAsia="Calibri"/>
          <w:lang w:val="fr-FR"/>
        </w:rPr>
        <w:t> </w:t>
      </w:r>
      <w:r w:rsidR="005A54C0" w:rsidRPr="00E046E7">
        <w:rPr>
          <w:rFonts w:eastAsia="Calibri"/>
          <w:lang w:val="fr-FR"/>
        </w:rPr>
        <w:t>fonctionnement des institutions pour gérer le caractère continu, dynamique et imprévisible</w:t>
      </w:r>
      <w:r w:rsidR="008A406A" w:rsidRPr="00E046E7">
        <w:rPr>
          <w:rFonts w:eastAsia="Calibri"/>
          <w:lang w:val="fr-FR"/>
        </w:rPr>
        <w:t xml:space="preserve"> des</w:t>
      </w:r>
      <w:r w:rsidR="00E41E0B">
        <w:rPr>
          <w:rFonts w:eastAsia="Calibri"/>
          <w:lang w:val="fr-FR"/>
        </w:rPr>
        <w:t> </w:t>
      </w:r>
      <w:r w:rsidR="008A406A" w:rsidRPr="00E046E7">
        <w:rPr>
          <w:rFonts w:eastAsia="Calibri"/>
          <w:lang w:val="fr-FR"/>
        </w:rPr>
        <w:t>changements transformateurs</w:t>
      </w:r>
      <w:r w:rsidRPr="00E046E7">
        <w:rPr>
          <w:rFonts w:eastAsia="Calibri"/>
          <w:lang w:val="fr-FR"/>
        </w:rPr>
        <w:t>,</w:t>
      </w:r>
      <w:r w:rsidR="008A406A" w:rsidRPr="00E046E7">
        <w:rPr>
          <w:rFonts w:eastAsia="Calibri"/>
          <w:lang w:val="fr-FR"/>
        </w:rPr>
        <w:t xml:space="preserve"> notamment par la production de connaissances, l</w:t>
      </w:r>
      <w:r w:rsidR="00BD2801">
        <w:rPr>
          <w:rFonts w:eastAsia="Calibri"/>
          <w:lang w:val="fr-FR"/>
        </w:rPr>
        <w:t>’</w:t>
      </w:r>
      <w:r w:rsidR="008A406A" w:rsidRPr="00E046E7">
        <w:rPr>
          <w:rFonts w:eastAsia="Calibri"/>
          <w:lang w:val="fr-FR"/>
        </w:rPr>
        <w:t>expérimentation, l</w:t>
      </w:r>
      <w:r w:rsidR="00BD2801">
        <w:rPr>
          <w:rFonts w:eastAsia="Calibri"/>
          <w:lang w:val="fr-FR"/>
        </w:rPr>
        <w:t>’</w:t>
      </w:r>
      <w:r w:rsidR="008A406A" w:rsidRPr="00E046E7">
        <w:rPr>
          <w:rFonts w:eastAsia="Calibri"/>
          <w:lang w:val="fr-FR"/>
        </w:rPr>
        <w:t xml:space="preserve">apprentissage, la coordination ainsi que les pratiques de gestion et de gouvernance </w:t>
      </w:r>
      <w:r w:rsidRPr="00E046E7">
        <w:rPr>
          <w:rFonts w:eastAsia="Calibri"/>
          <w:lang w:val="fr-FR"/>
        </w:rPr>
        <w:t>(</w:t>
      </w:r>
      <w:r w:rsidR="008A406A" w:rsidRPr="00E046E7">
        <w:rPr>
          <w:rFonts w:eastAsia="Calibri"/>
          <w:lang w:val="fr-FR"/>
        </w:rPr>
        <w:t>par exemple</w:t>
      </w:r>
      <w:r w:rsidRPr="00E046E7">
        <w:rPr>
          <w:rFonts w:eastAsia="Calibri"/>
          <w:lang w:val="fr-FR"/>
        </w:rPr>
        <w:t xml:space="preserve">, </w:t>
      </w:r>
      <w:r w:rsidR="008A406A" w:rsidRPr="00E046E7">
        <w:rPr>
          <w:rFonts w:eastAsia="Calibri"/>
          <w:lang w:val="fr-FR"/>
        </w:rPr>
        <w:t xml:space="preserve">approches en matière de </w:t>
      </w:r>
      <w:r w:rsidRPr="00E046E7">
        <w:rPr>
          <w:rFonts w:eastAsia="Calibri"/>
          <w:lang w:val="fr-FR"/>
        </w:rPr>
        <w:t>co</w:t>
      </w:r>
      <w:r w:rsidR="008A406A" w:rsidRPr="00E046E7">
        <w:rPr>
          <w:rFonts w:eastAsia="Calibri"/>
          <w:lang w:val="fr-FR"/>
        </w:rPr>
        <w:t>-conception</w:t>
      </w:r>
      <w:r w:rsidRPr="00E046E7">
        <w:rPr>
          <w:rFonts w:eastAsia="Calibri"/>
          <w:lang w:val="fr-FR"/>
        </w:rPr>
        <w:t xml:space="preserve">, </w:t>
      </w:r>
      <w:r w:rsidR="008A406A" w:rsidRPr="00E046E7">
        <w:rPr>
          <w:rFonts w:eastAsia="Calibri"/>
          <w:lang w:val="fr-FR"/>
        </w:rPr>
        <w:t>de participation et de</w:t>
      </w:r>
      <w:r w:rsidRPr="00E046E7">
        <w:rPr>
          <w:rFonts w:eastAsia="Calibri"/>
          <w:lang w:val="fr-FR"/>
        </w:rPr>
        <w:t xml:space="preserve"> dialogue). </w:t>
      </w:r>
      <w:r w:rsidR="008A406A" w:rsidRPr="00E046E7">
        <w:rPr>
          <w:rFonts w:eastAsia="Calibri"/>
          <w:lang w:val="fr-FR"/>
        </w:rPr>
        <w:t>L</w:t>
      </w:r>
      <w:r w:rsidR="00BD2801">
        <w:rPr>
          <w:rFonts w:eastAsia="Calibri"/>
          <w:lang w:val="fr-FR"/>
        </w:rPr>
        <w:t>’</w:t>
      </w:r>
      <w:r w:rsidR="008A406A" w:rsidRPr="00E046E7">
        <w:rPr>
          <w:rFonts w:eastAsia="Calibri"/>
          <w:lang w:val="fr-FR"/>
        </w:rPr>
        <w:t>ensemble des stratégies et</w:t>
      </w:r>
      <w:r w:rsidR="00E41E0B">
        <w:rPr>
          <w:rFonts w:eastAsia="Calibri"/>
          <w:lang w:val="fr-FR"/>
        </w:rPr>
        <w:t> </w:t>
      </w:r>
      <w:r w:rsidR="008A406A" w:rsidRPr="00E046E7">
        <w:rPr>
          <w:rFonts w:eastAsia="Calibri"/>
          <w:lang w:val="fr-FR"/>
        </w:rPr>
        <w:t>des mesures</w:t>
      </w:r>
      <w:r w:rsidRPr="00E046E7">
        <w:rPr>
          <w:rFonts w:eastAsia="Calibri"/>
          <w:lang w:val="fr-FR"/>
        </w:rPr>
        <w:t xml:space="preserve"> (</w:t>
      </w:r>
      <w:r w:rsidR="008A406A" w:rsidRPr="00E046E7">
        <w:rPr>
          <w:rFonts w:eastAsia="Calibri"/>
          <w:lang w:val="fr-FR"/>
        </w:rPr>
        <w:t>y compris celles figurant ci-après</w:t>
      </w:r>
      <w:r w:rsidRPr="00E046E7">
        <w:rPr>
          <w:rFonts w:eastAsia="Calibri"/>
          <w:lang w:val="fr-FR"/>
        </w:rPr>
        <w:t xml:space="preserve">) </w:t>
      </w:r>
      <w:r w:rsidR="008A406A" w:rsidRPr="00E046E7">
        <w:rPr>
          <w:rFonts w:eastAsia="Calibri"/>
          <w:lang w:val="fr-FR"/>
        </w:rPr>
        <w:t>seront évaluées dans le contexte de systèmes, d</w:t>
      </w:r>
      <w:r w:rsidR="00BD2801">
        <w:rPr>
          <w:rFonts w:eastAsia="Calibri"/>
          <w:lang w:val="fr-FR"/>
        </w:rPr>
        <w:t>’</w:t>
      </w:r>
      <w:r w:rsidRPr="00E046E7">
        <w:rPr>
          <w:rFonts w:eastAsia="Calibri"/>
          <w:lang w:val="fr-FR"/>
        </w:rPr>
        <w:t>institutions</w:t>
      </w:r>
      <w:r w:rsidR="008A406A" w:rsidRPr="00E046E7">
        <w:rPr>
          <w:rFonts w:eastAsia="Calibri"/>
          <w:lang w:val="fr-FR"/>
        </w:rPr>
        <w:t xml:space="preserve"> et des valeurs qu</w:t>
      </w:r>
      <w:r w:rsidR="00BD2801">
        <w:rPr>
          <w:rFonts w:eastAsia="Calibri"/>
          <w:lang w:val="fr-FR"/>
        </w:rPr>
        <w:t>’</w:t>
      </w:r>
      <w:r w:rsidR="008A406A" w:rsidRPr="00E046E7">
        <w:rPr>
          <w:rFonts w:eastAsia="Calibri"/>
          <w:lang w:val="fr-FR"/>
        </w:rPr>
        <w:t>elles énoncent</w:t>
      </w:r>
      <w:r w:rsidRPr="00E046E7">
        <w:rPr>
          <w:rFonts w:eastAsia="Calibri"/>
          <w:lang w:val="fr-FR"/>
        </w:rPr>
        <w:t>,</w:t>
      </w:r>
      <w:r w:rsidR="008A406A" w:rsidRPr="00E046E7">
        <w:rPr>
          <w:rFonts w:eastAsia="Calibri"/>
          <w:lang w:val="fr-FR"/>
        </w:rPr>
        <w:t xml:space="preserve"> au niveau mondial, régional, national et/ou local</w:t>
      </w:r>
      <w:r w:rsidRPr="00E046E7">
        <w:rPr>
          <w:rFonts w:eastAsia="Calibri"/>
          <w:lang w:val="fr-FR"/>
        </w:rPr>
        <w:t xml:space="preserve">. </w:t>
      </w:r>
      <w:r w:rsidR="008A406A" w:rsidRPr="00E046E7">
        <w:rPr>
          <w:rFonts w:eastAsia="Calibri"/>
          <w:lang w:val="fr-FR"/>
        </w:rPr>
        <w:t>Les</w:t>
      </w:r>
      <w:r w:rsidR="00E41E0B">
        <w:rPr>
          <w:rFonts w:eastAsia="Calibri"/>
          <w:lang w:val="fr-FR"/>
        </w:rPr>
        <w:t> </w:t>
      </w:r>
      <w:r w:rsidR="008A406A" w:rsidRPr="00E046E7">
        <w:rPr>
          <w:rFonts w:eastAsia="Calibri"/>
          <w:lang w:val="fr-FR"/>
        </w:rPr>
        <w:t>rôles de tous les acteurs clés seront déterminés </w:t>
      </w:r>
      <w:r w:rsidRPr="00E046E7">
        <w:rPr>
          <w:rFonts w:eastAsia="Calibri"/>
          <w:lang w:val="fr-FR"/>
        </w:rPr>
        <w:t>;</w:t>
      </w:r>
    </w:p>
    <w:p w14:paraId="58F44232" w14:textId="49CD85C3" w:rsidR="008125AA" w:rsidRPr="00E046E7" w:rsidRDefault="008125AA" w:rsidP="0038694E">
      <w:pPr>
        <w:pStyle w:val="Normalnumber"/>
        <w:numPr>
          <w:ilvl w:val="1"/>
          <w:numId w:val="4"/>
        </w:numPr>
        <w:rPr>
          <w:rFonts w:eastAsia="Calibri"/>
          <w:lang w:val="fr-FR"/>
        </w:rPr>
      </w:pPr>
      <w:r w:rsidRPr="00E046E7">
        <w:rPr>
          <w:rFonts w:eastAsia="Calibri"/>
          <w:b/>
          <w:bCs/>
          <w:lang w:val="fr-FR"/>
        </w:rPr>
        <w:t>Instruments</w:t>
      </w:r>
      <w:r w:rsidR="00B24631" w:rsidRPr="00E046E7">
        <w:rPr>
          <w:rFonts w:eastAsia="Calibri"/>
          <w:b/>
          <w:bCs/>
          <w:lang w:val="fr-FR"/>
        </w:rPr>
        <w:t> </w:t>
      </w:r>
      <w:r w:rsidRPr="00E046E7">
        <w:rPr>
          <w:rFonts w:eastAsia="Calibri"/>
          <w:b/>
          <w:bCs/>
          <w:lang w:val="fr-FR"/>
        </w:rPr>
        <w:t>:</w:t>
      </w:r>
      <w:r w:rsidRPr="00E046E7">
        <w:rPr>
          <w:rFonts w:eastAsia="Calibri"/>
          <w:lang w:val="fr-FR"/>
        </w:rPr>
        <w:t xml:space="preserve"> </w:t>
      </w:r>
      <w:r w:rsidR="00B24631" w:rsidRPr="00E046E7">
        <w:rPr>
          <w:rFonts w:eastAsia="Calibri"/>
          <w:lang w:val="fr-FR"/>
        </w:rPr>
        <w:t>une synthèse et une évaluation d</w:t>
      </w:r>
      <w:r w:rsidR="00BD2801">
        <w:rPr>
          <w:rFonts w:eastAsia="Calibri"/>
          <w:lang w:val="fr-FR"/>
        </w:rPr>
        <w:t>’</w:t>
      </w:r>
      <w:r w:rsidR="00B24631" w:rsidRPr="00E046E7">
        <w:rPr>
          <w:rFonts w:eastAsia="Calibri"/>
          <w:lang w:val="fr-FR"/>
        </w:rPr>
        <w:t>une série de politiques, d</w:t>
      </w:r>
      <w:r w:rsidR="00BD2801">
        <w:rPr>
          <w:rFonts w:eastAsia="Calibri"/>
          <w:lang w:val="fr-FR"/>
        </w:rPr>
        <w:t>’</w:t>
      </w:r>
      <w:r w:rsidR="00B24631" w:rsidRPr="00E046E7">
        <w:rPr>
          <w:rFonts w:eastAsia="Calibri"/>
          <w:lang w:val="fr-FR"/>
        </w:rPr>
        <w:t>outils, de</w:t>
      </w:r>
      <w:r w:rsidR="00E41E0B">
        <w:rPr>
          <w:rFonts w:eastAsia="Calibri"/>
          <w:lang w:val="fr-FR"/>
        </w:rPr>
        <w:t> </w:t>
      </w:r>
      <w:r w:rsidR="00B24631" w:rsidRPr="00E046E7">
        <w:rPr>
          <w:rFonts w:eastAsia="Calibri"/>
          <w:lang w:val="fr-FR"/>
        </w:rPr>
        <w:t>méthodes, de campagnes, de cadres, d</w:t>
      </w:r>
      <w:r w:rsidR="00BD2801">
        <w:rPr>
          <w:rFonts w:eastAsia="Calibri"/>
          <w:lang w:val="fr-FR"/>
        </w:rPr>
        <w:t>’</w:t>
      </w:r>
      <w:r w:rsidR="00B24631" w:rsidRPr="00E046E7">
        <w:rPr>
          <w:rFonts w:eastAsia="Calibri"/>
          <w:lang w:val="fr-FR"/>
        </w:rPr>
        <w:t>instruments financiers, d</w:t>
      </w:r>
      <w:r w:rsidR="00BD2801">
        <w:rPr>
          <w:rFonts w:eastAsia="Calibri"/>
          <w:lang w:val="fr-FR"/>
        </w:rPr>
        <w:t>’</w:t>
      </w:r>
      <w:r w:rsidR="00B24631" w:rsidRPr="00E046E7">
        <w:rPr>
          <w:rFonts w:eastAsia="Calibri"/>
          <w:lang w:val="fr-FR"/>
        </w:rPr>
        <w:t>options et de mesures permettant et</w:t>
      </w:r>
      <w:r w:rsidR="00E41E0B">
        <w:rPr>
          <w:rFonts w:eastAsia="Calibri"/>
          <w:lang w:val="fr-FR"/>
        </w:rPr>
        <w:t> </w:t>
      </w:r>
      <w:r w:rsidR="00B24631" w:rsidRPr="00E046E7">
        <w:rPr>
          <w:rFonts w:eastAsia="Calibri"/>
          <w:lang w:val="fr-FR"/>
        </w:rPr>
        <w:t>encourageant des changements transformateurs à toutes les échelles en vue d</w:t>
      </w:r>
      <w:r w:rsidR="00BD2801">
        <w:rPr>
          <w:rFonts w:eastAsia="Calibri"/>
          <w:lang w:val="fr-FR"/>
        </w:rPr>
        <w:t>’</w:t>
      </w:r>
      <w:r w:rsidR="00B24631" w:rsidRPr="00E046E7">
        <w:rPr>
          <w:rFonts w:eastAsia="Calibri"/>
          <w:lang w:val="fr-FR"/>
        </w:rPr>
        <w:t>un monde durable</w:t>
      </w:r>
      <w:r w:rsidRPr="00E046E7">
        <w:rPr>
          <w:rFonts w:eastAsia="Calibri"/>
          <w:lang w:val="fr-FR"/>
        </w:rPr>
        <w:t>.</w:t>
      </w:r>
      <w:r w:rsidR="00B24631" w:rsidRPr="00E046E7">
        <w:rPr>
          <w:rFonts w:eastAsia="Calibri"/>
          <w:lang w:val="fr-FR"/>
        </w:rPr>
        <w:t xml:space="preserve"> Elles</w:t>
      </w:r>
      <w:r w:rsidR="00E41E0B">
        <w:rPr>
          <w:rFonts w:eastAsia="Calibri"/>
          <w:lang w:val="fr-FR"/>
        </w:rPr>
        <w:t> </w:t>
      </w:r>
      <w:r w:rsidR="00FD669B" w:rsidRPr="00E046E7">
        <w:rPr>
          <w:rFonts w:eastAsia="Calibri"/>
          <w:lang w:val="fr-FR"/>
        </w:rPr>
        <w:t>concerneront</w:t>
      </w:r>
      <w:r w:rsidR="00B24631" w:rsidRPr="00E046E7">
        <w:rPr>
          <w:rFonts w:eastAsia="Calibri"/>
          <w:lang w:val="fr-FR"/>
        </w:rPr>
        <w:t xml:space="preserve"> </w:t>
      </w:r>
      <w:r w:rsidR="00FD669B" w:rsidRPr="00E046E7">
        <w:rPr>
          <w:rFonts w:eastAsia="Calibri"/>
          <w:lang w:val="fr-FR"/>
        </w:rPr>
        <w:t>un large éventail de pratiques appliquées par le passé et nouvelles en matière de transformation</w:t>
      </w:r>
      <w:r w:rsidRPr="00E046E7">
        <w:rPr>
          <w:rFonts w:eastAsia="Calibri"/>
          <w:lang w:val="fr-FR"/>
        </w:rPr>
        <w:t>,</w:t>
      </w:r>
      <w:r w:rsidR="00FD669B" w:rsidRPr="00E046E7">
        <w:rPr>
          <w:rFonts w:eastAsia="Calibri"/>
          <w:lang w:val="fr-FR"/>
        </w:rPr>
        <w:t xml:space="preserve"> y compris des approches et des combinaisons de politiques, des modèles d</w:t>
      </w:r>
      <w:r w:rsidR="00BD2801">
        <w:rPr>
          <w:rFonts w:eastAsia="Calibri"/>
          <w:lang w:val="fr-FR"/>
        </w:rPr>
        <w:t>’</w:t>
      </w:r>
      <w:r w:rsidR="00FD669B" w:rsidRPr="00E046E7">
        <w:rPr>
          <w:rFonts w:eastAsia="Calibri"/>
          <w:lang w:val="fr-FR"/>
        </w:rPr>
        <w:t>entreprise, des instruments juridiques et réglementaires, des standards, des cadres de gouvernance, des systèmes d</w:t>
      </w:r>
      <w:r w:rsidR="00BD2801">
        <w:rPr>
          <w:rFonts w:eastAsia="Calibri"/>
          <w:lang w:val="fr-FR"/>
        </w:rPr>
        <w:t>’</w:t>
      </w:r>
      <w:r w:rsidR="00FD669B" w:rsidRPr="00E046E7">
        <w:rPr>
          <w:rFonts w:eastAsia="Calibri"/>
          <w:lang w:val="fr-FR"/>
        </w:rPr>
        <w:t xml:space="preserve">éducation et de connaissances, des approches de conservation et de restauration, la coordination </w:t>
      </w:r>
      <w:r w:rsidR="00FD669B" w:rsidRPr="00E046E7">
        <w:rPr>
          <w:rFonts w:eastAsia="Calibri"/>
          <w:lang w:val="fr-FR"/>
        </w:rPr>
        <w:lastRenderedPageBreak/>
        <w:t>ainsi que des actions civiques, politiques et communautaires</w:t>
      </w:r>
      <w:r w:rsidRPr="00E046E7">
        <w:rPr>
          <w:rFonts w:eastAsia="Calibri"/>
          <w:lang w:val="fr-FR"/>
        </w:rPr>
        <w:t>.</w:t>
      </w:r>
      <w:r w:rsidR="00FD669B" w:rsidRPr="00E046E7">
        <w:rPr>
          <w:rFonts w:eastAsia="Calibri"/>
          <w:lang w:val="fr-FR"/>
        </w:rPr>
        <w:t xml:space="preserve"> L</w:t>
      </w:r>
      <w:r w:rsidR="00BD2801">
        <w:rPr>
          <w:rFonts w:eastAsia="Calibri"/>
          <w:lang w:val="fr-FR"/>
        </w:rPr>
        <w:t>’</w:t>
      </w:r>
      <w:r w:rsidR="00FD669B" w:rsidRPr="00E046E7">
        <w:rPr>
          <w:rFonts w:eastAsia="Calibri"/>
          <w:lang w:val="fr-FR"/>
        </w:rPr>
        <w:t>analyse traitera des interactions entre les instruments nécessaires pour obtenir des résultats transformateurs </w:t>
      </w:r>
      <w:r w:rsidRPr="00E046E7">
        <w:rPr>
          <w:rFonts w:eastAsia="Calibri"/>
          <w:lang w:val="fr-FR"/>
        </w:rPr>
        <w:t>;</w:t>
      </w:r>
    </w:p>
    <w:p w14:paraId="2D9C5E38" w14:textId="1E4E370B" w:rsidR="008125AA" w:rsidRPr="00E046E7" w:rsidRDefault="00231AEC" w:rsidP="0038694E">
      <w:pPr>
        <w:pStyle w:val="Normalnumber"/>
        <w:numPr>
          <w:ilvl w:val="1"/>
          <w:numId w:val="4"/>
        </w:numPr>
        <w:rPr>
          <w:rFonts w:eastAsia="Calibri"/>
          <w:lang w:val="fr-FR"/>
        </w:rPr>
      </w:pPr>
      <w:r w:rsidRPr="00E046E7">
        <w:rPr>
          <w:rFonts w:eastAsia="Calibri"/>
          <w:b/>
          <w:bCs/>
          <w:lang w:val="fr-FR"/>
        </w:rPr>
        <w:t>É</w:t>
      </w:r>
      <w:r w:rsidR="008125AA" w:rsidRPr="00E046E7">
        <w:rPr>
          <w:rFonts w:eastAsia="Calibri"/>
          <w:b/>
          <w:bCs/>
          <w:lang w:val="fr-FR"/>
        </w:rPr>
        <w:t>valuation</w:t>
      </w:r>
      <w:r w:rsidRPr="00E046E7">
        <w:rPr>
          <w:rFonts w:eastAsia="Calibri"/>
          <w:b/>
          <w:bCs/>
          <w:lang w:val="fr-FR"/>
        </w:rPr>
        <w:t> </w:t>
      </w:r>
      <w:r w:rsidR="008125AA" w:rsidRPr="00E046E7">
        <w:rPr>
          <w:rFonts w:eastAsia="Calibri"/>
          <w:b/>
          <w:bCs/>
          <w:lang w:val="fr-FR"/>
        </w:rPr>
        <w:t>:</w:t>
      </w:r>
      <w:r w:rsidR="008125AA" w:rsidRPr="00E046E7">
        <w:rPr>
          <w:rFonts w:eastAsia="Calibri"/>
          <w:lang w:val="fr-FR"/>
        </w:rPr>
        <w:t xml:space="preserve"> </w:t>
      </w:r>
      <w:r w:rsidRPr="00E046E7">
        <w:rPr>
          <w:rFonts w:eastAsia="Calibri"/>
          <w:lang w:val="fr-FR"/>
        </w:rPr>
        <w:t xml:space="preserve">une évaluation des moyens permettant de suivre et </w:t>
      </w:r>
      <w:r w:rsidR="00A74F3A" w:rsidRPr="00E046E7">
        <w:rPr>
          <w:rFonts w:eastAsia="Calibri"/>
          <w:lang w:val="fr-FR"/>
        </w:rPr>
        <w:t>d</w:t>
      </w:r>
      <w:r w:rsidR="00BD2801">
        <w:rPr>
          <w:rFonts w:eastAsia="Calibri"/>
          <w:lang w:val="fr-FR"/>
        </w:rPr>
        <w:t>’</w:t>
      </w:r>
      <w:r w:rsidRPr="00E046E7">
        <w:rPr>
          <w:rFonts w:eastAsia="Calibri"/>
          <w:lang w:val="fr-FR"/>
        </w:rPr>
        <w:t>évaluer de manière adaptative les progrès en vue de changements transformateurs et d</w:t>
      </w:r>
      <w:r w:rsidR="00BD2801">
        <w:rPr>
          <w:rFonts w:eastAsia="Calibri"/>
          <w:lang w:val="fr-FR"/>
        </w:rPr>
        <w:t>’</w:t>
      </w:r>
      <w:r w:rsidRPr="00E046E7">
        <w:rPr>
          <w:rFonts w:eastAsia="Calibri"/>
          <w:lang w:val="fr-FR"/>
        </w:rPr>
        <w:t>un monde durable, en reconnaissant le caractère imprévisible des</w:t>
      </w:r>
      <w:r w:rsidR="00A74F3A" w:rsidRPr="00E046E7">
        <w:rPr>
          <w:rFonts w:eastAsia="Calibri"/>
          <w:lang w:val="fr-FR"/>
        </w:rPr>
        <w:t xml:space="preserve"> objectifs évolutifs et le fait que les cadres d</w:t>
      </w:r>
      <w:r w:rsidR="00BD2801">
        <w:rPr>
          <w:rFonts w:eastAsia="Calibri"/>
          <w:lang w:val="fr-FR"/>
        </w:rPr>
        <w:t>’</w:t>
      </w:r>
      <w:r w:rsidR="00A74F3A" w:rsidRPr="00E046E7">
        <w:rPr>
          <w:rFonts w:eastAsia="Calibri"/>
          <w:lang w:val="fr-FR"/>
        </w:rPr>
        <w:t>évaluation existants peuvent omettre d</w:t>
      </w:r>
      <w:r w:rsidR="00BD2801">
        <w:rPr>
          <w:rFonts w:eastAsia="Calibri"/>
          <w:lang w:val="fr-FR"/>
        </w:rPr>
        <w:t>’</w:t>
      </w:r>
      <w:r w:rsidR="00A74F3A" w:rsidRPr="00E046E7">
        <w:rPr>
          <w:rFonts w:eastAsia="Calibri"/>
          <w:lang w:val="fr-FR"/>
        </w:rPr>
        <w:t>importantes mesures participatives, inclusives et axées sur les processus</w:t>
      </w:r>
      <w:r w:rsidR="008125AA" w:rsidRPr="00E046E7">
        <w:rPr>
          <w:rFonts w:eastAsia="Calibri"/>
          <w:lang w:val="fr-FR"/>
        </w:rPr>
        <w:t xml:space="preserve"> </w:t>
      </w:r>
      <w:r w:rsidR="00A74F3A" w:rsidRPr="00E046E7">
        <w:rPr>
          <w:rFonts w:eastAsia="Calibri"/>
          <w:lang w:val="fr-FR"/>
        </w:rPr>
        <w:t>visant des</w:t>
      </w:r>
      <w:r w:rsidR="00E41E0B">
        <w:rPr>
          <w:rFonts w:eastAsia="Calibri"/>
          <w:lang w:val="fr-FR"/>
        </w:rPr>
        <w:t> </w:t>
      </w:r>
      <w:r w:rsidR="00A74F3A" w:rsidRPr="00E046E7">
        <w:rPr>
          <w:rFonts w:eastAsia="Calibri"/>
          <w:lang w:val="fr-FR"/>
        </w:rPr>
        <w:t>changements nécessaires à l</w:t>
      </w:r>
      <w:r w:rsidR="00BD2801">
        <w:rPr>
          <w:rFonts w:eastAsia="Calibri"/>
          <w:lang w:val="fr-FR"/>
        </w:rPr>
        <w:t>’</w:t>
      </w:r>
      <w:r w:rsidR="00A74F3A" w:rsidRPr="00E046E7">
        <w:rPr>
          <w:rFonts w:eastAsia="Calibri"/>
          <w:lang w:val="fr-FR"/>
        </w:rPr>
        <w:t>échelle du système</w:t>
      </w:r>
      <w:r w:rsidR="008125AA" w:rsidRPr="00E046E7">
        <w:rPr>
          <w:rFonts w:eastAsia="Calibri"/>
          <w:lang w:val="fr-FR"/>
        </w:rPr>
        <w:t xml:space="preserve"> </w:t>
      </w:r>
      <w:r w:rsidR="00A74F3A" w:rsidRPr="00E046E7">
        <w:rPr>
          <w:rFonts w:eastAsia="Calibri"/>
          <w:lang w:val="fr-FR"/>
        </w:rPr>
        <w:t>aux fins d</w:t>
      </w:r>
      <w:r w:rsidR="00BD2801">
        <w:rPr>
          <w:rFonts w:eastAsia="Calibri"/>
          <w:lang w:val="fr-FR"/>
        </w:rPr>
        <w:t>’</w:t>
      </w:r>
      <w:r w:rsidR="00A74F3A" w:rsidRPr="00E046E7">
        <w:rPr>
          <w:rFonts w:eastAsia="Calibri"/>
          <w:lang w:val="fr-FR"/>
        </w:rPr>
        <w:t>une réalisation cohérente de l</w:t>
      </w:r>
      <w:r w:rsidR="00BD2801">
        <w:rPr>
          <w:rFonts w:eastAsia="Calibri"/>
          <w:lang w:val="fr-FR"/>
        </w:rPr>
        <w:t>’</w:t>
      </w:r>
      <w:r w:rsidR="00A74F3A" w:rsidRPr="00E046E7">
        <w:rPr>
          <w:rFonts w:eastAsia="Calibri"/>
          <w:lang w:val="fr-FR"/>
        </w:rPr>
        <w:t>ensemble des objectifs pertinents </w:t>
      </w:r>
      <w:r w:rsidR="008125AA" w:rsidRPr="00E046E7">
        <w:rPr>
          <w:rFonts w:eastAsia="Calibri"/>
          <w:lang w:val="fr-FR"/>
        </w:rPr>
        <w:t>;</w:t>
      </w:r>
    </w:p>
    <w:p w14:paraId="62D74CF4" w14:textId="702A400F" w:rsidR="008125AA" w:rsidRPr="00E046E7" w:rsidRDefault="008125AA" w:rsidP="0038694E">
      <w:pPr>
        <w:pStyle w:val="Normalnumber"/>
        <w:numPr>
          <w:ilvl w:val="1"/>
          <w:numId w:val="4"/>
        </w:numPr>
        <w:rPr>
          <w:rFonts w:eastAsia="Calibri"/>
          <w:lang w:val="fr-FR"/>
        </w:rPr>
      </w:pPr>
      <w:r w:rsidRPr="00E046E7">
        <w:rPr>
          <w:rFonts w:eastAsia="Calibri"/>
          <w:b/>
          <w:bCs/>
          <w:lang w:val="fr-FR"/>
        </w:rPr>
        <w:t>Sc</w:t>
      </w:r>
      <w:r w:rsidR="00A74F3A" w:rsidRPr="00E046E7">
        <w:rPr>
          <w:rFonts w:eastAsia="Calibri"/>
          <w:b/>
          <w:bCs/>
          <w:lang w:val="fr-FR"/>
        </w:rPr>
        <w:t>é</w:t>
      </w:r>
      <w:r w:rsidRPr="00E046E7">
        <w:rPr>
          <w:rFonts w:eastAsia="Calibri"/>
          <w:b/>
          <w:bCs/>
          <w:lang w:val="fr-FR"/>
        </w:rPr>
        <w:t xml:space="preserve">narios </w:t>
      </w:r>
      <w:r w:rsidR="00A74F3A" w:rsidRPr="00E046E7">
        <w:rPr>
          <w:rFonts w:eastAsia="Calibri"/>
          <w:b/>
          <w:bCs/>
          <w:lang w:val="fr-FR"/>
        </w:rPr>
        <w:t>et voies de synthèse</w:t>
      </w:r>
      <w:r w:rsidRPr="00E046E7">
        <w:rPr>
          <w:rFonts w:eastAsia="Calibri"/>
          <w:b/>
          <w:bCs/>
          <w:lang w:val="fr-FR"/>
        </w:rPr>
        <w:t xml:space="preserve"> </w:t>
      </w:r>
      <w:r w:rsidRPr="00E046E7">
        <w:rPr>
          <w:rFonts w:eastAsia="Calibri"/>
          <w:lang w:val="fr-FR"/>
        </w:rPr>
        <w:t>(int</w:t>
      </w:r>
      <w:r w:rsidR="00A74F3A" w:rsidRPr="00E046E7">
        <w:rPr>
          <w:rFonts w:eastAsia="Calibri"/>
          <w:lang w:val="fr-FR"/>
        </w:rPr>
        <w:t>égrant les éléments figurant dans les paragraphes </w:t>
      </w:r>
      <w:r w:rsidR="00E41E0B">
        <w:rPr>
          <w:rFonts w:eastAsia="Calibri"/>
          <w:lang w:val="fr-FR"/>
        </w:rPr>
        <w:t>a</w:t>
      </w:r>
      <w:r w:rsidRPr="00E046E7">
        <w:rPr>
          <w:rFonts w:eastAsia="Calibri"/>
          <w:lang w:val="fr-FR"/>
        </w:rPr>
        <w:t>)</w:t>
      </w:r>
      <w:r w:rsidR="00E046E7">
        <w:rPr>
          <w:rFonts w:eastAsia="Calibri"/>
          <w:lang w:val="fr-FR"/>
        </w:rPr>
        <w:t xml:space="preserve"> </w:t>
      </w:r>
      <w:r w:rsidR="00F07283" w:rsidRPr="00E046E7">
        <w:rPr>
          <w:rFonts w:eastAsia="Calibri"/>
          <w:lang w:val="fr-FR"/>
        </w:rPr>
        <w:t>à</w:t>
      </w:r>
      <w:r w:rsidR="00E41E0B">
        <w:rPr>
          <w:rFonts w:eastAsia="Calibri"/>
          <w:lang w:val="fr-FR"/>
        </w:rPr>
        <w:t> </w:t>
      </w:r>
      <w:r w:rsidRPr="00E046E7">
        <w:rPr>
          <w:rFonts w:eastAsia="Calibri"/>
          <w:lang w:val="fr-FR"/>
        </w:rPr>
        <w:t xml:space="preserve">c) </w:t>
      </w:r>
      <w:r w:rsidR="00F07283" w:rsidRPr="00E046E7">
        <w:rPr>
          <w:rFonts w:eastAsia="Calibri"/>
          <w:lang w:val="fr-FR"/>
        </w:rPr>
        <w:t>ci-dessus</w:t>
      </w:r>
      <w:r w:rsidRPr="00E046E7">
        <w:rPr>
          <w:rFonts w:eastAsia="Calibri"/>
          <w:lang w:val="fr-FR"/>
        </w:rPr>
        <w:t>)</w:t>
      </w:r>
      <w:r w:rsidR="00F07283" w:rsidRPr="00E046E7">
        <w:rPr>
          <w:rFonts w:eastAsia="Calibri"/>
          <w:lang w:val="fr-FR"/>
        </w:rPr>
        <w:t> </w:t>
      </w:r>
      <w:r w:rsidRPr="00E046E7">
        <w:rPr>
          <w:rFonts w:eastAsia="Calibri"/>
          <w:lang w:val="fr-FR"/>
        </w:rPr>
        <w:t xml:space="preserve">: </w:t>
      </w:r>
      <w:r w:rsidR="00F07283" w:rsidRPr="00E046E7">
        <w:rPr>
          <w:rFonts w:eastAsia="Calibri"/>
          <w:lang w:val="fr-FR"/>
        </w:rPr>
        <w:t>une évaluation des scénarios souhaitables possibles et des voies</w:t>
      </w:r>
      <w:r w:rsidRPr="00E046E7">
        <w:rPr>
          <w:rFonts w:eastAsia="Calibri"/>
          <w:lang w:val="fr-FR"/>
        </w:rPr>
        <w:t xml:space="preserve"> </w:t>
      </w:r>
      <w:r w:rsidR="00F07283" w:rsidRPr="00E046E7">
        <w:rPr>
          <w:rFonts w:eastAsia="Calibri"/>
          <w:lang w:val="fr-FR"/>
        </w:rPr>
        <w:t>transitionnelles d</w:t>
      </w:r>
      <w:r w:rsidR="00BD2801">
        <w:rPr>
          <w:rFonts w:eastAsia="Calibri"/>
          <w:lang w:val="fr-FR"/>
        </w:rPr>
        <w:t>’</w:t>
      </w:r>
      <w:r w:rsidR="00F07283" w:rsidRPr="00E046E7">
        <w:rPr>
          <w:rFonts w:eastAsia="Calibri"/>
          <w:lang w:val="fr-FR"/>
        </w:rPr>
        <w:t>options et de mesures à court</w:t>
      </w:r>
      <w:r w:rsidRPr="00E046E7">
        <w:rPr>
          <w:rFonts w:eastAsia="Calibri"/>
          <w:lang w:val="fr-FR"/>
        </w:rPr>
        <w:t xml:space="preserve"> (</w:t>
      </w:r>
      <w:r w:rsidR="00F07283" w:rsidRPr="00E046E7">
        <w:rPr>
          <w:rFonts w:eastAsia="Calibri"/>
          <w:lang w:val="fr-FR"/>
        </w:rPr>
        <w:t>jusqu</w:t>
      </w:r>
      <w:r w:rsidR="00BD2801">
        <w:rPr>
          <w:rFonts w:eastAsia="Calibri"/>
          <w:lang w:val="fr-FR"/>
        </w:rPr>
        <w:t>’</w:t>
      </w:r>
      <w:r w:rsidR="00F07283" w:rsidRPr="00E046E7">
        <w:rPr>
          <w:rFonts w:eastAsia="Calibri"/>
          <w:lang w:val="fr-FR"/>
        </w:rPr>
        <w:t>à dix ans</w:t>
      </w:r>
      <w:r w:rsidRPr="00E046E7">
        <w:rPr>
          <w:rFonts w:eastAsia="Calibri"/>
          <w:lang w:val="fr-FR"/>
        </w:rPr>
        <w:t xml:space="preserve">), </w:t>
      </w:r>
      <w:r w:rsidR="00F07283" w:rsidRPr="00E046E7">
        <w:rPr>
          <w:rFonts w:eastAsia="Calibri"/>
          <w:lang w:val="fr-FR"/>
        </w:rPr>
        <w:t>moyen</w:t>
      </w:r>
      <w:r w:rsidRPr="00E046E7">
        <w:rPr>
          <w:rFonts w:eastAsia="Calibri"/>
          <w:lang w:val="fr-FR"/>
        </w:rPr>
        <w:t xml:space="preserve"> (10</w:t>
      </w:r>
      <w:r w:rsidR="00E41E0B">
        <w:rPr>
          <w:rFonts w:eastAsia="Calibri"/>
          <w:lang w:val="fr-FR"/>
        </w:rPr>
        <w:t>-</w:t>
      </w:r>
      <w:r w:rsidRPr="00E046E7">
        <w:rPr>
          <w:rFonts w:eastAsia="Calibri"/>
          <w:lang w:val="fr-FR"/>
        </w:rPr>
        <w:t>2</w:t>
      </w:r>
      <w:r w:rsidR="00F07283" w:rsidRPr="00E046E7">
        <w:rPr>
          <w:rFonts w:eastAsia="Calibri"/>
          <w:lang w:val="fr-FR"/>
        </w:rPr>
        <w:t>0 ans</w:t>
      </w:r>
      <w:r w:rsidRPr="00E046E7">
        <w:rPr>
          <w:rFonts w:eastAsia="Calibri"/>
          <w:lang w:val="fr-FR"/>
        </w:rPr>
        <w:t xml:space="preserve">) </w:t>
      </w:r>
      <w:r w:rsidR="00F07283" w:rsidRPr="00E046E7">
        <w:rPr>
          <w:rFonts w:eastAsia="Calibri"/>
          <w:lang w:val="fr-FR"/>
        </w:rPr>
        <w:t>et long terme</w:t>
      </w:r>
      <w:r w:rsidRPr="00E046E7">
        <w:rPr>
          <w:rFonts w:eastAsia="Calibri"/>
          <w:lang w:val="fr-FR"/>
        </w:rPr>
        <w:t xml:space="preserve"> (20-50</w:t>
      </w:r>
      <w:r w:rsidR="00F07283" w:rsidRPr="00E046E7">
        <w:rPr>
          <w:rFonts w:eastAsia="Calibri"/>
          <w:lang w:val="fr-FR"/>
        </w:rPr>
        <w:t> ans</w:t>
      </w:r>
      <w:r w:rsidRPr="00E046E7">
        <w:rPr>
          <w:rFonts w:eastAsia="Calibri"/>
          <w:lang w:val="fr-FR"/>
        </w:rPr>
        <w:t xml:space="preserve">). </w:t>
      </w:r>
      <w:r w:rsidR="00F07283" w:rsidRPr="00E046E7">
        <w:rPr>
          <w:rFonts w:eastAsia="Calibri"/>
          <w:lang w:val="fr-FR"/>
        </w:rPr>
        <w:t>Les</w:t>
      </w:r>
      <w:r w:rsidR="00E41E0B">
        <w:rPr>
          <w:rFonts w:eastAsia="Calibri"/>
          <w:lang w:val="fr-FR"/>
        </w:rPr>
        <w:t> </w:t>
      </w:r>
      <w:r w:rsidR="00F07283" w:rsidRPr="00E046E7">
        <w:rPr>
          <w:rFonts w:eastAsia="Calibri"/>
          <w:lang w:val="fr-FR"/>
        </w:rPr>
        <w:t xml:space="preserve">voies comprendront des cascades de mesures prises par différents acteurs ainsi que </w:t>
      </w:r>
      <w:r w:rsidR="00F625F8">
        <w:rPr>
          <w:rFonts w:eastAsia="Calibri"/>
          <w:lang w:val="fr-FR"/>
        </w:rPr>
        <w:t>diverses</w:t>
      </w:r>
      <w:r w:rsidR="00F07283" w:rsidRPr="00E046E7">
        <w:rPr>
          <w:rFonts w:eastAsia="Calibri"/>
          <w:lang w:val="fr-FR"/>
        </w:rPr>
        <w:t xml:space="preserve"> approches descendantes et ascendantes et leur</w:t>
      </w:r>
      <w:r w:rsidRPr="00E046E7">
        <w:rPr>
          <w:rFonts w:eastAsia="Calibri"/>
          <w:lang w:val="fr-FR"/>
        </w:rPr>
        <w:t xml:space="preserve"> </w:t>
      </w:r>
      <w:r w:rsidR="00F07283" w:rsidRPr="00E046E7">
        <w:rPr>
          <w:rFonts w:eastAsia="Calibri"/>
          <w:lang w:val="fr-FR"/>
        </w:rPr>
        <w:t>calibrage</w:t>
      </w:r>
      <w:r w:rsidRPr="00E046E7">
        <w:rPr>
          <w:rFonts w:eastAsia="Calibri"/>
          <w:lang w:val="fr-FR"/>
        </w:rPr>
        <w:t xml:space="preserve">. </w:t>
      </w:r>
      <w:r w:rsidR="00F07283" w:rsidRPr="00E046E7">
        <w:rPr>
          <w:rFonts w:eastAsia="Calibri"/>
          <w:lang w:val="fr-FR"/>
        </w:rPr>
        <w:t>Il s</w:t>
      </w:r>
      <w:r w:rsidR="00BD2801">
        <w:rPr>
          <w:rFonts w:eastAsia="Calibri"/>
          <w:lang w:val="fr-FR"/>
        </w:rPr>
        <w:t>’</w:t>
      </w:r>
      <w:r w:rsidR="00F07283" w:rsidRPr="00E046E7">
        <w:rPr>
          <w:rFonts w:eastAsia="Calibri"/>
          <w:lang w:val="fr-FR"/>
        </w:rPr>
        <w:t>agira notamment d</w:t>
      </w:r>
      <w:r w:rsidR="00BD2801">
        <w:rPr>
          <w:rFonts w:eastAsia="Calibri"/>
          <w:lang w:val="fr-FR"/>
        </w:rPr>
        <w:t>’</w:t>
      </w:r>
      <w:r w:rsidR="00F07283" w:rsidRPr="00E046E7">
        <w:rPr>
          <w:rFonts w:eastAsia="Calibri"/>
          <w:lang w:val="fr-FR"/>
        </w:rPr>
        <w:t xml:space="preserve">évaluer les </w:t>
      </w:r>
      <w:r w:rsidR="00692CB7" w:rsidRPr="00E046E7">
        <w:rPr>
          <w:rFonts w:eastAsia="Calibri"/>
          <w:lang w:val="fr-FR"/>
        </w:rPr>
        <w:t xml:space="preserve">principales </w:t>
      </w:r>
      <w:r w:rsidR="00F07283" w:rsidRPr="00E046E7">
        <w:rPr>
          <w:rFonts w:eastAsia="Calibri"/>
          <w:lang w:val="fr-FR"/>
        </w:rPr>
        <w:t xml:space="preserve">caractéristiques </w:t>
      </w:r>
      <w:r w:rsidR="00692CB7" w:rsidRPr="00E046E7">
        <w:rPr>
          <w:rFonts w:eastAsia="Calibri"/>
          <w:lang w:val="fr-FR"/>
        </w:rPr>
        <w:t xml:space="preserve">clés du succès, notamment les mesures, les ressources et les capacités, le respect de critères particuliers, les moyens de calibrage ainsi que les combinaisons et la </w:t>
      </w:r>
      <w:r w:rsidR="009A7196">
        <w:rPr>
          <w:rFonts w:eastAsia="Calibri"/>
          <w:lang w:val="fr-FR"/>
        </w:rPr>
        <w:t>planification</w:t>
      </w:r>
      <w:r w:rsidR="00692CB7" w:rsidRPr="00E046E7">
        <w:rPr>
          <w:rFonts w:eastAsia="Calibri"/>
          <w:lang w:val="fr-FR"/>
        </w:rPr>
        <w:t xml:space="preserve"> de mesures</w:t>
      </w:r>
      <w:r w:rsidRPr="00E046E7">
        <w:rPr>
          <w:rFonts w:eastAsia="Calibri"/>
          <w:lang w:val="fr-FR"/>
        </w:rPr>
        <w:t>.</w:t>
      </w:r>
    </w:p>
    <w:p w14:paraId="78B018D5" w14:textId="09C96FF2" w:rsidR="008125AA" w:rsidRPr="00E046E7" w:rsidRDefault="00692CB7" w:rsidP="00BD2801">
      <w:pPr>
        <w:pStyle w:val="Normalnumber"/>
        <w:rPr>
          <w:rFonts w:eastAsia="MS Mincho"/>
          <w:lang w:val="fr-FR"/>
        </w:rPr>
      </w:pPr>
      <w:r w:rsidRPr="00E046E7">
        <w:rPr>
          <w:rFonts w:eastAsia="MS Mincho"/>
          <w:lang w:val="fr-FR"/>
        </w:rPr>
        <w:t>Ces éléments devraient être</w:t>
      </w:r>
      <w:r w:rsidR="00667817" w:rsidRPr="00E046E7">
        <w:rPr>
          <w:rFonts w:eastAsia="MS Mincho"/>
          <w:lang w:val="fr-FR"/>
        </w:rPr>
        <w:t xml:space="preserve"> mis en rapport avec le cadre conceptuel de la Plateforme mentionné au chapitre 3 et les défis énoncés au chapitre 4</w:t>
      </w:r>
      <w:r w:rsidR="008125AA" w:rsidRPr="00E046E7">
        <w:rPr>
          <w:rFonts w:eastAsia="MS Mincho"/>
          <w:lang w:val="fr-FR"/>
        </w:rPr>
        <w:t>.</w:t>
      </w:r>
      <w:r w:rsidR="00667817" w:rsidRPr="00E046E7">
        <w:rPr>
          <w:rFonts w:eastAsia="MS Mincho"/>
          <w:lang w:val="fr-FR"/>
        </w:rPr>
        <w:t xml:space="preserve"> Chacune des interventions et voies potentielles sera également évaluée afin de déterminer l</w:t>
      </w:r>
      <w:r w:rsidR="00BD2801">
        <w:rPr>
          <w:rFonts w:eastAsia="MS Mincho"/>
          <w:lang w:val="fr-FR"/>
        </w:rPr>
        <w:t>’</w:t>
      </w:r>
      <w:r w:rsidR="00667817" w:rsidRPr="00E046E7">
        <w:rPr>
          <w:rFonts w:eastAsia="MS Mincho"/>
          <w:lang w:val="fr-FR"/>
        </w:rPr>
        <w:t>efficacité, la légitimité, les retombées positives, les lacunes, les</w:t>
      </w:r>
      <w:r w:rsidR="00E41E0B">
        <w:rPr>
          <w:rFonts w:eastAsia="MS Mincho"/>
          <w:lang w:val="fr-FR"/>
        </w:rPr>
        <w:t> </w:t>
      </w:r>
      <w:r w:rsidR="00667817" w:rsidRPr="00E046E7">
        <w:rPr>
          <w:rFonts w:eastAsia="MS Mincho"/>
          <w:lang w:val="fr-FR"/>
        </w:rPr>
        <w:t xml:space="preserve">défaillances et les défis </w:t>
      </w:r>
      <w:r w:rsidR="00FB2F32" w:rsidRPr="00E046E7">
        <w:rPr>
          <w:rFonts w:eastAsia="MS Mincho"/>
          <w:lang w:val="fr-FR"/>
        </w:rPr>
        <w:t>qui restent à relever</w:t>
      </w:r>
      <w:r w:rsidR="008125AA" w:rsidRPr="00E046E7">
        <w:rPr>
          <w:rFonts w:eastAsia="MS Mincho"/>
          <w:lang w:val="fr-FR"/>
        </w:rPr>
        <w:t>,</w:t>
      </w:r>
      <w:r w:rsidR="00FB2F32" w:rsidRPr="00E046E7">
        <w:rPr>
          <w:rFonts w:eastAsia="MS Mincho"/>
          <w:lang w:val="fr-FR"/>
        </w:rPr>
        <w:t xml:space="preserve"> tout en</w:t>
      </w:r>
      <w:r w:rsidR="008125AA" w:rsidRPr="00E046E7">
        <w:rPr>
          <w:rFonts w:eastAsia="MS Mincho"/>
          <w:lang w:val="fr-FR"/>
        </w:rPr>
        <w:t xml:space="preserve"> </w:t>
      </w:r>
      <w:r w:rsidR="00FB2F32" w:rsidRPr="00E046E7">
        <w:rPr>
          <w:rFonts w:eastAsia="MS Mincho"/>
          <w:lang w:val="fr-FR"/>
        </w:rPr>
        <w:t>accordant une attention particulière à la justice, à l</w:t>
      </w:r>
      <w:r w:rsidR="00BD2801">
        <w:rPr>
          <w:rFonts w:eastAsia="MS Mincho"/>
          <w:lang w:val="fr-FR"/>
        </w:rPr>
        <w:t>’</w:t>
      </w:r>
      <w:r w:rsidR="00FB2F32" w:rsidRPr="00E046E7">
        <w:rPr>
          <w:rFonts w:eastAsia="MS Mincho"/>
          <w:lang w:val="fr-FR"/>
        </w:rPr>
        <w:t>équité et au pouvoir</w:t>
      </w:r>
      <w:r w:rsidR="008125AA" w:rsidRPr="00E046E7">
        <w:rPr>
          <w:rFonts w:eastAsia="MS Mincho"/>
          <w:lang w:val="fr-FR"/>
        </w:rPr>
        <w:t>.</w:t>
      </w:r>
      <w:r w:rsidR="00FB2F32" w:rsidRPr="00E046E7">
        <w:rPr>
          <w:rFonts w:eastAsia="MS Mincho"/>
          <w:lang w:val="fr-FR"/>
        </w:rPr>
        <w:t xml:space="preserve"> Des exemples seront systématiquement fournis, </w:t>
      </w:r>
      <w:r w:rsidR="00CB621E" w:rsidRPr="00E046E7">
        <w:rPr>
          <w:rFonts w:eastAsia="MS Mincho"/>
          <w:lang w:val="fr-FR"/>
        </w:rPr>
        <w:t xml:space="preserve">illustrant les </w:t>
      </w:r>
      <w:r w:rsidR="006F36E4">
        <w:rPr>
          <w:rFonts w:eastAsia="MS Mincho"/>
          <w:lang w:val="fr-FR"/>
        </w:rPr>
        <w:t>variations</w:t>
      </w:r>
      <w:r w:rsidR="00CB621E" w:rsidRPr="00E046E7">
        <w:rPr>
          <w:rFonts w:eastAsia="MS Mincho"/>
          <w:lang w:val="fr-FR"/>
        </w:rPr>
        <w:t xml:space="preserve"> en</w:t>
      </w:r>
      <w:r w:rsidR="00E41E0B">
        <w:rPr>
          <w:rFonts w:eastAsia="MS Mincho"/>
          <w:lang w:val="fr-FR"/>
        </w:rPr>
        <w:t> </w:t>
      </w:r>
      <w:r w:rsidR="00CB621E" w:rsidRPr="00E046E7">
        <w:rPr>
          <w:rFonts w:eastAsia="MS Mincho"/>
          <w:lang w:val="fr-FR"/>
        </w:rPr>
        <w:t>fonction des périodes</w:t>
      </w:r>
      <w:r w:rsidR="008125AA" w:rsidRPr="00E046E7">
        <w:rPr>
          <w:rFonts w:eastAsia="MS Mincho"/>
          <w:lang w:val="fr-FR"/>
        </w:rPr>
        <w:t xml:space="preserve">, </w:t>
      </w:r>
      <w:r w:rsidR="00CB621E" w:rsidRPr="00E046E7">
        <w:rPr>
          <w:rFonts w:eastAsia="MS Mincho"/>
          <w:lang w:val="fr-FR"/>
        </w:rPr>
        <w:t>des échelles</w:t>
      </w:r>
      <w:r w:rsidR="008125AA" w:rsidRPr="00E046E7">
        <w:rPr>
          <w:rFonts w:eastAsia="MS Mincho"/>
          <w:lang w:val="fr-FR"/>
        </w:rPr>
        <w:t xml:space="preserve">, </w:t>
      </w:r>
      <w:r w:rsidR="00CB621E" w:rsidRPr="00E046E7">
        <w:rPr>
          <w:rFonts w:eastAsia="MS Mincho"/>
          <w:lang w:val="fr-FR"/>
        </w:rPr>
        <w:t>des groupes</w:t>
      </w:r>
      <w:r w:rsidR="008125AA" w:rsidRPr="00E046E7">
        <w:rPr>
          <w:rFonts w:eastAsia="MS Mincho"/>
          <w:lang w:val="fr-FR"/>
        </w:rPr>
        <w:t xml:space="preserve">, </w:t>
      </w:r>
      <w:r w:rsidR="00CB621E" w:rsidRPr="00E046E7">
        <w:rPr>
          <w:rFonts w:eastAsia="MS Mincho"/>
          <w:lang w:val="fr-FR"/>
        </w:rPr>
        <w:t>des secteurs</w:t>
      </w:r>
      <w:r w:rsidR="008125AA" w:rsidRPr="00E046E7">
        <w:rPr>
          <w:rFonts w:eastAsia="MS Mincho"/>
          <w:lang w:val="fr-FR"/>
        </w:rPr>
        <w:t xml:space="preserve">, </w:t>
      </w:r>
      <w:r w:rsidR="00CB621E" w:rsidRPr="00E046E7">
        <w:rPr>
          <w:rFonts w:eastAsia="MS Mincho"/>
          <w:lang w:val="fr-FR"/>
        </w:rPr>
        <w:t>des régions</w:t>
      </w:r>
      <w:r w:rsidR="008125AA" w:rsidRPr="00E046E7">
        <w:rPr>
          <w:rFonts w:eastAsia="MS Mincho"/>
          <w:lang w:val="fr-FR"/>
        </w:rPr>
        <w:t xml:space="preserve">, </w:t>
      </w:r>
      <w:r w:rsidR="00CB621E" w:rsidRPr="00E046E7">
        <w:rPr>
          <w:rFonts w:eastAsia="MS Mincho"/>
          <w:lang w:val="fr-FR"/>
        </w:rPr>
        <w:t>du niveau de développement ainsi que des contextes géographiques et culturels</w:t>
      </w:r>
      <w:r w:rsidR="009A7196">
        <w:rPr>
          <w:rFonts w:eastAsia="MS Mincho"/>
          <w:lang w:val="fr-FR"/>
        </w:rPr>
        <w:t>,</w:t>
      </w:r>
      <w:r w:rsidR="00CB621E" w:rsidRPr="00E046E7">
        <w:rPr>
          <w:rFonts w:eastAsia="MS Mincho"/>
          <w:lang w:val="fr-FR"/>
        </w:rPr>
        <w:t xml:space="preserve"> et mettant en évidence le rôle</w:t>
      </w:r>
      <w:r w:rsidR="008125AA" w:rsidRPr="00E046E7">
        <w:rPr>
          <w:rFonts w:eastAsia="MS Mincho"/>
          <w:lang w:val="fr-FR"/>
        </w:rPr>
        <w:t xml:space="preserve"> </w:t>
      </w:r>
      <w:r w:rsidR="00CB621E" w:rsidRPr="00E046E7">
        <w:rPr>
          <w:rFonts w:eastAsia="MS Mincho"/>
          <w:lang w:val="fr-FR"/>
        </w:rPr>
        <w:t>de</w:t>
      </w:r>
      <w:r w:rsidR="00E41E0B">
        <w:rPr>
          <w:rFonts w:eastAsia="MS Mincho"/>
          <w:lang w:val="fr-FR"/>
        </w:rPr>
        <w:t> </w:t>
      </w:r>
      <w:r w:rsidR="00CB621E" w:rsidRPr="00E046E7">
        <w:rPr>
          <w:rFonts w:eastAsia="MS Mincho"/>
          <w:lang w:val="fr-FR"/>
        </w:rPr>
        <w:t xml:space="preserve">ces </w:t>
      </w:r>
      <w:r w:rsidR="006F36E4">
        <w:rPr>
          <w:rFonts w:eastAsia="MS Mincho"/>
          <w:lang w:val="fr-FR"/>
        </w:rPr>
        <w:t>variations</w:t>
      </w:r>
      <w:r w:rsidR="00CB621E" w:rsidRPr="00E046E7">
        <w:rPr>
          <w:rFonts w:eastAsia="MS Mincho"/>
          <w:lang w:val="fr-FR"/>
        </w:rPr>
        <w:t xml:space="preserve"> au sein des cas et entre ceux-ci</w:t>
      </w:r>
      <w:r w:rsidR="008125AA" w:rsidRPr="00E046E7">
        <w:rPr>
          <w:rFonts w:eastAsia="MS Mincho"/>
          <w:lang w:val="fr-FR"/>
        </w:rPr>
        <w:t xml:space="preserve">. </w:t>
      </w:r>
    </w:p>
    <w:p w14:paraId="16B5AEAC" w14:textId="6A3CCE89" w:rsidR="008125AA" w:rsidRPr="00E046E7" w:rsidRDefault="008125AA" w:rsidP="008125AA">
      <w:pPr>
        <w:pStyle w:val="CH1"/>
        <w:ind w:left="0" w:firstLine="0"/>
        <w:rPr>
          <w:lang w:val="fr-FR"/>
        </w:rPr>
      </w:pPr>
      <w:r w:rsidRPr="00E046E7">
        <w:rPr>
          <w:lang w:val="fr-FR"/>
        </w:rPr>
        <w:tab/>
        <w:t>III.</w:t>
      </w:r>
      <w:r w:rsidRPr="00E046E7">
        <w:rPr>
          <w:lang w:val="fr-FR"/>
        </w:rPr>
        <w:tab/>
      </w:r>
      <w:r w:rsidR="00CB621E" w:rsidRPr="00E046E7">
        <w:rPr>
          <w:lang w:val="fr-FR"/>
        </w:rPr>
        <w:t>Données et informations</w:t>
      </w:r>
    </w:p>
    <w:p w14:paraId="52FAC9BC" w14:textId="6A605BBC" w:rsidR="008125AA" w:rsidRPr="00E046E7" w:rsidRDefault="00CB621E"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évaluation s</w:t>
      </w:r>
      <w:r w:rsidR="00BD2801">
        <w:rPr>
          <w:rFonts w:eastAsia="MS Mincho"/>
          <w:lang w:val="fr-FR"/>
        </w:rPr>
        <w:t>’</w:t>
      </w:r>
      <w:r w:rsidRPr="00E046E7">
        <w:rPr>
          <w:rFonts w:eastAsia="MS Mincho"/>
          <w:lang w:val="fr-FR"/>
        </w:rPr>
        <w:t xml:space="preserve">appuiera sur des </w:t>
      </w:r>
      <w:r w:rsidR="00395BA3" w:rsidRPr="00E046E7">
        <w:rPr>
          <w:rFonts w:eastAsia="MS Mincho"/>
          <w:lang w:val="fr-FR"/>
        </w:rPr>
        <w:t>d</w:t>
      </w:r>
      <w:r w:rsidRPr="00E046E7">
        <w:rPr>
          <w:rFonts w:eastAsia="MS Mincho"/>
          <w:lang w:val="fr-FR"/>
        </w:rPr>
        <w:t>onnées et des informations</w:t>
      </w:r>
      <w:r w:rsidR="00395BA3" w:rsidRPr="00E046E7">
        <w:rPr>
          <w:rFonts w:eastAsia="MS Mincho"/>
          <w:lang w:val="fr-FR"/>
        </w:rPr>
        <w:t xml:space="preserve"> provenant de divers systèmes de </w:t>
      </w:r>
      <w:r w:rsidR="00395BA3" w:rsidRPr="00BD2801">
        <w:rPr>
          <w:rFonts w:eastAsia="MS Mincho"/>
        </w:rPr>
        <w:t>connaissances</w:t>
      </w:r>
      <w:r w:rsidR="00395BA3" w:rsidRPr="00E046E7">
        <w:rPr>
          <w:rFonts w:eastAsia="MS Mincho"/>
          <w:lang w:val="fr-FR"/>
        </w:rPr>
        <w:t xml:space="preserve"> et </w:t>
      </w:r>
      <w:r w:rsidR="001501A1">
        <w:rPr>
          <w:rFonts w:eastAsia="MS Mincho"/>
          <w:lang w:val="fr-FR"/>
        </w:rPr>
        <w:t>établies dans d</w:t>
      </w:r>
      <w:r w:rsidR="00BD2801">
        <w:rPr>
          <w:rFonts w:eastAsia="MS Mincho"/>
          <w:lang w:val="fr-FR"/>
        </w:rPr>
        <w:t>’</w:t>
      </w:r>
      <w:r w:rsidR="001501A1">
        <w:rPr>
          <w:rFonts w:eastAsia="MS Mincho"/>
          <w:lang w:val="fr-FR"/>
        </w:rPr>
        <w:t>autres langues</w:t>
      </w:r>
      <w:r w:rsidR="00395BA3" w:rsidRPr="00E046E7">
        <w:rPr>
          <w:rFonts w:eastAsia="MS Mincho"/>
          <w:lang w:val="fr-FR"/>
        </w:rPr>
        <w:t>, notamment de la littérature scientifique ainsi que des</w:t>
      </w:r>
      <w:r w:rsidR="00E41E0B">
        <w:rPr>
          <w:rFonts w:eastAsia="MS Mincho"/>
          <w:lang w:val="fr-FR"/>
        </w:rPr>
        <w:t> </w:t>
      </w:r>
      <w:r w:rsidR="00395BA3" w:rsidRPr="00E046E7">
        <w:rPr>
          <w:rFonts w:eastAsia="MS Mincho"/>
          <w:lang w:val="fr-FR"/>
        </w:rPr>
        <w:t>savoirs autochtones et locaux, traitant toutes les composantes du cadre conceptuel de la Plateforme afin d</w:t>
      </w:r>
      <w:r w:rsidR="00BD2801">
        <w:rPr>
          <w:rFonts w:eastAsia="MS Mincho"/>
          <w:lang w:val="fr-FR"/>
        </w:rPr>
        <w:t>’</w:t>
      </w:r>
      <w:r w:rsidR="00395BA3" w:rsidRPr="00E046E7">
        <w:rPr>
          <w:rFonts w:eastAsia="MS Mincho"/>
          <w:lang w:val="fr-FR"/>
        </w:rPr>
        <w:t xml:space="preserve">étudier </w:t>
      </w:r>
      <w:r w:rsidR="006F36E4">
        <w:rPr>
          <w:rFonts w:eastAsia="MS Mincho"/>
          <w:lang w:val="fr-FR"/>
        </w:rPr>
        <w:t>les liens d</w:t>
      </w:r>
      <w:r w:rsidR="00BD2801">
        <w:rPr>
          <w:rFonts w:eastAsia="MS Mincho"/>
          <w:lang w:val="fr-FR"/>
        </w:rPr>
        <w:t>’</w:t>
      </w:r>
      <w:r w:rsidR="006F36E4">
        <w:rPr>
          <w:rFonts w:eastAsia="MS Mincho"/>
          <w:lang w:val="fr-FR"/>
        </w:rPr>
        <w:t>interdépendance</w:t>
      </w:r>
      <w:r w:rsidR="00395BA3" w:rsidRPr="00E046E7">
        <w:rPr>
          <w:rFonts w:eastAsia="MS Mincho"/>
          <w:lang w:val="fr-FR"/>
        </w:rPr>
        <w:t xml:space="preserve"> entre la nature, les contributions de la nature aux</w:t>
      </w:r>
      <w:r w:rsidR="00E41E0B">
        <w:rPr>
          <w:rFonts w:eastAsia="MS Mincho"/>
          <w:lang w:val="fr-FR"/>
        </w:rPr>
        <w:t> </w:t>
      </w:r>
      <w:r w:rsidR="00395BA3" w:rsidRPr="00E046E7">
        <w:rPr>
          <w:rFonts w:eastAsia="MS Mincho"/>
          <w:lang w:val="fr-FR"/>
        </w:rPr>
        <w:t>populations, les facteurs, les institutions, la gouvernance et une bonne qualité de vie</w:t>
      </w:r>
      <w:r w:rsidR="008125AA" w:rsidRPr="00E046E7">
        <w:rPr>
          <w:rFonts w:eastAsia="MS Mincho"/>
          <w:lang w:val="fr-FR"/>
        </w:rPr>
        <w:t xml:space="preserve">. </w:t>
      </w:r>
    </w:p>
    <w:p w14:paraId="7A1A158C" w14:textId="1B380DB5" w:rsidR="008125AA" w:rsidRPr="00E046E7" w:rsidRDefault="00395BA3" w:rsidP="00BD2801">
      <w:pPr>
        <w:pStyle w:val="Normalnumber"/>
        <w:rPr>
          <w:rFonts w:eastAsia="MS Mincho"/>
          <w:lang w:val="fr-FR"/>
        </w:rPr>
      </w:pPr>
      <w:r w:rsidRPr="00E046E7">
        <w:rPr>
          <w:rFonts w:eastAsia="MS Mincho"/>
          <w:lang w:val="fr-FR"/>
        </w:rPr>
        <w:t xml:space="preserve">Conformément à la politique de gestion des données de la Plateforme, </w:t>
      </w:r>
      <w:r w:rsidR="003414A9">
        <w:rPr>
          <w:rFonts w:eastAsia="MS Mincho"/>
          <w:lang w:val="fr-FR"/>
        </w:rPr>
        <w:t xml:space="preserve">on veillera à </w:t>
      </w:r>
      <w:r w:rsidR="00344A9B" w:rsidRPr="00E046E7">
        <w:rPr>
          <w:rFonts w:eastAsia="MS Mincho"/>
          <w:lang w:val="fr-FR"/>
        </w:rPr>
        <w:t>garanti</w:t>
      </w:r>
      <w:r w:rsidR="003414A9">
        <w:rPr>
          <w:rFonts w:eastAsia="MS Mincho"/>
          <w:lang w:val="fr-FR"/>
        </w:rPr>
        <w:t>r</w:t>
      </w:r>
      <w:r w:rsidR="00344A9B" w:rsidRPr="00E046E7">
        <w:rPr>
          <w:rFonts w:eastAsia="MS Mincho"/>
          <w:lang w:val="fr-FR"/>
        </w:rPr>
        <w:t xml:space="preserve"> </w:t>
      </w:r>
      <w:r w:rsidR="003414A9">
        <w:rPr>
          <w:rFonts w:eastAsia="MS Mincho"/>
          <w:lang w:val="fr-FR"/>
        </w:rPr>
        <w:t>l</w:t>
      </w:r>
      <w:r w:rsidR="00BD2801">
        <w:rPr>
          <w:rFonts w:eastAsia="MS Mincho"/>
          <w:lang w:val="fr-FR"/>
        </w:rPr>
        <w:t>’</w:t>
      </w:r>
      <w:r w:rsidR="00344A9B" w:rsidRPr="00E046E7">
        <w:rPr>
          <w:rFonts w:eastAsia="MS Mincho"/>
          <w:lang w:val="fr-FR"/>
        </w:rPr>
        <w:t>un accès aux métadonnées et,</w:t>
      </w:r>
      <w:r w:rsidR="008125AA" w:rsidRPr="00E046E7">
        <w:rPr>
          <w:rFonts w:eastAsia="MS Mincho"/>
          <w:lang w:val="fr-FR"/>
        </w:rPr>
        <w:t xml:space="preserve"> </w:t>
      </w:r>
      <w:r w:rsidR="00344A9B" w:rsidRPr="00E046E7">
        <w:rPr>
          <w:rFonts w:eastAsia="MS Mincho"/>
          <w:lang w:val="fr-FR"/>
        </w:rPr>
        <w:t xml:space="preserve">dans la mesure du possible, aux données sous-jacentes </w:t>
      </w:r>
      <w:r w:rsidR="00344A9B" w:rsidRPr="00BD2801">
        <w:rPr>
          <w:rFonts w:eastAsia="MS Mincho"/>
        </w:rPr>
        <w:t>correspondantes</w:t>
      </w:r>
      <w:r w:rsidR="008125AA" w:rsidRPr="00E046E7">
        <w:rPr>
          <w:rFonts w:eastAsia="MS Mincho"/>
          <w:lang w:val="fr-FR"/>
        </w:rPr>
        <w:t>,</w:t>
      </w:r>
      <w:r w:rsidR="00344A9B" w:rsidRPr="00E046E7">
        <w:rPr>
          <w:rFonts w:eastAsia="MS Mincho"/>
          <w:lang w:val="fr-FR"/>
        </w:rPr>
        <w:t xml:space="preserve"> par le biais d</w:t>
      </w:r>
      <w:r w:rsidR="00BD2801">
        <w:rPr>
          <w:rFonts w:eastAsia="MS Mincho"/>
          <w:lang w:val="fr-FR"/>
        </w:rPr>
        <w:t>’</w:t>
      </w:r>
      <w:r w:rsidR="00344A9B" w:rsidRPr="00E046E7">
        <w:rPr>
          <w:rFonts w:eastAsia="MS Mincho"/>
          <w:lang w:val="fr-FR"/>
        </w:rPr>
        <w:t xml:space="preserve">un processus </w:t>
      </w:r>
      <w:r w:rsidR="003414A9">
        <w:rPr>
          <w:rFonts w:eastAsia="MS Mincho"/>
          <w:lang w:val="fr-FR"/>
        </w:rPr>
        <w:t>localisable</w:t>
      </w:r>
      <w:r w:rsidR="00344A9B" w:rsidRPr="00E046E7">
        <w:rPr>
          <w:rFonts w:eastAsia="MS Mincho"/>
          <w:lang w:val="fr-FR"/>
        </w:rPr>
        <w:t>, accessible, interopérable et réutilisable</w:t>
      </w:r>
      <w:r w:rsidR="008125AA" w:rsidRPr="00E046E7">
        <w:rPr>
          <w:rFonts w:eastAsia="MS Mincho"/>
          <w:lang w:val="fr-FR"/>
        </w:rPr>
        <w:t xml:space="preserve"> (FAIR) </w:t>
      </w:r>
      <w:r w:rsidR="007F69A7" w:rsidRPr="00E046E7">
        <w:rPr>
          <w:rFonts w:eastAsia="MS Mincho"/>
          <w:lang w:val="fr-FR"/>
        </w:rPr>
        <w:t>pour assurer la comparabilité entre les évaluations</w:t>
      </w:r>
      <w:r w:rsidR="008125AA" w:rsidRPr="00E046E7">
        <w:rPr>
          <w:rFonts w:eastAsia="MS Mincho"/>
          <w:lang w:val="fr-FR"/>
        </w:rPr>
        <w:t>.</w:t>
      </w:r>
      <w:r w:rsidR="007F69A7" w:rsidRPr="00E046E7">
        <w:rPr>
          <w:rFonts w:eastAsia="MS Mincho"/>
          <w:lang w:val="fr-FR"/>
        </w:rPr>
        <w:t xml:space="preserve"> De plus,</w:t>
      </w:r>
      <w:r w:rsidR="008125AA" w:rsidRPr="00E046E7">
        <w:rPr>
          <w:rFonts w:eastAsia="MS Mincho"/>
          <w:lang w:val="fr-FR"/>
        </w:rPr>
        <w:t xml:space="preserve"> </w:t>
      </w:r>
      <w:r w:rsidR="007F69A7" w:rsidRPr="00E046E7">
        <w:rPr>
          <w:rFonts w:eastAsia="MS Mincho"/>
          <w:lang w:val="fr-FR"/>
        </w:rPr>
        <w:t>l</w:t>
      </w:r>
      <w:r w:rsidR="00BD2801">
        <w:rPr>
          <w:rFonts w:eastAsia="MS Mincho"/>
          <w:lang w:val="fr-FR"/>
        </w:rPr>
        <w:t>’</w:t>
      </w:r>
      <w:r w:rsidR="007F69A7" w:rsidRPr="00E046E7">
        <w:rPr>
          <w:rFonts w:eastAsia="MS Mincho"/>
          <w:lang w:val="fr-FR"/>
        </w:rPr>
        <w:t>équipe spéciale sur les</w:t>
      </w:r>
      <w:r w:rsidR="00E41E0B">
        <w:rPr>
          <w:rFonts w:eastAsia="MS Mincho"/>
          <w:lang w:val="fr-FR"/>
        </w:rPr>
        <w:t> </w:t>
      </w:r>
      <w:r w:rsidR="007F69A7" w:rsidRPr="00E046E7">
        <w:rPr>
          <w:rFonts w:eastAsia="MS Mincho"/>
          <w:lang w:val="fr-FR"/>
        </w:rPr>
        <w:t>connaissances et les données s</w:t>
      </w:r>
      <w:r w:rsidR="00BD2801">
        <w:rPr>
          <w:rFonts w:eastAsia="MS Mincho"/>
          <w:lang w:val="fr-FR"/>
        </w:rPr>
        <w:t>’</w:t>
      </w:r>
      <w:r w:rsidR="007F69A7" w:rsidRPr="00E046E7">
        <w:rPr>
          <w:rFonts w:eastAsia="MS Mincho"/>
          <w:lang w:val="fr-FR"/>
        </w:rPr>
        <w:t>emploiera à veiller à ce que les résultats (à savoir les supports de</w:t>
      </w:r>
      <w:r w:rsidR="00E41E0B">
        <w:rPr>
          <w:rFonts w:eastAsia="MS Mincho"/>
          <w:lang w:val="fr-FR"/>
        </w:rPr>
        <w:t> </w:t>
      </w:r>
      <w:r w:rsidR="007F69A7" w:rsidRPr="00E046E7">
        <w:rPr>
          <w:rFonts w:eastAsia="MS Mincho"/>
          <w:lang w:val="fr-FR"/>
        </w:rPr>
        <w:t>connaissances) de l</w:t>
      </w:r>
      <w:r w:rsidR="00BD2801">
        <w:rPr>
          <w:rFonts w:eastAsia="MS Mincho"/>
          <w:lang w:val="fr-FR"/>
        </w:rPr>
        <w:t>’</w:t>
      </w:r>
      <w:r w:rsidR="007F69A7" w:rsidRPr="00E046E7">
        <w:rPr>
          <w:rFonts w:eastAsia="MS Mincho"/>
          <w:lang w:val="fr-FR"/>
        </w:rPr>
        <w:t>évaluation des changements transformateurs soient largement disponibles pour</w:t>
      </w:r>
      <w:r w:rsidR="00E41E0B">
        <w:rPr>
          <w:rFonts w:eastAsia="MS Mincho"/>
          <w:lang w:val="fr-FR"/>
        </w:rPr>
        <w:t> </w:t>
      </w:r>
      <w:r w:rsidR="007F69A7" w:rsidRPr="00E046E7">
        <w:rPr>
          <w:rFonts w:eastAsia="MS Mincho"/>
          <w:lang w:val="fr-FR"/>
        </w:rPr>
        <w:t>les futures évaluations de la Plateforme et d</w:t>
      </w:r>
      <w:r w:rsidR="00BD2801">
        <w:rPr>
          <w:rFonts w:eastAsia="MS Mincho"/>
          <w:lang w:val="fr-FR"/>
        </w:rPr>
        <w:t>’</w:t>
      </w:r>
      <w:r w:rsidR="007F69A7" w:rsidRPr="00E046E7">
        <w:rPr>
          <w:rFonts w:eastAsia="MS Mincho"/>
          <w:lang w:val="fr-FR"/>
        </w:rPr>
        <w:t>autres utilisations</w:t>
      </w:r>
      <w:r w:rsidR="008125AA" w:rsidRPr="00E046E7">
        <w:rPr>
          <w:rFonts w:eastAsia="MS Mincho"/>
          <w:lang w:val="fr-FR"/>
        </w:rPr>
        <w:t>.</w:t>
      </w:r>
    </w:p>
    <w:p w14:paraId="55B99D69" w14:textId="54B898F0" w:rsidR="008125AA" w:rsidRPr="00E046E7" w:rsidRDefault="001F4070" w:rsidP="00BD2801">
      <w:pPr>
        <w:pStyle w:val="Normalnumber"/>
        <w:rPr>
          <w:rFonts w:eastAsia="MS Mincho"/>
          <w:lang w:val="fr-FR"/>
        </w:rPr>
      </w:pPr>
      <w:r w:rsidRPr="00E046E7">
        <w:rPr>
          <w:rFonts w:eastAsia="MS Mincho"/>
          <w:lang w:val="fr-FR"/>
        </w:rPr>
        <w:t>En outre, l</w:t>
      </w:r>
      <w:r w:rsidR="00BD2801">
        <w:rPr>
          <w:rFonts w:eastAsia="MS Mincho"/>
          <w:lang w:val="fr-FR"/>
        </w:rPr>
        <w:t>’</w:t>
      </w:r>
      <w:r w:rsidRPr="00E046E7">
        <w:rPr>
          <w:rFonts w:eastAsia="MS Mincho"/>
          <w:lang w:val="fr-FR"/>
        </w:rPr>
        <w:t>évaluation recensera des sources de données et d</w:t>
      </w:r>
      <w:r w:rsidR="00BD2801">
        <w:rPr>
          <w:rFonts w:eastAsia="MS Mincho"/>
          <w:lang w:val="fr-FR"/>
        </w:rPr>
        <w:t>’</w:t>
      </w:r>
      <w:r w:rsidRPr="00E046E7">
        <w:rPr>
          <w:rFonts w:eastAsia="MS Mincho"/>
          <w:lang w:val="fr-FR"/>
        </w:rPr>
        <w:t>informations pertinentes sur le</w:t>
      </w:r>
      <w:r w:rsidR="00E41E0B">
        <w:rPr>
          <w:rFonts w:eastAsia="MS Mincho"/>
          <w:lang w:val="fr-FR"/>
        </w:rPr>
        <w:t> </w:t>
      </w:r>
      <w:r w:rsidRPr="00E046E7">
        <w:rPr>
          <w:rFonts w:eastAsia="MS Mincho"/>
          <w:lang w:val="fr-FR"/>
        </w:rPr>
        <w:t>plan mondial et régional, qui peuvent exister ou émerger, et cherchera à avoir accès à ces sources</w:t>
      </w:r>
      <w:r w:rsidR="008125AA" w:rsidRPr="00E046E7">
        <w:rPr>
          <w:rFonts w:eastAsia="MS Mincho"/>
          <w:lang w:val="fr-FR"/>
        </w:rPr>
        <w:t>.</w:t>
      </w:r>
      <w:r w:rsidRPr="00E046E7">
        <w:rPr>
          <w:rFonts w:eastAsia="MS Mincho"/>
          <w:lang w:val="fr-FR"/>
        </w:rPr>
        <w:t xml:space="preserve"> Parmi les </w:t>
      </w:r>
      <w:r w:rsidRPr="00BD2801">
        <w:rPr>
          <w:rFonts w:eastAsia="MS Mincho"/>
        </w:rPr>
        <w:t>sources</w:t>
      </w:r>
      <w:r w:rsidRPr="00E046E7">
        <w:rPr>
          <w:rFonts w:eastAsia="MS Mincho"/>
          <w:lang w:val="fr-FR"/>
        </w:rPr>
        <w:t xml:space="preserve"> de données potentielles figurent les institutions et les organisations mondiales, régionales et nationales, la littérature scientifique ainsi que les savoirs autochtones et locaux</w:t>
      </w:r>
      <w:r w:rsidR="008125AA" w:rsidRPr="00E046E7">
        <w:rPr>
          <w:rFonts w:eastAsia="MS Mincho"/>
          <w:lang w:val="fr-FR"/>
        </w:rPr>
        <w:t>.</w:t>
      </w:r>
      <w:r w:rsidRPr="00E046E7">
        <w:rPr>
          <w:rFonts w:eastAsia="MS Mincho"/>
          <w:lang w:val="fr-FR"/>
        </w:rPr>
        <w:t xml:space="preserve"> Les</w:t>
      </w:r>
      <w:r w:rsidR="00E41E0B">
        <w:rPr>
          <w:rFonts w:eastAsia="MS Mincho"/>
          <w:lang w:val="fr-FR"/>
        </w:rPr>
        <w:t> </w:t>
      </w:r>
      <w:r w:rsidRPr="00E046E7">
        <w:rPr>
          <w:rFonts w:eastAsia="MS Mincho"/>
          <w:lang w:val="fr-FR"/>
        </w:rPr>
        <w:t>besoins du processus d</w:t>
      </w:r>
      <w:r w:rsidR="00BD2801">
        <w:rPr>
          <w:rFonts w:eastAsia="MS Mincho"/>
          <w:lang w:val="fr-FR"/>
        </w:rPr>
        <w:t>’</w:t>
      </w:r>
      <w:r w:rsidRPr="00E046E7">
        <w:rPr>
          <w:rFonts w:eastAsia="MS Mincho"/>
          <w:lang w:val="fr-FR"/>
        </w:rPr>
        <w:t xml:space="preserve">évaluation seront largement communiqués afin de </w:t>
      </w:r>
      <w:r w:rsidR="00B56D66">
        <w:rPr>
          <w:rFonts w:eastAsia="MS Mincho"/>
          <w:lang w:val="fr-FR"/>
        </w:rPr>
        <w:t xml:space="preserve">définir et </w:t>
      </w:r>
      <w:r w:rsidR="007231D9">
        <w:rPr>
          <w:rFonts w:eastAsia="MS Mincho"/>
          <w:lang w:val="fr-FR"/>
        </w:rPr>
        <w:t>d</w:t>
      </w:r>
      <w:r w:rsidR="00BD2801">
        <w:rPr>
          <w:rFonts w:eastAsia="MS Mincho"/>
          <w:lang w:val="fr-FR"/>
        </w:rPr>
        <w:t>’</w:t>
      </w:r>
      <w:r w:rsidR="007231D9">
        <w:rPr>
          <w:rFonts w:eastAsia="MS Mincho"/>
          <w:lang w:val="fr-FR"/>
        </w:rPr>
        <w:t xml:space="preserve">encourager le partage de </w:t>
      </w:r>
      <w:r w:rsidRPr="00E046E7">
        <w:rPr>
          <w:rFonts w:eastAsia="MS Mincho"/>
          <w:lang w:val="fr-FR"/>
        </w:rPr>
        <w:t xml:space="preserve">données et </w:t>
      </w:r>
      <w:r w:rsidR="007231D9">
        <w:rPr>
          <w:rFonts w:eastAsia="MS Mincho"/>
          <w:lang w:val="fr-FR"/>
        </w:rPr>
        <w:t>d</w:t>
      </w:r>
      <w:r w:rsidR="00BD2801">
        <w:rPr>
          <w:rFonts w:eastAsia="MS Mincho"/>
          <w:lang w:val="fr-FR"/>
        </w:rPr>
        <w:t>’</w:t>
      </w:r>
      <w:r w:rsidRPr="00E046E7">
        <w:rPr>
          <w:rFonts w:eastAsia="MS Mincho"/>
          <w:lang w:val="fr-FR"/>
        </w:rPr>
        <w:t>informations pertinentes</w:t>
      </w:r>
      <w:r w:rsidR="007231D9">
        <w:rPr>
          <w:rFonts w:eastAsia="MS Mincho"/>
          <w:lang w:val="fr-FR"/>
        </w:rPr>
        <w:t xml:space="preserve">. </w:t>
      </w:r>
      <w:r w:rsidR="008125AA" w:rsidRPr="00E046E7">
        <w:rPr>
          <w:rFonts w:eastAsia="MS Mincho"/>
          <w:lang w:val="fr-FR"/>
        </w:rPr>
        <w:t xml:space="preserve"> </w:t>
      </w:r>
    </w:p>
    <w:p w14:paraId="4CD8A13B" w14:textId="7E30D112" w:rsidR="008125AA" w:rsidRPr="00E046E7" w:rsidRDefault="00027905"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 xml:space="preserve">équipe spéciale sur les connaissances et les données appuiera les travaux </w:t>
      </w:r>
      <w:r w:rsidR="00655CEE">
        <w:rPr>
          <w:rFonts w:eastAsia="MS Mincho"/>
          <w:lang w:val="fr-FR"/>
        </w:rPr>
        <w:t xml:space="preserve">sur </w:t>
      </w:r>
      <w:r w:rsidRPr="00E046E7">
        <w:rPr>
          <w:rFonts w:eastAsia="MS Mincho"/>
          <w:lang w:val="fr-FR"/>
        </w:rPr>
        <w:t>la qualité des</w:t>
      </w:r>
      <w:r w:rsidR="00E41E0B">
        <w:rPr>
          <w:rFonts w:eastAsia="MS Mincho"/>
          <w:lang w:val="fr-FR"/>
        </w:rPr>
        <w:t> </w:t>
      </w:r>
      <w:r w:rsidRPr="00E046E7">
        <w:rPr>
          <w:rFonts w:eastAsia="MS Mincho"/>
          <w:lang w:val="fr-FR"/>
        </w:rPr>
        <w:t>données et des informations</w:t>
      </w:r>
      <w:r w:rsidR="008125AA" w:rsidRPr="00E046E7">
        <w:rPr>
          <w:rFonts w:eastAsia="MS Mincho"/>
          <w:lang w:val="fr-FR"/>
        </w:rPr>
        <w:t xml:space="preserve">, </w:t>
      </w:r>
      <w:r w:rsidRPr="00E046E7">
        <w:rPr>
          <w:rFonts w:eastAsia="MS Mincho"/>
          <w:lang w:val="fr-FR"/>
        </w:rPr>
        <w:t>la confiance</w:t>
      </w:r>
      <w:r w:rsidR="008125AA" w:rsidRPr="00E046E7">
        <w:rPr>
          <w:rFonts w:eastAsia="MS Mincho"/>
          <w:lang w:val="fr-FR"/>
        </w:rPr>
        <w:t xml:space="preserve">, </w:t>
      </w:r>
      <w:r w:rsidRPr="00E046E7">
        <w:rPr>
          <w:rFonts w:eastAsia="MS Mincho"/>
          <w:lang w:val="fr-FR"/>
        </w:rPr>
        <w:t>les</w:t>
      </w:r>
      <w:r w:rsidR="008125AA" w:rsidRPr="00E046E7">
        <w:rPr>
          <w:rFonts w:eastAsia="MS Mincho"/>
          <w:lang w:val="fr-FR"/>
        </w:rPr>
        <w:t xml:space="preserve"> variables</w:t>
      </w:r>
      <w:r w:rsidRPr="00E046E7">
        <w:rPr>
          <w:rFonts w:eastAsia="MS Mincho"/>
          <w:lang w:val="fr-FR"/>
        </w:rPr>
        <w:t xml:space="preserve"> et les indicateurs</w:t>
      </w:r>
      <w:r w:rsidR="008125AA" w:rsidRPr="00E046E7">
        <w:rPr>
          <w:rFonts w:eastAsia="MS Mincho"/>
          <w:lang w:val="fr-FR"/>
        </w:rPr>
        <w:t xml:space="preserve"> </w:t>
      </w:r>
      <w:r w:rsidRPr="00E046E7">
        <w:rPr>
          <w:rFonts w:eastAsia="MS Mincho"/>
          <w:lang w:val="fr-FR"/>
        </w:rPr>
        <w:t>essentiels de la</w:t>
      </w:r>
      <w:r w:rsidR="00E41E0B">
        <w:rPr>
          <w:rFonts w:eastAsia="MS Mincho"/>
          <w:lang w:val="fr-FR"/>
        </w:rPr>
        <w:t> </w:t>
      </w:r>
      <w:r w:rsidRPr="00E046E7">
        <w:rPr>
          <w:rFonts w:eastAsia="MS Mincho"/>
          <w:lang w:val="fr-FR"/>
        </w:rPr>
        <w:t>biodiversité</w:t>
      </w:r>
      <w:r w:rsidR="008125AA" w:rsidRPr="00E046E7">
        <w:rPr>
          <w:rFonts w:eastAsia="MS Mincho"/>
          <w:lang w:val="fr-FR"/>
        </w:rPr>
        <w:t xml:space="preserve">, </w:t>
      </w:r>
      <w:r w:rsidRPr="00E046E7">
        <w:rPr>
          <w:rFonts w:eastAsia="MS Mincho"/>
          <w:lang w:val="fr-FR"/>
        </w:rPr>
        <w:t xml:space="preserve">les </w:t>
      </w:r>
      <w:r w:rsidR="0049534C">
        <w:rPr>
          <w:rFonts w:eastAsia="MS Mincho"/>
          <w:lang w:val="fr-FR"/>
        </w:rPr>
        <w:t xml:space="preserve">bases </w:t>
      </w:r>
      <w:r w:rsidR="0049534C" w:rsidRPr="00BD2801">
        <w:rPr>
          <w:rFonts w:eastAsia="MS Mincho"/>
        </w:rPr>
        <w:t>de</w:t>
      </w:r>
      <w:r w:rsidR="0049534C">
        <w:rPr>
          <w:rFonts w:eastAsia="MS Mincho"/>
          <w:lang w:val="fr-FR"/>
        </w:rPr>
        <w:t xml:space="preserve"> </w:t>
      </w:r>
      <w:r w:rsidRPr="00E046E7">
        <w:rPr>
          <w:rFonts w:eastAsia="MS Mincho"/>
          <w:lang w:val="fr-FR"/>
        </w:rPr>
        <w:t>référence et la représentativité, selon que de besoin</w:t>
      </w:r>
      <w:r w:rsidR="008125AA" w:rsidRPr="00E046E7">
        <w:rPr>
          <w:rFonts w:eastAsia="MS Mincho"/>
          <w:lang w:val="fr-FR"/>
        </w:rPr>
        <w:t xml:space="preserve">. </w:t>
      </w:r>
      <w:r w:rsidRPr="00E046E7">
        <w:rPr>
          <w:rFonts w:eastAsia="MS Mincho"/>
          <w:lang w:val="fr-FR"/>
        </w:rPr>
        <w:t>L</w:t>
      </w:r>
      <w:r w:rsidR="00BD2801">
        <w:rPr>
          <w:rFonts w:eastAsia="MS Mincho"/>
          <w:lang w:val="fr-FR"/>
        </w:rPr>
        <w:t>’</w:t>
      </w:r>
      <w:r w:rsidRPr="00E046E7">
        <w:rPr>
          <w:rFonts w:eastAsia="MS Mincho"/>
          <w:lang w:val="fr-FR"/>
        </w:rPr>
        <w:t>évaluation utilisera, selon qu</w:t>
      </w:r>
      <w:r w:rsidR="00BD2801">
        <w:rPr>
          <w:rFonts w:eastAsia="MS Mincho"/>
          <w:lang w:val="fr-FR"/>
        </w:rPr>
        <w:t>’</w:t>
      </w:r>
      <w:r w:rsidRPr="00E046E7">
        <w:rPr>
          <w:rFonts w:eastAsia="MS Mincho"/>
          <w:lang w:val="fr-FR"/>
        </w:rPr>
        <w:t>il convient, des indicateurs existants utiles pour la mise en œuvre du</w:t>
      </w:r>
      <w:r w:rsidR="008125AA" w:rsidRPr="00E046E7">
        <w:rPr>
          <w:rFonts w:eastAsia="MS Mincho"/>
          <w:lang w:val="fr-FR"/>
        </w:rPr>
        <w:t xml:space="preserve"> </w:t>
      </w:r>
      <w:r w:rsidRPr="00E046E7">
        <w:rPr>
          <w:rFonts w:eastAsia="MS Mincho"/>
          <w:lang w:val="fr-FR"/>
        </w:rPr>
        <w:t>cadre mondial de la</w:t>
      </w:r>
      <w:r w:rsidR="00E41E0B">
        <w:rPr>
          <w:rFonts w:eastAsia="MS Mincho"/>
          <w:lang w:val="fr-FR"/>
        </w:rPr>
        <w:t> </w:t>
      </w:r>
      <w:r w:rsidRPr="00E046E7">
        <w:rPr>
          <w:rFonts w:eastAsia="MS Mincho"/>
          <w:lang w:val="fr-FR"/>
        </w:rPr>
        <w:t>biodiversité pour l</w:t>
      </w:r>
      <w:r w:rsidR="00BD2801">
        <w:rPr>
          <w:rFonts w:eastAsia="MS Mincho"/>
          <w:lang w:val="fr-FR"/>
        </w:rPr>
        <w:t>’</w:t>
      </w:r>
      <w:r w:rsidRPr="00E046E7">
        <w:rPr>
          <w:rFonts w:eastAsia="MS Mincho"/>
          <w:lang w:val="fr-FR"/>
        </w:rPr>
        <w:t>après-2020 et du Programme de développement durable à l</w:t>
      </w:r>
      <w:r w:rsidR="00BD2801">
        <w:rPr>
          <w:rFonts w:eastAsia="MS Mincho"/>
          <w:lang w:val="fr-FR"/>
        </w:rPr>
        <w:t>’</w:t>
      </w:r>
      <w:r w:rsidRPr="00E046E7">
        <w:rPr>
          <w:rFonts w:eastAsia="MS Mincho"/>
          <w:lang w:val="fr-FR"/>
        </w:rPr>
        <w:t>horizon</w:t>
      </w:r>
      <w:r w:rsidR="00E41E0B">
        <w:rPr>
          <w:rFonts w:eastAsia="MS Mincho"/>
          <w:lang w:val="fr-FR"/>
        </w:rPr>
        <w:t> </w:t>
      </w:r>
      <w:r w:rsidRPr="00E046E7">
        <w:rPr>
          <w:rFonts w:eastAsia="MS Mincho"/>
          <w:lang w:val="fr-FR"/>
        </w:rPr>
        <w:t>2030</w:t>
      </w:r>
      <w:r w:rsidR="008125AA" w:rsidRPr="00E046E7">
        <w:rPr>
          <w:rFonts w:eastAsia="MS Mincho"/>
          <w:lang w:val="fr-FR"/>
        </w:rPr>
        <w:t>.</w:t>
      </w:r>
    </w:p>
    <w:p w14:paraId="2DAE3757" w14:textId="546FDFD9" w:rsidR="008125AA" w:rsidRPr="00E046E7" w:rsidRDefault="00027905"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 xml:space="preserve">équipe spéciale sur les scénarios et les modèles appuiera les </w:t>
      </w:r>
      <w:r w:rsidR="00B33D8A" w:rsidRPr="00E046E7">
        <w:rPr>
          <w:rFonts w:eastAsia="MS Mincho"/>
          <w:lang w:val="fr-FR"/>
        </w:rPr>
        <w:t>travaux liés aux scénarios et aux</w:t>
      </w:r>
      <w:r w:rsidR="00E41E0B">
        <w:rPr>
          <w:rFonts w:eastAsia="MS Mincho"/>
          <w:lang w:val="fr-FR"/>
        </w:rPr>
        <w:t> </w:t>
      </w:r>
      <w:r w:rsidR="00B33D8A" w:rsidRPr="00E046E7">
        <w:rPr>
          <w:rFonts w:eastAsia="MS Mincho"/>
          <w:lang w:val="fr-FR"/>
        </w:rPr>
        <w:t>modèles en fournissant des conseils pour l</w:t>
      </w:r>
      <w:r w:rsidR="00BD2801">
        <w:rPr>
          <w:rFonts w:eastAsia="MS Mincho"/>
          <w:lang w:val="fr-FR"/>
        </w:rPr>
        <w:t>’</w:t>
      </w:r>
      <w:r w:rsidR="00B33D8A" w:rsidRPr="00E046E7">
        <w:rPr>
          <w:rFonts w:eastAsia="MS Mincho"/>
          <w:lang w:val="fr-FR"/>
        </w:rPr>
        <w:t>évaluation et en mobilisant des contributions concernant les scénarios et les modèles</w:t>
      </w:r>
      <w:r w:rsidR="008125AA" w:rsidRPr="00E046E7">
        <w:rPr>
          <w:rFonts w:eastAsia="MS Mincho"/>
          <w:lang w:val="fr-FR"/>
        </w:rPr>
        <w:t>.</w:t>
      </w:r>
      <w:r w:rsidR="00B33D8A" w:rsidRPr="00E046E7">
        <w:rPr>
          <w:rFonts w:eastAsia="MS Mincho"/>
          <w:lang w:val="fr-FR"/>
        </w:rPr>
        <w:t xml:space="preserve"> Lorsque cela s</w:t>
      </w:r>
      <w:r w:rsidR="00BD2801">
        <w:rPr>
          <w:rFonts w:eastAsia="MS Mincho"/>
          <w:lang w:val="fr-FR"/>
        </w:rPr>
        <w:t>’</w:t>
      </w:r>
      <w:r w:rsidR="00B33D8A" w:rsidRPr="00E046E7">
        <w:rPr>
          <w:rFonts w:eastAsia="MS Mincho"/>
          <w:lang w:val="fr-FR"/>
        </w:rPr>
        <w:t>avèrera utile et approprié, l</w:t>
      </w:r>
      <w:r w:rsidR="00BD2801">
        <w:rPr>
          <w:rFonts w:eastAsia="MS Mincho"/>
          <w:lang w:val="fr-FR"/>
        </w:rPr>
        <w:t>’</w:t>
      </w:r>
      <w:r w:rsidR="00B33D8A" w:rsidRPr="00E046E7">
        <w:rPr>
          <w:rFonts w:eastAsia="MS Mincho"/>
          <w:lang w:val="fr-FR"/>
        </w:rPr>
        <w:t xml:space="preserve">évaluation </w:t>
      </w:r>
      <w:r w:rsidR="00495834" w:rsidRPr="00E046E7">
        <w:rPr>
          <w:rFonts w:eastAsia="MS Mincho"/>
          <w:lang w:val="fr-FR"/>
        </w:rPr>
        <w:t>se</w:t>
      </w:r>
      <w:r w:rsidR="00E41E0B">
        <w:rPr>
          <w:rFonts w:eastAsia="MS Mincho"/>
          <w:lang w:val="fr-FR"/>
        </w:rPr>
        <w:t> </w:t>
      </w:r>
      <w:r w:rsidR="00495834" w:rsidRPr="00E046E7">
        <w:rPr>
          <w:rFonts w:eastAsia="MS Mincho"/>
          <w:lang w:val="fr-FR"/>
        </w:rPr>
        <w:t>fondera</w:t>
      </w:r>
      <w:r w:rsidR="00B33D8A" w:rsidRPr="00E046E7">
        <w:rPr>
          <w:rFonts w:eastAsia="MS Mincho"/>
          <w:lang w:val="fr-FR"/>
        </w:rPr>
        <w:t xml:space="preserve"> sur le cadre pour l</w:t>
      </w:r>
      <w:r w:rsidR="00BD2801">
        <w:rPr>
          <w:rFonts w:eastAsia="MS Mincho"/>
          <w:lang w:val="fr-FR"/>
        </w:rPr>
        <w:t>’</w:t>
      </w:r>
      <w:r w:rsidR="00B33D8A" w:rsidRPr="00E046E7">
        <w:rPr>
          <w:rFonts w:eastAsia="MS Mincho"/>
          <w:lang w:val="fr-FR"/>
        </w:rPr>
        <w:t>élaboration des scénarios et les méthodologies formulées</w:t>
      </w:r>
      <w:r w:rsidR="00690649" w:rsidRPr="00E046E7">
        <w:rPr>
          <w:rFonts w:eastAsia="MS Mincho"/>
          <w:lang w:val="fr-FR"/>
        </w:rPr>
        <w:t xml:space="preserve"> par l</w:t>
      </w:r>
      <w:r w:rsidR="00BD2801">
        <w:rPr>
          <w:rFonts w:eastAsia="MS Mincho"/>
          <w:lang w:val="fr-FR"/>
        </w:rPr>
        <w:t>’</w:t>
      </w:r>
      <w:r w:rsidR="00690649" w:rsidRPr="00E046E7">
        <w:rPr>
          <w:rFonts w:eastAsia="MS Mincho"/>
          <w:lang w:val="fr-FR"/>
        </w:rPr>
        <w:t xml:space="preserve">équipe spéciale sur les scénarios et les </w:t>
      </w:r>
      <w:r w:rsidR="00690649" w:rsidRPr="00BD2801">
        <w:rPr>
          <w:rFonts w:eastAsia="MS Mincho"/>
        </w:rPr>
        <w:t>modèles</w:t>
      </w:r>
      <w:r w:rsidR="008125AA" w:rsidRPr="00E046E7">
        <w:rPr>
          <w:rFonts w:eastAsia="MS Mincho"/>
          <w:lang w:val="fr-FR"/>
        </w:rPr>
        <w:t>,</w:t>
      </w:r>
      <w:r w:rsidR="00690649" w:rsidRPr="00E046E7">
        <w:rPr>
          <w:rFonts w:eastAsia="MS Mincho"/>
          <w:lang w:val="fr-FR"/>
        </w:rPr>
        <w:t xml:space="preserve"> afin d</w:t>
      </w:r>
      <w:r w:rsidR="00BD2801">
        <w:rPr>
          <w:rFonts w:eastAsia="MS Mincho"/>
          <w:lang w:val="fr-FR"/>
        </w:rPr>
        <w:t>’</w:t>
      </w:r>
      <w:r w:rsidR="00690649" w:rsidRPr="00E046E7">
        <w:rPr>
          <w:rFonts w:eastAsia="MS Mincho"/>
          <w:lang w:val="fr-FR"/>
        </w:rPr>
        <w:t>évaluer les visions, les voies et les scénarios pertinents pour ses chapitres</w:t>
      </w:r>
      <w:r w:rsidR="008125AA" w:rsidRPr="00E046E7">
        <w:rPr>
          <w:rFonts w:eastAsia="MS Mincho"/>
          <w:lang w:val="fr-FR"/>
        </w:rPr>
        <w:t>.</w:t>
      </w:r>
      <w:r w:rsidR="00690649" w:rsidRPr="00E046E7">
        <w:rPr>
          <w:rFonts w:eastAsia="MS Mincho"/>
          <w:lang w:val="fr-FR"/>
        </w:rPr>
        <w:t xml:space="preserve"> Les produits de l</w:t>
      </w:r>
      <w:r w:rsidR="00BD2801">
        <w:rPr>
          <w:rFonts w:eastAsia="MS Mincho"/>
          <w:lang w:val="fr-FR"/>
        </w:rPr>
        <w:t>’</w:t>
      </w:r>
      <w:r w:rsidR="00690649" w:rsidRPr="00E046E7">
        <w:rPr>
          <w:rFonts w:eastAsia="MS Mincho"/>
          <w:lang w:val="fr-FR"/>
        </w:rPr>
        <w:t>équipe spéciale sur les scénarios et les modèles sont particulièrement utiles pour l</w:t>
      </w:r>
      <w:r w:rsidR="00BD2801">
        <w:rPr>
          <w:rFonts w:eastAsia="MS Mincho"/>
          <w:lang w:val="fr-FR"/>
        </w:rPr>
        <w:t>’</w:t>
      </w:r>
      <w:r w:rsidR="00690649" w:rsidRPr="00E046E7">
        <w:rPr>
          <w:rFonts w:eastAsia="MS Mincho"/>
          <w:lang w:val="fr-FR"/>
        </w:rPr>
        <w:t>évaluation, dans la mesure où ils cherchent à faciliter le processus de création d</w:t>
      </w:r>
      <w:r w:rsidR="00BD2801">
        <w:rPr>
          <w:rFonts w:eastAsia="MS Mincho"/>
          <w:lang w:val="fr-FR"/>
        </w:rPr>
        <w:t>’</w:t>
      </w:r>
      <w:r w:rsidR="00690649" w:rsidRPr="00E046E7">
        <w:rPr>
          <w:rFonts w:eastAsia="MS Mincho"/>
          <w:lang w:val="fr-FR"/>
        </w:rPr>
        <w:t>une compréhension commune et d</w:t>
      </w:r>
      <w:r w:rsidR="00BD2801">
        <w:rPr>
          <w:rFonts w:eastAsia="MS Mincho"/>
          <w:lang w:val="fr-FR"/>
        </w:rPr>
        <w:t>’</w:t>
      </w:r>
      <w:r w:rsidR="00690649" w:rsidRPr="00E046E7">
        <w:rPr>
          <w:rFonts w:eastAsia="MS Mincho"/>
          <w:lang w:val="fr-FR"/>
        </w:rPr>
        <w:t>un engagement partagé pour</w:t>
      </w:r>
      <w:r w:rsidR="008125AA" w:rsidRPr="00E046E7">
        <w:rPr>
          <w:rFonts w:eastAsia="MS Mincho"/>
          <w:lang w:val="fr-FR"/>
        </w:rPr>
        <w:t xml:space="preserve"> </w:t>
      </w:r>
      <w:r w:rsidR="00690649" w:rsidRPr="00E046E7">
        <w:rPr>
          <w:rFonts w:eastAsia="MS Mincho"/>
          <w:lang w:val="fr-FR"/>
        </w:rPr>
        <w:t>provoquer des changements transformateurs en vue de réaliser la Vision 2050 pour la biodiversité</w:t>
      </w:r>
      <w:r w:rsidR="008125AA" w:rsidRPr="00E046E7">
        <w:rPr>
          <w:rFonts w:eastAsia="MS Mincho"/>
          <w:lang w:val="fr-FR"/>
        </w:rPr>
        <w:t>.</w:t>
      </w:r>
      <w:r w:rsidR="00690649" w:rsidRPr="00E046E7">
        <w:rPr>
          <w:rFonts w:eastAsia="MS Mincho"/>
          <w:lang w:val="fr-FR"/>
        </w:rPr>
        <w:t xml:space="preserve"> Afin d</w:t>
      </w:r>
      <w:r w:rsidR="00BD2801">
        <w:rPr>
          <w:rFonts w:eastAsia="MS Mincho"/>
          <w:lang w:val="fr-FR"/>
        </w:rPr>
        <w:t>’</w:t>
      </w:r>
      <w:r w:rsidR="00690649" w:rsidRPr="00E046E7">
        <w:rPr>
          <w:rFonts w:eastAsia="MS Mincho"/>
          <w:lang w:val="fr-FR"/>
        </w:rPr>
        <w:t>appuyer</w:t>
      </w:r>
      <w:r w:rsidR="00495834" w:rsidRPr="00E046E7">
        <w:rPr>
          <w:rFonts w:eastAsia="MS Mincho"/>
          <w:lang w:val="fr-FR"/>
        </w:rPr>
        <w:t xml:space="preserve"> l</w:t>
      </w:r>
      <w:r w:rsidR="00BD2801">
        <w:rPr>
          <w:rFonts w:eastAsia="MS Mincho"/>
          <w:lang w:val="fr-FR"/>
        </w:rPr>
        <w:t>’</w:t>
      </w:r>
      <w:r w:rsidR="00495834" w:rsidRPr="00E046E7">
        <w:rPr>
          <w:rFonts w:eastAsia="MS Mincho"/>
          <w:lang w:val="fr-FR"/>
        </w:rPr>
        <w:t>évaluation dans le cadre de la compréhension et de la détermination de l</w:t>
      </w:r>
      <w:r w:rsidR="00BD2801">
        <w:rPr>
          <w:rFonts w:eastAsia="MS Mincho"/>
          <w:lang w:val="fr-FR"/>
        </w:rPr>
        <w:t>’</w:t>
      </w:r>
      <w:r w:rsidR="00495834" w:rsidRPr="00E046E7">
        <w:rPr>
          <w:rFonts w:eastAsia="MS Mincho"/>
          <w:lang w:val="fr-FR"/>
        </w:rPr>
        <w:t xml:space="preserve">impact de tels scénarios sur </w:t>
      </w:r>
      <w:r w:rsidR="00495834" w:rsidRPr="00E046E7">
        <w:rPr>
          <w:rFonts w:eastAsia="MS Mincho"/>
          <w:lang w:val="fr-FR"/>
        </w:rPr>
        <w:lastRenderedPageBreak/>
        <w:t>la</w:t>
      </w:r>
      <w:r w:rsidR="00E41E0B">
        <w:rPr>
          <w:rFonts w:eastAsia="MS Mincho"/>
          <w:lang w:val="fr-FR"/>
        </w:rPr>
        <w:t> </w:t>
      </w:r>
      <w:r w:rsidR="00495834" w:rsidRPr="00E046E7">
        <w:rPr>
          <w:rFonts w:eastAsia="MS Mincho"/>
          <w:lang w:val="fr-FR"/>
        </w:rPr>
        <w:t>biodiversité et les contributions de la nature aux populations, l</w:t>
      </w:r>
      <w:r w:rsidR="00BD2801">
        <w:rPr>
          <w:rFonts w:eastAsia="MS Mincho"/>
          <w:lang w:val="fr-FR"/>
        </w:rPr>
        <w:t>’</w:t>
      </w:r>
      <w:r w:rsidR="00495834" w:rsidRPr="00E046E7">
        <w:rPr>
          <w:rFonts w:eastAsia="MS Mincho"/>
          <w:lang w:val="fr-FR"/>
        </w:rPr>
        <w:t>équipe spéciale fournira des</w:t>
      </w:r>
      <w:r w:rsidR="00E41E0B">
        <w:rPr>
          <w:rFonts w:eastAsia="MS Mincho"/>
          <w:lang w:val="fr-FR"/>
        </w:rPr>
        <w:t> </w:t>
      </w:r>
      <w:r w:rsidR="00495834" w:rsidRPr="00E046E7">
        <w:rPr>
          <w:rFonts w:eastAsia="MS Mincho"/>
          <w:lang w:val="fr-FR"/>
        </w:rPr>
        <w:t>ressources</w:t>
      </w:r>
      <w:r w:rsidR="008125AA" w:rsidRPr="00E046E7">
        <w:rPr>
          <w:rFonts w:eastAsia="MS Mincho"/>
          <w:lang w:val="fr-FR"/>
        </w:rPr>
        <w:t xml:space="preserve"> </w:t>
      </w:r>
      <w:r w:rsidR="00495834" w:rsidRPr="00E046E7">
        <w:rPr>
          <w:rFonts w:eastAsia="MS Mincho"/>
          <w:lang w:val="fr-FR"/>
        </w:rPr>
        <w:t>pertinentes et partagera avec l</w:t>
      </w:r>
      <w:r w:rsidR="00BD2801">
        <w:rPr>
          <w:rFonts w:eastAsia="MS Mincho"/>
          <w:lang w:val="fr-FR"/>
        </w:rPr>
        <w:t>’</w:t>
      </w:r>
      <w:r w:rsidR="00495834" w:rsidRPr="00E046E7">
        <w:rPr>
          <w:rFonts w:eastAsia="MS Mincho"/>
          <w:lang w:val="fr-FR"/>
        </w:rPr>
        <w:t>évaluation les dernières avancées de ses travaux</w:t>
      </w:r>
      <w:r w:rsidR="008125AA" w:rsidRPr="00E046E7">
        <w:rPr>
          <w:rFonts w:eastAsia="MS Mincho"/>
          <w:lang w:val="fr-FR"/>
        </w:rPr>
        <w:t xml:space="preserve">. </w:t>
      </w:r>
    </w:p>
    <w:p w14:paraId="0F8DD575" w14:textId="5203EC88" w:rsidR="008125AA" w:rsidRPr="00E046E7" w:rsidRDefault="00337950" w:rsidP="00BD2801">
      <w:pPr>
        <w:pStyle w:val="Normalnumber"/>
        <w:rPr>
          <w:rFonts w:eastAsia="MS Mincho"/>
          <w:lang w:val="fr-FR"/>
        </w:rPr>
      </w:pPr>
      <w:r w:rsidRPr="00E046E7">
        <w:rPr>
          <w:rFonts w:eastAsia="MS Mincho"/>
          <w:lang w:val="fr-FR"/>
        </w:rPr>
        <w:t>L</w:t>
      </w:r>
      <w:r w:rsidR="00BD2801">
        <w:rPr>
          <w:rFonts w:eastAsia="MS Mincho"/>
          <w:lang w:val="fr-FR"/>
        </w:rPr>
        <w:t>’</w:t>
      </w:r>
      <w:r w:rsidRPr="00E046E7">
        <w:rPr>
          <w:rFonts w:eastAsia="MS Mincho"/>
          <w:lang w:val="fr-FR"/>
        </w:rPr>
        <w:t xml:space="preserve">évaluation reconnaitra et utilisera les savoirs autochtones et locaux conformément à </w:t>
      </w:r>
      <w:r w:rsidRPr="00BD2801">
        <w:rPr>
          <w:rFonts w:eastAsia="MS Mincho"/>
        </w:rPr>
        <w:t>l</w:t>
      </w:r>
      <w:r w:rsidR="00BD2801" w:rsidRPr="00BD2801">
        <w:rPr>
          <w:rFonts w:eastAsia="MS Mincho"/>
        </w:rPr>
        <w:t>’</w:t>
      </w:r>
      <w:r w:rsidRPr="00BD2801">
        <w:rPr>
          <w:rFonts w:eastAsia="MS Mincho"/>
        </w:rPr>
        <w:t>approche</w:t>
      </w:r>
      <w:r w:rsidRPr="00E046E7">
        <w:rPr>
          <w:rFonts w:eastAsia="MS Mincho"/>
          <w:lang w:val="fr-FR"/>
        </w:rPr>
        <w:t xml:space="preserve"> de la Plateforme adoptée par la Plénière dans la décision </w:t>
      </w:r>
      <w:r w:rsidR="008125AA" w:rsidRPr="00E046E7">
        <w:rPr>
          <w:rFonts w:eastAsia="MS Mincho"/>
          <w:lang w:val="fr-FR"/>
        </w:rPr>
        <w:t xml:space="preserve">IPBES-5/1 </w:t>
      </w:r>
      <w:r w:rsidR="00891B1A">
        <w:rPr>
          <w:rFonts w:eastAsia="MS Mincho"/>
          <w:lang w:val="fr-FR"/>
        </w:rPr>
        <w:t>et aux</w:t>
      </w:r>
      <w:r w:rsidRPr="00E046E7">
        <w:rPr>
          <w:rFonts w:eastAsia="MS Mincho"/>
          <w:lang w:val="fr-FR"/>
        </w:rPr>
        <w:t xml:space="preserve"> orientations pertinentes concernant sa mise en œuvre élaborées par l</w:t>
      </w:r>
      <w:r w:rsidR="00BD2801">
        <w:rPr>
          <w:rFonts w:eastAsia="MS Mincho"/>
          <w:lang w:val="fr-FR"/>
        </w:rPr>
        <w:t>’</w:t>
      </w:r>
      <w:r w:rsidRPr="00E046E7">
        <w:rPr>
          <w:rFonts w:eastAsia="MS Mincho"/>
          <w:lang w:val="fr-FR"/>
        </w:rPr>
        <w:t>équipe spéciale sur les savoirs autochtones et</w:t>
      </w:r>
      <w:r w:rsidR="00E41E0B">
        <w:rPr>
          <w:rFonts w:eastAsia="MS Mincho"/>
          <w:lang w:val="fr-FR"/>
        </w:rPr>
        <w:t> </w:t>
      </w:r>
      <w:r w:rsidRPr="00E046E7">
        <w:rPr>
          <w:rFonts w:eastAsia="MS Mincho"/>
          <w:lang w:val="fr-FR"/>
        </w:rPr>
        <w:t>locaux</w:t>
      </w:r>
      <w:r w:rsidR="008125AA" w:rsidRPr="00E046E7">
        <w:rPr>
          <w:rFonts w:eastAsia="MS Mincho"/>
          <w:lang w:val="fr-FR"/>
        </w:rPr>
        <w:t xml:space="preserve">. </w:t>
      </w:r>
    </w:p>
    <w:p w14:paraId="4F429C9B" w14:textId="7B95F811" w:rsidR="008125AA" w:rsidRPr="00E046E7" w:rsidRDefault="008125AA" w:rsidP="00026971">
      <w:pPr>
        <w:pStyle w:val="CH1"/>
        <w:ind w:left="0" w:firstLine="0"/>
        <w:rPr>
          <w:lang w:val="fr-FR"/>
        </w:rPr>
      </w:pPr>
      <w:r w:rsidRPr="00E046E7">
        <w:rPr>
          <w:lang w:val="fr-FR"/>
        </w:rPr>
        <w:tab/>
        <w:t>IV.</w:t>
      </w:r>
      <w:r w:rsidRPr="00E046E7">
        <w:rPr>
          <w:lang w:val="fr-FR"/>
        </w:rPr>
        <w:tab/>
      </w:r>
      <w:r w:rsidR="00867603" w:rsidRPr="00E046E7">
        <w:rPr>
          <w:lang w:val="fr-FR"/>
        </w:rPr>
        <w:t xml:space="preserve">Renforcement </w:t>
      </w:r>
      <w:r w:rsidR="0019123C">
        <w:rPr>
          <w:lang w:val="fr-FR"/>
        </w:rPr>
        <w:t xml:space="preserve">et développement </w:t>
      </w:r>
      <w:r w:rsidR="00867603" w:rsidRPr="00E046E7">
        <w:rPr>
          <w:lang w:val="fr-FR"/>
        </w:rPr>
        <w:t>des capacités</w:t>
      </w:r>
    </w:p>
    <w:p w14:paraId="497EBB80" w14:textId="795A2787" w:rsidR="008125AA" w:rsidRPr="00E046E7" w:rsidRDefault="00867603" w:rsidP="00BD2801">
      <w:pPr>
        <w:pStyle w:val="Normalnumber"/>
        <w:rPr>
          <w:rFonts w:eastAsia="MS Mincho"/>
          <w:lang w:val="fr-FR"/>
        </w:rPr>
      </w:pPr>
      <w:r w:rsidRPr="00E046E7">
        <w:rPr>
          <w:rFonts w:eastAsia="MS Mincho"/>
          <w:lang w:val="fr-FR"/>
        </w:rPr>
        <w:t xml:space="preserve">Les activités de renforcement des capacités </w:t>
      </w:r>
      <w:r w:rsidR="000A290F">
        <w:rPr>
          <w:rFonts w:eastAsia="MS Mincho"/>
          <w:lang w:val="fr-FR"/>
        </w:rPr>
        <w:t>contribueront à soutenir l</w:t>
      </w:r>
      <w:r w:rsidR="00BD2801">
        <w:rPr>
          <w:rFonts w:eastAsia="MS Mincho"/>
          <w:lang w:val="fr-FR"/>
        </w:rPr>
        <w:t>’</w:t>
      </w:r>
      <w:r w:rsidRPr="00E046E7">
        <w:rPr>
          <w:rFonts w:eastAsia="MS Mincho"/>
          <w:lang w:val="fr-FR"/>
        </w:rPr>
        <w:t>élaboration et l</w:t>
      </w:r>
      <w:r w:rsidR="00BD2801">
        <w:rPr>
          <w:rFonts w:eastAsia="MS Mincho"/>
          <w:lang w:val="fr-FR"/>
        </w:rPr>
        <w:t>’</w:t>
      </w:r>
      <w:r w:rsidRPr="00E046E7">
        <w:rPr>
          <w:rFonts w:eastAsia="MS Mincho"/>
          <w:lang w:val="fr-FR"/>
        </w:rPr>
        <w:t>utilisation de l</w:t>
      </w:r>
      <w:r w:rsidR="00BD2801">
        <w:rPr>
          <w:rFonts w:eastAsia="MS Mincho"/>
          <w:lang w:val="fr-FR"/>
        </w:rPr>
        <w:t>’</w:t>
      </w:r>
      <w:r w:rsidRPr="00E046E7">
        <w:rPr>
          <w:rFonts w:eastAsia="MS Mincho"/>
          <w:lang w:val="fr-FR"/>
        </w:rPr>
        <w:t>évaluation</w:t>
      </w:r>
      <w:r w:rsidR="008125AA" w:rsidRPr="00E046E7">
        <w:rPr>
          <w:rFonts w:eastAsia="MS Mincho"/>
          <w:lang w:val="fr-FR"/>
        </w:rPr>
        <w:t>.</w:t>
      </w:r>
      <w:r w:rsidRPr="00E046E7">
        <w:rPr>
          <w:rFonts w:eastAsia="MS Mincho"/>
          <w:lang w:val="fr-FR"/>
        </w:rPr>
        <w:t xml:space="preserve"> Les activités seront conçues conformément à l</w:t>
      </w:r>
      <w:r w:rsidR="00BD2801">
        <w:rPr>
          <w:rFonts w:eastAsia="MS Mincho"/>
          <w:lang w:val="fr-FR"/>
        </w:rPr>
        <w:t>’</w:t>
      </w:r>
      <w:r w:rsidRPr="00E046E7">
        <w:rPr>
          <w:rFonts w:eastAsia="MS Mincho"/>
          <w:lang w:val="fr-FR"/>
        </w:rPr>
        <w:t>objectif 2 sur le renforcement des</w:t>
      </w:r>
      <w:r w:rsidR="00E41E0B">
        <w:rPr>
          <w:rFonts w:eastAsia="MS Mincho"/>
          <w:lang w:val="fr-FR"/>
        </w:rPr>
        <w:t> </w:t>
      </w:r>
      <w:r w:rsidRPr="00BD2801">
        <w:rPr>
          <w:rFonts w:eastAsia="MS Mincho"/>
        </w:rPr>
        <w:t>capacités</w:t>
      </w:r>
      <w:r w:rsidRPr="00E046E7">
        <w:rPr>
          <w:rFonts w:eastAsia="MS Mincho"/>
          <w:lang w:val="fr-FR"/>
        </w:rPr>
        <w:t xml:space="preserve"> du programme de travail de la Plateforme jusqu</w:t>
      </w:r>
      <w:r w:rsidR="00BD2801">
        <w:rPr>
          <w:rFonts w:eastAsia="MS Mincho"/>
          <w:lang w:val="fr-FR"/>
        </w:rPr>
        <w:t>’</w:t>
      </w:r>
      <w:r w:rsidRPr="00E046E7">
        <w:rPr>
          <w:rFonts w:eastAsia="MS Mincho"/>
          <w:lang w:val="fr-FR"/>
        </w:rPr>
        <w:t>en 2030</w:t>
      </w:r>
      <w:r w:rsidR="008125AA" w:rsidRPr="00E046E7">
        <w:rPr>
          <w:rFonts w:eastAsia="MS Mincho"/>
          <w:lang w:val="fr-FR"/>
        </w:rPr>
        <w:t xml:space="preserve"> </w:t>
      </w:r>
      <w:r w:rsidRPr="00E046E7">
        <w:rPr>
          <w:rFonts w:eastAsia="MS Mincho"/>
          <w:lang w:val="fr-FR"/>
        </w:rPr>
        <w:t>et</w:t>
      </w:r>
      <w:r w:rsidR="008125AA" w:rsidRPr="00E046E7">
        <w:rPr>
          <w:rFonts w:eastAsia="MS Mincho"/>
          <w:lang w:val="fr-FR"/>
        </w:rPr>
        <w:t xml:space="preserve"> </w:t>
      </w:r>
      <w:r w:rsidRPr="00E046E7">
        <w:rPr>
          <w:rFonts w:eastAsia="MS Mincho"/>
          <w:lang w:val="fr-FR"/>
        </w:rPr>
        <w:t>au plan glissant en matière de</w:t>
      </w:r>
      <w:r w:rsidR="00E41E0B">
        <w:rPr>
          <w:rFonts w:eastAsia="MS Mincho"/>
          <w:lang w:val="fr-FR"/>
        </w:rPr>
        <w:t> </w:t>
      </w:r>
      <w:r w:rsidRPr="00E046E7">
        <w:rPr>
          <w:rFonts w:eastAsia="MS Mincho"/>
          <w:lang w:val="fr-FR"/>
        </w:rPr>
        <w:t>renforcement des</w:t>
      </w:r>
      <w:r w:rsidR="00E15B93">
        <w:rPr>
          <w:rFonts w:eastAsia="MS Mincho"/>
          <w:lang w:val="fr-FR"/>
        </w:rPr>
        <w:t xml:space="preserve"> </w:t>
      </w:r>
      <w:r w:rsidRPr="00E046E7">
        <w:rPr>
          <w:rFonts w:eastAsia="MS Mincho"/>
          <w:lang w:val="fr-FR"/>
        </w:rPr>
        <w:t>capacités</w:t>
      </w:r>
      <w:r w:rsidR="008125AA" w:rsidRPr="00E046E7">
        <w:rPr>
          <w:rFonts w:eastAsia="MS Mincho"/>
          <w:lang w:val="fr-FR"/>
        </w:rPr>
        <w:t xml:space="preserve">, </w:t>
      </w:r>
      <w:r w:rsidRPr="00E046E7">
        <w:rPr>
          <w:rFonts w:eastAsia="MS Mincho"/>
          <w:lang w:val="fr-FR"/>
        </w:rPr>
        <w:t>sous la direction de l</w:t>
      </w:r>
      <w:r w:rsidR="00BD2801">
        <w:rPr>
          <w:rFonts w:eastAsia="MS Mincho"/>
          <w:lang w:val="fr-FR"/>
        </w:rPr>
        <w:t>’</w:t>
      </w:r>
      <w:r w:rsidRPr="00E046E7">
        <w:rPr>
          <w:rFonts w:eastAsia="MS Mincho"/>
          <w:lang w:val="fr-FR"/>
        </w:rPr>
        <w:t>équipe spéciale sur le renforcement des capacités</w:t>
      </w:r>
      <w:r w:rsidR="008125AA" w:rsidRPr="00E046E7">
        <w:rPr>
          <w:rFonts w:eastAsia="MS Mincho"/>
          <w:lang w:val="fr-FR"/>
        </w:rPr>
        <w:t xml:space="preserve">. </w:t>
      </w:r>
      <w:r w:rsidRPr="00E046E7">
        <w:rPr>
          <w:rFonts w:eastAsia="MS Mincho"/>
          <w:lang w:val="fr-FR"/>
        </w:rPr>
        <w:t>Sous réserve de la disponibilité de ressources, les activités comprendront</w:t>
      </w:r>
      <w:r w:rsidR="008125AA" w:rsidRPr="00E046E7">
        <w:rPr>
          <w:rFonts w:eastAsia="MS Mincho"/>
          <w:lang w:val="fr-FR"/>
        </w:rPr>
        <w:t xml:space="preserve"> </w:t>
      </w:r>
      <w:r w:rsidRPr="00E046E7">
        <w:rPr>
          <w:rFonts w:eastAsia="MS Mincho"/>
          <w:lang w:val="fr-FR"/>
        </w:rPr>
        <w:t>le programme de bourses de</w:t>
      </w:r>
      <w:r w:rsidR="00E41E0B">
        <w:rPr>
          <w:rFonts w:eastAsia="MS Mincho"/>
          <w:lang w:val="fr-FR"/>
        </w:rPr>
        <w:t> </w:t>
      </w:r>
      <w:r w:rsidRPr="00E046E7">
        <w:rPr>
          <w:rFonts w:eastAsia="MS Mincho"/>
          <w:lang w:val="fr-FR"/>
        </w:rPr>
        <w:t>la Plateforme</w:t>
      </w:r>
      <w:r w:rsidR="0034167D">
        <w:rPr>
          <w:rFonts w:eastAsia="MS Mincho"/>
          <w:lang w:val="fr-FR"/>
        </w:rPr>
        <w:t> ;</w:t>
      </w:r>
      <w:r w:rsidRPr="00E046E7">
        <w:rPr>
          <w:rFonts w:eastAsia="MS Mincho"/>
          <w:lang w:val="fr-FR"/>
        </w:rPr>
        <w:t xml:space="preserve"> le</w:t>
      </w:r>
      <w:r w:rsidR="008125AA" w:rsidRPr="00E046E7">
        <w:rPr>
          <w:rFonts w:eastAsia="MS Mincho"/>
          <w:lang w:val="fr-FR"/>
        </w:rPr>
        <w:t xml:space="preserve"> </w:t>
      </w:r>
      <w:r w:rsidRPr="00E046E7">
        <w:rPr>
          <w:rFonts w:eastAsia="MS Mincho"/>
          <w:lang w:val="fr-FR"/>
        </w:rPr>
        <w:t>programme de formation et de familiarisation</w:t>
      </w:r>
      <w:r w:rsidR="0034167D">
        <w:rPr>
          <w:rFonts w:eastAsia="MS Mincho"/>
          <w:lang w:val="fr-FR"/>
        </w:rPr>
        <w:t> ;</w:t>
      </w:r>
      <w:r w:rsidR="008125AA" w:rsidRPr="00E046E7">
        <w:rPr>
          <w:rFonts w:eastAsia="MS Mincho"/>
          <w:lang w:val="fr-FR"/>
        </w:rPr>
        <w:t xml:space="preserve"> </w:t>
      </w:r>
      <w:r w:rsidRPr="00E046E7">
        <w:rPr>
          <w:rFonts w:eastAsia="MS Mincho"/>
          <w:lang w:val="fr-FR"/>
        </w:rPr>
        <w:t>des</w:t>
      </w:r>
      <w:r w:rsidR="008125AA" w:rsidRPr="00E046E7">
        <w:rPr>
          <w:rFonts w:eastAsia="MS Mincho"/>
          <w:lang w:val="fr-FR"/>
        </w:rPr>
        <w:t xml:space="preserve"> dialogues</w:t>
      </w:r>
      <w:r w:rsidRPr="00E046E7">
        <w:rPr>
          <w:rFonts w:eastAsia="MS Mincho"/>
          <w:lang w:val="fr-FR"/>
        </w:rPr>
        <w:t xml:space="preserve"> science-politique</w:t>
      </w:r>
      <w:r w:rsidR="00CE2EAE">
        <w:rPr>
          <w:rFonts w:eastAsia="MS Mincho"/>
          <w:lang w:val="fr-FR"/>
        </w:rPr>
        <w:t> ;</w:t>
      </w:r>
      <w:r w:rsidRPr="00E046E7">
        <w:rPr>
          <w:rFonts w:eastAsia="MS Mincho"/>
          <w:lang w:val="fr-FR"/>
        </w:rPr>
        <w:t xml:space="preserve"> et un soutien aux activités organisées par d</w:t>
      </w:r>
      <w:r w:rsidR="00BD2801">
        <w:rPr>
          <w:rFonts w:eastAsia="MS Mincho"/>
          <w:lang w:val="fr-FR"/>
        </w:rPr>
        <w:t>’</w:t>
      </w:r>
      <w:r w:rsidRPr="00E046E7">
        <w:rPr>
          <w:rFonts w:eastAsia="MS Mincho"/>
          <w:lang w:val="fr-FR"/>
        </w:rPr>
        <w:t>autres organisations</w:t>
      </w:r>
      <w:r w:rsidR="008125AA" w:rsidRPr="00E046E7">
        <w:rPr>
          <w:rFonts w:eastAsia="MS Mincho"/>
          <w:lang w:val="fr-FR"/>
        </w:rPr>
        <w:t xml:space="preserve"> </w:t>
      </w:r>
      <w:r w:rsidRPr="00E046E7">
        <w:rPr>
          <w:rFonts w:eastAsia="MS Mincho"/>
          <w:lang w:val="fr-FR"/>
        </w:rPr>
        <w:t>à l</w:t>
      </w:r>
      <w:r w:rsidR="00BD2801">
        <w:rPr>
          <w:rFonts w:eastAsia="MS Mincho"/>
          <w:lang w:val="fr-FR"/>
        </w:rPr>
        <w:t>’</w:t>
      </w:r>
      <w:r w:rsidRPr="00E046E7">
        <w:rPr>
          <w:rFonts w:eastAsia="MS Mincho"/>
          <w:lang w:val="fr-FR"/>
        </w:rPr>
        <w:t>appui de l</w:t>
      </w:r>
      <w:r w:rsidR="00BD2801">
        <w:rPr>
          <w:rFonts w:eastAsia="MS Mincho"/>
          <w:lang w:val="fr-FR"/>
        </w:rPr>
        <w:t>’</w:t>
      </w:r>
      <w:r w:rsidRPr="00E046E7">
        <w:rPr>
          <w:rFonts w:eastAsia="MS Mincho"/>
          <w:lang w:val="fr-FR"/>
        </w:rPr>
        <w:t>adoption et de</w:t>
      </w:r>
      <w:r w:rsidR="00E41E0B">
        <w:rPr>
          <w:rFonts w:eastAsia="MS Mincho"/>
          <w:lang w:val="fr-FR"/>
        </w:rPr>
        <w:t> </w:t>
      </w:r>
      <w:r w:rsidRPr="00E046E7">
        <w:rPr>
          <w:rFonts w:eastAsia="MS Mincho"/>
          <w:lang w:val="fr-FR"/>
        </w:rPr>
        <w:t>l</w:t>
      </w:r>
      <w:r w:rsidR="00BD2801">
        <w:rPr>
          <w:rFonts w:eastAsia="MS Mincho"/>
          <w:lang w:val="fr-FR"/>
        </w:rPr>
        <w:t>’</w:t>
      </w:r>
      <w:r w:rsidRPr="00E046E7">
        <w:rPr>
          <w:rFonts w:eastAsia="MS Mincho"/>
          <w:lang w:val="fr-FR"/>
        </w:rPr>
        <w:t>utilisation</w:t>
      </w:r>
      <w:r w:rsidR="008125AA" w:rsidRPr="00E046E7">
        <w:rPr>
          <w:rFonts w:eastAsia="MS Mincho"/>
          <w:lang w:val="fr-FR"/>
        </w:rPr>
        <w:t xml:space="preserve"> </w:t>
      </w:r>
      <w:r w:rsidR="00C65C49" w:rsidRPr="00E046E7">
        <w:rPr>
          <w:rFonts w:eastAsia="MS Mincho"/>
          <w:lang w:val="fr-FR"/>
        </w:rPr>
        <w:t>des résultats de l</w:t>
      </w:r>
      <w:r w:rsidR="00BD2801">
        <w:rPr>
          <w:rFonts w:eastAsia="MS Mincho"/>
          <w:lang w:val="fr-FR"/>
        </w:rPr>
        <w:t>’</w:t>
      </w:r>
      <w:r w:rsidR="00C65C49" w:rsidRPr="00E046E7">
        <w:rPr>
          <w:rFonts w:eastAsia="MS Mincho"/>
          <w:lang w:val="fr-FR"/>
        </w:rPr>
        <w:t>évaluation dans les différents secteurs et du renforcement de</w:t>
      </w:r>
      <w:r w:rsidR="00E41E0B">
        <w:rPr>
          <w:rFonts w:eastAsia="MS Mincho"/>
          <w:lang w:val="fr-FR"/>
        </w:rPr>
        <w:t> </w:t>
      </w:r>
      <w:r w:rsidR="00C65C49" w:rsidRPr="00E046E7">
        <w:rPr>
          <w:rFonts w:eastAsia="MS Mincho"/>
          <w:lang w:val="fr-FR"/>
        </w:rPr>
        <w:t>l</w:t>
      </w:r>
      <w:r w:rsidR="00BD2801">
        <w:rPr>
          <w:rFonts w:eastAsia="MS Mincho"/>
          <w:lang w:val="fr-FR"/>
        </w:rPr>
        <w:t>’</w:t>
      </w:r>
      <w:r w:rsidR="00C65C49" w:rsidRPr="00E046E7">
        <w:rPr>
          <w:rFonts w:eastAsia="MS Mincho"/>
          <w:lang w:val="fr-FR"/>
        </w:rPr>
        <w:t>interface science-politique aux niveaux (sous-)régional</w:t>
      </w:r>
      <w:r w:rsidR="008125AA" w:rsidRPr="00E046E7">
        <w:rPr>
          <w:rFonts w:eastAsia="MS Mincho"/>
          <w:lang w:val="fr-FR"/>
        </w:rPr>
        <w:t xml:space="preserve"> </w:t>
      </w:r>
      <w:r w:rsidR="00C65C49" w:rsidRPr="00E046E7">
        <w:rPr>
          <w:rFonts w:eastAsia="MS Mincho"/>
          <w:lang w:val="fr-FR"/>
        </w:rPr>
        <w:t>et national</w:t>
      </w:r>
      <w:r w:rsidR="008125AA" w:rsidRPr="00E046E7">
        <w:rPr>
          <w:rFonts w:eastAsia="MS Mincho"/>
          <w:lang w:val="fr-FR"/>
        </w:rPr>
        <w:t>.</w:t>
      </w:r>
    </w:p>
    <w:p w14:paraId="1DEC0B7F" w14:textId="6386989C" w:rsidR="008125AA" w:rsidRPr="00E046E7" w:rsidRDefault="008125AA" w:rsidP="008125AA">
      <w:pPr>
        <w:pStyle w:val="CH1"/>
        <w:ind w:left="0" w:firstLine="0"/>
        <w:rPr>
          <w:lang w:val="fr-FR"/>
        </w:rPr>
      </w:pPr>
      <w:r w:rsidRPr="00E046E7">
        <w:rPr>
          <w:lang w:val="fr-FR"/>
        </w:rPr>
        <w:tab/>
        <w:t>V.</w:t>
      </w:r>
      <w:r w:rsidRPr="00E046E7">
        <w:rPr>
          <w:lang w:val="fr-FR"/>
        </w:rPr>
        <w:tab/>
        <w:t xml:space="preserve">Communication </w:t>
      </w:r>
      <w:r w:rsidR="00C65C49" w:rsidRPr="00E046E7">
        <w:rPr>
          <w:lang w:val="fr-FR"/>
        </w:rPr>
        <w:t>et sensibilisation</w:t>
      </w:r>
    </w:p>
    <w:p w14:paraId="0381D37E" w14:textId="23D8C385" w:rsidR="008125AA" w:rsidRPr="00E046E7" w:rsidRDefault="00C65C49" w:rsidP="00BD2801">
      <w:pPr>
        <w:pStyle w:val="Normalnumber"/>
        <w:rPr>
          <w:rFonts w:eastAsia="MS Mincho"/>
          <w:lang w:val="fr-FR"/>
        </w:rPr>
      </w:pPr>
      <w:r w:rsidRPr="00E046E7">
        <w:rPr>
          <w:rFonts w:eastAsia="MS Mincho"/>
          <w:lang w:val="fr-FR"/>
        </w:rPr>
        <w:t>Le rapport d</w:t>
      </w:r>
      <w:r w:rsidR="00BD2801">
        <w:rPr>
          <w:rFonts w:eastAsia="MS Mincho"/>
          <w:lang w:val="fr-FR"/>
        </w:rPr>
        <w:t>’</w:t>
      </w:r>
      <w:r w:rsidRPr="00E046E7">
        <w:rPr>
          <w:rFonts w:eastAsia="MS Mincho"/>
          <w:lang w:val="fr-FR"/>
        </w:rPr>
        <w:t>évaluation des changements transformateurs et son résumé à l</w:t>
      </w:r>
      <w:r w:rsidR="00BD2801">
        <w:rPr>
          <w:rFonts w:eastAsia="MS Mincho"/>
          <w:lang w:val="fr-FR"/>
        </w:rPr>
        <w:t>’</w:t>
      </w:r>
      <w:r w:rsidRPr="00E046E7">
        <w:rPr>
          <w:rFonts w:eastAsia="MS Mincho"/>
          <w:lang w:val="fr-FR"/>
        </w:rPr>
        <w:t>intention des</w:t>
      </w:r>
      <w:r w:rsidR="00E41E0B">
        <w:rPr>
          <w:rFonts w:eastAsia="MS Mincho"/>
          <w:lang w:val="fr-FR"/>
        </w:rPr>
        <w:t> </w:t>
      </w:r>
      <w:r w:rsidRPr="00E046E7">
        <w:rPr>
          <w:rFonts w:eastAsia="MS Mincho"/>
          <w:lang w:val="fr-FR"/>
        </w:rPr>
        <w:t>décideurs</w:t>
      </w:r>
      <w:r w:rsidR="008125AA" w:rsidRPr="00E046E7">
        <w:rPr>
          <w:rFonts w:eastAsia="MS Mincho"/>
          <w:lang w:val="fr-FR"/>
        </w:rPr>
        <w:t xml:space="preserve"> </w:t>
      </w:r>
      <w:r w:rsidRPr="00BD2801">
        <w:rPr>
          <w:rFonts w:eastAsia="MS Mincho"/>
        </w:rPr>
        <w:t>seront</w:t>
      </w:r>
      <w:r w:rsidRPr="00E046E7">
        <w:rPr>
          <w:rFonts w:eastAsia="MS Mincho"/>
          <w:lang w:val="fr-FR"/>
        </w:rPr>
        <w:t xml:space="preserve"> publiés sous forme électronique, mis à disposition sur le site Web de la</w:t>
      </w:r>
      <w:r w:rsidR="00E41E0B">
        <w:rPr>
          <w:rFonts w:eastAsia="MS Mincho"/>
          <w:lang w:val="fr-FR"/>
        </w:rPr>
        <w:t> </w:t>
      </w:r>
      <w:r w:rsidRPr="00E046E7">
        <w:rPr>
          <w:rFonts w:eastAsia="MS Mincho"/>
          <w:lang w:val="fr-FR"/>
        </w:rPr>
        <w:t>Plateforme et promus par le biais des médias sociaux de la Plateforme</w:t>
      </w:r>
      <w:r w:rsidR="008125AA" w:rsidRPr="00E046E7">
        <w:rPr>
          <w:rFonts w:eastAsia="MS Mincho"/>
          <w:lang w:val="fr-FR"/>
        </w:rPr>
        <w:t>.</w:t>
      </w:r>
      <w:r w:rsidRPr="00E046E7">
        <w:rPr>
          <w:rFonts w:eastAsia="MS Mincho"/>
          <w:lang w:val="fr-FR"/>
        </w:rPr>
        <w:t xml:space="preserve"> Le résumé à l</w:t>
      </w:r>
      <w:r w:rsidR="00BD2801">
        <w:rPr>
          <w:rFonts w:eastAsia="MS Mincho"/>
          <w:lang w:val="fr-FR"/>
        </w:rPr>
        <w:t>’</w:t>
      </w:r>
      <w:r w:rsidRPr="00E046E7">
        <w:rPr>
          <w:rFonts w:eastAsia="MS Mincho"/>
          <w:lang w:val="fr-FR"/>
        </w:rPr>
        <w:t>intention des</w:t>
      </w:r>
      <w:r w:rsidR="00E41E0B">
        <w:rPr>
          <w:rFonts w:eastAsia="MS Mincho"/>
          <w:lang w:val="fr-FR"/>
        </w:rPr>
        <w:t> </w:t>
      </w:r>
      <w:r w:rsidRPr="00E046E7">
        <w:rPr>
          <w:rFonts w:eastAsia="MS Mincho"/>
          <w:lang w:val="fr-FR"/>
        </w:rPr>
        <w:t xml:space="preserve">décideurs sera disponible dans </w:t>
      </w:r>
      <w:r w:rsidR="00D33FB1">
        <w:rPr>
          <w:rFonts w:eastAsia="MS Mincho"/>
          <w:lang w:val="fr-FR"/>
        </w:rPr>
        <w:t xml:space="preserve">toutes </w:t>
      </w:r>
      <w:r w:rsidR="006D692B">
        <w:rPr>
          <w:rFonts w:eastAsia="MS Mincho"/>
          <w:lang w:val="fr-FR"/>
        </w:rPr>
        <w:t xml:space="preserve">les </w:t>
      </w:r>
      <w:r w:rsidRPr="00E046E7">
        <w:rPr>
          <w:rFonts w:eastAsia="MS Mincho"/>
          <w:lang w:val="fr-FR"/>
        </w:rPr>
        <w:t>langues officielles de l</w:t>
      </w:r>
      <w:r w:rsidR="00BD2801">
        <w:rPr>
          <w:rFonts w:eastAsia="MS Mincho"/>
          <w:lang w:val="fr-FR"/>
        </w:rPr>
        <w:t>’</w:t>
      </w:r>
      <w:r w:rsidRPr="00E046E7">
        <w:rPr>
          <w:rFonts w:eastAsia="MS Mincho"/>
          <w:lang w:val="fr-FR"/>
        </w:rPr>
        <w:t>O</w:t>
      </w:r>
      <w:r w:rsidR="006D692B">
        <w:rPr>
          <w:rFonts w:eastAsia="MS Mincho"/>
          <w:lang w:val="fr-FR"/>
        </w:rPr>
        <w:t>rganisation des</w:t>
      </w:r>
      <w:r w:rsidR="00E41E0B">
        <w:rPr>
          <w:rFonts w:eastAsia="MS Mincho"/>
          <w:lang w:val="fr-FR"/>
        </w:rPr>
        <w:t> </w:t>
      </w:r>
      <w:r w:rsidR="006D692B">
        <w:rPr>
          <w:rFonts w:eastAsia="MS Mincho"/>
          <w:lang w:val="fr-FR"/>
        </w:rPr>
        <w:t>Nations</w:t>
      </w:r>
      <w:r w:rsidR="00E41E0B">
        <w:rPr>
          <w:rFonts w:eastAsia="MS Mincho"/>
          <w:lang w:val="fr-FR"/>
        </w:rPr>
        <w:t> </w:t>
      </w:r>
      <w:r w:rsidR="006D692B">
        <w:rPr>
          <w:rFonts w:eastAsia="MS Mincho"/>
          <w:lang w:val="fr-FR"/>
        </w:rPr>
        <w:t>Unies</w:t>
      </w:r>
      <w:r w:rsidRPr="00E046E7">
        <w:rPr>
          <w:rFonts w:eastAsia="MS Mincho"/>
          <w:lang w:val="fr-FR"/>
        </w:rPr>
        <w:t xml:space="preserve"> et imprimé sur demande, sous réserve des ressources disponibles</w:t>
      </w:r>
      <w:r w:rsidR="008125AA" w:rsidRPr="00E046E7">
        <w:rPr>
          <w:rFonts w:eastAsia="MS Mincho"/>
          <w:lang w:val="fr-FR"/>
        </w:rPr>
        <w:t>.</w:t>
      </w:r>
      <w:r w:rsidRPr="00E046E7">
        <w:rPr>
          <w:rFonts w:eastAsia="MS Mincho"/>
          <w:lang w:val="fr-FR"/>
        </w:rPr>
        <w:t xml:space="preserve"> La sensibilisation d</w:t>
      </w:r>
      <w:r w:rsidR="00BD2801">
        <w:rPr>
          <w:rFonts w:eastAsia="MS Mincho"/>
          <w:lang w:val="fr-FR"/>
        </w:rPr>
        <w:t>’</w:t>
      </w:r>
      <w:r w:rsidRPr="00E046E7">
        <w:rPr>
          <w:rFonts w:eastAsia="MS Mincho"/>
          <w:lang w:val="fr-FR"/>
        </w:rPr>
        <w:t>un large éventail de parties prenantes, notamment</w:t>
      </w:r>
      <w:r w:rsidR="00EB60AF" w:rsidRPr="00E046E7">
        <w:rPr>
          <w:rFonts w:eastAsia="MS Mincho"/>
          <w:lang w:val="fr-FR"/>
        </w:rPr>
        <w:t xml:space="preserve"> le</w:t>
      </w:r>
      <w:r w:rsidR="00687F65">
        <w:rPr>
          <w:rFonts w:eastAsia="MS Mincho"/>
          <w:lang w:val="fr-FR"/>
        </w:rPr>
        <w:t xml:space="preserve"> public plus large des décideurs, </w:t>
      </w:r>
      <w:r w:rsidR="00EB60AF" w:rsidRPr="00E046E7">
        <w:rPr>
          <w:rFonts w:eastAsia="MS Mincho"/>
          <w:lang w:val="fr-FR"/>
        </w:rPr>
        <w:t xml:space="preserve">sera basée sur la stratégie </w:t>
      </w:r>
      <w:r w:rsidR="00BF7326">
        <w:rPr>
          <w:rFonts w:eastAsia="MS Mincho"/>
          <w:lang w:val="fr-FR"/>
        </w:rPr>
        <w:t>et le</w:t>
      </w:r>
      <w:r w:rsidR="00E41E0B">
        <w:rPr>
          <w:rFonts w:eastAsia="MS Mincho"/>
          <w:lang w:val="fr-FR"/>
        </w:rPr>
        <w:t> </w:t>
      </w:r>
      <w:r w:rsidR="00BF7326">
        <w:rPr>
          <w:rFonts w:eastAsia="MS Mincho"/>
          <w:lang w:val="fr-FR"/>
        </w:rPr>
        <w:t xml:space="preserve">budget de la Plateforme en matière </w:t>
      </w:r>
      <w:r w:rsidR="00EB60AF" w:rsidRPr="00E046E7">
        <w:rPr>
          <w:rFonts w:eastAsia="MS Mincho"/>
          <w:lang w:val="fr-FR"/>
        </w:rPr>
        <w:t>de</w:t>
      </w:r>
      <w:r w:rsidRPr="00E046E7">
        <w:rPr>
          <w:rFonts w:eastAsia="MS Mincho"/>
          <w:lang w:val="fr-FR"/>
        </w:rPr>
        <w:t xml:space="preserve"> </w:t>
      </w:r>
      <w:r w:rsidR="00EB60AF" w:rsidRPr="00E046E7">
        <w:rPr>
          <w:rFonts w:eastAsia="MS Mincho"/>
          <w:lang w:val="fr-FR"/>
        </w:rPr>
        <w:t>communication et de sensibilisation</w:t>
      </w:r>
      <w:r w:rsidR="008125AA" w:rsidRPr="00E046E7">
        <w:rPr>
          <w:rFonts w:eastAsia="MS Mincho"/>
          <w:lang w:val="fr-FR"/>
        </w:rPr>
        <w:t>.</w:t>
      </w:r>
    </w:p>
    <w:p w14:paraId="269B3FC6" w14:textId="0D901EBE" w:rsidR="008125AA" w:rsidRPr="00E046E7" w:rsidRDefault="00EB60AF" w:rsidP="00BD2801">
      <w:pPr>
        <w:pStyle w:val="Normalnumber"/>
        <w:rPr>
          <w:rFonts w:eastAsia="MS Mincho"/>
          <w:lang w:val="fr-FR"/>
        </w:rPr>
      </w:pPr>
      <w:r w:rsidRPr="00E046E7">
        <w:rPr>
          <w:rFonts w:eastAsia="MS Mincho"/>
          <w:lang w:val="fr-FR"/>
        </w:rPr>
        <w:t xml:space="preserve">Les </w:t>
      </w:r>
      <w:r w:rsidRPr="00BD2801">
        <w:rPr>
          <w:rFonts w:eastAsia="MS Mincho"/>
        </w:rPr>
        <w:t>activités</w:t>
      </w:r>
      <w:r w:rsidRPr="00E046E7">
        <w:rPr>
          <w:rFonts w:eastAsia="MS Mincho"/>
          <w:lang w:val="fr-FR"/>
        </w:rPr>
        <w:t xml:space="preserve"> de communication et de sensibilisation seront entreprises dès le début de l</w:t>
      </w:r>
      <w:r w:rsidR="00BD2801">
        <w:rPr>
          <w:rFonts w:eastAsia="MS Mincho"/>
          <w:lang w:val="fr-FR"/>
        </w:rPr>
        <w:t>’</w:t>
      </w:r>
      <w:r w:rsidRPr="00E046E7">
        <w:rPr>
          <w:rFonts w:eastAsia="MS Mincho"/>
          <w:lang w:val="fr-FR"/>
        </w:rPr>
        <w:t>évaluation afin de</w:t>
      </w:r>
      <w:r w:rsidR="008125AA" w:rsidRPr="00E046E7">
        <w:rPr>
          <w:rFonts w:eastAsia="MS Mincho"/>
          <w:lang w:val="fr-FR"/>
        </w:rPr>
        <w:t xml:space="preserve"> </w:t>
      </w:r>
      <w:r w:rsidRPr="00E046E7">
        <w:rPr>
          <w:rFonts w:eastAsia="MS Mincho"/>
          <w:lang w:val="fr-FR"/>
        </w:rPr>
        <w:t>mobiliser l</w:t>
      </w:r>
      <w:r w:rsidR="00BD2801">
        <w:rPr>
          <w:rFonts w:eastAsia="MS Mincho"/>
          <w:lang w:val="fr-FR"/>
        </w:rPr>
        <w:t>’</w:t>
      </w:r>
      <w:r w:rsidRPr="00E046E7">
        <w:rPr>
          <w:rFonts w:eastAsia="MS Mincho"/>
          <w:lang w:val="fr-FR"/>
        </w:rPr>
        <w:t>ensemble de la communauté scientifique</w:t>
      </w:r>
      <w:r w:rsidR="008125AA" w:rsidRPr="00E046E7">
        <w:rPr>
          <w:rFonts w:eastAsia="MS Mincho"/>
          <w:lang w:val="fr-FR"/>
        </w:rPr>
        <w:t>,</w:t>
      </w:r>
      <w:r w:rsidRPr="00E046E7">
        <w:rPr>
          <w:rFonts w:eastAsia="MS Mincho"/>
          <w:lang w:val="fr-FR"/>
        </w:rPr>
        <w:t xml:space="preserve"> d</w:t>
      </w:r>
      <w:r w:rsidR="00BD2801">
        <w:rPr>
          <w:rFonts w:eastAsia="MS Mincho"/>
          <w:lang w:val="fr-FR"/>
        </w:rPr>
        <w:t>’</w:t>
      </w:r>
      <w:r w:rsidRPr="00E046E7">
        <w:rPr>
          <w:rFonts w:eastAsia="MS Mincho"/>
          <w:lang w:val="fr-FR"/>
        </w:rPr>
        <w:t>autres détenteurs de connaissances et les utilisateurs finaux de l</w:t>
      </w:r>
      <w:r w:rsidR="00BD2801">
        <w:rPr>
          <w:rFonts w:eastAsia="MS Mincho"/>
          <w:lang w:val="fr-FR"/>
        </w:rPr>
        <w:t>’</w:t>
      </w:r>
      <w:r w:rsidRPr="00E046E7">
        <w:rPr>
          <w:rFonts w:eastAsia="MS Mincho"/>
          <w:lang w:val="fr-FR"/>
        </w:rPr>
        <w:t>évaluation</w:t>
      </w:r>
      <w:r w:rsidR="008125AA" w:rsidRPr="00E046E7">
        <w:rPr>
          <w:rFonts w:eastAsia="MS Mincho"/>
          <w:lang w:val="fr-FR"/>
        </w:rPr>
        <w:t xml:space="preserve">. </w:t>
      </w:r>
      <w:r w:rsidR="007E5395" w:rsidRPr="00E046E7">
        <w:rPr>
          <w:rFonts w:eastAsia="MS Mincho"/>
          <w:lang w:val="fr-FR"/>
        </w:rPr>
        <w:t>Un dialogue avec les utilisateurs aidera à</w:t>
      </w:r>
      <w:r w:rsidR="00E41E0B">
        <w:rPr>
          <w:rFonts w:eastAsia="MS Mincho"/>
          <w:lang w:val="fr-FR"/>
        </w:rPr>
        <w:t> </w:t>
      </w:r>
      <w:r w:rsidR="007E5395" w:rsidRPr="00E046E7">
        <w:rPr>
          <w:rFonts w:eastAsia="MS Mincho"/>
          <w:lang w:val="fr-FR"/>
        </w:rPr>
        <w:t>définir le type et la gamme des produits de communication et des outils d</w:t>
      </w:r>
      <w:r w:rsidR="00BD2801">
        <w:rPr>
          <w:rFonts w:eastAsia="MS Mincho"/>
          <w:lang w:val="fr-FR"/>
        </w:rPr>
        <w:t>’</w:t>
      </w:r>
      <w:r w:rsidR="007E5395" w:rsidRPr="00E046E7">
        <w:rPr>
          <w:rFonts w:eastAsia="MS Mincho"/>
          <w:lang w:val="fr-FR"/>
        </w:rPr>
        <w:t>appui aux politiques qui</w:t>
      </w:r>
      <w:r w:rsidR="00E41E0B">
        <w:rPr>
          <w:rFonts w:eastAsia="MS Mincho"/>
          <w:lang w:val="fr-FR"/>
        </w:rPr>
        <w:t> </w:t>
      </w:r>
      <w:r w:rsidR="007E5395" w:rsidRPr="00E046E7">
        <w:rPr>
          <w:rFonts w:eastAsia="MS Mincho"/>
          <w:lang w:val="fr-FR"/>
        </w:rPr>
        <w:t>seront élaborés dans le cadre de l</w:t>
      </w:r>
      <w:r w:rsidR="00BD2801">
        <w:rPr>
          <w:rFonts w:eastAsia="MS Mincho"/>
          <w:lang w:val="fr-FR"/>
        </w:rPr>
        <w:t>’</w:t>
      </w:r>
      <w:r w:rsidR="007E5395" w:rsidRPr="00E046E7">
        <w:rPr>
          <w:rFonts w:eastAsia="MS Mincho"/>
          <w:lang w:val="fr-FR"/>
        </w:rPr>
        <w:t>évaluation</w:t>
      </w:r>
      <w:r w:rsidR="008125AA" w:rsidRPr="00E046E7">
        <w:rPr>
          <w:rFonts w:eastAsia="MS Mincho"/>
          <w:lang w:val="fr-FR"/>
        </w:rPr>
        <w:t>.</w:t>
      </w:r>
    </w:p>
    <w:p w14:paraId="2CEA4ED8" w14:textId="45C65FC1" w:rsidR="008125AA" w:rsidRPr="00E046E7" w:rsidRDefault="008125AA" w:rsidP="008125AA">
      <w:pPr>
        <w:pStyle w:val="CH1"/>
        <w:ind w:left="0" w:firstLine="0"/>
        <w:rPr>
          <w:lang w:val="fr-FR"/>
        </w:rPr>
      </w:pPr>
      <w:r w:rsidRPr="00E046E7">
        <w:rPr>
          <w:lang w:val="fr-FR"/>
        </w:rPr>
        <w:tab/>
        <w:t>VI.</w:t>
      </w:r>
      <w:r w:rsidRPr="00E046E7">
        <w:rPr>
          <w:lang w:val="fr-FR"/>
        </w:rPr>
        <w:tab/>
      </w:r>
      <w:r w:rsidR="007E5395" w:rsidRPr="00E046E7">
        <w:rPr>
          <w:lang w:val="fr-FR"/>
        </w:rPr>
        <w:t>Appui technique</w:t>
      </w:r>
    </w:p>
    <w:p w14:paraId="33DF8BFC" w14:textId="39B1E1A2" w:rsidR="008125AA" w:rsidRPr="00E046E7" w:rsidRDefault="007E5395" w:rsidP="00BD2801">
      <w:pPr>
        <w:pStyle w:val="Normalnumber"/>
        <w:rPr>
          <w:rFonts w:eastAsia="MS Mincho"/>
          <w:lang w:val="fr-FR"/>
        </w:rPr>
      </w:pPr>
      <w:r w:rsidRPr="00E046E7">
        <w:rPr>
          <w:rFonts w:eastAsia="MS Mincho"/>
          <w:lang w:val="fr-FR"/>
        </w:rPr>
        <w:t>Un appui technique pour l</w:t>
      </w:r>
      <w:r w:rsidR="00BD2801">
        <w:rPr>
          <w:rFonts w:eastAsia="MS Mincho"/>
          <w:lang w:val="fr-FR"/>
        </w:rPr>
        <w:t>’</w:t>
      </w:r>
      <w:r w:rsidRPr="00E046E7">
        <w:rPr>
          <w:rFonts w:eastAsia="MS Mincho"/>
          <w:lang w:val="fr-FR"/>
        </w:rPr>
        <w:t>évaluation des changements transformateurs sera fourni par</w:t>
      </w:r>
      <w:r w:rsidR="008125AA" w:rsidRPr="00E046E7">
        <w:rPr>
          <w:rFonts w:eastAsia="MS Mincho"/>
          <w:lang w:val="fr-FR"/>
        </w:rPr>
        <w:t xml:space="preserve"> </w:t>
      </w:r>
      <w:r w:rsidRPr="00E046E7">
        <w:rPr>
          <w:rFonts w:eastAsia="MS Mincho"/>
          <w:lang w:val="fr-FR"/>
        </w:rPr>
        <w:t>un</w:t>
      </w:r>
      <w:r w:rsidR="00E41E0B">
        <w:rPr>
          <w:rFonts w:eastAsia="MS Mincho"/>
          <w:lang w:val="fr-FR"/>
        </w:rPr>
        <w:t> </w:t>
      </w:r>
      <w:r w:rsidRPr="00E046E7">
        <w:rPr>
          <w:rFonts w:eastAsia="MS Mincho"/>
          <w:lang w:val="fr-FR"/>
        </w:rPr>
        <w:t>groupe d</w:t>
      </w:r>
      <w:r w:rsidR="00BD2801">
        <w:rPr>
          <w:rFonts w:eastAsia="MS Mincho"/>
          <w:lang w:val="fr-FR"/>
        </w:rPr>
        <w:t>’</w:t>
      </w:r>
      <w:r w:rsidRPr="00E046E7">
        <w:rPr>
          <w:rFonts w:eastAsia="MS Mincho"/>
          <w:lang w:val="fr-FR"/>
        </w:rPr>
        <w:t>appui technique</w:t>
      </w:r>
      <w:bookmarkStart w:id="6" w:name="_Hlk66092730"/>
      <w:r w:rsidR="00791BF2">
        <w:rPr>
          <w:rFonts w:eastAsia="MS Mincho"/>
          <w:lang w:val="fr-FR"/>
        </w:rPr>
        <w:t>,</w:t>
      </w:r>
      <w:r w:rsidRPr="00E046E7">
        <w:rPr>
          <w:rFonts w:eastAsia="MS Mincho"/>
          <w:lang w:val="fr-FR"/>
        </w:rPr>
        <w:t xml:space="preserve"> composé de plusieurs administrateurs et membres du personnel </w:t>
      </w:r>
      <w:r w:rsidRPr="00BD2801">
        <w:rPr>
          <w:rFonts w:eastAsia="MS Mincho"/>
        </w:rPr>
        <w:t>administratif</w:t>
      </w:r>
      <w:r w:rsidR="008125AA" w:rsidRPr="00E046E7">
        <w:rPr>
          <w:rFonts w:eastAsia="MS Mincho"/>
          <w:lang w:val="fr-FR"/>
        </w:rPr>
        <w:t xml:space="preserve"> </w:t>
      </w:r>
      <w:r w:rsidRPr="00E046E7">
        <w:rPr>
          <w:rFonts w:eastAsia="MS Mincho"/>
          <w:lang w:val="fr-FR"/>
        </w:rPr>
        <w:t>à temps plein</w:t>
      </w:r>
      <w:r w:rsidR="008125AA" w:rsidRPr="00E046E7">
        <w:rPr>
          <w:rFonts w:eastAsia="MS Mincho"/>
          <w:lang w:val="fr-FR"/>
        </w:rPr>
        <w:t>.</w:t>
      </w:r>
      <w:r w:rsidRPr="00E046E7">
        <w:rPr>
          <w:rFonts w:eastAsia="MS Mincho"/>
          <w:lang w:val="fr-FR"/>
        </w:rPr>
        <w:t xml:space="preserve"> Ce groupe travaillera en étroite collaboration avec les groupes d</w:t>
      </w:r>
      <w:r w:rsidR="00BD2801">
        <w:rPr>
          <w:rFonts w:eastAsia="MS Mincho"/>
          <w:lang w:val="fr-FR"/>
        </w:rPr>
        <w:t>’</w:t>
      </w:r>
      <w:r w:rsidRPr="00E046E7">
        <w:rPr>
          <w:rFonts w:eastAsia="MS Mincho"/>
          <w:lang w:val="fr-FR"/>
        </w:rPr>
        <w:t>experts qui produisent les évaluations de la Plateforme et avec les équipes spéciales de la Plateforme et leurs</w:t>
      </w:r>
      <w:r w:rsidR="00E41E0B">
        <w:rPr>
          <w:rFonts w:eastAsia="MS Mincho"/>
          <w:lang w:val="fr-FR"/>
        </w:rPr>
        <w:t> </w:t>
      </w:r>
      <w:r w:rsidRPr="00E046E7">
        <w:rPr>
          <w:rFonts w:eastAsia="MS Mincho"/>
          <w:lang w:val="fr-FR"/>
        </w:rPr>
        <w:t>groupes d</w:t>
      </w:r>
      <w:r w:rsidR="00BD2801">
        <w:rPr>
          <w:rFonts w:eastAsia="MS Mincho"/>
          <w:lang w:val="fr-FR"/>
        </w:rPr>
        <w:t>’</w:t>
      </w:r>
      <w:r w:rsidRPr="00E046E7">
        <w:rPr>
          <w:rFonts w:eastAsia="MS Mincho"/>
          <w:lang w:val="fr-FR"/>
        </w:rPr>
        <w:t>appui technique respectifs</w:t>
      </w:r>
      <w:bookmarkEnd w:id="6"/>
      <w:r w:rsidR="008125AA" w:rsidRPr="00E046E7">
        <w:rPr>
          <w:rFonts w:eastAsia="MS Mincho"/>
          <w:lang w:val="fr-FR"/>
        </w:rPr>
        <w:t>.</w:t>
      </w:r>
    </w:p>
    <w:p w14:paraId="220A2262" w14:textId="7CE567AE" w:rsidR="008125AA" w:rsidRPr="00E046E7" w:rsidRDefault="008125AA" w:rsidP="008125AA">
      <w:pPr>
        <w:pStyle w:val="CH1"/>
        <w:ind w:left="0" w:firstLine="0"/>
        <w:rPr>
          <w:lang w:val="fr-FR"/>
        </w:rPr>
      </w:pPr>
      <w:r w:rsidRPr="00E046E7">
        <w:rPr>
          <w:lang w:val="fr-FR"/>
        </w:rPr>
        <w:tab/>
        <w:t>VII.</w:t>
      </w:r>
      <w:r w:rsidRPr="00E046E7">
        <w:rPr>
          <w:lang w:val="fr-FR"/>
        </w:rPr>
        <w:tab/>
      </w:r>
      <w:r w:rsidR="003F7A59">
        <w:rPr>
          <w:lang w:val="fr-FR"/>
        </w:rPr>
        <w:t xml:space="preserve">Déroulement et </w:t>
      </w:r>
      <w:r w:rsidR="007E5395" w:rsidRPr="00E046E7">
        <w:rPr>
          <w:lang w:val="fr-FR"/>
        </w:rPr>
        <w:t>calendrier</w:t>
      </w:r>
      <w:r w:rsidR="003F7A59">
        <w:rPr>
          <w:lang w:val="fr-FR"/>
        </w:rPr>
        <w:t xml:space="preserve"> des travaux</w:t>
      </w:r>
    </w:p>
    <w:tbl>
      <w:tblPr>
        <w:tblW w:w="8307" w:type="dxa"/>
        <w:jc w:val="right"/>
        <w:tblLook w:val="04A0" w:firstRow="1" w:lastRow="0" w:firstColumn="1" w:lastColumn="0" w:noHBand="0" w:noVBand="1"/>
      </w:tblPr>
      <w:tblGrid>
        <w:gridCol w:w="1493"/>
        <w:gridCol w:w="6814"/>
      </w:tblGrid>
      <w:tr w:rsidR="008125AA" w:rsidRPr="00E046E7" w14:paraId="77FF31D4" w14:textId="77777777" w:rsidTr="000D073D">
        <w:trPr>
          <w:trHeight w:val="57"/>
          <w:tblHeader/>
          <w:jc w:val="right"/>
        </w:trPr>
        <w:tc>
          <w:tcPr>
            <w:tcW w:w="1434" w:type="dxa"/>
            <w:tcBorders>
              <w:top w:val="single" w:sz="4" w:space="0" w:color="auto"/>
              <w:bottom w:val="single" w:sz="12" w:space="0" w:color="auto"/>
            </w:tcBorders>
            <w:vAlign w:val="bottom"/>
          </w:tcPr>
          <w:p w14:paraId="79D5C94A" w14:textId="77777777" w:rsidR="008125AA" w:rsidRPr="00E046E7" w:rsidRDefault="008125AA" w:rsidP="0083587D">
            <w:pPr>
              <w:pStyle w:val="Normal-pool"/>
              <w:spacing w:before="40" w:after="40"/>
              <w:rPr>
                <w:i/>
                <w:iCs/>
                <w:sz w:val="18"/>
                <w:szCs w:val="18"/>
                <w:lang w:val="fr-FR"/>
              </w:rPr>
            </w:pPr>
            <w:r w:rsidRPr="00E046E7">
              <w:rPr>
                <w:i/>
                <w:iCs/>
                <w:sz w:val="18"/>
                <w:szCs w:val="18"/>
                <w:lang w:val="fr-FR"/>
              </w:rPr>
              <w:t>Date</w:t>
            </w:r>
          </w:p>
        </w:tc>
        <w:tc>
          <w:tcPr>
            <w:tcW w:w="6666" w:type="dxa"/>
            <w:tcBorders>
              <w:top w:val="single" w:sz="4" w:space="0" w:color="auto"/>
              <w:bottom w:val="single" w:sz="12" w:space="0" w:color="auto"/>
            </w:tcBorders>
            <w:vAlign w:val="bottom"/>
          </w:tcPr>
          <w:p w14:paraId="199804DC" w14:textId="61BBF58A" w:rsidR="008125AA" w:rsidRPr="00E046E7" w:rsidRDefault="007E5395" w:rsidP="0083587D">
            <w:pPr>
              <w:pStyle w:val="Normal-pool"/>
              <w:spacing w:before="40" w:after="40"/>
              <w:rPr>
                <w:i/>
                <w:iCs/>
                <w:sz w:val="18"/>
                <w:szCs w:val="18"/>
                <w:lang w:val="fr-FR"/>
              </w:rPr>
            </w:pPr>
            <w:r w:rsidRPr="00E046E7">
              <w:rPr>
                <w:i/>
                <w:iCs/>
                <w:sz w:val="18"/>
                <w:szCs w:val="18"/>
                <w:lang w:val="fr-FR"/>
              </w:rPr>
              <w:t xml:space="preserve">Mesures et </w:t>
            </w:r>
            <w:r w:rsidR="003363AC">
              <w:rPr>
                <w:i/>
                <w:iCs/>
                <w:sz w:val="18"/>
                <w:szCs w:val="18"/>
                <w:lang w:val="fr-FR"/>
              </w:rPr>
              <w:t>dis</w:t>
            </w:r>
            <w:r w:rsidR="00886758">
              <w:rPr>
                <w:i/>
                <w:iCs/>
                <w:sz w:val="18"/>
                <w:szCs w:val="18"/>
                <w:lang w:val="fr-FR"/>
              </w:rPr>
              <w:t xml:space="preserve">positions </w:t>
            </w:r>
            <w:r w:rsidRPr="00E046E7">
              <w:rPr>
                <w:i/>
                <w:iCs/>
                <w:sz w:val="18"/>
                <w:szCs w:val="18"/>
                <w:lang w:val="fr-FR"/>
              </w:rPr>
              <w:t>institutionnel</w:t>
            </w:r>
            <w:r w:rsidR="00886758">
              <w:rPr>
                <w:i/>
                <w:iCs/>
                <w:sz w:val="18"/>
                <w:szCs w:val="18"/>
                <w:lang w:val="fr-FR"/>
              </w:rPr>
              <w:t>le</w:t>
            </w:r>
            <w:r w:rsidRPr="00E046E7">
              <w:rPr>
                <w:i/>
                <w:iCs/>
                <w:sz w:val="18"/>
                <w:szCs w:val="18"/>
                <w:lang w:val="fr-FR"/>
              </w:rPr>
              <w:t>s</w:t>
            </w:r>
            <w:r w:rsidR="008125AA" w:rsidRPr="00E046E7">
              <w:rPr>
                <w:i/>
                <w:iCs/>
                <w:sz w:val="18"/>
                <w:szCs w:val="18"/>
                <w:lang w:val="fr-FR"/>
              </w:rPr>
              <w:t xml:space="preserve"> </w:t>
            </w:r>
          </w:p>
        </w:tc>
      </w:tr>
      <w:tr w:rsidR="008125AA" w:rsidRPr="00E046E7" w14:paraId="4A164310" w14:textId="77777777" w:rsidTr="000D073D">
        <w:trPr>
          <w:trHeight w:val="57"/>
          <w:jc w:val="right"/>
        </w:trPr>
        <w:tc>
          <w:tcPr>
            <w:tcW w:w="8100" w:type="dxa"/>
            <w:gridSpan w:val="2"/>
            <w:tcBorders>
              <w:top w:val="single" w:sz="12" w:space="0" w:color="auto"/>
              <w:bottom w:val="single" w:sz="4" w:space="0" w:color="auto"/>
            </w:tcBorders>
            <w:shd w:val="clear" w:color="auto" w:fill="auto"/>
          </w:tcPr>
          <w:p w14:paraId="14277DEA" w14:textId="77777777" w:rsidR="008125AA" w:rsidRPr="00E046E7" w:rsidRDefault="008125AA" w:rsidP="0083587D">
            <w:pPr>
              <w:pStyle w:val="Normal-pool"/>
              <w:spacing w:before="40" w:after="40"/>
              <w:rPr>
                <w:b/>
                <w:bCs/>
                <w:sz w:val="18"/>
                <w:szCs w:val="18"/>
                <w:lang w:val="fr-FR"/>
              </w:rPr>
            </w:pPr>
            <w:r w:rsidRPr="00E046E7">
              <w:rPr>
                <w:b/>
                <w:bCs/>
                <w:sz w:val="18"/>
                <w:szCs w:val="18"/>
                <w:lang w:val="fr-FR"/>
              </w:rPr>
              <w:t>2021</w:t>
            </w:r>
          </w:p>
        </w:tc>
      </w:tr>
      <w:tr w:rsidR="008125AA" w:rsidRPr="00E046E7" w14:paraId="1F33396C" w14:textId="77777777" w:rsidTr="000D073D">
        <w:trPr>
          <w:trHeight w:val="57"/>
          <w:jc w:val="right"/>
        </w:trPr>
        <w:tc>
          <w:tcPr>
            <w:tcW w:w="1434" w:type="dxa"/>
            <w:vMerge w:val="restart"/>
            <w:tcBorders>
              <w:top w:val="single" w:sz="4" w:space="0" w:color="auto"/>
            </w:tcBorders>
            <w:shd w:val="clear" w:color="auto" w:fill="auto"/>
          </w:tcPr>
          <w:p w14:paraId="53179A79" w14:textId="0C5E9B91" w:rsidR="008125AA" w:rsidRPr="00E046E7" w:rsidRDefault="00D97848" w:rsidP="0083587D">
            <w:pPr>
              <w:pStyle w:val="Normal-pool"/>
              <w:spacing w:before="40" w:after="40"/>
              <w:rPr>
                <w:sz w:val="18"/>
                <w:szCs w:val="18"/>
                <w:lang w:val="fr-FR"/>
              </w:rPr>
            </w:pPr>
            <w:r w:rsidRPr="00E046E7">
              <w:rPr>
                <w:sz w:val="18"/>
                <w:szCs w:val="18"/>
                <w:lang w:val="fr-FR"/>
              </w:rPr>
              <w:t xml:space="preserve">Deuxième </w:t>
            </w:r>
            <w:r w:rsidR="007D2754">
              <w:rPr>
                <w:sz w:val="18"/>
                <w:szCs w:val="18"/>
                <w:lang w:val="fr-FR"/>
              </w:rPr>
              <w:br/>
            </w:r>
            <w:r w:rsidRPr="00E046E7">
              <w:rPr>
                <w:sz w:val="18"/>
                <w:szCs w:val="18"/>
                <w:lang w:val="fr-FR"/>
              </w:rPr>
              <w:t>trimestre</w:t>
            </w:r>
          </w:p>
        </w:tc>
        <w:tc>
          <w:tcPr>
            <w:tcW w:w="6666" w:type="dxa"/>
            <w:tcBorders>
              <w:top w:val="single" w:sz="4" w:space="0" w:color="auto"/>
            </w:tcBorders>
            <w:shd w:val="clear" w:color="auto" w:fill="auto"/>
          </w:tcPr>
          <w:p w14:paraId="4B8DEFBE" w14:textId="26886B80" w:rsidR="008125AA" w:rsidRPr="00E046E7" w:rsidRDefault="00D97848" w:rsidP="0083587D">
            <w:pPr>
              <w:pStyle w:val="Normal-pool"/>
              <w:spacing w:before="40" w:after="40"/>
              <w:rPr>
                <w:sz w:val="18"/>
                <w:szCs w:val="18"/>
                <w:lang w:val="fr-FR"/>
              </w:rPr>
            </w:pPr>
            <w:r w:rsidRPr="00E046E7">
              <w:rPr>
                <w:sz w:val="18"/>
                <w:szCs w:val="18"/>
                <w:lang w:val="fr-FR"/>
              </w:rPr>
              <w:t>La Plénière est invitée, à sa huitième session, à approuver la réalisation de l</w:t>
            </w:r>
            <w:r w:rsidR="00BD2801">
              <w:rPr>
                <w:sz w:val="18"/>
                <w:szCs w:val="18"/>
                <w:lang w:val="fr-FR"/>
              </w:rPr>
              <w:t>’</w:t>
            </w:r>
            <w:r w:rsidRPr="00E046E7">
              <w:rPr>
                <w:sz w:val="18"/>
                <w:szCs w:val="18"/>
                <w:lang w:val="fr-FR"/>
              </w:rPr>
              <w:t>évaluation des</w:t>
            </w:r>
            <w:r w:rsidR="007D2754">
              <w:rPr>
                <w:sz w:val="18"/>
                <w:szCs w:val="18"/>
                <w:lang w:val="fr-FR"/>
              </w:rPr>
              <w:t> </w:t>
            </w:r>
            <w:r w:rsidRPr="00E046E7">
              <w:rPr>
                <w:sz w:val="18"/>
                <w:szCs w:val="18"/>
                <w:lang w:val="fr-FR"/>
              </w:rPr>
              <w:t xml:space="preserve">changements transformateurs et à prier le secrétariat de mettre en place les </w:t>
            </w:r>
            <w:r w:rsidR="00886758">
              <w:rPr>
                <w:sz w:val="18"/>
                <w:szCs w:val="18"/>
                <w:lang w:val="fr-FR"/>
              </w:rPr>
              <w:t xml:space="preserve">dispositions </w:t>
            </w:r>
            <w:r w:rsidRPr="00E046E7">
              <w:rPr>
                <w:sz w:val="18"/>
                <w:szCs w:val="18"/>
                <w:lang w:val="fr-FR"/>
              </w:rPr>
              <w:t>institutionnel</w:t>
            </w:r>
            <w:r w:rsidR="00D04C5E">
              <w:rPr>
                <w:sz w:val="18"/>
                <w:szCs w:val="18"/>
                <w:lang w:val="fr-FR"/>
              </w:rPr>
              <w:t>le</w:t>
            </w:r>
            <w:r w:rsidRPr="00E046E7">
              <w:rPr>
                <w:sz w:val="18"/>
                <w:szCs w:val="18"/>
                <w:lang w:val="fr-FR"/>
              </w:rPr>
              <w:t>s nécessaires pour mettre en œuvre l</w:t>
            </w:r>
            <w:r w:rsidR="00BD2801">
              <w:rPr>
                <w:sz w:val="18"/>
                <w:szCs w:val="18"/>
                <w:lang w:val="fr-FR"/>
              </w:rPr>
              <w:t>’</w:t>
            </w:r>
            <w:r w:rsidRPr="00E046E7">
              <w:rPr>
                <w:sz w:val="18"/>
                <w:szCs w:val="18"/>
                <w:lang w:val="fr-FR"/>
              </w:rPr>
              <w:t>appui technique requis pour</w:t>
            </w:r>
            <w:r w:rsidR="007D2754">
              <w:rPr>
                <w:sz w:val="18"/>
                <w:szCs w:val="18"/>
                <w:lang w:val="fr-FR"/>
              </w:rPr>
              <w:t> </w:t>
            </w:r>
            <w:r w:rsidRPr="00E046E7">
              <w:rPr>
                <w:sz w:val="18"/>
                <w:szCs w:val="18"/>
                <w:lang w:val="fr-FR"/>
              </w:rPr>
              <w:t>l</w:t>
            </w:r>
            <w:r w:rsidR="00BD2801">
              <w:rPr>
                <w:sz w:val="18"/>
                <w:szCs w:val="18"/>
                <w:lang w:val="fr-FR"/>
              </w:rPr>
              <w:t>’</w:t>
            </w:r>
            <w:r w:rsidRPr="00E046E7">
              <w:rPr>
                <w:sz w:val="18"/>
                <w:szCs w:val="18"/>
                <w:lang w:val="fr-FR"/>
              </w:rPr>
              <w:t>évaluation</w:t>
            </w:r>
          </w:p>
        </w:tc>
      </w:tr>
      <w:tr w:rsidR="008125AA" w:rsidRPr="00E046E7" w14:paraId="55B665D6" w14:textId="77777777" w:rsidTr="000D073D">
        <w:trPr>
          <w:trHeight w:val="57"/>
          <w:jc w:val="right"/>
        </w:trPr>
        <w:tc>
          <w:tcPr>
            <w:tcW w:w="1434" w:type="dxa"/>
            <w:vMerge/>
            <w:shd w:val="clear" w:color="auto" w:fill="auto"/>
          </w:tcPr>
          <w:p w14:paraId="0B2E9F35" w14:textId="77777777" w:rsidR="008125AA" w:rsidRPr="00E046E7" w:rsidRDefault="008125AA" w:rsidP="0083587D">
            <w:pPr>
              <w:pStyle w:val="Normal-pool"/>
              <w:spacing w:before="40" w:after="40"/>
              <w:rPr>
                <w:sz w:val="18"/>
                <w:szCs w:val="18"/>
                <w:lang w:val="fr-FR"/>
              </w:rPr>
            </w:pPr>
          </w:p>
        </w:tc>
        <w:tc>
          <w:tcPr>
            <w:tcW w:w="6666" w:type="dxa"/>
            <w:shd w:val="clear" w:color="auto" w:fill="auto"/>
          </w:tcPr>
          <w:p w14:paraId="169E65DC" w14:textId="006A2FED" w:rsidR="008125AA" w:rsidRPr="00E046E7" w:rsidRDefault="00D97848" w:rsidP="0083587D">
            <w:pPr>
              <w:pStyle w:val="Normal-pool"/>
              <w:spacing w:before="40" w:after="40"/>
              <w:rPr>
                <w:sz w:val="18"/>
                <w:szCs w:val="18"/>
                <w:lang w:val="fr-FR"/>
              </w:rPr>
            </w:pPr>
            <w:r w:rsidRPr="00E046E7">
              <w:rPr>
                <w:sz w:val="18"/>
                <w:szCs w:val="18"/>
                <w:lang w:val="fr-FR"/>
              </w:rPr>
              <w:t>Le</w:t>
            </w:r>
            <w:r w:rsidR="008125AA" w:rsidRPr="00E046E7">
              <w:rPr>
                <w:sz w:val="18"/>
                <w:szCs w:val="18"/>
                <w:lang w:val="fr-FR"/>
              </w:rPr>
              <w:t xml:space="preserve"> </w:t>
            </w:r>
            <w:r w:rsidRPr="00E046E7">
              <w:rPr>
                <w:sz w:val="18"/>
                <w:szCs w:val="18"/>
                <w:lang w:val="fr-FR"/>
              </w:rPr>
              <w:t>Groupe multidisciplinaire d</w:t>
            </w:r>
            <w:r w:rsidR="00BD2801">
              <w:rPr>
                <w:sz w:val="18"/>
                <w:szCs w:val="18"/>
                <w:lang w:val="fr-FR"/>
              </w:rPr>
              <w:t>’</w:t>
            </w:r>
            <w:r w:rsidRPr="00E046E7">
              <w:rPr>
                <w:sz w:val="18"/>
                <w:szCs w:val="18"/>
                <w:lang w:val="fr-FR"/>
              </w:rPr>
              <w:t>experts demande</w:t>
            </w:r>
            <w:r w:rsidR="008125AA" w:rsidRPr="00E046E7">
              <w:rPr>
                <w:sz w:val="18"/>
                <w:szCs w:val="18"/>
                <w:lang w:val="fr-FR"/>
              </w:rPr>
              <w:t>,</w:t>
            </w:r>
            <w:r w:rsidRPr="00E046E7">
              <w:rPr>
                <w:sz w:val="18"/>
                <w:szCs w:val="18"/>
                <w:lang w:val="fr-FR"/>
              </w:rPr>
              <w:t xml:space="preserve"> par l</w:t>
            </w:r>
            <w:r w:rsidR="00BD2801">
              <w:rPr>
                <w:sz w:val="18"/>
                <w:szCs w:val="18"/>
                <w:lang w:val="fr-FR"/>
              </w:rPr>
              <w:t>’</w:t>
            </w:r>
            <w:r w:rsidRPr="00E046E7">
              <w:rPr>
                <w:sz w:val="18"/>
                <w:szCs w:val="18"/>
                <w:lang w:val="fr-FR"/>
              </w:rPr>
              <w:t>intermédiaire du secrétariat, la</w:t>
            </w:r>
            <w:r w:rsidR="007D2754">
              <w:rPr>
                <w:sz w:val="18"/>
                <w:szCs w:val="18"/>
                <w:lang w:val="fr-FR"/>
              </w:rPr>
              <w:t> </w:t>
            </w:r>
            <w:r w:rsidRPr="00E046E7">
              <w:rPr>
                <w:sz w:val="18"/>
                <w:szCs w:val="18"/>
                <w:lang w:val="fr-FR"/>
              </w:rPr>
              <w:t>nomination d</w:t>
            </w:r>
            <w:r w:rsidR="00BD2801">
              <w:rPr>
                <w:sz w:val="18"/>
                <w:szCs w:val="18"/>
                <w:lang w:val="fr-FR"/>
              </w:rPr>
              <w:t>’</w:t>
            </w:r>
            <w:r w:rsidRPr="00E046E7">
              <w:rPr>
                <w:sz w:val="18"/>
                <w:szCs w:val="18"/>
                <w:lang w:val="fr-FR"/>
              </w:rPr>
              <w:t>experts de gouvernements et d</w:t>
            </w:r>
            <w:r w:rsidR="00BD2801">
              <w:rPr>
                <w:sz w:val="18"/>
                <w:szCs w:val="18"/>
                <w:lang w:val="fr-FR"/>
              </w:rPr>
              <w:t>’</w:t>
            </w:r>
            <w:r w:rsidRPr="00E046E7">
              <w:rPr>
                <w:sz w:val="18"/>
                <w:szCs w:val="18"/>
                <w:lang w:val="fr-FR"/>
              </w:rPr>
              <w:t>autres parties prenantes</w:t>
            </w:r>
            <w:r w:rsidR="008125AA" w:rsidRPr="00E046E7">
              <w:rPr>
                <w:sz w:val="18"/>
                <w:szCs w:val="18"/>
                <w:lang w:val="fr-FR"/>
              </w:rPr>
              <w:t xml:space="preserve"> </w:t>
            </w:r>
          </w:p>
        </w:tc>
      </w:tr>
      <w:tr w:rsidR="008125AA" w:rsidRPr="00E046E7" w14:paraId="0A8E3325" w14:textId="77777777" w:rsidTr="000D073D">
        <w:trPr>
          <w:trHeight w:val="57"/>
          <w:jc w:val="right"/>
        </w:trPr>
        <w:tc>
          <w:tcPr>
            <w:tcW w:w="1434" w:type="dxa"/>
            <w:shd w:val="clear" w:color="auto" w:fill="auto"/>
          </w:tcPr>
          <w:p w14:paraId="516DB66E" w14:textId="2482D282" w:rsidR="008125AA" w:rsidRPr="00E046E7" w:rsidRDefault="00D97848" w:rsidP="0083587D">
            <w:pPr>
              <w:pStyle w:val="Normal-pool"/>
              <w:spacing w:before="40" w:after="40"/>
              <w:rPr>
                <w:sz w:val="18"/>
                <w:szCs w:val="18"/>
                <w:lang w:val="fr-FR"/>
              </w:rPr>
            </w:pPr>
            <w:r w:rsidRPr="00E046E7">
              <w:rPr>
                <w:sz w:val="18"/>
                <w:szCs w:val="18"/>
                <w:lang w:val="fr-FR"/>
              </w:rPr>
              <w:t xml:space="preserve">Troisième </w:t>
            </w:r>
            <w:r w:rsidR="007D2754">
              <w:rPr>
                <w:sz w:val="18"/>
                <w:szCs w:val="18"/>
                <w:lang w:val="fr-FR"/>
              </w:rPr>
              <w:br/>
            </w:r>
            <w:r w:rsidRPr="00E046E7">
              <w:rPr>
                <w:sz w:val="18"/>
                <w:szCs w:val="18"/>
                <w:lang w:val="fr-FR"/>
              </w:rPr>
              <w:t>trimestre</w:t>
            </w:r>
          </w:p>
        </w:tc>
        <w:tc>
          <w:tcPr>
            <w:tcW w:w="6666" w:type="dxa"/>
            <w:shd w:val="clear" w:color="auto" w:fill="auto"/>
          </w:tcPr>
          <w:p w14:paraId="78FC852E" w14:textId="6A75D702" w:rsidR="008125AA" w:rsidRPr="00E046E7" w:rsidRDefault="00D97848" w:rsidP="0083587D">
            <w:pPr>
              <w:pStyle w:val="Normal-pool"/>
              <w:spacing w:before="40" w:after="40"/>
              <w:rPr>
                <w:sz w:val="18"/>
                <w:szCs w:val="18"/>
                <w:lang w:val="fr-FR"/>
              </w:rPr>
            </w:pPr>
            <w:r w:rsidRPr="00E046E7">
              <w:rPr>
                <w:sz w:val="18"/>
                <w:szCs w:val="18"/>
                <w:lang w:val="fr-FR"/>
              </w:rPr>
              <w:t>Le Groupe multidisciplinaire d</w:t>
            </w:r>
            <w:r w:rsidR="00BD2801">
              <w:rPr>
                <w:sz w:val="18"/>
                <w:szCs w:val="18"/>
                <w:lang w:val="fr-FR"/>
              </w:rPr>
              <w:t>’</w:t>
            </w:r>
            <w:r w:rsidRPr="00E046E7">
              <w:rPr>
                <w:sz w:val="18"/>
                <w:szCs w:val="18"/>
                <w:lang w:val="fr-FR"/>
              </w:rPr>
              <w:t>experts désigne les coprésidents</w:t>
            </w:r>
            <w:r w:rsidR="00FF46F7" w:rsidRPr="00E046E7">
              <w:rPr>
                <w:sz w:val="18"/>
                <w:szCs w:val="18"/>
                <w:lang w:val="fr-FR"/>
              </w:rPr>
              <w:t>, les</w:t>
            </w:r>
            <w:r w:rsidRPr="00E046E7">
              <w:rPr>
                <w:sz w:val="18"/>
                <w:szCs w:val="18"/>
                <w:lang w:val="fr-FR"/>
              </w:rPr>
              <w:t xml:space="preserve"> </w:t>
            </w:r>
            <w:r w:rsidR="00FF46F7" w:rsidRPr="00E046E7">
              <w:rPr>
                <w:sz w:val="18"/>
                <w:szCs w:val="18"/>
                <w:lang w:val="fr-FR"/>
              </w:rPr>
              <w:t xml:space="preserve">auteurs coordonnateurs principaux, les auteurs principaux et les éditeurs-réviseurs </w:t>
            </w:r>
            <w:r w:rsidRPr="00E046E7">
              <w:rPr>
                <w:sz w:val="18"/>
                <w:szCs w:val="18"/>
                <w:lang w:val="fr-FR"/>
              </w:rPr>
              <w:t>de l</w:t>
            </w:r>
            <w:r w:rsidR="00BD2801">
              <w:rPr>
                <w:sz w:val="18"/>
                <w:szCs w:val="18"/>
                <w:lang w:val="fr-FR"/>
              </w:rPr>
              <w:t>’</w:t>
            </w:r>
            <w:r w:rsidRPr="00E046E7">
              <w:rPr>
                <w:sz w:val="18"/>
                <w:szCs w:val="18"/>
                <w:lang w:val="fr-FR"/>
              </w:rPr>
              <w:t>évaluation</w:t>
            </w:r>
            <w:r w:rsidR="00FF46F7" w:rsidRPr="00E046E7">
              <w:rPr>
                <w:sz w:val="18"/>
                <w:szCs w:val="18"/>
                <w:lang w:val="fr-FR"/>
              </w:rPr>
              <w:t xml:space="preserve"> conformément aux procédures</w:t>
            </w:r>
            <w:r w:rsidR="008125AA" w:rsidRPr="00E046E7">
              <w:rPr>
                <w:sz w:val="18"/>
                <w:szCs w:val="18"/>
                <w:lang w:val="fr-FR"/>
              </w:rPr>
              <w:t xml:space="preserve"> </w:t>
            </w:r>
            <w:r w:rsidR="00FF46F7" w:rsidRPr="00E046E7">
              <w:rPr>
                <w:sz w:val="18"/>
                <w:szCs w:val="18"/>
                <w:lang w:val="fr-FR"/>
              </w:rPr>
              <w:t>d</w:t>
            </w:r>
            <w:r w:rsidR="00BD2801">
              <w:rPr>
                <w:sz w:val="18"/>
                <w:szCs w:val="18"/>
                <w:lang w:val="fr-FR"/>
              </w:rPr>
              <w:t>’</w:t>
            </w:r>
            <w:r w:rsidR="00FF46F7" w:rsidRPr="00E046E7">
              <w:rPr>
                <w:sz w:val="18"/>
                <w:szCs w:val="18"/>
                <w:lang w:val="fr-FR"/>
              </w:rPr>
              <w:t>établissement des produits de la Plateforme</w:t>
            </w:r>
            <w:r w:rsidR="008125AA" w:rsidRPr="00E046E7">
              <w:rPr>
                <w:sz w:val="18"/>
                <w:szCs w:val="18"/>
                <w:lang w:val="fr-FR"/>
              </w:rPr>
              <w:t>,</w:t>
            </w:r>
            <w:r w:rsidR="00FF46F7" w:rsidRPr="00E046E7">
              <w:rPr>
                <w:sz w:val="18"/>
                <w:szCs w:val="18"/>
                <w:lang w:val="fr-FR"/>
              </w:rPr>
              <w:t xml:space="preserve"> notamment en mettant en</w:t>
            </w:r>
            <w:r w:rsidR="007D2754">
              <w:rPr>
                <w:sz w:val="18"/>
                <w:szCs w:val="18"/>
                <w:lang w:val="fr-FR"/>
              </w:rPr>
              <w:t> </w:t>
            </w:r>
            <w:r w:rsidR="00FF46F7" w:rsidRPr="00E046E7">
              <w:rPr>
                <w:sz w:val="18"/>
                <w:szCs w:val="18"/>
                <w:lang w:val="fr-FR"/>
              </w:rPr>
              <w:t>œuvre la procédure pour combler les lacunes en matière d</w:t>
            </w:r>
            <w:r w:rsidR="00BD2801">
              <w:rPr>
                <w:sz w:val="18"/>
                <w:szCs w:val="18"/>
                <w:lang w:val="fr-FR"/>
              </w:rPr>
              <w:t>’</w:t>
            </w:r>
            <w:r w:rsidR="00FF46F7" w:rsidRPr="00E046E7">
              <w:rPr>
                <w:sz w:val="18"/>
                <w:szCs w:val="18"/>
                <w:lang w:val="fr-FR"/>
              </w:rPr>
              <w:t>expertise</w:t>
            </w:r>
          </w:p>
        </w:tc>
      </w:tr>
      <w:tr w:rsidR="008125AA" w:rsidRPr="00E046E7" w14:paraId="6F765572" w14:textId="77777777" w:rsidTr="000D073D">
        <w:trPr>
          <w:trHeight w:val="57"/>
          <w:jc w:val="right"/>
        </w:trPr>
        <w:tc>
          <w:tcPr>
            <w:tcW w:w="1434" w:type="dxa"/>
            <w:vMerge w:val="restart"/>
            <w:shd w:val="clear" w:color="auto" w:fill="auto"/>
          </w:tcPr>
          <w:p w14:paraId="0C4CC89E" w14:textId="49D28DFB" w:rsidR="008125AA" w:rsidRPr="00E046E7" w:rsidRDefault="00FF46F7" w:rsidP="0083587D">
            <w:pPr>
              <w:pStyle w:val="Normal-pool"/>
              <w:spacing w:before="40" w:after="40"/>
              <w:rPr>
                <w:sz w:val="18"/>
                <w:szCs w:val="18"/>
                <w:lang w:val="fr-FR"/>
              </w:rPr>
            </w:pPr>
            <w:r w:rsidRPr="00E046E7">
              <w:rPr>
                <w:sz w:val="18"/>
                <w:szCs w:val="18"/>
                <w:lang w:val="fr-FR"/>
              </w:rPr>
              <w:t xml:space="preserve">Quatrième </w:t>
            </w:r>
            <w:r w:rsidR="007D2754">
              <w:rPr>
                <w:sz w:val="18"/>
                <w:szCs w:val="18"/>
                <w:lang w:val="fr-FR"/>
              </w:rPr>
              <w:br/>
            </w:r>
            <w:r w:rsidRPr="00E046E7">
              <w:rPr>
                <w:sz w:val="18"/>
                <w:szCs w:val="18"/>
                <w:lang w:val="fr-FR"/>
              </w:rPr>
              <w:t>trimestre</w:t>
            </w:r>
          </w:p>
        </w:tc>
        <w:tc>
          <w:tcPr>
            <w:tcW w:w="6666" w:type="dxa"/>
            <w:shd w:val="clear" w:color="auto" w:fill="auto"/>
          </w:tcPr>
          <w:p w14:paraId="78B91562" w14:textId="20E8B049" w:rsidR="008125AA" w:rsidRPr="00E046E7" w:rsidRDefault="00FF46F7" w:rsidP="0083587D">
            <w:pPr>
              <w:pStyle w:val="Normal-pool"/>
              <w:spacing w:before="40" w:after="40"/>
              <w:rPr>
                <w:sz w:val="18"/>
                <w:szCs w:val="18"/>
                <w:lang w:val="fr-FR"/>
              </w:rPr>
            </w:pPr>
            <w:r w:rsidRPr="00E046E7">
              <w:rPr>
                <w:sz w:val="18"/>
                <w:szCs w:val="18"/>
                <w:lang w:val="fr-FR"/>
              </w:rPr>
              <w:t>La décision de sélection est communiquée aux</w:t>
            </w:r>
            <w:r w:rsidR="008125AA" w:rsidRPr="00E046E7">
              <w:rPr>
                <w:sz w:val="18"/>
                <w:szCs w:val="18"/>
                <w:lang w:val="fr-FR"/>
              </w:rPr>
              <w:t xml:space="preserve"> </w:t>
            </w:r>
            <w:r w:rsidRPr="00E046E7">
              <w:rPr>
                <w:sz w:val="18"/>
                <w:szCs w:val="18"/>
                <w:lang w:val="fr-FR"/>
              </w:rPr>
              <w:t>candidats</w:t>
            </w:r>
          </w:p>
        </w:tc>
      </w:tr>
      <w:tr w:rsidR="008125AA" w:rsidRPr="00E046E7" w14:paraId="6F2C75F4" w14:textId="77777777" w:rsidTr="000D073D">
        <w:trPr>
          <w:trHeight w:val="57"/>
          <w:jc w:val="right"/>
        </w:trPr>
        <w:tc>
          <w:tcPr>
            <w:tcW w:w="1434" w:type="dxa"/>
            <w:vMerge/>
            <w:tcBorders>
              <w:bottom w:val="single" w:sz="4" w:space="0" w:color="auto"/>
            </w:tcBorders>
            <w:shd w:val="clear" w:color="auto" w:fill="auto"/>
          </w:tcPr>
          <w:p w14:paraId="29B8F891" w14:textId="77777777" w:rsidR="008125AA" w:rsidRPr="00E046E7" w:rsidRDefault="008125AA" w:rsidP="0083587D">
            <w:pPr>
              <w:pStyle w:val="Normal-pool"/>
              <w:spacing w:before="40" w:after="40"/>
              <w:rPr>
                <w:sz w:val="18"/>
                <w:szCs w:val="18"/>
                <w:lang w:val="fr-FR"/>
              </w:rPr>
            </w:pPr>
          </w:p>
        </w:tc>
        <w:tc>
          <w:tcPr>
            <w:tcW w:w="6666" w:type="dxa"/>
            <w:tcBorders>
              <w:bottom w:val="single" w:sz="4" w:space="0" w:color="auto"/>
            </w:tcBorders>
            <w:shd w:val="clear" w:color="auto" w:fill="auto"/>
          </w:tcPr>
          <w:p w14:paraId="382499C9" w14:textId="64A0EADA" w:rsidR="008125AA" w:rsidRPr="00E046E7" w:rsidRDefault="00FF46F7" w:rsidP="0083587D">
            <w:pPr>
              <w:pStyle w:val="Normal-pool"/>
              <w:spacing w:before="40" w:after="40"/>
              <w:rPr>
                <w:sz w:val="18"/>
                <w:szCs w:val="18"/>
                <w:lang w:val="fr-FR"/>
              </w:rPr>
            </w:pPr>
            <w:r w:rsidRPr="00E046E7">
              <w:rPr>
                <w:sz w:val="18"/>
                <w:szCs w:val="18"/>
                <w:lang w:val="fr-FR"/>
              </w:rPr>
              <w:t>Réunion du</w:t>
            </w:r>
            <w:r w:rsidR="008125AA" w:rsidRPr="00E046E7">
              <w:rPr>
                <w:sz w:val="18"/>
                <w:szCs w:val="18"/>
                <w:lang w:val="fr-FR"/>
              </w:rPr>
              <w:t xml:space="preserve"> </w:t>
            </w:r>
            <w:r w:rsidRPr="00E046E7">
              <w:rPr>
                <w:sz w:val="18"/>
                <w:szCs w:val="18"/>
                <w:lang w:val="fr-FR"/>
              </w:rPr>
              <w:t>comité de gestion</w:t>
            </w:r>
            <w:r w:rsidR="008125AA" w:rsidRPr="00E046E7">
              <w:rPr>
                <w:sz w:val="18"/>
                <w:szCs w:val="18"/>
                <w:lang w:val="fr-FR"/>
              </w:rPr>
              <w:t xml:space="preserve"> (co</w:t>
            </w:r>
            <w:r w:rsidRPr="00E046E7">
              <w:rPr>
                <w:sz w:val="18"/>
                <w:szCs w:val="18"/>
                <w:lang w:val="fr-FR"/>
              </w:rPr>
              <w:t>présidents</w:t>
            </w:r>
            <w:r w:rsidR="008125AA" w:rsidRPr="00E046E7">
              <w:rPr>
                <w:sz w:val="18"/>
                <w:szCs w:val="18"/>
                <w:lang w:val="fr-FR"/>
              </w:rPr>
              <w:t>, memb</w:t>
            </w:r>
            <w:r w:rsidRPr="00E046E7">
              <w:rPr>
                <w:sz w:val="18"/>
                <w:szCs w:val="18"/>
                <w:lang w:val="fr-FR"/>
              </w:rPr>
              <w:t>res</w:t>
            </w:r>
            <w:r w:rsidR="008125AA" w:rsidRPr="00E046E7">
              <w:rPr>
                <w:sz w:val="18"/>
                <w:szCs w:val="18"/>
                <w:lang w:val="fr-FR"/>
              </w:rPr>
              <w:t xml:space="preserve"> </w:t>
            </w:r>
            <w:r w:rsidRPr="00E046E7">
              <w:rPr>
                <w:sz w:val="18"/>
                <w:szCs w:val="18"/>
                <w:lang w:val="fr-FR"/>
              </w:rPr>
              <w:t>du</w:t>
            </w:r>
            <w:r w:rsidR="008125AA" w:rsidRPr="00E046E7">
              <w:rPr>
                <w:sz w:val="18"/>
                <w:szCs w:val="18"/>
                <w:lang w:val="fr-FR"/>
              </w:rPr>
              <w:t xml:space="preserve"> Bureau </w:t>
            </w:r>
            <w:r w:rsidRPr="00E046E7">
              <w:rPr>
                <w:sz w:val="18"/>
                <w:szCs w:val="18"/>
                <w:lang w:val="fr-FR"/>
              </w:rPr>
              <w:t>et du</w:t>
            </w:r>
            <w:r w:rsidR="008125AA" w:rsidRPr="00E046E7">
              <w:rPr>
                <w:sz w:val="18"/>
                <w:szCs w:val="18"/>
                <w:lang w:val="fr-FR"/>
              </w:rPr>
              <w:t xml:space="preserve"> </w:t>
            </w:r>
            <w:r w:rsidRPr="00E046E7">
              <w:rPr>
                <w:sz w:val="18"/>
                <w:szCs w:val="18"/>
                <w:lang w:val="fr-FR"/>
              </w:rPr>
              <w:t>Groupe multidisciplinaire d</w:t>
            </w:r>
            <w:r w:rsidR="00BD2801">
              <w:rPr>
                <w:sz w:val="18"/>
                <w:szCs w:val="18"/>
                <w:lang w:val="fr-FR"/>
              </w:rPr>
              <w:t>’</w:t>
            </w:r>
            <w:r w:rsidRPr="00E046E7">
              <w:rPr>
                <w:sz w:val="18"/>
                <w:szCs w:val="18"/>
                <w:lang w:val="fr-FR"/>
              </w:rPr>
              <w:t>experts chargés de l</w:t>
            </w:r>
            <w:r w:rsidR="00BD2801">
              <w:rPr>
                <w:sz w:val="18"/>
                <w:szCs w:val="18"/>
                <w:lang w:val="fr-FR"/>
              </w:rPr>
              <w:t>’</w:t>
            </w:r>
            <w:r w:rsidRPr="00E046E7">
              <w:rPr>
                <w:sz w:val="18"/>
                <w:szCs w:val="18"/>
                <w:lang w:val="fr-FR"/>
              </w:rPr>
              <w:t>évaluation par ces organes</w:t>
            </w:r>
            <w:r w:rsidR="008125AA" w:rsidRPr="00E046E7">
              <w:rPr>
                <w:sz w:val="18"/>
                <w:szCs w:val="18"/>
                <w:lang w:val="fr-FR"/>
              </w:rPr>
              <w:t xml:space="preserve">) </w:t>
            </w:r>
            <w:r w:rsidRPr="00E046E7">
              <w:rPr>
                <w:sz w:val="18"/>
                <w:szCs w:val="18"/>
                <w:lang w:val="fr-FR"/>
              </w:rPr>
              <w:t>pour organiser la</w:t>
            </w:r>
            <w:r w:rsidR="007D2754">
              <w:rPr>
                <w:sz w:val="18"/>
                <w:szCs w:val="18"/>
                <w:lang w:val="fr-FR"/>
              </w:rPr>
              <w:t> </w:t>
            </w:r>
            <w:r w:rsidRPr="00E046E7">
              <w:rPr>
                <w:sz w:val="18"/>
                <w:szCs w:val="18"/>
                <w:lang w:val="fr-FR"/>
              </w:rPr>
              <w:t>première réunion des</w:t>
            </w:r>
            <w:r w:rsidR="008125AA" w:rsidRPr="00E046E7">
              <w:rPr>
                <w:sz w:val="18"/>
                <w:szCs w:val="18"/>
                <w:lang w:val="fr-FR"/>
              </w:rPr>
              <w:t xml:space="preserve"> </w:t>
            </w:r>
            <w:r w:rsidRPr="00E046E7">
              <w:rPr>
                <w:sz w:val="18"/>
                <w:szCs w:val="18"/>
                <w:lang w:val="fr-FR"/>
              </w:rPr>
              <w:t>auteurs</w:t>
            </w:r>
          </w:p>
        </w:tc>
      </w:tr>
      <w:tr w:rsidR="008125AA" w:rsidRPr="00E046E7" w14:paraId="3DF16790" w14:textId="77777777" w:rsidTr="000D073D">
        <w:trPr>
          <w:trHeight w:val="57"/>
          <w:jc w:val="right"/>
        </w:trPr>
        <w:tc>
          <w:tcPr>
            <w:tcW w:w="8100" w:type="dxa"/>
            <w:gridSpan w:val="2"/>
            <w:tcBorders>
              <w:top w:val="single" w:sz="4" w:space="0" w:color="auto"/>
              <w:bottom w:val="single" w:sz="4" w:space="0" w:color="auto"/>
            </w:tcBorders>
            <w:shd w:val="clear" w:color="auto" w:fill="auto"/>
          </w:tcPr>
          <w:p w14:paraId="17B60BDA" w14:textId="77777777" w:rsidR="008125AA" w:rsidRPr="00E046E7" w:rsidRDefault="008125AA" w:rsidP="00BD2801">
            <w:pPr>
              <w:pStyle w:val="Normal-pool"/>
              <w:keepNext/>
              <w:keepLines/>
              <w:spacing w:before="40" w:after="40"/>
              <w:rPr>
                <w:b/>
                <w:bCs/>
                <w:sz w:val="18"/>
                <w:szCs w:val="18"/>
                <w:lang w:val="fr-FR"/>
              </w:rPr>
            </w:pPr>
            <w:r w:rsidRPr="00E046E7">
              <w:rPr>
                <w:b/>
                <w:bCs/>
                <w:sz w:val="18"/>
                <w:szCs w:val="18"/>
                <w:lang w:val="fr-FR"/>
              </w:rPr>
              <w:lastRenderedPageBreak/>
              <w:t>2022</w:t>
            </w:r>
          </w:p>
        </w:tc>
      </w:tr>
      <w:tr w:rsidR="008125AA" w:rsidRPr="00E046E7" w14:paraId="152FCACD" w14:textId="77777777" w:rsidTr="000D073D">
        <w:trPr>
          <w:trHeight w:val="57"/>
          <w:jc w:val="right"/>
        </w:trPr>
        <w:tc>
          <w:tcPr>
            <w:tcW w:w="1434" w:type="dxa"/>
            <w:tcBorders>
              <w:top w:val="single" w:sz="4" w:space="0" w:color="auto"/>
            </w:tcBorders>
            <w:shd w:val="clear" w:color="auto" w:fill="auto"/>
          </w:tcPr>
          <w:p w14:paraId="711ED015" w14:textId="2D9DBE56" w:rsidR="008125AA" w:rsidRPr="00E046E7" w:rsidRDefault="00847D64" w:rsidP="0083587D">
            <w:pPr>
              <w:pStyle w:val="Normal-pool"/>
              <w:spacing w:before="40" w:after="40"/>
              <w:rPr>
                <w:sz w:val="18"/>
                <w:szCs w:val="18"/>
                <w:lang w:val="fr-FR"/>
              </w:rPr>
            </w:pPr>
            <w:r w:rsidRPr="00E046E7">
              <w:rPr>
                <w:sz w:val="18"/>
                <w:szCs w:val="18"/>
                <w:lang w:val="fr-FR"/>
              </w:rPr>
              <w:t xml:space="preserve">Premier </w:t>
            </w:r>
            <w:r w:rsidR="007D2754">
              <w:rPr>
                <w:sz w:val="18"/>
                <w:szCs w:val="18"/>
                <w:lang w:val="fr-FR"/>
              </w:rPr>
              <w:br/>
            </w:r>
            <w:r w:rsidRPr="00E046E7">
              <w:rPr>
                <w:sz w:val="18"/>
                <w:szCs w:val="18"/>
                <w:lang w:val="fr-FR"/>
              </w:rPr>
              <w:t>trimestre</w:t>
            </w:r>
          </w:p>
        </w:tc>
        <w:tc>
          <w:tcPr>
            <w:tcW w:w="6666" w:type="dxa"/>
            <w:tcBorders>
              <w:top w:val="single" w:sz="4" w:space="0" w:color="auto"/>
            </w:tcBorders>
            <w:shd w:val="clear" w:color="auto" w:fill="auto"/>
          </w:tcPr>
          <w:p w14:paraId="4621AE7D" w14:textId="1257E7D2" w:rsidR="008125AA" w:rsidRPr="00E046E7" w:rsidRDefault="00847D64" w:rsidP="0083587D">
            <w:pPr>
              <w:pStyle w:val="Normal-pool"/>
              <w:spacing w:before="40" w:after="40"/>
              <w:rPr>
                <w:sz w:val="18"/>
                <w:szCs w:val="18"/>
                <w:lang w:val="fr-FR"/>
              </w:rPr>
            </w:pPr>
            <w:r w:rsidRPr="00E046E7">
              <w:rPr>
                <w:sz w:val="18"/>
                <w:szCs w:val="18"/>
                <w:lang w:val="fr-FR"/>
              </w:rPr>
              <w:t>Première réunion des auteurs avec les coprésidents, les auteurs coordonnateurs principaux, les auteurs principaux, les éditeurs-réviseurs et les</w:t>
            </w:r>
            <w:r w:rsidR="008125AA" w:rsidRPr="00E046E7">
              <w:rPr>
                <w:sz w:val="18"/>
                <w:szCs w:val="18"/>
                <w:lang w:val="fr-FR"/>
              </w:rPr>
              <w:t xml:space="preserve"> </w:t>
            </w:r>
            <w:r w:rsidRPr="00E046E7">
              <w:rPr>
                <w:sz w:val="18"/>
                <w:szCs w:val="18"/>
                <w:lang w:val="fr-FR"/>
              </w:rPr>
              <w:t>membres du Bureau et du Groupe multidisciplinaire d</w:t>
            </w:r>
            <w:r w:rsidR="00BD2801">
              <w:rPr>
                <w:sz w:val="18"/>
                <w:szCs w:val="18"/>
                <w:lang w:val="fr-FR"/>
              </w:rPr>
              <w:t>’</w:t>
            </w:r>
            <w:r w:rsidRPr="00E046E7">
              <w:rPr>
                <w:sz w:val="18"/>
                <w:szCs w:val="18"/>
                <w:lang w:val="fr-FR"/>
              </w:rPr>
              <w:t xml:space="preserve">experts </w:t>
            </w:r>
            <w:r w:rsidR="00076DEA" w:rsidRPr="00E046E7">
              <w:rPr>
                <w:sz w:val="18"/>
                <w:szCs w:val="18"/>
                <w:lang w:val="fr-FR"/>
              </w:rPr>
              <w:t>qui font partie du comité de gestion de l</w:t>
            </w:r>
            <w:r w:rsidR="00BD2801">
              <w:rPr>
                <w:sz w:val="18"/>
                <w:szCs w:val="18"/>
                <w:lang w:val="fr-FR"/>
              </w:rPr>
              <w:t>’</w:t>
            </w:r>
            <w:r w:rsidR="00076DEA" w:rsidRPr="00E046E7">
              <w:rPr>
                <w:sz w:val="18"/>
                <w:szCs w:val="18"/>
                <w:lang w:val="fr-FR"/>
              </w:rPr>
              <w:t>évaluation</w:t>
            </w:r>
          </w:p>
        </w:tc>
      </w:tr>
      <w:tr w:rsidR="008125AA" w:rsidRPr="00E046E7" w14:paraId="08DC52A3" w14:textId="77777777" w:rsidTr="000D073D">
        <w:trPr>
          <w:trHeight w:val="57"/>
          <w:jc w:val="right"/>
        </w:trPr>
        <w:tc>
          <w:tcPr>
            <w:tcW w:w="1434" w:type="dxa"/>
            <w:shd w:val="clear" w:color="auto" w:fill="auto"/>
          </w:tcPr>
          <w:p w14:paraId="6583E8B2" w14:textId="5752BF54" w:rsidR="008125AA" w:rsidRPr="00E046E7" w:rsidRDefault="00076DEA" w:rsidP="0083587D">
            <w:pPr>
              <w:pStyle w:val="Normal-pool"/>
              <w:spacing w:before="40" w:after="40"/>
              <w:rPr>
                <w:sz w:val="18"/>
                <w:szCs w:val="18"/>
                <w:lang w:val="fr-FR"/>
              </w:rPr>
            </w:pPr>
            <w:r w:rsidRPr="00E046E7">
              <w:rPr>
                <w:sz w:val="18"/>
                <w:szCs w:val="18"/>
                <w:lang w:val="fr-FR"/>
              </w:rPr>
              <w:t>Premier au troisième trimestre</w:t>
            </w:r>
          </w:p>
        </w:tc>
        <w:tc>
          <w:tcPr>
            <w:tcW w:w="6666" w:type="dxa"/>
            <w:shd w:val="clear" w:color="auto" w:fill="auto"/>
          </w:tcPr>
          <w:p w14:paraId="1082E6C8" w14:textId="4A9B30B3" w:rsidR="008125AA" w:rsidRPr="00E046E7" w:rsidRDefault="00C625D6" w:rsidP="0083587D">
            <w:pPr>
              <w:pStyle w:val="Normal-pool"/>
              <w:spacing w:before="40" w:after="40"/>
              <w:rPr>
                <w:sz w:val="18"/>
                <w:szCs w:val="18"/>
                <w:lang w:val="fr-FR"/>
              </w:rPr>
            </w:pPr>
            <w:r w:rsidRPr="00E046E7">
              <w:rPr>
                <w:sz w:val="18"/>
                <w:szCs w:val="18"/>
                <w:lang w:val="fr-FR"/>
              </w:rPr>
              <w:t>Élaboration des avant-projets de document et des versions préliminaires des chapitres</w:t>
            </w:r>
          </w:p>
        </w:tc>
      </w:tr>
      <w:tr w:rsidR="008125AA" w:rsidRPr="00E046E7" w14:paraId="48656092" w14:textId="77777777" w:rsidTr="000D073D">
        <w:trPr>
          <w:trHeight w:val="57"/>
          <w:jc w:val="right"/>
        </w:trPr>
        <w:tc>
          <w:tcPr>
            <w:tcW w:w="1434" w:type="dxa"/>
            <w:shd w:val="clear" w:color="auto" w:fill="auto"/>
          </w:tcPr>
          <w:p w14:paraId="075AF1BD" w14:textId="179BAF27" w:rsidR="008125AA" w:rsidRPr="00E046E7" w:rsidRDefault="00065B7F" w:rsidP="0083587D">
            <w:pPr>
              <w:pStyle w:val="Normal-pool"/>
              <w:spacing w:before="40" w:after="40"/>
              <w:rPr>
                <w:sz w:val="18"/>
                <w:szCs w:val="18"/>
                <w:lang w:val="fr-FR"/>
              </w:rPr>
            </w:pPr>
            <w:r w:rsidRPr="00E046E7">
              <w:rPr>
                <w:sz w:val="18"/>
                <w:szCs w:val="18"/>
                <w:lang w:val="fr-FR"/>
              </w:rPr>
              <w:t xml:space="preserve">Quatrième </w:t>
            </w:r>
            <w:r w:rsidR="007D2754">
              <w:rPr>
                <w:sz w:val="18"/>
                <w:szCs w:val="18"/>
                <w:lang w:val="fr-FR"/>
              </w:rPr>
              <w:br/>
            </w:r>
            <w:r w:rsidRPr="00E046E7">
              <w:rPr>
                <w:sz w:val="18"/>
                <w:szCs w:val="18"/>
                <w:lang w:val="fr-FR"/>
              </w:rPr>
              <w:t>trimestre</w:t>
            </w:r>
            <w:r w:rsidR="008125AA" w:rsidRPr="00E046E7">
              <w:rPr>
                <w:sz w:val="18"/>
                <w:szCs w:val="18"/>
                <w:lang w:val="fr-FR"/>
              </w:rPr>
              <w:t xml:space="preserve"> </w:t>
            </w:r>
          </w:p>
        </w:tc>
        <w:tc>
          <w:tcPr>
            <w:tcW w:w="6666" w:type="dxa"/>
            <w:shd w:val="clear" w:color="auto" w:fill="auto"/>
          </w:tcPr>
          <w:p w14:paraId="46F88DD1" w14:textId="7CECEFD4" w:rsidR="008125AA" w:rsidRPr="00E046E7" w:rsidRDefault="00065B7F" w:rsidP="0083587D">
            <w:pPr>
              <w:pStyle w:val="Normal-pool"/>
              <w:spacing w:before="40" w:after="40"/>
              <w:rPr>
                <w:sz w:val="18"/>
                <w:szCs w:val="18"/>
                <w:lang w:val="fr-FR"/>
              </w:rPr>
            </w:pPr>
            <w:r w:rsidRPr="00E046E7">
              <w:rPr>
                <w:sz w:val="18"/>
                <w:szCs w:val="18"/>
                <w:lang w:val="fr-FR"/>
              </w:rPr>
              <w:t>Premier examen externe</w:t>
            </w:r>
            <w:r w:rsidR="008125AA" w:rsidRPr="00E046E7">
              <w:rPr>
                <w:sz w:val="18"/>
                <w:szCs w:val="18"/>
                <w:lang w:val="fr-FR"/>
              </w:rPr>
              <w:t xml:space="preserve"> (6</w:t>
            </w:r>
            <w:r w:rsidRPr="00E046E7">
              <w:rPr>
                <w:sz w:val="18"/>
                <w:szCs w:val="18"/>
                <w:lang w:val="fr-FR"/>
              </w:rPr>
              <w:t> semaines</w:t>
            </w:r>
            <w:r w:rsidR="008125AA" w:rsidRPr="00E046E7">
              <w:rPr>
                <w:sz w:val="18"/>
                <w:szCs w:val="18"/>
                <w:lang w:val="fr-FR"/>
              </w:rPr>
              <w:t xml:space="preserve">) – </w:t>
            </w:r>
            <w:r w:rsidRPr="00E046E7">
              <w:rPr>
                <w:sz w:val="18"/>
                <w:szCs w:val="18"/>
                <w:lang w:val="fr-FR"/>
              </w:rPr>
              <w:t>projets de chapitre mis à disposition pour examen par les experts</w:t>
            </w:r>
            <w:r w:rsidR="008125AA" w:rsidRPr="00E046E7">
              <w:rPr>
                <w:sz w:val="18"/>
                <w:szCs w:val="18"/>
                <w:lang w:val="fr-FR"/>
              </w:rPr>
              <w:t xml:space="preserve"> </w:t>
            </w:r>
          </w:p>
        </w:tc>
      </w:tr>
      <w:tr w:rsidR="008125AA" w:rsidRPr="00E046E7" w14:paraId="6BAA34E3" w14:textId="77777777" w:rsidTr="000D073D">
        <w:trPr>
          <w:trHeight w:val="57"/>
          <w:jc w:val="right"/>
        </w:trPr>
        <w:tc>
          <w:tcPr>
            <w:tcW w:w="8100" w:type="dxa"/>
            <w:gridSpan w:val="2"/>
            <w:tcBorders>
              <w:bottom w:val="single" w:sz="4" w:space="0" w:color="auto"/>
            </w:tcBorders>
            <w:shd w:val="clear" w:color="auto" w:fill="auto"/>
          </w:tcPr>
          <w:p w14:paraId="74368C1D" w14:textId="77777777" w:rsidR="008125AA" w:rsidRPr="00E046E7" w:rsidRDefault="008125AA" w:rsidP="00890B86">
            <w:pPr>
              <w:pStyle w:val="Normal-pool"/>
              <w:keepNext/>
              <w:keepLines/>
              <w:spacing w:before="40" w:after="40"/>
              <w:rPr>
                <w:b/>
                <w:bCs/>
                <w:sz w:val="18"/>
                <w:szCs w:val="18"/>
                <w:lang w:val="fr-FR"/>
              </w:rPr>
            </w:pPr>
            <w:r w:rsidRPr="00E046E7">
              <w:rPr>
                <w:b/>
                <w:bCs/>
                <w:sz w:val="18"/>
                <w:szCs w:val="18"/>
                <w:lang w:val="fr-FR"/>
              </w:rPr>
              <w:t>2023</w:t>
            </w:r>
          </w:p>
        </w:tc>
      </w:tr>
      <w:tr w:rsidR="008125AA" w:rsidRPr="00E046E7" w14:paraId="2E78B0C7" w14:textId="77777777" w:rsidTr="000D073D">
        <w:trPr>
          <w:trHeight w:val="57"/>
          <w:jc w:val="right"/>
        </w:trPr>
        <w:tc>
          <w:tcPr>
            <w:tcW w:w="1434" w:type="dxa"/>
            <w:tcBorders>
              <w:top w:val="single" w:sz="4" w:space="0" w:color="auto"/>
            </w:tcBorders>
            <w:shd w:val="clear" w:color="auto" w:fill="auto"/>
          </w:tcPr>
          <w:p w14:paraId="7BBBC825" w14:textId="55A41D13" w:rsidR="008125AA" w:rsidRPr="00E046E7" w:rsidRDefault="001C38A7" w:rsidP="00890B86">
            <w:pPr>
              <w:pStyle w:val="Normal-pool"/>
              <w:keepNext/>
              <w:keepLines/>
              <w:spacing w:before="40" w:after="40"/>
              <w:rPr>
                <w:sz w:val="18"/>
                <w:szCs w:val="18"/>
                <w:lang w:val="fr-FR"/>
              </w:rPr>
            </w:pPr>
            <w:r w:rsidRPr="00E046E7">
              <w:rPr>
                <w:sz w:val="18"/>
                <w:szCs w:val="18"/>
                <w:lang w:val="fr-FR"/>
              </w:rPr>
              <w:t>Début du premier</w:t>
            </w:r>
            <w:r w:rsidR="007D2754">
              <w:rPr>
                <w:sz w:val="18"/>
                <w:szCs w:val="18"/>
                <w:lang w:val="fr-FR"/>
              </w:rPr>
              <w:t> </w:t>
            </w:r>
            <w:r w:rsidRPr="00E046E7">
              <w:rPr>
                <w:sz w:val="18"/>
                <w:szCs w:val="18"/>
                <w:lang w:val="fr-FR"/>
              </w:rPr>
              <w:t>trimestre</w:t>
            </w:r>
          </w:p>
        </w:tc>
        <w:tc>
          <w:tcPr>
            <w:tcW w:w="6666" w:type="dxa"/>
            <w:tcBorders>
              <w:top w:val="single" w:sz="4" w:space="0" w:color="auto"/>
            </w:tcBorders>
            <w:shd w:val="clear" w:color="auto" w:fill="auto"/>
          </w:tcPr>
          <w:p w14:paraId="6DFA31FE" w14:textId="6A2DEDDE" w:rsidR="008125AA" w:rsidRPr="00E046E7" w:rsidRDefault="001C38A7" w:rsidP="00890B86">
            <w:pPr>
              <w:pStyle w:val="Normal-pool"/>
              <w:keepNext/>
              <w:keepLines/>
              <w:spacing w:before="40" w:after="40"/>
              <w:rPr>
                <w:sz w:val="18"/>
                <w:szCs w:val="18"/>
                <w:lang w:val="fr-FR"/>
              </w:rPr>
            </w:pPr>
            <w:r w:rsidRPr="00E046E7">
              <w:rPr>
                <w:sz w:val="18"/>
                <w:szCs w:val="18"/>
                <w:lang w:val="fr-FR"/>
              </w:rPr>
              <w:t>Deuxième réunion des auteurs avec</w:t>
            </w:r>
            <w:r w:rsidR="008125AA" w:rsidRPr="00E046E7">
              <w:rPr>
                <w:sz w:val="18"/>
                <w:szCs w:val="18"/>
                <w:lang w:val="fr-FR"/>
              </w:rPr>
              <w:t xml:space="preserve"> </w:t>
            </w:r>
            <w:r w:rsidRPr="00E046E7">
              <w:rPr>
                <w:sz w:val="18"/>
                <w:szCs w:val="18"/>
                <w:lang w:val="fr-FR"/>
              </w:rPr>
              <w:t>les coprésidents, les auteurs coordonnateurs principaux, les auteurs principaux, les éditeurs-réviseurs et les membres du Bureau et du Groupe multidisciplinaire d</w:t>
            </w:r>
            <w:r w:rsidR="00BD2801">
              <w:rPr>
                <w:sz w:val="18"/>
                <w:szCs w:val="18"/>
                <w:lang w:val="fr-FR"/>
              </w:rPr>
              <w:t>’</w:t>
            </w:r>
            <w:r w:rsidRPr="00E046E7">
              <w:rPr>
                <w:sz w:val="18"/>
                <w:szCs w:val="18"/>
                <w:lang w:val="fr-FR"/>
              </w:rPr>
              <w:t>experts qui font partie du comité de gestion de l</w:t>
            </w:r>
            <w:r w:rsidR="00BD2801">
              <w:rPr>
                <w:sz w:val="18"/>
                <w:szCs w:val="18"/>
                <w:lang w:val="fr-FR"/>
              </w:rPr>
              <w:t>’</w:t>
            </w:r>
            <w:r w:rsidRPr="00E046E7">
              <w:rPr>
                <w:sz w:val="18"/>
                <w:szCs w:val="18"/>
                <w:lang w:val="fr-FR"/>
              </w:rPr>
              <w:t>évaluation</w:t>
            </w:r>
          </w:p>
          <w:p w14:paraId="325CD589" w14:textId="008B99A1" w:rsidR="008125AA" w:rsidRPr="00E046E7" w:rsidRDefault="00DF39B5" w:rsidP="00890B86">
            <w:pPr>
              <w:pStyle w:val="Normal-pool"/>
              <w:keepNext/>
              <w:keepLines/>
              <w:spacing w:before="40" w:after="40"/>
              <w:rPr>
                <w:sz w:val="18"/>
                <w:szCs w:val="18"/>
                <w:lang w:val="fr-FR"/>
              </w:rPr>
            </w:pPr>
            <w:r w:rsidRPr="00E046E7">
              <w:rPr>
                <w:sz w:val="18"/>
                <w:szCs w:val="18"/>
                <w:lang w:val="fr-FR"/>
              </w:rPr>
              <w:t>Immédiatement après la deuxième</w:t>
            </w:r>
            <w:r w:rsidR="00E15B93">
              <w:rPr>
                <w:sz w:val="18"/>
                <w:szCs w:val="18"/>
                <w:lang w:val="fr-FR"/>
              </w:rPr>
              <w:t xml:space="preserve"> </w:t>
            </w:r>
            <w:r w:rsidRPr="00E046E7">
              <w:rPr>
                <w:sz w:val="18"/>
                <w:szCs w:val="18"/>
                <w:lang w:val="fr-FR"/>
              </w:rPr>
              <w:t>réunion des auteurs </w:t>
            </w:r>
            <w:r w:rsidR="008125AA" w:rsidRPr="00E046E7">
              <w:rPr>
                <w:sz w:val="18"/>
                <w:szCs w:val="18"/>
                <w:lang w:val="fr-FR"/>
              </w:rPr>
              <w:t>:</w:t>
            </w:r>
            <w:r w:rsidRPr="00E046E7">
              <w:rPr>
                <w:sz w:val="18"/>
                <w:szCs w:val="18"/>
                <w:lang w:val="fr-FR"/>
              </w:rPr>
              <w:t xml:space="preserve"> réunion pour</w:t>
            </w:r>
            <w:r w:rsidR="008125AA" w:rsidRPr="00E046E7">
              <w:rPr>
                <w:sz w:val="18"/>
                <w:szCs w:val="18"/>
                <w:lang w:val="fr-FR"/>
              </w:rPr>
              <w:t xml:space="preserve"> </w:t>
            </w:r>
            <w:r w:rsidRPr="00E046E7">
              <w:rPr>
                <w:sz w:val="18"/>
                <w:szCs w:val="18"/>
                <w:lang w:val="fr-FR"/>
              </w:rPr>
              <w:t>faire avancer l</w:t>
            </w:r>
            <w:r w:rsidR="00BD2801">
              <w:rPr>
                <w:sz w:val="18"/>
                <w:szCs w:val="18"/>
                <w:lang w:val="fr-FR"/>
              </w:rPr>
              <w:t>’</w:t>
            </w:r>
            <w:r w:rsidRPr="00E046E7">
              <w:rPr>
                <w:sz w:val="18"/>
                <w:szCs w:val="18"/>
                <w:lang w:val="fr-FR"/>
              </w:rPr>
              <w:t>élaboration du résumé à l</w:t>
            </w:r>
            <w:r w:rsidR="00BD2801">
              <w:rPr>
                <w:sz w:val="18"/>
                <w:szCs w:val="18"/>
                <w:lang w:val="fr-FR"/>
              </w:rPr>
              <w:t>’</w:t>
            </w:r>
            <w:r w:rsidRPr="00E046E7">
              <w:rPr>
                <w:sz w:val="18"/>
                <w:szCs w:val="18"/>
                <w:lang w:val="fr-FR"/>
              </w:rPr>
              <w:t>intention des décideurs avec les coprésidents, les auteurs coordonnateurs principaux, les auteurs principaux et les membres du Bureau et du Groupe multidisciplinaire d</w:t>
            </w:r>
            <w:r w:rsidR="00BD2801">
              <w:rPr>
                <w:sz w:val="18"/>
                <w:szCs w:val="18"/>
                <w:lang w:val="fr-FR"/>
              </w:rPr>
              <w:t>’</w:t>
            </w:r>
            <w:r w:rsidRPr="00E046E7">
              <w:rPr>
                <w:sz w:val="18"/>
                <w:szCs w:val="18"/>
                <w:lang w:val="fr-FR"/>
              </w:rPr>
              <w:t>experts qui font partie du comité de gestion de l</w:t>
            </w:r>
            <w:r w:rsidR="00BD2801">
              <w:rPr>
                <w:sz w:val="18"/>
                <w:szCs w:val="18"/>
                <w:lang w:val="fr-FR"/>
              </w:rPr>
              <w:t>’</w:t>
            </w:r>
            <w:r w:rsidRPr="00E046E7">
              <w:rPr>
                <w:sz w:val="18"/>
                <w:szCs w:val="18"/>
                <w:lang w:val="fr-FR"/>
              </w:rPr>
              <w:t>évaluation</w:t>
            </w:r>
          </w:p>
        </w:tc>
      </w:tr>
      <w:tr w:rsidR="008125AA" w:rsidRPr="00E046E7" w14:paraId="3C345864" w14:textId="77777777" w:rsidTr="000D073D">
        <w:trPr>
          <w:trHeight w:val="57"/>
          <w:jc w:val="right"/>
        </w:trPr>
        <w:tc>
          <w:tcPr>
            <w:tcW w:w="1434" w:type="dxa"/>
            <w:shd w:val="clear" w:color="auto" w:fill="auto"/>
          </w:tcPr>
          <w:p w14:paraId="67228B1F" w14:textId="4ED77655" w:rsidR="008125AA" w:rsidRPr="00E046E7" w:rsidRDefault="00DF39B5" w:rsidP="0083587D">
            <w:pPr>
              <w:pStyle w:val="Normal-pool"/>
              <w:spacing w:before="40" w:after="40"/>
              <w:rPr>
                <w:sz w:val="18"/>
                <w:szCs w:val="18"/>
                <w:lang w:val="fr-FR"/>
              </w:rPr>
            </w:pPr>
            <w:r w:rsidRPr="00E046E7">
              <w:rPr>
                <w:sz w:val="18"/>
                <w:szCs w:val="18"/>
                <w:lang w:val="fr-FR"/>
              </w:rPr>
              <w:t xml:space="preserve">Premier au </w:t>
            </w:r>
            <w:r w:rsidR="007D2754">
              <w:rPr>
                <w:sz w:val="18"/>
                <w:szCs w:val="18"/>
                <w:lang w:val="fr-FR"/>
              </w:rPr>
              <w:br/>
            </w:r>
            <w:r w:rsidRPr="00E046E7">
              <w:rPr>
                <w:sz w:val="18"/>
                <w:szCs w:val="18"/>
                <w:lang w:val="fr-FR"/>
              </w:rPr>
              <w:t xml:space="preserve">troisième </w:t>
            </w:r>
            <w:r w:rsidR="007D2754">
              <w:rPr>
                <w:sz w:val="18"/>
                <w:szCs w:val="18"/>
                <w:lang w:val="fr-FR"/>
              </w:rPr>
              <w:br/>
            </w:r>
            <w:r w:rsidRPr="00E046E7">
              <w:rPr>
                <w:sz w:val="18"/>
                <w:szCs w:val="18"/>
                <w:lang w:val="fr-FR"/>
              </w:rPr>
              <w:t>trimestre</w:t>
            </w:r>
          </w:p>
        </w:tc>
        <w:tc>
          <w:tcPr>
            <w:tcW w:w="6666" w:type="dxa"/>
            <w:shd w:val="clear" w:color="auto" w:fill="auto"/>
          </w:tcPr>
          <w:p w14:paraId="33401362" w14:textId="13242107" w:rsidR="008125AA" w:rsidRPr="00E046E7" w:rsidRDefault="00DF39B5" w:rsidP="0083587D">
            <w:pPr>
              <w:pStyle w:val="Normal-pool"/>
              <w:spacing w:before="40" w:after="40"/>
              <w:rPr>
                <w:sz w:val="18"/>
                <w:szCs w:val="18"/>
                <w:lang w:val="fr-FR"/>
              </w:rPr>
            </w:pPr>
            <w:r w:rsidRPr="00E046E7">
              <w:rPr>
                <w:sz w:val="18"/>
                <w:szCs w:val="18"/>
                <w:lang w:val="fr-FR"/>
              </w:rPr>
              <w:t>Élaboration de la deuxième version préliminaire des chapitres et de la version préliminaire du résumé à l</w:t>
            </w:r>
            <w:r w:rsidR="00BD2801">
              <w:rPr>
                <w:sz w:val="18"/>
                <w:szCs w:val="18"/>
                <w:lang w:val="fr-FR"/>
              </w:rPr>
              <w:t>’</w:t>
            </w:r>
            <w:r w:rsidRPr="00E046E7">
              <w:rPr>
                <w:sz w:val="18"/>
                <w:szCs w:val="18"/>
                <w:lang w:val="fr-FR"/>
              </w:rPr>
              <w:t>intention des décideurs</w:t>
            </w:r>
          </w:p>
        </w:tc>
      </w:tr>
      <w:tr w:rsidR="008125AA" w:rsidRPr="00E046E7" w14:paraId="517E24B8" w14:textId="77777777" w:rsidTr="000D073D">
        <w:trPr>
          <w:trHeight w:val="57"/>
          <w:jc w:val="right"/>
        </w:trPr>
        <w:tc>
          <w:tcPr>
            <w:tcW w:w="1434" w:type="dxa"/>
            <w:shd w:val="clear" w:color="auto" w:fill="auto"/>
          </w:tcPr>
          <w:p w14:paraId="3F2FBA3D" w14:textId="3AE37C36" w:rsidR="008125AA" w:rsidRPr="00E046E7" w:rsidRDefault="00343590" w:rsidP="0083587D">
            <w:pPr>
              <w:pStyle w:val="Normal-pool"/>
              <w:spacing w:before="40" w:after="40"/>
              <w:rPr>
                <w:sz w:val="18"/>
                <w:szCs w:val="18"/>
                <w:lang w:val="fr-FR"/>
              </w:rPr>
            </w:pPr>
            <w:r w:rsidRPr="00E046E7">
              <w:rPr>
                <w:sz w:val="18"/>
                <w:szCs w:val="18"/>
                <w:lang w:val="fr-FR"/>
              </w:rPr>
              <w:t xml:space="preserve">Deuxième </w:t>
            </w:r>
            <w:r w:rsidR="007D2754">
              <w:rPr>
                <w:sz w:val="18"/>
                <w:szCs w:val="18"/>
                <w:lang w:val="fr-FR"/>
              </w:rPr>
              <w:br/>
            </w:r>
            <w:r w:rsidRPr="00E046E7">
              <w:rPr>
                <w:sz w:val="18"/>
                <w:szCs w:val="18"/>
                <w:lang w:val="fr-FR"/>
              </w:rPr>
              <w:t>trimestre</w:t>
            </w:r>
            <w:r w:rsidR="008125AA" w:rsidRPr="00E046E7">
              <w:rPr>
                <w:sz w:val="18"/>
                <w:szCs w:val="18"/>
                <w:lang w:val="fr-FR"/>
              </w:rPr>
              <w:t xml:space="preserve"> </w:t>
            </w:r>
          </w:p>
        </w:tc>
        <w:tc>
          <w:tcPr>
            <w:tcW w:w="6666" w:type="dxa"/>
            <w:shd w:val="clear" w:color="auto" w:fill="auto"/>
          </w:tcPr>
          <w:p w14:paraId="25087BB2" w14:textId="058BC52C" w:rsidR="008125AA" w:rsidRPr="00E046E7" w:rsidRDefault="00343590" w:rsidP="0083587D">
            <w:pPr>
              <w:pStyle w:val="Normal-pool"/>
              <w:spacing w:before="40" w:after="40"/>
              <w:rPr>
                <w:sz w:val="18"/>
                <w:szCs w:val="18"/>
                <w:lang w:val="fr-FR"/>
              </w:rPr>
            </w:pPr>
            <w:r w:rsidRPr="00E046E7">
              <w:rPr>
                <w:sz w:val="18"/>
                <w:szCs w:val="18"/>
                <w:lang w:val="fr-FR"/>
              </w:rPr>
              <w:t>Atelier de rédaction pour faire avancer l</w:t>
            </w:r>
            <w:r w:rsidR="00BD2801">
              <w:rPr>
                <w:sz w:val="18"/>
                <w:szCs w:val="18"/>
                <w:lang w:val="fr-FR"/>
              </w:rPr>
              <w:t>’</w:t>
            </w:r>
            <w:r w:rsidRPr="00E046E7">
              <w:rPr>
                <w:sz w:val="18"/>
                <w:szCs w:val="18"/>
                <w:lang w:val="fr-FR"/>
              </w:rPr>
              <w:t>élaboration du résumé à l</w:t>
            </w:r>
            <w:r w:rsidR="00BD2801">
              <w:rPr>
                <w:sz w:val="18"/>
                <w:szCs w:val="18"/>
                <w:lang w:val="fr-FR"/>
              </w:rPr>
              <w:t>’</w:t>
            </w:r>
            <w:r w:rsidRPr="00E046E7">
              <w:rPr>
                <w:sz w:val="18"/>
                <w:szCs w:val="18"/>
                <w:lang w:val="fr-FR"/>
              </w:rPr>
              <w:t>intention des décideurs avec les coprésidents, les auteurs coordonnateurs principaux, les auteurs principaux et les</w:t>
            </w:r>
            <w:r w:rsidR="007D2754">
              <w:rPr>
                <w:sz w:val="18"/>
                <w:szCs w:val="18"/>
                <w:lang w:val="fr-FR"/>
              </w:rPr>
              <w:t> </w:t>
            </w:r>
            <w:r w:rsidRPr="00E046E7">
              <w:rPr>
                <w:sz w:val="18"/>
                <w:szCs w:val="18"/>
                <w:lang w:val="fr-FR"/>
              </w:rPr>
              <w:t>membres du Bureau et du Groupe multidisciplinaire d</w:t>
            </w:r>
            <w:r w:rsidR="00BD2801">
              <w:rPr>
                <w:sz w:val="18"/>
                <w:szCs w:val="18"/>
                <w:lang w:val="fr-FR"/>
              </w:rPr>
              <w:t>’</w:t>
            </w:r>
            <w:r w:rsidRPr="00E046E7">
              <w:rPr>
                <w:sz w:val="18"/>
                <w:szCs w:val="18"/>
                <w:lang w:val="fr-FR"/>
              </w:rPr>
              <w:t>experts qui font partie du</w:t>
            </w:r>
            <w:r w:rsidR="007D2754">
              <w:rPr>
                <w:sz w:val="18"/>
                <w:szCs w:val="18"/>
                <w:lang w:val="fr-FR"/>
              </w:rPr>
              <w:t> </w:t>
            </w:r>
            <w:r w:rsidRPr="00E046E7">
              <w:rPr>
                <w:sz w:val="18"/>
                <w:szCs w:val="18"/>
                <w:lang w:val="fr-FR"/>
              </w:rPr>
              <w:t>comité de gestion de l</w:t>
            </w:r>
            <w:r w:rsidR="00BD2801">
              <w:rPr>
                <w:sz w:val="18"/>
                <w:szCs w:val="18"/>
                <w:lang w:val="fr-FR"/>
              </w:rPr>
              <w:t>’</w:t>
            </w:r>
            <w:r w:rsidRPr="00E046E7">
              <w:rPr>
                <w:sz w:val="18"/>
                <w:szCs w:val="18"/>
                <w:lang w:val="fr-FR"/>
              </w:rPr>
              <w:t>évaluation</w:t>
            </w:r>
          </w:p>
        </w:tc>
      </w:tr>
      <w:tr w:rsidR="008125AA" w:rsidRPr="00E046E7" w14:paraId="49FDE1C6" w14:textId="77777777" w:rsidTr="000D073D">
        <w:trPr>
          <w:trHeight w:val="57"/>
          <w:jc w:val="right"/>
        </w:trPr>
        <w:tc>
          <w:tcPr>
            <w:tcW w:w="1434" w:type="dxa"/>
            <w:shd w:val="clear" w:color="auto" w:fill="auto"/>
          </w:tcPr>
          <w:p w14:paraId="6F538480" w14:textId="4C8251E4" w:rsidR="008125AA" w:rsidRPr="00E046E7" w:rsidRDefault="00C67622" w:rsidP="0083587D">
            <w:pPr>
              <w:pStyle w:val="Normal-pool"/>
              <w:spacing w:before="40" w:after="40"/>
              <w:rPr>
                <w:sz w:val="18"/>
                <w:szCs w:val="18"/>
                <w:lang w:val="fr-FR"/>
              </w:rPr>
            </w:pPr>
            <w:r w:rsidRPr="00E046E7">
              <w:rPr>
                <w:sz w:val="18"/>
                <w:szCs w:val="18"/>
                <w:lang w:val="fr-FR"/>
              </w:rPr>
              <w:t>Fin du troisième</w:t>
            </w:r>
            <w:r w:rsidR="007D2754">
              <w:rPr>
                <w:sz w:val="18"/>
                <w:szCs w:val="18"/>
                <w:lang w:val="fr-FR"/>
              </w:rPr>
              <w:t xml:space="preserve"> </w:t>
            </w:r>
            <w:r w:rsidR="007D2754">
              <w:rPr>
                <w:sz w:val="18"/>
                <w:szCs w:val="18"/>
                <w:lang w:val="fr-FR"/>
              </w:rPr>
              <w:br/>
            </w:r>
            <w:r w:rsidRPr="00E046E7">
              <w:rPr>
                <w:sz w:val="18"/>
                <w:szCs w:val="18"/>
                <w:lang w:val="fr-FR"/>
              </w:rPr>
              <w:t>trimestre</w:t>
            </w:r>
          </w:p>
        </w:tc>
        <w:tc>
          <w:tcPr>
            <w:tcW w:w="6666" w:type="dxa"/>
            <w:shd w:val="clear" w:color="auto" w:fill="auto"/>
          </w:tcPr>
          <w:p w14:paraId="720F24A6" w14:textId="1291FDAA" w:rsidR="008125AA" w:rsidRPr="00E046E7" w:rsidRDefault="00C67622" w:rsidP="0083587D">
            <w:pPr>
              <w:pStyle w:val="Normal-pool"/>
              <w:spacing w:before="40" w:after="40"/>
              <w:rPr>
                <w:sz w:val="18"/>
                <w:szCs w:val="18"/>
                <w:lang w:val="fr-FR"/>
              </w:rPr>
            </w:pPr>
            <w:r w:rsidRPr="00E046E7">
              <w:rPr>
                <w:sz w:val="18"/>
                <w:szCs w:val="18"/>
                <w:lang w:val="fr-FR"/>
              </w:rPr>
              <w:t>Deuxième examen externe</w:t>
            </w:r>
            <w:r w:rsidR="008125AA" w:rsidRPr="00E046E7">
              <w:rPr>
                <w:sz w:val="18"/>
                <w:szCs w:val="18"/>
                <w:lang w:val="fr-FR"/>
              </w:rPr>
              <w:t xml:space="preserve"> (8</w:t>
            </w:r>
            <w:r w:rsidRPr="00E046E7">
              <w:rPr>
                <w:sz w:val="18"/>
                <w:szCs w:val="18"/>
                <w:lang w:val="fr-FR"/>
              </w:rPr>
              <w:t> semaines</w:t>
            </w:r>
            <w:r w:rsidR="008125AA" w:rsidRPr="00E046E7">
              <w:rPr>
                <w:sz w:val="18"/>
                <w:szCs w:val="18"/>
                <w:lang w:val="fr-FR"/>
              </w:rPr>
              <w:t xml:space="preserve">) – </w:t>
            </w:r>
            <w:r w:rsidR="00A11396" w:rsidRPr="00E046E7">
              <w:rPr>
                <w:sz w:val="18"/>
                <w:szCs w:val="18"/>
                <w:lang w:val="fr-FR"/>
              </w:rPr>
              <w:t>projets de chapitre et projet de résumé à l</w:t>
            </w:r>
            <w:r w:rsidR="00BD2801">
              <w:rPr>
                <w:sz w:val="18"/>
                <w:szCs w:val="18"/>
                <w:lang w:val="fr-FR"/>
              </w:rPr>
              <w:t>’</w:t>
            </w:r>
            <w:r w:rsidR="00A11396" w:rsidRPr="00E046E7">
              <w:rPr>
                <w:sz w:val="18"/>
                <w:szCs w:val="18"/>
                <w:lang w:val="fr-FR"/>
              </w:rPr>
              <w:t>intention des décideurs mis à disposition pour examen par les gouvernements et les</w:t>
            </w:r>
            <w:r w:rsidR="007D2754">
              <w:rPr>
                <w:sz w:val="18"/>
                <w:szCs w:val="18"/>
                <w:lang w:val="fr-FR"/>
              </w:rPr>
              <w:t> </w:t>
            </w:r>
            <w:r w:rsidR="00A11396" w:rsidRPr="00E046E7">
              <w:rPr>
                <w:sz w:val="18"/>
                <w:szCs w:val="18"/>
                <w:lang w:val="fr-FR"/>
              </w:rPr>
              <w:t>experts</w:t>
            </w:r>
            <w:r w:rsidR="008125AA" w:rsidRPr="00E046E7">
              <w:rPr>
                <w:sz w:val="18"/>
                <w:szCs w:val="18"/>
                <w:lang w:val="fr-FR"/>
              </w:rPr>
              <w:t xml:space="preserve"> </w:t>
            </w:r>
          </w:p>
        </w:tc>
      </w:tr>
      <w:tr w:rsidR="008125AA" w:rsidRPr="00E046E7" w14:paraId="418338C9" w14:textId="77777777" w:rsidTr="000D073D">
        <w:trPr>
          <w:trHeight w:val="57"/>
          <w:jc w:val="right"/>
        </w:trPr>
        <w:tc>
          <w:tcPr>
            <w:tcW w:w="1434" w:type="dxa"/>
            <w:tcBorders>
              <w:bottom w:val="single" w:sz="4" w:space="0" w:color="auto"/>
            </w:tcBorders>
            <w:shd w:val="clear" w:color="auto" w:fill="auto"/>
          </w:tcPr>
          <w:p w14:paraId="2BCB514E" w14:textId="01D0C1D2" w:rsidR="008125AA" w:rsidRPr="00E046E7" w:rsidRDefault="00A11396" w:rsidP="0083587D">
            <w:pPr>
              <w:pStyle w:val="Normal-pool"/>
              <w:spacing w:before="40" w:after="40"/>
              <w:rPr>
                <w:sz w:val="18"/>
                <w:szCs w:val="18"/>
                <w:lang w:val="fr-FR"/>
              </w:rPr>
            </w:pPr>
            <w:r w:rsidRPr="00E046E7">
              <w:rPr>
                <w:sz w:val="18"/>
                <w:szCs w:val="18"/>
                <w:lang w:val="fr-FR"/>
              </w:rPr>
              <w:t xml:space="preserve">Quatrième </w:t>
            </w:r>
            <w:r w:rsidR="007D2754">
              <w:rPr>
                <w:sz w:val="18"/>
                <w:szCs w:val="18"/>
                <w:lang w:val="fr-FR"/>
              </w:rPr>
              <w:br/>
            </w:r>
            <w:r w:rsidRPr="00E046E7">
              <w:rPr>
                <w:sz w:val="18"/>
                <w:szCs w:val="18"/>
                <w:lang w:val="fr-FR"/>
              </w:rPr>
              <w:t>trimestre</w:t>
            </w:r>
          </w:p>
        </w:tc>
        <w:tc>
          <w:tcPr>
            <w:tcW w:w="6666" w:type="dxa"/>
            <w:tcBorders>
              <w:bottom w:val="single" w:sz="4" w:space="0" w:color="auto"/>
            </w:tcBorders>
            <w:shd w:val="clear" w:color="auto" w:fill="auto"/>
          </w:tcPr>
          <w:p w14:paraId="31FAF826" w14:textId="5590DF9B" w:rsidR="008125AA" w:rsidRPr="00E046E7" w:rsidRDefault="00A11396" w:rsidP="0083587D">
            <w:pPr>
              <w:pStyle w:val="Normal-pool"/>
              <w:spacing w:before="40" w:after="40"/>
              <w:rPr>
                <w:sz w:val="18"/>
                <w:szCs w:val="18"/>
                <w:lang w:val="fr-FR"/>
              </w:rPr>
            </w:pPr>
            <w:r w:rsidRPr="00E046E7">
              <w:rPr>
                <w:sz w:val="18"/>
                <w:szCs w:val="18"/>
                <w:lang w:val="fr-FR"/>
              </w:rPr>
              <w:t>Troisième</w:t>
            </w:r>
            <w:r w:rsidR="007D2754">
              <w:rPr>
                <w:sz w:val="18"/>
                <w:szCs w:val="18"/>
                <w:lang w:val="fr-FR"/>
              </w:rPr>
              <w:t> </w:t>
            </w:r>
            <w:r w:rsidRPr="00E046E7">
              <w:rPr>
                <w:sz w:val="18"/>
                <w:szCs w:val="18"/>
                <w:lang w:val="fr-FR"/>
              </w:rPr>
              <w:t>réunion des auteurs avec les coprésidents, les auteurs coordonnateurs principaux, les auteurs principaux, les éditeurs-réviseurs et les membres du Bureau et du Groupe multidisciplinaire d</w:t>
            </w:r>
            <w:r w:rsidR="00BD2801">
              <w:rPr>
                <w:sz w:val="18"/>
                <w:szCs w:val="18"/>
                <w:lang w:val="fr-FR"/>
              </w:rPr>
              <w:t>’</w:t>
            </w:r>
            <w:r w:rsidRPr="00E046E7">
              <w:rPr>
                <w:sz w:val="18"/>
                <w:szCs w:val="18"/>
                <w:lang w:val="fr-FR"/>
              </w:rPr>
              <w:t>experts qui font partie du comité de gestion de l</w:t>
            </w:r>
            <w:r w:rsidR="00BD2801">
              <w:rPr>
                <w:sz w:val="18"/>
                <w:szCs w:val="18"/>
                <w:lang w:val="fr-FR"/>
              </w:rPr>
              <w:t>’</w:t>
            </w:r>
            <w:r w:rsidRPr="00E046E7">
              <w:rPr>
                <w:sz w:val="18"/>
                <w:szCs w:val="18"/>
                <w:lang w:val="fr-FR"/>
              </w:rPr>
              <w:t xml:space="preserve">évaluation </w:t>
            </w:r>
          </w:p>
          <w:p w14:paraId="040EA958" w14:textId="7AAACBC6" w:rsidR="008125AA" w:rsidRPr="00E046E7" w:rsidRDefault="00A11396" w:rsidP="0083587D">
            <w:pPr>
              <w:pStyle w:val="Normal-pool"/>
              <w:spacing w:before="40" w:after="40"/>
              <w:rPr>
                <w:sz w:val="18"/>
                <w:szCs w:val="18"/>
                <w:lang w:val="fr-FR"/>
              </w:rPr>
            </w:pPr>
            <w:r w:rsidRPr="00E046E7">
              <w:rPr>
                <w:sz w:val="18"/>
                <w:szCs w:val="18"/>
                <w:lang w:val="fr-FR"/>
              </w:rPr>
              <w:t>Immédiatement après la troisième réunion des auteurs</w:t>
            </w:r>
            <w:r w:rsidR="00E046E7">
              <w:rPr>
                <w:sz w:val="18"/>
                <w:szCs w:val="18"/>
                <w:lang w:val="fr-FR"/>
              </w:rPr>
              <w:t> </w:t>
            </w:r>
            <w:r w:rsidRPr="00E046E7">
              <w:rPr>
                <w:sz w:val="18"/>
                <w:szCs w:val="18"/>
                <w:lang w:val="fr-FR"/>
              </w:rPr>
              <w:t>: réunion pour faire avancer l</w:t>
            </w:r>
            <w:r w:rsidR="00BD2801">
              <w:rPr>
                <w:sz w:val="18"/>
                <w:szCs w:val="18"/>
                <w:lang w:val="fr-FR"/>
              </w:rPr>
              <w:t>’</w:t>
            </w:r>
            <w:r w:rsidRPr="00E046E7">
              <w:rPr>
                <w:sz w:val="18"/>
                <w:szCs w:val="18"/>
                <w:lang w:val="fr-FR"/>
              </w:rPr>
              <w:t>élaboration du résumé à l</w:t>
            </w:r>
            <w:r w:rsidR="00BD2801">
              <w:rPr>
                <w:sz w:val="18"/>
                <w:szCs w:val="18"/>
                <w:lang w:val="fr-FR"/>
              </w:rPr>
              <w:t>’</w:t>
            </w:r>
            <w:r w:rsidRPr="00E046E7">
              <w:rPr>
                <w:sz w:val="18"/>
                <w:szCs w:val="18"/>
                <w:lang w:val="fr-FR"/>
              </w:rPr>
              <w:t>intention des décideurs avec les coprésidents, les auteurs coordonnateurs principaux, les auteurs principaux et les membres du Bureau et du Groupe multidisciplinaire d</w:t>
            </w:r>
            <w:r w:rsidR="00BD2801">
              <w:rPr>
                <w:sz w:val="18"/>
                <w:szCs w:val="18"/>
                <w:lang w:val="fr-FR"/>
              </w:rPr>
              <w:t>’</w:t>
            </w:r>
            <w:r w:rsidRPr="00E046E7">
              <w:rPr>
                <w:sz w:val="18"/>
                <w:szCs w:val="18"/>
                <w:lang w:val="fr-FR"/>
              </w:rPr>
              <w:t>experts qui font partie du comité de gestion de l</w:t>
            </w:r>
            <w:r w:rsidR="00BD2801">
              <w:rPr>
                <w:sz w:val="18"/>
                <w:szCs w:val="18"/>
                <w:lang w:val="fr-FR"/>
              </w:rPr>
              <w:t>’</w:t>
            </w:r>
            <w:r w:rsidRPr="00E046E7">
              <w:rPr>
                <w:sz w:val="18"/>
                <w:szCs w:val="18"/>
                <w:lang w:val="fr-FR"/>
              </w:rPr>
              <w:t xml:space="preserve">évaluation </w:t>
            </w:r>
          </w:p>
        </w:tc>
      </w:tr>
      <w:tr w:rsidR="008125AA" w:rsidRPr="00E046E7" w14:paraId="71F6253B" w14:textId="77777777" w:rsidTr="000D073D">
        <w:trPr>
          <w:trHeight w:val="57"/>
          <w:jc w:val="right"/>
        </w:trPr>
        <w:tc>
          <w:tcPr>
            <w:tcW w:w="8100" w:type="dxa"/>
            <w:gridSpan w:val="2"/>
            <w:tcBorders>
              <w:top w:val="single" w:sz="4" w:space="0" w:color="auto"/>
              <w:bottom w:val="single" w:sz="4" w:space="0" w:color="auto"/>
            </w:tcBorders>
            <w:shd w:val="clear" w:color="auto" w:fill="auto"/>
          </w:tcPr>
          <w:p w14:paraId="62264A1D" w14:textId="77777777" w:rsidR="008125AA" w:rsidRPr="00E046E7" w:rsidRDefault="008125AA" w:rsidP="0083587D">
            <w:pPr>
              <w:pStyle w:val="Normal-pool"/>
              <w:spacing w:before="40" w:after="40"/>
              <w:rPr>
                <w:b/>
                <w:bCs/>
                <w:sz w:val="18"/>
                <w:szCs w:val="18"/>
                <w:lang w:val="fr-FR"/>
              </w:rPr>
            </w:pPr>
            <w:r w:rsidRPr="00E046E7">
              <w:rPr>
                <w:b/>
                <w:bCs/>
                <w:sz w:val="18"/>
                <w:szCs w:val="18"/>
                <w:lang w:val="fr-FR"/>
              </w:rPr>
              <w:t>2024</w:t>
            </w:r>
          </w:p>
        </w:tc>
      </w:tr>
      <w:tr w:rsidR="008125AA" w:rsidRPr="00E046E7" w14:paraId="011BFEF9" w14:textId="77777777" w:rsidTr="000D073D">
        <w:trPr>
          <w:trHeight w:val="57"/>
          <w:jc w:val="right"/>
        </w:trPr>
        <w:tc>
          <w:tcPr>
            <w:tcW w:w="1434" w:type="dxa"/>
            <w:tcBorders>
              <w:top w:val="single" w:sz="4" w:space="0" w:color="auto"/>
            </w:tcBorders>
            <w:shd w:val="clear" w:color="auto" w:fill="auto"/>
          </w:tcPr>
          <w:p w14:paraId="0AFF3B74" w14:textId="6D023A8A" w:rsidR="008125AA" w:rsidRPr="00E046E7" w:rsidRDefault="00A11396" w:rsidP="0083587D">
            <w:pPr>
              <w:pStyle w:val="Normal-pool"/>
              <w:spacing w:before="40" w:after="40"/>
              <w:rPr>
                <w:sz w:val="18"/>
                <w:szCs w:val="18"/>
                <w:lang w:val="fr-FR"/>
              </w:rPr>
            </w:pPr>
            <w:r w:rsidRPr="00E046E7">
              <w:rPr>
                <w:sz w:val="18"/>
                <w:szCs w:val="18"/>
                <w:lang w:val="fr-FR"/>
              </w:rPr>
              <w:t xml:space="preserve">Premier </w:t>
            </w:r>
            <w:r w:rsidR="007D2754">
              <w:rPr>
                <w:sz w:val="18"/>
                <w:szCs w:val="18"/>
                <w:lang w:val="fr-FR"/>
              </w:rPr>
              <w:br/>
            </w:r>
            <w:r w:rsidRPr="00E046E7">
              <w:rPr>
                <w:sz w:val="18"/>
                <w:szCs w:val="18"/>
                <w:lang w:val="fr-FR"/>
              </w:rPr>
              <w:t>trimestre</w:t>
            </w:r>
          </w:p>
        </w:tc>
        <w:tc>
          <w:tcPr>
            <w:tcW w:w="6666" w:type="dxa"/>
            <w:tcBorders>
              <w:top w:val="single" w:sz="4" w:space="0" w:color="auto"/>
            </w:tcBorders>
            <w:shd w:val="clear" w:color="auto" w:fill="auto"/>
          </w:tcPr>
          <w:p w14:paraId="7C987DB8" w14:textId="23BCC4B1" w:rsidR="008125AA" w:rsidRPr="00E046E7" w:rsidRDefault="00A11396" w:rsidP="0083587D">
            <w:pPr>
              <w:pStyle w:val="Normal-pool"/>
              <w:spacing w:before="40" w:after="40"/>
              <w:rPr>
                <w:sz w:val="18"/>
                <w:szCs w:val="18"/>
                <w:lang w:val="fr-FR"/>
              </w:rPr>
            </w:pPr>
            <w:r w:rsidRPr="00E046E7">
              <w:rPr>
                <w:sz w:val="18"/>
                <w:szCs w:val="18"/>
                <w:lang w:val="fr-FR"/>
              </w:rPr>
              <w:t>Atelier de rédaction en ligne</w:t>
            </w:r>
            <w:r w:rsidR="008125AA" w:rsidRPr="00E046E7">
              <w:rPr>
                <w:sz w:val="18"/>
                <w:szCs w:val="18"/>
                <w:lang w:val="fr-FR"/>
              </w:rPr>
              <w:t xml:space="preserve"> </w:t>
            </w:r>
            <w:r w:rsidR="00A442B4" w:rsidRPr="00E046E7">
              <w:rPr>
                <w:sz w:val="18"/>
                <w:szCs w:val="18"/>
                <w:lang w:val="fr-FR"/>
              </w:rPr>
              <w:t>pour faire avancer l</w:t>
            </w:r>
            <w:r w:rsidR="00BD2801">
              <w:rPr>
                <w:sz w:val="18"/>
                <w:szCs w:val="18"/>
                <w:lang w:val="fr-FR"/>
              </w:rPr>
              <w:t>’</w:t>
            </w:r>
            <w:r w:rsidR="00A442B4" w:rsidRPr="00E046E7">
              <w:rPr>
                <w:sz w:val="18"/>
                <w:szCs w:val="18"/>
                <w:lang w:val="fr-FR"/>
              </w:rPr>
              <w:t>élaboration du résumé à l</w:t>
            </w:r>
            <w:r w:rsidR="00BD2801">
              <w:rPr>
                <w:sz w:val="18"/>
                <w:szCs w:val="18"/>
                <w:lang w:val="fr-FR"/>
              </w:rPr>
              <w:t>’</w:t>
            </w:r>
            <w:r w:rsidR="00A442B4" w:rsidRPr="00E046E7">
              <w:rPr>
                <w:sz w:val="18"/>
                <w:szCs w:val="18"/>
                <w:lang w:val="fr-FR"/>
              </w:rPr>
              <w:t>intention des</w:t>
            </w:r>
            <w:r w:rsidR="007D2754">
              <w:rPr>
                <w:sz w:val="18"/>
                <w:szCs w:val="18"/>
                <w:lang w:val="fr-FR"/>
              </w:rPr>
              <w:t> </w:t>
            </w:r>
            <w:r w:rsidR="00A442B4" w:rsidRPr="00E046E7">
              <w:rPr>
                <w:sz w:val="18"/>
                <w:szCs w:val="18"/>
                <w:lang w:val="fr-FR"/>
              </w:rPr>
              <w:t>décideurs avec les coprésidents, les auteurs coordonnateurs principaux, les auteurs principaux et les membres du Bureau et du Groupe multidisciplinaire d</w:t>
            </w:r>
            <w:r w:rsidR="00BD2801">
              <w:rPr>
                <w:sz w:val="18"/>
                <w:szCs w:val="18"/>
                <w:lang w:val="fr-FR"/>
              </w:rPr>
              <w:t>’</w:t>
            </w:r>
            <w:r w:rsidR="00A442B4" w:rsidRPr="00E046E7">
              <w:rPr>
                <w:sz w:val="18"/>
                <w:szCs w:val="18"/>
                <w:lang w:val="fr-FR"/>
              </w:rPr>
              <w:t>experts qui font</w:t>
            </w:r>
            <w:r w:rsidR="007D2754">
              <w:rPr>
                <w:sz w:val="18"/>
                <w:szCs w:val="18"/>
                <w:lang w:val="fr-FR"/>
              </w:rPr>
              <w:t> </w:t>
            </w:r>
            <w:r w:rsidR="00A442B4" w:rsidRPr="00E046E7">
              <w:rPr>
                <w:sz w:val="18"/>
                <w:szCs w:val="18"/>
                <w:lang w:val="fr-FR"/>
              </w:rPr>
              <w:t>partie du comité de gestion de l</w:t>
            </w:r>
            <w:r w:rsidR="00BD2801">
              <w:rPr>
                <w:sz w:val="18"/>
                <w:szCs w:val="18"/>
                <w:lang w:val="fr-FR"/>
              </w:rPr>
              <w:t>’</w:t>
            </w:r>
            <w:r w:rsidR="00A442B4" w:rsidRPr="00E046E7">
              <w:rPr>
                <w:sz w:val="18"/>
                <w:szCs w:val="18"/>
                <w:lang w:val="fr-FR"/>
              </w:rPr>
              <w:t>évaluation</w:t>
            </w:r>
          </w:p>
        </w:tc>
      </w:tr>
      <w:tr w:rsidR="008125AA" w:rsidRPr="00E046E7" w14:paraId="63B39F06" w14:textId="77777777" w:rsidTr="000D073D">
        <w:trPr>
          <w:trHeight w:val="57"/>
          <w:jc w:val="right"/>
        </w:trPr>
        <w:tc>
          <w:tcPr>
            <w:tcW w:w="1434" w:type="dxa"/>
            <w:shd w:val="clear" w:color="auto" w:fill="auto"/>
          </w:tcPr>
          <w:p w14:paraId="2A114524" w14:textId="098CBB05" w:rsidR="008125AA" w:rsidRPr="00E046E7" w:rsidRDefault="00BA453E" w:rsidP="0083587D">
            <w:pPr>
              <w:pStyle w:val="Normal-pool"/>
              <w:spacing w:before="40" w:after="40"/>
              <w:rPr>
                <w:sz w:val="18"/>
                <w:szCs w:val="18"/>
                <w:lang w:val="fr-FR"/>
              </w:rPr>
            </w:pPr>
            <w:r w:rsidRPr="00E046E7">
              <w:rPr>
                <w:sz w:val="18"/>
                <w:szCs w:val="18"/>
                <w:lang w:val="fr-FR"/>
              </w:rPr>
              <w:t xml:space="preserve">Troisième </w:t>
            </w:r>
            <w:r w:rsidR="007D2754">
              <w:rPr>
                <w:sz w:val="18"/>
                <w:szCs w:val="18"/>
                <w:lang w:val="fr-FR"/>
              </w:rPr>
              <w:br/>
            </w:r>
            <w:r w:rsidRPr="00E046E7">
              <w:rPr>
                <w:sz w:val="18"/>
                <w:szCs w:val="18"/>
                <w:lang w:val="fr-FR"/>
              </w:rPr>
              <w:t>trimestre</w:t>
            </w:r>
            <w:r w:rsidR="008125AA" w:rsidRPr="00E046E7">
              <w:rPr>
                <w:sz w:val="18"/>
                <w:szCs w:val="18"/>
                <w:lang w:val="fr-FR"/>
              </w:rPr>
              <w:t xml:space="preserve"> </w:t>
            </w:r>
          </w:p>
        </w:tc>
        <w:tc>
          <w:tcPr>
            <w:tcW w:w="6666" w:type="dxa"/>
            <w:shd w:val="clear" w:color="auto" w:fill="auto"/>
          </w:tcPr>
          <w:p w14:paraId="73962FC5" w14:textId="0EDDBAE6" w:rsidR="008125AA" w:rsidRPr="00E046E7" w:rsidRDefault="00526C1A" w:rsidP="0083587D">
            <w:pPr>
              <w:pStyle w:val="Normal-pool"/>
              <w:spacing w:before="40" w:after="40"/>
              <w:rPr>
                <w:sz w:val="18"/>
                <w:szCs w:val="18"/>
                <w:lang w:val="fr-FR"/>
              </w:rPr>
            </w:pPr>
            <w:r w:rsidRPr="00E046E7">
              <w:rPr>
                <w:sz w:val="18"/>
                <w:szCs w:val="18"/>
                <w:lang w:val="fr-FR"/>
              </w:rPr>
              <w:t>Examen final</w:t>
            </w:r>
            <w:r w:rsidR="008125AA" w:rsidRPr="00E046E7">
              <w:rPr>
                <w:sz w:val="18"/>
                <w:szCs w:val="18"/>
                <w:lang w:val="fr-FR"/>
              </w:rPr>
              <w:t xml:space="preserve"> (6</w:t>
            </w:r>
            <w:r w:rsidRPr="00E046E7">
              <w:rPr>
                <w:sz w:val="18"/>
                <w:szCs w:val="18"/>
                <w:lang w:val="fr-FR"/>
              </w:rPr>
              <w:t> semaines</w:t>
            </w:r>
            <w:r w:rsidR="008125AA" w:rsidRPr="00E046E7">
              <w:rPr>
                <w:sz w:val="18"/>
                <w:szCs w:val="18"/>
                <w:lang w:val="fr-FR"/>
              </w:rPr>
              <w:t xml:space="preserve">) – </w:t>
            </w:r>
            <w:r w:rsidRPr="00E046E7">
              <w:rPr>
                <w:sz w:val="18"/>
                <w:szCs w:val="18"/>
                <w:lang w:val="fr-FR"/>
              </w:rPr>
              <w:t>versions</w:t>
            </w:r>
            <w:r w:rsidR="007D2754">
              <w:rPr>
                <w:sz w:val="18"/>
                <w:szCs w:val="18"/>
                <w:lang w:val="fr-FR"/>
              </w:rPr>
              <w:t xml:space="preserve"> </w:t>
            </w:r>
            <w:r w:rsidRPr="00E046E7">
              <w:rPr>
                <w:sz w:val="18"/>
                <w:szCs w:val="18"/>
                <w:lang w:val="fr-FR"/>
              </w:rPr>
              <w:t>finales des projets de chapitre et du projet de</w:t>
            </w:r>
            <w:r w:rsidR="007D2754">
              <w:rPr>
                <w:sz w:val="18"/>
                <w:szCs w:val="18"/>
                <w:lang w:val="fr-FR"/>
              </w:rPr>
              <w:t> </w:t>
            </w:r>
            <w:r w:rsidRPr="00E046E7">
              <w:rPr>
                <w:sz w:val="18"/>
                <w:szCs w:val="18"/>
                <w:lang w:val="fr-FR"/>
              </w:rPr>
              <w:t>résumé à l</w:t>
            </w:r>
            <w:r w:rsidR="00BD2801">
              <w:rPr>
                <w:sz w:val="18"/>
                <w:szCs w:val="18"/>
                <w:lang w:val="fr-FR"/>
              </w:rPr>
              <w:t>’</w:t>
            </w:r>
            <w:r w:rsidRPr="00E046E7">
              <w:rPr>
                <w:sz w:val="18"/>
                <w:szCs w:val="18"/>
                <w:lang w:val="fr-FR"/>
              </w:rPr>
              <w:t>intention des décideurs mises à disposition pour examen par les</w:t>
            </w:r>
            <w:r w:rsidR="007D2754">
              <w:rPr>
                <w:sz w:val="18"/>
                <w:szCs w:val="18"/>
                <w:lang w:val="fr-FR"/>
              </w:rPr>
              <w:t> </w:t>
            </w:r>
            <w:r w:rsidRPr="00E046E7">
              <w:rPr>
                <w:sz w:val="18"/>
                <w:szCs w:val="18"/>
                <w:lang w:val="fr-FR"/>
              </w:rPr>
              <w:t>gouvernements</w:t>
            </w:r>
          </w:p>
        </w:tc>
      </w:tr>
      <w:tr w:rsidR="008125AA" w:rsidRPr="00E046E7" w14:paraId="3735E737" w14:textId="77777777" w:rsidTr="000D073D">
        <w:trPr>
          <w:trHeight w:val="57"/>
          <w:jc w:val="right"/>
        </w:trPr>
        <w:tc>
          <w:tcPr>
            <w:tcW w:w="1434" w:type="dxa"/>
            <w:shd w:val="clear" w:color="auto" w:fill="auto"/>
          </w:tcPr>
          <w:p w14:paraId="7CE8948C" w14:textId="3EC21787" w:rsidR="008125AA" w:rsidRPr="00E046E7" w:rsidRDefault="00526C1A" w:rsidP="0083587D">
            <w:pPr>
              <w:pStyle w:val="Normal-pool"/>
              <w:spacing w:before="40" w:after="40"/>
              <w:rPr>
                <w:sz w:val="18"/>
                <w:szCs w:val="18"/>
                <w:lang w:val="fr-FR"/>
              </w:rPr>
            </w:pPr>
            <w:r w:rsidRPr="00E046E7">
              <w:rPr>
                <w:sz w:val="18"/>
                <w:szCs w:val="18"/>
                <w:lang w:val="fr-FR"/>
              </w:rPr>
              <w:t>Début du quatrième</w:t>
            </w:r>
            <w:r w:rsidR="007D2754">
              <w:rPr>
                <w:sz w:val="18"/>
                <w:szCs w:val="18"/>
                <w:lang w:val="fr-FR"/>
              </w:rPr>
              <w:t xml:space="preserve"> </w:t>
            </w:r>
            <w:r w:rsidR="007D2754">
              <w:rPr>
                <w:sz w:val="18"/>
                <w:szCs w:val="18"/>
                <w:lang w:val="fr-FR"/>
              </w:rPr>
              <w:br/>
            </w:r>
            <w:r w:rsidRPr="00E046E7">
              <w:rPr>
                <w:sz w:val="18"/>
                <w:szCs w:val="18"/>
                <w:lang w:val="fr-FR"/>
              </w:rPr>
              <w:t>trimestre</w:t>
            </w:r>
          </w:p>
        </w:tc>
        <w:tc>
          <w:tcPr>
            <w:tcW w:w="6666" w:type="dxa"/>
            <w:shd w:val="clear" w:color="auto" w:fill="auto"/>
          </w:tcPr>
          <w:p w14:paraId="0197CA3B" w14:textId="2AB57888" w:rsidR="008125AA" w:rsidRPr="00E046E7" w:rsidRDefault="00526C1A" w:rsidP="0083587D">
            <w:pPr>
              <w:pStyle w:val="Normal-pool"/>
              <w:spacing w:before="40" w:after="40"/>
              <w:rPr>
                <w:sz w:val="18"/>
                <w:szCs w:val="18"/>
                <w:lang w:val="fr-FR"/>
              </w:rPr>
            </w:pPr>
            <w:r w:rsidRPr="00E046E7">
              <w:rPr>
                <w:sz w:val="18"/>
                <w:szCs w:val="18"/>
                <w:lang w:val="fr-FR"/>
              </w:rPr>
              <w:t>Examen par la Plénière, à sa onzième </w:t>
            </w:r>
            <w:r w:rsidR="008125AA" w:rsidRPr="00E046E7">
              <w:rPr>
                <w:sz w:val="18"/>
                <w:szCs w:val="18"/>
                <w:lang w:val="fr-FR"/>
              </w:rPr>
              <w:t xml:space="preserve">session, </w:t>
            </w:r>
            <w:r w:rsidRPr="00E046E7">
              <w:rPr>
                <w:sz w:val="18"/>
                <w:szCs w:val="18"/>
                <w:lang w:val="fr-FR"/>
              </w:rPr>
              <w:t>du résumé à l</w:t>
            </w:r>
            <w:r w:rsidR="00BD2801">
              <w:rPr>
                <w:sz w:val="18"/>
                <w:szCs w:val="18"/>
                <w:lang w:val="fr-FR"/>
              </w:rPr>
              <w:t>’</w:t>
            </w:r>
            <w:r w:rsidRPr="00E046E7">
              <w:rPr>
                <w:sz w:val="18"/>
                <w:szCs w:val="18"/>
                <w:lang w:val="fr-FR"/>
              </w:rPr>
              <w:t>intention des décideurs pour</w:t>
            </w:r>
            <w:r w:rsidR="007D2754">
              <w:rPr>
                <w:sz w:val="18"/>
                <w:szCs w:val="18"/>
                <w:lang w:val="fr-FR"/>
              </w:rPr>
              <w:t> </w:t>
            </w:r>
            <w:r w:rsidRPr="00E046E7">
              <w:rPr>
                <w:sz w:val="18"/>
                <w:szCs w:val="18"/>
                <w:lang w:val="fr-FR"/>
              </w:rPr>
              <w:t>approbation et des chapitres pour acceptation</w:t>
            </w:r>
          </w:p>
        </w:tc>
      </w:tr>
      <w:tr w:rsidR="008125AA" w:rsidRPr="00E046E7" w14:paraId="426BE0F4" w14:textId="77777777" w:rsidTr="000D073D">
        <w:trPr>
          <w:trHeight w:val="57"/>
          <w:jc w:val="right"/>
        </w:trPr>
        <w:tc>
          <w:tcPr>
            <w:tcW w:w="1434" w:type="dxa"/>
            <w:tcBorders>
              <w:bottom w:val="single" w:sz="12" w:space="0" w:color="auto"/>
            </w:tcBorders>
            <w:shd w:val="clear" w:color="auto" w:fill="auto"/>
          </w:tcPr>
          <w:p w14:paraId="29F40226" w14:textId="7CC9F373" w:rsidR="008125AA" w:rsidRPr="00E046E7" w:rsidRDefault="00526C1A" w:rsidP="0083587D">
            <w:pPr>
              <w:pStyle w:val="Normal-pool"/>
              <w:spacing w:before="40" w:after="40"/>
              <w:rPr>
                <w:sz w:val="18"/>
                <w:szCs w:val="18"/>
                <w:lang w:val="fr-FR"/>
              </w:rPr>
            </w:pPr>
            <w:r w:rsidRPr="00E046E7">
              <w:rPr>
                <w:sz w:val="18"/>
                <w:szCs w:val="18"/>
                <w:lang w:val="fr-FR"/>
              </w:rPr>
              <w:t xml:space="preserve">Quatrième </w:t>
            </w:r>
            <w:r w:rsidR="007D2754">
              <w:rPr>
                <w:sz w:val="18"/>
                <w:szCs w:val="18"/>
                <w:lang w:val="fr-FR"/>
              </w:rPr>
              <w:br/>
            </w:r>
            <w:r w:rsidRPr="00E046E7">
              <w:rPr>
                <w:sz w:val="18"/>
                <w:szCs w:val="18"/>
                <w:lang w:val="fr-FR"/>
              </w:rPr>
              <w:t>trimestre</w:t>
            </w:r>
          </w:p>
        </w:tc>
        <w:tc>
          <w:tcPr>
            <w:tcW w:w="6666" w:type="dxa"/>
            <w:tcBorders>
              <w:bottom w:val="single" w:sz="12" w:space="0" w:color="auto"/>
            </w:tcBorders>
            <w:shd w:val="clear" w:color="auto" w:fill="auto"/>
          </w:tcPr>
          <w:p w14:paraId="11033098" w14:textId="0265360D" w:rsidR="008125AA" w:rsidRPr="00E046E7" w:rsidRDefault="00526C1A" w:rsidP="0083587D">
            <w:pPr>
              <w:pStyle w:val="Normal-pool"/>
              <w:spacing w:before="40" w:after="40"/>
              <w:rPr>
                <w:sz w:val="18"/>
                <w:szCs w:val="18"/>
                <w:lang w:val="fr-FR"/>
              </w:rPr>
            </w:pPr>
            <w:r w:rsidRPr="00E046E7">
              <w:rPr>
                <w:sz w:val="18"/>
                <w:szCs w:val="18"/>
                <w:lang w:val="fr-FR"/>
              </w:rPr>
              <w:t>Activités de c</w:t>
            </w:r>
            <w:r w:rsidR="008125AA" w:rsidRPr="00E046E7">
              <w:rPr>
                <w:sz w:val="18"/>
                <w:szCs w:val="18"/>
                <w:lang w:val="fr-FR"/>
              </w:rPr>
              <w:t xml:space="preserve">ommunication </w:t>
            </w:r>
            <w:r w:rsidRPr="00E046E7">
              <w:rPr>
                <w:sz w:val="18"/>
                <w:szCs w:val="18"/>
                <w:lang w:val="fr-FR"/>
              </w:rPr>
              <w:t>en lien avec l</w:t>
            </w:r>
            <w:r w:rsidR="00BD2801">
              <w:rPr>
                <w:sz w:val="18"/>
                <w:szCs w:val="18"/>
                <w:lang w:val="fr-FR"/>
              </w:rPr>
              <w:t>’</w:t>
            </w:r>
            <w:r w:rsidRPr="00E046E7">
              <w:rPr>
                <w:sz w:val="18"/>
                <w:szCs w:val="18"/>
                <w:lang w:val="fr-FR"/>
              </w:rPr>
              <w:t>évaluation</w:t>
            </w:r>
          </w:p>
        </w:tc>
      </w:tr>
    </w:tbl>
    <w:p w14:paraId="37D36687" w14:textId="77777777" w:rsidR="001036CA" w:rsidRPr="00E046E7" w:rsidRDefault="001036CA" w:rsidP="00311B98">
      <w:pPr>
        <w:pStyle w:val="Normal-pool"/>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C95B00" w:rsidRPr="00E046E7" w14:paraId="26E4692E" w14:textId="77777777" w:rsidTr="0083587D">
        <w:tc>
          <w:tcPr>
            <w:tcW w:w="1898" w:type="dxa"/>
          </w:tcPr>
          <w:p w14:paraId="0C2F9B42" w14:textId="77777777" w:rsidR="00C95B00" w:rsidRPr="00E046E7" w:rsidRDefault="00C95B00" w:rsidP="00311B98">
            <w:pPr>
              <w:pStyle w:val="Normal-pool"/>
              <w:spacing w:before="520"/>
              <w:rPr>
                <w:lang w:val="fr-FR"/>
              </w:rPr>
            </w:pPr>
          </w:p>
        </w:tc>
        <w:tc>
          <w:tcPr>
            <w:tcW w:w="1899" w:type="dxa"/>
          </w:tcPr>
          <w:p w14:paraId="1963F298" w14:textId="77777777" w:rsidR="00C95B00" w:rsidRPr="00E046E7" w:rsidRDefault="00C95B00" w:rsidP="00311B98">
            <w:pPr>
              <w:pStyle w:val="Normal-pool"/>
              <w:spacing w:before="520"/>
              <w:rPr>
                <w:lang w:val="fr-FR"/>
              </w:rPr>
            </w:pPr>
          </w:p>
        </w:tc>
        <w:tc>
          <w:tcPr>
            <w:tcW w:w="1899" w:type="dxa"/>
            <w:tcBorders>
              <w:bottom w:val="single" w:sz="4" w:space="0" w:color="auto"/>
            </w:tcBorders>
          </w:tcPr>
          <w:p w14:paraId="2A5E6CDD" w14:textId="77777777" w:rsidR="00C95B00" w:rsidRPr="00E046E7" w:rsidRDefault="00C95B00" w:rsidP="00311B98">
            <w:pPr>
              <w:pStyle w:val="Normal-pool"/>
              <w:spacing w:before="520"/>
              <w:rPr>
                <w:lang w:val="fr-FR"/>
              </w:rPr>
            </w:pPr>
          </w:p>
        </w:tc>
        <w:tc>
          <w:tcPr>
            <w:tcW w:w="1900" w:type="dxa"/>
          </w:tcPr>
          <w:p w14:paraId="0383243E" w14:textId="77777777" w:rsidR="00C95B00" w:rsidRPr="00E046E7" w:rsidRDefault="00C95B00" w:rsidP="00311B98">
            <w:pPr>
              <w:pStyle w:val="Normal-pool"/>
              <w:spacing w:before="520"/>
              <w:rPr>
                <w:lang w:val="fr-FR"/>
              </w:rPr>
            </w:pPr>
          </w:p>
        </w:tc>
        <w:tc>
          <w:tcPr>
            <w:tcW w:w="1900" w:type="dxa"/>
          </w:tcPr>
          <w:p w14:paraId="59121CB6" w14:textId="77777777" w:rsidR="00C95B00" w:rsidRPr="00E046E7" w:rsidRDefault="00C95B00" w:rsidP="00311B98">
            <w:pPr>
              <w:pStyle w:val="Normal-pool"/>
              <w:spacing w:before="520"/>
              <w:rPr>
                <w:lang w:val="fr-FR"/>
              </w:rPr>
            </w:pPr>
          </w:p>
        </w:tc>
      </w:tr>
    </w:tbl>
    <w:p w14:paraId="23A3D53E" w14:textId="287263E9" w:rsidR="00C95B00" w:rsidRPr="00E046E7" w:rsidRDefault="00C95B00" w:rsidP="00311B98">
      <w:pPr>
        <w:pStyle w:val="Normal-pool"/>
        <w:rPr>
          <w:lang w:val="fr-FR"/>
        </w:rPr>
      </w:pPr>
    </w:p>
    <w:sectPr w:rsidR="00C95B00" w:rsidRPr="00E046E7" w:rsidSect="00C61B30">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2F003" w14:textId="77777777" w:rsidR="0038694E" w:rsidRDefault="0038694E">
      <w:r>
        <w:separator/>
      </w:r>
    </w:p>
  </w:endnote>
  <w:endnote w:type="continuationSeparator" w:id="0">
    <w:p w14:paraId="115BD2DB" w14:textId="77777777" w:rsidR="0038694E" w:rsidRDefault="0038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316A" w14:textId="77777777" w:rsidR="00BD2801" w:rsidRPr="00BD2801" w:rsidRDefault="00BD2801" w:rsidP="00BD2801">
    <w:pPr>
      <w:pStyle w:val="Footer-pool"/>
    </w:pPr>
    <w:r w:rsidRPr="00DC5E14">
      <w:rPr>
        <w:rStyle w:val="PageNumber"/>
        <w:b/>
        <w:bCs/>
      </w:rPr>
      <w:fldChar w:fldCharType="begin"/>
    </w:r>
    <w:r w:rsidRPr="00DC5E14">
      <w:rPr>
        <w:rStyle w:val="PageNumber"/>
        <w:b/>
        <w:bCs/>
      </w:rPr>
      <w:instrText xml:space="preserve"> PAGE </w:instrText>
    </w:r>
    <w:r w:rsidRPr="00DC5E14">
      <w:rPr>
        <w:rStyle w:val="PageNumber"/>
        <w:b/>
        <w:bCs/>
      </w:rPr>
      <w:fldChar w:fldCharType="separate"/>
    </w:r>
    <w:r w:rsidRPr="00DC5E14">
      <w:rPr>
        <w:rStyle w:val="PageNumber"/>
        <w:b/>
        <w:bCs/>
        <w:noProof/>
      </w:rPr>
      <w:t>2</w:t>
    </w:r>
    <w:r w:rsidRPr="00DC5E14">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833F" w14:textId="77777777" w:rsidR="00BD2801" w:rsidRPr="00DC5E14" w:rsidRDefault="00BD2801" w:rsidP="00BD2801">
    <w:pPr>
      <w:pStyle w:val="Footer-pool"/>
      <w:jc w:val="right"/>
    </w:pPr>
    <w:r w:rsidRPr="00DC5E14">
      <w:rPr>
        <w:rStyle w:val="PageNumber"/>
        <w:b/>
      </w:rPr>
      <w:fldChar w:fldCharType="begin"/>
    </w:r>
    <w:r w:rsidRPr="00DC5E14">
      <w:rPr>
        <w:rStyle w:val="PageNumber"/>
        <w:b/>
      </w:rPr>
      <w:instrText xml:space="preserve"> PAGE </w:instrText>
    </w:r>
    <w:r w:rsidRPr="00DC5E14">
      <w:rPr>
        <w:rStyle w:val="PageNumber"/>
        <w:b/>
      </w:rPr>
      <w:fldChar w:fldCharType="separate"/>
    </w:r>
    <w:r w:rsidRPr="00DC5E14">
      <w:rPr>
        <w:rStyle w:val="PageNumber"/>
        <w:b/>
      </w:rPr>
      <w:t>1</w:t>
    </w:r>
    <w:r w:rsidRPr="00DC5E14">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C1BD" w14:textId="2BA8F8B7" w:rsidR="00BD2801" w:rsidRPr="00C30DB4" w:rsidRDefault="00BD2801" w:rsidP="00BD2801">
    <w:pPr>
      <w:pStyle w:val="Normal-pool"/>
      <w:rPr>
        <w:b/>
      </w:rPr>
    </w:pPr>
    <w:r w:rsidRPr="00C30DB4">
      <w:t>K2100</w:t>
    </w:r>
    <w:r>
      <w:t>783</w:t>
    </w:r>
    <w:r w:rsidRPr="00C30DB4">
      <w:tab/>
    </w:r>
    <w:r>
      <w:t>16</w:t>
    </w:r>
    <w:r w:rsidRPr="00C30DB4">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0CD3" w14:textId="77777777" w:rsidR="0038694E" w:rsidRPr="00DC5E14" w:rsidRDefault="0038694E" w:rsidP="00DC5E14">
      <w:pPr>
        <w:tabs>
          <w:tab w:val="clear" w:pos="1247"/>
          <w:tab w:val="clear" w:pos="1814"/>
          <w:tab w:val="clear" w:pos="2381"/>
          <w:tab w:val="clear" w:pos="2948"/>
          <w:tab w:val="clear" w:pos="3515"/>
          <w:tab w:val="left" w:pos="624"/>
        </w:tabs>
        <w:spacing w:before="60"/>
        <w:ind w:left="624"/>
        <w:rPr>
          <w:sz w:val="18"/>
          <w:szCs w:val="18"/>
        </w:rPr>
      </w:pPr>
      <w:r w:rsidRPr="00DC5E14">
        <w:rPr>
          <w:sz w:val="18"/>
          <w:szCs w:val="18"/>
        </w:rPr>
        <w:separator/>
      </w:r>
    </w:p>
  </w:footnote>
  <w:footnote w:type="continuationSeparator" w:id="0">
    <w:p w14:paraId="09E9E2F5" w14:textId="77777777" w:rsidR="0038694E" w:rsidRDefault="0038694E">
      <w:r>
        <w:continuationSeparator/>
      </w:r>
    </w:p>
  </w:footnote>
  <w:footnote w:id="1">
    <w:p w14:paraId="49BEA7C9" w14:textId="77777777" w:rsidR="00BD2801" w:rsidRPr="009D37A6" w:rsidRDefault="00BD2801" w:rsidP="00714F6B">
      <w:pPr>
        <w:pStyle w:val="FootnoteText"/>
        <w:tabs>
          <w:tab w:val="clear" w:pos="1247"/>
          <w:tab w:val="clear" w:pos="1814"/>
          <w:tab w:val="clear" w:pos="2381"/>
          <w:tab w:val="clear" w:pos="2948"/>
          <w:tab w:val="clear" w:pos="3515"/>
          <w:tab w:val="clear" w:pos="4082"/>
          <w:tab w:val="left" w:pos="624"/>
        </w:tabs>
        <w:rPr>
          <w:szCs w:val="18"/>
        </w:rPr>
      </w:pPr>
      <w:r w:rsidRPr="009D37A6">
        <w:t>*</w:t>
      </w:r>
      <w:r w:rsidRPr="009D37A6">
        <w:rPr>
          <w:szCs w:val="18"/>
        </w:rPr>
        <w:t xml:space="preserve"> IPBES/8/1.</w:t>
      </w:r>
    </w:p>
  </w:footnote>
  <w:footnote w:id="2">
    <w:p w14:paraId="0499C58B" w14:textId="2C4CA62A" w:rsidR="00BD2801" w:rsidRPr="009D37A6" w:rsidRDefault="00BD2801" w:rsidP="00CA45C6">
      <w:pPr>
        <w:pStyle w:val="FootnoteText"/>
        <w:tabs>
          <w:tab w:val="left" w:pos="624"/>
        </w:tabs>
        <w:rPr>
          <w:bCs/>
          <w:szCs w:val="18"/>
        </w:rPr>
      </w:pPr>
      <w:r w:rsidRPr="009D37A6">
        <w:t>**</w:t>
      </w:r>
      <w:r w:rsidRPr="009D37A6">
        <w:rPr>
          <w:szCs w:val="18"/>
        </w:rPr>
        <w:t xml:space="preserve"> La version anglaise du présent document n</w:t>
      </w:r>
      <w:r>
        <w:rPr>
          <w:szCs w:val="18"/>
        </w:rPr>
        <w:t>’</w:t>
      </w:r>
      <w:r w:rsidRPr="009D37A6">
        <w:rPr>
          <w:szCs w:val="18"/>
        </w:rPr>
        <w:t>a pas été revue par les services d</w:t>
      </w:r>
      <w:r>
        <w:rPr>
          <w:szCs w:val="18"/>
        </w:rPr>
        <w:t>’</w:t>
      </w:r>
      <w:r w:rsidRPr="009D37A6">
        <w:rPr>
          <w:szCs w:val="18"/>
        </w:rPr>
        <w:t>édition.</w:t>
      </w:r>
    </w:p>
  </w:footnote>
  <w:footnote w:id="3">
    <w:p w14:paraId="3DE176D9" w14:textId="16D906E1" w:rsidR="00BD2801" w:rsidRPr="009D37A6" w:rsidRDefault="00BD2801" w:rsidP="008125AA">
      <w:pPr>
        <w:pStyle w:val="FootnoteText"/>
        <w:rPr>
          <w:szCs w:val="18"/>
        </w:rPr>
      </w:pPr>
      <w:r w:rsidRPr="009D37A6">
        <w:rPr>
          <w:vertAlign w:val="superscript"/>
        </w:rPr>
        <w:footnoteRef/>
      </w:r>
      <w:r w:rsidRPr="009D37A6">
        <w:rPr>
          <w:szCs w:val="18"/>
        </w:rPr>
        <w:t xml:space="preserve"> </w:t>
      </w:r>
      <w:r>
        <w:rPr>
          <w:szCs w:val="18"/>
        </w:rPr>
        <w:t>« </w:t>
      </w:r>
      <w:r w:rsidRPr="009D37A6">
        <w:rPr>
          <w:szCs w:val="18"/>
        </w:rPr>
        <w:t>Vivre en harmonie avec la nature</w:t>
      </w:r>
      <w:r>
        <w:rPr>
          <w:szCs w:val="18"/>
        </w:rPr>
        <w:t> </w:t>
      </w:r>
      <w:r w:rsidRPr="009D37A6">
        <w:rPr>
          <w:szCs w:val="18"/>
        </w:rPr>
        <w:t>», à savoir, «</w:t>
      </w:r>
      <w:r>
        <w:rPr>
          <w:szCs w:val="18"/>
        </w:rPr>
        <w:t> </w:t>
      </w:r>
      <w:r w:rsidRPr="009D37A6">
        <w:rPr>
          <w:szCs w:val="18"/>
        </w:rPr>
        <w:t>d</w:t>
      </w:r>
      <w:r>
        <w:rPr>
          <w:szCs w:val="18"/>
        </w:rPr>
        <w:t>’</w:t>
      </w:r>
      <w:r w:rsidRPr="009D37A6">
        <w:rPr>
          <w:szCs w:val="18"/>
        </w:rPr>
        <w:t>ici à 2050, la diversité biologique est valorisée, conservée, restaurée et utilisée avec sagesse, en assurant le maintien des services fournis par les écosystèmes, en maintenant la planète en bonne santé et en procurant des avantages essentiels à tous les peuples</w:t>
      </w:r>
      <w:r>
        <w:rPr>
          <w:szCs w:val="18"/>
        </w:rPr>
        <w:t> </w:t>
      </w:r>
      <w:r w:rsidRPr="009D37A6">
        <w:rPr>
          <w:szCs w:val="18"/>
        </w:rPr>
        <w:t>», d</w:t>
      </w:r>
      <w:r>
        <w:rPr>
          <w:szCs w:val="18"/>
        </w:rPr>
        <w:t>é</w:t>
      </w:r>
      <w:r w:rsidRPr="009D37A6">
        <w:rPr>
          <w:szCs w:val="18"/>
        </w:rPr>
        <w:t>cision</w:t>
      </w:r>
      <w:r>
        <w:rPr>
          <w:szCs w:val="18"/>
        </w:rPr>
        <w:t> </w:t>
      </w:r>
      <w:r w:rsidRPr="009D37A6">
        <w:rPr>
          <w:szCs w:val="18"/>
        </w:rPr>
        <w:t xml:space="preserve">X/2 </w:t>
      </w:r>
      <w:r>
        <w:rPr>
          <w:szCs w:val="18"/>
        </w:rPr>
        <w:t>de la</w:t>
      </w:r>
      <w:r w:rsidR="00703C43">
        <w:rPr>
          <w:szCs w:val="18"/>
        </w:rPr>
        <w:t> </w:t>
      </w:r>
      <w:r w:rsidRPr="009D37A6">
        <w:rPr>
          <w:szCs w:val="18"/>
        </w:rPr>
        <w:t>Conf</w:t>
      </w:r>
      <w:r>
        <w:rPr>
          <w:szCs w:val="18"/>
        </w:rPr>
        <w:t>é</w:t>
      </w:r>
      <w:r w:rsidRPr="009D37A6">
        <w:rPr>
          <w:szCs w:val="18"/>
        </w:rPr>
        <w:t xml:space="preserve">rence </w:t>
      </w:r>
      <w:r>
        <w:rPr>
          <w:szCs w:val="18"/>
        </w:rPr>
        <w:t>des</w:t>
      </w:r>
      <w:r w:rsidRPr="009D37A6">
        <w:rPr>
          <w:szCs w:val="18"/>
        </w:rPr>
        <w:t xml:space="preserve"> Parties </w:t>
      </w:r>
      <w:r>
        <w:rPr>
          <w:szCs w:val="18"/>
        </w:rPr>
        <w:t>à la</w:t>
      </w:r>
      <w:r w:rsidRPr="009D37A6">
        <w:rPr>
          <w:szCs w:val="18"/>
        </w:rPr>
        <w:t xml:space="preserve"> Convention </w:t>
      </w:r>
      <w:r>
        <w:rPr>
          <w:szCs w:val="18"/>
        </w:rPr>
        <w:t>sur la diversité biologique</w:t>
      </w:r>
      <w:r w:rsidRPr="009D37A6">
        <w:rPr>
          <w:szCs w:val="18"/>
        </w:rPr>
        <w:t>, annex</w:t>
      </w:r>
      <w:r>
        <w:rPr>
          <w:szCs w:val="18"/>
        </w:rPr>
        <w:t>e</w:t>
      </w:r>
      <w:r w:rsidRPr="009D37A6">
        <w:rPr>
          <w:szCs w:val="18"/>
        </w:rPr>
        <w:t>.</w:t>
      </w:r>
    </w:p>
  </w:footnote>
  <w:footnote w:id="4">
    <w:p w14:paraId="200D3724" w14:textId="060BBD9A" w:rsidR="00BD2801" w:rsidRDefault="00BD2801">
      <w:pPr>
        <w:pStyle w:val="FootnoteText"/>
      </w:pPr>
      <w:r>
        <w:rPr>
          <w:rStyle w:val="FootnoteReference"/>
        </w:rPr>
        <w:footnoteRef/>
      </w:r>
      <w:r>
        <w:t xml:space="preserve"> Tout au long du rapport de cadrage, les changements transformateurs font référence à de nombreux types de</w:t>
      </w:r>
      <w:r w:rsidR="00703C43">
        <w:t> </w:t>
      </w:r>
      <w:r>
        <w:t>changements.</w:t>
      </w:r>
    </w:p>
  </w:footnote>
  <w:footnote w:id="5">
    <w:p w14:paraId="476F2A0C" w14:textId="30CBCEE9" w:rsidR="00BD2801" w:rsidRPr="009D37A6" w:rsidRDefault="00BD2801" w:rsidP="008125AA">
      <w:pPr>
        <w:pStyle w:val="FootnoteText"/>
        <w:rPr>
          <w:szCs w:val="18"/>
        </w:rPr>
      </w:pPr>
      <w:r w:rsidRPr="009D37A6">
        <w:rPr>
          <w:vertAlign w:val="superscript"/>
        </w:rPr>
        <w:footnoteRef/>
      </w:r>
      <w:r w:rsidRPr="009D37A6">
        <w:rPr>
          <w:szCs w:val="18"/>
        </w:rPr>
        <w:t xml:space="preserve"> IPBES (2019)</w:t>
      </w:r>
      <w:r>
        <w:rPr>
          <w:szCs w:val="18"/>
        </w:rPr>
        <w:t> </w:t>
      </w:r>
      <w:r w:rsidRPr="009D37A6">
        <w:rPr>
          <w:szCs w:val="18"/>
        </w:rPr>
        <w:t xml:space="preserve">: </w:t>
      </w:r>
      <w:r w:rsidRPr="004E5AA4">
        <w:rPr>
          <w:szCs w:val="18"/>
        </w:rPr>
        <w:t>Résumé à l</w:t>
      </w:r>
      <w:r>
        <w:rPr>
          <w:szCs w:val="18"/>
        </w:rPr>
        <w:t>’</w:t>
      </w:r>
      <w:r w:rsidRPr="004E5AA4">
        <w:rPr>
          <w:szCs w:val="18"/>
        </w:rPr>
        <w:t>intention des décideurs du rapport sur l</w:t>
      </w:r>
      <w:r>
        <w:rPr>
          <w:szCs w:val="18"/>
        </w:rPr>
        <w:t>’</w:t>
      </w:r>
      <w:r w:rsidRPr="004E5AA4">
        <w:rPr>
          <w:szCs w:val="18"/>
        </w:rPr>
        <w:t>évaluation mondiale de la biodiversité et des</w:t>
      </w:r>
      <w:r w:rsidR="00703C43">
        <w:rPr>
          <w:szCs w:val="18"/>
        </w:rPr>
        <w:t> </w:t>
      </w:r>
      <w:r w:rsidRPr="004E5AA4">
        <w:rPr>
          <w:szCs w:val="18"/>
        </w:rPr>
        <w:t>services écosystémiques de la Plateforme intergouvernementale scientifique et politique sur la biodiversité et les services écosystémiques</w:t>
      </w:r>
      <w:r w:rsidRPr="009D37A6">
        <w:rPr>
          <w:szCs w:val="18"/>
        </w:rPr>
        <w:t xml:space="preserve">, S. Diaz, J. Settele, E.S. </w:t>
      </w:r>
      <w:proofErr w:type="spellStart"/>
      <w:r w:rsidRPr="009D37A6">
        <w:rPr>
          <w:szCs w:val="18"/>
        </w:rPr>
        <w:t>Brondizio</w:t>
      </w:r>
      <w:proofErr w:type="spellEnd"/>
      <w:r w:rsidRPr="009D37A6">
        <w:rPr>
          <w:szCs w:val="18"/>
        </w:rPr>
        <w:t xml:space="preserve">, </w:t>
      </w:r>
      <w:r w:rsidRPr="0089376B">
        <w:rPr>
          <w:i/>
          <w:iCs/>
          <w:szCs w:val="18"/>
        </w:rPr>
        <w:t>et al.</w:t>
      </w:r>
      <w:r w:rsidRPr="009D37A6">
        <w:rPr>
          <w:szCs w:val="18"/>
        </w:rPr>
        <w:t xml:space="preserve"> (</w:t>
      </w:r>
      <w:r>
        <w:rPr>
          <w:szCs w:val="18"/>
        </w:rPr>
        <w:t>éd.</w:t>
      </w:r>
      <w:r w:rsidRPr="009D37A6">
        <w:rPr>
          <w:szCs w:val="18"/>
        </w:rPr>
        <w:t xml:space="preserve">). </w:t>
      </w:r>
      <w:r>
        <w:rPr>
          <w:szCs w:val="18"/>
        </w:rPr>
        <w:t>Secrétariat de l’</w:t>
      </w:r>
      <w:r w:rsidRPr="009D37A6">
        <w:rPr>
          <w:szCs w:val="18"/>
        </w:rPr>
        <w:t>IPBES, Bonn</w:t>
      </w:r>
      <w:r>
        <w:rPr>
          <w:szCs w:val="18"/>
        </w:rPr>
        <w:t xml:space="preserve"> (Allemagne)</w:t>
      </w:r>
      <w:r w:rsidRPr="009D37A6">
        <w:rPr>
          <w:szCs w:val="18"/>
        </w:rPr>
        <w:t>. 56</w:t>
      </w:r>
      <w:r>
        <w:rPr>
          <w:szCs w:val="18"/>
        </w:rPr>
        <w:t> </w:t>
      </w:r>
      <w:r w:rsidRPr="009D37A6">
        <w:rPr>
          <w:szCs w:val="18"/>
        </w:rPr>
        <w:t>pages.</w:t>
      </w:r>
    </w:p>
  </w:footnote>
  <w:footnote w:id="6">
    <w:p w14:paraId="0EACF9F6" w14:textId="631B7584" w:rsidR="00BD2801" w:rsidRPr="009D37A6" w:rsidRDefault="00BD2801" w:rsidP="008125AA">
      <w:pPr>
        <w:pStyle w:val="FootnoteText"/>
        <w:rPr>
          <w:szCs w:val="18"/>
        </w:rPr>
      </w:pPr>
      <w:r w:rsidRPr="009D37A6">
        <w:rPr>
          <w:vertAlign w:val="superscript"/>
        </w:rPr>
        <w:footnoteRef/>
      </w:r>
      <w:r w:rsidRPr="009D37A6">
        <w:rPr>
          <w:szCs w:val="18"/>
        </w:rPr>
        <w:t xml:space="preserve"> </w:t>
      </w:r>
      <w:r>
        <w:rPr>
          <w:szCs w:val="18"/>
        </w:rPr>
        <w:t>Cadre conceptuel pour la Plateforme</w:t>
      </w:r>
      <w:r w:rsidRPr="009D37A6">
        <w:rPr>
          <w:szCs w:val="18"/>
        </w:rPr>
        <w:t xml:space="preserve">, </w:t>
      </w:r>
      <w:r>
        <w:rPr>
          <w:szCs w:val="18"/>
        </w:rPr>
        <w:t>annexe à la décision </w:t>
      </w:r>
      <w:r w:rsidRPr="009D37A6">
        <w:rPr>
          <w:szCs w:val="18"/>
        </w:rPr>
        <w:t>IPBES-2/4.</w:t>
      </w:r>
    </w:p>
  </w:footnote>
  <w:footnote w:id="7">
    <w:p w14:paraId="1CFDFF8D" w14:textId="6E87C5B4" w:rsidR="00BD2801" w:rsidRPr="009D37A6" w:rsidRDefault="00BD2801" w:rsidP="008125AA">
      <w:pPr>
        <w:pStyle w:val="FootnoteText"/>
        <w:rPr>
          <w:sz w:val="19"/>
          <w:szCs w:val="19"/>
        </w:rPr>
      </w:pPr>
      <w:r w:rsidRPr="009D37A6">
        <w:rPr>
          <w:vertAlign w:val="superscript"/>
        </w:rPr>
        <w:footnoteRef/>
      </w:r>
      <w:r w:rsidRPr="009D37A6">
        <w:rPr>
          <w:szCs w:val="18"/>
          <w:vertAlign w:val="superscript"/>
        </w:rPr>
        <w:t xml:space="preserve"> </w:t>
      </w:r>
      <w:r>
        <w:rPr>
          <w:szCs w:val="18"/>
        </w:rPr>
        <w:t>Tels que définis dans le</w:t>
      </w:r>
      <w:r w:rsidRPr="009D37A6">
        <w:rPr>
          <w:szCs w:val="18"/>
        </w:rPr>
        <w:t xml:space="preserve"> </w:t>
      </w:r>
      <w:r w:rsidRPr="00C52EF6">
        <w:rPr>
          <w:szCs w:val="18"/>
        </w:rPr>
        <w:t>Résumé à l</w:t>
      </w:r>
      <w:r>
        <w:rPr>
          <w:szCs w:val="18"/>
        </w:rPr>
        <w:t>’</w:t>
      </w:r>
      <w:r w:rsidRPr="00C52EF6">
        <w:rPr>
          <w:szCs w:val="18"/>
        </w:rPr>
        <w:t>intention des décideurs du rapport sur l</w:t>
      </w:r>
      <w:r>
        <w:rPr>
          <w:szCs w:val="18"/>
        </w:rPr>
        <w:t>’</w:t>
      </w:r>
      <w:r w:rsidRPr="00C52EF6">
        <w:rPr>
          <w:szCs w:val="18"/>
        </w:rPr>
        <w:t>évaluation mondiale de la</w:t>
      </w:r>
      <w:r w:rsidR="001F242E">
        <w:rPr>
          <w:szCs w:val="18"/>
        </w:rPr>
        <w:t> </w:t>
      </w:r>
      <w:r w:rsidRPr="00C52EF6">
        <w:rPr>
          <w:szCs w:val="18"/>
        </w:rPr>
        <w:t>biodiversité et des services écosystémiques</w:t>
      </w:r>
      <w:r w:rsidRPr="009D37A6">
        <w:rPr>
          <w:szCs w:val="18"/>
        </w:rPr>
        <w:t>.</w:t>
      </w:r>
    </w:p>
  </w:footnote>
  <w:footnote w:id="8">
    <w:p w14:paraId="57418C01" w14:textId="353CF0F7" w:rsidR="00BD2801" w:rsidRPr="009D37A6" w:rsidRDefault="00BD2801" w:rsidP="008125AA">
      <w:pPr>
        <w:pStyle w:val="FootnoteText"/>
        <w:rPr>
          <w:szCs w:val="18"/>
        </w:rPr>
      </w:pPr>
      <w:r w:rsidRPr="009D37A6">
        <w:rPr>
          <w:vertAlign w:val="superscript"/>
        </w:rPr>
        <w:footnoteRef/>
      </w:r>
      <w:r w:rsidRPr="009D37A6">
        <w:rPr>
          <w:szCs w:val="18"/>
        </w:rPr>
        <w:t xml:space="preserve"> </w:t>
      </w:r>
      <w:r>
        <w:rPr>
          <w:szCs w:val="18"/>
        </w:rPr>
        <w:t>Tel que présenté dans la section I de l’appendice II du document </w:t>
      </w:r>
      <w:r w:rsidRPr="009D37A6">
        <w:rPr>
          <w:szCs w:val="18"/>
        </w:rPr>
        <w:t>IPBES/7/6.</w:t>
      </w:r>
    </w:p>
  </w:footnote>
  <w:footnote w:id="9">
    <w:p w14:paraId="08A4DCA8" w14:textId="5874D9A6" w:rsidR="00BD2801" w:rsidRPr="0019123C" w:rsidRDefault="00BD2801" w:rsidP="008125AA">
      <w:pPr>
        <w:pStyle w:val="FootnoteText"/>
        <w:rPr>
          <w:szCs w:val="18"/>
          <w:lang w:val="en-US"/>
        </w:rPr>
      </w:pPr>
      <w:r w:rsidRPr="009D37A6">
        <w:rPr>
          <w:vertAlign w:val="superscript"/>
        </w:rPr>
        <w:footnoteRef/>
      </w:r>
      <w:r w:rsidRPr="0019123C">
        <w:rPr>
          <w:szCs w:val="18"/>
          <w:lang w:val="en-US"/>
        </w:rPr>
        <w:t xml:space="preserve"> </w:t>
      </w:r>
      <w:bookmarkStart w:id="2" w:name="_Hlk66367883"/>
      <w:r w:rsidRPr="0019123C">
        <w:rPr>
          <w:szCs w:val="18"/>
          <w:lang w:val="en-US"/>
        </w:rPr>
        <w:t xml:space="preserve">UNEP/IPBES.MI/2/9, </w:t>
      </w:r>
      <w:proofErr w:type="spellStart"/>
      <w:r w:rsidRPr="0019123C">
        <w:rPr>
          <w:szCs w:val="18"/>
          <w:lang w:val="en-US"/>
        </w:rPr>
        <w:t>annexe</w:t>
      </w:r>
      <w:proofErr w:type="spellEnd"/>
      <w:r w:rsidRPr="0019123C">
        <w:rPr>
          <w:szCs w:val="18"/>
          <w:lang w:val="en-US"/>
        </w:rPr>
        <w:t xml:space="preserve"> I, </w:t>
      </w:r>
      <w:proofErr w:type="spellStart"/>
      <w:r w:rsidRPr="0019123C">
        <w:rPr>
          <w:szCs w:val="18"/>
          <w:lang w:val="en-US"/>
        </w:rPr>
        <w:t>appendice</w:t>
      </w:r>
      <w:proofErr w:type="spellEnd"/>
      <w:r w:rsidRPr="0019123C">
        <w:rPr>
          <w:szCs w:val="18"/>
          <w:lang w:val="en-US"/>
        </w:rPr>
        <w:t> I, section I.</w:t>
      </w:r>
      <w:bookmarkEnd w:id="2"/>
    </w:p>
  </w:footnote>
  <w:footnote w:id="10">
    <w:p w14:paraId="37B1C7CA" w14:textId="4CC5A99F" w:rsidR="00BD2801" w:rsidRPr="001F242E" w:rsidRDefault="00BD2801" w:rsidP="008125AA">
      <w:pPr>
        <w:pStyle w:val="FootnoteText"/>
        <w:rPr>
          <w:szCs w:val="18"/>
        </w:rPr>
      </w:pPr>
      <w:r w:rsidRPr="001F242E">
        <w:rPr>
          <w:szCs w:val="18"/>
          <w:vertAlign w:val="superscript"/>
        </w:rPr>
        <w:footnoteRef/>
      </w:r>
      <w:r w:rsidRPr="001F242E">
        <w:rPr>
          <w:szCs w:val="18"/>
          <w:vertAlign w:val="superscript"/>
          <w:lang w:val="en-US"/>
        </w:rPr>
        <w:t xml:space="preserve"> </w:t>
      </w:r>
      <w:r w:rsidRPr="001F242E">
        <w:rPr>
          <w:szCs w:val="18"/>
          <w:lang w:val="en-US"/>
        </w:rPr>
        <w:t xml:space="preserve">IPBES (2016): The </w:t>
      </w:r>
      <w:r w:rsidRPr="001F242E">
        <w:rPr>
          <w:noProof/>
          <w:szCs w:val="18"/>
          <w:lang w:val="en-US"/>
        </w:rPr>
        <w:t xml:space="preserve">Methodological Assessment Report on Scenarios and Models of Biodiversity and Ecosystem Services. S. Ferrier, K. N. Ninan, P. Leadley, R. Alkemade, et al. </w:t>
      </w:r>
      <w:r w:rsidRPr="001F242E">
        <w:rPr>
          <w:noProof/>
          <w:szCs w:val="18"/>
        </w:rPr>
        <w:t>(eds.). IPBES secretariat, Bonn, Germany. 348 pages.</w:t>
      </w:r>
    </w:p>
  </w:footnote>
  <w:footnote w:id="11">
    <w:p w14:paraId="3A4A510C" w14:textId="3E0DA097" w:rsidR="00BD2801" w:rsidRPr="001F242E" w:rsidRDefault="00BD2801" w:rsidP="008125AA">
      <w:pPr>
        <w:pStyle w:val="FootnoteText"/>
        <w:rPr>
          <w:szCs w:val="18"/>
        </w:rPr>
      </w:pPr>
      <w:r w:rsidRPr="001F242E">
        <w:rPr>
          <w:szCs w:val="18"/>
          <w:vertAlign w:val="superscript"/>
        </w:rPr>
        <w:footnoteRef/>
      </w:r>
      <w:r w:rsidRPr="001F242E">
        <w:rPr>
          <w:szCs w:val="18"/>
          <w:vertAlign w:val="superscript"/>
        </w:rPr>
        <w:t xml:space="preserve"> </w:t>
      </w:r>
      <w:r w:rsidRPr="001F242E">
        <w:rPr>
          <w:szCs w:val="18"/>
        </w:rPr>
        <w:t xml:space="preserve">Figurant dans l’annexe II de la décision IPBES-5/1.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E197" w14:textId="219239FD" w:rsidR="00BD2801" w:rsidRPr="00DC5E14" w:rsidRDefault="00BD2801" w:rsidP="00BD2801">
    <w:pPr>
      <w:pStyle w:val="Header-pool"/>
    </w:pPr>
    <w:r w:rsidRPr="00BD2801">
      <w:t>IPBES</w:t>
    </w:r>
    <w:r w:rsidRPr="00C95B00">
      <w:t>/8/</w:t>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9860" w14:textId="5970BD74" w:rsidR="00BD2801" w:rsidRPr="00DC5E14" w:rsidRDefault="00BD2801" w:rsidP="00BD2801">
    <w:pPr>
      <w:pStyle w:val="Header-pool"/>
      <w:jc w:val="right"/>
    </w:pPr>
    <w:r w:rsidRPr="00BD2801">
      <w:t>IPBES</w:t>
    </w:r>
    <w:r w:rsidRPr="00C95B00">
      <w:t>/8/</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2291BF8"/>
    <w:multiLevelType w:val="multilevel"/>
    <w:tmpl w:val="F4ACF36E"/>
    <w:numStyleLink w:val="Normallist"/>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ZA"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0"/>
    <w:rsid w:val="000074EA"/>
    <w:rsid w:val="00012B89"/>
    <w:rsid w:val="000149E6"/>
    <w:rsid w:val="000156AE"/>
    <w:rsid w:val="0002109D"/>
    <w:rsid w:val="000232CD"/>
    <w:rsid w:val="000247B0"/>
    <w:rsid w:val="00026971"/>
    <w:rsid w:val="00026997"/>
    <w:rsid w:val="00027905"/>
    <w:rsid w:val="00033E0B"/>
    <w:rsid w:val="00035EDE"/>
    <w:rsid w:val="000401D4"/>
    <w:rsid w:val="000509B4"/>
    <w:rsid w:val="00053555"/>
    <w:rsid w:val="00056917"/>
    <w:rsid w:val="0006035B"/>
    <w:rsid w:val="00065B7F"/>
    <w:rsid w:val="00071886"/>
    <w:rsid w:val="000742BC"/>
    <w:rsid w:val="00076DEA"/>
    <w:rsid w:val="00081E82"/>
    <w:rsid w:val="00082A05"/>
    <w:rsid w:val="00082A0C"/>
    <w:rsid w:val="00083504"/>
    <w:rsid w:val="00094A0A"/>
    <w:rsid w:val="0009640C"/>
    <w:rsid w:val="000A290F"/>
    <w:rsid w:val="000B22A2"/>
    <w:rsid w:val="000C1C3A"/>
    <w:rsid w:val="000C2A52"/>
    <w:rsid w:val="000C2B9E"/>
    <w:rsid w:val="000C5CF8"/>
    <w:rsid w:val="000D073D"/>
    <w:rsid w:val="000D33C0"/>
    <w:rsid w:val="000D6460"/>
    <w:rsid w:val="000D6941"/>
    <w:rsid w:val="000E3F3E"/>
    <w:rsid w:val="001036CA"/>
    <w:rsid w:val="001037AE"/>
    <w:rsid w:val="00117D1D"/>
    <w:rsid w:val="001202E3"/>
    <w:rsid w:val="00122272"/>
    <w:rsid w:val="00123699"/>
    <w:rsid w:val="0013059D"/>
    <w:rsid w:val="00131329"/>
    <w:rsid w:val="001321F4"/>
    <w:rsid w:val="00134E13"/>
    <w:rsid w:val="0013705E"/>
    <w:rsid w:val="00137345"/>
    <w:rsid w:val="00141A55"/>
    <w:rsid w:val="00142404"/>
    <w:rsid w:val="001446A3"/>
    <w:rsid w:val="001501A1"/>
    <w:rsid w:val="00155395"/>
    <w:rsid w:val="00155E97"/>
    <w:rsid w:val="00160D74"/>
    <w:rsid w:val="001672C5"/>
    <w:rsid w:val="00167D02"/>
    <w:rsid w:val="00173012"/>
    <w:rsid w:val="00173F0B"/>
    <w:rsid w:val="0017564A"/>
    <w:rsid w:val="00180BB7"/>
    <w:rsid w:val="00181EC8"/>
    <w:rsid w:val="00184349"/>
    <w:rsid w:val="00190375"/>
    <w:rsid w:val="0019123C"/>
    <w:rsid w:val="00195F33"/>
    <w:rsid w:val="001A0E34"/>
    <w:rsid w:val="001A2350"/>
    <w:rsid w:val="001B1617"/>
    <w:rsid w:val="001B4554"/>
    <w:rsid w:val="001B504B"/>
    <w:rsid w:val="001B5649"/>
    <w:rsid w:val="001C1216"/>
    <w:rsid w:val="001C3539"/>
    <w:rsid w:val="001C38A7"/>
    <w:rsid w:val="001C4A06"/>
    <w:rsid w:val="001D175B"/>
    <w:rsid w:val="001D3874"/>
    <w:rsid w:val="001D5A98"/>
    <w:rsid w:val="001D7E75"/>
    <w:rsid w:val="001E222D"/>
    <w:rsid w:val="001E56D2"/>
    <w:rsid w:val="001E7D56"/>
    <w:rsid w:val="001F242E"/>
    <w:rsid w:val="001F37B7"/>
    <w:rsid w:val="001F4070"/>
    <w:rsid w:val="001F75DE"/>
    <w:rsid w:val="00200CA0"/>
    <w:rsid w:val="00200D58"/>
    <w:rsid w:val="002013BE"/>
    <w:rsid w:val="002063A4"/>
    <w:rsid w:val="0021145B"/>
    <w:rsid w:val="00225EFB"/>
    <w:rsid w:val="00231AEC"/>
    <w:rsid w:val="00235D38"/>
    <w:rsid w:val="002376EE"/>
    <w:rsid w:val="00243D36"/>
    <w:rsid w:val="00247707"/>
    <w:rsid w:val="00255495"/>
    <w:rsid w:val="00256FBE"/>
    <w:rsid w:val="0026018E"/>
    <w:rsid w:val="0026425A"/>
    <w:rsid w:val="002764EE"/>
    <w:rsid w:val="00286740"/>
    <w:rsid w:val="002868F0"/>
    <w:rsid w:val="002929D8"/>
    <w:rsid w:val="002A1CFB"/>
    <w:rsid w:val="002A207C"/>
    <w:rsid w:val="002A237D"/>
    <w:rsid w:val="002A2427"/>
    <w:rsid w:val="002A43EB"/>
    <w:rsid w:val="002A4C53"/>
    <w:rsid w:val="002B0672"/>
    <w:rsid w:val="002B247F"/>
    <w:rsid w:val="002C145D"/>
    <w:rsid w:val="002C2C3E"/>
    <w:rsid w:val="002C514F"/>
    <w:rsid w:val="002C533E"/>
    <w:rsid w:val="002D027F"/>
    <w:rsid w:val="002D4543"/>
    <w:rsid w:val="002D46FC"/>
    <w:rsid w:val="002D741F"/>
    <w:rsid w:val="002D7A85"/>
    <w:rsid w:val="002D7B60"/>
    <w:rsid w:val="002E73F8"/>
    <w:rsid w:val="002F4761"/>
    <w:rsid w:val="002F5C79"/>
    <w:rsid w:val="002F77B4"/>
    <w:rsid w:val="003019E2"/>
    <w:rsid w:val="0030701A"/>
    <w:rsid w:val="00311B98"/>
    <w:rsid w:val="00313E8A"/>
    <w:rsid w:val="0031413F"/>
    <w:rsid w:val="003148BB"/>
    <w:rsid w:val="003157E5"/>
    <w:rsid w:val="00317976"/>
    <w:rsid w:val="00323A18"/>
    <w:rsid w:val="003334CF"/>
    <w:rsid w:val="003362B0"/>
    <w:rsid w:val="003363AC"/>
    <w:rsid w:val="00337950"/>
    <w:rsid w:val="003414A9"/>
    <w:rsid w:val="0034167D"/>
    <w:rsid w:val="00343590"/>
    <w:rsid w:val="00344A9B"/>
    <w:rsid w:val="00353092"/>
    <w:rsid w:val="00355EA9"/>
    <w:rsid w:val="003578DE"/>
    <w:rsid w:val="00362990"/>
    <w:rsid w:val="00365BDB"/>
    <w:rsid w:val="00370D38"/>
    <w:rsid w:val="00376948"/>
    <w:rsid w:val="00377456"/>
    <w:rsid w:val="00384537"/>
    <w:rsid w:val="00385C28"/>
    <w:rsid w:val="00385FC3"/>
    <w:rsid w:val="0038694E"/>
    <w:rsid w:val="0038747C"/>
    <w:rsid w:val="00387CF7"/>
    <w:rsid w:val="00395BA3"/>
    <w:rsid w:val="00396257"/>
    <w:rsid w:val="00397EB8"/>
    <w:rsid w:val="003A4FD0"/>
    <w:rsid w:val="003A69D1"/>
    <w:rsid w:val="003A7705"/>
    <w:rsid w:val="003A77F1"/>
    <w:rsid w:val="003B1545"/>
    <w:rsid w:val="003B2C5D"/>
    <w:rsid w:val="003B611A"/>
    <w:rsid w:val="003B788D"/>
    <w:rsid w:val="003C0959"/>
    <w:rsid w:val="003C409D"/>
    <w:rsid w:val="003C5BA6"/>
    <w:rsid w:val="003E7055"/>
    <w:rsid w:val="003F071B"/>
    <w:rsid w:val="003F0E85"/>
    <w:rsid w:val="003F4C99"/>
    <w:rsid w:val="003F539E"/>
    <w:rsid w:val="003F7A59"/>
    <w:rsid w:val="00400417"/>
    <w:rsid w:val="0040483F"/>
    <w:rsid w:val="00410C55"/>
    <w:rsid w:val="00414903"/>
    <w:rsid w:val="00416854"/>
    <w:rsid w:val="00417725"/>
    <w:rsid w:val="00436B12"/>
    <w:rsid w:val="00437F26"/>
    <w:rsid w:val="00441862"/>
    <w:rsid w:val="00444097"/>
    <w:rsid w:val="00445487"/>
    <w:rsid w:val="00450782"/>
    <w:rsid w:val="004507F8"/>
    <w:rsid w:val="00454769"/>
    <w:rsid w:val="00457450"/>
    <w:rsid w:val="00461A76"/>
    <w:rsid w:val="0046635F"/>
    <w:rsid w:val="00466991"/>
    <w:rsid w:val="0047064C"/>
    <w:rsid w:val="00475C7E"/>
    <w:rsid w:val="004815DB"/>
    <w:rsid w:val="0049276C"/>
    <w:rsid w:val="0049534C"/>
    <w:rsid w:val="00495834"/>
    <w:rsid w:val="004A42E1"/>
    <w:rsid w:val="004A5B0D"/>
    <w:rsid w:val="004B162C"/>
    <w:rsid w:val="004B7F10"/>
    <w:rsid w:val="004C089E"/>
    <w:rsid w:val="004C3DBE"/>
    <w:rsid w:val="004C5C96"/>
    <w:rsid w:val="004D06A4"/>
    <w:rsid w:val="004D316B"/>
    <w:rsid w:val="004E488C"/>
    <w:rsid w:val="004E5AA4"/>
    <w:rsid w:val="004F1A81"/>
    <w:rsid w:val="004F2339"/>
    <w:rsid w:val="004F79AB"/>
    <w:rsid w:val="005066AA"/>
    <w:rsid w:val="005218D9"/>
    <w:rsid w:val="00526C1A"/>
    <w:rsid w:val="00533456"/>
    <w:rsid w:val="00534B14"/>
    <w:rsid w:val="00536186"/>
    <w:rsid w:val="00544CBB"/>
    <w:rsid w:val="00547CBF"/>
    <w:rsid w:val="00560E7D"/>
    <w:rsid w:val="00561003"/>
    <w:rsid w:val="005676D3"/>
    <w:rsid w:val="00567A91"/>
    <w:rsid w:val="0057315F"/>
    <w:rsid w:val="00576104"/>
    <w:rsid w:val="0057756E"/>
    <w:rsid w:val="00583897"/>
    <w:rsid w:val="00584F9F"/>
    <w:rsid w:val="00587042"/>
    <w:rsid w:val="00592D18"/>
    <w:rsid w:val="0059796D"/>
    <w:rsid w:val="005A54C0"/>
    <w:rsid w:val="005B7756"/>
    <w:rsid w:val="005C67C8"/>
    <w:rsid w:val="005D0249"/>
    <w:rsid w:val="005D6E8C"/>
    <w:rsid w:val="005E35B7"/>
    <w:rsid w:val="005F0F76"/>
    <w:rsid w:val="005F100C"/>
    <w:rsid w:val="005F68DA"/>
    <w:rsid w:val="0060773B"/>
    <w:rsid w:val="00613F60"/>
    <w:rsid w:val="006157B5"/>
    <w:rsid w:val="00626FC6"/>
    <w:rsid w:val="006303B4"/>
    <w:rsid w:val="00633D3D"/>
    <w:rsid w:val="00641703"/>
    <w:rsid w:val="006421FE"/>
    <w:rsid w:val="006431A6"/>
    <w:rsid w:val="006459F6"/>
    <w:rsid w:val="006501AD"/>
    <w:rsid w:val="00651BFA"/>
    <w:rsid w:val="006525D0"/>
    <w:rsid w:val="00654475"/>
    <w:rsid w:val="00654BD6"/>
    <w:rsid w:val="00655CEE"/>
    <w:rsid w:val="00660B3B"/>
    <w:rsid w:val="00665A4B"/>
    <w:rsid w:val="00665B3D"/>
    <w:rsid w:val="006677C8"/>
    <w:rsid w:val="00667817"/>
    <w:rsid w:val="0067229B"/>
    <w:rsid w:val="00683B9A"/>
    <w:rsid w:val="0068548C"/>
    <w:rsid w:val="00687237"/>
    <w:rsid w:val="00687DAD"/>
    <w:rsid w:val="00687F65"/>
    <w:rsid w:val="00690649"/>
    <w:rsid w:val="00692CB7"/>
    <w:rsid w:val="00692E2A"/>
    <w:rsid w:val="00693155"/>
    <w:rsid w:val="006973B3"/>
    <w:rsid w:val="006A453E"/>
    <w:rsid w:val="006A6471"/>
    <w:rsid w:val="006A76F2"/>
    <w:rsid w:val="006B751E"/>
    <w:rsid w:val="006C11A6"/>
    <w:rsid w:val="006C3A2C"/>
    <w:rsid w:val="006C3CA3"/>
    <w:rsid w:val="006D692B"/>
    <w:rsid w:val="006D7EFB"/>
    <w:rsid w:val="006E2771"/>
    <w:rsid w:val="006E3ACE"/>
    <w:rsid w:val="006E5DE4"/>
    <w:rsid w:val="006E6672"/>
    <w:rsid w:val="006E6722"/>
    <w:rsid w:val="006F36E4"/>
    <w:rsid w:val="006F4E47"/>
    <w:rsid w:val="006F4E68"/>
    <w:rsid w:val="006F5F0C"/>
    <w:rsid w:val="007027B9"/>
    <w:rsid w:val="00703595"/>
    <w:rsid w:val="00703C43"/>
    <w:rsid w:val="00704CAF"/>
    <w:rsid w:val="00713B95"/>
    <w:rsid w:val="00714F6B"/>
    <w:rsid w:val="00715E88"/>
    <w:rsid w:val="00715FA8"/>
    <w:rsid w:val="00720D60"/>
    <w:rsid w:val="007231D9"/>
    <w:rsid w:val="00734B6D"/>
    <w:rsid w:val="00734CAA"/>
    <w:rsid w:val="007548CB"/>
    <w:rsid w:val="0075533C"/>
    <w:rsid w:val="00757446"/>
    <w:rsid w:val="00757581"/>
    <w:rsid w:val="007611A0"/>
    <w:rsid w:val="007613C9"/>
    <w:rsid w:val="007744D9"/>
    <w:rsid w:val="00780D82"/>
    <w:rsid w:val="00781A72"/>
    <w:rsid w:val="00791BF2"/>
    <w:rsid w:val="00792BD8"/>
    <w:rsid w:val="00796D3F"/>
    <w:rsid w:val="007A1683"/>
    <w:rsid w:val="007A5C12"/>
    <w:rsid w:val="007A7CB0"/>
    <w:rsid w:val="007B6737"/>
    <w:rsid w:val="007B68A3"/>
    <w:rsid w:val="007B7DAD"/>
    <w:rsid w:val="007C2541"/>
    <w:rsid w:val="007C3A7C"/>
    <w:rsid w:val="007D2754"/>
    <w:rsid w:val="007D66A8"/>
    <w:rsid w:val="007E003F"/>
    <w:rsid w:val="007E01DE"/>
    <w:rsid w:val="007E5395"/>
    <w:rsid w:val="007F128F"/>
    <w:rsid w:val="007F69A7"/>
    <w:rsid w:val="008118D9"/>
    <w:rsid w:val="008125AA"/>
    <w:rsid w:val="008164F2"/>
    <w:rsid w:val="00821395"/>
    <w:rsid w:val="0082156A"/>
    <w:rsid w:val="00826080"/>
    <w:rsid w:val="00830E26"/>
    <w:rsid w:val="0083587D"/>
    <w:rsid w:val="00843576"/>
    <w:rsid w:val="00843B64"/>
    <w:rsid w:val="00843C5F"/>
    <w:rsid w:val="008478FC"/>
    <w:rsid w:val="00847C28"/>
    <w:rsid w:val="00847D64"/>
    <w:rsid w:val="008646BA"/>
    <w:rsid w:val="0086727A"/>
    <w:rsid w:val="00867603"/>
    <w:rsid w:val="00867BFF"/>
    <w:rsid w:val="0087703B"/>
    <w:rsid w:val="00877C53"/>
    <w:rsid w:val="00882FD3"/>
    <w:rsid w:val="00884637"/>
    <w:rsid w:val="0088480A"/>
    <w:rsid w:val="00886758"/>
    <w:rsid w:val="0088757A"/>
    <w:rsid w:val="00890B86"/>
    <w:rsid w:val="00891B1A"/>
    <w:rsid w:val="0089376B"/>
    <w:rsid w:val="008957DD"/>
    <w:rsid w:val="00897D98"/>
    <w:rsid w:val="008A392A"/>
    <w:rsid w:val="008A406A"/>
    <w:rsid w:val="008A48AF"/>
    <w:rsid w:val="008A6DF2"/>
    <w:rsid w:val="008A7807"/>
    <w:rsid w:val="008B0776"/>
    <w:rsid w:val="008B1F0B"/>
    <w:rsid w:val="008B4CC9"/>
    <w:rsid w:val="008C3AEF"/>
    <w:rsid w:val="008D25F0"/>
    <w:rsid w:val="008D7C99"/>
    <w:rsid w:val="008E0FCB"/>
    <w:rsid w:val="008F0DD8"/>
    <w:rsid w:val="008F29CF"/>
    <w:rsid w:val="00917325"/>
    <w:rsid w:val="0092178C"/>
    <w:rsid w:val="00924326"/>
    <w:rsid w:val="00924A0E"/>
    <w:rsid w:val="00930B88"/>
    <w:rsid w:val="00936B12"/>
    <w:rsid w:val="0093708B"/>
    <w:rsid w:val="00940B11"/>
    <w:rsid w:val="00940DCC"/>
    <w:rsid w:val="0094179A"/>
    <w:rsid w:val="009422CC"/>
    <w:rsid w:val="0094459E"/>
    <w:rsid w:val="0094480A"/>
    <w:rsid w:val="00944DBC"/>
    <w:rsid w:val="00950977"/>
    <w:rsid w:val="009513F1"/>
    <w:rsid w:val="00951A7B"/>
    <w:rsid w:val="0095448F"/>
    <w:rsid w:val="009564A6"/>
    <w:rsid w:val="009576C2"/>
    <w:rsid w:val="00967621"/>
    <w:rsid w:val="00967E6A"/>
    <w:rsid w:val="00972F58"/>
    <w:rsid w:val="00974E30"/>
    <w:rsid w:val="00977CEA"/>
    <w:rsid w:val="0098033F"/>
    <w:rsid w:val="00987ECE"/>
    <w:rsid w:val="009A3B85"/>
    <w:rsid w:val="009A4B92"/>
    <w:rsid w:val="009A7196"/>
    <w:rsid w:val="009A783C"/>
    <w:rsid w:val="009B4A0F"/>
    <w:rsid w:val="009B5F96"/>
    <w:rsid w:val="009C11D2"/>
    <w:rsid w:val="009C38A5"/>
    <w:rsid w:val="009C4FDA"/>
    <w:rsid w:val="009C6C70"/>
    <w:rsid w:val="009D0B63"/>
    <w:rsid w:val="009D37A6"/>
    <w:rsid w:val="009E307E"/>
    <w:rsid w:val="00A00664"/>
    <w:rsid w:val="00A07870"/>
    <w:rsid w:val="00A07F19"/>
    <w:rsid w:val="00A11396"/>
    <w:rsid w:val="00A1348D"/>
    <w:rsid w:val="00A232EE"/>
    <w:rsid w:val="00A24150"/>
    <w:rsid w:val="00A254C2"/>
    <w:rsid w:val="00A32CD2"/>
    <w:rsid w:val="00A34C76"/>
    <w:rsid w:val="00A40038"/>
    <w:rsid w:val="00A4175F"/>
    <w:rsid w:val="00A442B4"/>
    <w:rsid w:val="00A44411"/>
    <w:rsid w:val="00A469FA"/>
    <w:rsid w:val="00A50F68"/>
    <w:rsid w:val="00A5314D"/>
    <w:rsid w:val="00A55B01"/>
    <w:rsid w:val="00A56B5B"/>
    <w:rsid w:val="00A603FF"/>
    <w:rsid w:val="00A62A2C"/>
    <w:rsid w:val="00A657DD"/>
    <w:rsid w:val="00A666A6"/>
    <w:rsid w:val="00A675FD"/>
    <w:rsid w:val="00A716F3"/>
    <w:rsid w:val="00A72437"/>
    <w:rsid w:val="00A74F3A"/>
    <w:rsid w:val="00A80611"/>
    <w:rsid w:val="00A81FDE"/>
    <w:rsid w:val="00A90F6F"/>
    <w:rsid w:val="00A914C2"/>
    <w:rsid w:val="00A94AB6"/>
    <w:rsid w:val="00AA27F7"/>
    <w:rsid w:val="00AB1BE1"/>
    <w:rsid w:val="00AB5340"/>
    <w:rsid w:val="00AB5976"/>
    <w:rsid w:val="00AB736A"/>
    <w:rsid w:val="00AC0A89"/>
    <w:rsid w:val="00AC7C96"/>
    <w:rsid w:val="00AE237D"/>
    <w:rsid w:val="00AE502A"/>
    <w:rsid w:val="00AE5418"/>
    <w:rsid w:val="00AF6FA9"/>
    <w:rsid w:val="00AF7C07"/>
    <w:rsid w:val="00B22C93"/>
    <w:rsid w:val="00B24631"/>
    <w:rsid w:val="00B27589"/>
    <w:rsid w:val="00B336B0"/>
    <w:rsid w:val="00B33D8A"/>
    <w:rsid w:val="00B405B7"/>
    <w:rsid w:val="00B44EFA"/>
    <w:rsid w:val="00B46E1F"/>
    <w:rsid w:val="00B50343"/>
    <w:rsid w:val="00B52222"/>
    <w:rsid w:val="00B54FE7"/>
    <w:rsid w:val="00B56D66"/>
    <w:rsid w:val="00B64EE1"/>
    <w:rsid w:val="00B66901"/>
    <w:rsid w:val="00B71E6D"/>
    <w:rsid w:val="00B72070"/>
    <w:rsid w:val="00B72C94"/>
    <w:rsid w:val="00B76952"/>
    <w:rsid w:val="00B77214"/>
    <w:rsid w:val="00B779E1"/>
    <w:rsid w:val="00B9193D"/>
    <w:rsid w:val="00B91EE1"/>
    <w:rsid w:val="00BA0090"/>
    <w:rsid w:val="00BA1A67"/>
    <w:rsid w:val="00BA453E"/>
    <w:rsid w:val="00BC29F8"/>
    <w:rsid w:val="00BD2801"/>
    <w:rsid w:val="00BD29EC"/>
    <w:rsid w:val="00BD3560"/>
    <w:rsid w:val="00BE5B5F"/>
    <w:rsid w:val="00BE63EE"/>
    <w:rsid w:val="00BF6FB4"/>
    <w:rsid w:val="00BF7326"/>
    <w:rsid w:val="00C01D25"/>
    <w:rsid w:val="00C05641"/>
    <w:rsid w:val="00C05FD3"/>
    <w:rsid w:val="00C10AD4"/>
    <w:rsid w:val="00C20BD2"/>
    <w:rsid w:val="00C21CAC"/>
    <w:rsid w:val="00C26F55"/>
    <w:rsid w:val="00C30C63"/>
    <w:rsid w:val="00C30DB4"/>
    <w:rsid w:val="00C34755"/>
    <w:rsid w:val="00C36B8B"/>
    <w:rsid w:val="00C36C91"/>
    <w:rsid w:val="00C37022"/>
    <w:rsid w:val="00C415C1"/>
    <w:rsid w:val="00C425A5"/>
    <w:rsid w:val="00C47DBF"/>
    <w:rsid w:val="00C52EF6"/>
    <w:rsid w:val="00C552FF"/>
    <w:rsid w:val="00C558DA"/>
    <w:rsid w:val="00C55AF3"/>
    <w:rsid w:val="00C61821"/>
    <w:rsid w:val="00C61B30"/>
    <w:rsid w:val="00C625D6"/>
    <w:rsid w:val="00C65C49"/>
    <w:rsid w:val="00C67622"/>
    <w:rsid w:val="00C84759"/>
    <w:rsid w:val="00C851FF"/>
    <w:rsid w:val="00C95B00"/>
    <w:rsid w:val="00CA45C6"/>
    <w:rsid w:val="00CA6C7F"/>
    <w:rsid w:val="00CB22B1"/>
    <w:rsid w:val="00CB3DC7"/>
    <w:rsid w:val="00CB621E"/>
    <w:rsid w:val="00CC10A6"/>
    <w:rsid w:val="00CC40FC"/>
    <w:rsid w:val="00CD54D1"/>
    <w:rsid w:val="00CD5EB8"/>
    <w:rsid w:val="00CD7044"/>
    <w:rsid w:val="00CE08B9"/>
    <w:rsid w:val="00CE1874"/>
    <w:rsid w:val="00CE2984"/>
    <w:rsid w:val="00CE2EAE"/>
    <w:rsid w:val="00CE524C"/>
    <w:rsid w:val="00CF141F"/>
    <w:rsid w:val="00CF4777"/>
    <w:rsid w:val="00D00F16"/>
    <w:rsid w:val="00D03558"/>
    <w:rsid w:val="00D04C5E"/>
    <w:rsid w:val="00D067BB"/>
    <w:rsid w:val="00D13083"/>
    <w:rsid w:val="00D1352A"/>
    <w:rsid w:val="00D169AF"/>
    <w:rsid w:val="00D20D41"/>
    <w:rsid w:val="00D236A0"/>
    <w:rsid w:val="00D24226"/>
    <w:rsid w:val="00D25249"/>
    <w:rsid w:val="00D33FB1"/>
    <w:rsid w:val="00D44172"/>
    <w:rsid w:val="00D63B8C"/>
    <w:rsid w:val="00D658A2"/>
    <w:rsid w:val="00D67E1D"/>
    <w:rsid w:val="00D70521"/>
    <w:rsid w:val="00D718AB"/>
    <w:rsid w:val="00D739CC"/>
    <w:rsid w:val="00D74B59"/>
    <w:rsid w:val="00D8093D"/>
    <w:rsid w:val="00D8108C"/>
    <w:rsid w:val="00D842AE"/>
    <w:rsid w:val="00D84700"/>
    <w:rsid w:val="00D9211C"/>
    <w:rsid w:val="00D92DE0"/>
    <w:rsid w:val="00D92FEF"/>
    <w:rsid w:val="00D93A0F"/>
    <w:rsid w:val="00D95D8B"/>
    <w:rsid w:val="00D97848"/>
    <w:rsid w:val="00DA1BCA"/>
    <w:rsid w:val="00DA7AB0"/>
    <w:rsid w:val="00DA7B13"/>
    <w:rsid w:val="00DB6FC9"/>
    <w:rsid w:val="00DC3AB1"/>
    <w:rsid w:val="00DC400C"/>
    <w:rsid w:val="00DC46FF"/>
    <w:rsid w:val="00DC5254"/>
    <w:rsid w:val="00DC5E14"/>
    <w:rsid w:val="00DD1A4F"/>
    <w:rsid w:val="00DD2550"/>
    <w:rsid w:val="00DD3107"/>
    <w:rsid w:val="00DD5E44"/>
    <w:rsid w:val="00DD6214"/>
    <w:rsid w:val="00DD7C2C"/>
    <w:rsid w:val="00DE4878"/>
    <w:rsid w:val="00DE5AA9"/>
    <w:rsid w:val="00DE78D7"/>
    <w:rsid w:val="00DF1132"/>
    <w:rsid w:val="00DF39B5"/>
    <w:rsid w:val="00E046E7"/>
    <w:rsid w:val="00E06797"/>
    <w:rsid w:val="00E069C2"/>
    <w:rsid w:val="00E1265B"/>
    <w:rsid w:val="00E13B48"/>
    <w:rsid w:val="00E1404F"/>
    <w:rsid w:val="00E15B93"/>
    <w:rsid w:val="00E16112"/>
    <w:rsid w:val="00E21C83"/>
    <w:rsid w:val="00E24ADA"/>
    <w:rsid w:val="00E32F59"/>
    <w:rsid w:val="00E41E0B"/>
    <w:rsid w:val="00E4251A"/>
    <w:rsid w:val="00E44F8D"/>
    <w:rsid w:val="00E46D9A"/>
    <w:rsid w:val="00E565FF"/>
    <w:rsid w:val="00E60AF8"/>
    <w:rsid w:val="00E64AAA"/>
    <w:rsid w:val="00E65388"/>
    <w:rsid w:val="00E65494"/>
    <w:rsid w:val="00E72B41"/>
    <w:rsid w:val="00E768BE"/>
    <w:rsid w:val="00E801B8"/>
    <w:rsid w:val="00E81181"/>
    <w:rsid w:val="00E832A1"/>
    <w:rsid w:val="00E846CA"/>
    <w:rsid w:val="00E85B7D"/>
    <w:rsid w:val="00E9121B"/>
    <w:rsid w:val="00E9271A"/>
    <w:rsid w:val="00E953D0"/>
    <w:rsid w:val="00EA0AE2"/>
    <w:rsid w:val="00EA39E5"/>
    <w:rsid w:val="00EA3EFF"/>
    <w:rsid w:val="00EB558B"/>
    <w:rsid w:val="00EB60AF"/>
    <w:rsid w:val="00EC5A46"/>
    <w:rsid w:val="00EC63E2"/>
    <w:rsid w:val="00ED7917"/>
    <w:rsid w:val="00EE3E92"/>
    <w:rsid w:val="00EE4845"/>
    <w:rsid w:val="00EF22B3"/>
    <w:rsid w:val="00EF57A9"/>
    <w:rsid w:val="00EF7090"/>
    <w:rsid w:val="00F03B69"/>
    <w:rsid w:val="00F07283"/>
    <w:rsid w:val="00F07A50"/>
    <w:rsid w:val="00F07E21"/>
    <w:rsid w:val="00F113DA"/>
    <w:rsid w:val="00F12ED3"/>
    <w:rsid w:val="00F14E62"/>
    <w:rsid w:val="00F338AF"/>
    <w:rsid w:val="00F37DC8"/>
    <w:rsid w:val="00F439B3"/>
    <w:rsid w:val="00F467F6"/>
    <w:rsid w:val="00F519E2"/>
    <w:rsid w:val="00F60C56"/>
    <w:rsid w:val="00F625F8"/>
    <w:rsid w:val="00F650C3"/>
    <w:rsid w:val="00F65D85"/>
    <w:rsid w:val="00F76D61"/>
    <w:rsid w:val="00F8068D"/>
    <w:rsid w:val="00F8091E"/>
    <w:rsid w:val="00F8615C"/>
    <w:rsid w:val="00F93BCB"/>
    <w:rsid w:val="00F969E5"/>
    <w:rsid w:val="00F97477"/>
    <w:rsid w:val="00FA0880"/>
    <w:rsid w:val="00FA6BB0"/>
    <w:rsid w:val="00FB0A0C"/>
    <w:rsid w:val="00FB2F32"/>
    <w:rsid w:val="00FC514C"/>
    <w:rsid w:val="00FD369E"/>
    <w:rsid w:val="00FD47B9"/>
    <w:rsid w:val="00FD5860"/>
    <w:rsid w:val="00FD669B"/>
    <w:rsid w:val="00FE352D"/>
    <w:rsid w:val="00FE40EB"/>
    <w:rsid w:val="00FE43F2"/>
    <w:rsid w:val="00FE4D02"/>
    <w:rsid w:val="00FE7D62"/>
    <w:rsid w:val="00FF3819"/>
    <w:rsid w:val="00FF46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49B7E"/>
  <w15:chartTrackingRefBased/>
  <w15:docId w15:val="{9AD7034D-4E97-4424-9208-0B4F7B8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75B"/>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1D175B"/>
    <w:pPr>
      <w:keepNext/>
      <w:spacing w:before="240" w:after="120"/>
      <w:ind w:left="1247" w:hanging="680"/>
      <w:outlineLvl w:val="0"/>
    </w:pPr>
    <w:rPr>
      <w:b/>
      <w:sz w:val="28"/>
    </w:rPr>
  </w:style>
  <w:style w:type="paragraph" w:styleId="Heading2">
    <w:name w:val="heading 2"/>
    <w:basedOn w:val="Normal"/>
    <w:next w:val="Normalnumber"/>
    <w:qFormat/>
    <w:rsid w:val="001D175B"/>
    <w:pPr>
      <w:keepNext/>
      <w:spacing w:before="240" w:after="120"/>
      <w:ind w:left="1247" w:hanging="680"/>
      <w:outlineLvl w:val="1"/>
    </w:pPr>
    <w:rPr>
      <w:b/>
      <w:sz w:val="24"/>
      <w:szCs w:val="24"/>
    </w:rPr>
  </w:style>
  <w:style w:type="paragraph" w:styleId="Heading3">
    <w:name w:val="heading 3"/>
    <w:basedOn w:val="Normal"/>
    <w:next w:val="Normalnumber"/>
    <w:qFormat/>
    <w:rsid w:val="001D175B"/>
    <w:pPr>
      <w:spacing w:after="120"/>
      <w:ind w:left="1247" w:hanging="680"/>
      <w:outlineLvl w:val="2"/>
    </w:pPr>
    <w:rPr>
      <w:b/>
    </w:rPr>
  </w:style>
  <w:style w:type="paragraph" w:styleId="Heading4">
    <w:name w:val="heading 4"/>
    <w:basedOn w:val="Heading3"/>
    <w:next w:val="Normalnumber"/>
    <w:qFormat/>
    <w:rsid w:val="001D175B"/>
    <w:pPr>
      <w:keepNext/>
      <w:outlineLvl w:val="3"/>
    </w:pPr>
  </w:style>
  <w:style w:type="paragraph" w:styleId="Heading5">
    <w:name w:val="heading 5"/>
    <w:basedOn w:val="Normal"/>
    <w:next w:val="Normal"/>
    <w:qFormat/>
    <w:rsid w:val="001D175B"/>
    <w:pPr>
      <w:keepNext/>
      <w:outlineLvl w:val="4"/>
    </w:pPr>
    <w:rPr>
      <w:rFonts w:ascii="Univers" w:hAnsi="Univers"/>
      <w:b/>
      <w:sz w:val="24"/>
    </w:rPr>
  </w:style>
  <w:style w:type="paragraph" w:styleId="Heading6">
    <w:name w:val="heading 6"/>
    <w:basedOn w:val="Normal"/>
    <w:next w:val="Normal"/>
    <w:qFormat/>
    <w:rsid w:val="001D175B"/>
    <w:pPr>
      <w:keepNext/>
      <w:ind w:left="578"/>
      <w:outlineLvl w:val="5"/>
    </w:pPr>
    <w:rPr>
      <w:b/>
      <w:bCs/>
      <w:sz w:val="24"/>
    </w:rPr>
  </w:style>
  <w:style w:type="paragraph" w:styleId="Heading7">
    <w:name w:val="heading 7"/>
    <w:basedOn w:val="Normal"/>
    <w:next w:val="Normal"/>
    <w:qFormat/>
    <w:rsid w:val="001D175B"/>
    <w:pPr>
      <w:keepNext/>
      <w:widowControl w:val="0"/>
      <w:jc w:val="center"/>
      <w:outlineLvl w:val="6"/>
    </w:pPr>
    <w:rPr>
      <w:snapToGrid w:val="0"/>
      <w:u w:val="single"/>
      <w:lang w:val="en-US"/>
    </w:rPr>
  </w:style>
  <w:style w:type="paragraph" w:styleId="Heading8">
    <w:name w:val="heading 8"/>
    <w:basedOn w:val="Normal"/>
    <w:next w:val="Normal"/>
    <w:qFormat/>
    <w:rsid w:val="001D175B"/>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1D175B"/>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1D17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175B"/>
  </w:style>
  <w:style w:type="character" w:styleId="PageNumber">
    <w:name w:val="page number"/>
    <w:semiHidden/>
    <w:rsid w:val="001D175B"/>
    <w:rPr>
      <w:rFonts w:ascii="Times New Roman" w:hAnsi="Times New Roman"/>
      <w:b/>
      <w:sz w:val="18"/>
    </w:rPr>
  </w:style>
  <w:style w:type="table" w:customStyle="1" w:styleId="Tabledocright">
    <w:name w:val="Table_doc_right"/>
    <w:basedOn w:val="TableNormal"/>
    <w:rsid w:val="001D175B"/>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1D175B"/>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1D175B"/>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1D175B"/>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1D175B"/>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1D175B"/>
    <w:rPr>
      <w:bCs w:val="0"/>
    </w:rPr>
  </w:style>
  <w:style w:type="paragraph" w:styleId="TableofFigures">
    <w:name w:val="table of figures"/>
    <w:basedOn w:val="Normal"/>
    <w:next w:val="Normal"/>
    <w:autoRedefine/>
    <w:semiHidden/>
    <w:rsid w:val="001D175B"/>
    <w:pPr>
      <w:tabs>
        <w:tab w:val="clear" w:pos="1814"/>
        <w:tab w:val="clear" w:pos="2381"/>
        <w:tab w:val="clear" w:pos="2948"/>
        <w:tab w:val="clear" w:pos="3515"/>
      </w:tabs>
      <w:ind w:left="1814" w:hanging="567"/>
    </w:pPr>
  </w:style>
  <w:style w:type="paragraph" w:customStyle="1" w:styleId="CH1">
    <w:name w:val="CH1"/>
    <w:basedOn w:val="Normalpool"/>
    <w:next w:val="CH2"/>
    <w:rsid w:val="001D175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D175B"/>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rsid w:val="001D175B"/>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1D175B"/>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1D175B"/>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D175B"/>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1D175B"/>
    <w:pPr>
      <w:tabs>
        <w:tab w:val="left" w:pos="4321"/>
        <w:tab w:val="right" w:pos="8641"/>
      </w:tabs>
      <w:spacing w:before="60" w:after="120"/>
    </w:pPr>
    <w:rPr>
      <w:b/>
      <w:sz w:val="18"/>
    </w:rPr>
  </w:style>
  <w:style w:type="paragraph" w:customStyle="1" w:styleId="Headerpool">
    <w:name w:val="Header_pool"/>
    <w:basedOn w:val="Normal"/>
    <w:next w:val="Normal"/>
    <w:semiHidden/>
    <w:rsid w:val="001D175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1D175B"/>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1D175B"/>
    <w:pPr>
      <w:tabs>
        <w:tab w:val="left" w:pos="4321"/>
        <w:tab w:val="right" w:pos="8641"/>
      </w:tabs>
      <w:spacing w:before="60" w:after="120"/>
    </w:pPr>
    <w:rPr>
      <w:b/>
      <w:sz w:val="18"/>
    </w:rPr>
  </w:style>
  <w:style w:type="paragraph" w:customStyle="1" w:styleId="Header-pool">
    <w:name w:val="Header-pool"/>
    <w:basedOn w:val="Normal-pool"/>
    <w:next w:val="Normal-pool"/>
    <w:rsid w:val="001D175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D175B"/>
    <w:pPr>
      <w:tabs>
        <w:tab w:val="left" w:pos="1247"/>
        <w:tab w:val="left" w:pos="1814"/>
        <w:tab w:val="left" w:pos="2381"/>
        <w:tab w:val="left" w:pos="2948"/>
        <w:tab w:val="left" w:pos="3515"/>
        <w:tab w:val="left" w:pos="4082"/>
      </w:tabs>
    </w:pPr>
    <w:rPr>
      <w:lang w:val="fr-CA" w:eastAsia="en-US"/>
    </w:rPr>
  </w:style>
  <w:style w:type="paragraph" w:styleId="FootnoteText">
    <w:name w:val="footnote text"/>
    <w:basedOn w:val="Normalpool"/>
    <w:link w:val="FootnoteTextChar"/>
    <w:rsid w:val="001D175B"/>
    <w:pPr>
      <w:spacing w:before="20" w:after="40"/>
      <w:ind w:left="1247"/>
    </w:pPr>
    <w:rPr>
      <w:sz w:val="18"/>
    </w:rPr>
  </w:style>
  <w:style w:type="table" w:styleId="TableGrid">
    <w:name w:val="Table Grid"/>
    <w:basedOn w:val="TableNormal"/>
    <w:rsid w:val="00C95B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1D175B"/>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D175B"/>
    <w:pPr>
      <w:keepNext/>
      <w:keepLines/>
      <w:suppressAutoHyphens/>
      <w:ind w:right="5103"/>
    </w:pPr>
    <w:rPr>
      <w:b/>
    </w:rPr>
  </w:style>
  <w:style w:type="paragraph" w:customStyle="1" w:styleId="AATitle2">
    <w:name w:val="AA_Title2"/>
    <w:basedOn w:val="AATitle"/>
    <w:rsid w:val="001D175B"/>
    <w:pPr>
      <w:tabs>
        <w:tab w:val="clear" w:pos="4082"/>
      </w:tabs>
      <w:spacing w:before="120" w:after="120"/>
      <w:ind w:right="4536"/>
    </w:pPr>
  </w:style>
  <w:style w:type="paragraph" w:customStyle="1" w:styleId="BBTitle">
    <w:name w:val="BB_Title"/>
    <w:basedOn w:val="Normalpool"/>
    <w:rsid w:val="001D175B"/>
    <w:pPr>
      <w:keepNext/>
      <w:keepLines/>
      <w:suppressAutoHyphens/>
      <w:spacing w:before="320" w:after="240"/>
      <w:ind w:left="1247" w:right="567"/>
    </w:pPr>
    <w:rPr>
      <w:b/>
      <w:sz w:val="28"/>
      <w:szCs w:val="28"/>
    </w:rPr>
  </w:style>
  <w:style w:type="paragraph" w:styleId="Footer">
    <w:name w:val="footer"/>
    <w:basedOn w:val="Normal"/>
    <w:semiHidden/>
    <w:rsid w:val="001D175B"/>
    <w:pPr>
      <w:tabs>
        <w:tab w:val="center" w:pos="4320"/>
        <w:tab w:val="right" w:pos="8640"/>
      </w:tabs>
      <w:spacing w:before="60" w:after="120"/>
    </w:pPr>
    <w:rPr>
      <w:sz w:val="18"/>
    </w:rPr>
  </w:style>
  <w:style w:type="paragraph" w:styleId="Header">
    <w:name w:val="header"/>
    <w:basedOn w:val="Normal"/>
    <w:semiHidden/>
    <w:rsid w:val="001D175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1D175B"/>
    <w:rPr>
      <w:rFonts w:ascii="Times New Roman" w:hAnsi="Times New Roman"/>
      <w:color w:val="auto"/>
      <w:sz w:val="20"/>
      <w:szCs w:val="20"/>
      <w:u w:val="none"/>
      <w:lang w:val="fr-FR"/>
    </w:rPr>
  </w:style>
  <w:style w:type="numbering" w:customStyle="1" w:styleId="Normallist">
    <w:name w:val="Normal_list"/>
    <w:basedOn w:val="NoList"/>
    <w:semiHidden/>
    <w:rsid w:val="001D175B"/>
    <w:pPr>
      <w:numPr>
        <w:numId w:val="3"/>
      </w:numPr>
    </w:pPr>
  </w:style>
  <w:style w:type="paragraph" w:customStyle="1" w:styleId="NormalNonumber">
    <w:name w:val="Normal_No_number"/>
    <w:basedOn w:val="Normalpool"/>
    <w:rsid w:val="001D175B"/>
    <w:pPr>
      <w:spacing w:after="120"/>
      <w:ind w:left="1247"/>
    </w:pPr>
  </w:style>
  <w:style w:type="paragraph" w:customStyle="1" w:styleId="Normalnumber">
    <w:name w:val="Normal_number"/>
    <w:basedOn w:val="Normalpool"/>
    <w:link w:val="NormalnumberChar"/>
    <w:rsid w:val="001D175B"/>
    <w:pPr>
      <w:numPr>
        <w:numId w:val="4"/>
      </w:numPr>
      <w:spacing w:after="120"/>
    </w:pPr>
  </w:style>
  <w:style w:type="paragraph" w:customStyle="1" w:styleId="Titletable">
    <w:name w:val="Title_table"/>
    <w:basedOn w:val="Normalpool"/>
    <w:rsid w:val="001D175B"/>
    <w:pPr>
      <w:keepNext/>
      <w:keepLines/>
      <w:suppressAutoHyphens/>
      <w:spacing w:after="60"/>
      <w:ind w:left="1247"/>
    </w:pPr>
    <w:rPr>
      <w:b/>
      <w:bCs/>
    </w:rPr>
  </w:style>
  <w:style w:type="paragraph" w:styleId="TOC1">
    <w:name w:val="toc 1"/>
    <w:basedOn w:val="Normalpool"/>
    <w:next w:val="Normalpool"/>
    <w:rsid w:val="001D175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1D175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1D175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1D175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1D175B"/>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D175B"/>
    <w:rPr>
      <w:b/>
      <w:bCs/>
      <w:sz w:val="28"/>
      <w:szCs w:val="22"/>
    </w:rPr>
  </w:style>
  <w:style w:type="paragraph" w:customStyle="1" w:styleId="ZZAnxtitle">
    <w:name w:val="ZZ_Anx_title"/>
    <w:basedOn w:val="Normalpool"/>
    <w:rsid w:val="001D175B"/>
    <w:pPr>
      <w:spacing w:before="360" w:after="120"/>
      <w:ind w:left="1247"/>
    </w:pPr>
    <w:rPr>
      <w:b/>
      <w:bCs/>
      <w:sz w:val="28"/>
      <w:szCs w:val="26"/>
    </w:rPr>
  </w:style>
  <w:style w:type="character" w:customStyle="1" w:styleId="Normal-poolChar">
    <w:name w:val="Normal-pool Char"/>
    <w:link w:val="Normal-pool"/>
    <w:rsid w:val="00DC5E14"/>
    <w:rPr>
      <w:lang w:val="fr-CA" w:eastAsia="en-US"/>
    </w:rPr>
  </w:style>
  <w:style w:type="paragraph" w:styleId="BalloonText">
    <w:name w:val="Balloon Text"/>
    <w:basedOn w:val="Normal"/>
    <w:link w:val="BalloonTextChar"/>
    <w:rsid w:val="00DC5E14"/>
    <w:rPr>
      <w:rFonts w:ascii="Segoe UI" w:hAnsi="Segoe UI" w:cs="Segoe UI"/>
      <w:sz w:val="18"/>
      <w:szCs w:val="18"/>
    </w:rPr>
  </w:style>
  <w:style w:type="character" w:customStyle="1" w:styleId="BalloonTextChar">
    <w:name w:val="Balloon Text Char"/>
    <w:basedOn w:val="DefaultParagraphFont"/>
    <w:link w:val="BalloonText"/>
    <w:rsid w:val="00DC5E14"/>
    <w:rPr>
      <w:rFonts w:ascii="Segoe UI" w:hAnsi="Segoe UI" w:cs="Segoe UI"/>
      <w:sz w:val="18"/>
      <w:szCs w:val="18"/>
      <w:lang w:val="fr-FR" w:eastAsia="en-US"/>
    </w:rPr>
  </w:style>
  <w:style w:type="paragraph" w:styleId="ListParagraph">
    <w:name w:val="List Paragraph"/>
    <w:basedOn w:val="Normal"/>
    <w:uiPriority w:val="34"/>
    <w:qFormat/>
    <w:rsid w:val="00E953D0"/>
    <w:pPr>
      <w:ind w:left="720"/>
      <w:contextualSpacing/>
    </w:p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rsid w:val="00714F6B"/>
    <w:rPr>
      <w:sz w:val="18"/>
      <w:lang w:val="fr-CA" w:eastAsia="en-US"/>
    </w:rPr>
  </w:style>
  <w:style w:type="character" w:customStyle="1" w:styleId="NormalnumberChar">
    <w:name w:val="Normal_number Char"/>
    <w:link w:val="Normalnumber"/>
    <w:rsid w:val="008125AA"/>
    <w:rPr>
      <w:lang w:val="fr-CA" w:eastAsia="en-US"/>
    </w:rPr>
  </w:style>
  <w:style w:type="character" w:customStyle="1" w:styleId="CH2Char">
    <w:name w:val="CH2 Char"/>
    <w:link w:val="CH2"/>
    <w:rsid w:val="008125AA"/>
    <w:rPr>
      <w:b/>
      <w:sz w:val="24"/>
      <w:szCs w:val="24"/>
      <w:lang w:val="fr-CA" w:eastAsia="en-US"/>
    </w:rPr>
  </w:style>
  <w:style w:type="character" w:styleId="CommentReference">
    <w:name w:val="annotation reference"/>
    <w:uiPriority w:val="99"/>
    <w:rsid w:val="008125AA"/>
    <w:rPr>
      <w:sz w:val="16"/>
      <w:szCs w:val="16"/>
    </w:rPr>
  </w:style>
  <w:style w:type="paragraph" w:styleId="Title">
    <w:name w:val="Title"/>
    <w:basedOn w:val="Normal"/>
    <w:next w:val="Normal"/>
    <w:link w:val="TitleChar"/>
    <w:qFormat/>
    <w:rsid w:val="00EF57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F57A9"/>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qFormat/>
    <w:rsid w:val="00EF57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F57A9"/>
    <w:rPr>
      <w:rFonts w:asciiTheme="minorHAnsi" w:eastAsiaTheme="minorEastAsia" w:hAnsiTheme="minorHAnsi" w:cstheme="minorBidi"/>
      <w:color w:val="5A5A5A" w:themeColor="text1" w:themeTint="A5"/>
      <w:spacing w:val="15"/>
      <w:sz w:val="22"/>
      <w:szCs w:val="22"/>
      <w:lang w:val="fr-FR" w:eastAsia="en-US"/>
    </w:rPr>
  </w:style>
  <w:style w:type="character" w:styleId="UnresolvedMention">
    <w:name w:val="Unresolved Mention"/>
    <w:basedOn w:val="DefaultParagraphFont"/>
    <w:uiPriority w:val="99"/>
    <w:semiHidden/>
    <w:unhideWhenUsed/>
    <w:rsid w:val="00E832A1"/>
    <w:rPr>
      <w:color w:val="605E5C"/>
      <w:shd w:val="clear" w:color="auto" w:fill="E1DFDD"/>
    </w:rPr>
  </w:style>
  <w:style w:type="character" w:styleId="FootnoteReference">
    <w:name w:val="footnote reference"/>
    <w:rsid w:val="001D175B"/>
    <w:rPr>
      <w:rFonts w:ascii="Times New Roman" w:hAnsi="Times New Roman"/>
      <w:color w:val="auto"/>
      <w:sz w:val="20"/>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15862927">
      <w:bodyDiv w:val="1"/>
      <w:marLeft w:val="0"/>
      <w:marRight w:val="0"/>
      <w:marTop w:val="0"/>
      <w:marBottom w:val="0"/>
      <w:divBdr>
        <w:top w:val="none" w:sz="0" w:space="0" w:color="auto"/>
        <w:left w:val="none" w:sz="0" w:space="0" w:color="auto"/>
        <w:bottom w:val="none" w:sz="0" w:space="0" w:color="auto"/>
        <w:right w:val="none" w:sz="0" w:space="0" w:color="auto"/>
      </w:divBdr>
    </w:div>
    <w:div w:id="17282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term.un.org/DGAACS/unterm.nsf/WebView/89752D0EE42F5EDF852575EC006B64B1?OpenDocumen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2021-04-16T10:21:42Z</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D601-5214-4AA2-AD31-06C322093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3E27D6-B7B8-4471-83B0-2CD7719744F2}"/>
</file>

<file path=customXml/itemProps3.xml><?xml version="1.0" encoding="utf-8"?>
<ds:datastoreItem xmlns:ds="http://schemas.openxmlformats.org/officeDocument/2006/customXml" ds:itemID="{F8908B8C-11F4-4804-BE5B-21582E21EDF4}">
  <ds:schemaRefs>
    <ds:schemaRef ds:uri="http://schemas.microsoft.com/sharepoint/v3/contenttype/forms"/>
  </ds:schemaRefs>
</ds:datastoreItem>
</file>

<file path=customXml/itemProps4.xml><?xml version="1.0" encoding="utf-8"?>
<ds:datastoreItem xmlns:ds="http://schemas.openxmlformats.org/officeDocument/2006/customXml" ds:itemID="{025CC562-CACB-4922-898E-A90EBFD4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7397</Words>
  <Characters>42163</Characters>
  <Application>Microsoft Office Word</Application>
  <DocSecurity>0</DocSecurity>
  <Lines>351</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49462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UNON-DCS-FLU</cp:lastModifiedBy>
  <cp:revision>5</cp:revision>
  <cp:lastPrinted>2021-04-08T13:29:00Z</cp:lastPrinted>
  <dcterms:created xsi:type="dcterms:W3CDTF">2021-04-08T13:17:00Z</dcterms:created>
  <dcterms:modified xsi:type="dcterms:W3CDTF">2021-04-08T13:29:00Z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