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943"/>
        <w:gridCol w:w="23"/>
        <w:gridCol w:w="234"/>
        <w:gridCol w:w="1698"/>
        <w:gridCol w:w="958"/>
        <w:gridCol w:w="717"/>
        <w:gridCol w:w="1466"/>
        <w:gridCol w:w="564"/>
        <w:gridCol w:w="601"/>
        <w:gridCol w:w="1224"/>
        <w:gridCol w:w="35"/>
      </w:tblGrid>
      <w:tr w:rsidR="00C06A42" w:rsidRPr="00C06A42" w14:paraId="216C5FFF" w14:textId="77777777" w:rsidTr="00B112DD">
        <w:trPr>
          <w:cantSplit/>
          <w:trHeight w:val="1079"/>
          <w:jc w:val="center"/>
        </w:trPr>
        <w:tc>
          <w:tcPr>
            <w:tcW w:w="2248" w:type="dxa"/>
            <w:gridSpan w:val="4"/>
            <w:hideMark/>
          </w:tcPr>
          <w:p w14:paraId="4B9C33E7" w14:textId="77777777" w:rsidR="00C06A42" w:rsidRPr="00C06A42" w:rsidRDefault="00C06A42" w:rsidP="00C06A42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708" w:type="dxa"/>
            <w:vAlign w:val="center"/>
            <w:hideMark/>
          </w:tcPr>
          <w:p w14:paraId="42800CC5" w14:textId="77777777" w:rsidR="00C06A42" w:rsidRPr="00C06A42" w:rsidRDefault="00C06A42" w:rsidP="00C06A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1E2C0F14" wp14:editId="1B4B27FE">
                  <wp:extent cx="1038225" cy="438150"/>
                  <wp:effectExtent l="0" t="0" r="0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6B1F7" w14:textId="77777777" w:rsidR="00C06A42" w:rsidRPr="00C06A42" w:rsidRDefault="00C06A42" w:rsidP="00C06A42">
            <w:pPr>
              <w:ind w:left="851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64" w:type="dxa"/>
            <w:vAlign w:val="center"/>
            <w:hideMark/>
          </w:tcPr>
          <w:p w14:paraId="759626BF" w14:textId="77777777" w:rsidR="00C06A42" w:rsidRPr="00C06A42" w:rsidRDefault="00C06A42" w:rsidP="00C06A42">
            <w:pPr>
              <w:ind w:left="-127"/>
              <w:jc w:val="center"/>
              <w:rPr>
                <w:rFonts w:ascii="Calibri" w:hAnsi="Calibri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2D49F7D1" wp14:editId="09B4DDC7">
                  <wp:extent cx="571500" cy="476250"/>
                  <wp:effectExtent l="0" t="0" r="0" b="0"/>
                  <wp:docPr id="8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center"/>
            <w:hideMark/>
          </w:tcPr>
          <w:p w14:paraId="1C595B4F" w14:textId="77777777" w:rsidR="00C06A42" w:rsidRPr="00C06A42" w:rsidRDefault="00C06A42" w:rsidP="00C06A42">
            <w:pPr>
              <w:ind w:left="-40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7AACCE64" wp14:editId="5276CDE2">
                  <wp:extent cx="428625" cy="409575"/>
                  <wp:effectExtent l="0" t="0" r="0" b="0"/>
                  <wp:docPr id="9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gridSpan w:val="2"/>
            <w:vAlign w:val="center"/>
          </w:tcPr>
          <w:p w14:paraId="2B10AB29" w14:textId="77777777" w:rsidR="00C06A42" w:rsidRPr="00C06A42" w:rsidRDefault="00C06A42" w:rsidP="00C06A4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98305FB" w14:textId="77777777" w:rsidR="00C06A42" w:rsidRPr="00C06A42" w:rsidRDefault="00C06A42" w:rsidP="00C06A42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4" w:type="dxa"/>
            <w:vAlign w:val="center"/>
            <w:hideMark/>
          </w:tcPr>
          <w:p w14:paraId="72894FF6" w14:textId="77777777" w:rsidR="00C06A42" w:rsidRPr="00C06A42" w:rsidRDefault="00C06A42" w:rsidP="00C06A42">
            <w:pPr>
              <w:ind w:left="113" w:right="-318"/>
              <w:rPr>
                <w:sz w:val="22"/>
                <w:szCs w:val="22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32C5452C" wp14:editId="54FB7C4E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hideMark/>
          </w:tcPr>
          <w:p w14:paraId="18CD9225" w14:textId="77777777" w:rsidR="00C06A42" w:rsidRPr="00C06A42" w:rsidRDefault="00C06A42" w:rsidP="00C06A42">
            <w:pPr>
              <w:keepNext/>
              <w:spacing w:before="240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993CBE" w:rsidRPr="00C06A42" w14:paraId="0F758135" w14:textId="77777777" w:rsidTr="00993CBE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9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8936" w14:textId="77777777" w:rsidR="00993CBE" w:rsidRPr="00C06A42" w:rsidRDefault="00993CBE" w:rsidP="00C06A42">
            <w:pPr>
              <w:rPr>
                <w:noProof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D28C" w14:textId="77777777" w:rsidR="00993CBE" w:rsidRPr="003A084B" w:rsidRDefault="00993CBE" w:rsidP="00C06A42">
            <w:pPr>
              <w:rPr>
                <w:b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C3BEA5" w14:textId="74E92551" w:rsidR="00993CBE" w:rsidRPr="003A084B" w:rsidRDefault="00993CBE" w:rsidP="00A92C0A">
            <w:pPr>
              <w:ind w:left="555"/>
              <w:rPr>
                <w:b/>
              </w:rPr>
            </w:pPr>
            <w:r w:rsidRPr="00C06A42">
              <w:rPr>
                <w:b/>
                <w:sz w:val="24"/>
                <w:szCs w:val="24"/>
                <w:lang w:val="ru-RU"/>
              </w:rPr>
              <w:t>IPBES</w:t>
            </w:r>
            <w:r>
              <w:rPr>
                <w:lang w:val="ru-RU"/>
              </w:rPr>
              <w:t>/</w:t>
            </w:r>
            <w:r>
              <w:t>7/</w:t>
            </w:r>
            <w:r w:rsidR="000F2ADD">
              <w:t>6/Add.1</w:t>
            </w:r>
          </w:p>
        </w:tc>
      </w:tr>
      <w:tr w:rsidR="00993CBE" w:rsidRPr="00993CBE" w14:paraId="28FAB3C7" w14:textId="77777777" w:rsidTr="00993CBE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89C0" w14:textId="77777777" w:rsidR="00993CBE" w:rsidRPr="00C06A42" w:rsidRDefault="00993CBE" w:rsidP="00C06A42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DC9593" wp14:editId="7F630F0D">
                  <wp:extent cx="1114425" cy="523875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D724" w14:textId="5C988A77" w:rsidR="00993CBE" w:rsidRPr="00993CBE" w:rsidRDefault="00993CBE" w:rsidP="00993CBE">
            <w:pPr>
              <w:spacing w:before="120" w:after="120"/>
              <w:rPr>
                <w:b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5A7910F" w14:textId="12C95D0C" w:rsidR="00993CBE" w:rsidRPr="00C06A42" w:rsidRDefault="00993CBE" w:rsidP="00A92C0A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/>
              <w:ind w:left="555"/>
              <w:rPr>
                <w:rFonts w:eastAsia="Times New Roman"/>
              </w:rPr>
            </w:pPr>
            <w:r w:rsidRPr="00C06A42">
              <w:rPr>
                <w:rFonts w:eastAsia="Times New Roman"/>
              </w:rPr>
              <w:t xml:space="preserve">Distr.: </w:t>
            </w:r>
            <w:r>
              <w:rPr>
                <w:rFonts w:eastAsia="Times New Roman"/>
              </w:rPr>
              <w:t>General</w:t>
            </w:r>
            <w:r w:rsidRPr="00C06A42">
              <w:rPr>
                <w:rFonts w:eastAsia="Times New Roman"/>
              </w:rPr>
              <w:br/>
            </w:r>
            <w:r w:rsidR="00435C40">
              <w:rPr>
                <w:rFonts w:eastAsia="Times New Roman"/>
              </w:rPr>
              <w:t>5 March</w:t>
            </w:r>
            <w:r w:rsidRPr="00C06A42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9</w:t>
            </w:r>
          </w:p>
          <w:p w14:paraId="7874C709" w14:textId="77777777" w:rsidR="00993CBE" w:rsidRPr="00C06A42" w:rsidRDefault="00993CBE" w:rsidP="00A92C0A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555"/>
              <w:rPr>
                <w:lang w:val="en-US"/>
              </w:rPr>
            </w:pPr>
          </w:p>
          <w:p w14:paraId="33049543" w14:textId="77777777" w:rsidR="00993CBE" w:rsidRPr="00C06A42" w:rsidRDefault="00993CBE" w:rsidP="00A92C0A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555"/>
              <w:rPr>
                <w:lang w:val="en-US"/>
              </w:rPr>
            </w:pPr>
            <w:r w:rsidRPr="00C06A42">
              <w:rPr>
                <w:lang w:val="en-US"/>
              </w:rPr>
              <w:t xml:space="preserve">Russian </w:t>
            </w:r>
          </w:p>
          <w:p w14:paraId="4D935A44" w14:textId="51DF01E2" w:rsidR="00993CBE" w:rsidRPr="00993CBE" w:rsidRDefault="00993CBE" w:rsidP="00A92C0A">
            <w:pPr>
              <w:ind w:left="555"/>
            </w:pPr>
            <w:r w:rsidRPr="00C06A42">
              <w:rPr>
                <w:lang w:val="en-US"/>
              </w:rPr>
              <w:t>Original: English</w:t>
            </w:r>
          </w:p>
        </w:tc>
      </w:tr>
    </w:tbl>
    <w:p w14:paraId="34CFA14D" w14:textId="77777777" w:rsidR="00C06A42" w:rsidRPr="00C06A42" w:rsidRDefault="00C06A42" w:rsidP="00C06A42">
      <w:pPr>
        <w:rPr>
          <w:b/>
          <w:lang w:val="ru-RU"/>
        </w:rPr>
      </w:pPr>
      <w:r w:rsidRPr="00C06A42">
        <w:rPr>
          <w:b/>
          <w:lang w:val="ru-RU"/>
        </w:rPr>
        <w:t xml:space="preserve">Пленум Межправительственной научно-политической </w:t>
      </w:r>
      <w:r w:rsidRPr="00C06A42">
        <w:rPr>
          <w:b/>
          <w:lang w:val="ru-RU"/>
        </w:rPr>
        <w:br/>
        <w:t>платформы по биоразнообразию и экосистемным услугам</w:t>
      </w:r>
    </w:p>
    <w:p w14:paraId="1C6BCFCE" w14:textId="77777777" w:rsidR="002617E5" w:rsidRPr="002617E5" w:rsidRDefault="002617E5" w:rsidP="002617E5">
      <w:pPr>
        <w:rPr>
          <w:b/>
          <w:szCs w:val="22"/>
          <w:lang w:val="ru-RU"/>
        </w:rPr>
      </w:pPr>
      <w:r w:rsidRPr="002617E5">
        <w:rPr>
          <w:b/>
          <w:szCs w:val="22"/>
          <w:lang w:val="ru-RU"/>
        </w:rPr>
        <w:t>Седьмая сессия</w:t>
      </w:r>
    </w:p>
    <w:p w14:paraId="6F0FDA97" w14:textId="77B817B2" w:rsidR="002617E5" w:rsidRPr="003A0D5F" w:rsidRDefault="002617E5" w:rsidP="002617E5">
      <w:pPr>
        <w:rPr>
          <w:szCs w:val="22"/>
        </w:rPr>
      </w:pPr>
      <w:r w:rsidRPr="002617E5">
        <w:rPr>
          <w:szCs w:val="22"/>
          <w:lang w:val="ru-RU"/>
        </w:rPr>
        <w:t>Париж, 29 апреля – 4 мая 2019 года</w:t>
      </w:r>
      <w:r w:rsidR="001F22F0">
        <w:rPr>
          <w:szCs w:val="22"/>
        </w:rPr>
        <w:t>1</w:t>
      </w:r>
    </w:p>
    <w:p w14:paraId="5049AD62" w14:textId="6CFEA2EC" w:rsidR="003A084B" w:rsidRDefault="003A084B" w:rsidP="003A084B">
      <w:pPr>
        <w:spacing w:after="60"/>
        <w:rPr>
          <w:lang w:val="ru-RU"/>
        </w:rPr>
      </w:pPr>
      <w:r>
        <w:rPr>
          <w:szCs w:val="22"/>
          <w:lang w:val="ru-RU"/>
        </w:rPr>
        <w:t xml:space="preserve">Пункт </w:t>
      </w:r>
      <w:r w:rsidR="00CB3B30" w:rsidRPr="00CB3B30">
        <w:rPr>
          <w:szCs w:val="22"/>
          <w:lang w:val="ru-RU"/>
        </w:rPr>
        <w:t>9</w:t>
      </w:r>
      <w:r>
        <w:rPr>
          <w:szCs w:val="22"/>
          <w:lang w:val="ru-RU"/>
        </w:rPr>
        <w:t xml:space="preserve"> предварительной повестки дня</w:t>
      </w:r>
      <w:r w:rsidRPr="003A084B">
        <w:rPr>
          <w:rStyle w:val="FootnoteReference"/>
          <w:vertAlign w:val="baseline"/>
          <w:lang w:val="ru-RU"/>
        </w:rPr>
        <w:footnoteReference w:customMarkFollows="1" w:id="1"/>
        <w:t>*</w:t>
      </w:r>
    </w:p>
    <w:p w14:paraId="540685E5" w14:textId="77777777" w:rsidR="00CB3B30" w:rsidRPr="000F2ADD" w:rsidRDefault="00CB3B30" w:rsidP="000F2ADD">
      <w:pPr>
        <w:spacing w:after="120"/>
        <w:rPr>
          <w:b/>
          <w:lang w:val="ru-RU"/>
        </w:rPr>
      </w:pPr>
      <w:r w:rsidRPr="000F2ADD">
        <w:rPr>
          <w:b/>
          <w:lang w:val="ru-RU"/>
        </w:rPr>
        <w:t>Следующая программа работы Платформы</w:t>
      </w:r>
    </w:p>
    <w:p w14:paraId="194B9595" w14:textId="23010613" w:rsidR="00CB3B30" w:rsidRPr="000F2ADD" w:rsidRDefault="00CB3B30" w:rsidP="000F2ADD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0F2ADD">
        <w:rPr>
          <w:b/>
          <w:sz w:val="28"/>
          <w:szCs w:val="28"/>
          <w:lang w:val="ru-RU"/>
        </w:rPr>
        <w:t xml:space="preserve">Доклад о приоритизации запросов, </w:t>
      </w:r>
      <w:r w:rsidR="0081560C">
        <w:rPr>
          <w:b/>
          <w:sz w:val="28"/>
          <w:szCs w:val="28"/>
          <w:lang w:val="ru-RU"/>
        </w:rPr>
        <w:t>материалов</w:t>
      </w:r>
      <w:r w:rsidR="0081560C" w:rsidRPr="000F2ADD">
        <w:rPr>
          <w:b/>
          <w:sz w:val="28"/>
          <w:szCs w:val="28"/>
          <w:lang w:val="ru-RU"/>
        </w:rPr>
        <w:t xml:space="preserve"> </w:t>
      </w:r>
      <w:r w:rsidRPr="000F2ADD">
        <w:rPr>
          <w:b/>
          <w:sz w:val="28"/>
          <w:szCs w:val="28"/>
          <w:lang w:val="ru-RU"/>
        </w:rPr>
        <w:t>и предложений в отношении краткосрочных приоритетов и долгосрочных стратегических потребностей для следующей программы работы Платформы</w:t>
      </w:r>
    </w:p>
    <w:p w14:paraId="03B6447B" w14:textId="3441D0B0" w:rsidR="00CB3B30" w:rsidRPr="000F2ADD" w:rsidRDefault="00CB3B30" w:rsidP="000F2ADD">
      <w:pPr>
        <w:spacing w:after="120"/>
        <w:ind w:left="1247"/>
        <w:rPr>
          <w:b/>
          <w:sz w:val="24"/>
          <w:szCs w:val="24"/>
          <w:lang w:val="ru-RU"/>
        </w:rPr>
      </w:pPr>
      <w:r w:rsidRPr="000F2ADD">
        <w:rPr>
          <w:b/>
          <w:sz w:val="24"/>
          <w:szCs w:val="24"/>
          <w:lang w:val="ru-RU"/>
        </w:rPr>
        <w:tab/>
        <w:t>Записка секретариата</w:t>
      </w:r>
    </w:p>
    <w:p w14:paraId="026DE3E0" w14:textId="15A17749" w:rsidR="000F2ADD" w:rsidRDefault="00CB3B30" w:rsidP="000F2ADD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 xml:space="preserve">В пункте g) решения МПБЭУ-6/2 Пленум Межправительственной научно-политической платформы по биоразнообразию и экосистемным услугам поручил Многодисциплинарной группе экспертов и Бюро при поддержке секретариата </w:t>
      </w:r>
      <w:r w:rsidR="0081560C">
        <w:rPr>
          <w:lang w:val="ru-RU"/>
        </w:rPr>
        <w:t>составить свод</w:t>
      </w:r>
      <w:r w:rsidR="0081560C" w:rsidRPr="000F2ADD">
        <w:rPr>
          <w:lang w:val="ru-RU"/>
        </w:rPr>
        <w:t xml:space="preserve"> </w:t>
      </w:r>
      <w:r w:rsidRPr="000F2ADD">
        <w:rPr>
          <w:lang w:val="ru-RU"/>
        </w:rPr>
        <w:t>полученны</w:t>
      </w:r>
      <w:r w:rsidR="0081560C">
        <w:rPr>
          <w:lang w:val="ru-RU"/>
        </w:rPr>
        <w:t>х</w:t>
      </w:r>
      <w:r w:rsidRPr="000F2ADD">
        <w:rPr>
          <w:lang w:val="ru-RU"/>
        </w:rPr>
        <w:t xml:space="preserve"> в ответ на официальн</w:t>
      </w:r>
      <w:r w:rsidR="0081560C">
        <w:rPr>
          <w:lang w:val="ru-RU"/>
        </w:rPr>
        <w:t>ую просьбу</w:t>
      </w:r>
      <w:r w:rsidRPr="000F2ADD">
        <w:rPr>
          <w:lang w:val="ru-RU"/>
        </w:rPr>
        <w:t xml:space="preserve"> Исполнительного секретаря (EM/2018/14 от 11 июля 2018 года) запрос</w:t>
      </w:r>
      <w:r w:rsidR="0081560C">
        <w:rPr>
          <w:lang w:val="ru-RU"/>
        </w:rPr>
        <w:t>ов</w:t>
      </w:r>
      <w:r w:rsidRPr="000F2ADD">
        <w:rPr>
          <w:lang w:val="ru-RU"/>
        </w:rPr>
        <w:t>, материал</w:t>
      </w:r>
      <w:r w:rsidR="0081560C">
        <w:rPr>
          <w:lang w:val="ru-RU"/>
        </w:rPr>
        <w:t>ов</w:t>
      </w:r>
      <w:r w:rsidRPr="000F2ADD">
        <w:rPr>
          <w:lang w:val="ru-RU"/>
        </w:rPr>
        <w:t xml:space="preserve"> и предложени</w:t>
      </w:r>
      <w:r w:rsidR="0081560C">
        <w:rPr>
          <w:lang w:val="ru-RU"/>
        </w:rPr>
        <w:t>й</w:t>
      </w:r>
      <w:r w:rsidRPr="000F2ADD">
        <w:rPr>
          <w:lang w:val="ru-RU"/>
        </w:rPr>
        <w:t xml:space="preserve"> относительно краткосрочных приоритетов и долгосрочных стратегических потребностей и подготовить для рассмотрения Пленумом на его седьмой сессии доклад, содержащий </w:t>
      </w:r>
      <w:r w:rsidR="0081560C">
        <w:rPr>
          <w:lang w:val="ru-RU"/>
        </w:rPr>
        <w:t>их единый и приоритизированный пере</w:t>
      </w:r>
      <w:r w:rsidR="00D51608">
        <w:rPr>
          <w:lang w:val="ru-RU"/>
        </w:rPr>
        <w:t>чень</w:t>
      </w:r>
      <w:r w:rsidRPr="000F2ADD">
        <w:rPr>
          <w:lang w:val="ru-RU"/>
        </w:rPr>
        <w:t>. Доклад, подготовленный в ответ на это поручение, содержится в приложении к настоящей записке.</w:t>
      </w:r>
    </w:p>
    <w:p w14:paraId="099DADCF" w14:textId="631DE05C" w:rsidR="00CB3B30" w:rsidRPr="000F2ADD" w:rsidRDefault="000F2ADD" w:rsidP="00271C96">
      <w:pPr>
        <w:rPr>
          <w:lang w:val="ru-RU"/>
        </w:rPr>
      </w:pPr>
      <w:r>
        <w:rPr>
          <w:lang w:val="ru-RU"/>
        </w:rPr>
        <w:br w:type="page"/>
      </w:r>
    </w:p>
    <w:p w14:paraId="4CCBBCE6" w14:textId="0F28402F" w:rsidR="00CB3B30" w:rsidRPr="00271C96" w:rsidRDefault="00CB3B30" w:rsidP="00271C96">
      <w:pPr>
        <w:spacing w:after="240"/>
        <w:rPr>
          <w:b/>
          <w:sz w:val="28"/>
          <w:szCs w:val="28"/>
          <w:lang w:val="ru-RU"/>
        </w:rPr>
      </w:pPr>
      <w:r w:rsidRPr="00271C96">
        <w:rPr>
          <w:b/>
          <w:sz w:val="28"/>
          <w:szCs w:val="28"/>
          <w:lang w:val="ru-RU"/>
        </w:rPr>
        <w:lastRenderedPageBreak/>
        <w:t>Приложение</w:t>
      </w:r>
    </w:p>
    <w:p w14:paraId="3F1AAA0F" w14:textId="6E69F8EB" w:rsidR="00CB3B30" w:rsidRPr="00271C96" w:rsidRDefault="00CB3B30" w:rsidP="00271C96">
      <w:pPr>
        <w:spacing w:after="120"/>
        <w:ind w:left="1247" w:right="567"/>
        <w:rPr>
          <w:b/>
          <w:sz w:val="28"/>
          <w:szCs w:val="28"/>
          <w:lang w:val="ru-RU"/>
        </w:rPr>
      </w:pPr>
      <w:r w:rsidRPr="00271C96">
        <w:rPr>
          <w:b/>
          <w:sz w:val="28"/>
          <w:szCs w:val="28"/>
          <w:lang w:val="ru-RU"/>
        </w:rPr>
        <w:t xml:space="preserve">Доклад о приоритизации запросов, материалов и предложений в отношении краткосрочных приоритетов и долгосрочных стратегических потребностей для следующей программы работы </w:t>
      </w:r>
      <w:r w:rsidR="00D51608">
        <w:rPr>
          <w:b/>
          <w:sz w:val="28"/>
          <w:szCs w:val="28"/>
          <w:lang w:val="ru-RU"/>
        </w:rPr>
        <w:t>Платформы</w:t>
      </w:r>
    </w:p>
    <w:p w14:paraId="7CFADE82" w14:textId="32521016" w:rsidR="00CB3B30" w:rsidRPr="000F2ADD" w:rsidRDefault="00271C96" w:rsidP="00271C96">
      <w:pPr>
        <w:pStyle w:val="Heading1"/>
        <w:rPr>
          <w:lang w:val="ru-RU"/>
        </w:rPr>
      </w:pPr>
      <w:r>
        <w:rPr>
          <w:lang w:val="ru-RU"/>
        </w:rPr>
        <w:tab/>
      </w:r>
      <w:r w:rsidR="00CB3B30" w:rsidRPr="000F2ADD">
        <w:rPr>
          <w:lang w:val="ru-RU"/>
        </w:rPr>
        <w:t>I.</w:t>
      </w:r>
      <w:r w:rsidR="00CB3B30" w:rsidRPr="000F2ADD">
        <w:rPr>
          <w:lang w:val="ru-RU"/>
        </w:rPr>
        <w:tab/>
        <w:t>Введение</w:t>
      </w:r>
    </w:p>
    <w:p w14:paraId="3F3711FE" w14:textId="69C734CF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1.</w:t>
      </w:r>
      <w:r w:rsidRPr="00271C96">
        <w:rPr>
          <w:lang w:val="ru-RU"/>
        </w:rPr>
        <w:tab/>
      </w:r>
      <w:r w:rsidR="00CB3B30" w:rsidRPr="000F2ADD">
        <w:rPr>
          <w:lang w:val="ru-RU"/>
        </w:rPr>
        <w:t>В своем решении МПБЭУ-6/2 Пленум Межправительственной научно-политической платформы по биоразнообразию и экосистемным услугам (МПБЭУ) поручил Многодисциплинарной группе экспертов и Бюро при поддержке секретариата обратиться с официальн</w:t>
      </w:r>
      <w:r w:rsidR="00D51608">
        <w:rPr>
          <w:lang w:val="ru-RU"/>
        </w:rPr>
        <w:t xml:space="preserve">ой просьбой </w:t>
      </w:r>
      <w:r w:rsidR="00CB3B30" w:rsidRPr="003A0D5F">
        <w:rPr>
          <w:lang w:val="ru-RU"/>
        </w:rPr>
        <w:t>направлять запросы</w:t>
      </w:r>
      <w:r w:rsidR="00CB3B30" w:rsidRPr="000F2ADD">
        <w:rPr>
          <w:lang w:val="ru-RU"/>
        </w:rPr>
        <w:t>, материалы и предложения в отношении краткосрочных приоритетов и долгосрочных стратегических потребностей не позднее 30</w:t>
      </w:r>
      <w:r>
        <w:rPr>
          <w:lang w:val="en-US"/>
        </w:rPr>
        <w:t> </w:t>
      </w:r>
      <w:r w:rsidR="00CB3B30" w:rsidRPr="000F2ADD">
        <w:rPr>
          <w:lang w:val="ru-RU"/>
        </w:rPr>
        <w:t xml:space="preserve">сентября 2018 года, в соответствии с порядком получения и определения </w:t>
      </w:r>
      <w:r w:rsidR="00D51608">
        <w:rPr>
          <w:lang w:val="ru-RU"/>
        </w:rPr>
        <w:t>очередности</w:t>
      </w:r>
      <w:r w:rsidR="00CB3B30" w:rsidRPr="000F2ADD">
        <w:rPr>
          <w:lang w:val="ru-RU"/>
        </w:rPr>
        <w:t xml:space="preserve"> запросов, как указано в решении МПБЭУ-1/3, и i) предложить членам, наблюдателям, допущенным к расширенному участию в соответствии с решением МПБЭУ-5/4, и многосторонним природоохранным соглашениям, занимающимся вопросами биоразнообразия и экосистемных услуг, как это определено соответствующими руководящими органами данных соглашений, направлять запросы; ii) предложить органам Организации Объединенных Наций, связанным с биоразнообразием и экосистемными услугами, и соответствующим заинтересованным сторонам, таким, как другие межправительственные организации, международные и региональные научные организации, связанные с охраной окружающей среды целевые фонды, неправительственные организации, коренные народы и местные общины и частный сектор, направлять материалы и предложения; и iii) предложить экспертам по вопросам знаний коренного и местного населения и носителям этих знаний представлять свои материалы и предложения через механизм широкого участия МПБЭУ. </w:t>
      </w:r>
    </w:p>
    <w:p w14:paraId="3EBA2559" w14:textId="6DF18298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2.</w:t>
      </w:r>
      <w:r>
        <w:rPr>
          <w:lang w:val="ru-RU"/>
        </w:rPr>
        <w:tab/>
      </w:r>
      <w:r w:rsidR="00CB3B30" w:rsidRPr="000F2ADD">
        <w:rPr>
          <w:lang w:val="ru-RU"/>
        </w:rPr>
        <w:t>В ответ на это решение 11 июля 2018 года Исполнительный секретарь обратился с официальн</w:t>
      </w:r>
      <w:r w:rsidR="00D51608">
        <w:rPr>
          <w:lang w:val="ru-RU"/>
        </w:rPr>
        <w:t>ой</w:t>
      </w:r>
      <w:r w:rsidR="00CB3B30" w:rsidRPr="000F2ADD">
        <w:rPr>
          <w:lang w:val="ru-RU"/>
        </w:rPr>
        <w:t xml:space="preserve"> </w:t>
      </w:r>
      <w:r w:rsidR="00D51608">
        <w:rPr>
          <w:lang w:val="ru-RU"/>
        </w:rPr>
        <w:t xml:space="preserve">просьбой </w:t>
      </w:r>
      <w:r w:rsidR="00CB3B30" w:rsidRPr="003A0D5F">
        <w:rPr>
          <w:lang w:val="ru-RU"/>
        </w:rPr>
        <w:t>направлять запросы</w:t>
      </w:r>
      <w:r w:rsidR="00CB3B30" w:rsidRPr="000F2ADD">
        <w:rPr>
          <w:lang w:val="ru-RU"/>
        </w:rPr>
        <w:t>, материалы и предложения в отношении краткосрочных приоритетов и долгосрочных стратегических потребностей (EM/2018/14). Секретариат получил сообщения, содержащие запросы от 13 правительств, 1 наблюдателя с расширенным участием</w:t>
      </w:r>
      <w:r w:rsidR="00A92C0A" w:rsidRPr="00271C96">
        <w:rPr>
          <w:vertAlign w:val="superscript"/>
          <w:lang w:val="ru-RU"/>
        </w:rPr>
        <w:footnoteReference w:id="2"/>
      </w:r>
      <w:r w:rsidR="00CB3B30" w:rsidRPr="000F2ADD">
        <w:rPr>
          <w:lang w:val="ru-RU"/>
        </w:rPr>
        <w:t xml:space="preserve"> и 5 многосторонних природоохранных соглашений. Кроме того, от органов Организации Объединенных Наций, занимающихся вопросами биоразнообразия и экосистемных услуг, и соответствующих заинтересованных сторон было получено 22</w:t>
      </w:r>
      <w:r>
        <w:rPr>
          <w:lang w:val="en-US"/>
        </w:rPr>
        <w:t> </w:t>
      </w:r>
      <w:r w:rsidR="00CB3B30" w:rsidRPr="000F2ADD">
        <w:rPr>
          <w:lang w:val="ru-RU"/>
        </w:rPr>
        <w:t xml:space="preserve">сообщения с материалами и предложениями; и 2 </w:t>
      </w:r>
      <w:r>
        <w:rPr>
          <w:lang w:val="ru-RU"/>
        </w:rPr>
        <w:t>–</w:t>
      </w:r>
      <w:r w:rsidR="00CB3B30" w:rsidRPr="000F2ADD">
        <w:rPr>
          <w:lang w:val="ru-RU"/>
        </w:rPr>
        <w:t xml:space="preserve"> от экспертов по вопросам знаний коренного и местного населения и носителей этих знаний. В соответствии с поручением Пленума секретариат разместил эти запросы, материалы и предложения на веб-сайте МПБЭУ в том виде, в каком они были получены</w:t>
      </w:r>
      <w:r w:rsidRPr="00271C96">
        <w:rPr>
          <w:vertAlign w:val="superscript"/>
          <w:lang w:val="ru-RU"/>
        </w:rPr>
        <w:footnoteReference w:id="3"/>
      </w:r>
      <w:r w:rsidR="00CB3B30" w:rsidRPr="000F2ADD">
        <w:rPr>
          <w:lang w:val="ru-RU"/>
        </w:rPr>
        <w:t>. Обзор всех полученных запросов, материалов и предложений приводится в приложении I к документу IPBES/7/INF/21.</w:t>
      </w:r>
    </w:p>
    <w:p w14:paraId="0637ACA4" w14:textId="758658C7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3.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В своем решении МПБЭУ-6/2 Пленум также поручил Многодисциплинарной группе экспертов и Бюро при поддержке секретариата </w:t>
      </w:r>
      <w:r w:rsidR="00D51608">
        <w:rPr>
          <w:lang w:val="ru-RU"/>
        </w:rPr>
        <w:t>обобщить</w:t>
      </w:r>
      <w:r w:rsidR="00D51608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полученные запросы, материалы и предложения и подготовить для рассмотрения Пленумом на его седьмой сессии доклад, содержащий </w:t>
      </w:r>
      <w:r w:rsidR="00C770BE">
        <w:rPr>
          <w:lang w:val="ru-RU"/>
        </w:rPr>
        <w:t>их единый и приоритизированный перечень</w:t>
      </w:r>
      <w:r w:rsidR="00CB3B30" w:rsidRPr="000F2ADD">
        <w:rPr>
          <w:lang w:val="ru-RU"/>
        </w:rPr>
        <w:t>. Во исполнение этого решения Группа и Бюро определили приоритетност</w:t>
      </w:r>
      <w:r w:rsidR="004C4948">
        <w:rPr>
          <w:lang w:val="ru-RU"/>
        </w:rPr>
        <w:t>ь</w:t>
      </w:r>
      <w:r w:rsidR="00CB3B30" w:rsidRPr="000F2ADD">
        <w:rPr>
          <w:lang w:val="ru-RU"/>
        </w:rPr>
        <w:t xml:space="preserve"> полученных запросов, материалов и предложений в соответствии с процедурой получения и определения </w:t>
      </w:r>
      <w:r w:rsidR="00C770BE">
        <w:rPr>
          <w:lang w:val="ru-RU"/>
        </w:rPr>
        <w:t>очередности</w:t>
      </w:r>
      <w:r w:rsidR="00CB3B30" w:rsidRPr="000F2ADD">
        <w:rPr>
          <w:lang w:val="ru-RU"/>
        </w:rPr>
        <w:t xml:space="preserve"> направляемых Платформе запросов, изложенной в решении МПБЭУ-1/3. В пункте 12 этого решения Пленум указал, что Группа и Бюро подготовят доклад, содержащий перечень расставленных в порядке </w:t>
      </w:r>
      <w:r w:rsidR="00C770BE">
        <w:rPr>
          <w:lang w:val="ru-RU"/>
        </w:rPr>
        <w:t>очередности</w:t>
      </w:r>
      <w:r w:rsidR="00C770BE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запросов наряду с проведенным анализом научной и стратегической актуальности запросов, о которых идет речь в пункте 7 этого решения, в том числе потенциальной потребности в проведении дополнительного аналитического исследования и последствий этих запросов для программы работы и потребностей в ресурсах. </w:t>
      </w:r>
    </w:p>
    <w:p w14:paraId="20E6B2DF" w14:textId="79C758CF" w:rsidR="00CB3B30" w:rsidRPr="000F2ADD" w:rsidRDefault="00271C96" w:rsidP="00271C96">
      <w:pPr>
        <w:spacing w:after="240"/>
        <w:ind w:left="1247"/>
        <w:rPr>
          <w:lang w:val="ru-RU"/>
        </w:rPr>
      </w:pPr>
      <w:r w:rsidRPr="00271C96">
        <w:rPr>
          <w:lang w:val="ru-RU"/>
        </w:rPr>
        <w:t>4.</w:t>
      </w:r>
      <w:r>
        <w:rPr>
          <w:lang w:val="ru-RU"/>
        </w:rPr>
        <w:tab/>
      </w:r>
      <w:r w:rsidR="00CB3B30" w:rsidRPr="000F2ADD">
        <w:rPr>
          <w:lang w:val="ru-RU"/>
        </w:rPr>
        <w:t>Методология, использовавшаяся Группой и Бюро для определения приоритетности за</w:t>
      </w:r>
      <w:r w:rsidR="004C4948">
        <w:rPr>
          <w:lang w:val="ru-RU"/>
        </w:rPr>
        <w:t>просов</w:t>
      </w:r>
      <w:r w:rsidR="00CB3B30" w:rsidRPr="000F2ADD">
        <w:rPr>
          <w:lang w:val="ru-RU"/>
        </w:rPr>
        <w:t xml:space="preserve">, материалов и предложений, изложена в разделе II; </w:t>
      </w:r>
      <w:r w:rsidR="00C770BE">
        <w:rPr>
          <w:lang w:val="ru-RU"/>
        </w:rPr>
        <w:t>группирование</w:t>
      </w:r>
      <w:r w:rsidR="00CB3B30" w:rsidRPr="000F2ADD">
        <w:rPr>
          <w:lang w:val="ru-RU"/>
        </w:rPr>
        <w:t xml:space="preserve"> за</w:t>
      </w:r>
      <w:r w:rsidR="00C770BE">
        <w:rPr>
          <w:lang w:val="ru-RU"/>
        </w:rPr>
        <w:t>просов</w:t>
      </w:r>
      <w:r w:rsidR="00CB3B30" w:rsidRPr="000F2ADD">
        <w:rPr>
          <w:lang w:val="ru-RU"/>
        </w:rPr>
        <w:t xml:space="preserve">, материалов и предложений </w:t>
      </w:r>
      <w:r w:rsidR="00C770BE">
        <w:rPr>
          <w:lang w:val="ru-RU"/>
        </w:rPr>
        <w:t>по</w:t>
      </w:r>
      <w:r w:rsidR="00CB3B30" w:rsidRPr="000F2ADD">
        <w:rPr>
          <w:lang w:val="ru-RU"/>
        </w:rPr>
        <w:t xml:space="preserve"> тем</w:t>
      </w:r>
      <w:r w:rsidR="00C770BE">
        <w:rPr>
          <w:lang w:val="ru-RU"/>
        </w:rPr>
        <w:t>ам</w:t>
      </w:r>
      <w:r w:rsidR="00CB3B30" w:rsidRPr="000F2ADD">
        <w:rPr>
          <w:lang w:val="ru-RU"/>
        </w:rPr>
        <w:t xml:space="preserve"> и их связ</w:t>
      </w:r>
      <w:r w:rsidR="00C770BE">
        <w:rPr>
          <w:lang w:val="ru-RU"/>
        </w:rPr>
        <w:t>и</w:t>
      </w:r>
      <w:r w:rsidR="00CB3B30" w:rsidRPr="000F2ADD">
        <w:rPr>
          <w:lang w:val="ru-RU"/>
        </w:rPr>
        <w:t xml:space="preserve"> с проектом следующей программы работы Платформы (IPBES/7/6) </w:t>
      </w:r>
      <w:r w:rsidR="00C770BE">
        <w:rPr>
          <w:lang w:val="ru-RU"/>
        </w:rPr>
        <w:t>освещается</w:t>
      </w:r>
      <w:r w:rsidR="00C770BE" w:rsidRPr="000F2ADD">
        <w:rPr>
          <w:lang w:val="ru-RU"/>
        </w:rPr>
        <w:t xml:space="preserve"> </w:t>
      </w:r>
      <w:r w:rsidR="00CB3B30" w:rsidRPr="000F2ADD">
        <w:rPr>
          <w:lang w:val="ru-RU"/>
        </w:rPr>
        <w:t>в разделе III (дополняемом документом</w:t>
      </w:r>
      <w:r w:rsidR="008F607A">
        <w:rPr>
          <w:lang w:val="ru-RU"/>
        </w:rPr>
        <w:t> </w:t>
      </w:r>
      <w:r w:rsidR="00CB3B30" w:rsidRPr="000F2ADD">
        <w:rPr>
          <w:lang w:val="ru-RU"/>
        </w:rPr>
        <w:t>IPBES/7/INF/21), а порядок определения приоритетности запросов Пленумом и Бюро разъясняется в разделе IV.</w:t>
      </w:r>
      <w:bookmarkStart w:id="1" w:name="_Hlk1026073"/>
      <w:bookmarkEnd w:id="1"/>
    </w:p>
    <w:p w14:paraId="4D68DDB1" w14:textId="6FA6F7DB" w:rsidR="00CB3B30" w:rsidRPr="000F2ADD" w:rsidRDefault="00271C96" w:rsidP="00271C96">
      <w:pPr>
        <w:pStyle w:val="Heading1"/>
        <w:rPr>
          <w:lang w:val="ru-RU"/>
        </w:rPr>
      </w:pPr>
      <w:r>
        <w:rPr>
          <w:lang w:val="ru-RU"/>
        </w:rPr>
        <w:tab/>
      </w:r>
      <w:r w:rsidR="00CB3B30" w:rsidRPr="000F2ADD">
        <w:rPr>
          <w:lang w:val="ru-RU"/>
        </w:rPr>
        <w:t>II.</w:t>
      </w:r>
      <w:r w:rsidR="00CB3B30" w:rsidRPr="000F2ADD">
        <w:rPr>
          <w:lang w:val="ru-RU"/>
        </w:rPr>
        <w:tab/>
        <w:t xml:space="preserve">Методологический подход к определению приоритетности </w:t>
      </w:r>
    </w:p>
    <w:p w14:paraId="4B0DB07C" w14:textId="737F73BB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5.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Методологический подход, использовавшийся для определения приоритетности полученных запросов, материалов и предложений, был основан на подходе, использованном при подготовке проекта программы работы на период 2014-2018 годов, изложенного в документе IPBES/2/3. Запросы были проанализированы Группой и Бюро в ходе совместной части их двенадцатого совещания, состоявшегося в Бонне, Германия, 22-26 октября 2018 года. </w:t>
      </w:r>
    </w:p>
    <w:p w14:paraId="67384F13" w14:textId="3E31B556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6.</w:t>
      </w:r>
      <w:r>
        <w:rPr>
          <w:lang w:val="ru-RU"/>
        </w:rPr>
        <w:tab/>
      </w:r>
      <w:r w:rsidR="00CB3B30" w:rsidRPr="000F2ADD">
        <w:rPr>
          <w:lang w:val="ru-RU"/>
        </w:rPr>
        <w:t>Группа и Бюро отметили, что многие из отдельных запросов, материалов и предложений касались аналогичных или смежных широких тем, и работали над выявлением групп сообщений по аналогичным темам. В результате этой работы все сообщения были сгруппированы по пяти широким темам, которые описываются в разделе III.</w:t>
      </w:r>
    </w:p>
    <w:p w14:paraId="763E776C" w14:textId="7B87D1C7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7.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Затем Группа и Бюро приступили к определению приоритетности этих пяти тем в соответствии с десятью критериями, изложенными в пункте 7 решения МПБЭУ-1/3 и воспроизводимыми ниже: </w:t>
      </w:r>
    </w:p>
    <w:p w14:paraId="55785D2C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a)</w:t>
      </w:r>
      <w:r w:rsidRPr="000F2ADD">
        <w:rPr>
          <w:lang w:val="ru-RU"/>
        </w:rPr>
        <w:tab/>
        <w:t xml:space="preserve">связь с целью, функциями и программой работы Платформы; </w:t>
      </w:r>
    </w:p>
    <w:p w14:paraId="059B5367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b)</w:t>
      </w:r>
      <w:r w:rsidRPr="000F2ADD">
        <w:rPr>
          <w:lang w:val="ru-RU"/>
        </w:rPr>
        <w:tab/>
        <w:t>необходимость принятия Платформой срочных мер в свете надвигающейся опасности, обусловленной проблемами, на устранение которых должны быть направлены такие меры;</w:t>
      </w:r>
    </w:p>
    <w:p w14:paraId="32DB57E8" w14:textId="0FB72964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c)</w:t>
      </w:r>
      <w:r w:rsidRPr="000F2ADD">
        <w:rPr>
          <w:lang w:val="ru-RU"/>
        </w:rPr>
        <w:tab/>
        <w:t>актуальность запрашиваемых мер с точки зрения конкретных стратегий или конкретных процессов;</w:t>
      </w:r>
    </w:p>
    <w:p w14:paraId="23C82FAE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d)</w:t>
      </w:r>
      <w:r w:rsidRPr="000F2ADD">
        <w:rPr>
          <w:lang w:val="ru-RU"/>
        </w:rPr>
        <w:tab/>
        <w:t xml:space="preserve">географические рамки запрашиваемых мер, а также вопросов, на решение которых должны быть направлены такие меры; </w:t>
      </w:r>
    </w:p>
    <w:p w14:paraId="51D9FC3A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e)</w:t>
      </w:r>
      <w:r w:rsidRPr="000F2ADD">
        <w:rPr>
          <w:lang w:val="ru-RU"/>
        </w:rPr>
        <w:tab/>
        <w:t xml:space="preserve">ожидаемый уровень сложности вопросов, на решение которых должны быть направлены запрашиваемые меры; </w:t>
      </w:r>
    </w:p>
    <w:p w14:paraId="32AE2AFE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f)</w:t>
      </w:r>
      <w:r w:rsidRPr="000F2ADD">
        <w:rPr>
          <w:lang w:val="ru-RU"/>
        </w:rPr>
        <w:tab/>
        <w:t xml:space="preserve">ранее проделанная работа и существующие инициативы аналогичного характера и сведения о сохраняющихся пробелах, в частности отсутствии или ограниченном характере информации и инструментов для решения этих вопросов, и причинах, по которым Платформа является наиболее подходящим органом для принятия таких мер; </w:t>
      </w:r>
    </w:p>
    <w:p w14:paraId="5EB417A8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g)</w:t>
      </w:r>
      <w:r w:rsidRPr="000F2ADD">
        <w:rPr>
          <w:lang w:val="ru-RU"/>
        </w:rPr>
        <w:tab/>
        <w:t xml:space="preserve">наличие научных публикаций и экспертных данных, с опорой на которые Платформа могла бы принять запрашиваемые меры; </w:t>
      </w:r>
    </w:p>
    <w:p w14:paraId="3DFC6983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h)</w:t>
      </w:r>
      <w:r w:rsidRPr="000F2ADD">
        <w:rPr>
          <w:lang w:val="ru-RU"/>
        </w:rPr>
        <w:tab/>
        <w:t xml:space="preserve">масштаб потенциального воздействия и потенциальные бенефициары запрашиваемых мер; </w:t>
      </w:r>
    </w:p>
    <w:p w14:paraId="1768AC7F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i)</w:t>
      </w:r>
      <w:r w:rsidRPr="000F2ADD">
        <w:rPr>
          <w:lang w:val="ru-RU"/>
        </w:rPr>
        <w:tab/>
        <w:t xml:space="preserve">потребности в финансовых и людских ресурсах и потенциальная продолжительность осуществления запрашиваемых мер; </w:t>
      </w:r>
    </w:p>
    <w:p w14:paraId="25AE38D0" w14:textId="77777777" w:rsidR="00CB3B30" w:rsidRPr="000F2ADD" w:rsidRDefault="00CB3B30" w:rsidP="00271C96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ab/>
        <w:t>j)</w:t>
      </w:r>
      <w:r w:rsidRPr="000F2ADD">
        <w:rPr>
          <w:lang w:val="ru-RU"/>
        </w:rPr>
        <w:tab/>
        <w:t xml:space="preserve">определение очередности запросов при направлении одновременно нескольких запросов. </w:t>
      </w:r>
    </w:p>
    <w:p w14:paraId="27C651A4" w14:textId="70C15BBB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8.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Особое внимание было уделено </w:t>
      </w:r>
      <w:r w:rsidR="002B0B9B">
        <w:rPr>
          <w:lang w:val="ru-RU"/>
        </w:rPr>
        <w:t>срочным</w:t>
      </w:r>
      <w:r w:rsidR="00333EBF">
        <w:t xml:space="preserve"> </w:t>
      </w:r>
      <w:r w:rsidR="005A3F65">
        <w:rPr>
          <w:lang w:val="ru-RU"/>
        </w:rPr>
        <w:t>мер</w:t>
      </w:r>
      <w:r w:rsidR="002B0B9B">
        <w:rPr>
          <w:lang w:val="ru-RU"/>
        </w:rPr>
        <w:t>ам</w:t>
      </w:r>
      <w:r w:rsidR="00CB3B30" w:rsidRPr="000F2ADD">
        <w:rPr>
          <w:lang w:val="ru-RU"/>
        </w:rPr>
        <w:t>, запрашиваемы</w:t>
      </w:r>
      <w:r w:rsidR="002B0B9B">
        <w:rPr>
          <w:lang w:val="ru-RU"/>
        </w:rPr>
        <w:t>м</w:t>
      </w:r>
      <w:r w:rsidR="00CB3B30" w:rsidRPr="000F2ADD">
        <w:rPr>
          <w:lang w:val="ru-RU"/>
        </w:rPr>
        <w:t xml:space="preserve"> у Платформы (пункт</w:t>
      </w:r>
      <w:r w:rsidR="00D153E3">
        <w:t> </w:t>
      </w:r>
      <w:r w:rsidR="00CB3B30" w:rsidRPr="000F2ADD">
        <w:rPr>
          <w:lang w:val="ru-RU"/>
        </w:rPr>
        <w:t xml:space="preserve">b)), и актуальности для конкретных стратегий или процессов (пункт c)) и, в частности, в соответствии с решением МПБЭУ-5/3, для Повестки дня в области устойчивого развития на период до 2030 года, включая цели в области устойчивого развития, связанные с биоразнообразием </w:t>
      </w:r>
      <w:r w:rsidR="002B0B9B">
        <w:rPr>
          <w:lang w:val="ru-RU"/>
        </w:rPr>
        <w:t>к</w:t>
      </w:r>
      <w:r w:rsidR="002B0B9B" w:rsidRPr="000F2ADD">
        <w:rPr>
          <w:lang w:val="ru-RU"/>
        </w:rPr>
        <w:t xml:space="preserve">онвенции </w:t>
      </w:r>
      <w:r w:rsidR="00CB3B30" w:rsidRPr="000F2ADD">
        <w:rPr>
          <w:lang w:val="ru-RU"/>
        </w:rPr>
        <w:t xml:space="preserve">и другие процессы, касающиеся биоразнообразия и экосистемных услуг. </w:t>
      </w:r>
    </w:p>
    <w:p w14:paraId="7E36BE64" w14:textId="5835EE2D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9.</w:t>
      </w:r>
      <w:r>
        <w:rPr>
          <w:lang w:val="ru-RU"/>
        </w:rPr>
        <w:tab/>
      </w:r>
      <w:r w:rsidR="00CB3B30" w:rsidRPr="000F2ADD">
        <w:rPr>
          <w:lang w:val="ru-RU"/>
        </w:rPr>
        <w:t>Для обеспечения баланса при определении приоритетности запросов Группа и Бюро также уделили особое внимание запросам, представляемым в рамках многосторонних природоохранных соглашений, учитывая тот факт, что многие правительства не направили запросы. Некоторые правительства направили запросы, аналогичные тем, которые делались в рамках многосторонних природоохранных соглашений, а другие заявили о поддержке сообщений, полученных от некоторых из этих соглашений.</w:t>
      </w:r>
    </w:p>
    <w:p w14:paraId="1532FCEA" w14:textId="27FF2484" w:rsidR="00CB3B30" w:rsidRPr="000F2ADD" w:rsidRDefault="00271C96" w:rsidP="000F2ADD">
      <w:pPr>
        <w:spacing w:after="120"/>
        <w:ind w:left="1247"/>
        <w:rPr>
          <w:lang w:val="ru-RU"/>
        </w:rPr>
      </w:pPr>
      <w:r w:rsidRPr="00271C96">
        <w:rPr>
          <w:lang w:val="ru-RU"/>
        </w:rPr>
        <w:t>10.</w:t>
      </w:r>
      <w:r w:rsidRPr="00271C96">
        <w:rPr>
          <w:lang w:val="ru-RU"/>
        </w:rPr>
        <w:tab/>
      </w:r>
      <w:r w:rsidR="00CB3B30" w:rsidRPr="000F2ADD">
        <w:rPr>
          <w:lang w:val="ru-RU"/>
        </w:rPr>
        <w:t>Бюро и Группа согласились с тем, что программа работы на период 2019-2030 годов, как и первая программа работы, должна преследовать ограниченный набор целей, которые будут достигаться за счет конкретных результатов, охватывая небольшое число приоритетных тем</w:t>
      </w:r>
      <w:r w:rsidRPr="00271C96">
        <w:rPr>
          <w:vertAlign w:val="superscript"/>
          <w:lang w:val="ru-RU"/>
        </w:rPr>
        <w:footnoteReference w:id="4"/>
      </w:r>
      <w:r w:rsidR="00CB3B30" w:rsidRPr="000F2ADD">
        <w:rPr>
          <w:lang w:val="ru-RU"/>
        </w:rPr>
        <w:t xml:space="preserve">. В целях обеспечения сбалансированного осуществления четырех функций МПБЭУ в рамках программы работы до 2030 года Группа и Бюро договорились структурировать программу работы по шести целям, одна из которых будет связана с каждой из четырех функций МПБЭУ, другая </w:t>
      </w:r>
      <w:r>
        <w:rPr>
          <w:lang w:val="ru-RU"/>
        </w:rPr>
        <w:t>–</w:t>
      </w:r>
      <w:r w:rsidR="00CB3B30" w:rsidRPr="000F2ADD">
        <w:rPr>
          <w:lang w:val="ru-RU"/>
        </w:rPr>
        <w:t xml:space="preserve"> с </w:t>
      </w:r>
      <w:r w:rsidR="002B0B9B">
        <w:rPr>
          <w:lang w:val="ru-RU"/>
        </w:rPr>
        <w:t>информационным обеспечением</w:t>
      </w:r>
      <w:r w:rsidR="002B0B9B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и участием, а еще одна </w:t>
      </w:r>
      <w:r w:rsidR="00870EFE">
        <w:rPr>
          <w:lang w:val="ru-RU"/>
        </w:rPr>
        <w:t>–</w:t>
      </w:r>
      <w:r w:rsidR="00CB3B30" w:rsidRPr="000F2ADD">
        <w:rPr>
          <w:lang w:val="ru-RU"/>
        </w:rPr>
        <w:t xml:space="preserve"> с обзором эффективности Платформы и других важных элементов ее работы. Более подробно эти цели изложены ниже:</w:t>
      </w:r>
    </w:p>
    <w:p w14:paraId="601D56C7" w14:textId="7B7EFEEC" w:rsidR="00CB3B30" w:rsidRPr="00870EFE" w:rsidRDefault="00CB3B30" w:rsidP="00CE3F2E">
      <w:pPr>
        <w:pStyle w:val="ListParagraph"/>
        <w:numPr>
          <w:ilvl w:val="0"/>
          <w:numId w:val="4"/>
        </w:numPr>
        <w:spacing w:after="120"/>
        <w:ind w:left="1871" w:hanging="624"/>
        <w:contextualSpacing w:val="0"/>
        <w:rPr>
          <w:lang w:val="ru-RU"/>
        </w:rPr>
      </w:pPr>
      <w:r w:rsidRPr="00870EFE">
        <w:rPr>
          <w:b/>
          <w:lang w:val="ru-RU"/>
        </w:rPr>
        <w:t>Цель 1</w:t>
      </w:r>
      <w:r w:rsidRPr="004A7C17">
        <w:rPr>
          <w:b/>
          <w:lang w:val="ru-RU"/>
        </w:rPr>
        <w:t>:</w:t>
      </w:r>
      <w:r w:rsidRPr="00870EFE">
        <w:rPr>
          <w:lang w:val="ru-RU"/>
        </w:rPr>
        <w:t xml:space="preserve"> </w:t>
      </w:r>
      <w:r w:rsidRPr="00870EFE">
        <w:rPr>
          <w:b/>
          <w:lang w:val="ru-RU"/>
        </w:rPr>
        <w:t>оценка знаний.</w:t>
      </w:r>
      <w:r w:rsidRPr="00870EFE">
        <w:rPr>
          <w:lang w:val="ru-RU"/>
        </w:rPr>
        <w:t xml:space="preserve"> Эта цель включает результаты, которые позволяют проводить оценку знаний</w:t>
      </w:r>
      <w:r w:rsidR="002B0B9B">
        <w:rPr>
          <w:lang w:val="ru-RU"/>
        </w:rPr>
        <w:t>,</w:t>
      </w:r>
      <w:r w:rsidRPr="00870EFE">
        <w:rPr>
          <w:lang w:val="ru-RU"/>
        </w:rPr>
        <w:t xml:space="preserve"> и </w:t>
      </w:r>
      <w:r w:rsidR="0099448A">
        <w:rPr>
          <w:lang w:val="ru-RU"/>
        </w:rPr>
        <w:t xml:space="preserve">обеспечивает </w:t>
      </w:r>
      <w:r w:rsidRPr="00870EFE">
        <w:rPr>
          <w:lang w:val="ru-RU"/>
        </w:rPr>
        <w:t>реализ</w:t>
      </w:r>
      <w:r w:rsidR="0099448A">
        <w:rPr>
          <w:lang w:val="ru-RU"/>
        </w:rPr>
        <w:t>ацию</w:t>
      </w:r>
      <w:r w:rsidRPr="00870EFE">
        <w:rPr>
          <w:lang w:val="ru-RU"/>
        </w:rPr>
        <w:t xml:space="preserve"> втор</w:t>
      </w:r>
      <w:r w:rsidR="0099448A">
        <w:rPr>
          <w:lang w:val="ru-RU"/>
        </w:rPr>
        <w:t>ой</w:t>
      </w:r>
      <w:r w:rsidRPr="00870EFE">
        <w:rPr>
          <w:lang w:val="ru-RU"/>
        </w:rPr>
        <w:t xml:space="preserve"> функци</w:t>
      </w:r>
      <w:r w:rsidR="0099448A">
        <w:rPr>
          <w:lang w:val="ru-RU"/>
        </w:rPr>
        <w:t>и</w:t>
      </w:r>
      <w:r w:rsidRPr="00870EFE">
        <w:rPr>
          <w:lang w:val="ru-RU"/>
        </w:rPr>
        <w:t xml:space="preserve"> МПБЭУ. Оценки могут быть тематическими, методологическими, проводиться на региональном или глобальном уровне и осуществляться на основе стандартного или ускоренного подхода. Эта цель может также включать результаты, связанные с подготовкой технических документов</w:t>
      </w:r>
      <w:r w:rsidR="00870EFE" w:rsidRPr="00870EFE">
        <w:rPr>
          <w:vertAlign w:val="superscript"/>
          <w:lang w:val="ru-RU"/>
        </w:rPr>
        <w:footnoteReference w:id="5"/>
      </w:r>
      <w:r w:rsidRPr="00870EFE">
        <w:rPr>
          <w:lang w:val="ru-RU"/>
        </w:rPr>
        <w:t xml:space="preserve">. </w:t>
      </w:r>
    </w:p>
    <w:p w14:paraId="6096EBDB" w14:textId="23F731BF" w:rsidR="00CB3B30" w:rsidRPr="00870EFE" w:rsidRDefault="00CB3B30" w:rsidP="00CE3F2E">
      <w:pPr>
        <w:pStyle w:val="ListParagraph"/>
        <w:numPr>
          <w:ilvl w:val="0"/>
          <w:numId w:val="4"/>
        </w:numPr>
        <w:spacing w:after="120"/>
        <w:ind w:left="1871" w:hanging="624"/>
        <w:contextualSpacing w:val="0"/>
        <w:rPr>
          <w:lang w:val="ru-RU"/>
        </w:rPr>
      </w:pPr>
      <w:r w:rsidRPr="00870EFE">
        <w:rPr>
          <w:b/>
          <w:lang w:val="ru-RU"/>
        </w:rPr>
        <w:t>Цель 2: создание потенциала.</w:t>
      </w:r>
      <w:r w:rsidRPr="00870EFE">
        <w:rPr>
          <w:lang w:val="ru-RU"/>
        </w:rPr>
        <w:t xml:space="preserve"> Эта цель включает результаты, связанные с созданием потенциала, и обеспечивает реализацию четвертой функции МПБЭУ. Мероприятия связаны с тремя приоритетными темами, изложенными в пункте 28 настоящего документа, а также с работой, которая была начата в рамках первой программы работы в контексте осуществления скользящего плана в области создания потенциала</w:t>
      </w:r>
      <w:r w:rsidR="00870EFE" w:rsidRPr="00870EFE">
        <w:rPr>
          <w:vertAlign w:val="superscript"/>
          <w:lang w:val="ru-RU"/>
        </w:rPr>
        <w:footnoteReference w:id="6"/>
      </w:r>
      <w:r w:rsidRPr="00870EFE">
        <w:rPr>
          <w:lang w:val="ru-RU"/>
        </w:rPr>
        <w:t xml:space="preserve">. </w:t>
      </w:r>
    </w:p>
    <w:p w14:paraId="18E3090D" w14:textId="77777777" w:rsidR="00CB3B30" w:rsidRPr="00870EFE" w:rsidRDefault="00CB3B30" w:rsidP="00CE3F2E">
      <w:pPr>
        <w:pStyle w:val="ListParagraph"/>
        <w:numPr>
          <w:ilvl w:val="0"/>
          <w:numId w:val="4"/>
        </w:numPr>
        <w:spacing w:after="120"/>
        <w:ind w:left="1871" w:hanging="624"/>
        <w:contextualSpacing w:val="0"/>
        <w:rPr>
          <w:lang w:val="ru-RU"/>
        </w:rPr>
      </w:pPr>
      <w:r w:rsidRPr="00870EFE">
        <w:rPr>
          <w:b/>
          <w:lang w:val="ru-RU"/>
        </w:rPr>
        <w:t>Цель 3: укрепление базы знаний.</w:t>
      </w:r>
      <w:r w:rsidRPr="00870EFE">
        <w:rPr>
          <w:lang w:val="ru-RU"/>
        </w:rPr>
        <w:t xml:space="preserve"> Эта цель включает результаты, обеспечивающие ускорение работы в области данных и знаний, а также признание систем знаний коренного и местного населения и работу с ними. Она обеспечивает реализацию первой функции МПБЭУ и ее руководящего принципа взаимодействия с различными системами знаний, включая знания коренного и местного населения. Мероприятия касаются трех приоритетных тем, а также работы, которая была начата в рамках первой программы работы в контексте применения подхода, связанного с признанием важности знаний коренного и местного населения и работой с ними.</w:t>
      </w:r>
    </w:p>
    <w:p w14:paraId="58DEFF0E" w14:textId="774CF0E1" w:rsidR="00CB3B30" w:rsidRPr="00870EFE" w:rsidRDefault="00CB3B30" w:rsidP="00CE3F2E">
      <w:pPr>
        <w:pStyle w:val="ListParagraph"/>
        <w:numPr>
          <w:ilvl w:val="0"/>
          <w:numId w:val="4"/>
        </w:numPr>
        <w:spacing w:after="120"/>
        <w:ind w:left="1871" w:hanging="624"/>
        <w:contextualSpacing w:val="0"/>
        <w:rPr>
          <w:lang w:val="ru-RU"/>
        </w:rPr>
      </w:pPr>
      <w:r w:rsidRPr="00870EFE">
        <w:rPr>
          <w:b/>
          <w:lang w:val="ru-RU"/>
        </w:rPr>
        <w:t>Цель 4: поддерж</w:t>
      </w:r>
      <w:r w:rsidR="00A20B8C">
        <w:rPr>
          <w:b/>
          <w:lang w:val="ru-RU"/>
        </w:rPr>
        <w:t>ка</w:t>
      </w:r>
      <w:r w:rsidRPr="00870EFE">
        <w:rPr>
          <w:b/>
          <w:lang w:val="ru-RU"/>
        </w:rPr>
        <w:t xml:space="preserve"> политик</w:t>
      </w:r>
      <w:r w:rsidR="00A20B8C">
        <w:rPr>
          <w:b/>
          <w:lang w:val="ru-RU"/>
        </w:rPr>
        <w:t>и</w:t>
      </w:r>
      <w:r w:rsidRPr="00870EFE">
        <w:rPr>
          <w:b/>
          <w:lang w:val="ru-RU"/>
        </w:rPr>
        <w:t>.</w:t>
      </w:r>
      <w:r w:rsidRPr="00870EFE">
        <w:rPr>
          <w:lang w:val="ru-RU"/>
        </w:rPr>
        <w:t xml:space="preserve"> Эта цель включает результаты, направленные на поддержку разработки и осуществления политики, в том числе путем ускорения работы над инструментами политики и методологиями, касающимися сценариев и моделей для биоразнообразия и экосистемных услуг и оценке их ценности. Она обеспечивает реализацию третьей функции МПБЭУ. Мероприятия касаются трех приоритетных тем, а также работы, которая была начата в рамках первой программы работы.</w:t>
      </w:r>
    </w:p>
    <w:p w14:paraId="7DEB92ED" w14:textId="5DC1CE04" w:rsidR="00CB3B30" w:rsidRPr="00870EFE" w:rsidRDefault="00CB3B30" w:rsidP="00CE3F2E">
      <w:pPr>
        <w:pStyle w:val="ListParagraph"/>
        <w:numPr>
          <w:ilvl w:val="0"/>
          <w:numId w:val="4"/>
        </w:numPr>
        <w:spacing w:after="120"/>
        <w:ind w:left="1871" w:hanging="624"/>
        <w:contextualSpacing w:val="0"/>
        <w:rPr>
          <w:lang w:val="ru-RU"/>
        </w:rPr>
      </w:pPr>
      <w:r w:rsidRPr="00870EFE">
        <w:rPr>
          <w:b/>
          <w:lang w:val="ru-RU"/>
        </w:rPr>
        <w:t xml:space="preserve">Цель 5: </w:t>
      </w:r>
      <w:r w:rsidR="004C4948">
        <w:rPr>
          <w:b/>
          <w:lang w:val="ru-RU"/>
        </w:rPr>
        <w:t>информационное обеспечение</w:t>
      </w:r>
      <w:r w:rsidR="004C4948" w:rsidRPr="00870EFE">
        <w:rPr>
          <w:b/>
          <w:lang w:val="ru-RU"/>
        </w:rPr>
        <w:t xml:space="preserve"> </w:t>
      </w:r>
      <w:r w:rsidRPr="00870EFE">
        <w:rPr>
          <w:b/>
          <w:lang w:val="ru-RU"/>
        </w:rPr>
        <w:t>и участие.</w:t>
      </w:r>
      <w:r w:rsidRPr="00870EFE">
        <w:rPr>
          <w:lang w:val="ru-RU"/>
        </w:rPr>
        <w:t xml:space="preserve"> Эта цель направлена на повышение авторитета МПБЭУ, обеспечение использования ее продуктов, вовлечение ее членов и заинтересованных сторон и расширение ее членского состава и охвата. </w:t>
      </w:r>
    </w:p>
    <w:p w14:paraId="51707BF1" w14:textId="77777777" w:rsidR="00CB3B30" w:rsidRPr="00870EFE" w:rsidRDefault="00CB3B30" w:rsidP="00CE3F2E">
      <w:pPr>
        <w:pStyle w:val="ListParagraph"/>
        <w:numPr>
          <w:ilvl w:val="0"/>
          <w:numId w:val="4"/>
        </w:numPr>
        <w:spacing w:after="240"/>
        <w:ind w:left="1871" w:hanging="624"/>
        <w:contextualSpacing w:val="0"/>
        <w:rPr>
          <w:lang w:val="ru-RU"/>
        </w:rPr>
      </w:pPr>
      <w:r w:rsidRPr="00870EFE">
        <w:rPr>
          <w:b/>
          <w:lang w:val="ru-RU"/>
        </w:rPr>
        <w:t>Цель 6: обзор эффективности.</w:t>
      </w:r>
      <w:r w:rsidRPr="00870EFE">
        <w:rPr>
          <w:lang w:val="ru-RU"/>
        </w:rPr>
        <w:t xml:space="preserve"> Данная цель направлена на обеспечение учета итогов обзора первой программы работы при осуществлении программы работы на период до 2030 года и разработки процедуры среднесрочного и окончательного обзора программы работы на период до 2030 года.</w:t>
      </w:r>
    </w:p>
    <w:p w14:paraId="634FB17A" w14:textId="18F00F0B" w:rsidR="00CB3B30" w:rsidRPr="000F2ADD" w:rsidRDefault="00870EFE" w:rsidP="00870EFE">
      <w:pPr>
        <w:pStyle w:val="Heading1"/>
        <w:rPr>
          <w:lang w:val="ru-RU"/>
        </w:rPr>
      </w:pPr>
      <w:r>
        <w:rPr>
          <w:lang w:val="ru-RU"/>
        </w:rPr>
        <w:tab/>
      </w:r>
      <w:r w:rsidR="00CB3B30" w:rsidRPr="000F2ADD">
        <w:rPr>
          <w:lang w:val="ru-RU"/>
        </w:rPr>
        <w:t>III.</w:t>
      </w:r>
      <w:r w:rsidR="00CB3B30" w:rsidRPr="000F2ADD">
        <w:rPr>
          <w:lang w:val="ru-RU"/>
        </w:rPr>
        <w:tab/>
      </w:r>
      <w:r w:rsidR="0099448A">
        <w:rPr>
          <w:lang w:val="ru-RU"/>
        </w:rPr>
        <w:t>Группирование</w:t>
      </w:r>
      <w:r w:rsidR="0099448A" w:rsidRPr="000F2ADD">
        <w:rPr>
          <w:lang w:val="ru-RU"/>
        </w:rPr>
        <w:t xml:space="preserve"> </w:t>
      </w:r>
      <w:r w:rsidR="00CB3B30" w:rsidRPr="000F2ADD">
        <w:rPr>
          <w:lang w:val="ru-RU"/>
        </w:rPr>
        <w:t>за</w:t>
      </w:r>
      <w:r w:rsidR="0099448A">
        <w:rPr>
          <w:lang w:val="ru-RU"/>
        </w:rPr>
        <w:t>просов</w:t>
      </w:r>
      <w:r w:rsidR="00CB3B30" w:rsidRPr="000F2ADD">
        <w:rPr>
          <w:lang w:val="ru-RU"/>
        </w:rPr>
        <w:t xml:space="preserve">, материалов и предложений </w:t>
      </w:r>
    </w:p>
    <w:p w14:paraId="035888DD" w14:textId="4C7DDBFB" w:rsidR="00CB3B30" w:rsidRPr="000F2ADD" w:rsidRDefault="00870EFE" w:rsidP="000F2ADD">
      <w:pPr>
        <w:spacing w:after="120"/>
        <w:ind w:left="1247"/>
        <w:rPr>
          <w:lang w:val="ru-RU"/>
        </w:rPr>
      </w:pPr>
      <w:r w:rsidRPr="00870EFE">
        <w:rPr>
          <w:lang w:val="ru-RU"/>
        </w:rPr>
        <w:t>11.</w:t>
      </w:r>
      <w:r w:rsidRPr="00870EFE">
        <w:rPr>
          <w:lang w:val="ru-RU"/>
        </w:rPr>
        <w:tab/>
      </w:r>
      <w:r w:rsidR="0099448A">
        <w:rPr>
          <w:lang w:val="ru-RU"/>
        </w:rPr>
        <w:t>Свод</w:t>
      </w:r>
      <w:r w:rsidR="0099448A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полученных запросов, материалов и предложений и подробная информация о том, как они были рассмотрены, содержится в документе IPBES/7/INF/21. </w:t>
      </w:r>
    </w:p>
    <w:p w14:paraId="76873D34" w14:textId="136D14DD" w:rsidR="00CB3B30" w:rsidRPr="000F2ADD" w:rsidRDefault="00870EFE" w:rsidP="000F2ADD">
      <w:pPr>
        <w:spacing w:after="120"/>
        <w:ind w:left="1247"/>
        <w:rPr>
          <w:lang w:val="ru-RU"/>
        </w:rPr>
      </w:pPr>
      <w:r w:rsidRPr="00870EFE">
        <w:rPr>
          <w:lang w:val="ru-RU"/>
        </w:rPr>
        <w:t>12.</w:t>
      </w:r>
      <w:r w:rsidRPr="00870EFE">
        <w:rPr>
          <w:lang w:val="ru-RU"/>
        </w:rPr>
        <w:tab/>
      </w:r>
      <w:r w:rsidR="00CB3B30" w:rsidRPr="000F2ADD">
        <w:rPr>
          <w:lang w:val="ru-RU"/>
        </w:rPr>
        <w:t>Многодисциплинарная группа экспертов и Бюро смогли сгруппировать большинство за</w:t>
      </w:r>
      <w:r w:rsidR="0099448A">
        <w:rPr>
          <w:lang w:val="ru-RU"/>
        </w:rPr>
        <w:t>просов</w:t>
      </w:r>
      <w:r w:rsidR="00CB3B30" w:rsidRPr="000F2ADD">
        <w:rPr>
          <w:lang w:val="ru-RU"/>
        </w:rPr>
        <w:t xml:space="preserve">, материалов и предложений по пяти широким темам (как это указано в части А). Кроме того, были получены другие запросы, материалы и предложения, в которых предлагались мероприятия в поддержку программы работы и которые Группа и Бюро сгруппировали в соответствии с целями программы работы на период до 2030 года (как это указано в части В). </w:t>
      </w:r>
    </w:p>
    <w:p w14:paraId="3D43F990" w14:textId="5AC60C3E" w:rsidR="00CB3B30" w:rsidRPr="000F2ADD" w:rsidRDefault="00870EFE" w:rsidP="00870EFE">
      <w:pPr>
        <w:pStyle w:val="CH1"/>
        <w:keepNext/>
      </w:pPr>
      <w:r>
        <w:tab/>
      </w:r>
      <w:r w:rsidR="00CB3B30" w:rsidRPr="000F2ADD">
        <w:t>A.</w:t>
      </w:r>
      <w:r w:rsidR="00CB3B30" w:rsidRPr="000F2ADD">
        <w:tab/>
      </w:r>
      <w:r w:rsidR="0099448A">
        <w:t>Группирование</w:t>
      </w:r>
      <w:r w:rsidR="0099448A" w:rsidRPr="000F2ADD">
        <w:t xml:space="preserve"> </w:t>
      </w:r>
      <w:r w:rsidR="00CB3B30" w:rsidRPr="000F2ADD">
        <w:t>запросов по темам</w:t>
      </w:r>
    </w:p>
    <w:p w14:paraId="73C9E4F2" w14:textId="7AD09BEF" w:rsidR="00CB3B30" w:rsidRPr="00870EFE" w:rsidRDefault="00870EFE" w:rsidP="00870EFE">
      <w:pPr>
        <w:pStyle w:val="Heading1"/>
        <w:rPr>
          <w:sz w:val="20"/>
          <w:lang w:val="ru-RU"/>
        </w:rPr>
      </w:pPr>
      <w:bookmarkStart w:id="2" w:name="_Hlk526753485"/>
      <w:r>
        <w:rPr>
          <w:sz w:val="20"/>
          <w:lang w:val="ru-RU"/>
        </w:rPr>
        <w:tab/>
      </w:r>
      <w:r w:rsidR="00CB3B30" w:rsidRPr="00870EFE">
        <w:rPr>
          <w:sz w:val="20"/>
          <w:lang w:val="ru-RU"/>
        </w:rPr>
        <w:t>1.</w:t>
      </w:r>
      <w:r w:rsidR="00CB3B30" w:rsidRPr="00870EFE">
        <w:rPr>
          <w:sz w:val="20"/>
          <w:lang w:val="ru-RU"/>
        </w:rPr>
        <w:tab/>
        <w:t xml:space="preserve">Тема 1: </w:t>
      </w:r>
      <w:r w:rsidR="0099448A">
        <w:rPr>
          <w:sz w:val="20"/>
          <w:lang w:val="ru-RU"/>
        </w:rPr>
        <w:t>Популяризация проблематики</w:t>
      </w:r>
      <w:r w:rsidR="0099448A" w:rsidRPr="00870EFE">
        <w:rPr>
          <w:sz w:val="20"/>
          <w:lang w:val="ru-RU"/>
        </w:rPr>
        <w:t xml:space="preserve"> </w:t>
      </w:r>
      <w:r w:rsidR="00CB3B30" w:rsidRPr="00870EFE">
        <w:rPr>
          <w:sz w:val="20"/>
          <w:lang w:val="ru-RU"/>
        </w:rPr>
        <w:t xml:space="preserve">биоразнообразия для достижения целей Повестки дня в области устойчивого развития на период до 2030 года </w:t>
      </w:r>
      <w:bookmarkEnd w:id="2"/>
    </w:p>
    <w:p w14:paraId="23611DBD" w14:textId="1C157C5A" w:rsidR="00CB3B30" w:rsidRPr="000F2ADD" w:rsidRDefault="00870EFE" w:rsidP="000F2ADD">
      <w:pPr>
        <w:spacing w:after="120"/>
        <w:ind w:left="1247"/>
        <w:rPr>
          <w:lang w:val="ru-RU"/>
        </w:rPr>
      </w:pPr>
      <w:r w:rsidRPr="00870EFE">
        <w:rPr>
          <w:lang w:val="ru-RU"/>
        </w:rPr>
        <w:t>13.</w:t>
      </w:r>
      <w:r w:rsidRPr="00870EFE">
        <w:rPr>
          <w:lang w:val="ru-RU"/>
        </w:rPr>
        <w:tab/>
      </w:r>
      <w:r w:rsidR="00CB3B30" w:rsidRPr="000F2ADD">
        <w:rPr>
          <w:lang w:val="ru-RU"/>
        </w:rPr>
        <w:t>МПБЭУ получила несколько запросов, материалов и предложений, касающихся взаимосвязи между биоразнообразием и рядом тематических областей, являющихся в высшей степени актуальными для Повестки дня на период до 2030 года и целей в области устойчивого развития. К ним относятся следующие:</w:t>
      </w:r>
    </w:p>
    <w:p w14:paraId="5FBE9F05" w14:textId="7C5C3C67" w:rsidR="00CB3B30" w:rsidRPr="00870EFE" w:rsidRDefault="00870EFE" w:rsidP="00870EFE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870EFE">
        <w:rPr>
          <w:sz w:val="20"/>
          <w:lang w:val="ru-RU"/>
        </w:rPr>
        <w:t>a)</w:t>
      </w:r>
      <w:r w:rsidR="00CB3B30" w:rsidRPr="00870EFE">
        <w:rPr>
          <w:sz w:val="20"/>
          <w:lang w:val="ru-RU"/>
        </w:rPr>
        <w:tab/>
        <w:t>Имеющие отношение к цели 1, касающейся оценки знаний</w:t>
      </w:r>
    </w:p>
    <w:p w14:paraId="2EE767F9" w14:textId="6E01EC8D" w:rsidR="00CB3B30" w:rsidRPr="000F2ADD" w:rsidRDefault="00870EFE" w:rsidP="00870EFE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870EFE">
        <w:rPr>
          <w:lang w:val="ru-RU"/>
        </w:rPr>
        <w:t>)</w:t>
      </w:r>
      <w:r>
        <w:rPr>
          <w:lang w:val="ru-RU"/>
        </w:rPr>
        <w:tab/>
        <w:t>з</w:t>
      </w:r>
      <w:r w:rsidR="00CB3B30" w:rsidRPr="000F2ADD">
        <w:rPr>
          <w:lang w:val="ru-RU"/>
        </w:rPr>
        <w:t xml:space="preserve">апрос, представленный Конвенцией о биологическом разнообразии, о проведении оценки смежных вопросов биоразнообразия, продовольствия и водных ресурсов, сельского хозяйства и здравоохранения, питания и продовольственной безопасности, лесного хозяйства и рыболовства, с учетом </w:t>
      </w:r>
      <w:r w:rsidR="00913141">
        <w:rPr>
          <w:lang w:val="ru-RU"/>
        </w:rPr>
        <w:t>компромиссов</w:t>
      </w:r>
      <w:r w:rsidR="00913141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между этими областями, и соответствующих вариантов политики в области устойчивого производства и потребления, загрязнения и урбанизации, включая последствия для энергетики и климата, с учетом роли биоразнообразия и экосистемных услуг в деле достижения целей в области устойчивого развития, с тем чтобы обеспечить принятие решений в поддержку согласованной политики и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изменений, необходимых для реализации Концепции в области биоразнообразия на период до 2050 года; </w:t>
      </w:r>
    </w:p>
    <w:p w14:paraId="7E8C772C" w14:textId="39C86607" w:rsidR="00CB3B30" w:rsidRPr="000F2ADD" w:rsidRDefault="00870EFE" w:rsidP="00870EFE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аналогичные запросы были представлены Европейским союзом, Организацией Объединенных Наций по вопросам образования, науки и культуры (ЮНЕСКО) и Норвежским институтом изучения природы (НИНА); </w:t>
      </w:r>
    </w:p>
    <w:p w14:paraId="6DC4CA45" w14:textId="0BC7BB00" w:rsidR="00CB3B30" w:rsidRPr="000F2ADD" w:rsidRDefault="00870EFE" w:rsidP="00870EFE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870EFE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другие связанные с этим запросы, материалы и предложения, некоторые из которых касались только одной цели в области устойчивого развития или нескольких целей, включая следующие: </w:t>
      </w:r>
    </w:p>
    <w:p w14:paraId="31909980" w14:textId="0C6A4572" w:rsidR="00CB3B30" w:rsidRPr="000F2ADD" w:rsidRDefault="00870EFE" w:rsidP="002243E8">
      <w:pPr>
        <w:spacing w:after="120"/>
        <w:ind w:left="3119" w:hanging="624"/>
        <w:rPr>
          <w:lang w:val="ru-RU"/>
        </w:rPr>
      </w:pPr>
      <w:proofErr w:type="spellStart"/>
      <w:r>
        <w:rPr>
          <w:lang w:val="en-US"/>
        </w:rPr>
        <w:t>i</w:t>
      </w:r>
      <w:proofErr w:type="spellEnd"/>
      <w:r w:rsidRPr="00870EFE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научные данные о многочисленных выгодах экосистемных подходов, направленных на решение проблем изменения климата и сохранения биоразнообразия при одновременном обеспечении выгод, связанных с водными ресурсами, уменьшением опасности бедствий, качеством воздуха и здоровьем людей, а также экономических и социальных проблем (представлен Европейским союзом); аналогичный запрос от Программы Организации Объединенных Наций по окружающей среде (ЮНЕП) и Глобальной ассоциации нефтегазовой промышленности по экологическим и социальным вопросам (ИПИЕКА);</w:t>
      </w:r>
    </w:p>
    <w:p w14:paraId="135D94A7" w14:textId="46BC8A2B" w:rsidR="00CB3B30" w:rsidRPr="000F2ADD" w:rsidRDefault="00870EFE" w:rsidP="002243E8">
      <w:pPr>
        <w:spacing w:after="120"/>
        <w:ind w:left="3119" w:hanging="624"/>
        <w:rPr>
          <w:lang w:val="ru-RU"/>
        </w:rPr>
      </w:pPr>
      <w:r>
        <w:rPr>
          <w:lang w:val="en-US"/>
        </w:rPr>
        <w:t>ii</w:t>
      </w:r>
      <w:r w:rsidRPr="00870EFE">
        <w:rPr>
          <w:lang w:val="ru-RU"/>
        </w:rPr>
        <w:t>)</w:t>
      </w:r>
      <w:r w:rsidRPr="00870EFE">
        <w:rPr>
          <w:lang w:val="ru-RU"/>
        </w:rPr>
        <w:tab/>
      </w:r>
      <w:r>
        <w:rPr>
          <w:lang w:val="ru-RU"/>
        </w:rPr>
        <w:t>т</w:t>
      </w:r>
      <w:r w:rsidR="00CB3B30" w:rsidRPr="000F2ADD">
        <w:rPr>
          <w:lang w:val="ru-RU"/>
        </w:rPr>
        <w:t>емы, касающиеся биоразнообразия и сокращения масштабов, смягчения последствий и предупреждения нищеты (связаны с целью 1 в области устойчивого развития, касающейся нищеты; представлены Китаем);</w:t>
      </w:r>
    </w:p>
    <w:p w14:paraId="081C7348" w14:textId="2F95444F" w:rsidR="00CB3B30" w:rsidRPr="000F2ADD" w:rsidRDefault="00870EFE" w:rsidP="002243E8">
      <w:pPr>
        <w:spacing w:after="120"/>
        <w:ind w:left="3119" w:hanging="624"/>
        <w:rPr>
          <w:lang w:val="ru-RU"/>
        </w:rPr>
      </w:pPr>
      <w:r>
        <w:rPr>
          <w:lang w:val="en-US"/>
        </w:rPr>
        <w:t>iii</w:t>
      </w:r>
      <w:r w:rsidRPr="00870EFE">
        <w:rPr>
          <w:lang w:val="ru-RU"/>
        </w:rPr>
        <w:t>)</w:t>
      </w:r>
      <w:r>
        <w:rPr>
          <w:lang w:val="ru-RU"/>
        </w:rPr>
        <w:tab/>
        <w:t>т</w:t>
      </w:r>
      <w:r w:rsidR="00CB3B30" w:rsidRPr="000F2ADD">
        <w:rPr>
          <w:lang w:val="ru-RU"/>
        </w:rPr>
        <w:t xml:space="preserve">емы, касающиеся биоразнообразия и продовольственных систем (связаны с целью 1 в области устойчивого развития, касающейся нищеты, и целью 2, касающейся голода; представлены Францией, Норвегией, организацией </w:t>
      </w:r>
      <w:r>
        <w:rPr>
          <w:lang w:val="ru-RU"/>
        </w:rPr>
        <w:t>«</w:t>
      </w:r>
      <w:r w:rsidR="00CB3B30" w:rsidRPr="000F2ADD">
        <w:rPr>
          <w:lang w:val="ru-RU"/>
        </w:rPr>
        <w:t xml:space="preserve">Биоверсити </w:t>
      </w:r>
      <w:r w:rsidR="00737A83" w:rsidRPr="000F2ADD">
        <w:rPr>
          <w:lang w:val="ru-RU"/>
        </w:rPr>
        <w:t>интернэшнл</w:t>
      </w:r>
      <w:r>
        <w:rPr>
          <w:lang w:val="ru-RU"/>
        </w:rPr>
        <w:t>»</w:t>
      </w:r>
      <w:r w:rsidR="00CB3B30" w:rsidRPr="000F2ADD">
        <w:rPr>
          <w:lang w:val="ru-RU"/>
        </w:rPr>
        <w:t>, исследовательским центром Консультативной группы по международным сельскохозяйственным исследованиям (КГМСХИ), Фондом ЕАТ (также в связи с здравоохранением) и Международным союзом по вопросам питания); включая также темы, касающиеся воздействия утраты ризосферного макробиоразнообразия и микробиоразнообразия на производительность и устойчивость агропродовольственных систем (Европейский союз) и роли устойчивого сельского хозяйства в сохранении биоразнообразия (Всемирный фонд дикой природы);</w:t>
      </w:r>
    </w:p>
    <w:p w14:paraId="467F55DE" w14:textId="0532E0D4" w:rsidR="00CB3B30" w:rsidRPr="000F2ADD" w:rsidRDefault="00870EFE" w:rsidP="002243E8">
      <w:pPr>
        <w:spacing w:after="120"/>
        <w:ind w:left="3119" w:hanging="624"/>
        <w:rPr>
          <w:lang w:val="ru-RU"/>
        </w:rPr>
      </w:pPr>
      <w:r>
        <w:rPr>
          <w:lang w:val="en-US"/>
        </w:rPr>
        <w:t>iv</w:t>
      </w:r>
      <w:r w:rsidRPr="00870EFE">
        <w:rPr>
          <w:lang w:val="ru-RU"/>
        </w:rPr>
        <w:t>)</w:t>
      </w:r>
      <w:r w:rsidRPr="00870EFE">
        <w:rPr>
          <w:lang w:val="ru-RU"/>
        </w:rPr>
        <w:tab/>
      </w:r>
      <w:r>
        <w:rPr>
          <w:lang w:val="ru-RU"/>
        </w:rPr>
        <w:t>т</w:t>
      </w:r>
      <w:r w:rsidR="00CB3B30" w:rsidRPr="000F2ADD">
        <w:rPr>
          <w:lang w:val="ru-RU"/>
        </w:rPr>
        <w:t xml:space="preserve">емы, касающиеся биоразнообразия и здоровья (связаны с целью 3 в области устойчивого развития); представлены Бельгией, Финляндией, Францией и Сетью по оценке инициативы </w:t>
      </w:r>
      <w:r>
        <w:rPr>
          <w:lang w:val="ru-RU"/>
        </w:rPr>
        <w:t>«</w:t>
      </w:r>
      <w:r w:rsidR="00CB3B30" w:rsidRPr="000F2ADD">
        <w:rPr>
          <w:lang w:val="ru-RU"/>
        </w:rPr>
        <w:t>Единая система охраны здоровья</w:t>
      </w:r>
      <w:r>
        <w:rPr>
          <w:lang w:val="ru-RU"/>
        </w:rPr>
        <w:t>»</w:t>
      </w:r>
      <w:r w:rsidR="00CB3B30" w:rsidRPr="000F2ADD">
        <w:rPr>
          <w:lang w:val="ru-RU"/>
        </w:rPr>
        <w:t>); а также болезней, поражающих диких животных и растений, и борьбы с ними (Южная Африка);</w:t>
      </w:r>
    </w:p>
    <w:p w14:paraId="1E0DEEC8" w14:textId="1926C73B" w:rsidR="00CB3B30" w:rsidRPr="000F2ADD" w:rsidRDefault="00870EFE" w:rsidP="002243E8">
      <w:pPr>
        <w:spacing w:after="120"/>
        <w:ind w:left="3119" w:hanging="624"/>
        <w:rPr>
          <w:lang w:val="ru-RU"/>
        </w:rPr>
      </w:pPr>
      <w:r>
        <w:rPr>
          <w:lang w:val="en-US"/>
        </w:rPr>
        <w:t>v</w:t>
      </w:r>
      <w:r w:rsidRPr="00870EFE">
        <w:rPr>
          <w:lang w:val="ru-RU"/>
        </w:rPr>
        <w:t>)</w:t>
      </w:r>
      <w:r>
        <w:rPr>
          <w:lang w:val="ru-RU"/>
        </w:rPr>
        <w:tab/>
      </w:r>
      <w:r w:rsidR="00737A83" w:rsidRPr="000F2ADD">
        <w:rPr>
          <w:lang w:val="ru-RU"/>
        </w:rPr>
        <w:t>темы</w:t>
      </w:r>
      <w:r w:rsidR="00CB3B30" w:rsidRPr="000F2ADD">
        <w:rPr>
          <w:lang w:val="ru-RU"/>
        </w:rPr>
        <w:t xml:space="preserve">, касающиеся биоразнообразия и урбанизации (связаны с целью 11 в области устойчивого развития, касающейся устойчивых городов; представлены Финляндией, Европейским союзом, Европейским институтом землепользования и организацией МОВУР </w:t>
      </w:r>
      <w:r>
        <w:rPr>
          <w:lang w:val="ru-RU"/>
        </w:rPr>
        <w:t>–</w:t>
      </w:r>
      <w:r w:rsidR="00CB3B30" w:rsidRPr="000F2ADD">
        <w:rPr>
          <w:lang w:val="ru-RU"/>
        </w:rPr>
        <w:t xml:space="preserve"> </w:t>
      </w:r>
      <w:r>
        <w:rPr>
          <w:lang w:val="ru-RU"/>
        </w:rPr>
        <w:t>«</w:t>
      </w:r>
      <w:r w:rsidR="00CB3B30" w:rsidRPr="000F2ADD">
        <w:rPr>
          <w:lang w:val="ru-RU"/>
        </w:rPr>
        <w:t>Местные органы власти за устойчивое развитие</w:t>
      </w:r>
      <w:r>
        <w:rPr>
          <w:lang w:val="ru-RU"/>
        </w:rPr>
        <w:t>»</w:t>
      </w:r>
      <w:r w:rsidR="00CB3B30" w:rsidRPr="000F2ADD">
        <w:rPr>
          <w:lang w:val="ru-RU"/>
        </w:rPr>
        <w:t xml:space="preserve">); </w:t>
      </w:r>
    </w:p>
    <w:p w14:paraId="178E2CED" w14:textId="2D2FA8DC" w:rsidR="00CB3B30" w:rsidRPr="000F2ADD" w:rsidRDefault="00870EFE" w:rsidP="002243E8">
      <w:pPr>
        <w:spacing w:after="120"/>
        <w:ind w:left="3119" w:hanging="624"/>
        <w:rPr>
          <w:lang w:val="ru-RU"/>
        </w:rPr>
      </w:pPr>
      <w:r>
        <w:rPr>
          <w:lang w:val="en-US"/>
        </w:rPr>
        <w:t>vi</w:t>
      </w:r>
      <w:r w:rsidRPr="00870EFE">
        <w:rPr>
          <w:lang w:val="ru-RU"/>
        </w:rPr>
        <w:t>)</w:t>
      </w:r>
      <w:r w:rsidRPr="00870EFE">
        <w:rPr>
          <w:lang w:val="ru-RU"/>
        </w:rPr>
        <w:tab/>
      </w:r>
      <w:r w:rsidR="00737A83" w:rsidRPr="000F2ADD">
        <w:rPr>
          <w:lang w:val="ru-RU"/>
        </w:rPr>
        <w:t>темы</w:t>
      </w:r>
      <w:r w:rsidR="00CB3B30" w:rsidRPr="000F2ADD">
        <w:rPr>
          <w:lang w:val="ru-RU"/>
        </w:rPr>
        <w:t>, касающиеся биоразнообразия и изменения климата (связаны с целью 13 в области устойчивого развития; представлены Бразилией, Китаем, Францией, Норвегией, ЮНЕП, ЮНЕСКО, НИНА, ИПИЕКА и Всемирным фондом дикой природы); включая также как положительные, так и отрицательные последствия для экосистем и критические моменты в климатической системе (Европейский союз); голубой углерод в прибрежных и морских экосистемах (Финляндия); воздействие вызванных изменением климата океанографических изменений на морское биоразнообразие; воздействие расширения использования биомассы и методов улавливания и хранения углерода на биоразнообразие и экосистемы (Норвегия); окисление океана (ЮНЕСКО); и оценка влияния на биоразнообразие специального доклада Межправительственной группы экспертов по изменению климата (МГЭИК) о воздействии глобального потепления в 1,5 градуса Цельсия (ЮНЕП). В ряде запросов, материалов и сообщений подчеркивалась необходимость усиления сотрудничества между МПБЭУ и МГЭИК, включая проведение потенциальных совместных мероприятий по оценке (Конвенция о биологическом разнообразии, Франция, Норвегия, Программа развития Организации Объединенных Наций (ПРООН) и Всемирный фонд дикой природы);</w:t>
      </w:r>
    </w:p>
    <w:p w14:paraId="445E3167" w14:textId="2CAC8422" w:rsidR="00CB3B30" w:rsidRPr="000F2ADD" w:rsidRDefault="00870EFE" w:rsidP="002243E8">
      <w:pPr>
        <w:spacing w:after="120"/>
        <w:ind w:left="3119" w:hanging="624"/>
        <w:rPr>
          <w:lang w:val="ru-RU"/>
        </w:rPr>
      </w:pPr>
      <w:r>
        <w:rPr>
          <w:lang w:val="en-US"/>
        </w:rPr>
        <w:t>vii</w:t>
      </w:r>
      <w:r w:rsidRPr="00870EFE">
        <w:rPr>
          <w:lang w:val="ru-RU"/>
        </w:rPr>
        <w:t>)</w:t>
      </w:r>
      <w:r>
        <w:rPr>
          <w:lang w:val="ru-RU"/>
        </w:rPr>
        <w:tab/>
      </w:r>
      <w:r w:rsidR="00737A83" w:rsidRPr="000F2ADD">
        <w:rPr>
          <w:lang w:val="ru-RU"/>
        </w:rPr>
        <w:t xml:space="preserve">решение </w:t>
      </w:r>
      <w:r w:rsidR="00CB3B30" w:rsidRPr="000F2ADD">
        <w:rPr>
          <w:lang w:val="ru-RU"/>
        </w:rPr>
        <w:t xml:space="preserve">проблемы </w:t>
      </w:r>
      <w:r w:rsidR="002243E8">
        <w:rPr>
          <w:lang w:val="ru-RU"/>
        </w:rPr>
        <w:t>«</w:t>
      </w:r>
      <w:r w:rsidR="00CB3B30" w:rsidRPr="000F2ADD">
        <w:rPr>
          <w:lang w:val="ru-RU"/>
        </w:rPr>
        <w:t>тройной угрозы</w:t>
      </w:r>
      <w:r w:rsidR="002243E8">
        <w:rPr>
          <w:lang w:val="ru-RU"/>
        </w:rPr>
        <w:t>»</w:t>
      </w:r>
      <w:r w:rsidR="00CB3B30" w:rsidRPr="000F2ADD">
        <w:rPr>
          <w:lang w:val="ru-RU"/>
        </w:rPr>
        <w:t xml:space="preserve">, связанной с обеспечением растущего населения мира продовольствием, поддержанием температуры ниже уровня 1,5 градуса Цельсия и восстановлением природы (Всемирный фонд дикой природы); </w:t>
      </w:r>
    </w:p>
    <w:p w14:paraId="6C9A03D2" w14:textId="16EDBE13" w:rsidR="00CB3B30" w:rsidRPr="002243E8" w:rsidRDefault="002243E8" w:rsidP="002243E8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2243E8">
        <w:rPr>
          <w:sz w:val="20"/>
          <w:lang w:val="ru-RU"/>
        </w:rPr>
        <w:t>b)</w:t>
      </w:r>
      <w:r w:rsidR="00CB3B30" w:rsidRPr="002243E8">
        <w:rPr>
          <w:sz w:val="20"/>
          <w:lang w:val="ru-RU"/>
        </w:rPr>
        <w:tab/>
        <w:t xml:space="preserve">Имеющие отношение к цели 2, касающейся создания потенциала </w:t>
      </w:r>
    </w:p>
    <w:p w14:paraId="6B919376" w14:textId="0906729A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предоставить ученым и директивным органам возможность использовать продукты МПБЭУ для принятия решений, основанных на природных факторах (Европейский союз и аналогичный запрос от ЮНЕП); </w:t>
      </w:r>
    </w:p>
    <w:p w14:paraId="4AD2FF97" w14:textId="0B06611E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разработать учебные материалы по биоразнообразию и продовольственным системам (Франция);</w:t>
      </w:r>
    </w:p>
    <w:p w14:paraId="1BA42916" w14:textId="39A18A23" w:rsidR="00CB3B30" w:rsidRPr="002243E8" w:rsidRDefault="002243E8" w:rsidP="002243E8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2243E8">
        <w:rPr>
          <w:sz w:val="20"/>
          <w:lang w:val="ru-RU"/>
        </w:rPr>
        <w:t>c)</w:t>
      </w:r>
      <w:r w:rsidR="00CB3B30" w:rsidRPr="002243E8">
        <w:rPr>
          <w:sz w:val="20"/>
          <w:lang w:val="ru-RU"/>
        </w:rPr>
        <w:tab/>
        <w:t>Имеющие отношение к цели 3, касающейся укрепления базы знаний</w:t>
      </w:r>
    </w:p>
    <w:p w14:paraId="03C8F3AF" w14:textId="77777777" w:rsidR="00CB3B30" w:rsidRPr="000F2ADD" w:rsidRDefault="00CB3B30" w:rsidP="002243E8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>содействовать реализации программы по распространению знаний и научных данных, касающихся экосистемных подходов, на основе продуктов МПБЭУ (Европейский союз);</w:t>
      </w:r>
    </w:p>
    <w:p w14:paraId="4F392703" w14:textId="5ADCDEB3" w:rsidR="00CB3B30" w:rsidRPr="002243E8" w:rsidRDefault="002243E8" w:rsidP="002243E8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2243E8">
        <w:rPr>
          <w:sz w:val="20"/>
          <w:lang w:val="ru-RU"/>
        </w:rPr>
        <w:t>d)</w:t>
      </w:r>
      <w:r w:rsidR="00CB3B30" w:rsidRPr="002243E8">
        <w:rPr>
          <w:sz w:val="20"/>
          <w:lang w:val="ru-RU"/>
        </w:rPr>
        <w:tab/>
        <w:t>Имеющие отношение к цели 4, касающейся поддерж</w:t>
      </w:r>
      <w:r w:rsidR="00A20B8C">
        <w:rPr>
          <w:sz w:val="20"/>
          <w:lang w:val="ru-RU"/>
        </w:rPr>
        <w:t>к</w:t>
      </w:r>
      <w:r w:rsidR="00CB3B30" w:rsidRPr="002243E8">
        <w:rPr>
          <w:sz w:val="20"/>
          <w:lang w:val="ru-RU"/>
        </w:rPr>
        <w:t>и политики</w:t>
      </w:r>
    </w:p>
    <w:p w14:paraId="5E9A7EE5" w14:textId="64B7E898" w:rsidR="00CB3B30" w:rsidRPr="000F2ADD" w:rsidRDefault="00737A83" w:rsidP="002243E8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>выявление</w:t>
      </w:r>
      <w:r w:rsidR="00CB3B30" w:rsidRPr="000F2ADD">
        <w:rPr>
          <w:lang w:val="ru-RU"/>
        </w:rPr>
        <w:t xml:space="preserve">, </w:t>
      </w:r>
      <w:r w:rsidR="0099448A">
        <w:rPr>
          <w:lang w:val="ru-RU"/>
        </w:rPr>
        <w:t>популяризация</w:t>
      </w:r>
      <w:r w:rsidR="0099448A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и дальнейшая разработка: </w:t>
      </w:r>
    </w:p>
    <w:p w14:paraId="68030B1A" w14:textId="3D23C1EC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инструментов для оценки эффективности политики в области продовольственной безопасности и связи с биоразнообразием (Китай); </w:t>
      </w:r>
    </w:p>
    <w:p w14:paraId="57CDE492" w14:textId="50A14114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инструментов, обеспечивающих возможность увязки продовольственной безопасности с биоразнообразием и проведения оценки воздействия торговли на биоразнообразие, включенных в каталог инструментов поддержки политики (Франция); </w:t>
      </w:r>
    </w:p>
    <w:p w14:paraId="10C6A61C" w14:textId="18F52EEF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инструментов и механизмов поддержки политики для адаптации к изменению климата и смягчения его последствий (Новая Зеландия);</w:t>
      </w:r>
    </w:p>
    <w:p w14:paraId="2FDF3752" w14:textId="5496AE97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инструментов для разработки и осуществления экосистемных подходов (Европейский союз и аналогичный запрос, представленный ЮНЕП).</w:t>
      </w:r>
    </w:p>
    <w:p w14:paraId="215A12A4" w14:textId="7E630A2C" w:rsidR="00CB3B30" w:rsidRPr="002243E8" w:rsidRDefault="002243E8" w:rsidP="003F5E3C">
      <w:pPr>
        <w:pStyle w:val="Heading1"/>
        <w:keepNext/>
        <w:keepLines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2243E8">
        <w:rPr>
          <w:sz w:val="20"/>
          <w:lang w:val="ru-RU"/>
        </w:rPr>
        <w:t>2.</w:t>
      </w:r>
      <w:r w:rsidR="00CB3B30" w:rsidRPr="002243E8">
        <w:rPr>
          <w:sz w:val="20"/>
          <w:lang w:val="ru-RU"/>
        </w:rPr>
        <w:tab/>
        <w:t xml:space="preserve">Тема 2: Понимание коренных причин утраты биоразнообразия и определяющих факторов </w:t>
      </w:r>
      <w:r w:rsidR="0099448A">
        <w:rPr>
          <w:sz w:val="20"/>
          <w:lang w:val="ru-RU"/>
        </w:rPr>
        <w:t>преобразовательных</w:t>
      </w:r>
      <w:r w:rsidR="0099448A" w:rsidRPr="002243E8">
        <w:rPr>
          <w:sz w:val="20"/>
          <w:lang w:val="ru-RU"/>
        </w:rPr>
        <w:t xml:space="preserve"> </w:t>
      </w:r>
      <w:r w:rsidR="00CB3B30" w:rsidRPr="002243E8">
        <w:rPr>
          <w:sz w:val="20"/>
          <w:lang w:val="ru-RU"/>
        </w:rPr>
        <w:t>изменений для реализации Концепции в области биоразнообразия на период до 2050 года</w:t>
      </w:r>
    </w:p>
    <w:p w14:paraId="1789ECDB" w14:textId="7975F10F" w:rsidR="00CB3B30" w:rsidRPr="000F2ADD" w:rsidRDefault="002243E8" w:rsidP="003F5E3C">
      <w:pPr>
        <w:keepNext/>
        <w:keepLines/>
        <w:spacing w:after="120"/>
        <w:ind w:left="1247"/>
        <w:rPr>
          <w:lang w:val="ru-RU"/>
        </w:rPr>
      </w:pPr>
      <w:r w:rsidRPr="002243E8">
        <w:rPr>
          <w:lang w:val="ru-RU"/>
        </w:rPr>
        <w:t>14.</w:t>
      </w:r>
      <w:r w:rsidRPr="002243E8">
        <w:rPr>
          <w:lang w:val="ru-RU"/>
        </w:rPr>
        <w:tab/>
      </w:r>
      <w:r w:rsidR="00CB3B30" w:rsidRPr="000F2ADD">
        <w:rPr>
          <w:lang w:val="ru-RU"/>
        </w:rPr>
        <w:t xml:space="preserve">МПБЭУ получила несколько запросов, материалов и предложений, касающихся коренных причин и косвенных факторов утраты биоразнообразия, а также вопросов, связанных с институтами и управлением. К ним относятся следующие: </w:t>
      </w:r>
    </w:p>
    <w:p w14:paraId="215047C8" w14:textId="39777E63" w:rsidR="00CB3B30" w:rsidRPr="002243E8" w:rsidRDefault="002243E8" w:rsidP="003F5E3C">
      <w:pPr>
        <w:pStyle w:val="Heading1"/>
        <w:keepNext/>
        <w:keepLines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2243E8">
        <w:rPr>
          <w:sz w:val="20"/>
          <w:lang w:val="ru-RU"/>
        </w:rPr>
        <w:t>a)</w:t>
      </w:r>
      <w:r w:rsidR="00CB3B30" w:rsidRPr="002243E8">
        <w:rPr>
          <w:sz w:val="20"/>
          <w:lang w:val="ru-RU"/>
        </w:rPr>
        <w:tab/>
        <w:t>Имеющие отношение к цели 1, касающейся оценки знаний</w:t>
      </w:r>
    </w:p>
    <w:p w14:paraId="1FDE7C4E" w14:textId="388A3CF6" w:rsidR="00CB3B30" w:rsidRPr="000F2ADD" w:rsidRDefault="002243E8" w:rsidP="003F5E3C">
      <w:pPr>
        <w:keepNext/>
        <w:keepLines/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просьба понять и оценить [компонент биоразнообразия] поведенческие, социальные, экономические, институциональные, технические и технологические определяющие факторы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>изменений и пути их осуществления для реализации i) Концепции в области биоразнообразия на период до 2050 года (представлена Конвенцией о биологическом разнообразии при поддержке Норвегии и Европейского союза); и ii) Повестки дня на период до 2030 года (ЮНЕСКО);</w:t>
      </w:r>
    </w:p>
    <w:p w14:paraId="35537C1A" w14:textId="114EFA85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2243E8">
        <w:rPr>
          <w:lang w:val="ru-RU"/>
        </w:rPr>
        <w:t>)</w:t>
      </w:r>
      <w:r>
        <w:rPr>
          <w:lang w:val="ru-RU"/>
        </w:rPr>
        <w:tab/>
        <w:t>т</w:t>
      </w:r>
      <w:r w:rsidR="00CB3B30" w:rsidRPr="000F2ADD">
        <w:rPr>
          <w:lang w:val="ru-RU"/>
        </w:rPr>
        <w:t>ема, касающаяся разработки многодисциплинарного подхода к пониманию взаимо</w:t>
      </w:r>
      <w:r w:rsidR="00913141">
        <w:rPr>
          <w:lang w:val="ru-RU"/>
        </w:rPr>
        <w:t>действия</w:t>
      </w:r>
      <w:r w:rsidR="00CB3B30" w:rsidRPr="000F2ADD">
        <w:rPr>
          <w:lang w:val="ru-RU"/>
        </w:rPr>
        <w:t xml:space="preserve"> между прямыми и косвенными факторами утраты биоразнообразия (Конвенция о биологическом разнообразии; Норвегия) для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>изменений и решения ключевых социальных проблем (Европейский союз);</w:t>
      </w:r>
    </w:p>
    <w:p w14:paraId="5ECCBB06" w14:textId="6130B01F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2243E8">
        <w:rPr>
          <w:lang w:val="ru-RU"/>
        </w:rPr>
        <w:t>)</w:t>
      </w:r>
      <w:r w:rsidRPr="002243E8">
        <w:rPr>
          <w:lang w:val="ru-RU"/>
        </w:rPr>
        <w:tab/>
      </w:r>
      <w:r w:rsidR="00CB3B30" w:rsidRPr="000F2ADD">
        <w:rPr>
          <w:lang w:val="ru-RU"/>
        </w:rPr>
        <w:t>оценка общинных протоколов по биоразнообразию (Бразилия);</w:t>
      </w:r>
    </w:p>
    <w:p w14:paraId="6F2FBD41" w14:textId="39D6408A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методологическая комплексная оценка критериев, параметров и показателей для измерения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изменений; и методологическая оценка критериев, параметров и показателей, пригодных для реализации мер по достижению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изменений (Европейский союз); </w:t>
      </w:r>
    </w:p>
    <w:p w14:paraId="157C4BEB" w14:textId="01E5C1DE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тема, касающаяся биоразнообразия и международной торговли (Франция);</w:t>
      </w:r>
    </w:p>
    <w:p w14:paraId="5C794006" w14:textId="6B76BEFA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2243E8">
        <w:rPr>
          <w:lang w:val="ru-RU"/>
        </w:rPr>
        <w:t>)</w:t>
      </w:r>
      <w:r>
        <w:rPr>
          <w:lang w:val="ru-RU"/>
        </w:rPr>
        <w:tab/>
        <w:t>те</w:t>
      </w:r>
      <w:r w:rsidR="00CB3B30" w:rsidRPr="000F2ADD">
        <w:rPr>
          <w:lang w:val="ru-RU"/>
        </w:rPr>
        <w:t xml:space="preserve">ма, касающаяся изучения вариантов разработки доказательной базы в поддержку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>изменений с точки зрения того, как общество оценивает, использует и восстанавливает экосистемы и природные ресурсы и регулирует компромиссы между различными требованиями, касающимися окружающей среды, включая взаимосвязь между биоразнообразием, продовольствием, энергией и здоровьем (Соединенное Королевство Великобритании и Северной Ирландии);</w:t>
      </w:r>
    </w:p>
    <w:p w14:paraId="329A1539" w14:textId="45897CA6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предложенный акцент на ячейку </w:t>
      </w:r>
      <w:r>
        <w:rPr>
          <w:lang w:val="ru-RU"/>
        </w:rPr>
        <w:t>«</w:t>
      </w:r>
      <w:r w:rsidR="00CB3B30" w:rsidRPr="000F2ADD">
        <w:rPr>
          <w:lang w:val="ru-RU"/>
        </w:rPr>
        <w:t>Институты и управление и другие косвенные факторы, влияющие на биоразнообразие и экосистемные услуги</w:t>
      </w:r>
      <w:r>
        <w:rPr>
          <w:lang w:val="ru-RU"/>
        </w:rPr>
        <w:t>»</w:t>
      </w:r>
      <w:r w:rsidR="00CB3B30" w:rsidRPr="000F2ADD">
        <w:rPr>
          <w:lang w:val="ru-RU"/>
        </w:rPr>
        <w:t xml:space="preserve"> </w:t>
      </w:r>
      <w:r w:rsidR="0099448A">
        <w:rPr>
          <w:lang w:val="ru-RU"/>
        </w:rPr>
        <w:t>системы понятий</w:t>
      </w:r>
      <w:r w:rsidR="00CB3B30" w:rsidRPr="000F2ADD">
        <w:rPr>
          <w:lang w:val="ru-RU"/>
        </w:rPr>
        <w:t xml:space="preserve"> МПБЭУ (ЮНЕП); </w:t>
      </w:r>
    </w:p>
    <w:p w14:paraId="5C2D0CE3" w14:textId="67337944" w:rsidR="00CB3B30" w:rsidRPr="002243E8" w:rsidRDefault="002243E8" w:rsidP="002243E8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2243E8">
        <w:rPr>
          <w:sz w:val="20"/>
          <w:lang w:val="ru-RU"/>
        </w:rPr>
        <w:t>b)</w:t>
      </w:r>
      <w:r w:rsidR="00CB3B30" w:rsidRPr="002243E8">
        <w:rPr>
          <w:sz w:val="20"/>
          <w:lang w:val="ru-RU"/>
        </w:rPr>
        <w:tab/>
        <w:t xml:space="preserve">Имеющие отношение к цели 2, касающейся создания потенциала </w:t>
      </w:r>
    </w:p>
    <w:p w14:paraId="475450DB" w14:textId="5BC07266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создание потенциала в области биоразнообразия и международной торговли (Франция); </w:t>
      </w:r>
    </w:p>
    <w:p w14:paraId="08AECD16" w14:textId="5FEE3434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FA2244">
        <w:rPr>
          <w:lang w:val="ru-RU"/>
        </w:rPr>
        <w:t>)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создание потенциала в области передачи информации о ценностях биоразнообразия и экосистемных услуг (ЮНЕП);</w:t>
      </w:r>
    </w:p>
    <w:p w14:paraId="34FE6B35" w14:textId="467FC1A6" w:rsidR="00CB3B30" w:rsidRPr="002243E8" w:rsidRDefault="002243E8" w:rsidP="002243E8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2243E8">
        <w:rPr>
          <w:sz w:val="20"/>
          <w:lang w:val="ru-RU"/>
        </w:rPr>
        <w:t>c)</w:t>
      </w:r>
      <w:r w:rsidR="00CB3B30" w:rsidRPr="002243E8">
        <w:rPr>
          <w:sz w:val="20"/>
          <w:lang w:val="ru-RU"/>
        </w:rPr>
        <w:tab/>
        <w:t>Имеющие отношение к цели 4, касающейся поддерж</w:t>
      </w:r>
      <w:r w:rsidR="0099448A">
        <w:rPr>
          <w:sz w:val="20"/>
          <w:lang w:val="ru-RU"/>
        </w:rPr>
        <w:t>ки</w:t>
      </w:r>
      <w:r w:rsidR="00CB3B30" w:rsidRPr="002243E8">
        <w:rPr>
          <w:sz w:val="20"/>
          <w:lang w:val="ru-RU"/>
        </w:rPr>
        <w:t xml:space="preserve"> политики </w:t>
      </w:r>
    </w:p>
    <w:p w14:paraId="1F639C29" w14:textId="3B8A9F7C" w:rsidR="00CB3B30" w:rsidRPr="000F2ADD" w:rsidRDefault="00737A83" w:rsidP="002243E8">
      <w:pPr>
        <w:spacing w:after="120"/>
        <w:ind w:left="1247" w:firstLine="624"/>
        <w:rPr>
          <w:lang w:val="ru-RU"/>
        </w:rPr>
      </w:pPr>
      <w:r w:rsidRPr="000F2ADD">
        <w:rPr>
          <w:lang w:val="ru-RU"/>
        </w:rPr>
        <w:t xml:space="preserve">ряд </w:t>
      </w:r>
      <w:r w:rsidR="00CB3B30" w:rsidRPr="000F2ADD">
        <w:rPr>
          <w:lang w:val="ru-RU"/>
        </w:rPr>
        <w:t xml:space="preserve">запросов, материалов и предложений, касающихся оценок эффективности инструментов политики, включая методологические оценки эффективности различных инструментов политики и инструментов поддержки политики и планирования для понимания путей достижения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изменений и методов описания и количественной оценки успешных подходов и примеров сохранения и устойчивого использования биоразнообразия и их воздействия (Конвенция о биологическом разнообразии, Китай; Европейский союз, Япония, Норвегия, ЮНЕП, ЮНЕСКО и НИНА), некоторые из которых были представлены для понимания путей достижения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>изменений.</w:t>
      </w:r>
    </w:p>
    <w:p w14:paraId="4B6A8472" w14:textId="58CB7BC4" w:rsidR="00CB3B30" w:rsidRPr="002243E8" w:rsidRDefault="002243E8" w:rsidP="00AB572C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2243E8">
        <w:rPr>
          <w:sz w:val="20"/>
          <w:lang w:val="ru-RU"/>
        </w:rPr>
        <w:t>3.</w:t>
      </w:r>
      <w:r w:rsidR="00CB3B30" w:rsidRPr="002243E8">
        <w:rPr>
          <w:sz w:val="20"/>
          <w:lang w:val="ru-RU"/>
        </w:rPr>
        <w:tab/>
        <w:t xml:space="preserve">Тема 3: Оценка влияния </w:t>
      </w:r>
      <w:r w:rsidR="008455B6">
        <w:rPr>
          <w:sz w:val="20"/>
          <w:lang w:val="ru-RU"/>
        </w:rPr>
        <w:t>хозяйственной деятельности</w:t>
      </w:r>
      <w:r w:rsidR="008455B6" w:rsidRPr="002243E8">
        <w:rPr>
          <w:sz w:val="20"/>
          <w:lang w:val="ru-RU"/>
        </w:rPr>
        <w:t xml:space="preserve"> </w:t>
      </w:r>
      <w:r w:rsidR="00CB3B30" w:rsidRPr="002243E8">
        <w:rPr>
          <w:sz w:val="20"/>
          <w:lang w:val="ru-RU"/>
        </w:rPr>
        <w:t xml:space="preserve">и зависимости от биоразнообразия и обеспечиваемого природой вклада на благо человека </w:t>
      </w:r>
    </w:p>
    <w:p w14:paraId="5067E20E" w14:textId="73A76897" w:rsidR="00CB3B30" w:rsidRPr="000F2ADD" w:rsidRDefault="002243E8" w:rsidP="00AB572C">
      <w:pPr>
        <w:spacing w:after="120"/>
        <w:ind w:left="1247"/>
        <w:rPr>
          <w:lang w:val="ru-RU"/>
        </w:rPr>
      </w:pPr>
      <w:r w:rsidRPr="002243E8">
        <w:rPr>
          <w:lang w:val="ru-RU"/>
        </w:rPr>
        <w:t>15.</w:t>
      </w:r>
      <w:r w:rsidRPr="002243E8">
        <w:rPr>
          <w:lang w:val="ru-RU"/>
        </w:rPr>
        <w:tab/>
      </w:r>
      <w:r w:rsidR="00CB3B30" w:rsidRPr="000F2ADD">
        <w:rPr>
          <w:lang w:val="ru-RU"/>
        </w:rPr>
        <w:t>МПБЭУ получила несколько запросов, материалов и предложений, напрямую касающихся взаимо</w:t>
      </w:r>
      <w:r w:rsidR="00913141">
        <w:rPr>
          <w:lang w:val="ru-RU"/>
        </w:rPr>
        <w:t>отношений</w:t>
      </w:r>
      <w:r w:rsidR="00CB3B30" w:rsidRPr="000F2ADD">
        <w:rPr>
          <w:lang w:val="ru-RU"/>
        </w:rPr>
        <w:t xml:space="preserve"> между биоразнообразием, экосистемными услугами и производственными секторами. Все соответствующие темы относятся как к цели 1, касающейся оценки знаний, так и к цели 4, касающейся поддерж</w:t>
      </w:r>
      <w:r w:rsidR="00A20B8C">
        <w:rPr>
          <w:lang w:val="ru-RU"/>
        </w:rPr>
        <w:t>к</w:t>
      </w:r>
      <w:r w:rsidR="00CB3B30" w:rsidRPr="000F2ADD">
        <w:rPr>
          <w:lang w:val="ru-RU"/>
        </w:rPr>
        <w:t>и политики, и заключаются в следующем:</w:t>
      </w:r>
    </w:p>
    <w:p w14:paraId="3C58085B" w14:textId="053D371F" w:rsidR="00CB3B30" w:rsidRPr="000F2ADD" w:rsidRDefault="002243E8" w:rsidP="00AB572C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оценка потенциального позитивного и негативного воздействия производственных секторов и проведение методологической оценки критериев, параметров и показателей воздействия производственных секторов на биоразнообразие и экосистемные услуги, а также выгод, получаемых от биоразнообразия и экосистемных услуг, с тем чтобы обеспечить предприятиям возможность уменьшить негативное воздействие и содействовать последовательности в оценке и отчетности с учетом как прямых, так и косвенных факторов воздействия на биоразнообразие, а также связей между ними (Конвенция о биологическом разнообразии при поддержке Японии, Норвегии и Европейского союза);</w:t>
      </w:r>
    </w:p>
    <w:p w14:paraId="184559A9" w14:textId="5DCADC3D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создание целевой группы по актуализации вопросов биоразнообразия и синергии (Мексика); </w:t>
      </w:r>
    </w:p>
    <w:p w14:paraId="378D70A0" w14:textId="4C164CAC" w:rsidR="00CB3B30" w:rsidRPr="000F2ADD" w:rsidRDefault="002243E8" w:rsidP="002243E8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2243E8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оценка зависимости конкретных секторов от биоразнообразия и экосистемных услуг (ЮНЕП). </w:t>
      </w:r>
    </w:p>
    <w:p w14:paraId="482687DC" w14:textId="7864520D" w:rsidR="00CB3B30" w:rsidRPr="00991961" w:rsidRDefault="00991961" w:rsidP="00991961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991961">
        <w:rPr>
          <w:sz w:val="20"/>
          <w:lang w:val="ru-RU"/>
        </w:rPr>
        <w:t>4.</w:t>
      </w:r>
      <w:r w:rsidR="00CB3B30" w:rsidRPr="00991961">
        <w:rPr>
          <w:sz w:val="20"/>
          <w:lang w:val="ru-RU"/>
        </w:rPr>
        <w:tab/>
        <w:t xml:space="preserve">Тема 4: </w:t>
      </w:r>
      <w:r w:rsidR="00AF0365" w:rsidRPr="00991961">
        <w:rPr>
          <w:sz w:val="20"/>
          <w:lang w:val="ru-RU"/>
        </w:rPr>
        <w:t>Взаимосвяз</w:t>
      </w:r>
      <w:r w:rsidR="008455B6">
        <w:rPr>
          <w:sz w:val="20"/>
          <w:lang w:val="ru-RU"/>
        </w:rPr>
        <w:t>анность</w:t>
      </w:r>
    </w:p>
    <w:p w14:paraId="0936E5AE" w14:textId="24FB41B2" w:rsidR="00CB3B30" w:rsidRPr="000F2ADD" w:rsidRDefault="00991961" w:rsidP="000F2ADD">
      <w:pPr>
        <w:spacing w:after="120"/>
        <w:ind w:left="1247"/>
        <w:rPr>
          <w:lang w:val="ru-RU"/>
        </w:rPr>
      </w:pPr>
      <w:r w:rsidRPr="00991961">
        <w:rPr>
          <w:lang w:val="ru-RU"/>
        </w:rPr>
        <w:t>16.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>МПБЭУ получила несколько запросов, материалов и предложений, касающихся темы взаимосвяз</w:t>
      </w:r>
      <w:r w:rsidR="00913141">
        <w:rPr>
          <w:lang w:val="ru-RU"/>
        </w:rPr>
        <w:t>анност</w:t>
      </w:r>
      <w:r w:rsidR="00CB3B30" w:rsidRPr="000F2ADD">
        <w:rPr>
          <w:lang w:val="ru-RU"/>
        </w:rPr>
        <w:t>и, все из которых имели отношение к цели 1, касающейся оценки знаний, в том числе для оценки, сфокусированной на сохранении взаимосвяз</w:t>
      </w:r>
      <w:r w:rsidR="008455B6">
        <w:rPr>
          <w:lang w:val="ru-RU"/>
        </w:rPr>
        <w:t>анност</w:t>
      </w:r>
      <w:r w:rsidR="00CB3B30" w:rsidRPr="000F2ADD">
        <w:rPr>
          <w:lang w:val="ru-RU"/>
        </w:rPr>
        <w:t>и (представлена Конвенцией по сохранению мигрирующих видов диких животных и соглашениями в ее рамках и Конвенцией об охране всемирного культурного и природного наследия), и оценки более широкого экологического понятия взаимосвяз</w:t>
      </w:r>
      <w:r w:rsidR="00913141">
        <w:rPr>
          <w:lang w:val="ru-RU"/>
        </w:rPr>
        <w:t>анност</w:t>
      </w:r>
      <w:r w:rsidR="00CB3B30" w:rsidRPr="000F2ADD">
        <w:rPr>
          <w:lang w:val="ru-RU"/>
        </w:rPr>
        <w:t xml:space="preserve">и (Конвенция Организации Объединенных Наций по борьбе с опустыниванием в тех странах, которые испытывают серьезную засуху и/или опустынивание, особенно в Африке). Смежные темы включали биотические взаимодействия (Колумбия), фрагментацию как один из основных факторов утраты биоразнообразия (Франция) и конкретное предложение, касающееся трансконтинентального экологического коридора, связывающего охраняемые территории в Азии и Европе (Институт географии Российской академии наук). </w:t>
      </w:r>
    </w:p>
    <w:p w14:paraId="1A160720" w14:textId="67B40A2B" w:rsidR="00CB3B30" w:rsidRPr="00991961" w:rsidRDefault="00991961" w:rsidP="00991961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991961">
        <w:rPr>
          <w:sz w:val="20"/>
          <w:lang w:val="ru-RU"/>
        </w:rPr>
        <w:t>5.</w:t>
      </w:r>
      <w:r w:rsidR="00CB3B30" w:rsidRPr="00991961">
        <w:rPr>
          <w:sz w:val="20"/>
          <w:lang w:val="ru-RU"/>
        </w:rPr>
        <w:tab/>
        <w:t>Тема 5: Воздействие, состояние и тенденции в отношении биоразнообразия и экосистемных услуг</w:t>
      </w:r>
    </w:p>
    <w:p w14:paraId="5A1C11F8" w14:textId="787ED815" w:rsidR="00CB3B30" w:rsidRPr="000F2ADD" w:rsidRDefault="00991961" w:rsidP="000F2ADD">
      <w:pPr>
        <w:spacing w:after="120"/>
        <w:ind w:left="1247"/>
        <w:rPr>
          <w:lang w:val="ru-RU"/>
        </w:rPr>
      </w:pPr>
      <w:r w:rsidRPr="00991961">
        <w:rPr>
          <w:lang w:val="ru-RU"/>
        </w:rPr>
        <w:t>17.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 xml:space="preserve">МПБЭУ получила несколько запросов, материалов и предложений, касающихся второй глобальной оценки биоразнообразия и экосистемных услуг и интеграции региональных и глобальных компонентов в рамках такой оценки (представлены Конвенцией о биологическом разнообразии, Японией, Норвегией, Соединенным Королевством, Европейским союзом и ЮНЕП) в отношении цели 1, касающейся оценки знаний. Помимо этого были получены несколько запросов, материалов и предложений по тематическим вопросам, касающимся конкретных видов, экосистем, прямого воздействия на биоразнообразие и экосистемные услуги или конкретных видов взаимодействия. Они могут рассматриваться в рамках отдельных тематических оценок или в качестве компонентов глобальной оценки биоразнообразия и экосистемных услуг и включают в себя следующие темы: </w:t>
      </w:r>
    </w:p>
    <w:p w14:paraId="01EA2B8B" w14:textId="35348E9F" w:rsidR="00CB3B30" w:rsidRPr="00991961" w:rsidRDefault="00991961" w:rsidP="00991961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991961">
        <w:rPr>
          <w:sz w:val="20"/>
          <w:lang w:val="ru-RU"/>
        </w:rPr>
        <w:t>a)</w:t>
      </w:r>
      <w:r w:rsidR="00CB3B30" w:rsidRPr="00991961">
        <w:rPr>
          <w:sz w:val="20"/>
          <w:lang w:val="ru-RU"/>
        </w:rPr>
        <w:tab/>
        <w:t>Имеющие отношение к цели 1, касающейся оценки знаний</w:t>
      </w:r>
    </w:p>
    <w:p w14:paraId="0F951BD0" w14:textId="2DA2693C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991961">
        <w:rPr>
          <w:lang w:val="ru-RU"/>
        </w:rPr>
        <w:t>)</w:t>
      </w:r>
      <w:r>
        <w:rPr>
          <w:lang w:val="ru-RU"/>
        </w:rPr>
        <w:tab/>
        <w:t>з</w:t>
      </w:r>
      <w:r w:rsidR="00CB3B30" w:rsidRPr="000F2ADD">
        <w:rPr>
          <w:lang w:val="ru-RU"/>
        </w:rPr>
        <w:t xml:space="preserve">нания о природоохранном статусе видов, перечисленных в Конвенции о международной торговле видами дикой фауны и флоры, находящимися под угрозой исчезновения, которые являются объектом международной торговли, особенно в богатых биоразнообразием развивающихся государствах, на уровне конкретных видов и ареалов в конкретных государствах, в дополнение к информации и руководящим указаниям по сохранению использования видов на биологически устойчивых уровнях (представлено Конвенцией о международной торговле видами дикой фауны и флоры, находящимися под угрозой исчезновения); </w:t>
      </w:r>
    </w:p>
    <w:p w14:paraId="6658A366" w14:textId="2EB16C74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торфяники (Конвенция о водно-болотных угодьях, имеющих международное значение, главным образом, в качестве местообитаний водоплавающих птиц);</w:t>
      </w:r>
    </w:p>
    <w:p w14:paraId="718170AB" w14:textId="5B28D372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пресноводные экосистемы (Бразилия, Южная Африка и Соединенные Штаты Америки);</w:t>
      </w:r>
    </w:p>
    <w:p w14:paraId="0DCC508D" w14:textId="325F04A0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морские экосистемы (Франция, Норвегия, Европейский союз и Научно</w:t>
      </w:r>
      <w:r w:rsidR="00AF0365">
        <w:rPr>
          <w:lang w:val="ru-RU"/>
        </w:rPr>
        <w:noBreakHyphen/>
      </w:r>
      <w:r w:rsidR="00CB3B30" w:rsidRPr="000F2ADD">
        <w:rPr>
          <w:lang w:val="ru-RU"/>
        </w:rPr>
        <w:t>исследовательский институт устойчивого развития, Индия);</w:t>
      </w:r>
    </w:p>
    <w:p w14:paraId="723AF195" w14:textId="7B15279E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взаимосвязь между биоразнообразием и экосистемными услугами (Финляндия и Мексика);</w:t>
      </w:r>
    </w:p>
    <w:p w14:paraId="5A52E274" w14:textId="602796F4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воздействие загрязнения на биоразнообразие и экосистемные услуги (Мексика);</w:t>
      </w:r>
    </w:p>
    <w:p w14:paraId="38C669C3" w14:textId="32A81B19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оценка методов мониторинга биоразнообразия в рамках проектов восстановления (Бразилия);</w:t>
      </w:r>
    </w:p>
    <w:p w14:paraId="2ED42DB7" w14:textId="3BACBDD3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h</w:t>
      </w:r>
      <w:r w:rsidRPr="00991961">
        <w:rPr>
          <w:lang w:val="ru-RU"/>
        </w:rPr>
        <w:t>)</w:t>
      </w:r>
      <w:r>
        <w:rPr>
          <w:lang w:val="ru-RU"/>
        </w:rPr>
        <w:tab/>
        <w:t>о</w:t>
      </w:r>
      <w:r w:rsidR="00CB3B30" w:rsidRPr="000F2ADD">
        <w:rPr>
          <w:lang w:val="ru-RU"/>
        </w:rPr>
        <w:t xml:space="preserve">ценка методов определения приоритетности </w:t>
      </w:r>
      <w:r w:rsidR="004C4948">
        <w:rPr>
          <w:lang w:val="ru-RU"/>
        </w:rPr>
        <w:t xml:space="preserve">для </w:t>
      </w:r>
      <w:r w:rsidR="00CB3B30" w:rsidRPr="000F2ADD">
        <w:rPr>
          <w:lang w:val="ru-RU"/>
        </w:rPr>
        <w:t xml:space="preserve">районов сохранения биоразнообразия и экосистемных услуг (Бразилия); </w:t>
      </w:r>
    </w:p>
    <w:p w14:paraId="1CEA9116" w14:textId="79BDCA36" w:rsidR="00CB3B30" w:rsidRPr="000F2ADD" w:rsidRDefault="00991961" w:rsidP="00991961">
      <w:pPr>
        <w:spacing w:after="120"/>
        <w:ind w:left="1247" w:firstLine="624"/>
        <w:rPr>
          <w:lang w:val="ru-RU"/>
        </w:rPr>
      </w:pPr>
      <w:proofErr w:type="spellStart"/>
      <w:r>
        <w:rPr>
          <w:lang w:val="en-US"/>
        </w:rPr>
        <w:t>i</w:t>
      </w:r>
      <w:proofErr w:type="spellEnd"/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выбор и применение показателей разрушения экосистем для определения рисков (Колумбия);</w:t>
      </w:r>
    </w:p>
    <w:p w14:paraId="6DCCB708" w14:textId="53E1830F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j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положение коренного и местного населения, которое напрямую зависит от биоразнообразия и экосистемных услуг (Франция);</w:t>
      </w:r>
    </w:p>
    <w:p w14:paraId="61969707" w14:textId="0207FF4E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k</w:t>
      </w:r>
      <w:r w:rsidRPr="00991961">
        <w:rPr>
          <w:lang w:val="ru-RU"/>
        </w:rPr>
        <w:t>)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 xml:space="preserve">оценка растительности и ее мониторинг (Южная Африка); </w:t>
      </w:r>
    </w:p>
    <w:p w14:paraId="692CE1C0" w14:textId="10B317B1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l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оценка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(Южная Африка);</w:t>
      </w:r>
    </w:p>
    <w:p w14:paraId="79DD6667" w14:textId="7703C935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m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оценка сохранения и устойчивого использования культурного наследия (Южная Африка);</w:t>
      </w:r>
    </w:p>
    <w:p w14:paraId="3DAE6D96" w14:textId="52C95FF2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n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оценка методов руководства национальными усилиями по обеспечению подотчетности в целях сохранения биоразнообразия и экосистемных услуг и проведения оценок воздействия, включая определение показателей (Бразилия);</w:t>
      </w:r>
    </w:p>
    <w:p w14:paraId="67AEEA2F" w14:textId="267F792E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o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методологическая оценка знаний коренного и местного населения в области исследований, мониторинга и оценки биоразнообразия (ЮНЕСКО);</w:t>
      </w:r>
    </w:p>
    <w:p w14:paraId="3C5AECFC" w14:textId="71FBC3C4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p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биоразнообразие почв (Глобальная инициатива по биоразнообразию почвы; Африканская сеть по модельным лесам);</w:t>
      </w:r>
    </w:p>
    <w:p w14:paraId="07424635" w14:textId="7E617822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q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уборщики мусора и уборка мусора (предложение о создании экспертной группы; Группа специалистов по стервятникам Международного союза охраны природы);</w:t>
      </w:r>
    </w:p>
    <w:p w14:paraId="148C1DBF" w14:textId="4837E006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r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абиотические компоненты природы (Европейская ассоциация по сохранению геологического наследия);</w:t>
      </w:r>
    </w:p>
    <w:p w14:paraId="5E5DEE98" w14:textId="0FE48132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s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роль охраняемых территорий в достижении глобальных природоохранных целей (ИПИЕКА);</w:t>
      </w:r>
    </w:p>
    <w:p w14:paraId="54971EA0" w14:textId="0CB49F90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t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вопросы, касающиеся нематериального культурного наследия (два эксперта по вопросам знаний коренного и местного населения);</w:t>
      </w:r>
    </w:p>
    <w:p w14:paraId="447EBF0F" w14:textId="005B4942" w:rsidR="00CB3B30" w:rsidRPr="00991961" w:rsidRDefault="00991961" w:rsidP="00991961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991961">
        <w:rPr>
          <w:sz w:val="20"/>
          <w:lang w:val="ru-RU"/>
        </w:rPr>
        <w:t>b)</w:t>
      </w:r>
      <w:r w:rsidR="00CB3B30" w:rsidRPr="00991961">
        <w:rPr>
          <w:sz w:val="20"/>
          <w:lang w:val="ru-RU"/>
        </w:rPr>
        <w:tab/>
        <w:t xml:space="preserve">Имеющие отношение к цели 2, касающейся создания потенциала </w:t>
      </w:r>
    </w:p>
    <w:p w14:paraId="4D74819C" w14:textId="01227361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подготовка кадров в области мониторинга и оценки биоразнообразия и экосистем, включая стандарты и передовую практику наблюдений, управления данными и научного анализа, моделирования и визуализации результатов (ЮНЕСКО); </w:t>
      </w:r>
    </w:p>
    <w:p w14:paraId="099D0B60" w14:textId="7C422101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оценки биоразнообразия и экосистемных услуг на национальном уровне для стран Центральной, Северной и Западной Африки (Африканская сеть по </w:t>
      </w:r>
      <w:r w:rsidR="00DC09D1">
        <w:rPr>
          <w:lang w:val="ru-RU"/>
        </w:rPr>
        <w:t>образцовым</w:t>
      </w:r>
      <w:r w:rsidR="00CB3B30" w:rsidRPr="000F2ADD">
        <w:rPr>
          <w:lang w:val="ru-RU"/>
        </w:rPr>
        <w:t xml:space="preserve"> лесам);</w:t>
      </w:r>
    </w:p>
    <w:p w14:paraId="68CA2336" w14:textId="7DD8C0C9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сохранение лесонасаждений и кустарников на региональном уровне в Африке (Национальный центр генетических ресурсов и биотехнологии Нигерии);</w:t>
      </w:r>
    </w:p>
    <w:p w14:paraId="2DB5B771" w14:textId="160F0DBB" w:rsidR="00CB3B30" w:rsidRPr="000F2ADD" w:rsidRDefault="00991961" w:rsidP="00991961">
      <w:pPr>
        <w:spacing w:after="120"/>
        <w:ind w:left="1247" w:firstLine="624"/>
        <w:rPr>
          <w:lang w:val="ru-RU"/>
        </w:rPr>
      </w:pPr>
      <w:bookmarkStart w:id="3" w:name="_Hlk1029123"/>
      <w:r>
        <w:rPr>
          <w:lang w:val="en-US"/>
        </w:rPr>
        <w:t>d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управление природопользованием и совместное использование его благ на справедливой основе в контексте охраняемых территорий (Женский университет СНДТ, Индия).</w:t>
      </w:r>
    </w:p>
    <w:bookmarkEnd w:id="3"/>
    <w:p w14:paraId="2F4B4850" w14:textId="7912B283" w:rsidR="00CB3B30" w:rsidRPr="00991961" w:rsidRDefault="00991961" w:rsidP="00DC09D1">
      <w:pPr>
        <w:pStyle w:val="Heading1"/>
        <w:keepNext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B3B30" w:rsidRPr="00991961">
        <w:rPr>
          <w:sz w:val="24"/>
          <w:szCs w:val="24"/>
          <w:lang w:val="ru-RU"/>
        </w:rPr>
        <w:t>B.</w:t>
      </w:r>
      <w:r w:rsidR="00CB3B30" w:rsidRPr="00991961">
        <w:rPr>
          <w:sz w:val="24"/>
          <w:szCs w:val="24"/>
          <w:lang w:val="ru-RU"/>
        </w:rPr>
        <w:tab/>
        <w:t>Группиров</w:t>
      </w:r>
      <w:r w:rsidR="008455B6">
        <w:rPr>
          <w:sz w:val="24"/>
          <w:szCs w:val="24"/>
          <w:lang w:val="ru-RU"/>
        </w:rPr>
        <w:t>ание</w:t>
      </w:r>
      <w:r w:rsidR="00CB3B30" w:rsidRPr="00991961">
        <w:rPr>
          <w:sz w:val="24"/>
          <w:szCs w:val="24"/>
          <w:lang w:val="ru-RU"/>
        </w:rPr>
        <w:t xml:space="preserve"> других </w:t>
      </w:r>
      <w:r w:rsidR="008455B6">
        <w:rPr>
          <w:sz w:val="24"/>
          <w:szCs w:val="24"/>
          <w:lang w:val="ru-RU"/>
        </w:rPr>
        <w:t>запросов</w:t>
      </w:r>
      <w:r w:rsidR="008455B6" w:rsidRPr="00991961">
        <w:rPr>
          <w:sz w:val="24"/>
          <w:szCs w:val="24"/>
          <w:lang w:val="ru-RU"/>
        </w:rPr>
        <w:t xml:space="preserve"> </w:t>
      </w:r>
      <w:r w:rsidR="00CB3B30" w:rsidRPr="00991961">
        <w:rPr>
          <w:sz w:val="24"/>
          <w:szCs w:val="24"/>
          <w:lang w:val="ru-RU"/>
        </w:rPr>
        <w:t xml:space="preserve">в поддержку программы работы в целом </w:t>
      </w:r>
    </w:p>
    <w:p w14:paraId="7621EBDE" w14:textId="290B1D41" w:rsidR="00CB3B30" w:rsidRPr="000F2ADD" w:rsidRDefault="00991961" w:rsidP="000F2ADD">
      <w:pPr>
        <w:spacing w:after="120"/>
        <w:ind w:left="1247"/>
        <w:rPr>
          <w:lang w:val="ru-RU"/>
        </w:rPr>
      </w:pPr>
      <w:r w:rsidRPr="00991961">
        <w:rPr>
          <w:lang w:val="ru-RU"/>
        </w:rPr>
        <w:t>18.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 xml:space="preserve">Помимо вышеуказанных сообщений, в которых делался акцент на конкретной теме для различных целей, МПБЭУ также получила запросы, материалы и предложения более общего характера в поддержку программы работы в целом. </w:t>
      </w:r>
    </w:p>
    <w:p w14:paraId="0E629671" w14:textId="65565E40" w:rsidR="00CB3B30" w:rsidRPr="000F2ADD" w:rsidRDefault="00991961" w:rsidP="000F2ADD">
      <w:pPr>
        <w:spacing w:after="120"/>
        <w:ind w:left="1247"/>
        <w:rPr>
          <w:lang w:val="ru-RU"/>
        </w:rPr>
      </w:pPr>
      <w:r w:rsidRPr="00991961">
        <w:rPr>
          <w:lang w:val="ru-RU"/>
        </w:rPr>
        <w:t>19.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>В отношении цели 1, касающейся оценки знаний, МПБЭУ получила запросы, материалы и предложения относительно процесса и общих вопросов, связанных с оценками МПБЭУ, включая подготовку технических документов и обобщений, в том числе для конкретных видов аудитории, в целях повышения воздействия и использования существующих оценок (Норвегия; ЮНЕП и ЮНЕСКО); совершенствования процессов выдвижения кандидатур экспертов, обеспечения сбалансированного состава групп экспертов по оценке, уточнения формулировок резюме для директивных органов и диалога между экспертами по оценке и директивными органами (Мексика); обеспечения более согласованного подхода к оценкам, проводимым в рамках многосторонних природоохранных соглашений и учреждениями Организации Объединенных Наций, МГЭИК и МПБЭУ (Соединенное Королевство); увеличения сроков проведения оценок (ЮНЕСКО); разработки механизмов последующей деятельности по итогам завершенных оценок МПБЭУ (Институт глобальных экологических стратегий); продолжения уделения повышенного внимания в рамках оценок разработке многодисциплинарных подходов и вариантов политики для правительств (НИНА); повышения четкости аналитических документов (НИНА); и усиления административной и редакционной поддержки авторов оценок со стороны секретариата (НИНА).</w:t>
      </w:r>
      <w:bookmarkStart w:id="4" w:name="_Hlk1029401"/>
      <w:bookmarkEnd w:id="4"/>
    </w:p>
    <w:p w14:paraId="77322B03" w14:textId="5D5740B4" w:rsidR="00CB3B30" w:rsidRPr="000F2ADD" w:rsidRDefault="00991961" w:rsidP="000F2ADD">
      <w:pPr>
        <w:spacing w:after="120"/>
        <w:ind w:left="1247"/>
        <w:rPr>
          <w:lang w:val="ru-RU"/>
        </w:rPr>
      </w:pPr>
      <w:r w:rsidRPr="00991961">
        <w:rPr>
          <w:lang w:val="ru-RU"/>
        </w:rPr>
        <w:t>20.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 xml:space="preserve">В отношении цели 2, касающейся создания потенциала, МПБЭУ получила запросы, материалы и предложения о важности работы МПБЭУ по созданию потенциала в целом (Международный союз охраны природы) и дальнейшего осуществления скользящего плана по созданию потенциала (Китай). Дополнительные запросы о создании потенциала касались создания потенциала для содействия использованию завершенных оценок МПБЭУ, в том числе для обеспечения преемственности по отношению к первой программе работы (Китай; Мексика и ЮНЕСКО), включая </w:t>
      </w:r>
      <w:r w:rsidR="00913141">
        <w:rPr>
          <w:lang w:val="ru-RU"/>
        </w:rPr>
        <w:t>привлечение</w:t>
      </w:r>
      <w:r w:rsidR="00913141" w:rsidRPr="000F2ADD">
        <w:rPr>
          <w:lang w:val="ru-RU"/>
        </w:rPr>
        <w:t xml:space="preserve"> </w:t>
      </w:r>
      <w:r w:rsidR="00CB3B30" w:rsidRPr="000F2ADD">
        <w:rPr>
          <w:lang w:val="ru-RU"/>
        </w:rPr>
        <w:t>сторон, не относящихся к природоохранному сектору (Институт глобальных экологических стратегий); создания потенциала для проведения местных или национальных оценок (Мексика); увязки усилий по созданию потенциала с выявлением пробелов в знаниях (НИНА); и создания более официального механизма для взаимодействия с организациями в процессе реализации скользящего плана создания потенциала (ПРООН).</w:t>
      </w:r>
    </w:p>
    <w:p w14:paraId="5AA91A9C" w14:textId="45CA2AB0" w:rsidR="00CB3B30" w:rsidRPr="000F2ADD" w:rsidRDefault="00991961" w:rsidP="000F2ADD">
      <w:pPr>
        <w:spacing w:after="120"/>
        <w:ind w:left="1247"/>
        <w:rPr>
          <w:lang w:val="ru-RU"/>
        </w:rPr>
      </w:pPr>
      <w:r w:rsidRPr="00991961">
        <w:rPr>
          <w:lang w:val="ru-RU"/>
        </w:rPr>
        <w:t>21.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 xml:space="preserve">В отношении цели 3, касающейся укрепления базы знаний, МПБЭУ получила запросы, материалы и предложения о важности деятельности в рамках этой функции в целом (Международный союз охраны природы) и необходимости устранения пробелов в знаниях и данных в связи с результатами первой программы работы (Конвенция о биологическом разнообразии; Мексика; НИНА), а также запрос относительно содействия созданию платформ для обеспечения доступа к информации из различных источников (Мексика). </w:t>
      </w:r>
    </w:p>
    <w:p w14:paraId="246EAAB7" w14:textId="5E915A98" w:rsidR="00CB3B30" w:rsidRPr="000F2ADD" w:rsidRDefault="00991961" w:rsidP="000F2ADD">
      <w:pPr>
        <w:spacing w:after="120"/>
        <w:ind w:left="1247"/>
        <w:rPr>
          <w:lang w:val="ru-RU"/>
        </w:rPr>
      </w:pPr>
      <w:r w:rsidRPr="00991961">
        <w:rPr>
          <w:lang w:val="ru-RU"/>
        </w:rPr>
        <w:t>22.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>В отношении цели 4, касающейся поддерж</w:t>
      </w:r>
      <w:r w:rsidR="00A20B8C">
        <w:rPr>
          <w:lang w:val="ru-RU"/>
        </w:rPr>
        <w:t>к</w:t>
      </w:r>
      <w:r w:rsidR="00CB3B30" w:rsidRPr="000F2ADD">
        <w:rPr>
          <w:lang w:val="ru-RU"/>
        </w:rPr>
        <w:t xml:space="preserve">и политики, МПБЭУ получила запросы, материалы и предложения о важности этой функции в целом и необходимости оказания практической поддержки директивным органам (Международный союз охраны природы); каталога инструментов и методологий поддержки политики (Япония; Мексика и ЮНЕСКО); оценок групп конкретных инструментов поддержки политики, основанных на методологических оценках или технических документах (Норвегия и ЮНЕП); и разработки </w:t>
      </w:r>
      <w:r w:rsidR="00A20B8C">
        <w:rPr>
          <w:lang w:val="ru-RU"/>
        </w:rPr>
        <w:t>системы понятий</w:t>
      </w:r>
      <w:r w:rsidR="00CB3B30" w:rsidRPr="000F2ADD">
        <w:rPr>
          <w:lang w:val="ru-RU"/>
        </w:rPr>
        <w:t xml:space="preserve"> и показателей для измерения </w:t>
      </w:r>
      <w:r>
        <w:rPr>
          <w:lang w:val="ru-RU"/>
        </w:rPr>
        <w:t>«</w:t>
      </w:r>
      <w:r w:rsidR="00A20B8C">
        <w:rPr>
          <w:lang w:val="ru-RU"/>
        </w:rPr>
        <w:t>достойного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>качества жизни</w:t>
      </w:r>
      <w:r>
        <w:rPr>
          <w:lang w:val="ru-RU"/>
        </w:rPr>
        <w:t>»</w:t>
      </w:r>
      <w:r w:rsidR="00CB3B30" w:rsidRPr="000F2ADD">
        <w:rPr>
          <w:lang w:val="ru-RU"/>
        </w:rPr>
        <w:t xml:space="preserve"> (Мексика). </w:t>
      </w:r>
    </w:p>
    <w:p w14:paraId="4497F25E" w14:textId="094D69C4" w:rsidR="00CB3B30" w:rsidRPr="000F2ADD" w:rsidRDefault="00991961" w:rsidP="000F2ADD">
      <w:pPr>
        <w:spacing w:after="120"/>
        <w:ind w:left="1247"/>
        <w:rPr>
          <w:lang w:val="ru-RU"/>
        </w:rPr>
      </w:pPr>
      <w:r w:rsidRPr="00991961">
        <w:rPr>
          <w:lang w:val="ru-RU"/>
        </w:rPr>
        <w:t>23.</w:t>
      </w:r>
      <w:r w:rsidRPr="00991961">
        <w:rPr>
          <w:lang w:val="ru-RU"/>
        </w:rPr>
        <w:tab/>
      </w:r>
      <w:r w:rsidR="00CB3B30" w:rsidRPr="000F2ADD">
        <w:rPr>
          <w:lang w:val="ru-RU"/>
        </w:rPr>
        <w:t xml:space="preserve">МПБЭУ также получила запросы, материалы и предложения относительно дальнейшей работы над сценариями и моделями на основе усилий, предпринятых в рамках первой программы работы, включая сценарии и модели для оценки путей </w:t>
      </w:r>
      <w:r w:rsidR="00A20B8C">
        <w:rPr>
          <w:lang w:val="ru-RU"/>
        </w:rPr>
        <w:t>преобразовательных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изменений, необходимых для обеспечения устойчивого будущего (Конвенция о биологическом разнообразии при поддержке Европейского союза и ЮНЕСКО); ускорения разработки сценариев нового поколения, которые будут использоваться как МГЭИК, так и МПБЭУ (Франция); разработки нового набора сценариев </w:t>
      </w:r>
      <w:r>
        <w:rPr>
          <w:lang w:val="ru-RU"/>
        </w:rPr>
        <w:t>«</w:t>
      </w:r>
      <w:r w:rsidR="00CB3B30" w:rsidRPr="000F2ADD">
        <w:rPr>
          <w:lang w:val="ru-RU"/>
        </w:rPr>
        <w:t>будущего природы</w:t>
      </w:r>
      <w:r>
        <w:rPr>
          <w:lang w:val="ru-RU"/>
        </w:rPr>
        <w:t>»</w:t>
      </w:r>
      <w:r w:rsidR="00CB3B30" w:rsidRPr="000F2ADD">
        <w:rPr>
          <w:lang w:val="ru-RU"/>
        </w:rPr>
        <w:t xml:space="preserve">, способствующих улучшению комплексных оценок для более точного отражения экологических процессов и показателей биоразнообразия, необходимых для определения вероятных путей достижения целей (Европейский союз); и моделирования глобального социально-экономического воздействия будущих изменений в биоразнообразии и экосистемных услугах (Всемирный фонд дикой природы). </w:t>
      </w:r>
    </w:p>
    <w:p w14:paraId="1439C95B" w14:textId="79DF30EF" w:rsidR="00CB3B30" w:rsidRPr="000F2ADD" w:rsidRDefault="00991961" w:rsidP="000F2ADD">
      <w:pPr>
        <w:spacing w:after="120"/>
        <w:ind w:left="1247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В отношении цели 5, касающейся </w:t>
      </w:r>
      <w:r w:rsidR="00A20B8C">
        <w:rPr>
          <w:lang w:val="ru-RU"/>
        </w:rPr>
        <w:t>информационного обеспечения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и участия, МПБЭУ получила запросы, материалы и предложения, в частности, по следующим конкретным темам: </w:t>
      </w:r>
    </w:p>
    <w:p w14:paraId="07EE6D4C" w14:textId="02652B87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важность </w:t>
      </w:r>
      <w:r w:rsidR="00A20B8C">
        <w:rPr>
          <w:lang w:val="ru-RU"/>
        </w:rPr>
        <w:t>общения</w:t>
      </w:r>
      <w:r w:rsidR="00A20B8C" w:rsidRPr="000F2ADD">
        <w:rPr>
          <w:lang w:val="ru-RU"/>
        </w:rPr>
        <w:t xml:space="preserve"> </w:t>
      </w:r>
      <w:r w:rsidR="00CB3B30" w:rsidRPr="000F2ADD">
        <w:rPr>
          <w:lang w:val="ru-RU"/>
        </w:rPr>
        <w:t xml:space="preserve">с организациями и инициативами, включая Глобальную инициативу по отчетности, Международный совет по комплексной отчетности, Международную группу по ресурсам, Коалицию за природный капитал и ее рабочую группу по биоразнообразию, организацию </w:t>
      </w:r>
      <w:r>
        <w:rPr>
          <w:lang w:val="ru-RU"/>
        </w:rPr>
        <w:t>«</w:t>
      </w:r>
      <w:r w:rsidR="00CB3B30" w:rsidRPr="000F2ADD">
        <w:rPr>
          <w:lang w:val="ru-RU"/>
        </w:rPr>
        <w:t>Единая система охраны здоровья</w:t>
      </w:r>
      <w:r>
        <w:rPr>
          <w:lang w:val="ru-RU"/>
        </w:rPr>
        <w:t>»</w:t>
      </w:r>
      <w:r w:rsidR="00CB3B30" w:rsidRPr="000F2ADD">
        <w:rPr>
          <w:lang w:val="ru-RU"/>
        </w:rPr>
        <w:t xml:space="preserve">, сеть </w:t>
      </w:r>
      <w:r>
        <w:rPr>
          <w:lang w:val="ru-RU"/>
        </w:rPr>
        <w:t>«</w:t>
      </w:r>
      <w:r w:rsidR="00CB3B30" w:rsidRPr="000F2ADD">
        <w:rPr>
          <w:lang w:val="ru-RU"/>
        </w:rPr>
        <w:t>Единая планета</w:t>
      </w:r>
      <w:r>
        <w:rPr>
          <w:lang w:val="ru-RU"/>
        </w:rPr>
        <w:t>»</w:t>
      </w:r>
      <w:r w:rsidR="00CB3B30" w:rsidRPr="000F2ADD">
        <w:rPr>
          <w:lang w:val="ru-RU"/>
        </w:rPr>
        <w:t xml:space="preserve">, Глобальный договор Организации Объединенных Наций, Статистический отдел Организации Объединенных Наций и Всемирный экономический форум (Конвенция о биологическом разнообразии); </w:t>
      </w:r>
    </w:p>
    <w:p w14:paraId="60E3A9CA" w14:textId="66D1F201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усиление взаимодействия с заинтересованными субъектами, содействие созданию консультативных механизмов на национальном уровне и решение других вопросов, помимо окружающей среды, для обеспечения актуализации вопросов биоразнообразия (Мексика); </w:t>
      </w:r>
    </w:p>
    <w:p w14:paraId="18F59888" w14:textId="459E7430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расширение сотрудничества по темам биоразнообразия почв и биоразнообразия для производства продовольствия и ведения сельского хозяйства (Продовольственная и сельскохозяйственная организация Объединенных Наций (ФАО));</w:t>
      </w:r>
    </w:p>
    <w:p w14:paraId="20E94D55" w14:textId="33FFFBFC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расширение сотрудничества, включая определение конкретных областей для сотрудничества и повышение наглядности такого сотрудничества, с четырьмя партнерами МПБЭУ из системы Организации Объединенных Наций (ФАО);</w:t>
      </w:r>
    </w:p>
    <w:p w14:paraId="31488B00" w14:textId="6D6482F0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>определение путей, с помощью которых различные области работы МПБЭУ будут способствовать достижению различных целей и задач в области устойчивого развития в поддержку выявления ключевых партнеров и усиления координации с действующими инициативами (ПРООН);</w:t>
      </w:r>
    </w:p>
    <w:p w14:paraId="47093FAA" w14:textId="2C33053D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усиление координации и синергии с работой многосторонних природоохранных соглашений в контексте всех функций МПБЭУ (ПРООН); </w:t>
      </w:r>
    </w:p>
    <w:p w14:paraId="48DC2D3B" w14:textId="7E9F0FC0" w:rsidR="00CB3B30" w:rsidRPr="000F2ADD" w:rsidRDefault="00991961" w:rsidP="00991961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991961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разработка новой описательной части, касающейся биоразнообразия, разработка стратегий </w:t>
      </w:r>
      <w:r w:rsidR="00A20B8C">
        <w:rPr>
          <w:lang w:val="ru-RU"/>
        </w:rPr>
        <w:t xml:space="preserve">информационного обеспечения </w:t>
      </w:r>
      <w:r w:rsidR="00CB3B30" w:rsidRPr="000F2ADD">
        <w:rPr>
          <w:lang w:val="ru-RU"/>
        </w:rPr>
        <w:t xml:space="preserve">в области биоразнообразия, ориентированных на различные возрастные группы и общины, и обеспечение </w:t>
      </w:r>
      <w:r w:rsidR="0025233C">
        <w:rPr>
          <w:lang w:val="ru-RU"/>
        </w:rPr>
        <w:t>привлечения</w:t>
      </w:r>
      <w:r w:rsidR="0025233C" w:rsidRPr="000F2ADD">
        <w:rPr>
          <w:lang w:val="ru-RU"/>
        </w:rPr>
        <w:t xml:space="preserve"> </w:t>
      </w:r>
      <w:r w:rsidR="00CB3B30" w:rsidRPr="000F2ADD">
        <w:rPr>
          <w:lang w:val="ru-RU"/>
        </w:rPr>
        <w:t>всех соответствующих субъектов (ЮНЕСКО);</w:t>
      </w:r>
    </w:p>
    <w:p w14:paraId="41C00D6B" w14:textId="58262D6A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25.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В отношении цели 6, касающейся обзора эффективности, МПБЭУ получила запросы, материалы и предложения, в частности, по следующим конкретным темам:</w:t>
      </w:r>
    </w:p>
    <w:p w14:paraId="7FCFABAB" w14:textId="5003279B" w:rsidR="00CB3B30" w:rsidRPr="000F2ADD" w:rsidRDefault="00FA2244" w:rsidP="00FA2244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FA2244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учет результатов обзора МПБЭУ по завершении ее первой программы работы (Мексика); </w:t>
      </w:r>
    </w:p>
    <w:p w14:paraId="5CF9AB3E" w14:textId="3BF030E2" w:rsidR="00CB3B30" w:rsidRPr="000F2ADD" w:rsidRDefault="00FA2244" w:rsidP="00FA2244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FA2244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детальная оценка воздействия и использования результатов первой программы работы, включая глобальную оценку биоразнообразия и экосистемных услуг и обзор МПБЭУ (Соединенное Королевство); </w:t>
      </w:r>
    </w:p>
    <w:p w14:paraId="712B478E" w14:textId="43CBBEE6" w:rsidR="00CB3B30" w:rsidRPr="000F2ADD" w:rsidRDefault="00FA2244" w:rsidP="00FA2244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FA2244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рассмотрение результатов осуществления первой программы работы с целью извлечения из нее уроков для будущей работы (ЮНЕСКО); </w:t>
      </w:r>
    </w:p>
    <w:p w14:paraId="24651137" w14:textId="271D8343" w:rsidR="00CB3B30" w:rsidRPr="000F2ADD" w:rsidRDefault="00FA2244" w:rsidP="00FA2244">
      <w:pPr>
        <w:spacing w:after="240"/>
        <w:ind w:left="1247" w:firstLine="624"/>
        <w:rPr>
          <w:lang w:val="ru-RU"/>
        </w:rPr>
      </w:pPr>
      <w:r>
        <w:rPr>
          <w:lang w:val="en-US"/>
        </w:rPr>
        <w:t>d</w:t>
      </w:r>
      <w:r w:rsidRPr="00FA2244">
        <w:rPr>
          <w:lang w:val="ru-RU"/>
        </w:rPr>
        <w:t>)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 xml:space="preserve">постоянная оценка влияния работы МПБЭУ (ЮНЕП). </w:t>
      </w:r>
    </w:p>
    <w:p w14:paraId="545243EB" w14:textId="33AC1BC1" w:rsidR="00CB3B30" w:rsidRPr="000F2ADD" w:rsidRDefault="00FA2244" w:rsidP="00FA2244">
      <w:pPr>
        <w:pStyle w:val="Heading1"/>
        <w:rPr>
          <w:lang w:val="ru-RU"/>
        </w:rPr>
      </w:pPr>
      <w:r>
        <w:rPr>
          <w:lang w:val="ru-RU"/>
        </w:rPr>
        <w:tab/>
      </w:r>
      <w:r w:rsidR="00CB3B30" w:rsidRPr="000F2ADD">
        <w:rPr>
          <w:lang w:val="ru-RU"/>
        </w:rPr>
        <w:t>IV.</w:t>
      </w:r>
      <w:r w:rsidR="00CB3B30" w:rsidRPr="000F2ADD">
        <w:rPr>
          <w:lang w:val="ru-RU"/>
        </w:rPr>
        <w:tab/>
        <w:t>Определение приоритетности за</w:t>
      </w:r>
      <w:r w:rsidR="008455B6">
        <w:rPr>
          <w:lang w:val="ru-RU"/>
        </w:rPr>
        <w:t>просов</w:t>
      </w:r>
      <w:r w:rsidR="00CB3B30" w:rsidRPr="000F2ADD">
        <w:rPr>
          <w:lang w:val="ru-RU"/>
        </w:rPr>
        <w:t>, материалов и предложений</w:t>
      </w:r>
    </w:p>
    <w:p w14:paraId="73047F83" w14:textId="6CB19087" w:rsidR="00CB3B30" w:rsidRPr="00FA2244" w:rsidRDefault="00FA2244" w:rsidP="00FA2244">
      <w:pPr>
        <w:pStyle w:val="Heading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B3B30" w:rsidRPr="00FA2244">
        <w:rPr>
          <w:sz w:val="24"/>
          <w:szCs w:val="24"/>
          <w:lang w:val="ru-RU"/>
        </w:rPr>
        <w:t>A.</w:t>
      </w:r>
      <w:r w:rsidR="00CB3B30" w:rsidRPr="00FA2244">
        <w:rPr>
          <w:sz w:val="24"/>
          <w:szCs w:val="24"/>
          <w:lang w:val="ru-RU"/>
        </w:rPr>
        <w:tab/>
        <w:t>Определение приоритетности тем</w:t>
      </w:r>
    </w:p>
    <w:p w14:paraId="0E9CA912" w14:textId="440C3CFA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26.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Многодисциплинарная группа экспертов и Бюро рассмотрели пять широких тем, представленных в разделе III A, и мероприятия, предложенные в поддержку программы работы на период до 2030 года в целом и изложенные в разделе III B. В целях установления приоритетности тем и мероприятий они напомнили о решении МПБЭУ-5/3, в котором Пленум определил сроки осуществления второй программы работы в контексте 10-летней перспективы, Повестки дня на период до 2030 года, включая цели в области устойчивого развития, конвенций по вопросам, связанным с биоразнообразием, и других процессов, касающихся биоразнообразия и экосистемных услуг. Они также проанализировали ответы на каждый из десяти критериев, изложенных в пункте 7 выше, и количество за</w:t>
      </w:r>
      <w:r w:rsidR="004C4948">
        <w:rPr>
          <w:lang w:val="ru-RU"/>
        </w:rPr>
        <w:t>просов</w:t>
      </w:r>
      <w:r w:rsidR="00CB3B30" w:rsidRPr="000F2ADD">
        <w:rPr>
          <w:lang w:val="ru-RU"/>
        </w:rPr>
        <w:t xml:space="preserve">, полученных по каждой теме. </w:t>
      </w:r>
    </w:p>
    <w:p w14:paraId="2B0EE158" w14:textId="2FF4BCE5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27.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Для того чтобы сохранить гибкость программы работы на период до 2030 года, Группа и Бюро решили выбрать три из пяти тем с возможностью рассмотрения других тем после дополнительных</w:t>
      </w:r>
      <w:r w:rsidR="008455B6">
        <w:rPr>
          <w:lang w:val="ru-RU"/>
        </w:rPr>
        <w:t xml:space="preserve"> просьб</w:t>
      </w:r>
      <w:r w:rsidR="00CB3B30" w:rsidRPr="000F2ADD">
        <w:rPr>
          <w:lang w:val="ru-RU"/>
        </w:rPr>
        <w:t xml:space="preserve"> </w:t>
      </w:r>
      <w:r w:rsidR="00CB3B30" w:rsidRPr="003A0D5F">
        <w:rPr>
          <w:lang w:val="ru-RU"/>
        </w:rPr>
        <w:t>о представлении за</w:t>
      </w:r>
      <w:r w:rsidR="008455B6">
        <w:rPr>
          <w:lang w:val="ru-RU"/>
        </w:rPr>
        <w:t>просов</w:t>
      </w:r>
      <w:r w:rsidR="00CB3B30" w:rsidRPr="000F2ADD">
        <w:rPr>
          <w:lang w:val="ru-RU"/>
        </w:rPr>
        <w:t>, материалов и предложений в ходе осуществления программы работы на период до 2030 года.</w:t>
      </w:r>
    </w:p>
    <w:p w14:paraId="74E7C395" w14:textId="5AFF5982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28.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В рамках определения приоритетности были выбраны следующие три темы, поскольку они отвечают всем вышеизложенным критериям:</w:t>
      </w:r>
    </w:p>
    <w:p w14:paraId="7A472A6E" w14:textId="1119B289" w:rsidR="00CB3B30" w:rsidRPr="00FA2244" w:rsidRDefault="00CB3B30" w:rsidP="00872BAA">
      <w:pPr>
        <w:pStyle w:val="ListParagraph"/>
        <w:numPr>
          <w:ilvl w:val="0"/>
          <w:numId w:val="5"/>
        </w:numPr>
        <w:spacing w:after="120"/>
        <w:ind w:left="2495" w:hanging="624"/>
        <w:contextualSpacing w:val="0"/>
        <w:rPr>
          <w:lang w:val="ru-RU"/>
        </w:rPr>
      </w:pPr>
      <w:r w:rsidRPr="00FA2244">
        <w:rPr>
          <w:b/>
          <w:lang w:val="ru-RU"/>
        </w:rPr>
        <w:t xml:space="preserve">Приоритетная тема 1: </w:t>
      </w:r>
      <w:r w:rsidR="008455B6">
        <w:rPr>
          <w:b/>
          <w:lang w:val="ru-RU"/>
        </w:rPr>
        <w:t>Популяризация проблематики</w:t>
      </w:r>
      <w:r w:rsidR="008455B6" w:rsidRPr="00FA2244">
        <w:rPr>
          <w:b/>
          <w:lang w:val="ru-RU"/>
        </w:rPr>
        <w:t xml:space="preserve"> </w:t>
      </w:r>
      <w:r w:rsidRPr="00FA2244">
        <w:rPr>
          <w:b/>
          <w:lang w:val="ru-RU"/>
        </w:rPr>
        <w:t>биоразнообразия для достижения целей Повестки дня в области устойчивого развития на период до 2030 года.</w:t>
      </w:r>
      <w:r w:rsidRPr="00FA2244">
        <w:rPr>
          <w:lang w:val="ru-RU"/>
        </w:rPr>
        <w:t xml:space="preserve"> Данная тема отвечает ключевым критериям, указанным выше, и была запрошена одним многосторонним природоохранным соглашением, правительствами и заинтересованными сторонами. По мнению Группы и Бюро</w:t>
      </w:r>
      <w:r w:rsidR="00DC09D1">
        <w:rPr>
          <w:lang w:val="ru-RU"/>
        </w:rPr>
        <w:t>,</w:t>
      </w:r>
      <w:r w:rsidRPr="00FA2244">
        <w:rPr>
          <w:lang w:val="ru-RU"/>
        </w:rPr>
        <w:t xml:space="preserve"> она связана с решением неотложной приоритетной задачи, а именно необходимостью понять, как биоразнообразие может способствовать одновременному достижению нескольких целей в области устойчивого развития. Эта тема поможет директивным органам лучше понять то, как биоразнообразие связано с такими ключевыми секторами, как сельское хозяйство и продовольствие, здравоохранение, водоснабжение, климат и энергетика, и тем самым будет служить информационной основой для рассмотрения вопросов биоразнообразия в рамках различных секторов.</w:t>
      </w:r>
      <w:bookmarkStart w:id="5" w:name="_Hlk1030646"/>
      <w:bookmarkEnd w:id="5"/>
    </w:p>
    <w:p w14:paraId="1733AF2E" w14:textId="71E22B70" w:rsidR="00CB3B30" w:rsidRPr="00FA2244" w:rsidRDefault="00CB3B30" w:rsidP="00872BAA">
      <w:pPr>
        <w:pStyle w:val="ListParagraph"/>
        <w:numPr>
          <w:ilvl w:val="0"/>
          <w:numId w:val="5"/>
        </w:numPr>
        <w:spacing w:after="120"/>
        <w:ind w:left="2495" w:hanging="624"/>
        <w:contextualSpacing w:val="0"/>
        <w:rPr>
          <w:lang w:val="ru-RU"/>
        </w:rPr>
      </w:pPr>
      <w:r w:rsidRPr="00FA2244">
        <w:rPr>
          <w:b/>
          <w:lang w:val="ru-RU"/>
        </w:rPr>
        <w:t xml:space="preserve">Приоритетная тема 2: Понимание коренных причин утраты биоразнообразия и определяющих факторов </w:t>
      </w:r>
      <w:r w:rsidR="00A20B8C">
        <w:rPr>
          <w:b/>
          <w:lang w:val="ru-RU"/>
        </w:rPr>
        <w:t>преобразовательных</w:t>
      </w:r>
      <w:r w:rsidR="00A20B8C" w:rsidRPr="00FA2244">
        <w:rPr>
          <w:b/>
          <w:lang w:val="ru-RU"/>
        </w:rPr>
        <w:t xml:space="preserve"> </w:t>
      </w:r>
      <w:r w:rsidRPr="00FA2244">
        <w:rPr>
          <w:b/>
          <w:lang w:val="ru-RU"/>
        </w:rPr>
        <w:t>изменений для реализации Концепции в области биоразнообразия на период до 2050</w:t>
      </w:r>
      <w:r w:rsidR="004F0D9C">
        <w:rPr>
          <w:b/>
        </w:rPr>
        <w:t> </w:t>
      </w:r>
      <w:r w:rsidRPr="00FA2244">
        <w:rPr>
          <w:b/>
          <w:lang w:val="ru-RU"/>
        </w:rPr>
        <w:t>года.</w:t>
      </w:r>
      <w:r w:rsidRPr="00FA2244">
        <w:rPr>
          <w:lang w:val="ru-RU"/>
        </w:rPr>
        <w:t xml:space="preserve"> Группа и Бюро отметили, что в ходе осуществления своей первой программы работы МПБЭУ не уделяла достаточного внимания ячейке </w:t>
      </w:r>
      <w:r w:rsidR="00A20B8C">
        <w:rPr>
          <w:lang w:val="ru-RU"/>
        </w:rPr>
        <w:t>системы понятий</w:t>
      </w:r>
      <w:r w:rsidRPr="00FA2244">
        <w:rPr>
          <w:lang w:val="ru-RU"/>
        </w:rPr>
        <w:t xml:space="preserve"> МПБЭУ под названием </w:t>
      </w:r>
      <w:r w:rsidR="00DC09D1">
        <w:rPr>
          <w:lang w:val="ru-RU"/>
        </w:rPr>
        <w:t>«</w:t>
      </w:r>
      <w:r w:rsidRPr="00FA2244">
        <w:rPr>
          <w:lang w:val="ru-RU"/>
        </w:rPr>
        <w:t>Институты и управление</w:t>
      </w:r>
      <w:r w:rsidR="006F38C7">
        <w:rPr>
          <w:lang w:val="ru-RU"/>
        </w:rPr>
        <w:t>»</w:t>
      </w:r>
      <w:r w:rsidRPr="00FA2244">
        <w:rPr>
          <w:lang w:val="ru-RU"/>
        </w:rPr>
        <w:t xml:space="preserve"> и что необходимо активизировать усилия для достижения цели А Стратегического плана по биоразнообразию на 2011-2020 годы, которая касается коренных причин утраты биоразнообразия, включая поведенческие, социальные, экономические, институциональные, технические и технологические факторы изменений. Необходимость оказания правительствам и заинтересованным сторонам поддержки в оценке эффективности методов, средств инструментов политики также представляется крайне важной, поскольку она является частью институционального контекста сохранения и устойчивого использования биоразнообразия для оказания им поддержки в эффективном осуществлении вариантов политики, разработанных на основе завершенных оценок, включая пути укрепления институтов и содействия изменениям на индивидуальном и коллективном уровнях.</w:t>
      </w:r>
      <w:bookmarkStart w:id="6" w:name="_Hlk534727882"/>
    </w:p>
    <w:p w14:paraId="34D43CDF" w14:textId="0FF1B41D" w:rsidR="00CB3B30" w:rsidRPr="00FA2244" w:rsidRDefault="00CB3B30" w:rsidP="00872BAA">
      <w:pPr>
        <w:pStyle w:val="ListParagraph"/>
        <w:numPr>
          <w:ilvl w:val="0"/>
          <w:numId w:val="5"/>
        </w:numPr>
        <w:spacing w:after="120"/>
        <w:ind w:left="2495" w:hanging="624"/>
        <w:contextualSpacing w:val="0"/>
        <w:rPr>
          <w:lang w:val="ru-RU"/>
        </w:rPr>
      </w:pPr>
      <w:r w:rsidRPr="00FA2244">
        <w:rPr>
          <w:b/>
          <w:lang w:val="ru-RU"/>
        </w:rPr>
        <w:t xml:space="preserve">Приоритетная тема 3: Оценка влияния </w:t>
      </w:r>
      <w:r w:rsidR="008455B6">
        <w:rPr>
          <w:b/>
          <w:lang w:val="ru-RU"/>
        </w:rPr>
        <w:t>хозяйственной деятельности</w:t>
      </w:r>
      <w:r w:rsidR="008455B6" w:rsidRPr="00FA2244">
        <w:rPr>
          <w:b/>
          <w:lang w:val="ru-RU"/>
        </w:rPr>
        <w:t xml:space="preserve"> </w:t>
      </w:r>
      <w:r w:rsidRPr="00FA2244">
        <w:rPr>
          <w:b/>
          <w:lang w:val="ru-RU"/>
        </w:rPr>
        <w:t>и зависимости от биоразнообразия и обеспечиваемого природой вклада на благо человека.</w:t>
      </w:r>
      <w:r w:rsidRPr="00FA2244">
        <w:rPr>
          <w:lang w:val="ru-RU"/>
        </w:rPr>
        <w:t xml:space="preserve"> Группа и Бюро также сочли, что тема 3 имеет большое значение. В рамках этой темы они уделили первоочередное внимание методологической оценке воздействия и зависимости производственных секторов от биоразнообразия и обеспечиваемого природой вклада на благо человека. Поскольку в ходе предыдущих оценок (и </w:t>
      </w:r>
      <w:r w:rsidR="00A20B8C">
        <w:rPr>
          <w:lang w:val="ru-RU"/>
        </w:rPr>
        <w:t xml:space="preserve">согласно </w:t>
      </w:r>
      <w:r w:rsidRPr="00FA2244">
        <w:rPr>
          <w:lang w:val="ru-RU"/>
        </w:rPr>
        <w:t>результат</w:t>
      </w:r>
      <w:r w:rsidR="00A20B8C">
        <w:rPr>
          <w:lang w:val="ru-RU"/>
        </w:rPr>
        <w:t>у</w:t>
      </w:r>
      <w:r w:rsidRPr="00FA2244">
        <w:rPr>
          <w:lang w:val="ru-RU"/>
        </w:rPr>
        <w:t xml:space="preserve"> 1</w:t>
      </w:r>
      <w:r w:rsidR="006F38C7">
        <w:rPr>
          <w:lang w:val="ru-RU"/>
        </w:rPr>
        <w:t xml:space="preserve"> </w:t>
      </w:r>
      <w:r w:rsidRPr="00FA2244">
        <w:rPr>
          <w:lang w:val="ru-RU"/>
        </w:rPr>
        <w:t>a), в предложенном виде) были даны глобальные оценки значения биоразнообразия и экосистемных услуг для производственных секторов и была признана необходимость выработки практических рекомендаций по конкретному вопросу об оценке воздействия и зависимости на различных уровнях, включая предприятия, Группа и Бюро сделали акцент на разработке методологического подхода.</w:t>
      </w:r>
      <w:bookmarkStart w:id="7" w:name="_Hlk1030972"/>
      <w:bookmarkEnd w:id="6"/>
      <w:bookmarkEnd w:id="7"/>
    </w:p>
    <w:p w14:paraId="4D300397" w14:textId="5C4004C1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29.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Помимо этого Группа и Бюро уделили первоочередное внимание теме 4, касающейся взаимосвяз</w:t>
      </w:r>
      <w:r w:rsidR="00913141">
        <w:rPr>
          <w:lang w:val="ru-RU"/>
        </w:rPr>
        <w:t>анност</w:t>
      </w:r>
      <w:r w:rsidR="00CB3B30" w:rsidRPr="000F2ADD">
        <w:rPr>
          <w:lang w:val="ru-RU"/>
        </w:rPr>
        <w:t>и, в частности с учетом ее актуальности для трех многосторонних природоохранных соглашений и нескольких запросов правительств. Поэтому Группа и Бюро предлагают рассмотреть вопрос об оценке взаимосвяз</w:t>
      </w:r>
      <w:r w:rsidR="008455B6">
        <w:rPr>
          <w:lang w:val="ru-RU"/>
        </w:rPr>
        <w:t>анност</w:t>
      </w:r>
      <w:r w:rsidR="00CB3B30" w:rsidRPr="000F2ADD">
        <w:rPr>
          <w:lang w:val="ru-RU"/>
        </w:rPr>
        <w:t xml:space="preserve">и для включения в программу работы на десятой сессии Пленума после второго </w:t>
      </w:r>
      <w:r w:rsidR="00BF2413">
        <w:rPr>
          <w:lang w:val="ru-RU"/>
        </w:rPr>
        <w:t>конкурса</w:t>
      </w:r>
      <w:r w:rsidR="00CB3B30" w:rsidRPr="000F2ADD">
        <w:rPr>
          <w:lang w:val="ru-RU"/>
        </w:rPr>
        <w:t xml:space="preserve"> запросов, материалов и предложений. </w:t>
      </w:r>
    </w:p>
    <w:p w14:paraId="460683C2" w14:textId="42C96728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30.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 xml:space="preserve">В отношении темы 5 Группа и Бюро отметили, что первая глобальная оценка биоразнообразия и экосистемных услуг будет завершена на седьмой сессии Пленума, а региональные оценки биоразнообразия и экосистем будут утверждены на шестой сессии Пленума. Группа и Бюро также отметили предложения и замечания, высказанные в отношении более широкого использования различных шкал в оценках биоразнообразия и экосистемных услуг. Была также отмечена необходимость проведения второй глобальной оценки в поддержку процесса после 2030 года и определения соответствующих сроков, включая проведение такой оценки к началу/середине 2029 года. В связи с этим Группа и Бюро решили присвоить высокую степень приоритетности будущей оценке биоразнообразия и экосистемных услуг, но предложить ее вниманию Пленума на его десятой сессии в контексте второго </w:t>
      </w:r>
      <w:r w:rsidR="00BF2413">
        <w:rPr>
          <w:lang w:val="ru-RU"/>
        </w:rPr>
        <w:t>конкурса запросов</w:t>
      </w:r>
      <w:r w:rsidR="00CB3B30" w:rsidRPr="000F2ADD">
        <w:rPr>
          <w:lang w:val="ru-RU"/>
        </w:rPr>
        <w:t>, материалов и предложений. В это время Пленум, возможно, пожелает также принять решение о любом тематическом акценте такой оценки.</w:t>
      </w:r>
    </w:p>
    <w:p w14:paraId="02F98365" w14:textId="3D239892" w:rsidR="00CB3B30" w:rsidRPr="00FA2244" w:rsidRDefault="00FA2244" w:rsidP="00FA2244">
      <w:pPr>
        <w:pStyle w:val="Heading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B3B30" w:rsidRPr="00FA2244">
        <w:rPr>
          <w:sz w:val="24"/>
          <w:szCs w:val="24"/>
          <w:lang w:val="ru-RU"/>
        </w:rPr>
        <w:t>B.</w:t>
      </w:r>
      <w:r w:rsidR="00CB3B30" w:rsidRPr="00FA2244">
        <w:rPr>
          <w:sz w:val="24"/>
          <w:szCs w:val="24"/>
          <w:lang w:val="ru-RU"/>
        </w:rPr>
        <w:tab/>
        <w:t>Определение приоритетности мероприятий: результаты программы работы</w:t>
      </w:r>
    </w:p>
    <w:p w14:paraId="39326BF8" w14:textId="4C1A0FDD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31.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Группа и Бюро рекомендовали, чтобы в программе работы МПБЭУ на период до 2030</w:t>
      </w:r>
      <w:r>
        <w:rPr>
          <w:lang w:val="en-US"/>
        </w:rPr>
        <w:t> </w:t>
      </w:r>
      <w:r w:rsidR="00CB3B30" w:rsidRPr="000F2ADD">
        <w:rPr>
          <w:lang w:val="ru-RU"/>
        </w:rPr>
        <w:t>года повышенное внимание уделялось усилению взаимодействия между наукой, политикой и практикой; между научными дисциплинами; между различными видами знаний; и между четырьмя функциями Платформы. Поэтому усилия по достижению этих шести целей будут осуществляться комплексн</w:t>
      </w:r>
      <w:r w:rsidR="00D138FC">
        <w:rPr>
          <w:lang w:val="ru-RU"/>
        </w:rPr>
        <w:t>ым</w:t>
      </w:r>
      <w:r w:rsidR="00CB3B30" w:rsidRPr="000F2ADD">
        <w:rPr>
          <w:lang w:val="ru-RU"/>
        </w:rPr>
        <w:t xml:space="preserve"> и взаимодополняющим образом. </w:t>
      </w:r>
    </w:p>
    <w:p w14:paraId="5E64DE5D" w14:textId="4387392E" w:rsidR="00CB3B30" w:rsidRPr="00FA2244" w:rsidRDefault="00FA2244" w:rsidP="00FA2244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FA2244">
        <w:rPr>
          <w:sz w:val="20"/>
          <w:lang w:val="ru-RU"/>
        </w:rPr>
        <w:t>1.</w:t>
      </w:r>
      <w:r w:rsidR="00CB3B30" w:rsidRPr="00FA2244">
        <w:rPr>
          <w:sz w:val="20"/>
          <w:lang w:val="ru-RU"/>
        </w:rPr>
        <w:tab/>
        <w:t>Цель 1: оценка знаний</w:t>
      </w:r>
    </w:p>
    <w:p w14:paraId="5EB37B63" w14:textId="1EDF5C97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32.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Для того чтобы сформулировать результаты для данной цели, Группа и Бюро рассмотрели мероприятия, предлагаемые по каждой теме в рамках каждой цели. Они напомнили о рекомендации, высказанной в ходе внутреннего обзора, и замечаниях, полученных в отношении проекта стратегических рамок, о необходимости проведения не более трех параллельных оценок, а также о необходимости рассмотрения Пленумом не более двух оценок на каждой отдельной сессии на предмет принятия и утверждения. Они также рассмотрели график проведения оценок ценности устойчивого использования диких видов и инвазивных чужеродных видов.</w:t>
      </w:r>
    </w:p>
    <w:p w14:paraId="26916A7F" w14:textId="47C68BF7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33.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>Исходя из этих соображений, Группа и Бюро постановили предложить следующие результаты</w:t>
      </w:r>
      <w:r w:rsidR="00BF2413" w:rsidRPr="00FA2244">
        <w:rPr>
          <w:vertAlign w:val="superscript"/>
          <w:lang w:val="ru-RU"/>
        </w:rPr>
        <w:footnoteReference w:id="7"/>
      </w:r>
      <w:r w:rsidR="00CB3B30" w:rsidRPr="000F2ADD">
        <w:rPr>
          <w:lang w:val="ru-RU"/>
        </w:rPr>
        <w:t>, отметив, что в аналитическом докладе по каждой оценке будут определены вопросы, связанные с созданием потенциала, укреплением базы знаний и поддерж</w:t>
      </w:r>
      <w:r w:rsidR="00A20B8C">
        <w:rPr>
          <w:lang w:val="ru-RU"/>
        </w:rPr>
        <w:t>к</w:t>
      </w:r>
      <w:r w:rsidR="00CB3B30" w:rsidRPr="000F2ADD">
        <w:rPr>
          <w:lang w:val="ru-RU"/>
        </w:rPr>
        <w:t>и политик</w:t>
      </w:r>
      <w:r w:rsidR="00A20B8C">
        <w:rPr>
          <w:lang w:val="ru-RU"/>
        </w:rPr>
        <w:t>и</w:t>
      </w:r>
      <w:r w:rsidR="00CB3B30" w:rsidRPr="000F2ADD">
        <w:rPr>
          <w:lang w:val="ru-RU"/>
        </w:rPr>
        <w:t>:</w:t>
      </w:r>
    </w:p>
    <w:p w14:paraId="33AF4256" w14:textId="77777777" w:rsidR="00CB3B30" w:rsidRPr="00FA2244" w:rsidRDefault="00CB3B30" w:rsidP="00872BAA">
      <w:pPr>
        <w:pStyle w:val="ListParagraph"/>
        <w:numPr>
          <w:ilvl w:val="0"/>
          <w:numId w:val="6"/>
        </w:numPr>
        <w:spacing w:after="120"/>
        <w:ind w:left="2438" w:hanging="567"/>
        <w:contextualSpacing w:val="0"/>
        <w:rPr>
          <w:lang w:val="ru-RU"/>
        </w:rPr>
      </w:pPr>
      <w:r w:rsidRPr="00FA2244">
        <w:rPr>
          <w:b/>
          <w:lang w:val="ru-RU"/>
        </w:rPr>
        <w:t>Результат 1 a)</w:t>
      </w:r>
      <w:r w:rsidRPr="00FA2244">
        <w:rPr>
          <w:lang w:val="ru-RU"/>
        </w:rPr>
        <w:t>: четырехгодичная тематическая оценка взаимосвязей между биоразнообразием, водными ресурсами, продовольствием и здоровьем, по результатам которой будет подготовлен аналитический доклад для рассмотрения Пленумом на его восьмой сессии и которая будет завершена для рассмотрения Пленумом на его двенадцатой сессии.</w:t>
      </w:r>
    </w:p>
    <w:p w14:paraId="6590998F" w14:textId="77777777" w:rsidR="00CB3B30" w:rsidRPr="00FA2244" w:rsidRDefault="00CB3B30" w:rsidP="00872BAA">
      <w:pPr>
        <w:pStyle w:val="ListParagraph"/>
        <w:numPr>
          <w:ilvl w:val="0"/>
          <w:numId w:val="6"/>
        </w:numPr>
        <w:spacing w:after="120"/>
        <w:ind w:left="2438" w:hanging="567"/>
        <w:contextualSpacing w:val="0"/>
        <w:rPr>
          <w:lang w:val="ru-RU"/>
        </w:rPr>
      </w:pPr>
      <w:r w:rsidRPr="00FA2244">
        <w:rPr>
          <w:b/>
          <w:lang w:val="ru-RU"/>
        </w:rPr>
        <w:t>Результат 1 b)</w:t>
      </w:r>
      <w:r w:rsidRPr="00FA2244">
        <w:rPr>
          <w:lang w:val="ru-RU"/>
        </w:rPr>
        <w:t>: в ответ на многочисленные просьбы о сотрудничестве с МГЭИК и с учетом необходимости эффективного использования результатов работы, уже проведенной МГЭИК и МПБЭУ, Группа и Бюро предложили подготовить совместно с МГЭИК в течение ближайших полутора лет технический документ об оценке взаимосвязи между биоразнообразием и изменением климата.</w:t>
      </w:r>
    </w:p>
    <w:p w14:paraId="775FE541" w14:textId="26F44E1D" w:rsidR="00CB3B30" w:rsidRPr="00FA2244" w:rsidRDefault="00CB3B30" w:rsidP="00872BAA">
      <w:pPr>
        <w:pStyle w:val="ListParagraph"/>
        <w:numPr>
          <w:ilvl w:val="0"/>
          <w:numId w:val="6"/>
        </w:numPr>
        <w:spacing w:after="120"/>
        <w:ind w:left="2438" w:hanging="567"/>
        <w:contextualSpacing w:val="0"/>
        <w:rPr>
          <w:lang w:val="ru-RU"/>
        </w:rPr>
      </w:pPr>
      <w:r w:rsidRPr="00FA2244">
        <w:rPr>
          <w:b/>
          <w:lang w:val="ru-RU"/>
        </w:rPr>
        <w:t>Результат 1 c)</w:t>
      </w:r>
      <w:r w:rsidRPr="00FA2244">
        <w:rPr>
          <w:lang w:val="ru-RU"/>
        </w:rPr>
        <w:t xml:space="preserve">: трехгодичная тематическая оценка коренных причин утраты биоразнообразия и определяющих факторов </w:t>
      </w:r>
      <w:r w:rsidR="00A20B8C">
        <w:rPr>
          <w:lang w:val="ru-RU"/>
        </w:rPr>
        <w:t>преобразовательных</w:t>
      </w:r>
      <w:r w:rsidR="00A20B8C" w:rsidRPr="00FA2244">
        <w:rPr>
          <w:lang w:val="ru-RU"/>
        </w:rPr>
        <w:t xml:space="preserve"> </w:t>
      </w:r>
      <w:r w:rsidRPr="00FA2244">
        <w:rPr>
          <w:lang w:val="ru-RU"/>
        </w:rPr>
        <w:t>изменений, для которой будет подготовлен аналитический доклад для рассмотрения Пленумом на его девятой сессии, но которая будет начата только после десятой сессии Пленума с тем, чтобы ограничить число параллельно проводимых оценок, и которая будет завершена для рассмотрения Пленумом на его тринадцатой сессии.</w:t>
      </w:r>
    </w:p>
    <w:p w14:paraId="34EAD471" w14:textId="05656324" w:rsidR="00CB3B30" w:rsidRPr="00FA2244" w:rsidRDefault="00CB3B30" w:rsidP="00872BAA">
      <w:pPr>
        <w:pStyle w:val="ListParagraph"/>
        <w:numPr>
          <w:ilvl w:val="0"/>
          <w:numId w:val="6"/>
        </w:numPr>
        <w:spacing w:after="120"/>
        <w:ind w:left="2438" w:hanging="567"/>
        <w:contextualSpacing w:val="0"/>
        <w:rPr>
          <w:lang w:val="ru-RU"/>
        </w:rPr>
      </w:pPr>
      <w:r w:rsidRPr="00FA2244">
        <w:rPr>
          <w:b/>
          <w:lang w:val="ru-RU"/>
        </w:rPr>
        <w:t>Результат 1 d)</w:t>
      </w:r>
      <w:r w:rsidRPr="00FA2244">
        <w:rPr>
          <w:lang w:val="ru-RU"/>
        </w:rPr>
        <w:t xml:space="preserve">: проведение двухгодичной ускоренной методологической оценки воздействия </w:t>
      </w:r>
      <w:r w:rsidR="00913141">
        <w:rPr>
          <w:lang w:val="ru-RU"/>
        </w:rPr>
        <w:t xml:space="preserve">хозяйственной деятельности </w:t>
      </w:r>
      <w:r w:rsidRPr="00FA2244">
        <w:rPr>
          <w:lang w:val="ru-RU"/>
        </w:rPr>
        <w:t>и зависимости от биоразнообразия и обеспечиваемого природой вклада на благо человека, для которой будет подготовлен аналитический доклад для рассмотрения Пленумом на его восьмой сессии, которая будет начата после девятой сессии Пленума (в 2021 году) и завершена для рассмотрения Пленумом на его одиннадцатой сессии.</w:t>
      </w:r>
    </w:p>
    <w:p w14:paraId="2FE4C732" w14:textId="6CBAEDAE" w:rsidR="00CB3B30" w:rsidRPr="00FA2244" w:rsidRDefault="00FA2244" w:rsidP="00FA2244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FA2244">
        <w:rPr>
          <w:sz w:val="20"/>
          <w:lang w:val="ru-RU"/>
        </w:rPr>
        <w:t>2.</w:t>
      </w:r>
      <w:r w:rsidR="00CB3B30" w:rsidRPr="00FA2244">
        <w:rPr>
          <w:sz w:val="20"/>
          <w:lang w:val="ru-RU"/>
        </w:rPr>
        <w:tab/>
        <w:t>Цель 2: создание потенциала</w:t>
      </w:r>
    </w:p>
    <w:p w14:paraId="76BAA253" w14:textId="1D98FCD3" w:rsidR="00CB3B30" w:rsidRPr="000F2ADD" w:rsidRDefault="00FA2244" w:rsidP="000F2ADD">
      <w:pPr>
        <w:spacing w:after="120"/>
        <w:ind w:left="1247"/>
        <w:rPr>
          <w:lang w:val="ru-RU"/>
        </w:rPr>
      </w:pPr>
      <w:r w:rsidRPr="00FA2244">
        <w:rPr>
          <w:lang w:val="ru-RU"/>
        </w:rPr>
        <w:t>34.</w:t>
      </w:r>
      <w:r w:rsidRPr="00FA2244">
        <w:rPr>
          <w:lang w:val="ru-RU"/>
        </w:rPr>
        <w:tab/>
      </w:r>
      <w:r w:rsidR="00CB3B30" w:rsidRPr="000F2ADD">
        <w:rPr>
          <w:lang w:val="ru-RU"/>
        </w:rPr>
        <w:t xml:space="preserve">Группа и Бюро рассмотрели запросы, материалы и предложения, полученные в связи с этой целью, и отметили работу, проведенную в области создания потенциала в рамках первой программы работы, в частности разработку скользящего плана создания потенциала, цель которого заключалась в определении принципов, стратегических направлений, форм и мероприятий по созданию и дальнейшему развитию потенциала отдельных лиц и учреждений на основе приоритетных потребностей, утвержденных Пленумом в его решении </w:t>
      </w:r>
      <w:r w:rsidR="00DA08C3">
        <w:rPr>
          <w:lang w:val="ru-RU"/>
        </w:rPr>
        <w:t>МПБЭУ</w:t>
      </w:r>
      <w:r w:rsidR="00CB3B30" w:rsidRPr="000F2ADD">
        <w:rPr>
          <w:lang w:val="ru-RU"/>
        </w:rPr>
        <w:t xml:space="preserve">-3/1. Группа и Бюро определили все компоненты скользящего плана в качестве наиболее приоритетных и постановили, что в рамках цели 2 следует установить следующие результаты: </w:t>
      </w:r>
    </w:p>
    <w:p w14:paraId="70F25032" w14:textId="2D1C7F19" w:rsidR="00CB3B30" w:rsidRPr="00FA2244" w:rsidRDefault="00CB3B30" w:rsidP="00872BAA">
      <w:pPr>
        <w:pStyle w:val="ListParagraph"/>
        <w:numPr>
          <w:ilvl w:val="0"/>
          <w:numId w:val="7"/>
        </w:numPr>
        <w:spacing w:after="120"/>
        <w:ind w:left="2495" w:hanging="624"/>
        <w:contextualSpacing w:val="0"/>
        <w:rPr>
          <w:lang w:val="ru-RU"/>
        </w:rPr>
      </w:pPr>
      <w:r w:rsidRPr="00440E22">
        <w:rPr>
          <w:b/>
          <w:lang w:val="ru-RU"/>
        </w:rPr>
        <w:t>Результат 2 a)</w:t>
      </w:r>
      <w:r w:rsidRPr="00FA2244">
        <w:rPr>
          <w:lang w:val="ru-RU"/>
        </w:rPr>
        <w:t>: повышение эффективности обучения и участия</w:t>
      </w:r>
      <w:r w:rsidR="00DA08C3">
        <w:rPr>
          <w:lang w:val="ru-RU"/>
        </w:rPr>
        <w:t>.</w:t>
      </w:r>
    </w:p>
    <w:p w14:paraId="1AFB8CB8" w14:textId="3944B627" w:rsidR="00CB3B30" w:rsidRPr="00FA2244" w:rsidRDefault="00CB3B30" w:rsidP="00872BAA">
      <w:pPr>
        <w:pStyle w:val="ListParagraph"/>
        <w:numPr>
          <w:ilvl w:val="0"/>
          <w:numId w:val="7"/>
        </w:numPr>
        <w:spacing w:after="120"/>
        <w:ind w:left="2495" w:hanging="624"/>
        <w:contextualSpacing w:val="0"/>
        <w:rPr>
          <w:lang w:val="ru-RU"/>
        </w:rPr>
      </w:pPr>
      <w:r w:rsidRPr="008F607A">
        <w:rPr>
          <w:b/>
          <w:lang w:val="ru-RU"/>
        </w:rPr>
        <w:t>Результат 2 b)</w:t>
      </w:r>
      <w:r w:rsidRPr="00FA2244">
        <w:rPr>
          <w:lang w:val="ru-RU"/>
        </w:rPr>
        <w:t>: содействие доступу к экспертным знаниям и информации</w:t>
      </w:r>
      <w:r w:rsidR="00DA08C3">
        <w:rPr>
          <w:lang w:val="ru-RU"/>
        </w:rPr>
        <w:t>.</w:t>
      </w:r>
    </w:p>
    <w:p w14:paraId="3F5240BE" w14:textId="1C0CC85E" w:rsidR="00CB3B30" w:rsidRPr="00FA2244" w:rsidRDefault="00CB3B30" w:rsidP="00872BAA">
      <w:pPr>
        <w:pStyle w:val="ListParagraph"/>
        <w:numPr>
          <w:ilvl w:val="0"/>
          <w:numId w:val="7"/>
        </w:numPr>
        <w:spacing w:after="120"/>
        <w:ind w:left="2495" w:hanging="624"/>
        <w:contextualSpacing w:val="0"/>
        <w:rPr>
          <w:lang w:val="ru-RU"/>
        </w:rPr>
      </w:pPr>
      <w:r w:rsidRPr="008F607A">
        <w:rPr>
          <w:b/>
          <w:lang w:val="ru-RU"/>
        </w:rPr>
        <w:t>Результат 2 c)</w:t>
      </w:r>
      <w:r w:rsidRPr="00FA2244">
        <w:rPr>
          <w:lang w:val="ru-RU"/>
        </w:rPr>
        <w:t>: укрепление национального и регионального потенциала</w:t>
      </w:r>
      <w:r w:rsidR="00DA08C3">
        <w:rPr>
          <w:lang w:val="ru-RU"/>
        </w:rPr>
        <w:t>.</w:t>
      </w:r>
    </w:p>
    <w:p w14:paraId="518A80F4" w14:textId="13093AED" w:rsidR="00CB3B30" w:rsidRPr="008F607A" w:rsidRDefault="008F607A" w:rsidP="008F607A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8F607A">
        <w:rPr>
          <w:sz w:val="20"/>
          <w:lang w:val="ru-RU"/>
        </w:rPr>
        <w:t>3.</w:t>
      </w:r>
      <w:r w:rsidR="00CB3B30" w:rsidRPr="008F607A">
        <w:rPr>
          <w:sz w:val="20"/>
          <w:lang w:val="ru-RU"/>
        </w:rPr>
        <w:tab/>
        <w:t>Цель 3: укрепление базы знаний</w:t>
      </w:r>
    </w:p>
    <w:p w14:paraId="4981F8DE" w14:textId="04E23D8A" w:rsidR="00CB3B30" w:rsidRPr="000F2ADD" w:rsidRDefault="008F607A" w:rsidP="000F2ADD">
      <w:pPr>
        <w:spacing w:after="120"/>
        <w:ind w:left="1247"/>
        <w:rPr>
          <w:lang w:val="ru-RU"/>
        </w:rPr>
      </w:pPr>
      <w:r w:rsidRPr="008F607A">
        <w:rPr>
          <w:lang w:val="ru-RU"/>
        </w:rPr>
        <w:t>35.</w:t>
      </w:r>
      <w:r w:rsidRPr="008F607A">
        <w:rPr>
          <w:lang w:val="ru-RU"/>
        </w:rPr>
        <w:tab/>
      </w:r>
      <w:r w:rsidR="00CB3B30" w:rsidRPr="000F2ADD">
        <w:rPr>
          <w:lang w:val="ru-RU"/>
        </w:rPr>
        <w:t>Группа и Бюро рассмотрели запросы, материалы и предложения, полученные в связи с этой целью, и отметили работу по укреплению базы знаний, проведенную в рамках первой программы работы, в том числе в отношении знаний и данных и разработки подхода к признанию знаний коренного и местного населения и работе с ними</w:t>
      </w:r>
      <w:r w:rsidRPr="008F607A">
        <w:rPr>
          <w:vertAlign w:val="superscript"/>
          <w:lang w:val="ru-RU"/>
        </w:rPr>
        <w:footnoteReference w:id="8"/>
      </w:r>
      <w:r w:rsidR="00CB3B30" w:rsidRPr="000F2ADD">
        <w:rPr>
          <w:lang w:val="ru-RU"/>
        </w:rPr>
        <w:t xml:space="preserve">. Группа и Бюро определили все элементы этой работы в качестве наиболее приоритетных и предложили включить следующие два результата для этой цели: </w:t>
      </w:r>
    </w:p>
    <w:p w14:paraId="1A352987" w14:textId="1CE52799" w:rsidR="00CB3B30" w:rsidRPr="008F607A" w:rsidRDefault="00CB3B30" w:rsidP="00872BAA">
      <w:pPr>
        <w:pStyle w:val="ListParagraph"/>
        <w:numPr>
          <w:ilvl w:val="0"/>
          <w:numId w:val="8"/>
        </w:numPr>
        <w:spacing w:after="120"/>
        <w:ind w:left="2495" w:hanging="624"/>
        <w:contextualSpacing w:val="0"/>
        <w:rPr>
          <w:lang w:val="ru-RU"/>
        </w:rPr>
      </w:pPr>
      <w:r w:rsidRPr="008F607A">
        <w:rPr>
          <w:b/>
          <w:lang w:val="ru-RU"/>
        </w:rPr>
        <w:t>Результат 3 a)</w:t>
      </w:r>
      <w:r w:rsidRPr="008F607A">
        <w:rPr>
          <w:lang w:val="ru-RU"/>
        </w:rPr>
        <w:t>: ускорение работы в отношении знаний и данных</w:t>
      </w:r>
      <w:r w:rsidR="00DA08C3">
        <w:rPr>
          <w:lang w:val="ru-RU"/>
        </w:rPr>
        <w:t>.</w:t>
      </w:r>
    </w:p>
    <w:p w14:paraId="0486E176" w14:textId="1E2CE6F6" w:rsidR="00CB3B30" w:rsidRPr="008F607A" w:rsidRDefault="00CB3B30" w:rsidP="00872BAA">
      <w:pPr>
        <w:pStyle w:val="ListParagraph"/>
        <w:numPr>
          <w:ilvl w:val="0"/>
          <w:numId w:val="8"/>
        </w:numPr>
        <w:spacing w:after="120"/>
        <w:ind w:left="2495" w:hanging="624"/>
        <w:contextualSpacing w:val="0"/>
        <w:rPr>
          <w:lang w:val="ru-RU"/>
        </w:rPr>
      </w:pPr>
      <w:r w:rsidRPr="008F607A">
        <w:rPr>
          <w:b/>
          <w:lang w:val="ru-RU"/>
        </w:rPr>
        <w:t>Результат 3 b)</w:t>
      </w:r>
      <w:r w:rsidRPr="008F607A">
        <w:rPr>
          <w:lang w:val="ru-RU"/>
        </w:rPr>
        <w:t>: более широкое признание систем знаний коренного и местного населения и работа с ними</w:t>
      </w:r>
      <w:r w:rsidR="00DA08C3">
        <w:rPr>
          <w:lang w:val="ru-RU"/>
        </w:rPr>
        <w:t>.</w:t>
      </w:r>
    </w:p>
    <w:p w14:paraId="45840EEF" w14:textId="43AC30B3" w:rsidR="00CB3B30" w:rsidRPr="008F607A" w:rsidRDefault="008F607A" w:rsidP="008F607A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8F607A">
        <w:rPr>
          <w:sz w:val="20"/>
          <w:lang w:val="ru-RU"/>
        </w:rPr>
        <w:t>4.</w:t>
      </w:r>
      <w:r w:rsidR="00CB3B30" w:rsidRPr="008F607A">
        <w:rPr>
          <w:sz w:val="20"/>
          <w:lang w:val="ru-RU"/>
        </w:rPr>
        <w:tab/>
        <w:t>Цель 4: поддерж</w:t>
      </w:r>
      <w:r w:rsidR="008455B6">
        <w:rPr>
          <w:sz w:val="20"/>
          <w:lang w:val="ru-RU"/>
        </w:rPr>
        <w:t>ка</w:t>
      </w:r>
      <w:r w:rsidR="00CB3B30" w:rsidRPr="008F607A">
        <w:rPr>
          <w:sz w:val="20"/>
          <w:lang w:val="ru-RU"/>
        </w:rPr>
        <w:t xml:space="preserve"> политик</w:t>
      </w:r>
      <w:r w:rsidR="008455B6">
        <w:rPr>
          <w:sz w:val="20"/>
          <w:lang w:val="ru-RU"/>
        </w:rPr>
        <w:t>и</w:t>
      </w:r>
    </w:p>
    <w:p w14:paraId="763DC0F6" w14:textId="6F39D160" w:rsidR="00CB3B30" w:rsidRPr="000F2ADD" w:rsidRDefault="008F607A" w:rsidP="000F2ADD">
      <w:pPr>
        <w:spacing w:after="120"/>
        <w:ind w:left="1247"/>
        <w:rPr>
          <w:lang w:val="ru-RU"/>
        </w:rPr>
      </w:pPr>
      <w:r w:rsidRPr="008F607A">
        <w:rPr>
          <w:lang w:val="ru-RU"/>
        </w:rPr>
        <w:t>36.</w:t>
      </w:r>
      <w:r w:rsidRPr="008F607A">
        <w:rPr>
          <w:lang w:val="ru-RU"/>
        </w:rPr>
        <w:tab/>
      </w:r>
      <w:r w:rsidR="00CB3B30" w:rsidRPr="000F2ADD">
        <w:rPr>
          <w:lang w:val="ru-RU"/>
        </w:rPr>
        <w:t>Группа и Бюро рассмотрели запросы, материалы и предложения, полученные в связи с этой целью, и отметили работу в отношении поддерж</w:t>
      </w:r>
      <w:r w:rsidR="008455B6">
        <w:rPr>
          <w:lang w:val="ru-RU"/>
        </w:rPr>
        <w:t>к</w:t>
      </w:r>
      <w:r w:rsidR="00CB3B30" w:rsidRPr="000F2ADD">
        <w:rPr>
          <w:lang w:val="ru-RU"/>
        </w:rPr>
        <w:t>и политики, проведенную в рамках первой программы работы, включая разработку портала для поддерж</w:t>
      </w:r>
      <w:r w:rsidR="008455B6">
        <w:rPr>
          <w:lang w:val="ru-RU"/>
        </w:rPr>
        <w:t>к</w:t>
      </w:r>
      <w:r w:rsidR="00CB3B30" w:rsidRPr="000F2ADD">
        <w:rPr>
          <w:lang w:val="ru-RU"/>
        </w:rPr>
        <w:t xml:space="preserve">и политики и соответствующих процедур, работу над сценариями и моделями и работу в отношении ценности и оценки. Группа и Бюро определили все элементы этой работы в качестве наиболее приоритетных и предложили включить следующие три результата для этой цели в дополнение к результату 1 c), который будет касаться эффективности инструментов политики и средств, и результату 1 d), который будет касаться конкретных показателей и параметров: </w:t>
      </w:r>
    </w:p>
    <w:p w14:paraId="3A208AEA" w14:textId="3BA51EB2" w:rsidR="00CB3B30" w:rsidRPr="00872BAA" w:rsidRDefault="00CB3B30" w:rsidP="00872BAA">
      <w:pPr>
        <w:pStyle w:val="ListParagraph"/>
        <w:numPr>
          <w:ilvl w:val="0"/>
          <w:numId w:val="12"/>
        </w:numPr>
        <w:spacing w:after="120"/>
        <w:ind w:left="2495" w:hanging="624"/>
        <w:contextualSpacing w:val="0"/>
        <w:rPr>
          <w:lang w:val="ru-RU"/>
        </w:rPr>
      </w:pPr>
      <w:r w:rsidRPr="00872BAA">
        <w:rPr>
          <w:b/>
          <w:lang w:val="ru-RU"/>
        </w:rPr>
        <w:t>Результат 4 a)</w:t>
      </w:r>
      <w:r w:rsidRPr="00872BAA">
        <w:rPr>
          <w:lang w:val="ru-RU"/>
        </w:rPr>
        <w:t>: ускорение работы над инструментами политики и методологиями</w:t>
      </w:r>
      <w:r w:rsidR="00DA08C3">
        <w:rPr>
          <w:lang w:val="ru-RU"/>
        </w:rPr>
        <w:t>.</w:t>
      </w:r>
    </w:p>
    <w:p w14:paraId="0D7DFC11" w14:textId="48975666" w:rsidR="00CB3B30" w:rsidRPr="00872BAA" w:rsidRDefault="00CB3B30" w:rsidP="00872BAA">
      <w:pPr>
        <w:pStyle w:val="ListParagraph"/>
        <w:numPr>
          <w:ilvl w:val="0"/>
          <w:numId w:val="12"/>
        </w:numPr>
        <w:spacing w:after="120"/>
        <w:ind w:left="2495" w:hanging="624"/>
        <w:contextualSpacing w:val="0"/>
        <w:rPr>
          <w:lang w:val="ru-RU"/>
        </w:rPr>
      </w:pPr>
      <w:r w:rsidRPr="00872BAA">
        <w:rPr>
          <w:b/>
          <w:lang w:val="ru-RU"/>
        </w:rPr>
        <w:t>Результат 4 b)</w:t>
      </w:r>
      <w:r w:rsidRPr="00872BAA">
        <w:rPr>
          <w:lang w:val="ru-RU"/>
        </w:rPr>
        <w:t>: ускорение работы над сценариями и моделями биоразнообразия и экосистемных услуг</w:t>
      </w:r>
      <w:r w:rsidR="00DA08C3">
        <w:rPr>
          <w:lang w:val="ru-RU"/>
        </w:rPr>
        <w:t>.</w:t>
      </w:r>
    </w:p>
    <w:p w14:paraId="353BCF79" w14:textId="70DA68AF" w:rsidR="00CB3B30" w:rsidRPr="00872BAA" w:rsidRDefault="00CB3B30" w:rsidP="00872BAA">
      <w:pPr>
        <w:pStyle w:val="ListParagraph"/>
        <w:numPr>
          <w:ilvl w:val="0"/>
          <w:numId w:val="12"/>
        </w:numPr>
        <w:spacing w:after="120"/>
        <w:ind w:left="2495" w:hanging="624"/>
        <w:contextualSpacing w:val="0"/>
        <w:rPr>
          <w:lang w:val="ru-RU"/>
        </w:rPr>
      </w:pPr>
      <w:r w:rsidRPr="00872BAA">
        <w:rPr>
          <w:b/>
          <w:lang w:val="ru-RU"/>
        </w:rPr>
        <w:t>Результат 4 c)</w:t>
      </w:r>
      <w:r w:rsidRPr="00872BAA">
        <w:rPr>
          <w:lang w:val="ru-RU"/>
        </w:rPr>
        <w:t>: ускорение работы по различным концептуализациям ценностей</w:t>
      </w:r>
      <w:r w:rsidR="00DA08C3">
        <w:rPr>
          <w:lang w:val="ru-RU"/>
        </w:rPr>
        <w:t>.</w:t>
      </w:r>
    </w:p>
    <w:p w14:paraId="529330BE" w14:textId="18224CDC" w:rsidR="00CB3B30" w:rsidRPr="008F607A" w:rsidRDefault="008F607A" w:rsidP="008F607A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8F607A">
        <w:rPr>
          <w:sz w:val="20"/>
          <w:lang w:val="ru-RU"/>
        </w:rPr>
        <w:t>5.</w:t>
      </w:r>
      <w:r w:rsidR="00CB3B30" w:rsidRPr="008F607A">
        <w:rPr>
          <w:sz w:val="20"/>
          <w:lang w:val="ru-RU"/>
        </w:rPr>
        <w:tab/>
        <w:t xml:space="preserve">Цель 5: </w:t>
      </w:r>
      <w:r w:rsidR="004B2703">
        <w:rPr>
          <w:sz w:val="20"/>
          <w:lang w:val="ru-RU"/>
        </w:rPr>
        <w:t>информационное обеспечение</w:t>
      </w:r>
      <w:r w:rsidR="004B2703" w:rsidRPr="008F607A">
        <w:rPr>
          <w:sz w:val="20"/>
          <w:lang w:val="ru-RU"/>
        </w:rPr>
        <w:t xml:space="preserve"> </w:t>
      </w:r>
      <w:r w:rsidR="00CB3B30" w:rsidRPr="008F607A">
        <w:rPr>
          <w:sz w:val="20"/>
          <w:lang w:val="ru-RU"/>
        </w:rPr>
        <w:t xml:space="preserve">и участие </w:t>
      </w:r>
    </w:p>
    <w:p w14:paraId="73C1D66A" w14:textId="72114DE6" w:rsidR="00CB3B30" w:rsidRPr="000F2ADD" w:rsidRDefault="008F607A" w:rsidP="000F2ADD">
      <w:pPr>
        <w:spacing w:after="120"/>
        <w:ind w:left="1247"/>
        <w:rPr>
          <w:lang w:val="ru-RU"/>
        </w:rPr>
      </w:pPr>
      <w:r w:rsidRPr="008F607A">
        <w:rPr>
          <w:lang w:val="ru-RU"/>
        </w:rPr>
        <w:t>37.</w:t>
      </w:r>
      <w:r w:rsidRPr="008F607A">
        <w:rPr>
          <w:lang w:val="ru-RU"/>
        </w:rPr>
        <w:tab/>
      </w:r>
      <w:r w:rsidR="00CB3B30" w:rsidRPr="000F2ADD">
        <w:rPr>
          <w:lang w:val="ru-RU"/>
        </w:rPr>
        <w:t xml:space="preserve">Группа и Бюро рассмотрели полученные запросы, материалы и предложения, касающиеся этой цели (см. пункт 24). Они отметили работу, проведенную в области </w:t>
      </w:r>
      <w:r w:rsidR="004B2703">
        <w:rPr>
          <w:lang w:val="ru-RU"/>
        </w:rPr>
        <w:t>информационного обеспечения</w:t>
      </w:r>
      <w:r w:rsidR="00CB3B30" w:rsidRPr="000F2ADD">
        <w:rPr>
          <w:lang w:val="ru-RU"/>
        </w:rPr>
        <w:t>, участия и обзора эффективности в рамках первой программы работы, включая принятие и осуществление стратеги</w:t>
      </w:r>
      <w:r w:rsidR="004B2703">
        <w:rPr>
          <w:lang w:val="ru-RU"/>
        </w:rPr>
        <w:t>и информационного обеспечения и пропагандистской деятельности</w:t>
      </w:r>
      <w:r w:rsidR="00814361" w:rsidRPr="008F607A">
        <w:rPr>
          <w:vertAlign w:val="superscript"/>
          <w:lang w:val="ru-RU"/>
        </w:rPr>
        <w:footnoteReference w:id="9"/>
      </w:r>
      <w:r w:rsidR="00CB3B30" w:rsidRPr="000F2ADD">
        <w:rPr>
          <w:lang w:val="ru-RU"/>
        </w:rPr>
        <w:t xml:space="preserve"> и стратегии </w:t>
      </w:r>
      <w:r w:rsidR="004B2703">
        <w:rPr>
          <w:lang w:val="ru-RU"/>
        </w:rPr>
        <w:t>привлечения</w:t>
      </w:r>
      <w:r w:rsidR="004B2703" w:rsidRPr="000F2ADD">
        <w:rPr>
          <w:lang w:val="ru-RU"/>
        </w:rPr>
        <w:t xml:space="preserve"> </w:t>
      </w:r>
      <w:r w:rsidR="00CB3B30" w:rsidRPr="000F2ADD">
        <w:rPr>
          <w:lang w:val="ru-RU"/>
        </w:rPr>
        <w:t>заинтересованных сторон в деятельность Платформы</w:t>
      </w:r>
      <w:r w:rsidR="00814361" w:rsidRPr="008F607A">
        <w:rPr>
          <w:vertAlign w:val="superscript"/>
          <w:lang w:val="ru-RU"/>
        </w:rPr>
        <w:footnoteReference w:id="10"/>
      </w:r>
      <w:r w:rsidR="00CB3B30" w:rsidRPr="000F2ADD">
        <w:rPr>
          <w:lang w:val="ru-RU"/>
        </w:rPr>
        <w:t>, а также выводы обзора МПБЭУ, проведенного по завершении ее первой программы работы</w:t>
      </w:r>
      <w:r w:rsidRPr="008F607A">
        <w:rPr>
          <w:vertAlign w:val="superscript"/>
          <w:lang w:val="ru-RU"/>
        </w:rPr>
        <w:footnoteReference w:id="11"/>
      </w:r>
      <w:r w:rsidR="00CB3B30" w:rsidRPr="000F2ADD">
        <w:rPr>
          <w:lang w:val="ru-RU"/>
        </w:rPr>
        <w:t xml:space="preserve">. Группа и Бюро определили все три элемента в качестве наиболее приоритетных и предложили включить следующие два результата для этой цели: </w:t>
      </w:r>
    </w:p>
    <w:p w14:paraId="6E4BA833" w14:textId="1CE65E54" w:rsidR="00CB3B30" w:rsidRPr="008F607A" w:rsidRDefault="00CB3B30" w:rsidP="00872BAA">
      <w:pPr>
        <w:pStyle w:val="ListParagraph"/>
        <w:numPr>
          <w:ilvl w:val="0"/>
          <w:numId w:val="10"/>
        </w:numPr>
        <w:spacing w:after="120"/>
        <w:ind w:left="2495" w:hanging="624"/>
        <w:contextualSpacing w:val="0"/>
        <w:rPr>
          <w:lang w:val="ru-RU"/>
        </w:rPr>
      </w:pPr>
      <w:r w:rsidRPr="008F607A">
        <w:rPr>
          <w:b/>
          <w:lang w:val="ru-RU"/>
        </w:rPr>
        <w:t>Результат 5 a)</w:t>
      </w:r>
      <w:r w:rsidRPr="008F607A">
        <w:rPr>
          <w:lang w:val="ru-RU"/>
        </w:rPr>
        <w:t xml:space="preserve">: усиление </w:t>
      </w:r>
      <w:r w:rsidR="004B2703">
        <w:rPr>
          <w:lang w:val="ru-RU"/>
        </w:rPr>
        <w:t>информационного обеспечения</w:t>
      </w:r>
      <w:r w:rsidR="00814361">
        <w:rPr>
          <w:lang w:val="ru-RU"/>
        </w:rPr>
        <w:t>.</w:t>
      </w:r>
    </w:p>
    <w:p w14:paraId="6780AAEE" w14:textId="1D24966D" w:rsidR="00CB3B30" w:rsidRPr="008F607A" w:rsidRDefault="00CB3B30" w:rsidP="00872BAA">
      <w:pPr>
        <w:pStyle w:val="ListParagraph"/>
        <w:numPr>
          <w:ilvl w:val="0"/>
          <w:numId w:val="10"/>
        </w:numPr>
        <w:spacing w:after="120"/>
        <w:ind w:left="2495" w:hanging="624"/>
        <w:contextualSpacing w:val="0"/>
        <w:rPr>
          <w:lang w:val="ru-RU"/>
        </w:rPr>
      </w:pPr>
      <w:r w:rsidRPr="008F607A">
        <w:rPr>
          <w:b/>
          <w:lang w:val="ru-RU"/>
        </w:rPr>
        <w:t>Результат 5 b)</w:t>
      </w:r>
      <w:r w:rsidRPr="008F607A">
        <w:rPr>
          <w:lang w:val="ru-RU"/>
        </w:rPr>
        <w:t xml:space="preserve">: </w:t>
      </w:r>
      <w:r w:rsidR="0025233C">
        <w:rPr>
          <w:lang w:val="ru-RU"/>
        </w:rPr>
        <w:t>более активное</w:t>
      </w:r>
      <w:r w:rsidR="0025233C" w:rsidRPr="008F607A">
        <w:rPr>
          <w:lang w:val="ru-RU"/>
        </w:rPr>
        <w:t xml:space="preserve"> </w:t>
      </w:r>
      <w:r w:rsidR="0025233C">
        <w:rPr>
          <w:lang w:val="ru-RU"/>
        </w:rPr>
        <w:t>привлечение</w:t>
      </w:r>
      <w:r w:rsidR="0025233C" w:rsidRPr="008F607A">
        <w:rPr>
          <w:lang w:val="ru-RU"/>
        </w:rPr>
        <w:t xml:space="preserve"> </w:t>
      </w:r>
      <w:r w:rsidRPr="008F607A">
        <w:rPr>
          <w:lang w:val="ru-RU"/>
        </w:rPr>
        <w:t>правительств и заинтересованных сторон</w:t>
      </w:r>
      <w:r w:rsidR="00814361">
        <w:rPr>
          <w:lang w:val="ru-RU"/>
        </w:rPr>
        <w:t>.</w:t>
      </w:r>
    </w:p>
    <w:p w14:paraId="4E2A56C9" w14:textId="484A0B3F" w:rsidR="00CB3B30" w:rsidRPr="008F607A" w:rsidRDefault="008F607A" w:rsidP="008F607A">
      <w:pPr>
        <w:pStyle w:val="Heading1"/>
        <w:rPr>
          <w:sz w:val="20"/>
          <w:lang w:val="ru-RU"/>
        </w:rPr>
      </w:pPr>
      <w:r>
        <w:rPr>
          <w:sz w:val="20"/>
          <w:lang w:val="ru-RU"/>
        </w:rPr>
        <w:tab/>
      </w:r>
      <w:r w:rsidR="00CB3B30" w:rsidRPr="008F607A">
        <w:rPr>
          <w:sz w:val="20"/>
          <w:lang w:val="ru-RU"/>
        </w:rPr>
        <w:t>6.</w:t>
      </w:r>
      <w:r w:rsidR="00CB3B30" w:rsidRPr="008F607A">
        <w:rPr>
          <w:sz w:val="20"/>
          <w:lang w:val="ru-RU"/>
        </w:rPr>
        <w:tab/>
        <w:t>Цель 6: обзор эффективности</w:t>
      </w:r>
    </w:p>
    <w:p w14:paraId="49502D31" w14:textId="7D3B324F" w:rsidR="00CB3B30" w:rsidRPr="000F2ADD" w:rsidRDefault="008F607A" w:rsidP="000F2ADD">
      <w:pPr>
        <w:spacing w:after="120"/>
        <w:ind w:left="1247"/>
        <w:rPr>
          <w:lang w:val="ru-RU"/>
        </w:rPr>
      </w:pPr>
      <w:r w:rsidRPr="008F607A">
        <w:rPr>
          <w:lang w:val="ru-RU"/>
        </w:rPr>
        <w:t>38.</w:t>
      </w:r>
      <w:r w:rsidRPr="008F607A">
        <w:rPr>
          <w:lang w:val="ru-RU"/>
        </w:rPr>
        <w:tab/>
      </w:r>
      <w:r w:rsidR="00CB3B30" w:rsidRPr="000F2ADD">
        <w:rPr>
          <w:lang w:val="ru-RU"/>
        </w:rPr>
        <w:t xml:space="preserve">Группа и Бюро рассмотрели запросы, материалы и предложения, полученные в отношении этой цели (см. пункт 25), и предложили включить следующий результат для этой цели: </w:t>
      </w:r>
    </w:p>
    <w:p w14:paraId="23E29847" w14:textId="602F2BFD" w:rsidR="00CB3B30" w:rsidRPr="008F607A" w:rsidRDefault="00CB3B30" w:rsidP="00872BAA">
      <w:pPr>
        <w:pStyle w:val="ListParagraph"/>
        <w:numPr>
          <w:ilvl w:val="0"/>
          <w:numId w:val="11"/>
        </w:numPr>
        <w:spacing w:after="240"/>
        <w:ind w:left="2495" w:hanging="624"/>
        <w:contextualSpacing w:val="0"/>
        <w:rPr>
          <w:lang w:val="ru-RU"/>
        </w:rPr>
      </w:pPr>
      <w:r w:rsidRPr="008F607A">
        <w:rPr>
          <w:b/>
          <w:lang w:val="ru-RU"/>
        </w:rPr>
        <w:t>Результат 6</w:t>
      </w:r>
      <w:r w:rsidRPr="008F607A">
        <w:rPr>
          <w:lang w:val="ru-RU"/>
        </w:rPr>
        <w:t>: проведение обзора эффективности</w:t>
      </w:r>
      <w:r w:rsidR="00814361">
        <w:rPr>
          <w:lang w:val="ru-RU"/>
        </w:rPr>
        <w:t>.</w:t>
      </w:r>
    </w:p>
    <w:p w14:paraId="46F8AFB6" w14:textId="5B9E4860" w:rsidR="00CB3B30" w:rsidRPr="000F2ADD" w:rsidRDefault="008F607A" w:rsidP="008F607A">
      <w:pPr>
        <w:pStyle w:val="Heading1"/>
        <w:rPr>
          <w:lang w:val="ru-RU"/>
        </w:rPr>
      </w:pPr>
      <w:r>
        <w:rPr>
          <w:lang w:val="ru-RU"/>
        </w:rPr>
        <w:tab/>
      </w:r>
      <w:r w:rsidR="00CB3B30" w:rsidRPr="000F2ADD">
        <w:rPr>
          <w:lang w:val="ru-RU"/>
        </w:rPr>
        <w:t>V.</w:t>
      </w:r>
      <w:r w:rsidR="00CB3B30" w:rsidRPr="000F2ADD">
        <w:rPr>
          <w:lang w:val="ru-RU"/>
        </w:rPr>
        <w:tab/>
        <w:t xml:space="preserve">Соображения, касающиеся будущих </w:t>
      </w:r>
      <w:r w:rsidR="004B2703" w:rsidRPr="003A0D5F">
        <w:rPr>
          <w:lang w:val="ru-RU"/>
        </w:rPr>
        <w:t>просьб</w:t>
      </w:r>
    </w:p>
    <w:p w14:paraId="4D79C3BD" w14:textId="4447555E" w:rsidR="00CB3B30" w:rsidRPr="000F2ADD" w:rsidRDefault="008F607A" w:rsidP="000F2ADD">
      <w:pPr>
        <w:spacing w:after="120"/>
        <w:ind w:left="1247"/>
        <w:rPr>
          <w:lang w:val="ru-RU"/>
        </w:rPr>
      </w:pPr>
      <w:r w:rsidRPr="008F607A">
        <w:rPr>
          <w:lang w:val="ru-RU"/>
        </w:rPr>
        <w:t>39.</w:t>
      </w:r>
      <w:r w:rsidRPr="008F607A">
        <w:rPr>
          <w:lang w:val="ru-RU"/>
        </w:rPr>
        <w:tab/>
      </w:r>
      <w:r w:rsidR="00CB3B30" w:rsidRPr="000F2ADD">
        <w:rPr>
          <w:lang w:val="ru-RU"/>
        </w:rPr>
        <w:t>Группа и Бюро предлагают МПБЭУ провести от 10 до 12 оценок в течение десятилетнего периода с 2020 по 2030 год в следующие предлагаемые сроки</w:t>
      </w:r>
      <w:r w:rsidRPr="008F607A">
        <w:rPr>
          <w:vertAlign w:val="superscript"/>
          <w:lang w:val="ru-RU"/>
        </w:rPr>
        <w:footnoteReference w:id="12"/>
      </w:r>
      <w:r w:rsidR="00CB3B30" w:rsidRPr="000F2ADD">
        <w:rPr>
          <w:lang w:val="ru-RU"/>
        </w:rPr>
        <w:t xml:space="preserve">: </w:t>
      </w:r>
    </w:p>
    <w:p w14:paraId="535715B5" w14:textId="7A0192C3" w:rsidR="00CB3B30" w:rsidRPr="000F2ADD" w:rsidRDefault="008F607A" w:rsidP="008F607A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8F607A">
        <w:rPr>
          <w:lang w:val="ru-RU"/>
        </w:rPr>
        <w:t>)</w:t>
      </w:r>
      <w:r>
        <w:rPr>
          <w:lang w:val="ru-RU"/>
        </w:rPr>
        <w:tab/>
        <w:t>д</w:t>
      </w:r>
      <w:r w:rsidR="00CB3B30" w:rsidRPr="000F2ADD">
        <w:rPr>
          <w:lang w:val="ru-RU"/>
        </w:rPr>
        <w:t>ве оценки, которые будут продолжаться до девятой сессии Пленума (оценка ценности и оценка устойчивого использования диких видов), и третья оценка, которая будет продолжаться до десятой сессии Пленума (оценка инвазивных чужеродных видов);</w:t>
      </w:r>
    </w:p>
    <w:p w14:paraId="4EE897BF" w14:textId="3B83A399" w:rsidR="00CB3B30" w:rsidRPr="000F2ADD" w:rsidRDefault="008F607A" w:rsidP="008F607A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8F607A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три темы для оценок будут утверждены Пленумом для проведения аналитического исследования на его седьмой сессии в рамках программы работы на период до 2030 года для рассмотрения Пленумом на его одиннадцатой, двенадцатой и тринадцатой сессиях, соответственно; </w:t>
      </w:r>
    </w:p>
    <w:p w14:paraId="4C124FCE" w14:textId="3B6089EB" w:rsidR="00CB3B30" w:rsidRPr="000F2ADD" w:rsidRDefault="008F607A" w:rsidP="008F607A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8F607A">
        <w:rPr>
          <w:lang w:val="ru-RU"/>
        </w:rPr>
        <w:t>)</w:t>
      </w:r>
      <w:r>
        <w:rPr>
          <w:lang w:val="ru-RU"/>
        </w:rPr>
        <w:tab/>
      </w:r>
      <w:r w:rsidR="00CB3B30" w:rsidRPr="000F2ADD">
        <w:rPr>
          <w:lang w:val="ru-RU"/>
        </w:rPr>
        <w:t xml:space="preserve">три темы для оценки будут определены Пленумом на его десятой сессии с учетом запросов, материалов и предложений, полученных в ответ на </w:t>
      </w:r>
      <w:r w:rsidR="00CB3B30" w:rsidRPr="003A0D5F">
        <w:rPr>
          <w:lang w:val="ru-RU"/>
        </w:rPr>
        <w:t>втор</w:t>
      </w:r>
      <w:r w:rsidR="004B2703" w:rsidRPr="003A0D5F">
        <w:rPr>
          <w:lang w:val="ru-RU"/>
        </w:rPr>
        <w:t>ую п</w:t>
      </w:r>
      <w:r w:rsidR="00F25A80">
        <w:rPr>
          <w:lang w:val="ru-RU"/>
        </w:rPr>
        <w:t>р</w:t>
      </w:r>
      <w:r w:rsidR="004B2703" w:rsidRPr="003A0D5F">
        <w:rPr>
          <w:lang w:val="ru-RU"/>
        </w:rPr>
        <w:t>осьбу</w:t>
      </w:r>
      <w:r w:rsidR="00CB3B30" w:rsidRPr="000F2ADD">
        <w:rPr>
          <w:lang w:val="ru-RU"/>
        </w:rPr>
        <w:t>, котор</w:t>
      </w:r>
      <w:r w:rsidR="004B2703">
        <w:rPr>
          <w:lang w:val="ru-RU"/>
        </w:rPr>
        <w:t>ая</w:t>
      </w:r>
      <w:r w:rsidR="00CB3B30" w:rsidRPr="000F2ADD">
        <w:rPr>
          <w:lang w:val="ru-RU"/>
        </w:rPr>
        <w:t xml:space="preserve"> может быть озвучен</w:t>
      </w:r>
      <w:r w:rsidR="004B2703">
        <w:rPr>
          <w:lang w:val="ru-RU"/>
        </w:rPr>
        <w:t>а</w:t>
      </w:r>
      <w:r w:rsidR="00CB3B30" w:rsidRPr="000F2ADD">
        <w:rPr>
          <w:lang w:val="ru-RU"/>
        </w:rPr>
        <w:t xml:space="preserve"> после девятой сессии Пленума (в 2021 году);</w:t>
      </w:r>
    </w:p>
    <w:p w14:paraId="758C6E5F" w14:textId="0197C548" w:rsidR="00CB3B30" w:rsidRPr="000F2ADD" w:rsidRDefault="008F607A" w:rsidP="00872BAA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8F607A">
        <w:rPr>
          <w:lang w:val="ru-RU"/>
        </w:rPr>
        <w:t>)</w:t>
      </w:r>
      <w:r>
        <w:rPr>
          <w:lang w:val="ru-RU"/>
        </w:rPr>
        <w:tab/>
        <w:t>т</w:t>
      </w:r>
      <w:r w:rsidR="00CB3B30" w:rsidRPr="000F2ADD">
        <w:rPr>
          <w:lang w:val="ru-RU"/>
        </w:rPr>
        <w:t xml:space="preserve">емы двух заключительных окончательных оценок будут определены Пленумом в середине срока осуществления программы работы с учетом запросов, материалов и предложений, полученных в ответ на </w:t>
      </w:r>
      <w:r w:rsidR="00CB3B30" w:rsidRPr="003A0D5F">
        <w:rPr>
          <w:lang w:val="ru-RU"/>
        </w:rPr>
        <w:t>трет</w:t>
      </w:r>
      <w:r w:rsidR="004B2703" w:rsidRPr="003A0D5F">
        <w:rPr>
          <w:lang w:val="ru-RU"/>
        </w:rPr>
        <w:t>ью п</w:t>
      </w:r>
      <w:r w:rsidR="00F25A80">
        <w:rPr>
          <w:lang w:val="ru-RU"/>
        </w:rPr>
        <w:t>р</w:t>
      </w:r>
      <w:r w:rsidR="004B2703" w:rsidRPr="003A0D5F">
        <w:rPr>
          <w:lang w:val="ru-RU"/>
        </w:rPr>
        <w:t>осьбу</w:t>
      </w:r>
      <w:r w:rsidR="00CB3B30" w:rsidRPr="000F2ADD">
        <w:rPr>
          <w:lang w:val="ru-RU"/>
        </w:rPr>
        <w:t>.</w:t>
      </w:r>
    </w:p>
    <w:p w14:paraId="35EBF104" w14:textId="1BDE1EBC" w:rsidR="00FA7E4D" w:rsidRPr="00FB6574" w:rsidRDefault="008F607A" w:rsidP="008F607A">
      <w:pPr>
        <w:spacing w:before="360" w:after="120"/>
        <w:jc w:val="center"/>
      </w:pPr>
      <w:r>
        <w:rPr>
          <w:lang w:val="ru-RU"/>
        </w:rPr>
        <w:t>_________________________</w:t>
      </w:r>
    </w:p>
    <w:sectPr w:rsidR="00FA7E4D" w:rsidRPr="00FB6574" w:rsidSect="000F2A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B27C" w14:textId="77777777" w:rsidR="009D04E5" w:rsidRDefault="009D04E5">
      <w:r>
        <w:separator/>
      </w:r>
    </w:p>
  </w:endnote>
  <w:endnote w:type="continuationSeparator" w:id="0">
    <w:p w14:paraId="72D011C1" w14:textId="77777777" w:rsidR="009D04E5" w:rsidRDefault="009D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8755" w14:textId="77777777" w:rsidR="00DD7F5E" w:rsidRPr="00DD7F5E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 w:rsidR="00695244">
      <w:rPr>
        <w:b/>
        <w:noProof/>
      </w:rPr>
      <w:t>2</w:t>
    </w:r>
    <w:r w:rsidRPr="00DD7F5E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EA0C" w14:textId="77777777" w:rsidR="00DD7F5E" w:rsidRPr="00816D17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 w:rsidR="00695244">
      <w:rPr>
        <w:b/>
        <w:noProof/>
        <w:szCs w:val="18"/>
      </w:rPr>
      <w:t>3</w:t>
    </w:r>
    <w:r w:rsidRPr="00816D17">
      <w:rPr>
        <w:b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B81E" w14:textId="76E1037B" w:rsidR="00013F56" w:rsidRPr="00DD7F5E" w:rsidRDefault="003A084B" w:rsidP="000F2AD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K1900</w:t>
    </w:r>
    <w:r w:rsidR="000F2ADD">
      <w:rPr>
        <w:sz w:val="20"/>
        <w:lang w:val="en-US"/>
      </w:rPr>
      <w:t>139</w:t>
    </w:r>
    <w:r w:rsidR="00DD7F5E" w:rsidRPr="00DD7F5E">
      <w:rPr>
        <w:sz w:val="20"/>
        <w:lang w:val="en-US"/>
      </w:rPr>
      <w:t xml:space="preserve">      </w:t>
    </w:r>
    <w:r w:rsidR="00A92C0A">
      <w:rPr>
        <w:sz w:val="20"/>
        <w:lang w:val="en-US"/>
      </w:rPr>
      <w:t>2</w:t>
    </w:r>
    <w:r w:rsidR="00D153E3">
      <w:rPr>
        <w:sz w:val="20"/>
        <w:lang w:val="en-US"/>
      </w:rPr>
      <w:t>8</w:t>
    </w:r>
    <w:r w:rsidR="002617E5">
      <w:rPr>
        <w:sz w:val="20"/>
        <w:lang w:val="en-US"/>
      </w:rPr>
      <w:t>0</w:t>
    </w:r>
    <w:r>
      <w:rPr>
        <w:sz w:val="20"/>
        <w:lang w:val="en-US"/>
      </w:rPr>
      <w:t>3</w:t>
    </w:r>
    <w:r w:rsidR="002617E5">
      <w:rPr>
        <w:sz w:val="20"/>
        <w:lang w:val="en-US"/>
      </w:rPr>
      <w:t>1</w:t>
    </w:r>
    <w:r>
      <w:rPr>
        <w:sz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36DE" w14:textId="77777777" w:rsidR="009D04E5" w:rsidRDefault="009D04E5" w:rsidP="00271C96">
      <w:pPr>
        <w:ind w:left="624"/>
      </w:pPr>
      <w:r>
        <w:separator/>
      </w:r>
    </w:p>
  </w:footnote>
  <w:footnote w:type="continuationSeparator" w:id="0">
    <w:p w14:paraId="5A71C463" w14:textId="77777777" w:rsidR="009D04E5" w:rsidRDefault="009D04E5">
      <w:r>
        <w:continuationSeparator/>
      </w:r>
    </w:p>
  </w:footnote>
  <w:footnote w:id="1">
    <w:p w14:paraId="4DF6471E" w14:textId="6734944C" w:rsidR="003A084B" w:rsidRPr="00FA7E4D" w:rsidRDefault="003A084B" w:rsidP="00271C9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A92C0A">
        <w:rPr>
          <w:rStyle w:val="FootnoteReference"/>
          <w:sz w:val="18"/>
          <w:vertAlign w:val="baseline"/>
          <w:lang w:val="ru-RU"/>
        </w:rPr>
        <w:t>*</w:t>
      </w:r>
      <w:r w:rsidRPr="00FA7E4D">
        <w:rPr>
          <w:szCs w:val="18"/>
          <w:lang w:val="ru-RU"/>
        </w:rPr>
        <w:tab/>
      </w:r>
      <w:r>
        <w:rPr>
          <w:szCs w:val="18"/>
        </w:rPr>
        <w:t>IPBES</w:t>
      </w:r>
      <w:r w:rsidRPr="00FA7E4D">
        <w:rPr>
          <w:szCs w:val="18"/>
          <w:lang w:val="ru-RU"/>
        </w:rPr>
        <w:t>/7/1</w:t>
      </w:r>
      <w:r w:rsidR="003E7D1D">
        <w:rPr>
          <w:szCs w:val="18"/>
        </w:rPr>
        <w:t>/Rev.1</w:t>
      </w:r>
      <w:r w:rsidRPr="00FA7E4D">
        <w:rPr>
          <w:szCs w:val="18"/>
          <w:lang w:val="ru-RU"/>
        </w:rPr>
        <w:t>.</w:t>
      </w:r>
    </w:p>
  </w:footnote>
  <w:footnote w:id="2">
    <w:p w14:paraId="70B48055" w14:textId="77777777" w:rsidR="00A92C0A" w:rsidRPr="00CB3B30" w:rsidRDefault="00A92C0A" w:rsidP="00A92C0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В соответствии с решением МПБЭУ-5/4.</w:t>
      </w:r>
    </w:p>
  </w:footnote>
  <w:footnote w:id="3">
    <w:p w14:paraId="07BF91F2" w14:textId="68AB1F1A" w:rsidR="00271C96" w:rsidRPr="00CB3B30" w:rsidRDefault="00271C96" w:rsidP="00271C9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</w:r>
      <w:r>
        <w:rPr>
          <w:lang w:val="ru-RU"/>
        </w:rPr>
        <w:t xml:space="preserve">Размещено по адресу: www.ipbes.net/requests-received-ipbes-work-programme. </w:t>
      </w:r>
    </w:p>
  </w:footnote>
  <w:footnote w:id="4">
    <w:p w14:paraId="38703B39" w14:textId="7A7D2917" w:rsidR="00271C96" w:rsidRPr="00CB3B30" w:rsidRDefault="00271C96" w:rsidP="00271C9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Диаграмма, иллюстрирующая структуру проекта программы работы на период 2019-2030 годов, </w:t>
      </w:r>
      <w:r w:rsidR="0099448A">
        <w:rPr>
          <w:lang w:val="ru-RU"/>
        </w:rPr>
        <w:t xml:space="preserve">приводится </w:t>
      </w:r>
      <w:r>
        <w:rPr>
          <w:lang w:val="ru-RU"/>
        </w:rPr>
        <w:t xml:space="preserve">в документе IPBES/7/6. </w:t>
      </w:r>
    </w:p>
  </w:footnote>
  <w:footnote w:id="5">
    <w:p w14:paraId="7B9C024F" w14:textId="77777777" w:rsidR="00870EFE" w:rsidRPr="00CB3B30" w:rsidRDefault="00870EFE" w:rsidP="00870EF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См. процедуры подготовки итоговых материалов Платформы, как это указано в приложении I к решению МПБЭУ-3/3. </w:t>
      </w:r>
    </w:p>
  </w:footnote>
  <w:footnote w:id="6">
    <w:p w14:paraId="5D3C276E" w14:textId="77777777" w:rsidR="00870EFE" w:rsidRPr="00CB3B30" w:rsidRDefault="00870EFE" w:rsidP="00870EF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Скользящий план в области создания потенциала был одобрен Пленумом в решении МПБЭУ-5/1, раздел II. </w:t>
      </w:r>
    </w:p>
  </w:footnote>
  <w:footnote w:id="7">
    <w:p w14:paraId="6C942CA2" w14:textId="622C62D5" w:rsidR="00BF2413" w:rsidRPr="00CB3B30" w:rsidRDefault="00BF2413" w:rsidP="00BF2413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</w:r>
      <w:r w:rsidR="002E5287">
        <w:rPr>
          <w:lang w:val="ru-RU"/>
        </w:rPr>
        <w:t>Д</w:t>
      </w:r>
      <w:r w:rsidR="00DB76FE">
        <w:rPr>
          <w:lang w:val="ru-RU"/>
        </w:rPr>
        <w:t>оклады о</w:t>
      </w:r>
      <w:r w:rsidR="002E5287">
        <w:rPr>
          <w:lang w:val="ru-RU"/>
        </w:rPr>
        <w:t xml:space="preserve"> первичных</w:t>
      </w:r>
      <w:r w:rsidR="00DB76FE">
        <w:rPr>
          <w:lang w:val="ru-RU"/>
        </w:rPr>
        <w:t xml:space="preserve"> </w:t>
      </w:r>
      <w:r>
        <w:rPr>
          <w:lang w:val="ru-RU"/>
        </w:rPr>
        <w:t>аналитически</w:t>
      </w:r>
      <w:r w:rsidR="002E5287">
        <w:rPr>
          <w:lang w:val="ru-RU"/>
        </w:rPr>
        <w:t>х исследованиях</w:t>
      </w:r>
      <w:r>
        <w:rPr>
          <w:lang w:val="ru-RU"/>
        </w:rPr>
        <w:t xml:space="preserve"> содерж</w:t>
      </w:r>
      <w:r w:rsidR="002E5287">
        <w:rPr>
          <w:lang w:val="ru-RU"/>
        </w:rPr>
        <w:t>а</w:t>
      </w:r>
      <w:r>
        <w:rPr>
          <w:lang w:val="ru-RU"/>
        </w:rPr>
        <w:t>тся в документе IPBES/7/6.</w:t>
      </w:r>
    </w:p>
  </w:footnote>
  <w:footnote w:id="8">
    <w:p w14:paraId="765F81EA" w14:textId="77777777" w:rsidR="008F607A" w:rsidRPr="00CB3B30" w:rsidRDefault="008F607A" w:rsidP="008F607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Решение МПБЭУ-5/1, приложение II.</w:t>
      </w:r>
    </w:p>
  </w:footnote>
  <w:footnote w:id="9">
    <w:p w14:paraId="5FED3D74" w14:textId="77777777" w:rsidR="00814361" w:rsidRPr="00CB3B30" w:rsidRDefault="00814361" w:rsidP="0081436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Решение МПБЭУ-3/4, приложение I. </w:t>
      </w:r>
    </w:p>
  </w:footnote>
  <w:footnote w:id="10">
    <w:p w14:paraId="42DE948E" w14:textId="77777777" w:rsidR="00814361" w:rsidRPr="00CB3B30" w:rsidRDefault="00814361" w:rsidP="0081436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Решение МПБЭУ-3/4, приложение II. </w:t>
      </w:r>
    </w:p>
  </w:footnote>
  <w:footnote w:id="11">
    <w:p w14:paraId="1871D24D" w14:textId="77777777" w:rsidR="008F607A" w:rsidRPr="00CB3B30" w:rsidRDefault="008F607A" w:rsidP="008F607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Рекомендации обзора изложены в документе IPBES/7/5. </w:t>
      </w:r>
    </w:p>
  </w:footnote>
  <w:footnote w:id="12">
    <w:p w14:paraId="7FA2D674" w14:textId="77777777" w:rsidR="008F607A" w:rsidRPr="00CB3B30" w:rsidRDefault="008F607A" w:rsidP="008F607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20D38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Диаграмма, иллюстрирующая график проведения оценок для проекта программы работы на период до 2030 года, содержится в документе IPBES/7/6.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1E" w14:textId="66334945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0F2ADD">
      <w:rPr>
        <w:szCs w:val="18"/>
        <w:lang w:val="en-US"/>
      </w:rPr>
      <w:t>6/Add.1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47BC" w14:textId="6933490B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0F2ADD">
      <w:rPr>
        <w:szCs w:val="18"/>
        <w:lang w:val="en-US"/>
      </w:rPr>
      <w:t>6/Add.1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2B43" w14:textId="77777777" w:rsidR="00FF7213" w:rsidRPr="00A802F4" w:rsidRDefault="00FF7213" w:rsidP="00A802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048"/>
    <w:multiLevelType w:val="hybridMultilevel"/>
    <w:tmpl w:val="F5961200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FBD7A00"/>
    <w:multiLevelType w:val="hybridMultilevel"/>
    <w:tmpl w:val="3ECC61B2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39127B"/>
    <w:multiLevelType w:val="hybridMultilevel"/>
    <w:tmpl w:val="598A7062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49074EA8"/>
    <w:multiLevelType w:val="hybridMultilevel"/>
    <w:tmpl w:val="B4B2A486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" w15:restartNumberingAfterBreak="0">
    <w:nsid w:val="5210645F"/>
    <w:multiLevelType w:val="hybridMultilevel"/>
    <w:tmpl w:val="A1A47B64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8" w15:restartNumberingAfterBreak="0">
    <w:nsid w:val="619C77C5"/>
    <w:multiLevelType w:val="hybridMultilevel"/>
    <w:tmpl w:val="05B8C2D2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9" w15:restartNumberingAfterBreak="0">
    <w:nsid w:val="62C73349"/>
    <w:multiLevelType w:val="hybridMultilevel"/>
    <w:tmpl w:val="602E4C64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63057893"/>
    <w:multiLevelType w:val="hybridMultilevel"/>
    <w:tmpl w:val="C59A4736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1" w15:restartNumberingAfterBreak="0">
    <w:nsid w:val="6D662811"/>
    <w:multiLevelType w:val="hybridMultilevel"/>
    <w:tmpl w:val="80165740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13F56"/>
    <w:rsid w:val="000145D1"/>
    <w:rsid w:val="000149E6"/>
    <w:rsid w:val="00016DE6"/>
    <w:rsid w:val="00016E62"/>
    <w:rsid w:val="00017399"/>
    <w:rsid w:val="000236C6"/>
    <w:rsid w:val="00023919"/>
    <w:rsid w:val="00023E32"/>
    <w:rsid w:val="000247B0"/>
    <w:rsid w:val="00026997"/>
    <w:rsid w:val="00027CBA"/>
    <w:rsid w:val="00031060"/>
    <w:rsid w:val="00032DB5"/>
    <w:rsid w:val="00033E0B"/>
    <w:rsid w:val="000352CE"/>
    <w:rsid w:val="00035EDE"/>
    <w:rsid w:val="00036934"/>
    <w:rsid w:val="00040CCF"/>
    <w:rsid w:val="000440BA"/>
    <w:rsid w:val="000458EE"/>
    <w:rsid w:val="0004779A"/>
    <w:rsid w:val="00047D27"/>
    <w:rsid w:val="000506A7"/>
    <w:rsid w:val="000509B4"/>
    <w:rsid w:val="000539D1"/>
    <w:rsid w:val="00055BA7"/>
    <w:rsid w:val="00055CF7"/>
    <w:rsid w:val="000667CA"/>
    <w:rsid w:val="000678C4"/>
    <w:rsid w:val="00071886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37F5"/>
    <w:rsid w:val="00094221"/>
    <w:rsid w:val="0009426F"/>
    <w:rsid w:val="000943B8"/>
    <w:rsid w:val="0009640C"/>
    <w:rsid w:val="000A11C6"/>
    <w:rsid w:val="000A655C"/>
    <w:rsid w:val="000B2659"/>
    <w:rsid w:val="000B4E0C"/>
    <w:rsid w:val="000B59B2"/>
    <w:rsid w:val="000C665C"/>
    <w:rsid w:val="000D310C"/>
    <w:rsid w:val="000D33C0"/>
    <w:rsid w:val="000D523B"/>
    <w:rsid w:val="000D62B5"/>
    <w:rsid w:val="000E13EF"/>
    <w:rsid w:val="000E4FCB"/>
    <w:rsid w:val="000E50E2"/>
    <w:rsid w:val="000E7A74"/>
    <w:rsid w:val="000F2ADD"/>
    <w:rsid w:val="000F371A"/>
    <w:rsid w:val="000F3B6C"/>
    <w:rsid w:val="000F63B3"/>
    <w:rsid w:val="001004FB"/>
    <w:rsid w:val="00101641"/>
    <w:rsid w:val="00102111"/>
    <w:rsid w:val="00102E46"/>
    <w:rsid w:val="0011122B"/>
    <w:rsid w:val="00116239"/>
    <w:rsid w:val="001202E3"/>
    <w:rsid w:val="001220C9"/>
    <w:rsid w:val="00124D87"/>
    <w:rsid w:val="00125AED"/>
    <w:rsid w:val="00125C49"/>
    <w:rsid w:val="00126360"/>
    <w:rsid w:val="00126CB7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30B7"/>
    <w:rsid w:val="001673CF"/>
    <w:rsid w:val="001729A1"/>
    <w:rsid w:val="00173346"/>
    <w:rsid w:val="00173F1B"/>
    <w:rsid w:val="0017409D"/>
    <w:rsid w:val="001760C4"/>
    <w:rsid w:val="00181BC9"/>
    <w:rsid w:val="00181EC8"/>
    <w:rsid w:val="00183C13"/>
    <w:rsid w:val="00184349"/>
    <w:rsid w:val="00187A5D"/>
    <w:rsid w:val="0019268D"/>
    <w:rsid w:val="00197F84"/>
    <w:rsid w:val="001A3174"/>
    <w:rsid w:val="001A546C"/>
    <w:rsid w:val="001A7EF5"/>
    <w:rsid w:val="001B08F0"/>
    <w:rsid w:val="001B103E"/>
    <w:rsid w:val="001B1617"/>
    <w:rsid w:val="001B6662"/>
    <w:rsid w:val="001B6D77"/>
    <w:rsid w:val="001B78A5"/>
    <w:rsid w:val="001C4353"/>
    <w:rsid w:val="001D3874"/>
    <w:rsid w:val="001D3E50"/>
    <w:rsid w:val="001D4810"/>
    <w:rsid w:val="001D624A"/>
    <w:rsid w:val="001D7E75"/>
    <w:rsid w:val="001E2C1E"/>
    <w:rsid w:val="001E4A09"/>
    <w:rsid w:val="001E4F58"/>
    <w:rsid w:val="001E56D2"/>
    <w:rsid w:val="001E7D56"/>
    <w:rsid w:val="001F034F"/>
    <w:rsid w:val="001F22F0"/>
    <w:rsid w:val="001F2CFA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43E8"/>
    <w:rsid w:val="00226697"/>
    <w:rsid w:val="00231B46"/>
    <w:rsid w:val="00234B58"/>
    <w:rsid w:val="00237102"/>
    <w:rsid w:val="00240C10"/>
    <w:rsid w:val="00241313"/>
    <w:rsid w:val="00244783"/>
    <w:rsid w:val="002463AF"/>
    <w:rsid w:val="002464B8"/>
    <w:rsid w:val="0024736D"/>
    <w:rsid w:val="002474B8"/>
    <w:rsid w:val="00247707"/>
    <w:rsid w:val="0025233C"/>
    <w:rsid w:val="0025255B"/>
    <w:rsid w:val="002533A2"/>
    <w:rsid w:val="00260378"/>
    <w:rsid w:val="002617E5"/>
    <w:rsid w:val="00266B34"/>
    <w:rsid w:val="00266F80"/>
    <w:rsid w:val="00271C96"/>
    <w:rsid w:val="002726CF"/>
    <w:rsid w:val="002773E9"/>
    <w:rsid w:val="00277B8F"/>
    <w:rsid w:val="0028179E"/>
    <w:rsid w:val="00282431"/>
    <w:rsid w:val="002847E7"/>
    <w:rsid w:val="00286740"/>
    <w:rsid w:val="00287E60"/>
    <w:rsid w:val="00290A5E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B035E"/>
    <w:rsid w:val="002B0B9B"/>
    <w:rsid w:val="002B77E6"/>
    <w:rsid w:val="002C145D"/>
    <w:rsid w:val="002C2C3E"/>
    <w:rsid w:val="002C3944"/>
    <w:rsid w:val="002C4729"/>
    <w:rsid w:val="002C533E"/>
    <w:rsid w:val="002C7132"/>
    <w:rsid w:val="002D027F"/>
    <w:rsid w:val="002D7B60"/>
    <w:rsid w:val="002E5287"/>
    <w:rsid w:val="002E6E8A"/>
    <w:rsid w:val="002E7A97"/>
    <w:rsid w:val="002F4761"/>
    <w:rsid w:val="00300307"/>
    <w:rsid w:val="00305533"/>
    <w:rsid w:val="003056C1"/>
    <w:rsid w:val="00310F39"/>
    <w:rsid w:val="00312D05"/>
    <w:rsid w:val="0031413F"/>
    <w:rsid w:val="00315CE2"/>
    <w:rsid w:val="00321419"/>
    <w:rsid w:val="00324BC7"/>
    <w:rsid w:val="003309A9"/>
    <w:rsid w:val="00333EBF"/>
    <w:rsid w:val="00336901"/>
    <w:rsid w:val="003403AA"/>
    <w:rsid w:val="00340680"/>
    <w:rsid w:val="003446B5"/>
    <w:rsid w:val="003447E7"/>
    <w:rsid w:val="0034548C"/>
    <w:rsid w:val="00350293"/>
    <w:rsid w:val="003503B6"/>
    <w:rsid w:val="00352968"/>
    <w:rsid w:val="00355EA9"/>
    <w:rsid w:val="003606F3"/>
    <w:rsid w:val="0037337E"/>
    <w:rsid w:val="00373823"/>
    <w:rsid w:val="00376592"/>
    <w:rsid w:val="00380657"/>
    <w:rsid w:val="00381C0B"/>
    <w:rsid w:val="003829E9"/>
    <w:rsid w:val="00384768"/>
    <w:rsid w:val="00385963"/>
    <w:rsid w:val="00385A7D"/>
    <w:rsid w:val="00396257"/>
    <w:rsid w:val="00397909"/>
    <w:rsid w:val="00397EB8"/>
    <w:rsid w:val="003A084B"/>
    <w:rsid w:val="003A0D5F"/>
    <w:rsid w:val="003A4FD0"/>
    <w:rsid w:val="003A5EF2"/>
    <w:rsid w:val="003A68C4"/>
    <w:rsid w:val="003A69D1"/>
    <w:rsid w:val="003A78C4"/>
    <w:rsid w:val="003B0C0D"/>
    <w:rsid w:val="003B1545"/>
    <w:rsid w:val="003B3D94"/>
    <w:rsid w:val="003B41D2"/>
    <w:rsid w:val="003B7B74"/>
    <w:rsid w:val="003C180C"/>
    <w:rsid w:val="003C1EF0"/>
    <w:rsid w:val="003C33AD"/>
    <w:rsid w:val="003C409D"/>
    <w:rsid w:val="003C4EFB"/>
    <w:rsid w:val="003C4FA3"/>
    <w:rsid w:val="003C5AA5"/>
    <w:rsid w:val="003D034F"/>
    <w:rsid w:val="003D1A47"/>
    <w:rsid w:val="003E09A0"/>
    <w:rsid w:val="003E395B"/>
    <w:rsid w:val="003E7728"/>
    <w:rsid w:val="003E7D1D"/>
    <w:rsid w:val="003F0E85"/>
    <w:rsid w:val="003F1189"/>
    <w:rsid w:val="003F42BD"/>
    <w:rsid w:val="003F5445"/>
    <w:rsid w:val="003F5E3C"/>
    <w:rsid w:val="00400EFD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359C"/>
    <w:rsid w:val="004251E3"/>
    <w:rsid w:val="00425C06"/>
    <w:rsid w:val="004319EA"/>
    <w:rsid w:val="00434F33"/>
    <w:rsid w:val="00435C40"/>
    <w:rsid w:val="00436878"/>
    <w:rsid w:val="00437F26"/>
    <w:rsid w:val="00440E22"/>
    <w:rsid w:val="0044177A"/>
    <w:rsid w:val="00446EF6"/>
    <w:rsid w:val="00447EF3"/>
    <w:rsid w:val="00454769"/>
    <w:rsid w:val="004568C5"/>
    <w:rsid w:val="0045765F"/>
    <w:rsid w:val="0046429E"/>
    <w:rsid w:val="00465389"/>
    <w:rsid w:val="00466991"/>
    <w:rsid w:val="0047064C"/>
    <w:rsid w:val="00471DFA"/>
    <w:rsid w:val="00475C52"/>
    <w:rsid w:val="00476689"/>
    <w:rsid w:val="00482034"/>
    <w:rsid w:val="00482636"/>
    <w:rsid w:val="004827F3"/>
    <w:rsid w:val="00491D4D"/>
    <w:rsid w:val="00493E19"/>
    <w:rsid w:val="00494455"/>
    <w:rsid w:val="00495289"/>
    <w:rsid w:val="0049571E"/>
    <w:rsid w:val="00495F4D"/>
    <w:rsid w:val="00496EFB"/>
    <w:rsid w:val="004A01E8"/>
    <w:rsid w:val="004A7C17"/>
    <w:rsid w:val="004B2703"/>
    <w:rsid w:val="004B5666"/>
    <w:rsid w:val="004B5B61"/>
    <w:rsid w:val="004B6745"/>
    <w:rsid w:val="004C34B9"/>
    <w:rsid w:val="004C47E0"/>
    <w:rsid w:val="004C4948"/>
    <w:rsid w:val="004C5C96"/>
    <w:rsid w:val="004D06A4"/>
    <w:rsid w:val="004D2C6B"/>
    <w:rsid w:val="004D447C"/>
    <w:rsid w:val="004E1874"/>
    <w:rsid w:val="004F0D9C"/>
    <w:rsid w:val="004F1A81"/>
    <w:rsid w:val="004F2CB6"/>
    <w:rsid w:val="004F2D0E"/>
    <w:rsid w:val="004F4A2F"/>
    <w:rsid w:val="004F5736"/>
    <w:rsid w:val="004F6338"/>
    <w:rsid w:val="005016B3"/>
    <w:rsid w:val="00501BCF"/>
    <w:rsid w:val="0050619E"/>
    <w:rsid w:val="00512F34"/>
    <w:rsid w:val="0051335F"/>
    <w:rsid w:val="005160EC"/>
    <w:rsid w:val="00521538"/>
    <w:rsid w:val="005218D9"/>
    <w:rsid w:val="005219D1"/>
    <w:rsid w:val="005231FB"/>
    <w:rsid w:val="0052486B"/>
    <w:rsid w:val="005269C4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4269"/>
    <w:rsid w:val="00561496"/>
    <w:rsid w:val="0056178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83244"/>
    <w:rsid w:val="00584B14"/>
    <w:rsid w:val="005871AC"/>
    <w:rsid w:val="005903A5"/>
    <w:rsid w:val="00597464"/>
    <w:rsid w:val="005A0B21"/>
    <w:rsid w:val="005A3F65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D0249"/>
    <w:rsid w:val="005D4E57"/>
    <w:rsid w:val="005D714B"/>
    <w:rsid w:val="005D7715"/>
    <w:rsid w:val="005E2A1C"/>
    <w:rsid w:val="005E5CB5"/>
    <w:rsid w:val="005F05FD"/>
    <w:rsid w:val="005F100C"/>
    <w:rsid w:val="005F142E"/>
    <w:rsid w:val="005F1648"/>
    <w:rsid w:val="005F5DE5"/>
    <w:rsid w:val="005F64F1"/>
    <w:rsid w:val="005F7986"/>
    <w:rsid w:val="006040DF"/>
    <w:rsid w:val="00604F27"/>
    <w:rsid w:val="00613160"/>
    <w:rsid w:val="00616D20"/>
    <w:rsid w:val="00617821"/>
    <w:rsid w:val="00620F1E"/>
    <w:rsid w:val="00621F9B"/>
    <w:rsid w:val="00623998"/>
    <w:rsid w:val="006252F5"/>
    <w:rsid w:val="006303B4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7A16"/>
    <w:rsid w:val="00671F00"/>
    <w:rsid w:val="0067328F"/>
    <w:rsid w:val="00675F0C"/>
    <w:rsid w:val="0067658A"/>
    <w:rsid w:val="006771C4"/>
    <w:rsid w:val="006807F5"/>
    <w:rsid w:val="00686FD9"/>
    <w:rsid w:val="00691F5B"/>
    <w:rsid w:val="006923D4"/>
    <w:rsid w:val="00692E2A"/>
    <w:rsid w:val="00695244"/>
    <w:rsid w:val="006954F2"/>
    <w:rsid w:val="006A56DD"/>
    <w:rsid w:val="006A6DD6"/>
    <w:rsid w:val="006A76F2"/>
    <w:rsid w:val="006C3C12"/>
    <w:rsid w:val="006C3E8A"/>
    <w:rsid w:val="006C740F"/>
    <w:rsid w:val="006C7E66"/>
    <w:rsid w:val="006D0EF0"/>
    <w:rsid w:val="006D16EE"/>
    <w:rsid w:val="006D183A"/>
    <w:rsid w:val="006D1FBD"/>
    <w:rsid w:val="006D2B0C"/>
    <w:rsid w:val="006D3BBB"/>
    <w:rsid w:val="006D78BF"/>
    <w:rsid w:val="006D7EFB"/>
    <w:rsid w:val="006E3441"/>
    <w:rsid w:val="006E604A"/>
    <w:rsid w:val="006E6722"/>
    <w:rsid w:val="006E68C4"/>
    <w:rsid w:val="006E7652"/>
    <w:rsid w:val="006F1422"/>
    <w:rsid w:val="006F38C7"/>
    <w:rsid w:val="007027B9"/>
    <w:rsid w:val="00705F05"/>
    <w:rsid w:val="007071C6"/>
    <w:rsid w:val="00715E88"/>
    <w:rsid w:val="00716F5D"/>
    <w:rsid w:val="00722831"/>
    <w:rsid w:val="00722B31"/>
    <w:rsid w:val="0072504C"/>
    <w:rsid w:val="007311B3"/>
    <w:rsid w:val="00734CAA"/>
    <w:rsid w:val="007355EA"/>
    <w:rsid w:val="00736724"/>
    <w:rsid w:val="00736AD1"/>
    <w:rsid w:val="00737996"/>
    <w:rsid w:val="00737A83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37A8"/>
    <w:rsid w:val="00787A83"/>
    <w:rsid w:val="00787DB1"/>
    <w:rsid w:val="00793D34"/>
    <w:rsid w:val="0079621B"/>
    <w:rsid w:val="007964D9"/>
    <w:rsid w:val="007A33F2"/>
    <w:rsid w:val="007A5746"/>
    <w:rsid w:val="007A5C12"/>
    <w:rsid w:val="007A637A"/>
    <w:rsid w:val="007B03E1"/>
    <w:rsid w:val="007C1219"/>
    <w:rsid w:val="007C2541"/>
    <w:rsid w:val="007C3787"/>
    <w:rsid w:val="007D0133"/>
    <w:rsid w:val="007D1F5D"/>
    <w:rsid w:val="007D30DE"/>
    <w:rsid w:val="007D48E2"/>
    <w:rsid w:val="007D5D6C"/>
    <w:rsid w:val="007D7245"/>
    <w:rsid w:val="007E003F"/>
    <w:rsid w:val="007F154E"/>
    <w:rsid w:val="007F390D"/>
    <w:rsid w:val="007F502C"/>
    <w:rsid w:val="007F6794"/>
    <w:rsid w:val="007F72D1"/>
    <w:rsid w:val="008019EB"/>
    <w:rsid w:val="00804B9B"/>
    <w:rsid w:val="00805E39"/>
    <w:rsid w:val="008121BC"/>
    <w:rsid w:val="00813D1D"/>
    <w:rsid w:val="00813FA2"/>
    <w:rsid w:val="00814361"/>
    <w:rsid w:val="0081560C"/>
    <w:rsid w:val="00816B96"/>
    <w:rsid w:val="00816D17"/>
    <w:rsid w:val="00822AB9"/>
    <w:rsid w:val="00830E26"/>
    <w:rsid w:val="00832FC3"/>
    <w:rsid w:val="008368D5"/>
    <w:rsid w:val="008410C8"/>
    <w:rsid w:val="00842001"/>
    <w:rsid w:val="00843576"/>
    <w:rsid w:val="00843B64"/>
    <w:rsid w:val="0084558F"/>
    <w:rsid w:val="008455B6"/>
    <w:rsid w:val="0085000E"/>
    <w:rsid w:val="0085098B"/>
    <w:rsid w:val="00852F54"/>
    <w:rsid w:val="00853C26"/>
    <w:rsid w:val="00854EB8"/>
    <w:rsid w:val="00861728"/>
    <w:rsid w:val="008619C9"/>
    <w:rsid w:val="00862EDF"/>
    <w:rsid w:val="008679C1"/>
    <w:rsid w:val="00867BFF"/>
    <w:rsid w:val="00867D2B"/>
    <w:rsid w:val="00867DCF"/>
    <w:rsid w:val="00870EFE"/>
    <w:rsid w:val="00872BAA"/>
    <w:rsid w:val="008739BA"/>
    <w:rsid w:val="0087632F"/>
    <w:rsid w:val="00877FE1"/>
    <w:rsid w:val="00880504"/>
    <w:rsid w:val="008819CD"/>
    <w:rsid w:val="00882BB2"/>
    <w:rsid w:val="00882D5E"/>
    <w:rsid w:val="0088476F"/>
    <w:rsid w:val="0088480A"/>
    <w:rsid w:val="00887A2C"/>
    <w:rsid w:val="00891B46"/>
    <w:rsid w:val="00891DC7"/>
    <w:rsid w:val="008926EC"/>
    <w:rsid w:val="00892C8E"/>
    <w:rsid w:val="008957DD"/>
    <w:rsid w:val="00896D58"/>
    <w:rsid w:val="00897D98"/>
    <w:rsid w:val="008A6C37"/>
    <w:rsid w:val="008A6DF2"/>
    <w:rsid w:val="008B46E1"/>
    <w:rsid w:val="008B7153"/>
    <w:rsid w:val="008B79B4"/>
    <w:rsid w:val="008B7C63"/>
    <w:rsid w:val="008C005A"/>
    <w:rsid w:val="008C103D"/>
    <w:rsid w:val="008C4FD6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78E"/>
    <w:rsid w:val="008E47D1"/>
    <w:rsid w:val="008E6583"/>
    <w:rsid w:val="008F18EE"/>
    <w:rsid w:val="008F26FD"/>
    <w:rsid w:val="008F5894"/>
    <w:rsid w:val="008F607A"/>
    <w:rsid w:val="008F6B54"/>
    <w:rsid w:val="008F75C1"/>
    <w:rsid w:val="00901FDE"/>
    <w:rsid w:val="00904BBC"/>
    <w:rsid w:val="00905CE3"/>
    <w:rsid w:val="00911AB0"/>
    <w:rsid w:val="00913141"/>
    <w:rsid w:val="00914084"/>
    <w:rsid w:val="00916D5C"/>
    <w:rsid w:val="0092178C"/>
    <w:rsid w:val="00927B76"/>
    <w:rsid w:val="00932B97"/>
    <w:rsid w:val="00933337"/>
    <w:rsid w:val="00936ECA"/>
    <w:rsid w:val="00940DCC"/>
    <w:rsid w:val="0094179A"/>
    <w:rsid w:val="00943BDB"/>
    <w:rsid w:val="0094459E"/>
    <w:rsid w:val="00944DBC"/>
    <w:rsid w:val="009462AB"/>
    <w:rsid w:val="00950977"/>
    <w:rsid w:val="00950C87"/>
    <w:rsid w:val="00951A7B"/>
    <w:rsid w:val="00952604"/>
    <w:rsid w:val="0095574F"/>
    <w:rsid w:val="009564A6"/>
    <w:rsid w:val="009569A1"/>
    <w:rsid w:val="00962B5E"/>
    <w:rsid w:val="00963208"/>
    <w:rsid w:val="00976BDD"/>
    <w:rsid w:val="009779B4"/>
    <w:rsid w:val="00983EE2"/>
    <w:rsid w:val="00985CCF"/>
    <w:rsid w:val="00986F26"/>
    <w:rsid w:val="0098795B"/>
    <w:rsid w:val="009908A7"/>
    <w:rsid w:val="00991961"/>
    <w:rsid w:val="00993CBE"/>
    <w:rsid w:val="0099448A"/>
    <w:rsid w:val="009975FD"/>
    <w:rsid w:val="009A0CB9"/>
    <w:rsid w:val="009A1362"/>
    <w:rsid w:val="009A4ACC"/>
    <w:rsid w:val="009A6528"/>
    <w:rsid w:val="009B4A0F"/>
    <w:rsid w:val="009B79DE"/>
    <w:rsid w:val="009C1324"/>
    <w:rsid w:val="009C2890"/>
    <w:rsid w:val="009C6D94"/>
    <w:rsid w:val="009D04E5"/>
    <w:rsid w:val="009D0B63"/>
    <w:rsid w:val="009D3F3B"/>
    <w:rsid w:val="009D59AB"/>
    <w:rsid w:val="009E1E86"/>
    <w:rsid w:val="009E3BE9"/>
    <w:rsid w:val="009E6DF7"/>
    <w:rsid w:val="00A02782"/>
    <w:rsid w:val="00A047EF"/>
    <w:rsid w:val="00A0550F"/>
    <w:rsid w:val="00A1348D"/>
    <w:rsid w:val="00A13C5B"/>
    <w:rsid w:val="00A15297"/>
    <w:rsid w:val="00A17BA5"/>
    <w:rsid w:val="00A20B8C"/>
    <w:rsid w:val="00A232EE"/>
    <w:rsid w:val="00A23B4A"/>
    <w:rsid w:val="00A27DB7"/>
    <w:rsid w:val="00A27EE8"/>
    <w:rsid w:val="00A30FA6"/>
    <w:rsid w:val="00A33CC9"/>
    <w:rsid w:val="00A37A19"/>
    <w:rsid w:val="00A41B84"/>
    <w:rsid w:val="00A42D70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61B9A"/>
    <w:rsid w:val="00A62F77"/>
    <w:rsid w:val="00A64EE6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1A92"/>
    <w:rsid w:val="00A92C0A"/>
    <w:rsid w:val="00A93784"/>
    <w:rsid w:val="00AA019F"/>
    <w:rsid w:val="00AA28EC"/>
    <w:rsid w:val="00AA31A3"/>
    <w:rsid w:val="00AA3A0E"/>
    <w:rsid w:val="00AA4E66"/>
    <w:rsid w:val="00AA52DD"/>
    <w:rsid w:val="00AA6898"/>
    <w:rsid w:val="00AB123D"/>
    <w:rsid w:val="00AB2918"/>
    <w:rsid w:val="00AB3519"/>
    <w:rsid w:val="00AB5340"/>
    <w:rsid w:val="00AB572C"/>
    <w:rsid w:val="00AB713E"/>
    <w:rsid w:val="00AC1F98"/>
    <w:rsid w:val="00AC2D36"/>
    <w:rsid w:val="00AC7C96"/>
    <w:rsid w:val="00AD285C"/>
    <w:rsid w:val="00AD2BB1"/>
    <w:rsid w:val="00AD7C9B"/>
    <w:rsid w:val="00AE237D"/>
    <w:rsid w:val="00AE2DAE"/>
    <w:rsid w:val="00AE337A"/>
    <w:rsid w:val="00AE5B98"/>
    <w:rsid w:val="00AE7DFE"/>
    <w:rsid w:val="00AF00B9"/>
    <w:rsid w:val="00AF0365"/>
    <w:rsid w:val="00AF06C3"/>
    <w:rsid w:val="00AF7249"/>
    <w:rsid w:val="00AF7C07"/>
    <w:rsid w:val="00B112DD"/>
    <w:rsid w:val="00B13586"/>
    <w:rsid w:val="00B16421"/>
    <w:rsid w:val="00B16935"/>
    <w:rsid w:val="00B204F1"/>
    <w:rsid w:val="00B258AC"/>
    <w:rsid w:val="00B275BB"/>
    <w:rsid w:val="00B31905"/>
    <w:rsid w:val="00B33BBA"/>
    <w:rsid w:val="00B405B7"/>
    <w:rsid w:val="00B4262C"/>
    <w:rsid w:val="00B43E7D"/>
    <w:rsid w:val="00B43F16"/>
    <w:rsid w:val="00B442C7"/>
    <w:rsid w:val="00B44DB7"/>
    <w:rsid w:val="00B46490"/>
    <w:rsid w:val="00B5204C"/>
    <w:rsid w:val="00B54B22"/>
    <w:rsid w:val="00B55269"/>
    <w:rsid w:val="00B56788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796"/>
    <w:rsid w:val="00B96BF7"/>
    <w:rsid w:val="00B9736D"/>
    <w:rsid w:val="00BA1A67"/>
    <w:rsid w:val="00BA49BD"/>
    <w:rsid w:val="00BB15DE"/>
    <w:rsid w:val="00BC0330"/>
    <w:rsid w:val="00BC093D"/>
    <w:rsid w:val="00BC160D"/>
    <w:rsid w:val="00BC550F"/>
    <w:rsid w:val="00BC5987"/>
    <w:rsid w:val="00BC6D66"/>
    <w:rsid w:val="00BD25D2"/>
    <w:rsid w:val="00BE2356"/>
    <w:rsid w:val="00BE339F"/>
    <w:rsid w:val="00BE7499"/>
    <w:rsid w:val="00BF1959"/>
    <w:rsid w:val="00BF20B3"/>
    <w:rsid w:val="00BF2413"/>
    <w:rsid w:val="00BF3DE7"/>
    <w:rsid w:val="00BF5296"/>
    <w:rsid w:val="00BF642B"/>
    <w:rsid w:val="00BF67E8"/>
    <w:rsid w:val="00BF7A7C"/>
    <w:rsid w:val="00C0125C"/>
    <w:rsid w:val="00C06A42"/>
    <w:rsid w:val="00C06A61"/>
    <w:rsid w:val="00C10341"/>
    <w:rsid w:val="00C2231E"/>
    <w:rsid w:val="00C30C63"/>
    <w:rsid w:val="00C35095"/>
    <w:rsid w:val="00C37374"/>
    <w:rsid w:val="00C41236"/>
    <w:rsid w:val="00C46111"/>
    <w:rsid w:val="00C51F45"/>
    <w:rsid w:val="00C55229"/>
    <w:rsid w:val="00C558DA"/>
    <w:rsid w:val="00C57664"/>
    <w:rsid w:val="00C637A9"/>
    <w:rsid w:val="00C64C28"/>
    <w:rsid w:val="00C65AF8"/>
    <w:rsid w:val="00C725DC"/>
    <w:rsid w:val="00C72DEE"/>
    <w:rsid w:val="00C74BD6"/>
    <w:rsid w:val="00C770BE"/>
    <w:rsid w:val="00C80DCF"/>
    <w:rsid w:val="00C80FBF"/>
    <w:rsid w:val="00C84759"/>
    <w:rsid w:val="00C86094"/>
    <w:rsid w:val="00C865C7"/>
    <w:rsid w:val="00C93050"/>
    <w:rsid w:val="00C93203"/>
    <w:rsid w:val="00C93A3A"/>
    <w:rsid w:val="00C95831"/>
    <w:rsid w:val="00C961BB"/>
    <w:rsid w:val="00CA0909"/>
    <w:rsid w:val="00CA1A9B"/>
    <w:rsid w:val="00CA2CB5"/>
    <w:rsid w:val="00CA5B64"/>
    <w:rsid w:val="00CA6C7F"/>
    <w:rsid w:val="00CB1404"/>
    <w:rsid w:val="00CB2827"/>
    <w:rsid w:val="00CB2D0B"/>
    <w:rsid w:val="00CB3B30"/>
    <w:rsid w:val="00CB70BB"/>
    <w:rsid w:val="00CC10A6"/>
    <w:rsid w:val="00CC2354"/>
    <w:rsid w:val="00CC6521"/>
    <w:rsid w:val="00CD2A97"/>
    <w:rsid w:val="00CD3D68"/>
    <w:rsid w:val="00CD5349"/>
    <w:rsid w:val="00CD7044"/>
    <w:rsid w:val="00CD7525"/>
    <w:rsid w:val="00CE0AEF"/>
    <w:rsid w:val="00CE18AD"/>
    <w:rsid w:val="00CE2264"/>
    <w:rsid w:val="00CE2A2D"/>
    <w:rsid w:val="00CE3A67"/>
    <w:rsid w:val="00CE3F2E"/>
    <w:rsid w:val="00CE5038"/>
    <w:rsid w:val="00CE524C"/>
    <w:rsid w:val="00CE5FCF"/>
    <w:rsid w:val="00CE690B"/>
    <w:rsid w:val="00CF141F"/>
    <w:rsid w:val="00CF4777"/>
    <w:rsid w:val="00D01836"/>
    <w:rsid w:val="00D02075"/>
    <w:rsid w:val="00D03E90"/>
    <w:rsid w:val="00D04A36"/>
    <w:rsid w:val="00D0521D"/>
    <w:rsid w:val="00D064EE"/>
    <w:rsid w:val="00D07511"/>
    <w:rsid w:val="00D12B2C"/>
    <w:rsid w:val="00D138FC"/>
    <w:rsid w:val="00D15118"/>
    <w:rsid w:val="00D153E3"/>
    <w:rsid w:val="00D169AF"/>
    <w:rsid w:val="00D22513"/>
    <w:rsid w:val="00D25162"/>
    <w:rsid w:val="00D25249"/>
    <w:rsid w:val="00D25652"/>
    <w:rsid w:val="00D30B2F"/>
    <w:rsid w:val="00D34E3F"/>
    <w:rsid w:val="00D36D0C"/>
    <w:rsid w:val="00D37A3D"/>
    <w:rsid w:val="00D40C23"/>
    <w:rsid w:val="00D4321A"/>
    <w:rsid w:val="00D44172"/>
    <w:rsid w:val="00D46C05"/>
    <w:rsid w:val="00D46DD7"/>
    <w:rsid w:val="00D51608"/>
    <w:rsid w:val="00D531FF"/>
    <w:rsid w:val="00D55E75"/>
    <w:rsid w:val="00D63B8C"/>
    <w:rsid w:val="00D65E35"/>
    <w:rsid w:val="00D661D1"/>
    <w:rsid w:val="00D71D25"/>
    <w:rsid w:val="00D726EB"/>
    <w:rsid w:val="00D739CC"/>
    <w:rsid w:val="00D73E27"/>
    <w:rsid w:val="00D8093D"/>
    <w:rsid w:val="00D8108C"/>
    <w:rsid w:val="00D82D20"/>
    <w:rsid w:val="00D834E9"/>
    <w:rsid w:val="00D842AE"/>
    <w:rsid w:val="00D9211C"/>
    <w:rsid w:val="00D92DE0"/>
    <w:rsid w:val="00D93A0F"/>
    <w:rsid w:val="00D96369"/>
    <w:rsid w:val="00D97637"/>
    <w:rsid w:val="00DA08C3"/>
    <w:rsid w:val="00DA1BCA"/>
    <w:rsid w:val="00DA3C4F"/>
    <w:rsid w:val="00DA4C32"/>
    <w:rsid w:val="00DA684F"/>
    <w:rsid w:val="00DA6DE5"/>
    <w:rsid w:val="00DB1194"/>
    <w:rsid w:val="00DB29E5"/>
    <w:rsid w:val="00DB32D9"/>
    <w:rsid w:val="00DB3846"/>
    <w:rsid w:val="00DB76FE"/>
    <w:rsid w:val="00DC09D1"/>
    <w:rsid w:val="00DC46EF"/>
    <w:rsid w:val="00DC46FF"/>
    <w:rsid w:val="00DC57DF"/>
    <w:rsid w:val="00DD04D7"/>
    <w:rsid w:val="00DD0759"/>
    <w:rsid w:val="00DD0F8A"/>
    <w:rsid w:val="00DD1A4F"/>
    <w:rsid w:val="00DD7C2C"/>
    <w:rsid w:val="00DD7F5E"/>
    <w:rsid w:val="00DE2A4A"/>
    <w:rsid w:val="00DE396D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FDB"/>
    <w:rsid w:val="00E24004"/>
    <w:rsid w:val="00E302D9"/>
    <w:rsid w:val="00E32DC9"/>
    <w:rsid w:val="00E4169A"/>
    <w:rsid w:val="00E41FB3"/>
    <w:rsid w:val="00E44600"/>
    <w:rsid w:val="00E4612E"/>
    <w:rsid w:val="00E46C51"/>
    <w:rsid w:val="00E46D9A"/>
    <w:rsid w:val="00E47A5F"/>
    <w:rsid w:val="00E502A4"/>
    <w:rsid w:val="00E54D04"/>
    <w:rsid w:val="00E556DD"/>
    <w:rsid w:val="00E565FF"/>
    <w:rsid w:val="00E56A8D"/>
    <w:rsid w:val="00E56E8B"/>
    <w:rsid w:val="00E579BD"/>
    <w:rsid w:val="00E62BB8"/>
    <w:rsid w:val="00E63B50"/>
    <w:rsid w:val="00E6469F"/>
    <w:rsid w:val="00E65388"/>
    <w:rsid w:val="00E739E4"/>
    <w:rsid w:val="00E7598F"/>
    <w:rsid w:val="00E76253"/>
    <w:rsid w:val="00E7776A"/>
    <w:rsid w:val="00E844F2"/>
    <w:rsid w:val="00E854C7"/>
    <w:rsid w:val="00E85745"/>
    <w:rsid w:val="00E85B7D"/>
    <w:rsid w:val="00E90A98"/>
    <w:rsid w:val="00E90B1B"/>
    <w:rsid w:val="00E9121B"/>
    <w:rsid w:val="00E94D76"/>
    <w:rsid w:val="00E9611D"/>
    <w:rsid w:val="00EA0B53"/>
    <w:rsid w:val="00EA39E5"/>
    <w:rsid w:val="00EA3DBC"/>
    <w:rsid w:val="00EA4012"/>
    <w:rsid w:val="00EA45F1"/>
    <w:rsid w:val="00EB0AE8"/>
    <w:rsid w:val="00EB1B8B"/>
    <w:rsid w:val="00EB2414"/>
    <w:rsid w:val="00EB65BF"/>
    <w:rsid w:val="00EC3219"/>
    <w:rsid w:val="00EC34BB"/>
    <w:rsid w:val="00EC3B8A"/>
    <w:rsid w:val="00EC47A9"/>
    <w:rsid w:val="00EC5A46"/>
    <w:rsid w:val="00EC5BD6"/>
    <w:rsid w:val="00EC63E2"/>
    <w:rsid w:val="00ED03DE"/>
    <w:rsid w:val="00ED11B9"/>
    <w:rsid w:val="00ED75FE"/>
    <w:rsid w:val="00ED7F64"/>
    <w:rsid w:val="00EE0DD2"/>
    <w:rsid w:val="00EE3F87"/>
    <w:rsid w:val="00EF22B3"/>
    <w:rsid w:val="00EF2844"/>
    <w:rsid w:val="00EF40A0"/>
    <w:rsid w:val="00EF697D"/>
    <w:rsid w:val="00F02939"/>
    <w:rsid w:val="00F044F7"/>
    <w:rsid w:val="00F052C6"/>
    <w:rsid w:val="00F05840"/>
    <w:rsid w:val="00F064C1"/>
    <w:rsid w:val="00F113DA"/>
    <w:rsid w:val="00F22D44"/>
    <w:rsid w:val="00F231BB"/>
    <w:rsid w:val="00F23A8E"/>
    <w:rsid w:val="00F250CE"/>
    <w:rsid w:val="00F25A80"/>
    <w:rsid w:val="00F25C51"/>
    <w:rsid w:val="00F32068"/>
    <w:rsid w:val="00F32F67"/>
    <w:rsid w:val="00F37DC8"/>
    <w:rsid w:val="00F40759"/>
    <w:rsid w:val="00F41127"/>
    <w:rsid w:val="00F41729"/>
    <w:rsid w:val="00F4346D"/>
    <w:rsid w:val="00F43DC6"/>
    <w:rsid w:val="00F44387"/>
    <w:rsid w:val="00F47CD5"/>
    <w:rsid w:val="00F512E8"/>
    <w:rsid w:val="00F5341A"/>
    <w:rsid w:val="00F650C3"/>
    <w:rsid w:val="00F67FDA"/>
    <w:rsid w:val="00F8091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A042A"/>
    <w:rsid w:val="00FA2244"/>
    <w:rsid w:val="00FA2E5C"/>
    <w:rsid w:val="00FA6031"/>
    <w:rsid w:val="00FA7E4D"/>
    <w:rsid w:val="00FB07BA"/>
    <w:rsid w:val="00FB1786"/>
    <w:rsid w:val="00FB1B4B"/>
    <w:rsid w:val="00FB254A"/>
    <w:rsid w:val="00FB29AE"/>
    <w:rsid w:val="00FB5FC9"/>
    <w:rsid w:val="00FB6574"/>
    <w:rsid w:val="00FB6C90"/>
    <w:rsid w:val="00FC0CBE"/>
    <w:rsid w:val="00FC2D48"/>
    <w:rsid w:val="00FC75DC"/>
    <w:rsid w:val="00FC7886"/>
    <w:rsid w:val="00FD06CB"/>
    <w:rsid w:val="00FD3EE8"/>
    <w:rsid w:val="00FD534F"/>
    <w:rsid w:val="00FD5860"/>
    <w:rsid w:val="00FE352D"/>
    <w:rsid w:val="00FE385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8945C"/>
  <w15:docId w15:val="{6F9DDC84-87DC-44DC-B67D-971F5B0A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271C96"/>
    <w:pPr>
      <w:tabs>
        <w:tab w:val="right" w:pos="851"/>
      </w:tabs>
      <w:spacing w:after="120"/>
      <w:ind w:left="1247" w:right="284" w:hanging="1247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870EFE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spacing w:after="120"/>
      <w:ind w:left="1247" w:right="284" w:hanging="1247"/>
    </w:pPr>
    <w:rPr>
      <w:b/>
      <w:sz w:val="24"/>
      <w:szCs w:val="28"/>
      <w:lang w:val="ru-RU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uiPriority w:val="99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qFormat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uiPriority w:val="99"/>
    <w:qFormat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6E68C4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2617E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B3B30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CB3B3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29AEA-2FBD-49FC-920D-D9D25B1D6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50EB2-AFC1-4508-B79B-18815CCD31A4}"/>
</file>

<file path=customXml/itemProps3.xml><?xml version="1.0" encoding="utf-8"?>
<ds:datastoreItem xmlns:ds="http://schemas.openxmlformats.org/officeDocument/2006/customXml" ds:itemID="{EEA19A1A-B30D-4104-B6DE-90D00C695BFB}"/>
</file>

<file path=customXml/itemProps4.xml><?xml version="1.0" encoding="utf-8"?>
<ds:datastoreItem xmlns:ds="http://schemas.openxmlformats.org/officeDocument/2006/customXml" ds:itemID="{CD3DF22F-228C-437A-A8F3-8D234AF05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7318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Simone Schiele</cp:lastModifiedBy>
  <cp:revision>2</cp:revision>
  <cp:lastPrinted>2019-03-13T06:12:00Z</cp:lastPrinted>
  <dcterms:created xsi:type="dcterms:W3CDTF">2019-04-01T07:36:00Z</dcterms:created>
  <dcterms:modified xsi:type="dcterms:W3CDTF">2019-04-01T07:36:00Z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